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71" w:rsidRPr="00EF7838" w:rsidRDefault="00246344" w:rsidP="00735652">
      <w:pPr>
        <w:spacing w:after="0" w:line="240" w:lineRule="auto"/>
        <w:ind w:left="7797"/>
        <w:jc w:val="right"/>
        <w:outlineLvl w:val="0"/>
        <w:rPr>
          <w:rFonts w:ascii="Times New Roman" w:eastAsia="Times New Roman" w:hAnsi="Times New Roman" w:cs="Times New Roman"/>
          <w:bCs/>
          <w:color w:val="000000"/>
          <w:sz w:val="24"/>
          <w:szCs w:val="24"/>
          <w:lang w:val="lv-LV" w:bidi="ml-IN"/>
        </w:rPr>
      </w:pPr>
      <w:r w:rsidRPr="00735652">
        <w:rPr>
          <w:rFonts w:ascii="Times New Roman" w:hAnsi="Times New Roman" w:cs="Times New Roman"/>
          <w:sz w:val="24"/>
          <w:szCs w:val="24"/>
          <w:lang w:val="lv-LV"/>
        </w:rPr>
        <w:t>2. pielikums informatīvajam ziņojumam</w:t>
      </w:r>
      <w:r w:rsidR="00003B71" w:rsidRPr="00EF7838">
        <w:rPr>
          <w:rFonts w:ascii="Times New Roman" w:eastAsia="Times New Roman" w:hAnsi="Times New Roman" w:cs="Times New Roman"/>
          <w:bCs/>
          <w:color w:val="000000"/>
          <w:sz w:val="24"/>
          <w:szCs w:val="24"/>
          <w:lang w:val="lv-LV" w:bidi="ml-IN"/>
        </w:rPr>
        <w:t xml:space="preserve"> </w:t>
      </w:r>
      <w:bookmarkStart w:id="0" w:name="_Hlk499652677"/>
      <w:r w:rsidR="00003B71" w:rsidRPr="00EF7838">
        <w:rPr>
          <w:rFonts w:ascii="Times New Roman" w:eastAsia="Times New Roman" w:hAnsi="Times New Roman" w:cs="Times New Roman"/>
          <w:bCs/>
          <w:sz w:val="24"/>
          <w:szCs w:val="24"/>
          <w:lang w:val="lv-LV"/>
        </w:rPr>
        <w:t>"Par Ekonomiskās sadarbības un attīstības organizācijas Kukuļošanas apkarošanas starptautiskajos biznesa darījumos darba grupas 2.</w:t>
      </w:r>
      <w:r w:rsidR="00003B71" w:rsidRPr="00EF7838">
        <w:rPr>
          <w:lang w:val="lv-LV"/>
        </w:rPr>
        <w:t> </w:t>
      </w:r>
      <w:r w:rsidR="00003B71" w:rsidRPr="00EF7838">
        <w:rPr>
          <w:rFonts w:ascii="Times New Roman" w:eastAsia="Times New Roman" w:hAnsi="Times New Roman" w:cs="Times New Roman"/>
          <w:bCs/>
          <w:sz w:val="24"/>
          <w:szCs w:val="24"/>
          <w:lang w:val="lv-LV"/>
        </w:rPr>
        <w:t>fāzes Latvijas novērtējuma ziņojumā izteikto rekomendāciju izpildes novērtējumu</w:t>
      </w:r>
      <w:bookmarkEnd w:id="0"/>
      <w:r w:rsidR="00003B71" w:rsidRPr="00EF7838">
        <w:rPr>
          <w:rFonts w:ascii="Times New Roman" w:eastAsia="Times New Roman" w:hAnsi="Times New Roman" w:cs="Times New Roman"/>
          <w:bCs/>
          <w:sz w:val="24"/>
          <w:szCs w:val="24"/>
          <w:lang w:val="lv-LV"/>
        </w:rPr>
        <w:t>"</w:t>
      </w:r>
    </w:p>
    <w:p w:rsidR="0037406C" w:rsidRPr="00735652" w:rsidRDefault="0037406C" w:rsidP="0037406C">
      <w:pPr>
        <w:spacing w:after="0"/>
        <w:jc w:val="right"/>
        <w:rPr>
          <w:rFonts w:ascii="Times New Roman" w:hAnsi="Times New Roman" w:cs="Times New Roman"/>
          <w:sz w:val="24"/>
          <w:szCs w:val="24"/>
          <w:lang w:val="lv-LV"/>
        </w:rPr>
      </w:pPr>
    </w:p>
    <w:p w:rsidR="0037406C" w:rsidRPr="00735652" w:rsidRDefault="0037406C" w:rsidP="0037406C">
      <w:pPr>
        <w:spacing w:after="0"/>
        <w:jc w:val="right"/>
        <w:rPr>
          <w:rFonts w:ascii="Times New Roman" w:hAnsi="Times New Roman" w:cs="Times New Roman"/>
          <w:b/>
          <w:sz w:val="20"/>
          <w:szCs w:val="20"/>
          <w:lang w:val="lv-LV"/>
        </w:rPr>
      </w:pPr>
    </w:p>
    <w:p w:rsidR="00C847D9" w:rsidRPr="00735652" w:rsidRDefault="006D76C0" w:rsidP="00683373">
      <w:pPr>
        <w:jc w:val="center"/>
        <w:rPr>
          <w:rFonts w:ascii="Times New Roman" w:hAnsi="Times New Roman" w:cs="Times New Roman"/>
          <w:b/>
          <w:sz w:val="24"/>
          <w:szCs w:val="24"/>
          <w:lang w:val="lv-LV"/>
        </w:rPr>
      </w:pPr>
      <w:r w:rsidRPr="00735652">
        <w:rPr>
          <w:rFonts w:ascii="Times New Roman" w:hAnsi="Times New Roman" w:cs="Times New Roman"/>
          <w:b/>
          <w:sz w:val="24"/>
          <w:szCs w:val="24"/>
          <w:lang w:val="lv-LV"/>
        </w:rPr>
        <w:t>Finanšu un kapitāla tirgus komisijas Atbilstības kontroles departamenta</w:t>
      </w:r>
      <w:r w:rsidR="00974577" w:rsidRPr="00735652">
        <w:rPr>
          <w:rFonts w:ascii="Times New Roman" w:hAnsi="Times New Roman" w:cs="Times New Roman"/>
          <w:b/>
          <w:sz w:val="24"/>
          <w:szCs w:val="24"/>
          <w:lang w:val="lv-LV"/>
        </w:rPr>
        <w:t xml:space="preserve"> veiktās pārbaudes bankās 2016-2017</w:t>
      </w:r>
      <w:r w:rsidR="001C08A8" w:rsidRPr="00735652">
        <w:rPr>
          <w:rFonts w:ascii="Times New Roman" w:hAnsi="Times New Roman" w:cs="Times New Roman"/>
          <w:b/>
          <w:sz w:val="24"/>
          <w:szCs w:val="24"/>
          <w:lang w:val="lv-LV"/>
        </w:rPr>
        <w:t xml:space="preserve"> (atbilstoši EBA uzraudzības funkciju metodoloģijai</w:t>
      </w:r>
      <w:r w:rsidR="007C3A8E" w:rsidRPr="00735652">
        <w:rPr>
          <w:rFonts w:ascii="Times New Roman" w:hAnsi="Times New Roman" w:cs="Times New Roman"/>
          <w:b/>
          <w:sz w:val="24"/>
          <w:szCs w:val="24"/>
          <w:lang w:val="lv-LV"/>
        </w:rPr>
        <w:t>)</w:t>
      </w:r>
    </w:p>
    <w:p w:rsidR="006D76C0" w:rsidRPr="00735652" w:rsidRDefault="006D76C0" w:rsidP="006D76C0">
      <w:pPr>
        <w:spacing w:after="0" w:line="240" w:lineRule="auto"/>
        <w:rPr>
          <w:rFonts w:ascii="Times New Roman" w:eastAsia="Times New Roman" w:hAnsi="Times New Roman" w:cs="Times New Roman"/>
          <w:b/>
          <w:sz w:val="24"/>
          <w:szCs w:val="24"/>
          <w:lang w:val="lv-LV" w:eastAsia="lv-LV"/>
        </w:rPr>
      </w:pPr>
      <w:r w:rsidRPr="00735652">
        <w:rPr>
          <w:rFonts w:ascii="Times New Roman" w:eastAsia="Times New Roman" w:hAnsi="Times New Roman" w:cs="Times New Roman"/>
          <w:b/>
          <w:sz w:val="24"/>
          <w:szCs w:val="24"/>
          <w:lang w:val="lv-LV" w:eastAsia="lv-LV"/>
        </w:rPr>
        <w:t>Lietotie saīsinājumi</w:t>
      </w:r>
    </w:p>
    <w:p w:rsidR="008B0271" w:rsidRPr="00735652" w:rsidRDefault="008B0271" w:rsidP="006D76C0">
      <w:pPr>
        <w:spacing w:after="0" w:line="240" w:lineRule="auto"/>
        <w:rPr>
          <w:rFonts w:ascii="Times New Roman" w:eastAsia="Times New Roman" w:hAnsi="Times New Roman" w:cs="Times New Roman"/>
          <w:b/>
          <w:sz w:val="24"/>
          <w:szCs w:val="24"/>
          <w:lang w:val="lv-LV" w:eastAsia="lv-LV"/>
        </w:rPr>
      </w:pPr>
    </w:p>
    <w:p w:rsidR="006D76C0" w:rsidRPr="00735652" w:rsidRDefault="006D76C0" w:rsidP="006D76C0">
      <w:pPr>
        <w:spacing w:after="0" w:line="240" w:lineRule="auto"/>
        <w:rPr>
          <w:rFonts w:ascii="Times New Roman" w:eastAsia="Times New Roman" w:hAnsi="Times New Roman" w:cs="Times New Roman"/>
          <w:sz w:val="24"/>
          <w:szCs w:val="24"/>
          <w:lang w:val="lv-LV" w:eastAsia="lv-LV"/>
        </w:rPr>
      </w:pPr>
      <w:r w:rsidRPr="00735652">
        <w:rPr>
          <w:rFonts w:ascii="Times New Roman" w:eastAsia="Times New Roman" w:hAnsi="Times New Roman" w:cs="Times New Roman"/>
          <w:sz w:val="24"/>
          <w:szCs w:val="24"/>
          <w:lang w:val="lv-LV" w:eastAsia="lv-LV"/>
        </w:rPr>
        <w:t>AKD - Finanšu un kapitāla tirgus komisijas Atbilstības kontroles departaments</w:t>
      </w:r>
    </w:p>
    <w:p w:rsidR="006D76C0" w:rsidRPr="00735652" w:rsidRDefault="006D76C0" w:rsidP="006D76C0">
      <w:pPr>
        <w:spacing w:after="0" w:line="240" w:lineRule="auto"/>
        <w:rPr>
          <w:rFonts w:ascii="Times New Roman" w:eastAsia="Times New Roman" w:hAnsi="Times New Roman" w:cs="Times New Roman"/>
          <w:sz w:val="24"/>
          <w:szCs w:val="24"/>
          <w:lang w:val="lv-LV" w:eastAsia="lv-LV"/>
        </w:rPr>
      </w:pPr>
      <w:r w:rsidRPr="00735652">
        <w:rPr>
          <w:rFonts w:ascii="Times New Roman" w:eastAsia="Times New Roman" w:hAnsi="Times New Roman" w:cs="Times New Roman"/>
          <w:sz w:val="24"/>
          <w:szCs w:val="24"/>
          <w:lang w:val="lv-LV" w:eastAsia="lv-LV"/>
        </w:rPr>
        <w:t>EBA – Eiropas Banku iestāde</w:t>
      </w:r>
    </w:p>
    <w:p w:rsidR="006D76C0" w:rsidRPr="00735652" w:rsidRDefault="006D76C0" w:rsidP="006D76C0">
      <w:pPr>
        <w:spacing w:after="0" w:line="240" w:lineRule="auto"/>
        <w:rPr>
          <w:rFonts w:ascii="Times New Roman" w:eastAsia="Times New Roman" w:hAnsi="Times New Roman" w:cs="Times New Roman"/>
          <w:sz w:val="24"/>
          <w:szCs w:val="24"/>
          <w:lang w:val="lv-LV" w:eastAsia="lv-LV"/>
        </w:rPr>
      </w:pPr>
      <w:r w:rsidRPr="00735652">
        <w:rPr>
          <w:rFonts w:ascii="Times New Roman" w:eastAsia="Times New Roman" w:hAnsi="Times New Roman" w:cs="Times New Roman"/>
          <w:sz w:val="24"/>
          <w:szCs w:val="24"/>
          <w:lang w:val="lv-LV" w:eastAsia="lv-LV"/>
        </w:rPr>
        <w:t>FKTK – Finanšu un kapitāla tirgus komisija</w:t>
      </w:r>
    </w:p>
    <w:p w:rsidR="006D76C0" w:rsidRPr="00735652" w:rsidRDefault="006D76C0" w:rsidP="006D76C0">
      <w:pPr>
        <w:spacing w:after="0" w:line="240" w:lineRule="auto"/>
        <w:rPr>
          <w:rFonts w:ascii="Times New Roman" w:eastAsia="Times New Roman" w:hAnsi="Times New Roman" w:cs="Times New Roman"/>
          <w:sz w:val="24"/>
          <w:szCs w:val="24"/>
          <w:lang w:val="lv-LV" w:eastAsia="lv-LV"/>
        </w:rPr>
      </w:pPr>
      <w:r w:rsidRPr="00735652">
        <w:rPr>
          <w:rFonts w:ascii="Times New Roman" w:eastAsia="Times New Roman" w:hAnsi="Times New Roman" w:cs="Times New Roman"/>
          <w:sz w:val="24"/>
          <w:szCs w:val="24"/>
          <w:lang w:val="lv-LV" w:eastAsia="lv-LV"/>
        </w:rPr>
        <w:t>NILLTFN – Noziedzīgi iegūtu līdzekļu legalizācijas un terorisma finansēšanas novēršana</w:t>
      </w:r>
    </w:p>
    <w:p w:rsidR="008B0271" w:rsidRPr="00735652" w:rsidRDefault="008B0271" w:rsidP="006D76C0">
      <w:pPr>
        <w:spacing w:after="0" w:line="240" w:lineRule="auto"/>
        <w:rPr>
          <w:rFonts w:ascii="Times New Roman" w:eastAsia="Times New Roman" w:hAnsi="Times New Roman" w:cs="Times New Roman"/>
          <w:sz w:val="24"/>
          <w:szCs w:val="24"/>
          <w:lang w:val="lv-LV" w:eastAsia="lv-LV"/>
        </w:rPr>
      </w:pPr>
    </w:p>
    <w:tbl>
      <w:tblPr>
        <w:tblStyle w:val="TableGrid"/>
        <w:tblW w:w="0" w:type="auto"/>
        <w:tblLook w:val="04A0" w:firstRow="1" w:lastRow="0" w:firstColumn="1" w:lastColumn="0" w:noHBand="0" w:noVBand="1"/>
      </w:tblPr>
      <w:tblGrid>
        <w:gridCol w:w="496"/>
        <w:gridCol w:w="1550"/>
        <w:gridCol w:w="4110"/>
        <w:gridCol w:w="3116"/>
        <w:gridCol w:w="1987"/>
        <w:gridCol w:w="2268"/>
      </w:tblGrid>
      <w:tr w:rsidR="00B90C9D" w:rsidRPr="00246344" w:rsidTr="008B0271">
        <w:trPr>
          <w:tblHeader/>
        </w:trPr>
        <w:tc>
          <w:tcPr>
            <w:tcW w:w="450" w:type="dxa"/>
          </w:tcPr>
          <w:p w:rsidR="001C08A8" w:rsidRPr="00735652" w:rsidRDefault="001C08A8" w:rsidP="00974577">
            <w:pPr>
              <w:spacing w:after="200" w:line="276" w:lineRule="auto"/>
              <w:jc w:val="center"/>
              <w:rPr>
                <w:rFonts w:ascii="Times New Roman" w:hAnsi="Times New Roman" w:cs="Times New Roman"/>
                <w:b/>
                <w:sz w:val="24"/>
                <w:szCs w:val="24"/>
                <w:lang w:val="lv-LV"/>
              </w:rPr>
            </w:pPr>
            <w:proofErr w:type="spellStart"/>
            <w:r w:rsidRPr="00735652">
              <w:rPr>
                <w:rFonts w:ascii="Times New Roman" w:hAnsi="Times New Roman" w:cs="Times New Roman"/>
                <w:b/>
                <w:sz w:val="24"/>
                <w:szCs w:val="24"/>
                <w:lang w:val="lv-LV"/>
              </w:rPr>
              <w:t>Nr</w:t>
            </w:r>
            <w:proofErr w:type="spellEnd"/>
          </w:p>
        </w:tc>
        <w:tc>
          <w:tcPr>
            <w:tcW w:w="1218" w:type="dxa"/>
          </w:tcPr>
          <w:p w:rsidR="001C08A8" w:rsidRPr="00735652" w:rsidRDefault="001C08A8" w:rsidP="00974577">
            <w:pPr>
              <w:spacing w:after="200" w:line="276" w:lineRule="auto"/>
              <w:jc w:val="center"/>
              <w:rPr>
                <w:rFonts w:ascii="Times New Roman" w:hAnsi="Times New Roman" w:cs="Times New Roman"/>
                <w:b/>
                <w:sz w:val="24"/>
                <w:szCs w:val="24"/>
                <w:lang w:val="lv-LV"/>
              </w:rPr>
            </w:pPr>
            <w:r w:rsidRPr="00735652">
              <w:rPr>
                <w:rFonts w:ascii="Times New Roman" w:hAnsi="Times New Roman" w:cs="Times New Roman"/>
                <w:b/>
                <w:sz w:val="24"/>
                <w:szCs w:val="24"/>
                <w:lang w:val="lv-LV"/>
              </w:rPr>
              <w:t>Uzraudzības metode</w:t>
            </w:r>
          </w:p>
          <w:p w:rsidR="001C08A8" w:rsidRPr="00735652" w:rsidRDefault="001C08A8" w:rsidP="00974577">
            <w:pPr>
              <w:spacing w:after="200" w:line="276" w:lineRule="auto"/>
              <w:jc w:val="center"/>
              <w:rPr>
                <w:rFonts w:ascii="Times New Roman" w:hAnsi="Times New Roman" w:cs="Times New Roman"/>
                <w:b/>
                <w:sz w:val="24"/>
                <w:szCs w:val="24"/>
                <w:lang w:val="lv-LV"/>
              </w:rPr>
            </w:pPr>
            <w:r w:rsidRPr="00735652">
              <w:rPr>
                <w:rFonts w:ascii="Times New Roman" w:hAnsi="Times New Roman" w:cs="Times New Roman"/>
                <w:b/>
                <w:sz w:val="24"/>
                <w:szCs w:val="24"/>
                <w:lang w:val="lv-LV"/>
              </w:rPr>
              <w:t>EBA metodoloģija</w:t>
            </w:r>
          </w:p>
        </w:tc>
        <w:tc>
          <w:tcPr>
            <w:tcW w:w="4110" w:type="dxa"/>
          </w:tcPr>
          <w:p w:rsidR="001C08A8" w:rsidRPr="00735652" w:rsidRDefault="001C08A8" w:rsidP="00974577">
            <w:pPr>
              <w:spacing w:after="200" w:line="276" w:lineRule="auto"/>
              <w:jc w:val="center"/>
              <w:rPr>
                <w:rFonts w:ascii="Times New Roman" w:hAnsi="Times New Roman" w:cs="Times New Roman"/>
                <w:b/>
                <w:sz w:val="24"/>
                <w:szCs w:val="24"/>
                <w:lang w:val="lv-LV"/>
              </w:rPr>
            </w:pPr>
            <w:r w:rsidRPr="00735652">
              <w:rPr>
                <w:rFonts w:ascii="Times New Roman" w:hAnsi="Times New Roman" w:cs="Times New Roman"/>
                <w:b/>
                <w:sz w:val="24"/>
                <w:szCs w:val="24"/>
                <w:lang w:val="lv-LV"/>
              </w:rPr>
              <w:t>EBA skaidrojums par pārbaudes būtību</w:t>
            </w:r>
          </w:p>
        </w:tc>
        <w:tc>
          <w:tcPr>
            <w:tcW w:w="3116" w:type="dxa"/>
          </w:tcPr>
          <w:p w:rsidR="001C08A8" w:rsidRPr="00735652" w:rsidRDefault="001C08A8" w:rsidP="005B0D90">
            <w:pPr>
              <w:spacing w:after="200" w:line="276" w:lineRule="auto"/>
              <w:jc w:val="center"/>
              <w:rPr>
                <w:rFonts w:ascii="Times New Roman" w:hAnsi="Times New Roman" w:cs="Times New Roman"/>
                <w:b/>
                <w:sz w:val="24"/>
                <w:szCs w:val="24"/>
                <w:lang w:val="lv-LV"/>
              </w:rPr>
            </w:pPr>
            <w:r w:rsidRPr="00735652">
              <w:rPr>
                <w:rFonts w:ascii="Times New Roman" w:hAnsi="Times New Roman" w:cs="Times New Roman"/>
                <w:b/>
                <w:sz w:val="24"/>
                <w:szCs w:val="24"/>
                <w:lang w:val="lv-LV"/>
              </w:rPr>
              <w:t>L</w:t>
            </w:r>
            <w:r w:rsidR="006D76C0" w:rsidRPr="00735652">
              <w:rPr>
                <w:rFonts w:ascii="Times New Roman" w:hAnsi="Times New Roman" w:cs="Times New Roman"/>
                <w:b/>
                <w:sz w:val="24"/>
                <w:szCs w:val="24"/>
                <w:lang w:val="lv-LV"/>
              </w:rPr>
              <w:t>atvijas</w:t>
            </w:r>
            <w:r w:rsidRPr="00735652">
              <w:rPr>
                <w:rFonts w:ascii="Times New Roman" w:hAnsi="Times New Roman" w:cs="Times New Roman"/>
                <w:b/>
                <w:sz w:val="24"/>
                <w:szCs w:val="24"/>
                <w:lang w:val="lv-LV"/>
              </w:rPr>
              <w:t xml:space="preserve"> banku NILLTFN atbilstības uzraudzībai pielietotie pārbaužu veidi un metodes</w:t>
            </w:r>
          </w:p>
        </w:tc>
        <w:tc>
          <w:tcPr>
            <w:tcW w:w="1987" w:type="dxa"/>
          </w:tcPr>
          <w:p w:rsidR="001C08A8" w:rsidRPr="00735652" w:rsidRDefault="001C08A8" w:rsidP="00974577">
            <w:pPr>
              <w:spacing w:after="200" w:line="276" w:lineRule="auto"/>
              <w:jc w:val="center"/>
              <w:rPr>
                <w:rFonts w:ascii="Times New Roman" w:hAnsi="Times New Roman" w:cs="Times New Roman"/>
                <w:b/>
                <w:sz w:val="24"/>
                <w:szCs w:val="24"/>
                <w:lang w:val="lv-LV"/>
              </w:rPr>
            </w:pPr>
            <w:r w:rsidRPr="00735652">
              <w:rPr>
                <w:rFonts w:ascii="Times New Roman" w:hAnsi="Times New Roman" w:cs="Times New Roman"/>
                <w:b/>
                <w:sz w:val="24"/>
                <w:szCs w:val="24"/>
                <w:lang w:val="lv-LV"/>
              </w:rPr>
              <w:t>2016. gada rezultāti</w:t>
            </w:r>
          </w:p>
        </w:tc>
        <w:tc>
          <w:tcPr>
            <w:tcW w:w="2268" w:type="dxa"/>
          </w:tcPr>
          <w:p w:rsidR="001C08A8" w:rsidRPr="00735652" w:rsidRDefault="001C08A8" w:rsidP="00974577">
            <w:pPr>
              <w:spacing w:after="200" w:line="276" w:lineRule="auto"/>
              <w:jc w:val="center"/>
              <w:rPr>
                <w:rFonts w:ascii="Times New Roman" w:hAnsi="Times New Roman" w:cs="Times New Roman"/>
                <w:b/>
                <w:sz w:val="24"/>
                <w:szCs w:val="24"/>
                <w:lang w:val="lv-LV"/>
              </w:rPr>
            </w:pPr>
            <w:r w:rsidRPr="00735652">
              <w:rPr>
                <w:rFonts w:ascii="Times New Roman" w:hAnsi="Times New Roman" w:cs="Times New Roman"/>
                <w:b/>
                <w:sz w:val="24"/>
                <w:szCs w:val="24"/>
                <w:lang w:val="lv-LV"/>
              </w:rPr>
              <w:t>2017. gada rezultāti</w:t>
            </w:r>
          </w:p>
        </w:tc>
      </w:tr>
      <w:tr w:rsidR="00B90C9D" w:rsidRPr="00246344" w:rsidTr="008B0271">
        <w:tc>
          <w:tcPr>
            <w:tcW w:w="450" w:type="dxa"/>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1.</w:t>
            </w:r>
          </w:p>
        </w:tc>
        <w:tc>
          <w:tcPr>
            <w:tcW w:w="1218" w:type="dxa"/>
          </w:tcPr>
          <w:p w:rsidR="001C08A8" w:rsidRPr="00735652" w:rsidRDefault="00B90C9D" w:rsidP="002656A6">
            <w:pPr>
              <w:spacing w:after="200" w:line="276" w:lineRule="auto"/>
              <w:rPr>
                <w:rFonts w:ascii="Times New Roman" w:hAnsi="Times New Roman" w:cs="Times New Roman"/>
                <w:sz w:val="24"/>
                <w:szCs w:val="24"/>
                <w:lang w:val="lv-LV"/>
              </w:rPr>
            </w:pPr>
            <w:r>
              <w:rPr>
                <w:rFonts w:ascii="Times New Roman" w:hAnsi="Times New Roman" w:cs="Times New Roman"/>
                <w:b/>
                <w:bCs/>
                <w:sz w:val="24"/>
                <w:szCs w:val="24"/>
                <w:lang w:val="lv-LV"/>
              </w:rPr>
              <w:t>Plānotā</w:t>
            </w:r>
            <w:r w:rsidR="007347BC">
              <w:rPr>
                <w:rFonts w:ascii="Times New Roman" w:hAnsi="Times New Roman" w:cs="Times New Roman"/>
                <w:b/>
                <w:bCs/>
                <w:sz w:val="24"/>
                <w:szCs w:val="24"/>
                <w:lang w:val="lv-LV"/>
              </w:rPr>
              <w:t xml:space="preserve"> klātienes pārbaude</w:t>
            </w:r>
            <w:r w:rsidR="006C0AAD">
              <w:rPr>
                <w:rFonts w:ascii="Times New Roman" w:hAnsi="Times New Roman" w:cs="Times New Roman"/>
                <w:b/>
                <w:bCs/>
                <w:sz w:val="24"/>
                <w:szCs w:val="24"/>
                <w:lang w:val="lv-LV"/>
              </w:rPr>
              <w:t xml:space="preserve"> </w:t>
            </w:r>
          </w:p>
        </w:tc>
        <w:tc>
          <w:tcPr>
            <w:tcW w:w="4110" w:type="dxa"/>
          </w:tcPr>
          <w:p w:rsidR="002656A6" w:rsidRDefault="006F72A3" w:rsidP="005A1568">
            <w:pPr>
              <w:spacing w:after="20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Visaptveroša</w:t>
            </w:r>
            <w:r w:rsidR="002656A6">
              <w:rPr>
                <w:rFonts w:ascii="Times New Roman" w:hAnsi="Times New Roman" w:cs="Times New Roman"/>
                <w:sz w:val="24"/>
                <w:szCs w:val="24"/>
                <w:lang w:val="lv-LV"/>
              </w:rPr>
              <w:t xml:space="preserve">/ pilna apjoma klātienes pārbaude par uzņēmuma </w:t>
            </w:r>
            <w:r w:rsidR="00B90C9D">
              <w:rPr>
                <w:rFonts w:ascii="Times New Roman" w:hAnsi="Times New Roman" w:cs="Times New Roman"/>
                <w:sz w:val="24"/>
                <w:szCs w:val="24"/>
                <w:lang w:val="lv-LV"/>
              </w:rPr>
              <w:t xml:space="preserve">sistēmām un kontroles pasākumiem </w:t>
            </w:r>
            <w:r w:rsidR="002656A6">
              <w:rPr>
                <w:rFonts w:ascii="Times New Roman" w:hAnsi="Times New Roman" w:cs="Times New Roman"/>
                <w:sz w:val="24"/>
                <w:szCs w:val="24"/>
                <w:lang w:val="lv-LV"/>
              </w:rPr>
              <w:t>NILLTFN</w:t>
            </w:r>
            <w:r w:rsidR="00B90C9D">
              <w:rPr>
                <w:rFonts w:ascii="Times New Roman" w:hAnsi="Times New Roman" w:cs="Times New Roman"/>
                <w:sz w:val="24"/>
                <w:szCs w:val="24"/>
                <w:lang w:val="lv-LV"/>
              </w:rPr>
              <w:t xml:space="preserve"> jomā,</w:t>
            </w:r>
            <w:r w:rsidR="002656A6">
              <w:rPr>
                <w:rFonts w:ascii="Times New Roman" w:hAnsi="Times New Roman" w:cs="Times New Roman"/>
                <w:sz w:val="24"/>
                <w:szCs w:val="24"/>
                <w:lang w:val="lv-LV"/>
              </w:rPr>
              <w:t xml:space="preserve"> kas </w:t>
            </w:r>
            <w:r w:rsidR="00B90C9D">
              <w:rPr>
                <w:rFonts w:ascii="Times New Roman" w:hAnsi="Times New Roman" w:cs="Times New Roman"/>
                <w:sz w:val="24"/>
                <w:szCs w:val="24"/>
                <w:lang w:val="lv-LV"/>
              </w:rPr>
              <w:t xml:space="preserve">ir saskaņā ar </w:t>
            </w:r>
            <w:r w:rsidR="002656A6">
              <w:rPr>
                <w:rFonts w:ascii="Times New Roman" w:hAnsi="Times New Roman" w:cs="Times New Roman"/>
                <w:sz w:val="24"/>
                <w:szCs w:val="24"/>
                <w:lang w:val="lv-LV"/>
              </w:rPr>
              <w:t>uz risku balstīt</w:t>
            </w:r>
            <w:r w:rsidR="00B90C9D">
              <w:rPr>
                <w:rFonts w:ascii="Times New Roman" w:hAnsi="Times New Roman" w:cs="Times New Roman"/>
                <w:sz w:val="24"/>
                <w:szCs w:val="24"/>
                <w:lang w:val="lv-LV"/>
              </w:rPr>
              <w:t xml:space="preserve">u </w:t>
            </w:r>
            <w:r w:rsidR="002656A6">
              <w:rPr>
                <w:rFonts w:ascii="Times New Roman" w:hAnsi="Times New Roman" w:cs="Times New Roman"/>
                <w:sz w:val="24"/>
                <w:szCs w:val="24"/>
                <w:lang w:val="lv-LV"/>
              </w:rPr>
              <w:t>pieej</w:t>
            </w:r>
            <w:r w:rsidR="00B90C9D">
              <w:rPr>
                <w:rFonts w:ascii="Times New Roman" w:hAnsi="Times New Roman" w:cs="Times New Roman"/>
                <w:sz w:val="24"/>
                <w:szCs w:val="24"/>
                <w:lang w:val="lv-LV"/>
              </w:rPr>
              <w:t>u</w:t>
            </w:r>
            <w:r w:rsidR="002656A6">
              <w:rPr>
                <w:rFonts w:ascii="Times New Roman" w:hAnsi="Times New Roman" w:cs="Times New Roman"/>
                <w:sz w:val="24"/>
                <w:szCs w:val="24"/>
                <w:lang w:val="lv-LV"/>
              </w:rPr>
              <w:t xml:space="preserve">.  </w:t>
            </w:r>
          </w:p>
          <w:p w:rsidR="001C08A8" w:rsidRPr="00735652" w:rsidRDefault="005A1568" w:rsidP="005A1568">
            <w:pPr>
              <w:spacing w:after="20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Šī</w:t>
            </w:r>
            <w:r w:rsidR="002656A6">
              <w:rPr>
                <w:rFonts w:ascii="Times New Roman" w:hAnsi="Times New Roman" w:cs="Times New Roman"/>
                <w:sz w:val="24"/>
                <w:szCs w:val="24"/>
                <w:lang w:val="lv-LV"/>
              </w:rPr>
              <w:t xml:space="preserve"> pārbaude ietver uzņēmuma politiku un procedūru pārbaudi un to ieviešanas novērtējumu, cita starpā paredzot intervijas ar atbildīgajiem darbiniekiem, </w:t>
            </w:r>
            <w:r w:rsidR="002656A6">
              <w:rPr>
                <w:rFonts w:ascii="Times New Roman" w:hAnsi="Times New Roman" w:cs="Times New Roman"/>
                <w:sz w:val="24"/>
                <w:szCs w:val="24"/>
                <w:lang w:val="lv-LV"/>
              </w:rPr>
              <w:lastRenderedPageBreak/>
              <w:t>sistēmu</w:t>
            </w:r>
            <w:r w:rsidR="005F58C0">
              <w:rPr>
                <w:rFonts w:ascii="Times New Roman" w:hAnsi="Times New Roman" w:cs="Times New Roman"/>
                <w:sz w:val="24"/>
                <w:szCs w:val="24"/>
                <w:lang w:val="lv-LV"/>
              </w:rPr>
              <w:t>, ar kurām tiek nodrošināta atbilstība NILLTFN jomā</w:t>
            </w:r>
            <w:r w:rsidR="00B90C9D">
              <w:rPr>
                <w:rFonts w:ascii="Times New Roman" w:hAnsi="Times New Roman" w:cs="Times New Roman"/>
                <w:sz w:val="24"/>
                <w:szCs w:val="24"/>
                <w:lang w:val="lv-LV"/>
              </w:rPr>
              <w:t>,</w:t>
            </w:r>
            <w:r w:rsidR="002656A6">
              <w:rPr>
                <w:rFonts w:ascii="Times New Roman" w:hAnsi="Times New Roman" w:cs="Times New Roman"/>
                <w:sz w:val="24"/>
                <w:szCs w:val="24"/>
                <w:lang w:val="lv-LV"/>
              </w:rPr>
              <w:t xml:space="preserve"> testēšanu</w:t>
            </w:r>
            <w:r w:rsidR="005F58C0">
              <w:rPr>
                <w:rFonts w:ascii="Times New Roman" w:hAnsi="Times New Roman" w:cs="Times New Roman"/>
                <w:sz w:val="24"/>
                <w:szCs w:val="24"/>
                <w:lang w:val="lv-LV"/>
              </w:rPr>
              <w:t>, riska izvērtējuma un klientu lietu</w:t>
            </w:r>
            <w:proofErr w:type="gramStart"/>
            <w:r w:rsidR="005F58C0">
              <w:rPr>
                <w:rFonts w:ascii="Times New Roman" w:hAnsi="Times New Roman" w:cs="Times New Roman"/>
                <w:sz w:val="24"/>
                <w:szCs w:val="24"/>
                <w:lang w:val="lv-LV"/>
              </w:rPr>
              <w:t xml:space="preserve">  </w:t>
            </w:r>
            <w:proofErr w:type="gramEnd"/>
            <w:r w:rsidR="005F58C0">
              <w:rPr>
                <w:rFonts w:ascii="Times New Roman" w:hAnsi="Times New Roman" w:cs="Times New Roman"/>
                <w:sz w:val="24"/>
                <w:szCs w:val="24"/>
                <w:lang w:val="lv-LV"/>
              </w:rPr>
              <w:t>pārbaudi</w:t>
            </w:r>
            <w:r w:rsidR="00B90C9D">
              <w:rPr>
                <w:rFonts w:ascii="Times New Roman" w:hAnsi="Times New Roman" w:cs="Times New Roman"/>
                <w:sz w:val="24"/>
                <w:szCs w:val="24"/>
                <w:lang w:val="lv-LV"/>
              </w:rPr>
              <w:t>.</w:t>
            </w:r>
          </w:p>
        </w:tc>
        <w:tc>
          <w:tcPr>
            <w:tcW w:w="3116" w:type="dxa"/>
          </w:tcPr>
          <w:p w:rsidR="001C08A8" w:rsidRPr="00735652" w:rsidRDefault="001C08A8" w:rsidP="00974577">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 xml:space="preserve">1.Klātienes pilnā pārbaude </w:t>
            </w:r>
          </w:p>
          <w:p w:rsidR="001C08A8" w:rsidRPr="00735652" w:rsidRDefault="001C08A8" w:rsidP="00974577">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2.Plānotā klātienes mērķa pārbaude </w:t>
            </w:r>
          </w:p>
          <w:p w:rsidR="001C08A8" w:rsidRPr="00735652" w:rsidRDefault="001C08A8" w:rsidP="00974577">
            <w:pPr>
              <w:pStyle w:val="ListParagraph"/>
              <w:spacing w:after="200" w:line="276" w:lineRule="auto"/>
              <w:ind w:left="0"/>
              <w:rPr>
                <w:rFonts w:ascii="Times New Roman" w:hAnsi="Times New Roman" w:cs="Times New Roman"/>
                <w:sz w:val="24"/>
                <w:szCs w:val="24"/>
                <w:lang w:val="lv-LV"/>
              </w:rPr>
            </w:pPr>
          </w:p>
          <w:p w:rsidR="001C08A8" w:rsidRPr="00735652" w:rsidRDefault="001C08A8" w:rsidP="005B0D90">
            <w:pPr>
              <w:pStyle w:val="ListParagraph"/>
              <w:spacing w:after="200" w:line="276" w:lineRule="auto"/>
              <w:ind w:left="0"/>
              <w:rPr>
                <w:rFonts w:ascii="Times New Roman" w:hAnsi="Times New Roman" w:cs="Times New Roman"/>
                <w:sz w:val="24"/>
                <w:szCs w:val="24"/>
                <w:lang w:val="lv-LV"/>
              </w:rPr>
            </w:pPr>
          </w:p>
        </w:tc>
        <w:tc>
          <w:tcPr>
            <w:tcW w:w="1987" w:type="dxa"/>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Klātienes pilnā pārbaude: </w:t>
            </w:r>
            <w:r w:rsidRPr="00735652">
              <w:rPr>
                <w:rFonts w:ascii="Times New Roman" w:hAnsi="Times New Roman" w:cs="Times New Roman"/>
                <w:b/>
                <w:color w:val="FF0000"/>
                <w:sz w:val="24"/>
                <w:szCs w:val="24"/>
                <w:lang w:val="lv-LV"/>
              </w:rPr>
              <w:t xml:space="preserve">3 </w:t>
            </w:r>
          </w:p>
          <w:p w:rsidR="001C08A8" w:rsidRPr="00735652" w:rsidRDefault="001C08A8" w:rsidP="006E4BBF">
            <w:pPr>
              <w:spacing w:after="200" w:line="276" w:lineRule="auto"/>
              <w:rPr>
                <w:rFonts w:ascii="Times New Roman" w:hAnsi="Times New Roman" w:cs="Times New Roman"/>
                <w:sz w:val="24"/>
                <w:szCs w:val="24"/>
                <w:lang w:val="lv-LV"/>
              </w:rPr>
            </w:pPr>
          </w:p>
        </w:tc>
        <w:tc>
          <w:tcPr>
            <w:tcW w:w="2268" w:type="dxa"/>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Klātienes pilnā pārbaude: </w:t>
            </w:r>
            <w:r w:rsidRPr="00735652">
              <w:rPr>
                <w:rFonts w:ascii="Times New Roman" w:hAnsi="Times New Roman" w:cs="Times New Roman"/>
                <w:b/>
                <w:color w:val="FF0000"/>
                <w:sz w:val="24"/>
                <w:szCs w:val="24"/>
                <w:lang w:val="lv-LV"/>
              </w:rPr>
              <w:t>4</w:t>
            </w:r>
            <w:r w:rsidRPr="00735652">
              <w:rPr>
                <w:rFonts w:ascii="Times New Roman" w:hAnsi="Times New Roman" w:cs="Times New Roman"/>
                <w:sz w:val="24"/>
                <w:szCs w:val="24"/>
                <w:lang w:val="lv-LV"/>
              </w:rPr>
              <w:t xml:space="preserve"> </w:t>
            </w:r>
          </w:p>
        </w:tc>
      </w:tr>
      <w:tr w:rsidR="00B90C9D" w:rsidRPr="00246344" w:rsidTr="008B0271">
        <w:tc>
          <w:tcPr>
            <w:tcW w:w="450" w:type="dxa"/>
            <w:tcBorders>
              <w:bottom w:val="single" w:sz="4" w:space="0" w:color="auto"/>
            </w:tcBorders>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2.</w:t>
            </w:r>
          </w:p>
        </w:tc>
        <w:tc>
          <w:tcPr>
            <w:tcW w:w="1218" w:type="dxa"/>
            <w:tcBorders>
              <w:bottom w:val="single" w:sz="4" w:space="0" w:color="auto"/>
            </w:tcBorders>
          </w:tcPr>
          <w:p w:rsidR="001C08A8" w:rsidRPr="00735652" w:rsidRDefault="005F58C0" w:rsidP="00B90C9D">
            <w:pPr>
              <w:spacing w:after="200" w:line="276" w:lineRule="auto"/>
              <w:rPr>
                <w:rFonts w:ascii="Times New Roman" w:hAnsi="Times New Roman" w:cs="Times New Roman"/>
                <w:b/>
                <w:sz w:val="24"/>
                <w:szCs w:val="24"/>
                <w:lang w:val="lv-LV"/>
              </w:rPr>
            </w:pPr>
            <w:r>
              <w:rPr>
                <w:rFonts w:ascii="Times New Roman" w:hAnsi="Times New Roman" w:cs="Times New Roman"/>
                <w:b/>
                <w:bCs/>
                <w:sz w:val="24"/>
                <w:szCs w:val="24"/>
                <w:lang w:val="lv-LV"/>
              </w:rPr>
              <w:t>Speciāla</w:t>
            </w:r>
            <w:r w:rsidRPr="00B90C9D">
              <w:rPr>
                <w:rFonts w:ascii="Times New Roman" w:hAnsi="Times New Roman" w:cs="Times New Roman"/>
                <w:b/>
                <w:bCs/>
                <w:sz w:val="24"/>
                <w:szCs w:val="24"/>
                <w:lang w:val="lv-LV"/>
              </w:rPr>
              <w:t xml:space="preserve"> </w:t>
            </w:r>
            <w:r>
              <w:rPr>
                <w:rFonts w:ascii="Times New Roman" w:hAnsi="Times New Roman" w:cs="Times New Roman"/>
                <w:b/>
                <w:bCs/>
                <w:i/>
                <w:sz w:val="24"/>
                <w:szCs w:val="24"/>
                <w:lang w:val="lv-LV"/>
              </w:rPr>
              <w:t>(</w:t>
            </w:r>
            <w:proofErr w:type="spellStart"/>
            <w:r>
              <w:rPr>
                <w:rFonts w:ascii="Times New Roman" w:hAnsi="Times New Roman" w:cs="Times New Roman"/>
                <w:b/>
                <w:bCs/>
                <w:i/>
                <w:sz w:val="24"/>
                <w:szCs w:val="24"/>
                <w:lang w:val="lv-LV"/>
              </w:rPr>
              <w:t>a</w:t>
            </w:r>
            <w:r w:rsidRPr="00B90C9D">
              <w:rPr>
                <w:rFonts w:ascii="Times New Roman" w:hAnsi="Times New Roman" w:cs="Times New Roman"/>
                <w:b/>
                <w:bCs/>
                <w:i/>
                <w:sz w:val="24"/>
                <w:szCs w:val="24"/>
                <w:lang w:val="lv-LV"/>
              </w:rPr>
              <w:t>d</w:t>
            </w:r>
            <w:proofErr w:type="spellEnd"/>
            <w:r w:rsidRPr="00B90C9D">
              <w:rPr>
                <w:rFonts w:ascii="Times New Roman" w:hAnsi="Times New Roman" w:cs="Times New Roman"/>
                <w:b/>
                <w:bCs/>
                <w:i/>
                <w:sz w:val="24"/>
                <w:szCs w:val="24"/>
                <w:lang w:val="lv-LV"/>
              </w:rPr>
              <w:t xml:space="preserve"> </w:t>
            </w:r>
            <w:proofErr w:type="spellStart"/>
            <w:r w:rsidRPr="00B90C9D">
              <w:rPr>
                <w:rFonts w:ascii="Times New Roman" w:hAnsi="Times New Roman" w:cs="Times New Roman"/>
                <w:b/>
                <w:bCs/>
                <w:i/>
                <w:sz w:val="24"/>
                <w:szCs w:val="24"/>
                <w:lang w:val="lv-LV"/>
              </w:rPr>
              <w:t>hoc</w:t>
            </w:r>
            <w:proofErr w:type="spellEnd"/>
            <w:r>
              <w:rPr>
                <w:rFonts w:ascii="Times New Roman" w:hAnsi="Times New Roman" w:cs="Times New Roman"/>
                <w:b/>
                <w:bCs/>
                <w:i/>
                <w:sz w:val="24"/>
                <w:szCs w:val="24"/>
                <w:lang w:val="lv-LV"/>
              </w:rPr>
              <w:t>)</w:t>
            </w:r>
            <w:r w:rsidR="007347BC">
              <w:rPr>
                <w:rFonts w:ascii="Times New Roman" w:hAnsi="Times New Roman" w:cs="Times New Roman"/>
                <w:b/>
                <w:bCs/>
                <w:sz w:val="24"/>
                <w:szCs w:val="24"/>
                <w:lang w:val="lv-LV"/>
              </w:rPr>
              <w:t xml:space="preserve"> klātienes pārbaude</w:t>
            </w:r>
            <w:r>
              <w:rPr>
                <w:rFonts w:ascii="Times New Roman" w:hAnsi="Times New Roman" w:cs="Times New Roman"/>
                <w:b/>
                <w:bCs/>
                <w:sz w:val="24"/>
                <w:szCs w:val="24"/>
                <w:lang w:val="lv-LV"/>
              </w:rPr>
              <w:t xml:space="preserve"> </w:t>
            </w:r>
          </w:p>
        </w:tc>
        <w:tc>
          <w:tcPr>
            <w:tcW w:w="4110" w:type="dxa"/>
            <w:tcBorders>
              <w:bottom w:val="single" w:sz="4" w:space="0" w:color="auto"/>
            </w:tcBorders>
          </w:tcPr>
          <w:p w:rsidR="001C08A8" w:rsidRPr="00735652" w:rsidRDefault="005F58C0" w:rsidP="005A1568">
            <w:pPr>
              <w:spacing w:after="20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Klātienes pārbaude, kas ir visaptveroša vai </w:t>
            </w:r>
            <w:r w:rsidR="004A10AE">
              <w:rPr>
                <w:rFonts w:ascii="Times New Roman" w:hAnsi="Times New Roman" w:cs="Times New Roman"/>
                <w:sz w:val="24"/>
                <w:szCs w:val="24"/>
                <w:lang w:val="lv-LV"/>
              </w:rPr>
              <w:t>fokusē</w:t>
            </w:r>
            <w:r w:rsidR="00B90C9D">
              <w:rPr>
                <w:rFonts w:ascii="Times New Roman" w:hAnsi="Times New Roman" w:cs="Times New Roman"/>
                <w:sz w:val="24"/>
                <w:szCs w:val="24"/>
                <w:lang w:val="lv-LV"/>
              </w:rPr>
              <w:t>ta</w:t>
            </w:r>
            <w:r w:rsidR="004A10AE">
              <w:rPr>
                <w:rFonts w:ascii="Times New Roman" w:hAnsi="Times New Roman" w:cs="Times New Roman"/>
                <w:sz w:val="24"/>
                <w:szCs w:val="24"/>
                <w:lang w:val="lv-LV"/>
              </w:rPr>
              <w:t xml:space="preserve"> uz k</w:t>
            </w:r>
            <w:r w:rsidR="0017251D">
              <w:rPr>
                <w:rFonts w:ascii="Times New Roman" w:hAnsi="Times New Roman" w:cs="Times New Roman"/>
                <w:sz w:val="24"/>
                <w:szCs w:val="24"/>
                <w:lang w:val="lv-LV"/>
              </w:rPr>
              <w:t>ādu konkrēta</w:t>
            </w:r>
            <w:r w:rsidR="004A10AE">
              <w:rPr>
                <w:rFonts w:ascii="Times New Roman" w:hAnsi="Times New Roman" w:cs="Times New Roman"/>
                <w:sz w:val="24"/>
                <w:szCs w:val="24"/>
                <w:lang w:val="lv-LV"/>
              </w:rPr>
              <w:t xml:space="preserve"> jaut</w:t>
            </w:r>
            <w:r w:rsidR="0017251D">
              <w:rPr>
                <w:rFonts w:ascii="Times New Roman" w:hAnsi="Times New Roman" w:cs="Times New Roman"/>
                <w:sz w:val="24"/>
                <w:szCs w:val="24"/>
                <w:lang w:val="lv-LV"/>
              </w:rPr>
              <w:t>ājuma izvērtēšanu</w:t>
            </w:r>
            <w:r w:rsidR="004A10AE">
              <w:rPr>
                <w:rFonts w:ascii="Times New Roman" w:hAnsi="Times New Roman" w:cs="Times New Roman"/>
                <w:sz w:val="24"/>
                <w:szCs w:val="24"/>
                <w:lang w:val="lv-LV"/>
              </w:rPr>
              <w:t xml:space="preserve"> attiecībā uz uzņēmuma politikām un procedūrām un </w:t>
            </w:r>
            <w:r w:rsidR="00B90C9D">
              <w:rPr>
                <w:rFonts w:ascii="Times New Roman" w:hAnsi="Times New Roman" w:cs="Times New Roman"/>
                <w:sz w:val="24"/>
                <w:szCs w:val="24"/>
                <w:lang w:val="lv-LV"/>
              </w:rPr>
              <w:t xml:space="preserve">šīs pārbaudes </w:t>
            </w:r>
            <w:r w:rsidR="004A10AE">
              <w:rPr>
                <w:rFonts w:ascii="Times New Roman" w:hAnsi="Times New Roman" w:cs="Times New Roman"/>
                <w:sz w:val="24"/>
                <w:szCs w:val="24"/>
                <w:lang w:val="lv-LV"/>
              </w:rPr>
              <w:t>veikšanu ir izraisījis kāds specifisks notikums, piemēram, anonīmā iekšējā ziņošana, publiski izskanējuši apgalvojumi par pārkāpumiem (piemēram, informācija par Panamas papīriem), jaunu</w:t>
            </w:r>
            <w:r w:rsidR="00B90C9D">
              <w:rPr>
                <w:rFonts w:ascii="Times New Roman" w:hAnsi="Times New Roman" w:cs="Times New Roman"/>
                <w:sz w:val="24"/>
                <w:szCs w:val="24"/>
                <w:lang w:val="lv-LV"/>
              </w:rPr>
              <w:t xml:space="preserve"> </w:t>
            </w:r>
            <w:r w:rsidR="004A10AE">
              <w:rPr>
                <w:rFonts w:ascii="Times New Roman" w:hAnsi="Times New Roman" w:cs="Times New Roman"/>
                <w:sz w:val="24"/>
                <w:szCs w:val="24"/>
                <w:lang w:val="lv-LV"/>
              </w:rPr>
              <w:t>NILL</w:t>
            </w:r>
            <w:r w:rsidR="00B90C9D">
              <w:rPr>
                <w:rFonts w:ascii="Times New Roman" w:hAnsi="Times New Roman" w:cs="Times New Roman"/>
                <w:sz w:val="24"/>
                <w:szCs w:val="24"/>
                <w:lang w:val="lv-LV"/>
              </w:rPr>
              <w:t>TF</w:t>
            </w:r>
            <w:r w:rsidR="004A10AE">
              <w:rPr>
                <w:rFonts w:ascii="Times New Roman" w:hAnsi="Times New Roman" w:cs="Times New Roman"/>
                <w:sz w:val="24"/>
                <w:szCs w:val="24"/>
                <w:lang w:val="lv-LV"/>
              </w:rPr>
              <w:t xml:space="preserve"> tipoloģiju atklāšana,</w:t>
            </w:r>
            <w:r w:rsidR="005A1568">
              <w:rPr>
                <w:rFonts w:ascii="Times New Roman" w:hAnsi="Times New Roman" w:cs="Times New Roman"/>
                <w:sz w:val="24"/>
                <w:szCs w:val="24"/>
                <w:lang w:val="lv-LV"/>
              </w:rPr>
              <w:t xml:space="preserve"> konstatēti</w:t>
            </w:r>
            <w:r w:rsidR="00B90C9D">
              <w:rPr>
                <w:rFonts w:ascii="Times New Roman" w:hAnsi="Times New Roman" w:cs="Times New Roman"/>
                <w:sz w:val="24"/>
                <w:szCs w:val="24"/>
                <w:lang w:val="lv-LV"/>
              </w:rPr>
              <w:t xml:space="preserve"> pārkāpumi </w:t>
            </w:r>
            <w:r w:rsidR="004A10AE">
              <w:rPr>
                <w:rFonts w:ascii="Times New Roman" w:hAnsi="Times New Roman" w:cs="Times New Roman"/>
                <w:sz w:val="24"/>
                <w:szCs w:val="24"/>
                <w:lang w:val="lv-LV"/>
              </w:rPr>
              <w:t>citā pārbaudē (piemēram, plašāks iekšējās kontroles sistēmas izvērtējums)</w:t>
            </w:r>
            <w:r w:rsidR="0017251D">
              <w:rPr>
                <w:rFonts w:ascii="Times New Roman" w:hAnsi="Times New Roman" w:cs="Times New Roman"/>
                <w:sz w:val="24"/>
                <w:szCs w:val="24"/>
                <w:lang w:val="lv-LV"/>
              </w:rPr>
              <w:t xml:space="preserve"> vai rezultāti, kas iegūti</w:t>
            </w:r>
            <w:r w:rsidR="004A10AE">
              <w:rPr>
                <w:rFonts w:ascii="Times New Roman" w:hAnsi="Times New Roman" w:cs="Times New Roman"/>
                <w:sz w:val="24"/>
                <w:szCs w:val="24"/>
                <w:lang w:val="lv-LV"/>
              </w:rPr>
              <w:t xml:space="preserve"> no NILLTFN anketām. </w:t>
            </w:r>
          </w:p>
        </w:tc>
        <w:tc>
          <w:tcPr>
            <w:tcW w:w="3116" w:type="dxa"/>
            <w:tcBorders>
              <w:bottom w:val="single" w:sz="4" w:space="0" w:color="auto"/>
            </w:tcBorders>
          </w:tcPr>
          <w:p w:rsidR="001C08A8" w:rsidRPr="00735652" w:rsidRDefault="001C08A8" w:rsidP="00AB3DF5">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1.Klātienes mērķa pārbaude</w:t>
            </w:r>
            <w:proofErr w:type="gramStart"/>
            <w:r w:rsidRPr="00735652">
              <w:rPr>
                <w:rFonts w:ascii="Times New Roman" w:hAnsi="Times New Roman" w:cs="Times New Roman"/>
                <w:sz w:val="24"/>
                <w:szCs w:val="24"/>
                <w:lang w:val="lv-LV"/>
              </w:rPr>
              <w:t xml:space="preserve">  </w:t>
            </w:r>
            <w:proofErr w:type="gramEnd"/>
            <w:r w:rsidRPr="00735652">
              <w:rPr>
                <w:rFonts w:ascii="Times New Roman" w:hAnsi="Times New Roman" w:cs="Times New Roman"/>
                <w:sz w:val="24"/>
                <w:szCs w:val="24"/>
                <w:lang w:val="lv-LV"/>
              </w:rPr>
              <w:t>pēc nepieciešamības, ko nosaka sekojoši iemesli:</w:t>
            </w:r>
          </w:p>
          <w:p w:rsidR="001C08A8" w:rsidRPr="00735652" w:rsidRDefault="001C08A8" w:rsidP="00AB3DF5">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citas finanšu iestādes pārbaudes ietvaros AKD iegūtā informācija</w:t>
            </w:r>
          </w:p>
          <w:p w:rsidR="001C08A8" w:rsidRPr="00735652" w:rsidRDefault="001C08A8" w:rsidP="00AB3DF5">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 publiskā informācija, </w:t>
            </w:r>
          </w:p>
          <w:p w:rsidR="001C08A8" w:rsidRPr="00735652" w:rsidRDefault="001C08A8" w:rsidP="00AB3DF5">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 - info no drošības un tiesībsargājošām iestādēm;</w:t>
            </w:r>
          </w:p>
          <w:p w:rsidR="001C08A8" w:rsidRPr="00735652" w:rsidRDefault="001C08A8" w:rsidP="00AB3DF5">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 citi ārējie pieprasījumi starptautiskās sadarbības ietvaros (caur Egmont grupu, ko nodod Kontroles dienests) </w:t>
            </w:r>
          </w:p>
          <w:p w:rsidR="001C08A8" w:rsidRPr="00735652" w:rsidRDefault="001C08A8" w:rsidP="00AB3DF5">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citi signāli par iespējamiem trūkumiem</w:t>
            </w:r>
          </w:p>
        </w:tc>
        <w:tc>
          <w:tcPr>
            <w:tcW w:w="1987" w:type="dxa"/>
            <w:tcBorders>
              <w:bottom w:val="single" w:sz="4" w:space="0" w:color="auto"/>
            </w:tcBorders>
          </w:tcPr>
          <w:p w:rsidR="001C08A8" w:rsidRPr="00735652" w:rsidRDefault="001C08A8" w:rsidP="00BE138A">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Klātienes mērķa pārbaude: </w:t>
            </w:r>
            <w:r w:rsidRPr="00735652">
              <w:rPr>
                <w:rFonts w:ascii="Times New Roman" w:hAnsi="Times New Roman" w:cs="Times New Roman"/>
                <w:b/>
                <w:color w:val="FF0000"/>
                <w:sz w:val="24"/>
                <w:szCs w:val="24"/>
                <w:lang w:val="lv-LV"/>
              </w:rPr>
              <w:t>2</w:t>
            </w:r>
          </w:p>
        </w:tc>
        <w:tc>
          <w:tcPr>
            <w:tcW w:w="2268" w:type="dxa"/>
            <w:tcBorders>
              <w:bottom w:val="single" w:sz="4" w:space="0" w:color="auto"/>
            </w:tcBorders>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Klātienes mērķa pārbaude: </w:t>
            </w:r>
            <w:r w:rsidRPr="00735652">
              <w:rPr>
                <w:rFonts w:ascii="Times New Roman" w:hAnsi="Times New Roman" w:cs="Times New Roman"/>
                <w:b/>
                <w:color w:val="FF0000"/>
                <w:sz w:val="24"/>
                <w:szCs w:val="24"/>
                <w:lang w:val="lv-LV"/>
              </w:rPr>
              <w:t>2</w:t>
            </w:r>
          </w:p>
        </w:tc>
      </w:tr>
      <w:tr w:rsidR="003E560D" w:rsidRPr="005A1568" w:rsidTr="008B0271">
        <w:tc>
          <w:tcPr>
            <w:tcW w:w="450" w:type="dxa"/>
            <w:tcBorders>
              <w:left w:val="single" w:sz="4" w:space="0" w:color="auto"/>
              <w:bottom w:val="single" w:sz="4" w:space="0" w:color="auto"/>
            </w:tcBorders>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3.</w:t>
            </w:r>
          </w:p>
        </w:tc>
        <w:tc>
          <w:tcPr>
            <w:tcW w:w="1218" w:type="dxa"/>
            <w:tcBorders>
              <w:bottom w:val="single" w:sz="4" w:space="0" w:color="auto"/>
            </w:tcBorders>
          </w:tcPr>
          <w:p w:rsidR="001C08A8" w:rsidRPr="00735652" w:rsidRDefault="00B90C9D" w:rsidP="007347BC">
            <w:pPr>
              <w:spacing w:after="200" w:line="276" w:lineRule="auto"/>
              <w:rPr>
                <w:rFonts w:ascii="Times New Roman" w:hAnsi="Times New Roman" w:cs="Times New Roman"/>
                <w:sz w:val="24"/>
                <w:szCs w:val="24"/>
                <w:lang w:val="lv-LV"/>
              </w:rPr>
            </w:pPr>
            <w:r>
              <w:rPr>
                <w:rFonts w:ascii="Times New Roman" w:hAnsi="Times New Roman" w:cs="Times New Roman"/>
                <w:b/>
                <w:bCs/>
                <w:sz w:val="24"/>
                <w:szCs w:val="24"/>
                <w:lang w:val="lv-LV"/>
              </w:rPr>
              <w:t>Plānota</w:t>
            </w:r>
            <w:r w:rsidR="007347BC">
              <w:rPr>
                <w:rFonts w:ascii="Times New Roman" w:hAnsi="Times New Roman" w:cs="Times New Roman"/>
                <w:b/>
                <w:bCs/>
                <w:sz w:val="24"/>
                <w:szCs w:val="24"/>
                <w:lang w:val="lv-LV"/>
              </w:rPr>
              <w:t xml:space="preserve"> neklātienes </w:t>
            </w:r>
            <w:r w:rsidR="007347BC">
              <w:rPr>
                <w:rFonts w:ascii="Times New Roman" w:hAnsi="Times New Roman" w:cs="Times New Roman"/>
                <w:b/>
                <w:bCs/>
                <w:sz w:val="24"/>
                <w:szCs w:val="24"/>
                <w:lang w:val="lv-LV"/>
              </w:rPr>
              <w:lastRenderedPageBreak/>
              <w:t>p</w:t>
            </w:r>
            <w:r>
              <w:rPr>
                <w:rFonts w:ascii="Times New Roman" w:hAnsi="Times New Roman" w:cs="Times New Roman"/>
                <w:b/>
                <w:bCs/>
                <w:sz w:val="24"/>
                <w:szCs w:val="24"/>
                <w:lang w:val="lv-LV"/>
              </w:rPr>
              <w:t>ārbaude</w:t>
            </w:r>
          </w:p>
        </w:tc>
        <w:tc>
          <w:tcPr>
            <w:tcW w:w="4110" w:type="dxa"/>
            <w:tcBorders>
              <w:bottom w:val="single" w:sz="4" w:space="0" w:color="auto"/>
            </w:tcBorders>
          </w:tcPr>
          <w:p w:rsidR="001C08A8" w:rsidRPr="00735652" w:rsidRDefault="007347BC" w:rsidP="005A1568">
            <w:pPr>
              <w:spacing w:after="20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Visaptveroša/pilna apjoma pārbaude neklātienē par uzņēmuma NILLTFN </w:t>
            </w:r>
            <w:r>
              <w:rPr>
                <w:rFonts w:ascii="Times New Roman" w:hAnsi="Times New Roman" w:cs="Times New Roman"/>
                <w:sz w:val="24"/>
                <w:szCs w:val="24"/>
                <w:lang w:val="lv-LV"/>
              </w:rPr>
              <w:lastRenderedPageBreak/>
              <w:t>sistēmām un kontroles pasākumiem, pamatojoties uz rakstisku politiku un procedūru un riska novērtējuma izvērtējumu.  Neklātienes pārbaudes tiek plānotas</w:t>
            </w:r>
            <w:r w:rsidR="00B90C9D">
              <w:rPr>
                <w:rFonts w:ascii="Times New Roman" w:hAnsi="Times New Roman" w:cs="Times New Roman"/>
                <w:sz w:val="24"/>
                <w:szCs w:val="24"/>
                <w:lang w:val="lv-LV"/>
              </w:rPr>
              <w:t>, pamatojoties</w:t>
            </w:r>
            <w:r>
              <w:rPr>
                <w:rFonts w:ascii="Times New Roman" w:hAnsi="Times New Roman" w:cs="Times New Roman"/>
                <w:sz w:val="24"/>
                <w:szCs w:val="24"/>
                <w:lang w:val="lv-LV"/>
              </w:rPr>
              <w:t xml:space="preserve"> uz risku balstītu pieeju</w:t>
            </w:r>
            <w:r w:rsidR="00B90C9D">
              <w:rPr>
                <w:rFonts w:ascii="Times New Roman" w:hAnsi="Times New Roman" w:cs="Times New Roman"/>
                <w:sz w:val="24"/>
                <w:szCs w:val="24"/>
                <w:lang w:val="lv-LV"/>
              </w:rPr>
              <w:t>,</w:t>
            </w:r>
            <w:r>
              <w:rPr>
                <w:rFonts w:ascii="Times New Roman" w:hAnsi="Times New Roman" w:cs="Times New Roman"/>
                <w:sz w:val="24"/>
                <w:szCs w:val="24"/>
                <w:lang w:val="lv-LV"/>
              </w:rPr>
              <w:t xml:space="preserve"> un parasti neietver politiku un procedūru ieviešanas testēšanu. </w:t>
            </w:r>
          </w:p>
        </w:tc>
        <w:tc>
          <w:tcPr>
            <w:tcW w:w="3116" w:type="dxa"/>
            <w:tcBorders>
              <w:bottom w:val="single" w:sz="4" w:space="0" w:color="auto"/>
            </w:tcBorders>
          </w:tcPr>
          <w:p w:rsidR="001C08A8" w:rsidRPr="00735652" w:rsidRDefault="001C08A8" w:rsidP="00AB3DF5">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 xml:space="preserve">1.Neklātienes pilnā normatīvās atbilstības </w:t>
            </w:r>
            <w:r w:rsidRPr="00735652">
              <w:rPr>
                <w:rFonts w:ascii="Times New Roman" w:hAnsi="Times New Roman" w:cs="Times New Roman"/>
                <w:sz w:val="24"/>
                <w:szCs w:val="24"/>
                <w:lang w:val="lv-LV"/>
              </w:rPr>
              <w:lastRenderedPageBreak/>
              <w:t>pārbaude, ko veic FKTK</w:t>
            </w:r>
          </w:p>
          <w:p w:rsidR="001C08A8" w:rsidRPr="00735652" w:rsidRDefault="001C08A8" w:rsidP="0038429B">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2.Neklātienes pārbaude, ko veic ārējais audits (regulārās pārbaudes reizi 18 mēnešos) – pēc </w:t>
            </w:r>
            <w:r w:rsidR="00E35552">
              <w:rPr>
                <w:rFonts w:ascii="Times New Roman" w:hAnsi="Times New Roman" w:cs="Times New Roman"/>
                <w:sz w:val="24"/>
                <w:szCs w:val="24"/>
                <w:lang w:val="lv-LV"/>
              </w:rPr>
              <w:t>FKTK n</w:t>
            </w:r>
            <w:r w:rsidR="00F36C20">
              <w:rPr>
                <w:rFonts w:ascii="Times New Roman" w:hAnsi="Times New Roman" w:cs="Times New Roman"/>
                <w:sz w:val="24"/>
                <w:szCs w:val="24"/>
                <w:lang w:val="lv-LV"/>
              </w:rPr>
              <w:t xml:space="preserve">oteikumu </w:t>
            </w:r>
            <w:bookmarkStart w:id="1" w:name="_GoBack"/>
            <w:bookmarkEnd w:id="1"/>
            <w:r w:rsidR="00E35552">
              <w:rPr>
                <w:rFonts w:ascii="Times New Roman" w:hAnsi="Times New Roman" w:cs="Times New Roman"/>
                <w:sz w:val="24"/>
                <w:szCs w:val="24"/>
                <w:lang w:val="lv-LV"/>
              </w:rPr>
              <w:t xml:space="preserve">Nr. </w:t>
            </w:r>
            <w:r w:rsidRPr="00735652">
              <w:rPr>
                <w:rFonts w:ascii="Times New Roman" w:hAnsi="Times New Roman" w:cs="Times New Roman"/>
                <w:sz w:val="24"/>
                <w:szCs w:val="24"/>
                <w:lang w:val="lv-LV"/>
              </w:rPr>
              <w:t>234. papildināšanas</w:t>
            </w:r>
          </w:p>
          <w:p w:rsidR="001C08A8" w:rsidRPr="00735652" w:rsidRDefault="001C08A8" w:rsidP="00AB3DF5">
            <w:pPr>
              <w:spacing w:after="200" w:line="276" w:lineRule="auto"/>
              <w:rPr>
                <w:rFonts w:ascii="Times New Roman" w:hAnsi="Times New Roman" w:cs="Times New Roman"/>
                <w:sz w:val="24"/>
                <w:szCs w:val="24"/>
                <w:lang w:val="lv-LV"/>
              </w:rPr>
            </w:pPr>
          </w:p>
        </w:tc>
        <w:tc>
          <w:tcPr>
            <w:tcW w:w="1987" w:type="dxa"/>
            <w:tcBorders>
              <w:bottom w:val="single" w:sz="4" w:space="0" w:color="auto"/>
            </w:tcBorders>
          </w:tcPr>
          <w:p w:rsidR="001C08A8" w:rsidRPr="00735652" w:rsidRDefault="001C08A8" w:rsidP="00627F94">
            <w:pPr>
              <w:spacing w:after="200" w:line="276" w:lineRule="auto"/>
              <w:rPr>
                <w:rFonts w:ascii="Times New Roman" w:hAnsi="Times New Roman" w:cs="Times New Roman"/>
                <w:b/>
                <w:sz w:val="24"/>
                <w:szCs w:val="24"/>
                <w:lang w:val="lv-LV"/>
              </w:rPr>
            </w:pPr>
            <w:r w:rsidRPr="00735652">
              <w:rPr>
                <w:rFonts w:ascii="Times New Roman" w:hAnsi="Times New Roman" w:cs="Times New Roman"/>
                <w:sz w:val="24"/>
                <w:szCs w:val="24"/>
                <w:lang w:val="lv-LV"/>
              </w:rPr>
              <w:lastRenderedPageBreak/>
              <w:t xml:space="preserve">Regulārās pārbaudes </w:t>
            </w:r>
            <w:r w:rsidRPr="00735652">
              <w:rPr>
                <w:rFonts w:ascii="Times New Roman" w:hAnsi="Times New Roman" w:cs="Times New Roman"/>
                <w:sz w:val="24"/>
                <w:szCs w:val="24"/>
                <w:lang w:val="lv-LV"/>
              </w:rPr>
              <w:lastRenderedPageBreak/>
              <w:t>uzraugot Administratīvo līgumu ietvaros noteikto korektīvo pasākumu izpildi -</w:t>
            </w:r>
            <w:r w:rsidRPr="00735652">
              <w:rPr>
                <w:rFonts w:ascii="Times New Roman" w:hAnsi="Times New Roman" w:cs="Times New Roman"/>
                <w:b/>
                <w:sz w:val="24"/>
                <w:szCs w:val="24"/>
                <w:lang w:val="lv-LV"/>
              </w:rPr>
              <w:t xml:space="preserve"> </w:t>
            </w:r>
            <w:r w:rsidRPr="00735652">
              <w:rPr>
                <w:rFonts w:ascii="Times New Roman" w:hAnsi="Times New Roman" w:cs="Times New Roman"/>
                <w:b/>
                <w:color w:val="FF0000"/>
                <w:sz w:val="24"/>
                <w:szCs w:val="24"/>
                <w:lang w:val="lv-LV"/>
              </w:rPr>
              <w:t>37</w:t>
            </w:r>
          </w:p>
          <w:p w:rsidR="001C08A8" w:rsidRPr="00735652" w:rsidRDefault="001C08A8" w:rsidP="00627F94">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t>Banku iesniegto iekšējo normatīvu</w:t>
            </w:r>
            <w:proofErr w:type="gramStart"/>
            <w:r w:rsidRPr="00735652">
              <w:rPr>
                <w:rFonts w:ascii="Times New Roman" w:hAnsi="Times New Roman" w:cs="Times New Roman"/>
                <w:sz w:val="24"/>
                <w:szCs w:val="24"/>
                <w:lang w:val="lv-LV"/>
              </w:rPr>
              <w:t xml:space="preserve">  </w:t>
            </w:r>
            <w:proofErr w:type="gramEnd"/>
            <w:r w:rsidRPr="00735652">
              <w:rPr>
                <w:rFonts w:ascii="Times New Roman" w:hAnsi="Times New Roman" w:cs="Times New Roman"/>
                <w:sz w:val="24"/>
                <w:szCs w:val="24"/>
                <w:lang w:val="lv-LV"/>
              </w:rPr>
              <w:t xml:space="preserve">atbilstības izvērtējums - </w:t>
            </w:r>
            <w:r w:rsidRPr="00735652">
              <w:rPr>
                <w:rFonts w:ascii="Times New Roman" w:hAnsi="Times New Roman" w:cs="Times New Roman"/>
                <w:b/>
                <w:color w:val="FF0000"/>
                <w:sz w:val="24"/>
                <w:szCs w:val="24"/>
                <w:lang w:val="lv-LV"/>
              </w:rPr>
              <w:t>21</w:t>
            </w:r>
          </w:p>
          <w:p w:rsidR="001C08A8" w:rsidRPr="00735652" w:rsidRDefault="001C08A8" w:rsidP="00627F94">
            <w:pPr>
              <w:spacing w:after="200" w:line="276" w:lineRule="auto"/>
              <w:rPr>
                <w:rFonts w:ascii="Times New Roman" w:hAnsi="Times New Roman" w:cs="Times New Roman"/>
                <w:b/>
                <w:sz w:val="24"/>
                <w:szCs w:val="24"/>
                <w:lang w:val="lv-LV"/>
              </w:rPr>
            </w:pPr>
          </w:p>
        </w:tc>
        <w:tc>
          <w:tcPr>
            <w:tcW w:w="2268" w:type="dxa"/>
            <w:tcBorders>
              <w:bottom w:val="single" w:sz="4" w:space="0" w:color="auto"/>
            </w:tcBorders>
          </w:tcPr>
          <w:p w:rsidR="001C08A8" w:rsidRPr="00735652" w:rsidRDefault="001C08A8" w:rsidP="00627F94">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lastRenderedPageBreak/>
              <w:t xml:space="preserve">Regulārās pārbaudes uzraugot </w:t>
            </w:r>
            <w:r w:rsidRPr="00735652">
              <w:rPr>
                <w:rFonts w:ascii="Times New Roman" w:hAnsi="Times New Roman" w:cs="Times New Roman"/>
                <w:sz w:val="24"/>
                <w:szCs w:val="24"/>
                <w:lang w:val="lv-LV"/>
              </w:rPr>
              <w:lastRenderedPageBreak/>
              <w:t>Administratīvo līgumu ietvaros noteikto korektīvo pasākumu izpildi -</w:t>
            </w:r>
            <w:r w:rsidRPr="00735652">
              <w:rPr>
                <w:rFonts w:ascii="Times New Roman" w:hAnsi="Times New Roman" w:cs="Times New Roman"/>
                <w:b/>
                <w:sz w:val="24"/>
                <w:szCs w:val="24"/>
                <w:lang w:val="lv-LV"/>
              </w:rPr>
              <w:t xml:space="preserve"> </w:t>
            </w:r>
            <w:r w:rsidRPr="00735652">
              <w:rPr>
                <w:rFonts w:ascii="Times New Roman" w:hAnsi="Times New Roman" w:cs="Times New Roman"/>
                <w:b/>
                <w:color w:val="FF0000"/>
                <w:sz w:val="24"/>
                <w:szCs w:val="24"/>
                <w:lang w:val="lv-LV"/>
              </w:rPr>
              <w:t>75</w:t>
            </w:r>
          </w:p>
          <w:p w:rsidR="001C08A8" w:rsidRPr="00735652" w:rsidRDefault="001C08A8" w:rsidP="0038429B">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t>Banku iesniegto iekšējo normatīvu</w:t>
            </w:r>
            <w:proofErr w:type="gramStart"/>
            <w:r w:rsidRPr="00735652">
              <w:rPr>
                <w:rFonts w:ascii="Times New Roman" w:hAnsi="Times New Roman" w:cs="Times New Roman"/>
                <w:sz w:val="24"/>
                <w:szCs w:val="24"/>
                <w:lang w:val="lv-LV"/>
              </w:rPr>
              <w:t xml:space="preserve">  </w:t>
            </w:r>
            <w:proofErr w:type="gramEnd"/>
            <w:r w:rsidRPr="00735652">
              <w:rPr>
                <w:rFonts w:ascii="Times New Roman" w:hAnsi="Times New Roman" w:cs="Times New Roman"/>
                <w:sz w:val="24"/>
                <w:szCs w:val="24"/>
                <w:lang w:val="lv-LV"/>
              </w:rPr>
              <w:t xml:space="preserve">atbilstības izvērtējums - </w:t>
            </w:r>
            <w:r w:rsidRPr="00735652">
              <w:rPr>
                <w:rFonts w:ascii="Times New Roman" w:hAnsi="Times New Roman" w:cs="Times New Roman"/>
                <w:b/>
                <w:color w:val="FF0000"/>
                <w:sz w:val="24"/>
                <w:szCs w:val="24"/>
                <w:lang w:val="lv-LV"/>
              </w:rPr>
              <w:t>91</w:t>
            </w:r>
          </w:p>
          <w:p w:rsidR="001C08A8" w:rsidRPr="00735652" w:rsidRDefault="001C08A8" w:rsidP="00627F94">
            <w:pPr>
              <w:spacing w:after="200" w:line="276" w:lineRule="auto"/>
              <w:rPr>
                <w:rFonts w:ascii="Times New Roman" w:hAnsi="Times New Roman" w:cs="Times New Roman"/>
                <w:b/>
                <w:sz w:val="24"/>
                <w:szCs w:val="24"/>
                <w:lang w:val="lv-LV"/>
              </w:rPr>
            </w:pPr>
          </w:p>
        </w:tc>
      </w:tr>
      <w:tr w:rsidR="00B90C9D" w:rsidRPr="00246344" w:rsidTr="008B0271">
        <w:tc>
          <w:tcPr>
            <w:tcW w:w="450" w:type="dxa"/>
            <w:tcBorders>
              <w:top w:val="single" w:sz="4" w:space="0" w:color="auto"/>
            </w:tcBorders>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4.</w:t>
            </w:r>
          </w:p>
        </w:tc>
        <w:tc>
          <w:tcPr>
            <w:tcW w:w="1218" w:type="dxa"/>
            <w:tcBorders>
              <w:top w:val="single" w:sz="4" w:space="0" w:color="auto"/>
            </w:tcBorders>
          </w:tcPr>
          <w:p w:rsidR="001C08A8" w:rsidRPr="00735652" w:rsidRDefault="007347BC" w:rsidP="007347BC">
            <w:pPr>
              <w:spacing w:after="200" w:line="276" w:lineRule="auto"/>
              <w:rPr>
                <w:rFonts w:ascii="Times New Roman" w:hAnsi="Times New Roman" w:cs="Times New Roman"/>
                <w:sz w:val="24"/>
                <w:szCs w:val="24"/>
                <w:lang w:val="lv-LV"/>
              </w:rPr>
            </w:pPr>
            <w:r>
              <w:rPr>
                <w:rFonts w:ascii="Times New Roman" w:hAnsi="Times New Roman" w:cs="Times New Roman"/>
                <w:b/>
                <w:bCs/>
                <w:sz w:val="24"/>
                <w:szCs w:val="24"/>
                <w:lang w:val="lv-LV"/>
              </w:rPr>
              <w:t>Speciālā (</w:t>
            </w:r>
            <w:proofErr w:type="spellStart"/>
            <w:r>
              <w:rPr>
                <w:rFonts w:ascii="Times New Roman" w:hAnsi="Times New Roman" w:cs="Times New Roman"/>
                <w:b/>
                <w:bCs/>
                <w:sz w:val="24"/>
                <w:szCs w:val="24"/>
                <w:lang w:val="lv-LV"/>
              </w:rPr>
              <w:t>ad</w:t>
            </w:r>
            <w:proofErr w:type="spellEnd"/>
            <w:r>
              <w:rPr>
                <w:rFonts w:ascii="Times New Roman" w:hAnsi="Times New Roman" w:cs="Times New Roman"/>
                <w:b/>
                <w:bCs/>
                <w:sz w:val="24"/>
                <w:szCs w:val="24"/>
                <w:lang w:val="lv-LV"/>
              </w:rPr>
              <w:t xml:space="preserve"> </w:t>
            </w:r>
            <w:proofErr w:type="spellStart"/>
            <w:r>
              <w:rPr>
                <w:rFonts w:ascii="Times New Roman" w:hAnsi="Times New Roman" w:cs="Times New Roman"/>
                <w:b/>
                <w:bCs/>
                <w:sz w:val="24"/>
                <w:szCs w:val="24"/>
                <w:lang w:val="lv-LV"/>
              </w:rPr>
              <w:t>hoc</w:t>
            </w:r>
            <w:proofErr w:type="spellEnd"/>
            <w:r>
              <w:rPr>
                <w:rFonts w:ascii="Times New Roman" w:hAnsi="Times New Roman" w:cs="Times New Roman"/>
                <w:b/>
                <w:bCs/>
                <w:sz w:val="24"/>
                <w:szCs w:val="24"/>
                <w:lang w:val="lv-LV"/>
              </w:rPr>
              <w:t xml:space="preserve">) neklātienes pārbaude </w:t>
            </w:r>
          </w:p>
        </w:tc>
        <w:tc>
          <w:tcPr>
            <w:tcW w:w="4110" w:type="dxa"/>
            <w:tcBorders>
              <w:top w:val="single" w:sz="4" w:space="0" w:color="auto"/>
            </w:tcBorders>
          </w:tcPr>
          <w:p w:rsidR="001C08A8" w:rsidRPr="00735652" w:rsidRDefault="007347BC" w:rsidP="005A1568">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Neklātienes pārbaude, </w:t>
            </w:r>
            <w:r w:rsidR="00B90C9D">
              <w:rPr>
                <w:rFonts w:ascii="Times New Roman" w:hAnsi="Times New Roman" w:cs="Times New Roman"/>
                <w:sz w:val="24"/>
                <w:szCs w:val="24"/>
                <w:lang w:val="lv-LV"/>
              </w:rPr>
              <w:t>kas ir visaptveroša vai fokusēta uz kād</w:t>
            </w:r>
            <w:r w:rsidR="0017251D">
              <w:rPr>
                <w:rFonts w:ascii="Times New Roman" w:hAnsi="Times New Roman" w:cs="Times New Roman"/>
                <w:sz w:val="24"/>
                <w:szCs w:val="24"/>
                <w:lang w:val="lv-LV"/>
              </w:rPr>
              <w:t>a konkrēta</w:t>
            </w:r>
            <w:r w:rsidR="00B90C9D">
              <w:rPr>
                <w:rFonts w:ascii="Times New Roman" w:hAnsi="Times New Roman" w:cs="Times New Roman"/>
                <w:sz w:val="24"/>
                <w:szCs w:val="24"/>
                <w:lang w:val="lv-LV"/>
              </w:rPr>
              <w:t xml:space="preserve"> jaut</w:t>
            </w:r>
            <w:r w:rsidR="0017251D">
              <w:rPr>
                <w:rFonts w:ascii="Times New Roman" w:hAnsi="Times New Roman" w:cs="Times New Roman"/>
                <w:sz w:val="24"/>
                <w:szCs w:val="24"/>
                <w:lang w:val="lv-LV"/>
              </w:rPr>
              <w:t>ājuma izvērtēšanu</w:t>
            </w:r>
            <w:r w:rsidR="00B90C9D">
              <w:rPr>
                <w:rFonts w:ascii="Times New Roman" w:hAnsi="Times New Roman" w:cs="Times New Roman"/>
                <w:sz w:val="24"/>
                <w:szCs w:val="24"/>
                <w:lang w:val="lv-LV"/>
              </w:rPr>
              <w:t xml:space="preserve"> attiecībā uz uzņēmuma politikām un procedūrām un šīs pārbaudes veikšanu ir izraisījis kāds specifisks notikums, piemēram, anonīmā iekšējā ziņošana, publiski izskanējuši apgalvojumi par pārkāpumiem (piemēram, informācija par Panamas papīriem), jaunu NILLTF t</w:t>
            </w:r>
            <w:r w:rsidR="005A1568">
              <w:rPr>
                <w:rFonts w:ascii="Times New Roman" w:hAnsi="Times New Roman" w:cs="Times New Roman"/>
                <w:sz w:val="24"/>
                <w:szCs w:val="24"/>
                <w:lang w:val="lv-LV"/>
              </w:rPr>
              <w:t>ipoloģiju atklāšana, konstatēti</w:t>
            </w:r>
            <w:r w:rsidR="00B90C9D">
              <w:rPr>
                <w:rFonts w:ascii="Times New Roman" w:hAnsi="Times New Roman" w:cs="Times New Roman"/>
                <w:sz w:val="24"/>
                <w:szCs w:val="24"/>
                <w:lang w:val="lv-LV"/>
              </w:rPr>
              <w:t xml:space="preserve"> pārkāpumi citā pārbaudē (piemēram, plašāks iekšējās kontroles sistēmas </w:t>
            </w:r>
            <w:r w:rsidR="00B90C9D">
              <w:rPr>
                <w:rFonts w:ascii="Times New Roman" w:hAnsi="Times New Roman" w:cs="Times New Roman"/>
                <w:sz w:val="24"/>
                <w:szCs w:val="24"/>
                <w:lang w:val="lv-LV"/>
              </w:rPr>
              <w:lastRenderedPageBreak/>
              <w:t>izvērtējums) vai rezultāti, kas iegūt</w:t>
            </w:r>
            <w:r w:rsidR="0017251D">
              <w:rPr>
                <w:rFonts w:ascii="Times New Roman" w:hAnsi="Times New Roman" w:cs="Times New Roman"/>
                <w:sz w:val="24"/>
                <w:szCs w:val="24"/>
                <w:lang w:val="lv-LV"/>
              </w:rPr>
              <w:t>i</w:t>
            </w:r>
            <w:r w:rsidR="00B90C9D">
              <w:rPr>
                <w:rFonts w:ascii="Times New Roman" w:hAnsi="Times New Roman" w:cs="Times New Roman"/>
                <w:sz w:val="24"/>
                <w:szCs w:val="24"/>
                <w:lang w:val="lv-LV"/>
              </w:rPr>
              <w:t xml:space="preserve"> no NILLTFN anketām. </w:t>
            </w:r>
            <w:r>
              <w:rPr>
                <w:rFonts w:ascii="Times New Roman" w:hAnsi="Times New Roman" w:cs="Times New Roman"/>
                <w:sz w:val="24"/>
                <w:szCs w:val="24"/>
                <w:lang w:val="lv-LV"/>
              </w:rPr>
              <w:t xml:space="preserve"> </w:t>
            </w:r>
          </w:p>
        </w:tc>
        <w:tc>
          <w:tcPr>
            <w:tcW w:w="3116" w:type="dxa"/>
            <w:tcBorders>
              <w:top w:val="single" w:sz="4" w:space="0" w:color="auto"/>
            </w:tcBorders>
          </w:tcPr>
          <w:p w:rsidR="001C08A8" w:rsidRPr="00735652" w:rsidRDefault="001C08A8" w:rsidP="0038429B">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1. Neklātienes mērķa pārbaude, ko veic FKTK, un, ko nosaka sekojoši iemesli:</w:t>
            </w:r>
          </w:p>
          <w:p w:rsidR="001C08A8" w:rsidRPr="00735652" w:rsidRDefault="001C08A8" w:rsidP="0038429B">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citas finanšu iestādes pārbaudes ietvaros AKD iegūtā informācija</w:t>
            </w:r>
          </w:p>
          <w:p w:rsidR="001C08A8" w:rsidRPr="00735652" w:rsidRDefault="001C08A8" w:rsidP="0038429B">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 publiskā informācija, </w:t>
            </w:r>
          </w:p>
          <w:p w:rsidR="001C08A8" w:rsidRPr="00735652" w:rsidRDefault="001C08A8" w:rsidP="0038429B">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 - info no drošības un tiesībsargājošām</w:t>
            </w:r>
            <w:proofErr w:type="gramStart"/>
            <w:r w:rsidRPr="00735652">
              <w:rPr>
                <w:rFonts w:ascii="Times New Roman" w:hAnsi="Times New Roman" w:cs="Times New Roman"/>
                <w:sz w:val="24"/>
                <w:szCs w:val="24"/>
                <w:lang w:val="lv-LV"/>
              </w:rPr>
              <w:t xml:space="preserve">  </w:t>
            </w:r>
            <w:proofErr w:type="gramEnd"/>
            <w:r w:rsidRPr="00735652">
              <w:rPr>
                <w:rFonts w:ascii="Times New Roman" w:hAnsi="Times New Roman" w:cs="Times New Roman"/>
                <w:sz w:val="24"/>
                <w:szCs w:val="24"/>
                <w:lang w:val="lv-LV"/>
              </w:rPr>
              <w:t>iestādēm;</w:t>
            </w:r>
          </w:p>
          <w:p w:rsidR="001C08A8" w:rsidRPr="00735652" w:rsidRDefault="001C08A8" w:rsidP="0038429B">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 citi ārējie pieprasījumi </w:t>
            </w:r>
            <w:r w:rsidRPr="00735652">
              <w:rPr>
                <w:rFonts w:ascii="Times New Roman" w:hAnsi="Times New Roman" w:cs="Times New Roman"/>
                <w:sz w:val="24"/>
                <w:szCs w:val="24"/>
                <w:lang w:val="lv-LV"/>
              </w:rPr>
              <w:lastRenderedPageBreak/>
              <w:t xml:space="preserve">starptautiskās sadarbības ietvaros (caur Egmont grupu, ko nodod Kontroles dienests) </w:t>
            </w:r>
          </w:p>
          <w:p w:rsidR="001C08A8" w:rsidRPr="00735652" w:rsidRDefault="001C08A8" w:rsidP="0038429B">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banku iesniegtie pašnovērtējuma anketu dati</w:t>
            </w:r>
          </w:p>
          <w:p w:rsidR="001C08A8" w:rsidRPr="00735652" w:rsidRDefault="001C08A8" w:rsidP="0038429B">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 citi signāli par iespējamiem trūkumiem</w:t>
            </w:r>
          </w:p>
          <w:p w:rsidR="001C08A8" w:rsidRPr="00735652" w:rsidRDefault="001C08A8" w:rsidP="0021089E">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2. Neklātienes mērķa pārbaude, ko veic ārējais </w:t>
            </w:r>
            <w:r w:rsidR="0021089E" w:rsidRPr="00735652">
              <w:rPr>
                <w:rFonts w:ascii="Times New Roman" w:hAnsi="Times New Roman" w:cs="Times New Roman"/>
                <w:sz w:val="24"/>
                <w:szCs w:val="24"/>
                <w:lang w:val="lv-LV"/>
              </w:rPr>
              <w:t xml:space="preserve">audits </w:t>
            </w:r>
          </w:p>
        </w:tc>
        <w:tc>
          <w:tcPr>
            <w:tcW w:w="1987" w:type="dxa"/>
            <w:tcBorders>
              <w:top w:val="single" w:sz="4" w:space="0" w:color="auto"/>
            </w:tcBorders>
          </w:tcPr>
          <w:p w:rsidR="001C08A8" w:rsidRPr="00735652" w:rsidRDefault="001C08A8" w:rsidP="00627F94">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lastRenderedPageBreak/>
              <w:t xml:space="preserve">Amatpersonu atbilstība: </w:t>
            </w:r>
            <w:r w:rsidRPr="00735652">
              <w:rPr>
                <w:rFonts w:ascii="Times New Roman" w:hAnsi="Times New Roman" w:cs="Times New Roman"/>
                <w:b/>
                <w:color w:val="FF0000"/>
                <w:sz w:val="24"/>
                <w:szCs w:val="24"/>
                <w:lang w:val="lv-LV"/>
              </w:rPr>
              <w:t>2</w:t>
            </w:r>
          </w:p>
          <w:p w:rsidR="001C08A8" w:rsidRPr="00735652" w:rsidRDefault="001C08A8" w:rsidP="00627F94">
            <w:pPr>
              <w:spacing w:after="200" w:line="276" w:lineRule="auto"/>
              <w:rPr>
                <w:rFonts w:ascii="Times New Roman" w:hAnsi="Times New Roman" w:cs="Times New Roman"/>
                <w:b/>
                <w:color w:val="FF0000"/>
                <w:sz w:val="24"/>
                <w:szCs w:val="24"/>
                <w:lang w:val="lv-LV"/>
              </w:rPr>
            </w:pPr>
          </w:p>
          <w:p w:rsidR="001C08A8" w:rsidRPr="00735652" w:rsidRDefault="001C08A8" w:rsidP="00627F94">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t>Inovāciju</w:t>
            </w:r>
            <w:proofErr w:type="gramStart"/>
            <w:r w:rsidRPr="00735652">
              <w:rPr>
                <w:rFonts w:ascii="Times New Roman" w:hAnsi="Times New Roman" w:cs="Times New Roman"/>
                <w:sz w:val="24"/>
                <w:szCs w:val="24"/>
                <w:lang w:val="lv-LV"/>
              </w:rPr>
              <w:t xml:space="preserve">  </w:t>
            </w:r>
            <w:proofErr w:type="gramEnd"/>
            <w:r w:rsidRPr="00735652">
              <w:rPr>
                <w:rFonts w:ascii="Times New Roman" w:hAnsi="Times New Roman" w:cs="Times New Roman"/>
                <w:sz w:val="24"/>
                <w:szCs w:val="24"/>
                <w:lang w:val="lv-LV"/>
              </w:rPr>
              <w:t xml:space="preserve">izvērtējums:  </w:t>
            </w:r>
            <w:r w:rsidRPr="00735652">
              <w:rPr>
                <w:rFonts w:ascii="Times New Roman" w:hAnsi="Times New Roman" w:cs="Times New Roman"/>
                <w:b/>
                <w:color w:val="FF0000"/>
                <w:sz w:val="24"/>
                <w:szCs w:val="24"/>
                <w:lang w:val="lv-LV"/>
              </w:rPr>
              <w:t>5</w:t>
            </w:r>
          </w:p>
          <w:p w:rsidR="001C08A8" w:rsidRPr="00735652" w:rsidRDefault="001C08A8" w:rsidP="00627F94">
            <w:pPr>
              <w:spacing w:after="200" w:line="276" w:lineRule="auto"/>
              <w:rPr>
                <w:rFonts w:ascii="Times New Roman" w:hAnsi="Times New Roman" w:cs="Times New Roman"/>
                <w:b/>
                <w:color w:val="FF0000"/>
                <w:sz w:val="24"/>
                <w:szCs w:val="24"/>
                <w:lang w:val="lv-LV"/>
              </w:rPr>
            </w:pPr>
          </w:p>
          <w:p w:rsidR="001C08A8" w:rsidRPr="00735652" w:rsidRDefault="001C08A8" w:rsidP="008F11A0">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Neklātienes mērķa pārbaude, </w:t>
            </w:r>
            <w:r w:rsidRPr="00735652">
              <w:rPr>
                <w:rFonts w:ascii="Times New Roman" w:hAnsi="Times New Roman" w:cs="Times New Roman"/>
                <w:sz w:val="24"/>
                <w:szCs w:val="24"/>
                <w:lang w:val="lv-LV"/>
              </w:rPr>
              <w:lastRenderedPageBreak/>
              <w:t xml:space="preserve">ko veic FKTK: </w:t>
            </w:r>
            <w:r w:rsidRPr="00735652">
              <w:rPr>
                <w:rFonts w:ascii="Times New Roman" w:hAnsi="Times New Roman" w:cs="Times New Roman"/>
                <w:b/>
                <w:color w:val="FF0000"/>
                <w:sz w:val="24"/>
                <w:szCs w:val="24"/>
                <w:lang w:val="lv-LV"/>
              </w:rPr>
              <w:t>8</w:t>
            </w:r>
          </w:p>
          <w:p w:rsidR="001C08A8" w:rsidRPr="00735652" w:rsidRDefault="001C08A8" w:rsidP="00627F94">
            <w:pPr>
              <w:spacing w:after="200" w:line="276" w:lineRule="auto"/>
              <w:rPr>
                <w:rFonts w:ascii="Times New Roman" w:hAnsi="Times New Roman" w:cs="Times New Roman"/>
                <w:b/>
                <w:color w:val="FF0000"/>
                <w:sz w:val="24"/>
                <w:szCs w:val="24"/>
                <w:lang w:val="lv-LV"/>
              </w:rPr>
            </w:pPr>
          </w:p>
          <w:p w:rsidR="001C08A8" w:rsidRPr="00735652" w:rsidRDefault="001C08A8" w:rsidP="00627F94">
            <w:pPr>
              <w:spacing w:after="200" w:line="276" w:lineRule="auto"/>
              <w:rPr>
                <w:rFonts w:ascii="Times New Roman" w:hAnsi="Times New Roman" w:cs="Times New Roman"/>
                <w:b/>
                <w:color w:val="FF0000"/>
                <w:sz w:val="24"/>
                <w:szCs w:val="24"/>
                <w:lang w:val="lv-LV"/>
              </w:rPr>
            </w:pPr>
          </w:p>
        </w:tc>
        <w:tc>
          <w:tcPr>
            <w:tcW w:w="2268" w:type="dxa"/>
            <w:tcBorders>
              <w:top w:val="single" w:sz="4" w:space="0" w:color="auto"/>
            </w:tcBorders>
          </w:tcPr>
          <w:p w:rsidR="001C08A8" w:rsidRPr="00735652" w:rsidRDefault="001C08A8" w:rsidP="0016758F">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lastRenderedPageBreak/>
              <w:t xml:space="preserve">Amatpersonu atbilstība: </w:t>
            </w:r>
            <w:r w:rsidRPr="00735652">
              <w:rPr>
                <w:rFonts w:ascii="Times New Roman" w:hAnsi="Times New Roman" w:cs="Times New Roman"/>
                <w:b/>
                <w:color w:val="FF0000"/>
                <w:sz w:val="24"/>
                <w:szCs w:val="24"/>
                <w:lang w:val="lv-LV"/>
              </w:rPr>
              <w:t>29</w:t>
            </w:r>
          </w:p>
          <w:p w:rsidR="001C08A8" w:rsidRPr="00735652" w:rsidRDefault="001C08A8" w:rsidP="0016758F">
            <w:pPr>
              <w:spacing w:after="200" w:line="276" w:lineRule="auto"/>
              <w:rPr>
                <w:rFonts w:ascii="Times New Roman" w:hAnsi="Times New Roman" w:cs="Times New Roman"/>
                <w:b/>
                <w:color w:val="FF0000"/>
                <w:sz w:val="24"/>
                <w:szCs w:val="24"/>
                <w:lang w:val="lv-LV"/>
              </w:rPr>
            </w:pPr>
          </w:p>
          <w:p w:rsidR="001C08A8" w:rsidRPr="00735652" w:rsidRDefault="001C08A8" w:rsidP="00FC17AC">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t>Inovāciju izvērtējums:</w:t>
            </w:r>
            <w:proofErr w:type="gramStart"/>
            <w:r w:rsidRPr="00735652">
              <w:rPr>
                <w:rFonts w:ascii="Times New Roman" w:hAnsi="Times New Roman" w:cs="Times New Roman"/>
                <w:sz w:val="24"/>
                <w:szCs w:val="24"/>
                <w:lang w:val="lv-LV"/>
              </w:rPr>
              <w:t xml:space="preserve">  </w:t>
            </w:r>
            <w:proofErr w:type="gramEnd"/>
            <w:r w:rsidRPr="00735652">
              <w:rPr>
                <w:rFonts w:ascii="Times New Roman" w:hAnsi="Times New Roman" w:cs="Times New Roman"/>
                <w:b/>
                <w:color w:val="FF0000"/>
                <w:sz w:val="24"/>
                <w:szCs w:val="24"/>
                <w:lang w:val="lv-LV"/>
              </w:rPr>
              <w:t>11</w:t>
            </w:r>
          </w:p>
          <w:p w:rsidR="001C08A8" w:rsidRPr="00735652" w:rsidRDefault="001C08A8" w:rsidP="008F11A0">
            <w:pPr>
              <w:pStyle w:val="ListParagraph"/>
              <w:spacing w:after="200" w:line="276" w:lineRule="auto"/>
              <w:ind w:left="0"/>
              <w:rPr>
                <w:rFonts w:ascii="Times New Roman" w:hAnsi="Times New Roman" w:cs="Times New Roman"/>
                <w:sz w:val="24"/>
                <w:szCs w:val="24"/>
                <w:lang w:val="lv-LV"/>
              </w:rPr>
            </w:pPr>
          </w:p>
          <w:p w:rsidR="001C08A8" w:rsidRPr="00735652" w:rsidRDefault="001C08A8" w:rsidP="008F11A0">
            <w:pPr>
              <w:pStyle w:val="ListParagraph"/>
              <w:spacing w:after="200" w:line="276" w:lineRule="auto"/>
              <w:ind w:left="0"/>
              <w:rPr>
                <w:rFonts w:ascii="Times New Roman" w:hAnsi="Times New Roman" w:cs="Times New Roman"/>
                <w:sz w:val="24"/>
                <w:szCs w:val="24"/>
                <w:lang w:val="lv-LV"/>
              </w:rPr>
            </w:pPr>
            <w:r w:rsidRPr="00735652">
              <w:rPr>
                <w:rFonts w:ascii="Times New Roman" w:hAnsi="Times New Roman" w:cs="Times New Roman"/>
                <w:sz w:val="24"/>
                <w:szCs w:val="24"/>
                <w:lang w:val="lv-LV"/>
              </w:rPr>
              <w:t xml:space="preserve">Neklātienes mērķa pārbaude, ko veic </w:t>
            </w:r>
            <w:r w:rsidRPr="00735652">
              <w:rPr>
                <w:rFonts w:ascii="Times New Roman" w:hAnsi="Times New Roman" w:cs="Times New Roman"/>
                <w:sz w:val="24"/>
                <w:szCs w:val="24"/>
                <w:lang w:val="lv-LV"/>
              </w:rPr>
              <w:lastRenderedPageBreak/>
              <w:t xml:space="preserve">FKTK: </w:t>
            </w:r>
            <w:r w:rsidRPr="00735652">
              <w:rPr>
                <w:rFonts w:ascii="Times New Roman" w:hAnsi="Times New Roman" w:cs="Times New Roman"/>
                <w:b/>
                <w:color w:val="FF0000"/>
                <w:sz w:val="24"/>
                <w:szCs w:val="24"/>
                <w:lang w:val="lv-LV"/>
              </w:rPr>
              <w:t>6</w:t>
            </w:r>
          </w:p>
          <w:p w:rsidR="001C08A8" w:rsidRPr="00735652" w:rsidRDefault="001C08A8" w:rsidP="00FC17AC">
            <w:pPr>
              <w:spacing w:after="200" w:line="276" w:lineRule="auto"/>
              <w:rPr>
                <w:rFonts w:ascii="Times New Roman" w:hAnsi="Times New Roman" w:cs="Times New Roman"/>
                <w:b/>
                <w:color w:val="FF0000"/>
                <w:sz w:val="24"/>
                <w:szCs w:val="24"/>
                <w:lang w:val="lv-LV"/>
              </w:rPr>
            </w:pPr>
          </w:p>
          <w:p w:rsidR="001C08A8" w:rsidRPr="00735652" w:rsidRDefault="001C08A8" w:rsidP="00FC17AC">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t xml:space="preserve">Neklātienes mērķa pārbaude, ko veic ārējais audits - </w:t>
            </w:r>
            <w:r w:rsidRPr="00735652">
              <w:rPr>
                <w:rFonts w:ascii="Times New Roman" w:hAnsi="Times New Roman" w:cs="Times New Roman"/>
                <w:b/>
                <w:color w:val="FF0000"/>
                <w:sz w:val="24"/>
                <w:szCs w:val="24"/>
                <w:lang w:val="lv-LV"/>
              </w:rPr>
              <w:t>1</w:t>
            </w:r>
          </w:p>
        </w:tc>
      </w:tr>
      <w:tr w:rsidR="00B90C9D" w:rsidRPr="00246344" w:rsidTr="008B0271">
        <w:tc>
          <w:tcPr>
            <w:tcW w:w="450" w:type="dxa"/>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5.</w:t>
            </w:r>
          </w:p>
        </w:tc>
        <w:tc>
          <w:tcPr>
            <w:tcW w:w="1218" w:type="dxa"/>
          </w:tcPr>
          <w:p w:rsidR="001C08A8" w:rsidRPr="00735652" w:rsidRDefault="007347BC" w:rsidP="007347BC">
            <w:pPr>
              <w:spacing w:after="200" w:line="276" w:lineRule="auto"/>
              <w:rPr>
                <w:rFonts w:ascii="Times New Roman" w:hAnsi="Times New Roman" w:cs="Times New Roman"/>
                <w:sz w:val="24"/>
                <w:szCs w:val="24"/>
                <w:lang w:val="lv-LV"/>
              </w:rPr>
            </w:pPr>
            <w:r>
              <w:rPr>
                <w:rFonts w:ascii="Times New Roman" w:hAnsi="Times New Roman" w:cs="Times New Roman"/>
                <w:b/>
                <w:bCs/>
                <w:sz w:val="24"/>
                <w:szCs w:val="24"/>
                <w:lang w:val="lv-LV"/>
              </w:rPr>
              <w:t xml:space="preserve">Pieprasījumi NILLTFN jomā </w:t>
            </w:r>
          </w:p>
        </w:tc>
        <w:tc>
          <w:tcPr>
            <w:tcW w:w="4110" w:type="dxa"/>
          </w:tcPr>
          <w:p w:rsidR="001C08A8" w:rsidRPr="00735652" w:rsidRDefault="007347BC" w:rsidP="005A1568">
            <w:pPr>
              <w:spacing w:after="20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Regulāri vai speciāli kvantitatīvo datu pieprasījumi uzņēmumiem saistībā ar galvenajiem NILLTF riska indikatoriem.</w:t>
            </w:r>
            <w:r w:rsidR="003E560D">
              <w:rPr>
                <w:rFonts w:ascii="Times New Roman" w:hAnsi="Times New Roman" w:cs="Times New Roman"/>
                <w:sz w:val="24"/>
                <w:szCs w:val="24"/>
                <w:lang w:val="lv-LV"/>
              </w:rPr>
              <w:t xml:space="preserve"> </w:t>
            </w:r>
            <w:r w:rsidR="003E560D" w:rsidRPr="00B90C9D">
              <w:rPr>
                <w:rFonts w:ascii="Times New Roman" w:hAnsi="Times New Roman" w:cs="Times New Roman"/>
                <w:sz w:val="24"/>
                <w:szCs w:val="24"/>
                <w:lang w:val="lv-LV"/>
              </w:rPr>
              <w:t>Pieprasījumi NILLTFN jomā</w:t>
            </w:r>
            <w:r w:rsidR="001C08A8" w:rsidRPr="00735652">
              <w:rPr>
                <w:rFonts w:ascii="Times New Roman" w:hAnsi="Times New Roman" w:cs="Times New Roman"/>
                <w:sz w:val="24"/>
                <w:szCs w:val="24"/>
                <w:lang w:val="lv-LV"/>
              </w:rPr>
              <w:t xml:space="preserve"> </w:t>
            </w:r>
            <w:r w:rsidR="003E560D">
              <w:rPr>
                <w:rFonts w:ascii="Times New Roman" w:hAnsi="Times New Roman" w:cs="Times New Roman"/>
                <w:sz w:val="24"/>
                <w:szCs w:val="24"/>
                <w:lang w:val="lv-LV"/>
              </w:rPr>
              <w:t xml:space="preserve">atšķiras no klātienes pārbaudēm ar to, ka tie bieži ir automatizēti un nav visaptveroši. Pieprasījumu mērķis ir palīdzēt uzraugam iegūt labāku izpratni </w:t>
            </w:r>
            <w:r w:rsidR="0017251D">
              <w:rPr>
                <w:rFonts w:ascii="Times New Roman" w:hAnsi="Times New Roman" w:cs="Times New Roman"/>
                <w:sz w:val="24"/>
                <w:szCs w:val="24"/>
                <w:lang w:val="lv-LV"/>
              </w:rPr>
              <w:t xml:space="preserve">par sektoram piemītošajiem </w:t>
            </w:r>
            <w:r w:rsidR="003E560D">
              <w:rPr>
                <w:rFonts w:ascii="Times New Roman" w:hAnsi="Times New Roman" w:cs="Times New Roman"/>
                <w:sz w:val="24"/>
                <w:szCs w:val="24"/>
                <w:lang w:val="lv-LV"/>
              </w:rPr>
              <w:t>NILLTF riskiem, ne</w:t>
            </w:r>
            <w:r w:rsidR="0017251D">
              <w:rPr>
                <w:rFonts w:ascii="Times New Roman" w:hAnsi="Times New Roman" w:cs="Times New Roman"/>
                <w:sz w:val="24"/>
                <w:szCs w:val="24"/>
                <w:lang w:val="lv-LV"/>
              </w:rPr>
              <w:t>v</w:t>
            </w:r>
            <w:r w:rsidR="003E560D">
              <w:rPr>
                <w:rFonts w:ascii="Times New Roman" w:hAnsi="Times New Roman" w:cs="Times New Roman"/>
                <w:sz w:val="24"/>
                <w:szCs w:val="24"/>
                <w:lang w:val="lv-LV"/>
              </w:rPr>
              <w:t xml:space="preserve">is lai veiktu </w:t>
            </w:r>
            <w:r w:rsidR="005A1568">
              <w:rPr>
                <w:rFonts w:ascii="Times New Roman" w:hAnsi="Times New Roman" w:cs="Times New Roman"/>
                <w:sz w:val="24"/>
                <w:szCs w:val="24"/>
                <w:lang w:val="lv-LV"/>
              </w:rPr>
              <w:t xml:space="preserve">konkrēta </w:t>
            </w:r>
            <w:r w:rsidR="003E560D">
              <w:rPr>
                <w:rFonts w:ascii="Times New Roman" w:hAnsi="Times New Roman" w:cs="Times New Roman"/>
                <w:sz w:val="24"/>
                <w:szCs w:val="24"/>
                <w:lang w:val="lv-LV"/>
              </w:rPr>
              <w:t xml:space="preserve">uzņēmuma NILLTFN sistēmu un </w:t>
            </w:r>
            <w:r w:rsidR="003E560D">
              <w:rPr>
                <w:rFonts w:ascii="Times New Roman" w:hAnsi="Times New Roman" w:cs="Times New Roman"/>
                <w:sz w:val="24"/>
                <w:szCs w:val="24"/>
                <w:lang w:val="lv-LV"/>
              </w:rPr>
              <w:lastRenderedPageBreak/>
              <w:t>kontro</w:t>
            </w:r>
            <w:r w:rsidR="0017251D">
              <w:rPr>
                <w:rFonts w:ascii="Times New Roman" w:hAnsi="Times New Roman" w:cs="Times New Roman"/>
                <w:sz w:val="24"/>
                <w:szCs w:val="24"/>
                <w:lang w:val="lv-LV"/>
              </w:rPr>
              <w:t>les</w:t>
            </w:r>
            <w:r w:rsidR="003E560D">
              <w:rPr>
                <w:rFonts w:ascii="Times New Roman" w:hAnsi="Times New Roman" w:cs="Times New Roman"/>
                <w:sz w:val="24"/>
                <w:szCs w:val="24"/>
                <w:lang w:val="lv-LV"/>
              </w:rPr>
              <w:t xml:space="preserve"> pasākumu pietiekamības novērtējumu. </w:t>
            </w:r>
          </w:p>
          <w:p w:rsidR="001C08A8" w:rsidRPr="00735652" w:rsidRDefault="001C08A8" w:rsidP="00627F94">
            <w:pPr>
              <w:spacing w:after="200" w:line="276" w:lineRule="auto"/>
              <w:rPr>
                <w:rFonts w:ascii="Times New Roman" w:hAnsi="Times New Roman" w:cs="Times New Roman"/>
                <w:sz w:val="24"/>
                <w:szCs w:val="24"/>
                <w:lang w:val="lv-LV"/>
              </w:rPr>
            </w:pPr>
          </w:p>
        </w:tc>
        <w:tc>
          <w:tcPr>
            <w:tcW w:w="3116" w:type="dxa"/>
          </w:tcPr>
          <w:p w:rsidR="001C08A8" w:rsidRPr="00735652" w:rsidRDefault="001C08A8" w:rsidP="00627F94">
            <w:pPr>
              <w:spacing w:after="200" w:line="276" w:lineRule="auto"/>
              <w:rPr>
                <w:rFonts w:ascii="Times New Roman" w:hAnsi="Times New Roman" w:cs="Times New Roman"/>
                <w:sz w:val="24"/>
                <w:szCs w:val="24"/>
                <w:lang w:val="lv-LV"/>
              </w:rPr>
            </w:pPr>
            <w:proofErr w:type="gramStart"/>
            <w:r w:rsidRPr="00735652">
              <w:rPr>
                <w:rFonts w:ascii="Times New Roman" w:hAnsi="Times New Roman" w:cs="Times New Roman"/>
                <w:sz w:val="24"/>
                <w:szCs w:val="24"/>
                <w:lang w:val="lv-LV"/>
              </w:rPr>
              <w:lastRenderedPageBreak/>
              <w:t>1.Regulārie riska pārskati</w:t>
            </w:r>
            <w:proofErr w:type="gramEnd"/>
            <w:r w:rsidRPr="00735652">
              <w:rPr>
                <w:rFonts w:ascii="Times New Roman" w:hAnsi="Times New Roman" w:cs="Times New Roman"/>
                <w:sz w:val="24"/>
                <w:szCs w:val="24"/>
                <w:lang w:val="lv-LV"/>
              </w:rPr>
              <w:t xml:space="preserve"> (atbilstoši FKTK noteikumiem Nr. 154)</w:t>
            </w:r>
          </w:p>
        </w:tc>
        <w:tc>
          <w:tcPr>
            <w:tcW w:w="1987" w:type="dxa"/>
          </w:tcPr>
          <w:p w:rsidR="001C08A8" w:rsidRPr="00735652" w:rsidRDefault="001C08A8" w:rsidP="00A14F47">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t xml:space="preserve">Regulārās atskaites: </w:t>
            </w:r>
            <w:r w:rsidRPr="00735652">
              <w:rPr>
                <w:rFonts w:ascii="Times New Roman" w:hAnsi="Times New Roman" w:cs="Times New Roman"/>
                <w:b/>
                <w:color w:val="FF0000"/>
                <w:sz w:val="24"/>
                <w:szCs w:val="24"/>
                <w:lang w:val="lv-LV"/>
              </w:rPr>
              <w:t>61</w:t>
            </w:r>
          </w:p>
        </w:tc>
        <w:tc>
          <w:tcPr>
            <w:tcW w:w="2268" w:type="dxa"/>
          </w:tcPr>
          <w:p w:rsidR="001C08A8" w:rsidRPr="00735652" w:rsidRDefault="001C08A8" w:rsidP="008D3232">
            <w:pPr>
              <w:spacing w:after="200" w:line="276" w:lineRule="auto"/>
              <w:rPr>
                <w:rFonts w:ascii="Times New Roman" w:hAnsi="Times New Roman" w:cs="Times New Roman"/>
                <w:b/>
                <w:color w:val="FF0000"/>
                <w:sz w:val="24"/>
                <w:szCs w:val="24"/>
                <w:lang w:val="lv-LV"/>
              </w:rPr>
            </w:pPr>
            <w:r w:rsidRPr="00735652">
              <w:rPr>
                <w:rFonts w:ascii="Times New Roman" w:hAnsi="Times New Roman" w:cs="Times New Roman"/>
                <w:sz w:val="24"/>
                <w:szCs w:val="24"/>
                <w:lang w:val="lv-LV"/>
              </w:rPr>
              <w:t>Regulārās atskaites:</w:t>
            </w:r>
            <w:r w:rsidRPr="00735652">
              <w:rPr>
                <w:rFonts w:ascii="Times New Roman" w:hAnsi="Times New Roman" w:cs="Times New Roman"/>
                <w:b/>
                <w:color w:val="FF0000"/>
                <w:sz w:val="24"/>
                <w:szCs w:val="24"/>
                <w:lang w:val="lv-LV"/>
              </w:rPr>
              <w:t>117</w:t>
            </w:r>
          </w:p>
        </w:tc>
      </w:tr>
      <w:tr w:rsidR="00B90C9D" w:rsidRPr="00246344" w:rsidTr="00735652">
        <w:trPr>
          <w:trHeight w:val="3187"/>
        </w:trPr>
        <w:tc>
          <w:tcPr>
            <w:tcW w:w="450" w:type="dxa"/>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6.</w:t>
            </w:r>
          </w:p>
        </w:tc>
        <w:tc>
          <w:tcPr>
            <w:tcW w:w="1218" w:type="dxa"/>
          </w:tcPr>
          <w:p w:rsidR="001C08A8" w:rsidRPr="00735652" w:rsidRDefault="003E560D" w:rsidP="003E560D">
            <w:pPr>
              <w:spacing w:after="200" w:line="276" w:lineRule="auto"/>
              <w:rPr>
                <w:rFonts w:ascii="Times New Roman" w:hAnsi="Times New Roman" w:cs="Times New Roman"/>
                <w:sz w:val="24"/>
                <w:szCs w:val="24"/>
                <w:lang w:val="lv-LV"/>
              </w:rPr>
            </w:pPr>
            <w:r>
              <w:rPr>
                <w:rFonts w:ascii="Times New Roman" w:hAnsi="Times New Roman" w:cs="Times New Roman"/>
                <w:b/>
                <w:bCs/>
                <w:sz w:val="24"/>
                <w:szCs w:val="24"/>
                <w:lang w:val="lv-LV"/>
              </w:rPr>
              <w:t xml:space="preserve">Tematiskās pārbaude </w:t>
            </w:r>
          </w:p>
        </w:tc>
        <w:tc>
          <w:tcPr>
            <w:tcW w:w="4110" w:type="dxa"/>
          </w:tcPr>
          <w:p w:rsidR="001C08A8" w:rsidRPr="00735652" w:rsidRDefault="003E560D" w:rsidP="005A1568">
            <w:pPr>
              <w:spacing w:after="20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Vairāku uzņēmumu, bieži no viena sektora, klā</w:t>
            </w:r>
            <w:r w:rsidR="005A1568">
              <w:rPr>
                <w:rFonts w:ascii="Times New Roman" w:hAnsi="Times New Roman" w:cs="Times New Roman"/>
                <w:sz w:val="24"/>
                <w:szCs w:val="24"/>
                <w:lang w:val="lv-LV"/>
              </w:rPr>
              <w:t>tienes vai neklātienes pārbaude</w:t>
            </w:r>
            <w:r>
              <w:rPr>
                <w:rFonts w:ascii="Times New Roman" w:hAnsi="Times New Roman" w:cs="Times New Roman"/>
                <w:sz w:val="24"/>
                <w:szCs w:val="24"/>
                <w:lang w:val="lv-LV"/>
              </w:rPr>
              <w:t>, kas tiek fokusēta uz vienu</w:t>
            </w:r>
            <w:proofErr w:type="gramStart"/>
            <w:r>
              <w:rPr>
                <w:rFonts w:ascii="Times New Roman" w:hAnsi="Times New Roman" w:cs="Times New Roman"/>
                <w:sz w:val="24"/>
                <w:szCs w:val="24"/>
                <w:lang w:val="lv-LV"/>
              </w:rPr>
              <w:t xml:space="preserve">  </w:t>
            </w:r>
            <w:proofErr w:type="gramEnd"/>
            <w:r>
              <w:rPr>
                <w:rFonts w:ascii="Times New Roman" w:hAnsi="Times New Roman" w:cs="Times New Roman"/>
                <w:sz w:val="24"/>
                <w:szCs w:val="24"/>
                <w:lang w:val="lv-LV"/>
              </w:rPr>
              <w:t>vai dažu specifisku jautājumu izvērtēšanu attiecībā uz uzņēmumu NILLTFN sistēm</w:t>
            </w:r>
            <w:r w:rsidR="0017251D">
              <w:rPr>
                <w:rFonts w:ascii="Times New Roman" w:hAnsi="Times New Roman" w:cs="Times New Roman"/>
                <w:sz w:val="24"/>
                <w:szCs w:val="24"/>
                <w:lang w:val="lv-LV"/>
              </w:rPr>
              <w:t xml:space="preserve">ām </w:t>
            </w:r>
            <w:r>
              <w:rPr>
                <w:rFonts w:ascii="Times New Roman" w:hAnsi="Times New Roman" w:cs="Times New Roman"/>
                <w:sz w:val="24"/>
                <w:szCs w:val="24"/>
                <w:lang w:val="lv-LV"/>
              </w:rPr>
              <w:t>un kontroles pasākum</w:t>
            </w:r>
            <w:r w:rsidR="0017251D">
              <w:rPr>
                <w:rFonts w:ascii="Times New Roman" w:hAnsi="Times New Roman" w:cs="Times New Roman"/>
                <w:sz w:val="24"/>
                <w:szCs w:val="24"/>
                <w:lang w:val="lv-LV"/>
              </w:rPr>
              <w:t>iem</w:t>
            </w:r>
            <w:r>
              <w:rPr>
                <w:rFonts w:ascii="Times New Roman" w:hAnsi="Times New Roman" w:cs="Times New Roman"/>
                <w:sz w:val="24"/>
                <w:szCs w:val="24"/>
                <w:lang w:val="lv-LV"/>
              </w:rPr>
              <w:t xml:space="preserve">, piemēram, </w:t>
            </w:r>
            <w:r w:rsidR="00B90C9D">
              <w:rPr>
                <w:rFonts w:ascii="Times New Roman" w:hAnsi="Times New Roman" w:cs="Times New Roman"/>
                <w:sz w:val="24"/>
                <w:szCs w:val="24"/>
                <w:lang w:val="lv-LV"/>
              </w:rPr>
              <w:t xml:space="preserve">darījumu uzraudzību vai </w:t>
            </w:r>
            <w:r w:rsidR="0017251D">
              <w:rPr>
                <w:rFonts w:ascii="Times New Roman" w:hAnsi="Times New Roman" w:cs="Times New Roman"/>
                <w:sz w:val="24"/>
                <w:szCs w:val="24"/>
                <w:lang w:val="lv-LV"/>
              </w:rPr>
              <w:t xml:space="preserve">veiktajiem </w:t>
            </w:r>
            <w:r w:rsidR="00B90C9D">
              <w:rPr>
                <w:rFonts w:ascii="Times New Roman" w:hAnsi="Times New Roman" w:cs="Times New Roman"/>
                <w:sz w:val="24"/>
                <w:szCs w:val="24"/>
                <w:lang w:val="lv-LV"/>
              </w:rPr>
              <w:t>pasākumiem  attiecībā uz politiski nozīmīgām personām (PEP)</w:t>
            </w:r>
            <w:r w:rsidR="0017251D">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B90C9D">
              <w:rPr>
                <w:rFonts w:ascii="Times New Roman" w:hAnsi="Times New Roman" w:cs="Times New Roman"/>
                <w:sz w:val="24"/>
                <w:szCs w:val="24"/>
                <w:lang w:val="lv-LV"/>
              </w:rPr>
              <w:t xml:space="preserve">Tematiskās pārbaudes palīdz uzraugiem iegūt labāku izpratni par atsevišķu NILLTF risku pārvaldību sektorā vai atsevišķos uzņēmos. </w:t>
            </w:r>
          </w:p>
        </w:tc>
        <w:tc>
          <w:tcPr>
            <w:tcW w:w="3116" w:type="dxa"/>
          </w:tcPr>
          <w:p w:rsidR="001C08A8" w:rsidRPr="00735652" w:rsidRDefault="001C08A8" w:rsidP="00627F94">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1.Anketas, kas izsūtītas par konkrētu tēmu (tematiskās horizontālās pārbaudes, arī</w:t>
            </w:r>
            <w:proofErr w:type="gramStart"/>
            <w:r w:rsidRPr="00735652">
              <w:rPr>
                <w:rFonts w:ascii="Times New Roman" w:hAnsi="Times New Roman" w:cs="Times New Roman"/>
                <w:sz w:val="24"/>
                <w:szCs w:val="24"/>
                <w:lang w:val="lv-LV"/>
              </w:rPr>
              <w:t xml:space="preserve">  </w:t>
            </w:r>
            <w:proofErr w:type="gramEnd"/>
            <w:r w:rsidRPr="00735652">
              <w:rPr>
                <w:rFonts w:ascii="Times New Roman" w:hAnsi="Times New Roman" w:cs="Times New Roman"/>
                <w:sz w:val="24"/>
                <w:szCs w:val="24"/>
                <w:lang w:val="lv-LV"/>
              </w:rPr>
              <w:t>jaunu normatīvo prasību izpilde, inovācijas, jauni riski tirgū, u</w:t>
            </w:r>
            <w:r w:rsidR="0017251D">
              <w:rPr>
                <w:rFonts w:ascii="Times New Roman" w:hAnsi="Times New Roman" w:cs="Times New Roman"/>
                <w:sz w:val="24"/>
                <w:szCs w:val="24"/>
                <w:lang w:val="lv-LV"/>
              </w:rPr>
              <w:t xml:space="preserve">n </w:t>
            </w:r>
            <w:r w:rsidRPr="00735652">
              <w:rPr>
                <w:rFonts w:ascii="Times New Roman" w:hAnsi="Times New Roman" w:cs="Times New Roman"/>
                <w:sz w:val="24"/>
                <w:szCs w:val="24"/>
                <w:lang w:val="lv-LV"/>
              </w:rPr>
              <w:t>tml.),</w:t>
            </w:r>
          </w:p>
        </w:tc>
        <w:tc>
          <w:tcPr>
            <w:tcW w:w="1987" w:type="dxa"/>
          </w:tcPr>
          <w:p w:rsidR="001C08A8" w:rsidRPr="00735652" w:rsidRDefault="0021089E" w:rsidP="0021089E">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Tematiskie pieprasījumi</w:t>
            </w:r>
            <w:r w:rsidR="001C08A8" w:rsidRPr="00735652">
              <w:rPr>
                <w:rFonts w:ascii="Times New Roman" w:hAnsi="Times New Roman" w:cs="Times New Roman"/>
                <w:color w:val="FF0000"/>
                <w:sz w:val="24"/>
                <w:szCs w:val="24"/>
                <w:lang w:val="lv-LV"/>
              </w:rPr>
              <w:t xml:space="preserve">: </w:t>
            </w:r>
            <w:r w:rsidR="001C08A8" w:rsidRPr="00735652">
              <w:rPr>
                <w:rFonts w:ascii="Times New Roman" w:hAnsi="Times New Roman" w:cs="Times New Roman"/>
                <w:b/>
                <w:color w:val="FF0000"/>
                <w:sz w:val="24"/>
                <w:szCs w:val="24"/>
                <w:lang w:val="lv-LV"/>
              </w:rPr>
              <w:t>23</w:t>
            </w:r>
          </w:p>
        </w:tc>
        <w:tc>
          <w:tcPr>
            <w:tcW w:w="2268" w:type="dxa"/>
          </w:tcPr>
          <w:p w:rsidR="001C08A8" w:rsidRPr="00735652" w:rsidRDefault="0021089E" w:rsidP="0016758F">
            <w:pPr>
              <w:spacing w:after="200" w:line="276" w:lineRule="auto"/>
              <w:rPr>
                <w:rFonts w:ascii="Times New Roman" w:hAnsi="Times New Roman" w:cs="Times New Roman"/>
                <w:sz w:val="24"/>
                <w:szCs w:val="24"/>
                <w:lang w:val="lv-LV"/>
              </w:rPr>
            </w:pPr>
            <w:r w:rsidRPr="00735652">
              <w:rPr>
                <w:rFonts w:ascii="Times New Roman" w:hAnsi="Times New Roman" w:cs="Times New Roman"/>
                <w:sz w:val="24"/>
                <w:szCs w:val="24"/>
                <w:lang w:val="lv-LV"/>
              </w:rPr>
              <w:t>Tematiskie pieprasījumi</w:t>
            </w:r>
            <w:r w:rsidRPr="00735652">
              <w:rPr>
                <w:rFonts w:ascii="Times New Roman" w:hAnsi="Times New Roman" w:cs="Times New Roman"/>
                <w:color w:val="FF0000"/>
                <w:sz w:val="24"/>
                <w:szCs w:val="24"/>
                <w:lang w:val="lv-LV"/>
              </w:rPr>
              <w:t xml:space="preserve">: </w:t>
            </w:r>
            <w:r w:rsidR="001C08A8" w:rsidRPr="00735652">
              <w:rPr>
                <w:rFonts w:ascii="Times New Roman" w:hAnsi="Times New Roman" w:cs="Times New Roman"/>
                <w:b/>
                <w:color w:val="FF0000"/>
                <w:sz w:val="24"/>
                <w:szCs w:val="24"/>
                <w:lang w:val="lv-LV"/>
              </w:rPr>
              <w:t>185</w:t>
            </w:r>
          </w:p>
        </w:tc>
      </w:tr>
    </w:tbl>
    <w:p w:rsidR="006402F1" w:rsidRDefault="006402F1" w:rsidP="00627F94">
      <w:pPr>
        <w:rPr>
          <w:rFonts w:ascii="Times New Roman" w:hAnsi="Times New Roman" w:cs="Times New Roman"/>
          <w:sz w:val="24"/>
          <w:szCs w:val="24"/>
          <w:lang w:val="lv-LV"/>
        </w:rPr>
      </w:pPr>
    </w:p>
    <w:p w:rsidR="006402F1" w:rsidRDefault="006402F1" w:rsidP="00627F94">
      <w:pPr>
        <w:rPr>
          <w:rFonts w:ascii="Times New Roman" w:hAnsi="Times New Roman" w:cs="Times New Roman"/>
          <w:sz w:val="24"/>
          <w:szCs w:val="24"/>
          <w:lang w:val="lv-LV"/>
        </w:rPr>
      </w:pPr>
    </w:p>
    <w:p w:rsidR="006402F1" w:rsidRPr="00735652" w:rsidRDefault="006402F1" w:rsidP="00735652">
      <w:pPr>
        <w:pStyle w:val="Signature"/>
        <w:widowControl/>
        <w:tabs>
          <w:tab w:val="clear" w:pos="9072"/>
        </w:tabs>
        <w:spacing w:before="0"/>
        <w:ind w:firstLine="0"/>
        <w:jc w:val="both"/>
        <w:rPr>
          <w:sz w:val="24"/>
        </w:rPr>
      </w:pPr>
      <w:r w:rsidRPr="00735652">
        <w:rPr>
          <w:sz w:val="24"/>
          <w:lang w:val="lv-LV"/>
        </w:rPr>
        <w:t>Tieslietu ministrs</w:t>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r>
      <w:r w:rsidRPr="00735652">
        <w:rPr>
          <w:sz w:val="24"/>
          <w:lang w:val="lv-LV"/>
        </w:rPr>
        <w:tab/>
        <w:t>Dzintars Rasnačs</w:t>
      </w:r>
    </w:p>
    <w:p w:rsidR="006402F1" w:rsidRPr="00735652" w:rsidRDefault="006402F1" w:rsidP="00627F94">
      <w:pPr>
        <w:rPr>
          <w:rFonts w:ascii="Times New Roman" w:hAnsi="Times New Roman" w:cs="Times New Roman"/>
          <w:sz w:val="24"/>
          <w:szCs w:val="24"/>
          <w:lang w:val="lv-LV"/>
        </w:rPr>
      </w:pPr>
    </w:p>
    <w:p w:rsidR="0021089E" w:rsidRPr="00246344" w:rsidRDefault="0021089E" w:rsidP="00627F94">
      <w:pPr>
        <w:rPr>
          <w:rFonts w:ascii="Times New Roman" w:hAnsi="Times New Roman" w:cs="Times New Roman"/>
          <w:sz w:val="24"/>
          <w:szCs w:val="24"/>
          <w:lang w:val="lv-LV"/>
        </w:rPr>
      </w:pPr>
      <w:r w:rsidRPr="00735652">
        <w:rPr>
          <w:rFonts w:ascii="Times New Roman" w:hAnsi="Times New Roman" w:cs="Times New Roman"/>
          <w:sz w:val="24"/>
          <w:szCs w:val="24"/>
          <w:lang w:val="lv-LV"/>
        </w:rPr>
        <w:lastRenderedPageBreak/>
        <w:t xml:space="preserve">Kā atsevišķa NILLTFN atbilstības pilnās pārbaudes metode ir izmantotas </w:t>
      </w:r>
      <w:r w:rsidRPr="00246344">
        <w:rPr>
          <w:rFonts w:ascii="Times New Roman" w:hAnsi="Times New Roman" w:cs="Times New Roman"/>
          <w:sz w:val="24"/>
          <w:szCs w:val="24"/>
          <w:lang w:val="lv-LV"/>
        </w:rPr>
        <w:t>ASV NILLTFN atbilstības konsultantu veikt</w:t>
      </w:r>
      <w:r w:rsidR="00ED16B9">
        <w:rPr>
          <w:rFonts w:ascii="Times New Roman" w:hAnsi="Times New Roman" w:cs="Times New Roman"/>
          <w:sz w:val="24"/>
          <w:szCs w:val="24"/>
          <w:lang w:val="lv-LV"/>
        </w:rPr>
        <w:t xml:space="preserve">ās </w:t>
      </w:r>
      <w:r w:rsidRPr="00246344">
        <w:rPr>
          <w:rFonts w:ascii="Times New Roman" w:hAnsi="Times New Roman" w:cs="Times New Roman"/>
          <w:sz w:val="24"/>
          <w:szCs w:val="24"/>
          <w:lang w:val="lv-LV"/>
        </w:rPr>
        <w:t>audita pārbaudes, kuras</w:t>
      </w:r>
      <w:r w:rsidR="008B0271" w:rsidRPr="00003B71">
        <w:rPr>
          <w:rFonts w:ascii="Times New Roman" w:hAnsi="Times New Roman" w:cs="Times New Roman"/>
          <w:sz w:val="24"/>
          <w:szCs w:val="24"/>
          <w:lang w:val="lv-LV"/>
        </w:rPr>
        <w:t xml:space="preserve"> </w:t>
      </w:r>
      <w:r w:rsidRPr="00003B71">
        <w:rPr>
          <w:rFonts w:ascii="Times New Roman" w:hAnsi="Times New Roman" w:cs="Times New Roman"/>
          <w:sz w:val="24"/>
          <w:szCs w:val="24"/>
          <w:lang w:val="lv-LV"/>
        </w:rPr>
        <w:t>tvērums (</w:t>
      </w:r>
      <w:proofErr w:type="spellStart"/>
      <w:r w:rsidRPr="00FF4661">
        <w:rPr>
          <w:rFonts w:ascii="Times New Roman" w:hAnsi="Times New Roman" w:cs="Times New Roman"/>
          <w:i/>
          <w:sz w:val="24"/>
          <w:szCs w:val="24"/>
          <w:lang w:val="lv-LV"/>
        </w:rPr>
        <w:t>scope</w:t>
      </w:r>
      <w:proofErr w:type="spellEnd"/>
      <w:r w:rsidRPr="00FF4661">
        <w:rPr>
          <w:rFonts w:ascii="Times New Roman" w:hAnsi="Times New Roman" w:cs="Times New Roman"/>
          <w:sz w:val="24"/>
          <w:szCs w:val="24"/>
          <w:lang w:val="lv-LV"/>
        </w:rPr>
        <w:t xml:space="preserve">) tika saskaņots ar </w:t>
      </w:r>
      <w:r w:rsidR="008B0271" w:rsidRPr="00FF4661">
        <w:rPr>
          <w:rFonts w:ascii="Times New Roman" w:hAnsi="Times New Roman" w:cs="Times New Roman"/>
          <w:sz w:val="24"/>
          <w:szCs w:val="24"/>
          <w:lang w:val="lv-LV"/>
        </w:rPr>
        <w:t>FKTK</w:t>
      </w:r>
      <w:r w:rsidRPr="00FF4661">
        <w:rPr>
          <w:rFonts w:ascii="Times New Roman" w:hAnsi="Times New Roman" w:cs="Times New Roman"/>
          <w:sz w:val="24"/>
          <w:szCs w:val="24"/>
          <w:lang w:val="lv-LV"/>
        </w:rPr>
        <w:t>.</w:t>
      </w:r>
      <w:r w:rsidR="008B0271" w:rsidRPr="00F315DE">
        <w:rPr>
          <w:rFonts w:ascii="Times New Roman" w:hAnsi="Times New Roman" w:cs="Times New Roman"/>
          <w:sz w:val="24"/>
          <w:szCs w:val="24"/>
          <w:lang w:val="lv-LV"/>
        </w:rPr>
        <w:t xml:space="preserve"> FKTK</w:t>
      </w:r>
      <w:r w:rsidRPr="00F315DE">
        <w:rPr>
          <w:rFonts w:ascii="Times New Roman" w:hAnsi="Times New Roman" w:cs="Times New Roman"/>
          <w:sz w:val="24"/>
          <w:szCs w:val="24"/>
          <w:lang w:val="lv-LV"/>
        </w:rPr>
        <w:t xml:space="preserve"> tika darīti pieejami ziņojumi par audita rezultāt</w:t>
      </w:r>
      <w:r w:rsidR="00ED16B9">
        <w:rPr>
          <w:rFonts w:ascii="Times New Roman" w:hAnsi="Times New Roman" w:cs="Times New Roman"/>
          <w:sz w:val="24"/>
          <w:szCs w:val="24"/>
          <w:lang w:val="lv-LV"/>
        </w:rPr>
        <w:t>iem un rekomendācijas konstatēto</w:t>
      </w:r>
      <w:r w:rsidRPr="00F315DE">
        <w:rPr>
          <w:rFonts w:ascii="Times New Roman" w:hAnsi="Times New Roman" w:cs="Times New Roman"/>
          <w:sz w:val="24"/>
          <w:szCs w:val="24"/>
          <w:lang w:val="lv-LV"/>
        </w:rPr>
        <w:t xml:space="preserve"> trūkumu novēršanai. Pamatojoties uz rekomendācijām, bankas izstrādāja pasākumu plānus, kuru izpildi uzrauga </w:t>
      </w:r>
      <w:r w:rsidR="008B0271" w:rsidRPr="00F315DE">
        <w:rPr>
          <w:rFonts w:ascii="Times New Roman" w:hAnsi="Times New Roman" w:cs="Times New Roman"/>
          <w:sz w:val="24"/>
          <w:szCs w:val="24"/>
          <w:lang w:val="lv-LV"/>
        </w:rPr>
        <w:t>FKTK</w:t>
      </w:r>
      <w:r w:rsidRPr="00F315DE">
        <w:rPr>
          <w:rFonts w:ascii="Times New Roman" w:hAnsi="Times New Roman" w:cs="Times New Roman"/>
          <w:sz w:val="24"/>
          <w:szCs w:val="24"/>
          <w:lang w:val="lv-LV"/>
        </w:rPr>
        <w:t xml:space="preserve">, vērtējot veikto pasākumu atbilstību laika grafikam un audita prasībām. Minēto audita pārbaužu ietvaros tika saņemti ziņojumi par NILLTFN atbilstību, kas aptvēra– </w:t>
      </w:r>
      <w:r w:rsidRPr="006402F1">
        <w:rPr>
          <w:rFonts w:ascii="Times New Roman" w:hAnsi="Times New Roman" w:cs="Times New Roman"/>
          <w:b/>
          <w:color w:val="FF0000"/>
          <w:sz w:val="24"/>
          <w:szCs w:val="24"/>
          <w:lang w:val="lv-LV"/>
        </w:rPr>
        <w:t>10</w:t>
      </w:r>
      <w:r w:rsidRPr="006402F1">
        <w:rPr>
          <w:rFonts w:ascii="Times New Roman" w:hAnsi="Times New Roman" w:cs="Times New Roman"/>
          <w:sz w:val="24"/>
          <w:szCs w:val="24"/>
          <w:lang w:val="lv-LV"/>
        </w:rPr>
        <w:t xml:space="preserve"> bankas (2016. gadā) un </w:t>
      </w:r>
      <w:r w:rsidRPr="006402F1">
        <w:rPr>
          <w:rFonts w:ascii="Times New Roman" w:hAnsi="Times New Roman" w:cs="Times New Roman"/>
          <w:b/>
          <w:color w:val="FF0000"/>
          <w:sz w:val="24"/>
          <w:szCs w:val="24"/>
          <w:lang w:val="lv-LV"/>
        </w:rPr>
        <w:t>2</w:t>
      </w:r>
      <w:r w:rsidRPr="006402F1">
        <w:rPr>
          <w:rFonts w:ascii="Times New Roman" w:hAnsi="Times New Roman" w:cs="Times New Roman"/>
          <w:sz w:val="24"/>
          <w:szCs w:val="24"/>
          <w:lang w:val="lv-LV"/>
        </w:rPr>
        <w:t xml:space="preserve"> bankas (2017. gadā)</w:t>
      </w:r>
    </w:p>
    <w:sectPr w:rsidR="0021089E" w:rsidRPr="00246344" w:rsidSect="00EF7838">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4D8B46" w15:done="0"/>
  <w15:commentEx w15:paraId="4F319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198D0" w16cid:durableId="1E53C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C3" w:rsidRDefault="00A23FC3" w:rsidP="00FC17AC">
      <w:pPr>
        <w:spacing w:after="0" w:line="240" w:lineRule="auto"/>
      </w:pPr>
      <w:r>
        <w:separator/>
      </w:r>
    </w:p>
  </w:endnote>
  <w:endnote w:type="continuationSeparator" w:id="0">
    <w:p w:rsidR="00A23FC3" w:rsidRDefault="00A23FC3" w:rsidP="00FC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B8" w:rsidRDefault="00FB4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AC" w:rsidRPr="00FB41B8" w:rsidRDefault="00FB41B8" w:rsidP="00FB41B8">
    <w:pPr>
      <w:pStyle w:val="Footer"/>
      <w:rPr>
        <w:rFonts w:ascii="Times New Roman" w:hAnsi="Times New Roman" w:cs="Times New Roman"/>
        <w:sz w:val="20"/>
        <w:szCs w:val="20"/>
      </w:rPr>
    </w:pPr>
    <w:r w:rsidRPr="00FB41B8">
      <w:rPr>
        <w:rFonts w:ascii="Times New Roman" w:hAnsi="Times New Roman" w:cs="Times New Roman"/>
        <w:sz w:val="20"/>
        <w:szCs w:val="20"/>
      </w:rPr>
      <w:fldChar w:fldCharType="begin"/>
    </w:r>
    <w:r w:rsidRPr="00FB41B8">
      <w:rPr>
        <w:rFonts w:ascii="Times New Roman" w:hAnsi="Times New Roman" w:cs="Times New Roman"/>
        <w:sz w:val="20"/>
        <w:szCs w:val="20"/>
      </w:rPr>
      <w:instrText xml:space="preserve"> FILENAME   \* MERGEFORMAT </w:instrText>
    </w:r>
    <w:r w:rsidRPr="00FB41B8">
      <w:rPr>
        <w:rFonts w:ascii="Times New Roman" w:hAnsi="Times New Roman" w:cs="Times New Roman"/>
        <w:sz w:val="20"/>
        <w:szCs w:val="20"/>
      </w:rPr>
      <w:fldChar w:fldCharType="separate"/>
    </w:r>
    <w:r w:rsidR="008B0271">
      <w:rPr>
        <w:rFonts w:ascii="Times New Roman" w:hAnsi="Times New Roman" w:cs="Times New Roman"/>
        <w:noProof/>
        <w:sz w:val="20"/>
        <w:szCs w:val="20"/>
      </w:rPr>
      <w:t>TMZinop2_010318_WGBP2</w:t>
    </w:r>
    <w:r w:rsidRPr="00FB41B8">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B8" w:rsidRDefault="00FB4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C3" w:rsidRDefault="00A23FC3" w:rsidP="00FC17AC">
      <w:pPr>
        <w:spacing w:after="0" w:line="240" w:lineRule="auto"/>
      </w:pPr>
      <w:r>
        <w:separator/>
      </w:r>
    </w:p>
  </w:footnote>
  <w:footnote w:type="continuationSeparator" w:id="0">
    <w:p w:rsidR="00A23FC3" w:rsidRDefault="00A23FC3" w:rsidP="00FC1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B8" w:rsidRDefault="00FB4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B8" w:rsidRDefault="00FB4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B8" w:rsidRDefault="00FB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69E8"/>
    <w:multiLevelType w:val="hybridMultilevel"/>
    <w:tmpl w:val="99500C9E"/>
    <w:lvl w:ilvl="0" w:tplc="671E6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011A1"/>
    <w:multiLevelType w:val="hybridMultilevel"/>
    <w:tmpl w:val="353C8F7C"/>
    <w:lvl w:ilvl="0" w:tplc="BE544A8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FEF7729"/>
    <w:multiLevelType w:val="hybridMultilevel"/>
    <w:tmpl w:val="BE6A6B56"/>
    <w:lvl w:ilvl="0" w:tplc="B32419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C1CBC"/>
    <w:multiLevelType w:val="hybridMultilevel"/>
    <w:tmpl w:val="294EFC6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F69B9"/>
    <w:multiLevelType w:val="hybridMultilevel"/>
    <w:tmpl w:val="A65492F4"/>
    <w:lvl w:ilvl="0" w:tplc="53B6E730">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7DF57B65"/>
    <w:multiLevelType w:val="hybridMultilevel"/>
    <w:tmpl w:val="C58AC36A"/>
    <w:lvl w:ilvl="0" w:tplc="023C0EB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ita Baumane">
    <w15:presenceInfo w15:providerId="AD" w15:userId="S-1-5-21-3313685600-2057428580-2752540593-3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0C"/>
    <w:rsid w:val="00003B71"/>
    <w:rsid w:val="000270F5"/>
    <w:rsid w:val="00093A6A"/>
    <w:rsid w:val="000B0668"/>
    <w:rsid w:val="001042CD"/>
    <w:rsid w:val="00132B0A"/>
    <w:rsid w:val="00137C1F"/>
    <w:rsid w:val="0016758F"/>
    <w:rsid w:val="0017251D"/>
    <w:rsid w:val="00184680"/>
    <w:rsid w:val="00193146"/>
    <w:rsid w:val="001C08A8"/>
    <w:rsid w:val="001E7DA1"/>
    <w:rsid w:val="00207649"/>
    <w:rsid w:val="0021089E"/>
    <w:rsid w:val="002157D0"/>
    <w:rsid w:val="00232E24"/>
    <w:rsid w:val="00246344"/>
    <w:rsid w:val="00256FCD"/>
    <w:rsid w:val="002656A6"/>
    <w:rsid w:val="002B0A1D"/>
    <w:rsid w:val="002C68AA"/>
    <w:rsid w:val="00336AD8"/>
    <w:rsid w:val="0035136A"/>
    <w:rsid w:val="0037406C"/>
    <w:rsid w:val="0038245D"/>
    <w:rsid w:val="0038429B"/>
    <w:rsid w:val="00391BC6"/>
    <w:rsid w:val="003E1571"/>
    <w:rsid w:val="003E560D"/>
    <w:rsid w:val="00481914"/>
    <w:rsid w:val="004A10AE"/>
    <w:rsid w:val="004A5579"/>
    <w:rsid w:val="004E7864"/>
    <w:rsid w:val="00512256"/>
    <w:rsid w:val="0051656E"/>
    <w:rsid w:val="005200B5"/>
    <w:rsid w:val="005263F5"/>
    <w:rsid w:val="005923F5"/>
    <w:rsid w:val="00593BBF"/>
    <w:rsid w:val="005A1568"/>
    <w:rsid w:val="005B0D90"/>
    <w:rsid w:val="005E58C0"/>
    <w:rsid w:val="005F58C0"/>
    <w:rsid w:val="00604546"/>
    <w:rsid w:val="00620F30"/>
    <w:rsid w:val="00621B8C"/>
    <w:rsid w:val="00627F94"/>
    <w:rsid w:val="006402F1"/>
    <w:rsid w:val="006727BD"/>
    <w:rsid w:val="00683373"/>
    <w:rsid w:val="006A320D"/>
    <w:rsid w:val="006A66A6"/>
    <w:rsid w:val="006C0AAD"/>
    <w:rsid w:val="006D76C0"/>
    <w:rsid w:val="006E4BBF"/>
    <w:rsid w:val="006F72A3"/>
    <w:rsid w:val="007347BC"/>
    <w:rsid w:val="00735652"/>
    <w:rsid w:val="007C3A8E"/>
    <w:rsid w:val="00807A93"/>
    <w:rsid w:val="00822520"/>
    <w:rsid w:val="0087420D"/>
    <w:rsid w:val="00894D28"/>
    <w:rsid w:val="008B0271"/>
    <w:rsid w:val="008D486C"/>
    <w:rsid w:val="008E1000"/>
    <w:rsid w:val="008E7918"/>
    <w:rsid w:val="008F0B20"/>
    <w:rsid w:val="008F11A0"/>
    <w:rsid w:val="00935F7C"/>
    <w:rsid w:val="00945A8A"/>
    <w:rsid w:val="00974577"/>
    <w:rsid w:val="00986F94"/>
    <w:rsid w:val="00994FCE"/>
    <w:rsid w:val="009B5A88"/>
    <w:rsid w:val="009C17CF"/>
    <w:rsid w:val="00A035AA"/>
    <w:rsid w:val="00A14F47"/>
    <w:rsid w:val="00A16814"/>
    <w:rsid w:val="00A23FC3"/>
    <w:rsid w:val="00A26807"/>
    <w:rsid w:val="00A37744"/>
    <w:rsid w:val="00AB3DF5"/>
    <w:rsid w:val="00B90C9D"/>
    <w:rsid w:val="00B95E86"/>
    <w:rsid w:val="00BB199C"/>
    <w:rsid w:val="00BD000C"/>
    <w:rsid w:val="00BE0A41"/>
    <w:rsid w:val="00BE138A"/>
    <w:rsid w:val="00BE4044"/>
    <w:rsid w:val="00BF7BEF"/>
    <w:rsid w:val="00C27BC0"/>
    <w:rsid w:val="00C552DD"/>
    <w:rsid w:val="00C847D9"/>
    <w:rsid w:val="00CF622C"/>
    <w:rsid w:val="00D22267"/>
    <w:rsid w:val="00D413F1"/>
    <w:rsid w:val="00D61760"/>
    <w:rsid w:val="00DA4C0E"/>
    <w:rsid w:val="00DB533A"/>
    <w:rsid w:val="00DE41EA"/>
    <w:rsid w:val="00E100DC"/>
    <w:rsid w:val="00E1061D"/>
    <w:rsid w:val="00E203A4"/>
    <w:rsid w:val="00E35552"/>
    <w:rsid w:val="00E46B96"/>
    <w:rsid w:val="00E8582B"/>
    <w:rsid w:val="00EA43C4"/>
    <w:rsid w:val="00ED16B9"/>
    <w:rsid w:val="00EF11AB"/>
    <w:rsid w:val="00EF7838"/>
    <w:rsid w:val="00F315DE"/>
    <w:rsid w:val="00F36C20"/>
    <w:rsid w:val="00F419AD"/>
    <w:rsid w:val="00F83704"/>
    <w:rsid w:val="00FB41B8"/>
    <w:rsid w:val="00FC17AC"/>
    <w:rsid w:val="00FE4FFE"/>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0C"/>
    <w:pPr>
      <w:ind w:left="720"/>
      <w:contextualSpacing/>
    </w:pPr>
  </w:style>
  <w:style w:type="table" w:styleId="TableGrid">
    <w:name w:val="Table Grid"/>
    <w:basedOn w:val="TableNormal"/>
    <w:uiPriority w:val="59"/>
    <w:rsid w:val="00BF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BC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3A"/>
    <w:rPr>
      <w:rFonts w:ascii="Tahoma" w:hAnsi="Tahoma" w:cs="Tahoma"/>
      <w:sz w:val="16"/>
      <w:szCs w:val="16"/>
    </w:rPr>
  </w:style>
  <w:style w:type="paragraph" w:styleId="Header">
    <w:name w:val="header"/>
    <w:basedOn w:val="Normal"/>
    <w:link w:val="HeaderChar"/>
    <w:uiPriority w:val="99"/>
    <w:unhideWhenUsed/>
    <w:rsid w:val="00FC17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7AC"/>
  </w:style>
  <w:style w:type="paragraph" w:styleId="Footer">
    <w:name w:val="footer"/>
    <w:basedOn w:val="Normal"/>
    <w:link w:val="FooterChar"/>
    <w:uiPriority w:val="99"/>
    <w:unhideWhenUsed/>
    <w:rsid w:val="00FC17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7AC"/>
  </w:style>
  <w:style w:type="paragraph" w:styleId="FootnoteText">
    <w:name w:val="footnote text"/>
    <w:basedOn w:val="Normal"/>
    <w:link w:val="FootnoteTextChar"/>
    <w:uiPriority w:val="99"/>
    <w:semiHidden/>
    <w:unhideWhenUsed/>
    <w:rsid w:val="00807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A93"/>
    <w:rPr>
      <w:sz w:val="20"/>
      <w:szCs w:val="20"/>
    </w:rPr>
  </w:style>
  <w:style w:type="character" w:styleId="FootnoteReference">
    <w:name w:val="footnote reference"/>
    <w:basedOn w:val="DefaultParagraphFont"/>
    <w:uiPriority w:val="99"/>
    <w:semiHidden/>
    <w:unhideWhenUsed/>
    <w:rsid w:val="00807A93"/>
    <w:rPr>
      <w:vertAlign w:val="superscript"/>
    </w:rPr>
  </w:style>
  <w:style w:type="character" w:customStyle="1" w:styleId="FontStyle48">
    <w:name w:val="Font Style48"/>
    <w:basedOn w:val="DefaultParagraphFont"/>
    <w:uiPriority w:val="99"/>
    <w:rsid w:val="006D76C0"/>
    <w:rPr>
      <w:rFonts w:ascii="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6402F1"/>
    <w:rPr>
      <w:sz w:val="16"/>
      <w:szCs w:val="16"/>
    </w:rPr>
  </w:style>
  <w:style w:type="paragraph" w:styleId="CommentText">
    <w:name w:val="annotation text"/>
    <w:basedOn w:val="Normal"/>
    <w:link w:val="CommentTextChar"/>
    <w:uiPriority w:val="99"/>
    <w:semiHidden/>
    <w:unhideWhenUsed/>
    <w:rsid w:val="006402F1"/>
    <w:pPr>
      <w:spacing w:line="240" w:lineRule="auto"/>
    </w:pPr>
    <w:rPr>
      <w:sz w:val="20"/>
      <w:szCs w:val="20"/>
    </w:rPr>
  </w:style>
  <w:style w:type="character" w:customStyle="1" w:styleId="CommentTextChar">
    <w:name w:val="Comment Text Char"/>
    <w:basedOn w:val="DefaultParagraphFont"/>
    <w:link w:val="CommentText"/>
    <w:uiPriority w:val="99"/>
    <w:semiHidden/>
    <w:rsid w:val="006402F1"/>
    <w:rPr>
      <w:sz w:val="20"/>
      <w:szCs w:val="20"/>
    </w:rPr>
  </w:style>
  <w:style w:type="paragraph" w:styleId="CommentSubject">
    <w:name w:val="annotation subject"/>
    <w:basedOn w:val="CommentText"/>
    <w:next w:val="CommentText"/>
    <w:link w:val="CommentSubjectChar"/>
    <w:uiPriority w:val="99"/>
    <w:semiHidden/>
    <w:unhideWhenUsed/>
    <w:rsid w:val="006402F1"/>
    <w:rPr>
      <w:b/>
      <w:bCs/>
    </w:rPr>
  </w:style>
  <w:style w:type="character" w:customStyle="1" w:styleId="CommentSubjectChar">
    <w:name w:val="Comment Subject Char"/>
    <w:basedOn w:val="CommentTextChar"/>
    <w:link w:val="CommentSubject"/>
    <w:uiPriority w:val="99"/>
    <w:semiHidden/>
    <w:rsid w:val="006402F1"/>
    <w:rPr>
      <w:b/>
      <w:bCs/>
      <w:sz w:val="20"/>
      <w:szCs w:val="20"/>
    </w:rPr>
  </w:style>
  <w:style w:type="paragraph" w:styleId="Signature">
    <w:name w:val="Signature"/>
    <w:basedOn w:val="Normal"/>
    <w:next w:val="EnvelopeReturn"/>
    <w:link w:val="SignatureChar"/>
    <w:rsid w:val="006402F1"/>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4"/>
      <w:lang w:val="en-AU" w:eastAsia="lv-LV"/>
    </w:rPr>
  </w:style>
  <w:style w:type="character" w:customStyle="1" w:styleId="SignatureChar">
    <w:name w:val="Signature Char"/>
    <w:basedOn w:val="DefaultParagraphFont"/>
    <w:link w:val="Signature"/>
    <w:rsid w:val="006402F1"/>
    <w:rPr>
      <w:rFonts w:ascii="Times New Roman" w:eastAsia="Times New Roman" w:hAnsi="Times New Roman" w:cs="Times New Roman"/>
      <w:sz w:val="26"/>
      <w:szCs w:val="24"/>
      <w:lang w:val="en-AU" w:eastAsia="lv-LV"/>
    </w:rPr>
  </w:style>
  <w:style w:type="paragraph" w:styleId="EnvelopeReturn">
    <w:name w:val="envelope return"/>
    <w:basedOn w:val="Normal"/>
    <w:uiPriority w:val="99"/>
    <w:semiHidden/>
    <w:unhideWhenUsed/>
    <w:rsid w:val="006402F1"/>
    <w:pPr>
      <w:spacing w:after="0" w:line="240" w:lineRule="auto"/>
    </w:pPr>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0C"/>
    <w:pPr>
      <w:ind w:left="720"/>
      <w:contextualSpacing/>
    </w:pPr>
  </w:style>
  <w:style w:type="table" w:styleId="TableGrid">
    <w:name w:val="Table Grid"/>
    <w:basedOn w:val="TableNormal"/>
    <w:uiPriority w:val="59"/>
    <w:rsid w:val="00BF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7BC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3A"/>
    <w:rPr>
      <w:rFonts w:ascii="Tahoma" w:hAnsi="Tahoma" w:cs="Tahoma"/>
      <w:sz w:val="16"/>
      <w:szCs w:val="16"/>
    </w:rPr>
  </w:style>
  <w:style w:type="paragraph" w:styleId="Header">
    <w:name w:val="header"/>
    <w:basedOn w:val="Normal"/>
    <w:link w:val="HeaderChar"/>
    <w:uiPriority w:val="99"/>
    <w:unhideWhenUsed/>
    <w:rsid w:val="00FC17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7AC"/>
  </w:style>
  <w:style w:type="paragraph" w:styleId="Footer">
    <w:name w:val="footer"/>
    <w:basedOn w:val="Normal"/>
    <w:link w:val="FooterChar"/>
    <w:uiPriority w:val="99"/>
    <w:unhideWhenUsed/>
    <w:rsid w:val="00FC17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7AC"/>
  </w:style>
  <w:style w:type="paragraph" w:styleId="FootnoteText">
    <w:name w:val="footnote text"/>
    <w:basedOn w:val="Normal"/>
    <w:link w:val="FootnoteTextChar"/>
    <w:uiPriority w:val="99"/>
    <w:semiHidden/>
    <w:unhideWhenUsed/>
    <w:rsid w:val="00807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A93"/>
    <w:rPr>
      <w:sz w:val="20"/>
      <w:szCs w:val="20"/>
    </w:rPr>
  </w:style>
  <w:style w:type="character" w:styleId="FootnoteReference">
    <w:name w:val="footnote reference"/>
    <w:basedOn w:val="DefaultParagraphFont"/>
    <w:uiPriority w:val="99"/>
    <w:semiHidden/>
    <w:unhideWhenUsed/>
    <w:rsid w:val="00807A93"/>
    <w:rPr>
      <w:vertAlign w:val="superscript"/>
    </w:rPr>
  </w:style>
  <w:style w:type="character" w:customStyle="1" w:styleId="FontStyle48">
    <w:name w:val="Font Style48"/>
    <w:basedOn w:val="DefaultParagraphFont"/>
    <w:uiPriority w:val="99"/>
    <w:rsid w:val="006D76C0"/>
    <w:rPr>
      <w:rFonts w:ascii="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6402F1"/>
    <w:rPr>
      <w:sz w:val="16"/>
      <w:szCs w:val="16"/>
    </w:rPr>
  </w:style>
  <w:style w:type="paragraph" w:styleId="CommentText">
    <w:name w:val="annotation text"/>
    <w:basedOn w:val="Normal"/>
    <w:link w:val="CommentTextChar"/>
    <w:uiPriority w:val="99"/>
    <w:semiHidden/>
    <w:unhideWhenUsed/>
    <w:rsid w:val="006402F1"/>
    <w:pPr>
      <w:spacing w:line="240" w:lineRule="auto"/>
    </w:pPr>
    <w:rPr>
      <w:sz w:val="20"/>
      <w:szCs w:val="20"/>
    </w:rPr>
  </w:style>
  <w:style w:type="character" w:customStyle="1" w:styleId="CommentTextChar">
    <w:name w:val="Comment Text Char"/>
    <w:basedOn w:val="DefaultParagraphFont"/>
    <w:link w:val="CommentText"/>
    <w:uiPriority w:val="99"/>
    <w:semiHidden/>
    <w:rsid w:val="006402F1"/>
    <w:rPr>
      <w:sz w:val="20"/>
      <w:szCs w:val="20"/>
    </w:rPr>
  </w:style>
  <w:style w:type="paragraph" w:styleId="CommentSubject">
    <w:name w:val="annotation subject"/>
    <w:basedOn w:val="CommentText"/>
    <w:next w:val="CommentText"/>
    <w:link w:val="CommentSubjectChar"/>
    <w:uiPriority w:val="99"/>
    <w:semiHidden/>
    <w:unhideWhenUsed/>
    <w:rsid w:val="006402F1"/>
    <w:rPr>
      <w:b/>
      <w:bCs/>
    </w:rPr>
  </w:style>
  <w:style w:type="character" w:customStyle="1" w:styleId="CommentSubjectChar">
    <w:name w:val="Comment Subject Char"/>
    <w:basedOn w:val="CommentTextChar"/>
    <w:link w:val="CommentSubject"/>
    <w:uiPriority w:val="99"/>
    <w:semiHidden/>
    <w:rsid w:val="006402F1"/>
    <w:rPr>
      <w:b/>
      <w:bCs/>
      <w:sz w:val="20"/>
      <w:szCs w:val="20"/>
    </w:rPr>
  </w:style>
  <w:style w:type="paragraph" w:styleId="Signature">
    <w:name w:val="Signature"/>
    <w:basedOn w:val="Normal"/>
    <w:next w:val="EnvelopeReturn"/>
    <w:link w:val="SignatureChar"/>
    <w:rsid w:val="006402F1"/>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4"/>
      <w:lang w:val="en-AU" w:eastAsia="lv-LV"/>
    </w:rPr>
  </w:style>
  <w:style w:type="character" w:customStyle="1" w:styleId="SignatureChar">
    <w:name w:val="Signature Char"/>
    <w:basedOn w:val="DefaultParagraphFont"/>
    <w:link w:val="Signature"/>
    <w:rsid w:val="006402F1"/>
    <w:rPr>
      <w:rFonts w:ascii="Times New Roman" w:eastAsia="Times New Roman" w:hAnsi="Times New Roman" w:cs="Times New Roman"/>
      <w:sz w:val="26"/>
      <w:szCs w:val="24"/>
      <w:lang w:val="en-AU" w:eastAsia="lv-LV"/>
    </w:rPr>
  </w:style>
  <w:style w:type="paragraph" w:styleId="EnvelopeReturn">
    <w:name w:val="envelope return"/>
    <w:basedOn w:val="Normal"/>
    <w:uiPriority w:val="99"/>
    <w:semiHidden/>
    <w:unhideWhenUsed/>
    <w:rsid w:val="006402F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C7FC-E303-4D60-91EF-60FE99EF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4156</Words>
  <Characters>2369</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 pielikums informatīvajam ziņojumam informatīvajam ziņojumam "Par Ekonomiskās sadarbības un attīstības organizācijas Kukuļošanas apkarošanas starptautiskajos biznesa darījumos darba grupas 2. fāzes Latvijas novērtējuma ziņojumā izteikto rekomendāciju iz</vt:lpstr>
      <vt:lpstr>2. pielikums informatīvajam ziņojumam informatīvajam ziņojumam "Par Ekonomiskās sadarbības un attīstības organizācijas Kukuļošanas apkarošanas starptautiskajos biznesa darījumos darba grupas 2. fāzes Latvijas novērtējuma ziņojumā izteikto rekomendāciju iz</vt:lpstr>
    </vt:vector>
  </TitlesOfParts>
  <Company>Microsoft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informatīvajam ziņojumam informatīvajam ziņojumam "Par Ekonomiskās sadarbības un attīstības organizācijas Kukuļošanas apkarošanas starptautiskajos biznesa darījumos darba grupas 2. fāzes Latvijas novērtējuma ziņojumā izteikto rekomendāciju izpildes novērtējumu"</dc:title>
  <dc:creator>Maija Treija</dc:creator>
  <dc:description>Dina Spūle (67036733, dina.spule@tm.gov.lv)</dc:description>
  <cp:lastModifiedBy>Zane Ozolina</cp:lastModifiedBy>
  <cp:revision>6</cp:revision>
  <cp:lastPrinted>2018-01-26T07:05:00Z</cp:lastPrinted>
  <dcterms:created xsi:type="dcterms:W3CDTF">2018-03-15T06:48:00Z</dcterms:created>
  <dcterms:modified xsi:type="dcterms:W3CDTF">2018-03-15T08:31:00Z</dcterms:modified>
</cp:coreProperties>
</file>