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CB4AAB" w:rsidRPr="00B573BA" w:rsidP="00FD58D0" w14:paraId="299A1073" w14:textId="29F0BAAD">
      <w:pPr>
        <w:pStyle w:val="naislab"/>
        <w:spacing w:before="0" w:after="60"/>
        <w:jc w:val="center"/>
        <w:outlineLvl w:val="0"/>
        <w:rPr>
          <w:b/>
        </w:rPr>
      </w:pPr>
      <w:r w:rsidRPr="00B573BA">
        <w:rPr>
          <w:b/>
        </w:rPr>
        <w:t xml:space="preserve">Ministru kabineta noteikumu </w:t>
      </w:r>
      <w:r w:rsidRPr="00B573BA">
        <w:rPr>
          <w:b/>
        </w:rPr>
        <w:t>projekta „</w:t>
      </w:r>
      <w:r w:rsidRPr="00B573BA" w:rsidR="00470F41">
        <w:rPr>
          <w:b/>
        </w:rPr>
        <w:t>Grozījumi Ministru kabineta 2012.</w:t>
      </w:r>
      <w:r w:rsidR="006B3CC5">
        <w:rPr>
          <w:b/>
        </w:rPr>
        <w:t> </w:t>
      </w:r>
      <w:r w:rsidRPr="00B573BA" w:rsidR="00470F41">
        <w:rPr>
          <w:b/>
        </w:rPr>
        <w:t>gada 13.</w:t>
      </w:r>
      <w:r w:rsidR="002B3A6D">
        <w:rPr>
          <w:b/>
        </w:rPr>
        <w:t> </w:t>
      </w:r>
      <w:r w:rsidRPr="00B573BA" w:rsidR="00470F41">
        <w:rPr>
          <w:b/>
        </w:rPr>
        <w:t>novembra noteikumos Nr.</w:t>
      </w:r>
      <w:r w:rsidR="002B3A6D">
        <w:rPr>
          <w:b/>
        </w:rPr>
        <w:t> </w:t>
      </w:r>
      <w:r w:rsidRPr="00B573BA" w:rsidR="00470F41">
        <w:rPr>
          <w:b/>
        </w:rPr>
        <w:t>769 „Noteikumi par stacionāro tehnoloģisko iekārtu dalību Eiropas Savienības emisijas kvotu tirdzniecības sistēmā”</w:t>
      </w:r>
      <w:r w:rsidRPr="00B573BA">
        <w:rPr>
          <w:b/>
        </w:rPr>
        <w:t xml:space="preserve">” sākotnējās ietekmes novērtējuma </w:t>
      </w:r>
      <w:smartTag w:uri="schemas-tilde-lv/tildestengine" w:element="veidnes">
        <w:smartTagPr>
          <w:attr w:name="baseform" w:val="ziņojums"/>
          <w:attr w:name="id" w:val="-1"/>
          <w:attr w:name="text" w:val="ziņojums"/>
        </w:smartTagPr>
        <w:r w:rsidRPr="00B573BA">
          <w:rPr>
            <w:b/>
          </w:rPr>
          <w:t>ziņojums</w:t>
        </w:r>
      </w:smartTag>
      <w:r w:rsidRPr="00B573BA">
        <w:rPr>
          <w:b/>
        </w:rPr>
        <w:t xml:space="preserve"> (anotācija)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82"/>
        <w:gridCol w:w="1644"/>
        <w:gridCol w:w="7513"/>
      </w:tblGrid>
      <w:tr w14:paraId="40283BE9" w14:textId="77777777" w:rsidTr="005E117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255"/>
          <w:jc w:val="center"/>
        </w:trPr>
        <w:tc>
          <w:tcPr>
            <w:tcW w:w="0" w:type="auto"/>
            <w:gridSpan w:val="3"/>
            <w:vAlign w:val="center"/>
          </w:tcPr>
          <w:p w:rsidR="00CB4AAB" w:rsidRPr="00810942" w:rsidP="00B63F0E" w14:paraId="1675CC38" w14:textId="598F22F6">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I. Tiesību akta projekta izstrādes nepieciešamība</w:t>
            </w:r>
          </w:p>
        </w:tc>
      </w:tr>
      <w:tr w14:paraId="61656CED" w14:textId="77777777" w:rsidTr="00F122F9">
        <w:tblPrEx>
          <w:tblW w:w="9639" w:type="dxa"/>
          <w:jc w:val="center"/>
          <w:tblCellMar>
            <w:left w:w="57" w:type="dxa"/>
            <w:right w:w="57" w:type="dxa"/>
          </w:tblCellMar>
          <w:tblLook w:val="00A0"/>
        </w:tblPrEx>
        <w:trPr>
          <w:trHeight w:val="405"/>
          <w:jc w:val="center"/>
        </w:trPr>
        <w:tc>
          <w:tcPr>
            <w:tcW w:w="250" w:type="pct"/>
          </w:tcPr>
          <w:p w:rsidR="00CB4AAB" w:rsidRPr="00F122F9" w:rsidP="00B63F0E" w14:paraId="628F42FE" w14:textId="77777777">
            <w:pPr>
              <w:spacing w:before="60" w:after="60"/>
              <w:jc w:val="center"/>
              <w:rPr>
                <w:rFonts w:ascii="Times New Roman" w:hAnsi="Times New Roman"/>
                <w:lang w:eastAsia="lv-LV"/>
              </w:rPr>
            </w:pPr>
            <w:r w:rsidRPr="00F122F9">
              <w:rPr>
                <w:rFonts w:ascii="Times New Roman" w:hAnsi="Times New Roman"/>
                <w:lang w:eastAsia="lv-LV"/>
              </w:rPr>
              <w:t>1.</w:t>
            </w:r>
          </w:p>
        </w:tc>
        <w:tc>
          <w:tcPr>
            <w:tcW w:w="853" w:type="pct"/>
          </w:tcPr>
          <w:p w:rsidR="00CB4AAB" w:rsidRPr="00F122F9" w:rsidP="00B63F0E" w14:paraId="2D09F2F3" w14:textId="77777777">
            <w:pPr>
              <w:spacing w:before="60" w:after="60"/>
              <w:jc w:val="left"/>
              <w:rPr>
                <w:rFonts w:ascii="Times New Roman" w:hAnsi="Times New Roman"/>
                <w:lang w:eastAsia="lv-LV"/>
              </w:rPr>
            </w:pPr>
            <w:r w:rsidRPr="00810942">
              <w:rPr>
                <w:rFonts w:ascii="Times New Roman" w:eastAsia="Times New Roman" w:hAnsi="Times New Roman"/>
                <w:sz w:val="24"/>
                <w:szCs w:val="24"/>
                <w:lang w:eastAsia="lv-LV"/>
              </w:rPr>
              <w:t>Pamatojums</w:t>
            </w:r>
          </w:p>
        </w:tc>
        <w:tc>
          <w:tcPr>
            <w:tcW w:w="3897" w:type="pct"/>
          </w:tcPr>
          <w:p w:rsidR="00CB4AAB" w:rsidRPr="0012446F" w:rsidP="00C97E69" w14:paraId="71BA2499" w14:textId="77777777">
            <w:pPr>
              <w:pStyle w:val="naiskr"/>
              <w:spacing w:before="60" w:after="60"/>
              <w:ind w:firstLine="227"/>
              <w:jc w:val="both"/>
            </w:pPr>
            <w:r w:rsidRPr="0012446F">
              <w:t>Ministru kabineta noteikumu projekts</w:t>
            </w:r>
            <w:r w:rsidRPr="0012446F">
              <w:t xml:space="preserve"> „</w:t>
            </w:r>
            <w:r w:rsidRPr="0012446F">
              <w:t>Grozījumi Ministru kabineta 2012.</w:t>
            </w:r>
            <w:r w:rsidR="00727602">
              <w:t> </w:t>
            </w:r>
            <w:r w:rsidRPr="0012446F">
              <w:t>gada 13.</w:t>
            </w:r>
            <w:r w:rsidR="00727602">
              <w:t> </w:t>
            </w:r>
            <w:r w:rsidRPr="0012446F">
              <w:t>novembra noteikumos Nr.</w:t>
            </w:r>
            <w:r w:rsidR="00727602">
              <w:t> </w:t>
            </w:r>
            <w:r w:rsidRPr="0012446F">
              <w:t>769 „Noteikumi par stacionāro tehnoloģisko iekārtu dalību Eiropas Savienības emisijas kvotu tirdzniecības sistēmā”</w:t>
            </w:r>
            <w:r w:rsidRPr="0012446F">
              <w:t xml:space="preserve">” (turpmāk – </w:t>
            </w:r>
            <w:r w:rsidRPr="0012446F">
              <w:t xml:space="preserve">noteikumu </w:t>
            </w:r>
            <w:r w:rsidRPr="0012446F">
              <w:t>projekts) izstrādāts</w:t>
            </w:r>
            <w:r w:rsidRPr="0012446F">
              <w:t xml:space="preserve"> </w:t>
            </w:r>
            <w:r w:rsidRPr="0012446F">
              <w:t>pēc Vides aizsardzības un reģionālās attīstības ministrijas (turpmāk – VARAM) iniciatīvas, lai:</w:t>
            </w:r>
          </w:p>
          <w:p w:rsidR="0012446F" w:rsidRPr="0012446F" w:rsidP="00FF6CA8" w14:paraId="0D1AF700" w14:textId="12FD06E3">
            <w:pPr>
              <w:pStyle w:val="naiskr"/>
              <w:spacing w:before="60" w:after="60"/>
              <w:jc w:val="both"/>
            </w:pPr>
            <w:r w:rsidRPr="00FF6CA8">
              <w:rPr>
                <w:b/>
              </w:rPr>
              <w:t>1)</w:t>
            </w:r>
            <w:r w:rsidR="00C51B39">
              <w:t> </w:t>
            </w:r>
            <w:r w:rsidR="006B3CC5">
              <w:t>n</w:t>
            </w:r>
            <w:r w:rsidR="00251A87">
              <w:t xml:space="preserve">oteiktu, ka </w:t>
            </w:r>
            <w:r w:rsidRPr="0012446F">
              <w:t>ES Emisijas kvotu tirdzniecības sistēmas (turpmāk – ES ETS) informācijas apmaiņu, iesniegumu un ziņojumu iesniegšanu turpmāk ES ETS operatori vei</w:t>
            </w:r>
            <w:r w:rsidR="00251A87">
              <w:t>c</w:t>
            </w:r>
            <w:r w:rsidRPr="0012446F">
              <w:t xml:space="preserve">, izmantojot Eiropas Komisijas izveidoto un uzturēto vienoto ES ETS informācijas apmaiņas sistēmu </w:t>
            </w:r>
            <w:r w:rsidR="00A826B4">
              <w:t>“</w:t>
            </w:r>
            <w:r w:rsidRPr="0012446F">
              <w:t>DECLARE</w:t>
            </w:r>
            <w:r w:rsidR="00A826B4">
              <w:t xml:space="preserve">” (turpmāk – </w:t>
            </w:r>
            <w:r w:rsidRPr="00BD1B94" w:rsidR="00A826B4">
              <w:t>ES ETS informācijas apmaiņas sistēm</w:t>
            </w:r>
            <w:r w:rsidR="00A826B4">
              <w:t>a</w:t>
            </w:r>
            <w:r w:rsidRPr="00BD1B94" w:rsidR="00A826B4">
              <w:t xml:space="preserve"> DECLARE</w:t>
            </w:r>
            <w:r w:rsidR="00A826B4">
              <w:t>)</w:t>
            </w:r>
            <w:r w:rsidR="000650B6">
              <w:t>, tādējādi būtiski samazinot administratīvo slogu un samazinātu ES ETS operatoriem darba apjomu, kas nepieciešams noteiktas informācijas iesniegšanai verificētājiem, Valsts vides dienestam</w:t>
            </w:r>
            <w:r w:rsidR="003A467F">
              <w:t xml:space="preserve"> (turpmāk – VVD)</w:t>
            </w:r>
            <w:r w:rsidR="000650B6">
              <w:t>, VARAM, kā arī noteiktas informācijas saņemšanai no tiem</w:t>
            </w:r>
            <w:r w:rsidR="00727602">
              <w:t>;</w:t>
            </w:r>
          </w:p>
          <w:p w:rsidR="0012446F" w:rsidRPr="0012446F" w:rsidP="00FF6CA8" w14:paraId="5E826063" w14:textId="0FFDE246">
            <w:pPr>
              <w:pStyle w:val="naiskr"/>
              <w:spacing w:before="60" w:after="60"/>
              <w:jc w:val="both"/>
            </w:pPr>
            <w:r w:rsidRPr="00FF6CA8">
              <w:rPr>
                <w:b/>
              </w:rPr>
              <w:t>2)</w:t>
            </w:r>
            <w:r w:rsidR="00C51B39">
              <w:t> </w:t>
            </w:r>
            <w:r w:rsidR="006B3CC5">
              <w:t>s</w:t>
            </w:r>
            <w:r w:rsidR="006321B1">
              <w:t xml:space="preserve">iltumnīcefekta gāzu (turpmāk – SEG) emisiju atļauju (turpmāk – </w:t>
            </w:r>
            <w:r w:rsidR="00702A03">
              <w:t xml:space="preserve">SEG </w:t>
            </w:r>
            <w:r w:rsidR="006321B1">
              <w:t xml:space="preserve">atļauja) </w:t>
            </w:r>
            <w:r w:rsidRPr="0012446F">
              <w:t xml:space="preserve">izsniegšanas termiņus pielāgotu atļauju A vai B kategorijas piesārņojošās darbības veikšanai vai C kategorijas apliecinājumu izsniegšanas termiņiem (un nevis Administratīvā procesa </w:t>
            </w:r>
            <w:r w:rsidRPr="0012446F" w:rsidR="00BE3EBF">
              <w:t>likum</w:t>
            </w:r>
            <w:r w:rsidR="00BE3EBF">
              <w:t>a 64.</w:t>
            </w:r>
            <w:r w:rsidR="006B3CC5">
              <w:t> </w:t>
            </w:r>
            <w:r w:rsidR="00BE3EBF">
              <w:t>pantā minēta</w:t>
            </w:r>
            <w:r w:rsidR="00251A87">
              <w:t>jam</w:t>
            </w:r>
            <w:r w:rsidR="00BE3EBF">
              <w:t xml:space="preserve"> termiņ</w:t>
            </w:r>
            <w:r w:rsidR="00251A87">
              <w:t>am</w:t>
            </w:r>
            <w:r w:rsidR="00BE3EBF">
              <w:t xml:space="preserve"> – viens mēnesis no iesnieguma saņemšanas dienas)</w:t>
            </w:r>
            <w:r w:rsidR="00980B16">
              <w:t>;</w:t>
            </w:r>
          </w:p>
          <w:p w:rsidR="00F27137" w:rsidP="00FF6CA8" w14:paraId="12A98DC9" w14:textId="03F21B4C">
            <w:pPr>
              <w:pStyle w:val="naiskr"/>
              <w:spacing w:before="60" w:after="60"/>
              <w:jc w:val="both"/>
            </w:pPr>
            <w:r w:rsidRPr="00FF6CA8">
              <w:rPr>
                <w:b/>
              </w:rPr>
              <w:t>3)</w:t>
            </w:r>
            <w:r w:rsidR="00C51B39">
              <w:rPr>
                <w:b/>
              </w:rPr>
              <w:t> </w:t>
            </w:r>
            <w:r w:rsidRPr="0012446F" w:rsidR="0012446F">
              <w:t>noteiktu, ka SEG atļauja brīvprātīgajiem ES ETS dalībniekiem tiek atcelta ar VVD</w:t>
            </w:r>
            <w:r w:rsidR="005A02D7">
              <w:t xml:space="preserve"> lēmuma spēkā stāšanās dienu;</w:t>
            </w:r>
          </w:p>
          <w:p w:rsidR="00FF6CA8" w:rsidP="00FF6CA8" w14:paraId="05F94D48" w14:textId="6814E520">
            <w:pPr>
              <w:pStyle w:val="naiskr"/>
              <w:spacing w:before="60" w:after="60"/>
              <w:jc w:val="both"/>
            </w:pPr>
            <w:r>
              <w:rPr>
                <w:b/>
              </w:rPr>
              <w:t>4)</w:t>
            </w:r>
            <w:r w:rsidR="000F74CA">
              <w:t> </w:t>
            </w:r>
            <w:r>
              <w:t xml:space="preserve">noteiktu, ka ziņošanas veidlapa, ko operators izmanto, lai ziņotu par to finanšu līdzekļu izlietojumu, kurus operators attiecīgajā kalendāra gadā ir guvis, pārdodot tam bez maksas piešķirtās emisijas kvotas, ir pieejama ne tikai </w:t>
            </w:r>
            <w:r w:rsidR="00AF3D2A">
              <w:t>VVD</w:t>
            </w:r>
            <w:r w:rsidR="005A02D7">
              <w:t xml:space="preserve"> tīmekļvietnē, bet arī VARAM tīmekļ</w:t>
            </w:r>
            <w:r>
              <w:t>vietnē.</w:t>
            </w:r>
          </w:p>
          <w:p w:rsidR="00C97E69" w:rsidRPr="0012446F" w:rsidP="00901969" w14:paraId="6F8BCDDC" w14:textId="52B7B806">
            <w:pPr>
              <w:pStyle w:val="naiskr"/>
              <w:spacing w:before="60" w:after="60"/>
              <w:ind w:left="9" w:firstLine="219"/>
              <w:jc w:val="both"/>
            </w:pPr>
            <w:r>
              <w:t>No</w:t>
            </w:r>
            <w:r w:rsidR="005A02D7">
              <w:t xml:space="preserve">teikumu projekts ir izstrādāts saskaņā ar </w:t>
            </w:r>
            <w:r w:rsidR="000F74CA">
              <w:t xml:space="preserve">Latvijas Republikas </w:t>
            </w:r>
            <w:r>
              <w:t>Saeimā izskatāmo likumprojektu “Grozījumi likumā “Par piesārņojumu” (Nr.</w:t>
            </w:r>
            <w:r w:rsidR="000F74CA">
              <w:t> </w:t>
            </w:r>
            <w:r>
              <w:t xml:space="preserve">1034/Lp12), kas Saeimas </w:t>
            </w:r>
            <w:r w:rsidR="005A02D7">
              <w:t>2018. </w:t>
            </w:r>
            <w:r w:rsidR="006A2927">
              <w:t xml:space="preserve">gada </w:t>
            </w:r>
            <w:r w:rsidR="003F7A8E">
              <w:t>1.</w:t>
            </w:r>
            <w:r w:rsidR="005A02D7">
              <w:t> </w:t>
            </w:r>
            <w:r w:rsidR="003F7A8E">
              <w:t>februāra sēdē tik</w:t>
            </w:r>
            <w:r w:rsidR="00901969">
              <w:t>a</w:t>
            </w:r>
            <w:r w:rsidR="003F7A8E">
              <w:t xml:space="preserve"> </w:t>
            </w:r>
            <w:r>
              <w:t xml:space="preserve">apstiprināts </w:t>
            </w:r>
            <w:r w:rsidR="006A2927">
              <w:t>3</w:t>
            </w:r>
            <w:r>
              <w:t>.</w:t>
            </w:r>
            <w:r w:rsidR="000F74CA">
              <w:t> </w:t>
            </w:r>
            <w:r>
              <w:t>lasījumā.</w:t>
            </w:r>
          </w:p>
        </w:tc>
      </w:tr>
      <w:tr w14:paraId="53198FE4" w14:textId="77777777" w:rsidTr="00F122F9">
        <w:tblPrEx>
          <w:tblW w:w="9639" w:type="dxa"/>
          <w:jc w:val="center"/>
          <w:tblCellMar>
            <w:left w:w="57" w:type="dxa"/>
            <w:right w:w="57" w:type="dxa"/>
          </w:tblCellMar>
          <w:tblLook w:val="00A0"/>
        </w:tblPrEx>
        <w:trPr>
          <w:trHeight w:val="465"/>
          <w:jc w:val="center"/>
        </w:trPr>
        <w:tc>
          <w:tcPr>
            <w:tcW w:w="250" w:type="pct"/>
          </w:tcPr>
          <w:p w:rsidR="00CB4AAB" w:rsidRPr="00F122F9" w:rsidP="00B63F0E" w14:paraId="0B10B19E" w14:textId="77777777">
            <w:pPr>
              <w:spacing w:before="60" w:after="60"/>
              <w:jc w:val="center"/>
              <w:rPr>
                <w:rFonts w:ascii="Times New Roman" w:hAnsi="Times New Roman"/>
                <w:lang w:eastAsia="lv-LV"/>
              </w:rPr>
            </w:pPr>
            <w:r w:rsidRPr="00F122F9">
              <w:rPr>
                <w:rFonts w:ascii="Times New Roman" w:hAnsi="Times New Roman"/>
                <w:lang w:eastAsia="lv-LV"/>
              </w:rPr>
              <w:t>2.</w:t>
            </w:r>
          </w:p>
        </w:tc>
        <w:tc>
          <w:tcPr>
            <w:tcW w:w="853" w:type="pct"/>
          </w:tcPr>
          <w:p w:rsidR="00CB4AAB" w:rsidRPr="00F122F9" w:rsidP="00B63F0E" w14:paraId="1A7AB4FF" w14:textId="77777777">
            <w:pPr>
              <w:spacing w:before="60" w:after="60"/>
              <w:jc w:val="left"/>
              <w:rPr>
                <w:rFonts w:ascii="Times New Roman" w:hAnsi="Times New Roman"/>
                <w:lang w:eastAsia="lv-LV"/>
              </w:rPr>
            </w:pPr>
            <w:r w:rsidRPr="00810942">
              <w:rPr>
                <w:rFonts w:ascii="Times New Roman" w:hAnsi="Times New Roman"/>
                <w:sz w:val="24"/>
                <w:szCs w:val="24"/>
              </w:rPr>
              <w:t>Pašreizējā situācija un problēmas, kuru risināšanai tiesību akta projekts izstrādāts, tiesiskā regulējuma mērķis un būtība</w:t>
            </w:r>
          </w:p>
        </w:tc>
        <w:tc>
          <w:tcPr>
            <w:tcW w:w="3897" w:type="pct"/>
          </w:tcPr>
          <w:p w:rsidR="00FD5A20" w:rsidRPr="00BD1B94" w:rsidP="00BD1B94" w14:paraId="707E4FC2" w14:textId="234AF625">
            <w:pPr>
              <w:pStyle w:val="naiskr"/>
              <w:spacing w:before="60" w:after="60"/>
              <w:jc w:val="both"/>
              <w:rPr>
                <w:u w:val="single"/>
              </w:rPr>
            </w:pPr>
            <w:r w:rsidRPr="00BD1B94">
              <w:rPr>
                <w:u w:val="single"/>
              </w:rPr>
              <w:t>1.</w:t>
            </w:r>
            <w:r w:rsidR="006B3CC5">
              <w:rPr>
                <w:u w:val="single"/>
              </w:rPr>
              <w:t> </w:t>
            </w:r>
            <w:r w:rsidRPr="00BD1B94" w:rsidR="00CB4AAB">
              <w:rPr>
                <w:u w:val="single"/>
              </w:rPr>
              <w:t>Pašreizējā situācija un problēmas</w:t>
            </w:r>
            <w:r w:rsidRPr="00BD1B94">
              <w:rPr>
                <w:u w:val="single"/>
              </w:rPr>
              <w:t>, pastāvošais tiesiskais regulējums, tā būtība un nepilnības</w:t>
            </w:r>
          </w:p>
          <w:p w:rsidR="00953D71" w:rsidP="00BD1B94" w14:paraId="7976D818" w14:textId="6D1B9744">
            <w:pPr>
              <w:spacing w:before="60" w:after="60"/>
              <w:rPr>
                <w:rFonts w:ascii="Times New Roman" w:hAnsi="Times New Roman"/>
                <w:sz w:val="24"/>
                <w:szCs w:val="24"/>
              </w:rPr>
            </w:pPr>
            <w:r w:rsidRPr="00BD1B94">
              <w:rPr>
                <w:rFonts w:ascii="Times New Roman" w:hAnsi="Times New Roman"/>
                <w:b/>
                <w:sz w:val="24"/>
                <w:szCs w:val="24"/>
              </w:rPr>
              <w:t>1.1. </w:t>
            </w:r>
            <w:r w:rsidRPr="00BD1B94">
              <w:rPr>
                <w:rFonts w:ascii="Times New Roman" w:hAnsi="Times New Roman"/>
                <w:sz w:val="24"/>
                <w:szCs w:val="24"/>
              </w:rPr>
              <w:t>Šobrīd Latvijā ES ETS informācija apmaiņ</w:t>
            </w:r>
            <w:r>
              <w:rPr>
                <w:rFonts w:ascii="Times New Roman" w:hAnsi="Times New Roman"/>
                <w:sz w:val="24"/>
                <w:szCs w:val="24"/>
              </w:rPr>
              <w:t xml:space="preserve">u </w:t>
            </w:r>
            <w:r w:rsidR="00CC153C">
              <w:rPr>
                <w:rFonts w:ascii="Times New Roman" w:hAnsi="Times New Roman"/>
                <w:sz w:val="24"/>
                <w:szCs w:val="24"/>
              </w:rPr>
              <w:t xml:space="preserve">stacionāro tehnoloģisko iekārtu operatoriem </w:t>
            </w:r>
            <w:r>
              <w:rPr>
                <w:rFonts w:ascii="Times New Roman" w:hAnsi="Times New Roman"/>
                <w:sz w:val="24"/>
                <w:szCs w:val="24"/>
              </w:rPr>
              <w:t xml:space="preserve">nosaka Ministru kabineta </w:t>
            </w:r>
            <w:r w:rsidRPr="00953D71">
              <w:rPr>
                <w:rFonts w:ascii="Times New Roman" w:hAnsi="Times New Roman"/>
                <w:sz w:val="24"/>
                <w:szCs w:val="24"/>
              </w:rPr>
              <w:t>2</w:t>
            </w:r>
            <w:r>
              <w:rPr>
                <w:rFonts w:ascii="Times New Roman" w:hAnsi="Times New Roman"/>
                <w:sz w:val="24"/>
                <w:szCs w:val="24"/>
              </w:rPr>
              <w:t>012.</w:t>
            </w:r>
            <w:r w:rsidR="000F74CA">
              <w:rPr>
                <w:rFonts w:ascii="Times New Roman" w:hAnsi="Times New Roman"/>
                <w:sz w:val="24"/>
                <w:szCs w:val="24"/>
              </w:rPr>
              <w:t> </w:t>
            </w:r>
            <w:r>
              <w:rPr>
                <w:rFonts w:ascii="Times New Roman" w:hAnsi="Times New Roman"/>
                <w:sz w:val="24"/>
                <w:szCs w:val="24"/>
              </w:rPr>
              <w:t>gada 13.</w:t>
            </w:r>
            <w:r w:rsidR="000F74CA">
              <w:rPr>
                <w:rFonts w:ascii="Times New Roman" w:hAnsi="Times New Roman"/>
                <w:sz w:val="24"/>
                <w:szCs w:val="24"/>
              </w:rPr>
              <w:t> </w:t>
            </w:r>
            <w:r>
              <w:rPr>
                <w:rFonts w:ascii="Times New Roman" w:hAnsi="Times New Roman"/>
                <w:sz w:val="24"/>
                <w:szCs w:val="24"/>
              </w:rPr>
              <w:t>novembra noteikum</w:t>
            </w:r>
            <w:r w:rsidR="000F74CA">
              <w:rPr>
                <w:rFonts w:ascii="Times New Roman" w:hAnsi="Times New Roman"/>
                <w:sz w:val="24"/>
                <w:szCs w:val="24"/>
              </w:rPr>
              <w:t>u</w:t>
            </w:r>
            <w:r w:rsidRPr="00953D71">
              <w:rPr>
                <w:rFonts w:ascii="Times New Roman" w:hAnsi="Times New Roman"/>
                <w:sz w:val="24"/>
                <w:szCs w:val="24"/>
              </w:rPr>
              <w:t xml:space="preserve"> Nr.</w:t>
            </w:r>
            <w:r w:rsidR="000F74CA">
              <w:rPr>
                <w:rFonts w:ascii="Times New Roman" w:hAnsi="Times New Roman"/>
                <w:sz w:val="24"/>
                <w:szCs w:val="24"/>
              </w:rPr>
              <w:t> </w:t>
            </w:r>
            <w:r w:rsidRPr="00953D71">
              <w:rPr>
                <w:rFonts w:ascii="Times New Roman" w:hAnsi="Times New Roman"/>
                <w:sz w:val="24"/>
                <w:szCs w:val="24"/>
              </w:rPr>
              <w:t>769 „Noteikumi par stacionāro tehnoloģisko iekārtu dalību Eiropas Savienības emisij</w:t>
            </w:r>
            <w:r>
              <w:rPr>
                <w:rFonts w:ascii="Times New Roman" w:hAnsi="Times New Roman"/>
                <w:sz w:val="24"/>
                <w:szCs w:val="24"/>
              </w:rPr>
              <w:t>as kvotu tirdzniecības sistēmā” (turpmāk – noteikumi Nr.</w:t>
            </w:r>
            <w:r w:rsidR="000F74CA">
              <w:rPr>
                <w:rFonts w:ascii="Times New Roman" w:hAnsi="Times New Roman"/>
                <w:sz w:val="24"/>
                <w:szCs w:val="24"/>
              </w:rPr>
              <w:t> </w:t>
            </w:r>
            <w:r>
              <w:rPr>
                <w:rFonts w:ascii="Times New Roman" w:hAnsi="Times New Roman"/>
                <w:sz w:val="24"/>
                <w:szCs w:val="24"/>
              </w:rPr>
              <w:t>769) 3.</w:t>
            </w:r>
            <w:r w:rsidR="000F74CA">
              <w:rPr>
                <w:rFonts w:ascii="Times New Roman" w:hAnsi="Times New Roman"/>
                <w:sz w:val="24"/>
                <w:szCs w:val="24"/>
              </w:rPr>
              <w:t> </w:t>
            </w:r>
            <w:r w:rsidR="00665B9D">
              <w:rPr>
                <w:rFonts w:ascii="Times New Roman" w:hAnsi="Times New Roman"/>
                <w:sz w:val="24"/>
                <w:szCs w:val="24"/>
              </w:rPr>
              <w:t>p</w:t>
            </w:r>
            <w:r>
              <w:rPr>
                <w:rFonts w:ascii="Times New Roman" w:hAnsi="Times New Roman"/>
                <w:sz w:val="24"/>
                <w:szCs w:val="24"/>
              </w:rPr>
              <w:t>unkt</w:t>
            </w:r>
            <w:r w:rsidR="00665B9D">
              <w:rPr>
                <w:rFonts w:ascii="Times New Roman" w:hAnsi="Times New Roman"/>
                <w:sz w:val="24"/>
                <w:szCs w:val="24"/>
              </w:rPr>
              <w:t>s (</w:t>
            </w:r>
            <w:r>
              <w:rPr>
                <w:rFonts w:ascii="Times New Roman" w:hAnsi="Times New Roman"/>
                <w:sz w:val="24"/>
                <w:szCs w:val="24"/>
              </w:rPr>
              <w:t>kā arī 92.</w:t>
            </w:r>
            <w:r w:rsidR="000F74CA">
              <w:rPr>
                <w:rFonts w:ascii="Times New Roman" w:hAnsi="Times New Roman"/>
                <w:sz w:val="24"/>
                <w:szCs w:val="24"/>
              </w:rPr>
              <w:t> </w:t>
            </w:r>
            <w:r w:rsidR="00665B9D">
              <w:rPr>
                <w:rFonts w:ascii="Times New Roman" w:hAnsi="Times New Roman"/>
                <w:sz w:val="24"/>
                <w:szCs w:val="24"/>
              </w:rPr>
              <w:t>p</w:t>
            </w:r>
            <w:r>
              <w:rPr>
                <w:rFonts w:ascii="Times New Roman" w:hAnsi="Times New Roman"/>
                <w:sz w:val="24"/>
                <w:szCs w:val="24"/>
              </w:rPr>
              <w:t>unkt</w:t>
            </w:r>
            <w:r w:rsidR="000F74CA">
              <w:rPr>
                <w:rFonts w:ascii="Times New Roman" w:hAnsi="Times New Roman"/>
                <w:sz w:val="24"/>
                <w:szCs w:val="24"/>
              </w:rPr>
              <w:t>s</w:t>
            </w:r>
            <w:r w:rsidR="00665B9D">
              <w:rPr>
                <w:rFonts w:ascii="Times New Roman" w:hAnsi="Times New Roman"/>
                <w:sz w:val="24"/>
                <w:szCs w:val="24"/>
              </w:rPr>
              <w:t xml:space="preserve"> – attiecībā uz nosacījuma spēkā stāšanās brīdi)</w:t>
            </w:r>
            <w:r>
              <w:rPr>
                <w:rFonts w:ascii="Times New Roman" w:hAnsi="Times New Roman"/>
                <w:sz w:val="24"/>
                <w:szCs w:val="24"/>
              </w:rPr>
              <w:t>, kas no</w:t>
            </w:r>
            <w:r w:rsidR="000F74CA">
              <w:rPr>
                <w:rFonts w:ascii="Times New Roman" w:hAnsi="Times New Roman"/>
                <w:sz w:val="24"/>
                <w:szCs w:val="24"/>
              </w:rPr>
              <w:t>teic</w:t>
            </w:r>
            <w:r>
              <w:rPr>
                <w:rFonts w:ascii="Times New Roman" w:hAnsi="Times New Roman"/>
                <w:sz w:val="24"/>
                <w:szCs w:val="24"/>
              </w:rPr>
              <w:t>, ka informācija var iesnie</w:t>
            </w:r>
            <w:r w:rsidR="000F74CA">
              <w:rPr>
                <w:rFonts w:ascii="Times New Roman" w:hAnsi="Times New Roman"/>
                <w:sz w:val="24"/>
                <w:szCs w:val="24"/>
              </w:rPr>
              <w:t>gt</w:t>
            </w:r>
            <w:r>
              <w:rPr>
                <w:rFonts w:ascii="Times New Roman" w:hAnsi="Times New Roman"/>
                <w:sz w:val="24"/>
                <w:szCs w:val="24"/>
              </w:rPr>
              <w:t xml:space="preserve"> papīra formātā, </w:t>
            </w:r>
            <w:r w:rsidRPr="00953D71">
              <w:rPr>
                <w:rFonts w:ascii="Times New Roman" w:hAnsi="Times New Roman"/>
                <w:sz w:val="24"/>
                <w:szCs w:val="24"/>
              </w:rPr>
              <w:t xml:space="preserve">elektroniska dokumenta formā atbilstoši normatīvajiem aktiem par elektronisko dokumentu noformēšanu vai pēc elektroniskas reģistrēšanās aizpildot informāciju tiešsaistes režīmā Valsts vides dienesta vienotās vides informācijas sistēmas </w:t>
            </w:r>
            <w:r w:rsidR="006E6E80">
              <w:rPr>
                <w:rFonts w:ascii="Times New Roman" w:hAnsi="Times New Roman"/>
                <w:sz w:val="24"/>
                <w:szCs w:val="24"/>
              </w:rPr>
              <w:t>“</w:t>
            </w:r>
            <w:r w:rsidRPr="00953D71">
              <w:rPr>
                <w:rFonts w:ascii="Times New Roman" w:hAnsi="Times New Roman"/>
                <w:sz w:val="24"/>
                <w:szCs w:val="24"/>
              </w:rPr>
              <w:t>TULPE</w:t>
            </w:r>
            <w:r w:rsidR="006E6E80">
              <w:rPr>
                <w:rFonts w:ascii="Times New Roman" w:hAnsi="Times New Roman"/>
                <w:sz w:val="24"/>
                <w:szCs w:val="24"/>
              </w:rPr>
              <w:t>” (turpmāk – sistēma “TULPE”)</w:t>
            </w:r>
            <w:r w:rsidRPr="00953D71">
              <w:rPr>
                <w:rFonts w:ascii="Times New Roman" w:hAnsi="Times New Roman"/>
                <w:sz w:val="24"/>
                <w:szCs w:val="24"/>
              </w:rPr>
              <w:t xml:space="preserve"> </w:t>
            </w:r>
            <w:r w:rsidR="000F74CA">
              <w:rPr>
                <w:rFonts w:ascii="Times New Roman" w:hAnsi="Times New Roman"/>
                <w:sz w:val="24"/>
                <w:szCs w:val="24"/>
              </w:rPr>
              <w:t>tīmekļvietnē</w:t>
            </w:r>
            <w:r>
              <w:rPr>
                <w:rFonts w:ascii="Times New Roman" w:hAnsi="Times New Roman"/>
                <w:sz w:val="24"/>
                <w:szCs w:val="24"/>
              </w:rPr>
              <w:t>. Informācijas iesniegšana papīra formātā (attiecīgo informāciju iesniedzot arī elektroniski, to nosūtot pa elektronisko pastu vai to iesniedzot elektroniskajā datu nesējā) palielina lietved</w:t>
            </w:r>
            <w:r w:rsidR="00665B9D">
              <w:rPr>
                <w:rFonts w:ascii="Times New Roman" w:hAnsi="Times New Roman"/>
                <w:sz w:val="24"/>
                <w:szCs w:val="24"/>
              </w:rPr>
              <w:t>ības</w:t>
            </w:r>
            <w:r>
              <w:rPr>
                <w:rFonts w:ascii="Times New Roman" w:hAnsi="Times New Roman"/>
                <w:sz w:val="24"/>
                <w:szCs w:val="24"/>
              </w:rPr>
              <w:t xml:space="preserve"> noslodzi, kavē informācijas apriti un apgrūtina iesniegšanas procesu operatoriem.</w:t>
            </w:r>
            <w:r w:rsidR="006E6E80">
              <w:rPr>
                <w:rFonts w:ascii="Times New Roman" w:hAnsi="Times New Roman"/>
                <w:sz w:val="24"/>
                <w:szCs w:val="24"/>
              </w:rPr>
              <w:t xml:space="preserve"> Informācijas </w:t>
            </w:r>
            <w:r w:rsidR="006E6E80">
              <w:rPr>
                <w:rFonts w:ascii="Times New Roman" w:hAnsi="Times New Roman"/>
                <w:sz w:val="24"/>
                <w:szCs w:val="24"/>
              </w:rPr>
              <w:t xml:space="preserve">iesniegšana elektroniskā dokumenta formā ir apgrūtinoša maziem </w:t>
            </w:r>
            <w:r w:rsidR="000F74CA">
              <w:rPr>
                <w:rFonts w:ascii="Times New Roman" w:hAnsi="Times New Roman"/>
                <w:sz w:val="24"/>
                <w:szCs w:val="24"/>
              </w:rPr>
              <w:t>komersantiem</w:t>
            </w:r>
            <w:r w:rsidR="006E6E80">
              <w:rPr>
                <w:rFonts w:ascii="Times New Roman" w:hAnsi="Times New Roman"/>
                <w:sz w:val="24"/>
                <w:szCs w:val="24"/>
              </w:rPr>
              <w:t xml:space="preserve">, kuriem nav pieejami elektroniskie paraksti. Savukārt </w:t>
            </w:r>
            <w:r w:rsidR="00A60146">
              <w:rPr>
                <w:rFonts w:ascii="Times New Roman" w:hAnsi="Times New Roman"/>
                <w:sz w:val="24"/>
                <w:szCs w:val="24"/>
              </w:rPr>
              <w:t>sistēmā “TULPE” ir iesniedzami tikai iesniegumi SEG atļaujas saņemšanai, grozīšanai vai atcelšanai, bet tā nav izmantojama emisiju ziņojumu apritē.</w:t>
            </w:r>
          </w:p>
          <w:p w:rsidR="00027636" w:rsidRPr="00BD1B94" w:rsidP="00BD1B94" w14:paraId="529C2460" w14:textId="7E2E24FC">
            <w:pPr>
              <w:spacing w:before="60" w:after="60"/>
              <w:rPr>
                <w:rFonts w:ascii="Times New Roman" w:hAnsi="Times New Roman"/>
                <w:sz w:val="24"/>
                <w:szCs w:val="24"/>
              </w:rPr>
            </w:pPr>
            <w:r w:rsidRPr="00BD1B94">
              <w:rPr>
                <w:rFonts w:ascii="Times New Roman" w:hAnsi="Times New Roman"/>
                <w:sz w:val="24"/>
                <w:szCs w:val="24"/>
              </w:rPr>
              <w:t xml:space="preserve">Informācijas uzglabāšanu ikviens ES ETS dalībnieks veic individuāli izvēlētā veidā, kas būtiski apgrūtina informācijas pārbaudi verificētājiem un palielina darba apjomu ES ETS operatoriem informācijas uzglabāšanas sistēmas aprakstam (katram ES ETS operatoram saskaņā ar Eiropas Komisijas 2012. gada 21. jūnija Regulu Nr. 601/2012 </w:t>
            </w:r>
            <w:r w:rsidRPr="002104E0">
              <w:rPr>
                <w:rFonts w:ascii="Times New Roman" w:hAnsi="Times New Roman"/>
                <w:i/>
                <w:sz w:val="24"/>
                <w:szCs w:val="24"/>
              </w:rPr>
              <w:t>par siltumnīcefekta gāzu emisiju monitoringu un ziņošanu saskaņā ar Eiropas Parlamenta un Padomes Direktīvu 2003/87/EK</w:t>
            </w:r>
            <w:r w:rsidRPr="00BD1B94">
              <w:rPr>
                <w:rFonts w:ascii="Times New Roman" w:hAnsi="Times New Roman"/>
                <w:sz w:val="24"/>
                <w:szCs w:val="24"/>
              </w:rPr>
              <w:t xml:space="preserve"> </w:t>
            </w:r>
            <w:r w:rsidR="008D4B24">
              <w:rPr>
                <w:rFonts w:ascii="Times New Roman" w:hAnsi="Times New Roman"/>
                <w:sz w:val="24"/>
                <w:szCs w:val="24"/>
              </w:rPr>
              <w:t>(turpmāk – regula Nr.</w:t>
            </w:r>
            <w:r w:rsidR="000F74CA">
              <w:rPr>
                <w:rFonts w:ascii="Times New Roman" w:hAnsi="Times New Roman"/>
                <w:sz w:val="24"/>
                <w:szCs w:val="24"/>
              </w:rPr>
              <w:t> </w:t>
            </w:r>
            <w:r w:rsidR="008D4B24">
              <w:rPr>
                <w:rFonts w:ascii="Times New Roman" w:hAnsi="Times New Roman"/>
                <w:sz w:val="24"/>
                <w:szCs w:val="24"/>
              </w:rPr>
              <w:t xml:space="preserve">601/2012) </w:t>
            </w:r>
            <w:r w:rsidRPr="00BD1B94">
              <w:rPr>
                <w:rFonts w:ascii="Times New Roman" w:hAnsi="Times New Roman"/>
                <w:sz w:val="24"/>
                <w:szCs w:val="24"/>
              </w:rPr>
              <w:t xml:space="preserve">jāsagatavo un jāiesniedz kompetentajai iestādei SEG atļaujas saņemšanai arī monitoringa plāns, kurā jāiekļauj detalizēta informācija par visas SEG monitoringam un ziņošanai nepieciešamās informācijas uzglabāšanas un arhivēšanas procedūru). </w:t>
            </w:r>
          </w:p>
          <w:p w:rsidR="002104E0" w:rsidRPr="00BD1B94" w:rsidP="00BD1B94" w14:paraId="46C48ED1" w14:textId="4B4DE024">
            <w:pPr>
              <w:spacing w:before="60" w:after="60"/>
              <w:rPr>
                <w:rFonts w:ascii="Times New Roman" w:hAnsi="Times New Roman"/>
                <w:sz w:val="24"/>
                <w:szCs w:val="24"/>
              </w:rPr>
            </w:pPr>
            <w:r w:rsidRPr="00BD1B94">
              <w:rPr>
                <w:rFonts w:ascii="Times New Roman" w:hAnsi="Times New Roman"/>
                <w:sz w:val="24"/>
                <w:szCs w:val="24"/>
              </w:rPr>
              <w:t>Lielu daļu informācijas VVD publicē savā tīmekļvietnē, kas palielina administratīvo slogu VVD un VVD reģionālo vides pārvalžu inspektoriem.</w:t>
            </w:r>
          </w:p>
          <w:p w:rsidR="0012446F" w:rsidRPr="00BD1B94" w:rsidP="00BD1B94" w14:paraId="08010462" w14:textId="06DD0418">
            <w:pPr>
              <w:spacing w:before="60" w:after="60"/>
              <w:rPr>
                <w:rFonts w:ascii="Times New Roman" w:hAnsi="Times New Roman"/>
                <w:sz w:val="24"/>
                <w:szCs w:val="24"/>
              </w:rPr>
            </w:pPr>
            <w:r w:rsidRPr="00BD1B94">
              <w:rPr>
                <w:rFonts w:ascii="Times New Roman" w:hAnsi="Times New Roman"/>
                <w:b/>
                <w:sz w:val="24"/>
                <w:szCs w:val="24"/>
              </w:rPr>
              <w:t>1.2.</w:t>
            </w:r>
            <w:r w:rsidR="006B3CC5">
              <w:rPr>
                <w:rFonts w:ascii="Times New Roman" w:hAnsi="Times New Roman"/>
                <w:b/>
                <w:sz w:val="24"/>
                <w:szCs w:val="24"/>
              </w:rPr>
              <w:t> </w:t>
            </w:r>
            <w:r w:rsidRPr="00BD1B94">
              <w:rPr>
                <w:rFonts w:ascii="Times New Roman" w:hAnsi="Times New Roman"/>
                <w:sz w:val="24"/>
                <w:szCs w:val="24"/>
              </w:rPr>
              <w:t>Šobrīd SEG atļaujas izsniegšanas termiņš ir Administratīvā procesa likumā noteiktais administratīvā akta pieņemšanas termiņš (30 dienas), kuru VVD var pagarināt, ja nepieciešams saņemt papildus informāciju. Šis termiņš ir pārāk īss un papildus pagarināšanai nepieciešamā lēmuma pieņemšana arī rada papildus administratīvo slogu.</w:t>
            </w:r>
            <w:r w:rsidRPr="00BD1B94" w:rsidR="00BE3EBF">
              <w:rPr>
                <w:rFonts w:ascii="Times New Roman" w:hAnsi="Times New Roman"/>
                <w:sz w:val="24"/>
                <w:szCs w:val="24"/>
              </w:rPr>
              <w:t xml:space="preserve"> Saskaņā ar Admin</w:t>
            </w:r>
            <w:r w:rsidR="006B3CC5">
              <w:rPr>
                <w:rFonts w:ascii="Times New Roman" w:hAnsi="Times New Roman"/>
                <w:sz w:val="24"/>
                <w:szCs w:val="24"/>
              </w:rPr>
              <w:t>is</w:t>
            </w:r>
            <w:r w:rsidRPr="00BD1B94" w:rsidR="00BE3EBF">
              <w:rPr>
                <w:rFonts w:ascii="Times New Roman" w:hAnsi="Times New Roman"/>
                <w:sz w:val="24"/>
                <w:szCs w:val="24"/>
              </w:rPr>
              <w:t>tratīvā procesa likuma 64.</w:t>
            </w:r>
            <w:r w:rsidR="006B3CC5">
              <w:rPr>
                <w:rFonts w:ascii="Times New Roman" w:hAnsi="Times New Roman"/>
                <w:sz w:val="24"/>
                <w:szCs w:val="24"/>
              </w:rPr>
              <w:t> </w:t>
            </w:r>
            <w:r w:rsidRPr="00BD1B94" w:rsidR="00BE3EBF">
              <w:rPr>
                <w:rFonts w:ascii="Times New Roman" w:hAnsi="Times New Roman"/>
                <w:sz w:val="24"/>
                <w:szCs w:val="24"/>
              </w:rPr>
              <w:t>pant</w:t>
            </w:r>
            <w:r w:rsidR="006B3CC5">
              <w:rPr>
                <w:rFonts w:ascii="Times New Roman" w:hAnsi="Times New Roman"/>
                <w:sz w:val="24"/>
                <w:szCs w:val="24"/>
              </w:rPr>
              <w:t>a</w:t>
            </w:r>
            <w:r w:rsidRPr="00BD1B94" w:rsidR="00BE3EBF">
              <w:rPr>
                <w:rFonts w:ascii="Times New Roman" w:hAnsi="Times New Roman"/>
                <w:sz w:val="24"/>
                <w:szCs w:val="24"/>
              </w:rPr>
              <w:t xml:space="preserve"> otro daļu VVD var pieņemt lēmumu pagarināt termiņu, kādā tiek izdots administratīvais akts – SEG atļauja, kas pēc būtības ir VVD lēmums. Saskaņā ar </w:t>
            </w:r>
            <w:r w:rsidRPr="00BD1B94" w:rsidR="00DD0805">
              <w:rPr>
                <w:rFonts w:ascii="Times New Roman" w:hAnsi="Times New Roman"/>
                <w:sz w:val="24"/>
                <w:szCs w:val="24"/>
              </w:rPr>
              <w:t>Ministru kabineta 2012.</w:t>
            </w:r>
            <w:r w:rsidR="006B3CC5">
              <w:rPr>
                <w:rFonts w:ascii="Times New Roman" w:hAnsi="Times New Roman"/>
                <w:sz w:val="24"/>
                <w:szCs w:val="24"/>
              </w:rPr>
              <w:t> </w:t>
            </w:r>
            <w:r w:rsidRPr="00BD1B94" w:rsidR="00DD0805">
              <w:rPr>
                <w:rFonts w:ascii="Times New Roman" w:hAnsi="Times New Roman"/>
                <w:sz w:val="24"/>
                <w:szCs w:val="24"/>
              </w:rPr>
              <w:t>gada 13.</w:t>
            </w:r>
            <w:r w:rsidR="006B3CC5">
              <w:rPr>
                <w:rFonts w:ascii="Times New Roman" w:hAnsi="Times New Roman"/>
                <w:sz w:val="24"/>
                <w:szCs w:val="24"/>
              </w:rPr>
              <w:t> </w:t>
            </w:r>
            <w:r w:rsidRPr="00BD1B94" w:rsidR="00DD0805">
              <w:rPr>
                <w:rFonts w:ascii="Times New Roman" w:hAnsi="Times New Roman"/>
                <w:sz w:val="24"/>
                <w:szCs w:val="24"/>
              </w:rPr>
              <w:t>novembra noteikumos Nr.</w:t>
            </w:r>
            <w:r w:rsidR="006B3CC5">
              <w:rPr>
                <w:rFonts w:ascii="Times New Roman" w:hAnsi="Times New Roman"/>
                <w:sz w:val="24"/>
                <w:szCs w:val="24"/>
              </w:rPr>
              <w:t> </w:t>
            </w:r>
            <w:r w:rsidRPr="00BD1B94" w:rsidR="00DD0805">
              <w:rPr>
                <w:rFonts w:ascii="Times New Roman" w:hAnsi="Times New Roman"/>
                <w:sz w:val="24"/>
                <w:szCs w:val="24"/>
              </w:rPr>
              <w:t xml:space="preserve">769 „Noteikumi par stacionāro tehnoloģisko iekārtu dalību Eiropas Savienības emisijas kvotu tirdzniecības sistēmā” (turpmāk – </w:t>
            </w:r>
            <w:r w:rsidRPr="00BD1B94" w:rsidR="00BE3EBF">
              <w:rPr>
                <w:rFonts w:ascii="Times New Roman" w:hAnsi="Times New Roman"/>
                <w:sz w:val="24"/>
                <w:szCs w:val="24"/>
              </w:rPr>
              <w:t>Noteikum</w:t>
            </w:r>
            <w:r w:rsidRPr="00BD1B94" w:rsidR="00DD0805">
              <w:rPr>
                <w:rFonts w:ascii="Times New Roman" w:hAnsi="Times New Roman"/>
                <w:sz w:val="24"/>
                <w:szCs w:val="24"/>
              </w:rPr>
              <w:t>i</w:t>
            </w:r>
            <w:r w:rsidRPr="00BD1B94" w:rsidR="00BE3EBF">
              <w:rPr>
                <w:rFonts w:ascii="Times New Roman" w:hAnsi="Times New Roman"/>
                <w:sz w:val="24"/>
                <w:szCs w:val="24"/>
              </w:rPr>
              <w:t xml:space="preserve"> Nr.</w:t>
            </w:r>
            <w:r w:rsidR="006B3CC5">
              <w:rPr>
                <w:rFonts w:ascii="Times New Roman" w:hAnsi="Times New Roman"/>
                <w:sz w:val="24"/>
                <w:szCs w:val="24"/>
              </w:rPr>
              <w:t> </w:t>
            </w:r>
            <w:r w:rsidRPr="00BD1B94" w:rsidR="00BE3EBF">
              <w:rPr>
                <w:rFonts w:ascii="Times New Roman" w:hAnsi="Times New Roman"/>
                <w:sz w:val="24"/>
                <w:szCs w:val="24"/>
              </w:rPr>
              <w:t>769</w:t>
            </w:r>
            <w:r w:rsidRPr="00BD1B94" w:rsidR="00DD0805">
              <w:rPr>
                <w:rFonts w:ascii="Times New Roman" w:hAnsi="Times New Roman"/>
                <w:sz w:val="24"/>
                <w:szCs w:val="24"/>
              </w:rPr>
              <w:t>)</w:t>
            </w:r>
            <w:r w:rsidRPr="00BD1B94" w:rsidR="00BE3EBF">
              <w:rPr>
                <w:rFonts w:ascii="Times New Roman" w:hAnsi="Times New Roman"/>
                <w:sz w:val="24"/>
                <w:szCs w:val="24"/>
              </w:rPr>
              <w:t xml:space="preserve"> iekļauto nosacījumu operatori SEG atļaujas saņemšanai vai grozīšanai iesniedz arī iesniegumu atļaujas A vai B kategorijas piesārņojošās darbības veikšanai saņemšanai vai gr</w:t>
            </w:r>
            <w:r w:rsidR="005A02D7">
              <w:rPr>
                <w:rFonts w:ascii="Times New Roman" w:hAnsi="Times New Roman"/>
                <w:sz w:val="24"/>
                <w:szCs w:val="24"/>
              </w:rPr>
              <w:t xml:space="preserve">ozīšanai. VVD šie iesniegumi </w:t>
            </w:r>
            <w:r w:rsidRPr="00BD1B94" w:rsidR="00BE3EBF">
              <w:rPr>
                <w:rFonts w:ascii="Times New Roman" w:hAnsi="Times New Roman"/>
                <w:sz w:val="24"/>
                <w:szCs w:val="24"/>
              </w:rPr>
              <w:t>jāskata kopā, jo ta</w:t>
            </w:r>
            <w:r w:rsidR="005A02D7">
              <w:rPr>
                <w:rFonts w:ascii="Times New Roman" w:hAnsi="Times New Roman"/>
                <w:sz w:val="24"/>
                <w:szCs w:val="24"/>
              </w:rPr>
              <w:t xml:space="preserve">jos iekļautajai informācijai </w:t>
            </w:r>
            <w:r w:rsidRPr="00BD1B94" w:rsidR="00BE3EBF">
              <w:rPr>
                <w:rFonts w:ascii="Times New Roman" w:hAnsi="Times New Roman"/>
                <w:sz w:val="24"/>
                <w:szCs w:val="24"/>
              </w:rPr>
              <w:t>jābūt konsekventai (piemēram, ja iesniegumā SEG atļaujas grozījumiem ir minēts, ka operators ir nomainījis izmantoto kurināmo, tad šādiem grozījumiem ir jāparādās arī atļaujai A vai B kategorijas piesārņojošās darbības veikšanai.</w:t>
            </w:r>
            <w:r w:rsidRPr="00BD1B94" w:rsidR="00DD0805">
              <w:rPr>
                <w:rFonts w:ascii="Times New Roman" w:hAnsi="Times New Roman"/>
                <w:sz w:val="24"/>
                <w:szCs w:val="24"/>
              </w:rPr>
              <w:t xml:space="preserve"> Tomēr šo diva veida atļauju izsniegšanai vai grozījumu veikšanai ir noteikti dažādi termiņi, kas apgrūtina VVD darbu. Ja </w:t>
            </w:r>
            <w:r w:rsidR="000F74CA">
              <w:rPr>
                <w:rFonts w:ascii="Times New Roman" w:hAnsi="Times New Roman"/>
                <w:sz w:val="24"/>
                <w:szCs w:val="24"/>
              </w:rPr>
              <w:t>jāizprasa</w:t>
            </w:r>
            <w:r w:rsidRPr="00BD1B94" w:rsidR="00DD0805">
              <w:rPr>
                <w:rFonts w:ascii="Times New Roman" w:hAnsi="Times New Roman"/>
                <w:sz w:val="24"/>
                <w:szCs w:val="24"/>
              </w:rPr>
              <w:t xml:space="preserve"> papildus informācija ES ETS operatoram par iesniegumā vienas vai otras atļaujas saņemšanai vai grozīšanai (kas praktiski ir 100</w:t>
            </w:r>
            <w:r w:rsidR="006B3CC5">
              <w:rPr>
                <w:rFonts w:ascii="Times New Roman" w:hAnsi="Times New Roman"/>
                <w:sz w:val="24"/>
                <w:szCs w:val="24"/>
              </w:rPr>
              <w:t> </w:t>
            </w:r>
            <w:r w:rsidRPr="00BD1B94" w:rsidR="00DD0805">
              <w:rPr>
                <w:rFonts w:ascii="Times New Roman" w:hAnsi="Times New Roman"/>
                <w:sz w:val="24"/>
                <w:szCs w:val="24"/>
              </w:rPr>
              <w:t>% gadījumu), tad VVD vēl ir arī jāpieņem papildus vēl viens administratīvais akts (lēmums) par SEG atļaujas izsniegšanai vai grozījumu veikšanas termiņa pagarinājumu.</w:t>
            </w:r>
          </w:p>
          <w:p w:rsidR="0012446F" w:rsidRPr="00FF6CA8" w:rsidP="00BD1B94" w14:paraId="09554D5D" w14:textId="6714AD36">
            <w:pPr>
              <w:spacing w:before="60" w:after="60"/>
              <w:rPr>
                <w:rFonts w:ascii="Times New Roman" w:hAnsi="Times New Roman"/>
                <w:sz w:val="24"/>
                <w:szCs w:val="24"/>
              </w:rPr>
            </w:pPr>
            <w:r w:rsidRPr="00BD1B94">
              <w:rPr>
                <w:rFonts w:ascii="Times New Roman" w:hAnsi="Times New Roman"/>
                <w:b/>
                <w:sz w:val="24"/>
                <w:szCs w:val="24"/>
              </w:rPr>
              <w:t>1.3.</w:t>
            </w:r>
            <w:r w:rsidR="006B3CC5">
              <w:rPr>
                <w:rFonts w:ascii="Times New Roman" w:hAnsi="Times New Roman"/>
                <w:sz w:val="24"/>
                <w:szCs w:val="24"/>
              </w:rPr>
              <w:t> </w:t>
            </w:r>
            <w:r w:rsidRPr="00BD1B94" w:rsidR="006321B1">
              <w:rPr>
                <w:rFonts w:ascii="Times New Roman" w:hAnsi="Times New Roman"/>
                <w:sz w:val="24"/>
                <w:szCs w:val="24"/>
              </w:rPr>
              <w:t>Š</w:t>
            </w:r>
            <w:r w:rsidRPr="00BD1B94">
              <w:rPr>
                <w:rFonts w:ascii="Times New Roman" w:hAnsi="Times New Roman"/>
                <w:sz w:val="24"/>
                <w:szCs w:val="24"/>
              </w:rPr>
              <w:t>obrīd Noteikumos Nr.</w:t>
            </w:r>
            <w:r w:rsidR="006B3CC5">
              <w:rPr>
                <w:rFonts w:ascii="Times New Roman" w:hAnsi="Times New Roman"/>
                <w:sz w:val="24"/>
                <w:szCs w:val="24"/>
              </w:rPr>
              <w:t> </w:t>
            </w:r>
            <w:r w:rsidRPr="00BD1B94">
              <w:rPr>
                <w:rFonts w:ascii="Times New Roman" w:hAnsi="Times New Roman"/>
                <w:sz w:val="24"/>
                <w:szCs w:val="24"/>
              </w:rPr>
              <w:t>769</w:t>
            </w:r>
            <w:r w:rsidRPr="00BD1B94" w:rsidR="006321B1">
              <w:rPr>
                <w:rFonts w:ascii="Times New Roman" w:hAnsi="Times New Roman"/>
                <w:sz w:val="24"/>
                <w:szCs w:val="24"/>
              </w:rPr>
              <w:t xml:space="preserve"> ir iekļauts izņēmums attiecībā uz atļaujas atcelšanas termiņu tiem ES ETS operatoriem, kuri ir brīvprātīgie dalībnieki (neveic kādu no likuma “Par piesārņojumu” 2.</w:t>
            </w:r>
            <w:r w:rsidR="006B3CC5">
              <w:rPr>
                <w:rFonts w:ascii="Times New Roman" w:hAnsi="Times New Roman"/>
                <w:sz w:val="24"/>
                <w:szCs w:val="24"/>
              </w:rPr>
              <w:t> </w:t>
            </w:r>
            <w:r w:rsidRPr="00BD1B94" w:rsidR="006321B1">
              <w:rPr>
                <w:rFonts w:ascii="Times New Roman" w:hAnsi="Times New Roman"/>
                <w:sz w:val="24"/>
                <w:szCs w:val="24"/>
              </w:rPr>
              <w:t>pielikumā minēto darbību). Likumā “Par piesārņojumu” ir veikti grozījumi</w:t>
            </w:r>
            <w:r w:rsidR="006B3CC5">
              <w:rPr>
                <w:rFonts w:ascii="Times New Roman" w:hAnsi="Times New Roman"/>
                <w:sz w:val="24"/>
                <w:szCs w:val="24"/>
              </w:rPr>
              <w:t>,</w:t>
            </w:r>
            <w:r w:rsidRPr="00BD1B94" w:rsidR="006321B1">
              <w:rPr>
                <w:rFonts w:ascii="Times New Roman" w:hAnsi="Times New Roman"/>
                <w:sz w:val="24"/>
                <w:szCs w:val="24"/>
              </w:rPr>
              <w:t xml:space="preserve"> un ir svītrots nosacījums, ka šiem ES ETS operatoriem izsniegtā atļauja tiek atcelta ar konkrētā kalendārā </w:t>
            </w:r>
            <w:r w:rsidRPr="00FF6CA8" w:rsidR="006321B1">
              <w:rPr>
                <w:rFonts w:ascii="Times New Roman" w:hAnsi="Times New Roman"/>
                <w:sz w:val="24"/>
                <w:szCs w:val="24"/>
              </w:rPr>
              <w:t>gada 31.</w:t>
            </w:r>
            <w:r w:rsidRPr="00FF6CA8" w:rsidR="006B3CC5">
              <w:rPr>
                <w:rFonts w:ascii="Times New Roman" w:hAnsi="Times New Roman"/>
                <w:sz w:val="24"/>
                <w:szCs w:val="24"/>
              </w:rPr>
              <w:t> </w:t>
            </w:r>
            <w:r w:rsidRPr="00FF6CA8" w:rsidR="006321B1">
              <w:rPr>
                <w:rFonts w:ascii="Times New Roman" w:hAnsi="Times New Roman"/>
                <w:sz w:val="24"/>
                <w:szCs w:val="24"/>
              </w:rPr>
              <w:t>decembri (līdz ar to lēmums par atļaujas atcelšanu stājas spēkā lēmuma pieņemšanas brīdī). Līdz ar to nepieciešams Noteikumu Nr.</w:t>
            </w:r>
            <w:r w:rsidRPr="00FF6CA8" w:rsidR="006B3CC5">
              <w:rPr>
                <w:rFonts w:ascii="Times New Roman" w:hAnsi="Times New Roman"/>
                <w:sz w:val="24"/>
                <w:szCs w:val="24"/>
              </w:rPr>
              <w:t> </w:t>
            </w:r>
            <w:r w:rsidRPr="00FF6CA8" w:rsidR="006321B1">
              <w:rPr>
                <w:rFonts w:ascii="Times New Roman" w:hAnsi="Times New Roman"/>
                <w:sz w:val="24"/>
                <w:szCs w:val="24"/>
              </w:rPr>
              <w:t>769 nosacījumus piemērot likumā “Par piesārņojumu” iekļautajiem nosacījumiem.</w:t>
            </w:r>
          </w:p>
          <w:p w:rsidR="00FF6CA8" w:rsidRPr="00FF6CA8" w:rsidP="00BD1B94" w14:paraId="3897A6C9" w14:textId="7ED787B2">
            <w:pPr>
              <w:spacing w:before="60" w:after="60"/>
              <w:rPr>
                <w:rFonts w:ascii="Times New Roman" w:eastAsia="Times New Roman" w:hAnsi="Times New Roman"/>
                <w:bCs/>
                <w:sz w:val="24"/>
                <w:szCs w:val="24"/>
              </w:rPr>
            </w:pPr>
            <w:r w:rsidRPr="00FF6CA8">
              <w:rPr>
                <w:rFonts w:ascii="Times New Roman" w:hAnsi="Times New Roman"/>
                <w:b/>
                <w:sz w:val="24"/>
                <w:szCs w:val="24"/>
              </w:rPr>
              <w:t>1.4.</w:t>
            </w:r>
            <w:r w:rsidR="000F74CA">
              <w:rPr>
                <w:rFonts w:ascii="Times New Roman" w:hAnsi="Times New Roman"/>
                <w:sz w:val="24"/>
                <w:szCs w:val="24"/>
              </w:rPr>
              <w:t> </w:t>
            </w:r>
            <w:r>
              <w:rPr>
                <w:rFonts w:ascii="Times New Roman" w:hAnsi="Times New Roman"/>
                <w:sz w:val="24"/>
                <w:szCs w:val="24"/>
              </w:rPr>
              <w:t>Š</w:t>
            </w:r>
            <w:r w:rsidRPr="00FF6CA8">
              <w:rPr>
                <w:rFonts w:ascii="Times New Roman" w:hAnsi="Times New Roman"/>
                <w:sz w:val="24"/>
                <w:szCs w:val="24"/>
              </w:rPr>
              <w:t>obrīd noteikumu Nr.</w:t>
            </w:r>
            <w:r w:rsidR="000F74CA">
              <w:rPr>
                <w:rFonts w:ascii="Times New Roman" w:hAnsi="Times New Roman"/>
                <w:sz w:val="24"/>
                <w:szCs w:val="24"/>
              </w:rPr>
              <w:t> </w:t>
            </w:r>
            <w:r>
              <w:rPr>
                <w:rFonts w:ascii="Times New Roman" w:hAnsi="Times New Roman"/>
                <w:sz w:val="24"/>
                <w:szCs w:val="24"/>
              </w:rPr>
              <w:t>769</w:t>
            </w:r>
            <w:r w:rsidRPr="00FF6CA8">
              <w:rPr>
                <w:rFonts w:ascii="Times New Roman" w:hAnsi="Times New Roman"/>
                <w:sz w:val="24"/>
                <w:szCs w:val="24"/>
              </w:rPr>
              <w:t xml:space="preserve"> 48.</w:t>
            </w:r>
            <w:r w:rsidRPr="00FF6CA8">
              <w:rPr>
                <w:rFonts w:ascii="Times New Roman" w:hAnsi="Times New Roman"/>
                <w:sz w:val="24"/>
                <w:szCs w:val="24"/>
                <w:vertAlign w:val="superscript"/>
              </w:rPr>
              <w:t>1</w:t>
            </w:r>
            <w:r w:rsidRPr="00FF6CA8">
              <w:rPr>
                <w:rFonts w:ascii="Times New Roman" w:hAnsi="Times New Roman"/>
                <w:sz w:val="24"/>
                <w:szCs w:val="24"/>
              </w:rPr>
              <w:t> punkt</w:t>
            </w:r>
            <w:r w:rsidR="000F74CA">
              <w:rPr>
                <w:rFonts w:ascii="Times New Roman" w:hAnsi="Times New Roman"/>
                <w:sz w:val="24"/>
                <w:szCs w:val="24"/>
              </w:rPr>
              <w:t>s paredz</w:t>
            </w:r>
            <w:r w:rsidRPr="00FF6CA8">
              <w:rPr>
                <w:rFonts w:ascii="Times New Roman" w:hAnsi="Times New Roman"/>
                <w:sz w:val="24"/>
                <w:szCs w:val="24"/>
              </w:rPr>
              <w:t xml:space="preserve">, ka veidlapa ziņošanai par to finanšu līdzekļu izlietojumu, kurus operators attiecīgajā kalendāra gadā ir </w:t>
            </w:r>
            <w:r w:rsidRPr="00FF6CA8">
              <w:rPr>
                <w:rFonts w:ascii="Times New Roman" w:hAnsi="Times New Roman"/>
                <w:sz w:val="24"/>
                <w:szCs w:val="24"/>
              </w:rPr>
              <w:t>guvis, pārdodot tam bez maksas piešķirtās emisijas kvotas, ir pieejama tikai VVD tīmekļvietnē, kā rezultātā varētu būt problēmas nodrošināt informācijas pieejamības nepārtrauktību, ņemot vērā to, ka VVD tīmekļvietne var būt nepieejama zināmu laiku.</w:t>
            </w:r>
          </w:p>
          <w:p w:rsidR="00CB4AAB" w:rsidRPr="00BD1B94" w:rsidP="00BD1B94" w14:paraId="2885A2C8" w14:textId="55A542F5">
            <w:pPr>
              <w:pStyle w:val="naiskr"/>
              <w:spacing w:before="60" w:after="60"/>
              <w:jc w:val="both"/>
              <w:rPr>
                <w:u w:val="single"/>
              </w:rPr>
            </w:pPr>
            <w:r w:rsidRPr="00BD1B94">
              <w:rPr>
                <w:b/>
                <w:u w:val="single"/>
              </w:rPr>
              <w:t>2.</w:t>
            </w:r>
            <w:r w:rsidR="006B3CC5">
              <w:rPr>
                <w:u w:val="single"/>
              </w:rPr>
              <w:t> </w:t>
            </w:r>
            <w:r w:rsidRPr="00BD1B94">
              <w:rPr>
                <w:u w:val="single"/>
              </w:rPr>
              <w:t>Noteikumu projekts izstrād</w:t>
            </w:r>
            <w:r w:rsidR="006B3CC5">
              <w:rPr>
                <w:u w:val="single"/>
              </w:rPr>
              <w:t xml:space="preserve">es </w:t>
            </w:r>
            <w:r w:rsidRPr="00BD1B94">
              <w:rPr>
                <w:u w:val="single"/>
              </w:rPr>
              <w:t>mērķi</w:t>
            </w:r>
            <w:r w:rsidR="006B3CC5">
              <w:rPr>
                <w:u w:val="single"/>
              </w:rPr>
              <w:t>s:</w:t>
            </w:r>
          </w:p>
          <w:p w:rsidR="00C878F9" w:rsidP="00BD1B94" w14:paraId="3A00FF2D" w14:textId="2D7DAA88">
            <w:pPr>
              <w:spacing w:before="60" w:after="60"/>
              <w:rPr>
                <w:rFonts w:ascii="Times New Roman" w:hAnsi="Times New Roman"/>
                <w:sz w:val="24"/>
                <w:szCs w:val="24"/>
              </w:rPr>
            </w:pPr>
            <w:r w:rsidRPr="00BD1B94">
              <w:rPr>
                <w:rFonts w:ascii="Times New Roman" w:hAnsi="Times New Roman"/>
                <w:b/>
                <w:sz w:val="24"/>
                <w:szCs w:val="24"/>
              </w:rPr>
              <w:t>2.1.</w:t>
            </w:r>
            <w:r w:rsidR="006B3CC5">
              <w:rPr>
                <w:rFonts w:ascii="Times New Roman" w:hAnsi="Times New Roman"/>
                <w:b/>
                <w:sz w:val="24"/>
                <w:szCs w:val="24"/>
              </w:rPr>
              <w:t> </w:t>
            </w:r>
            <w:r>
              <w:rPr>
                <w:rFonts w:ascii="Times New Roman" w:hAnsi="Times New Roman"/>
                <w:sz w:val="24"/>
                <w:szCs w:val="24"/>
              </w:rPr>
              <w:t>A</w:t>
            </w:r>
            <w:r w:rsidRPr="00C878F9">
              <w:rPr>
                <w:rFonts w:ascii="Times New Roman" w:hAnsi="Times New Roman"/>
                <w:sz w:val="24"/>
                <w:szCs w:val="24"/>
              </w:rPr>
              <w:t xml:space="preserve">r noteikumu projektu tiek </w:t>
            </w:r>
            <w:r w:rsidR="00C06B59">
              <w:rPr>
                <w:rFonts w:ascii="Times New Roman" w:hAnsi="Times New Roman"/>
                <w:sz w:val="24"/>
                <w:szCs w:val="24"/>
              </w:rPr>
              <w:t>noteikti</w:t>
            </w:r>
            <w:r>
              <w:rPr>
                <w:rFonts w:ascii="Times New Roman" w:hAnsi="Times New Roman"/>
                <w:b/>
                <w:sz w:val="24"/>
                <w:szCs w:val="24"/>
              </w:rPr>
              <w:t xml:space="preserve"> </w:t>
            </w:r>
            <w:r w:rsidRPr="00BD1B94">
              <w:rPr>
                <w:rFonts w:ascii="Times New Roman" w:hAnsi="Times New Roman"/>
                <w:sz w:val="24"/>
                <w:szCs w:val="24"/>
              </w:rPr>
              <w:t>nosacījum</w:t>
            </w:r>
            <w:r>
              <w:rPr>
                <w:rFonts w:ascii="Times New Roman" w:hAnsi="Times New Roman"/>
                <w:sz w:val="24"/>
                <w:szCs w:val="24"/>
              </w:rPr>
              <w:t>i</w:t>
            </w:r>
            <w:r w:rsidRPr="00BD1B94">
              <w:rPr>
                <w:rFonts w:ascii="Times New Roman" w:hAnsi="Times New Roman"/>
                <w:sz w:val="24"/>
                <w:szCs w:val="24"/>
              </w:rPr>
              <w:t xml:space="preserve"> izmantot ES ETS informācijas apmaiņas sistēmu DECLARE,</w:t>
            </w:r>
            <w:r>
              <w:rPr>
                <w:rFonts w:ascii="Times New Roman" w:hAnsi="Times New Roman"/>
                <w:sz w:val="24"/>
                <w:szCs w:val="24"/>
              </w:rPr>
              <w:t xml:space="preserve"> jo</w:t>
            </w:r>
            <w:r w:rsidR="000F74CA">
              <w:rPr>
                <w:rFonts w:ascii="Times New Roman" w:hAnsi="Times New Roman"/>
                <w:sz w:val="24"/>
                <w:szCs w:val="24"/>
              </w:rPr>
              <w:t>,</w:t>
            </w:r>
            <w:r>
              <w:rPr>
                <w:rFonts w:ascii="Times New Roman" w:hAnsi="Times New Roman"/>
                <w:sz w:val="24"/>
                <w:szCs w:val="24"/>
              </w:rPr>
              <w:t xml:space="preserve"> izmantojot</w:t>
            </w:r>
            <w:r w:rsidR="000F74CA">
              <w:rPr>
                <w:rFonts w:ascii="Times New Roman" w:hAnsi="Times New Roman"/>
                <w:sz w:val="24"/>
                <w:szCs w:val="24"/>
              </w:rPr>
              <w:t xml:space="preserve"> </w:t>
            </w:r>
            <w:r w:rsidRPr="00BD1B94">
              <w:rPr>
                <w:rFonts w:ascii="Times New Roman" w:hAnsi="Times New Roman"/>
                <w:sz w:val="24"/>
                <w:szCs w:val="24"/>
              </w:rPr>
              <w:t>šādu informācijas apmaiņas un uzglabāšanas rīku, būtiski samazināsies administratīvais slogs ES ETS operatoriem – nepieciešamais darba apjoms un laiks noteiktās informācijas iesniegšanai verificētājiem un pēc tam arī VVD.</w:t>
            </w:r>
          </w:p>
          <w:p w:rsidR="00C878F9" w:rsidP="00C878F9" w14:paraId="0761670A" w14:textId="718BF573">
            <w:pPr>
              <w:spacing w:before="60" w:after="60"/>
              <w:rPr>
                <w:rFonts w:ascii="Times New Roman" w:hAnsi="Times New Roman"/>
                <w:sz w:val="24"/>
                <w:szCs w:val="24"/>
              </w:rPr>
            </w:pPr>
            <w:r w:rsidRPr="00BD1B94">
              <w:rPr>
                <w:rFonts w:ascii="Times New Roman" w:hAnsi="Times New Roman"/>
                <w:sz w:val="24"/>
                <w:szCs w:val="24"/>
              </w:rPr>
              <w:t xml:space="preserve">Eiropas Komisija ir izstrādājusi un bez maksas ES dalībvalstīm piedāvā </w:t>
            </w:r>
            <w:r w:rsidR="00505648">
              <w:rPr>
                <w:rFonts w:ascii="Times New Roman" w:hAnsi="Times New Roman"/>
                <w:sz w:val="24"/>
                <w:szCs w:val="24"/>
              </w:rPr>
              <w:t xml:space="preserve">brīvprātīgi </w:t>
            </w:r>
            <w:r w:rsidRPr="00BD1B94">
              <w:rPr>
                <w:rFonts w:ascii="Times New Roman" w:hAnsi="Times New Roman"/>
                <w:sz w:val="24"/>
                <w:szCs w:val="24"/>
              </w:rPr>
              <w:t>izmantot vienotu ES ETS in</w:t>
            </w:r>
            <w:r w:rsidR="00505648">
              <w:rPr>
                <w:rFonts w:ascii="Times New Roman" w:hAnsi="Times New Roman"/>
                <w:sz w:val="24"/>
                <w:szCs w:val="24"/>
              </w:rPr>
              <w:t xml:space="preserve">formācijas apmaiņas sistēmu, ko Eiropas Komisija izstrādāja pēc pašas iniciatīvas, ņemot vērā līdz šim saņemtos </w:t>
            </w:r>
            <w:r w:rsidR="00C06B59">
              <w:rPr>
                <w:rFonts w:ascii="Times New Roman" w:hAnsi="Times New Roman"/>
                <w:sz w:val="24"/>
                <w:szCs w:val="24"/>
              </w:rPr>
              <w:t xml:space="preserve">ES </w:t>
            </w:r>
            <w:r w:rsidR="00505648">
              <w:rPr>
                <w:rFonts w:ascii="Times New Roman" w:hAnsi="Times New Roman"/>
                <w:sz w:val="24"/>
                <w:szCs w:val="24"/>
              </w:rPr>
              <w:t>dalībvalstu viedokļus par ES ETS informācijas sistēmas apmaiņas problemātiskām (</w:t>
            </w:r>
            <w:r w:rsidR="00C06B59">
              <w:rPr>
                <w:rFonts w:ascii="Times New Roman" w:hAnsi="Times New Roman"/>
                <w:sz w:val="24"/>
                <w:szCs w:val="24"/>
              </w:rPr>
              <w:t xml:space="preserve">ES </w:t>
            </w:r>
            <w:r w:rsidR="00505648">
              <w:rPr>
                <w:rFonts w:ascii="Times New Roman" w:hAnsi="Times New Roman"/>
                <w:sz w:val="24"/>
                <w:szCs w:val="24"/>
              </w:rPr>
              <w:t>dalībvalstis katru gadu sagatavo ziņojumus par ES ETS īstenošanu, kā arī 2014. un 2016.</w:t>
            </w:r>
            <w:r w:rsidR="00C06B59">
              <w:rPr>
                <w:rFonts w:ascii="Times New Roman" w:hAnsi="Times New Roman"/>
                <w:sz w:val="24"/>
                <w:szCs w:val="24"/>
              </w:rPr>
              <w:t> </w:t>
            </w:r>
            <w:r w:rsidR="00505648">
              <w:rPr>
                <w:rFonts w:ascii="Times New Roman" w:hAnsi="Times New Roman"/>
                <w:sz w:val="24"/>
                <w:szCs w:val="24"/>
              </w:rPr>
              <w:t xml:space="preserve">gadā Eiropas Komisija </w:t>
            </w:r>
            <w:r w:rsidR="00C06B59">
              <w:rPr>
                <w:rFonts w:ascii="Times New Roman" w:hAnsi="Times New Roman"/>
                <w:sz w:val="24"/>
                <w:szCs w:val="24"/>
              </w:rPr>
              <w:t>uzsāk</w:t>
            </w:r>
            <w:r w:rsidR="00505648">
              <w:rPr>
                <w:rFonts w:ascii="Times New Roman" w:hAnsi="Times New Roman"/>
                <w:sz w:val="24"/>
                <w:szCs w:val="24"/>
              </w:rPr>
              <w:t xml:space="preserve">a pārbaudes visās </w:t>
            </w:r>
            <w:r w:rsidR="00C06B59">
              <w:rPr>
                <w:rFonts w:ascii="Times New Roman" w:hAnsi="Times New Roman"/>
                <w:sz w:val="24"/>
                <w:szCs w:val="24"/>
              </w:rPr>
              <w:t xml:space="preserve">ES </w:t>
            </w:r>
            <w:r w:rsidR="00505648">
              <w:rPr>
                <w:rFonts w:ascii="Times New Roman" w:hAnsi="Times New Roman"/>
                <w:sz w:val="24"/>
                <w:szCs w:val="24"/>
              </w:rPr>
              <w:t>dalībvalstīs par ES ETS nosacījumu ieviešanu un īstenošanu)</w:t>
            </w:r>
            <w:r w:rsidRPr="00BD1B94">
              <w:rPr>
                <w:rFonts w:ascii="Times New Roman" w:hAnsi="Times New Roman"/>
                <w:sz w:val="24"/>
                <w:szCs w:val="24"/>
              </w:rPr>
              <w:t>.</w:t>
            </w:r>
            <w:r w:rsidR="008D4B24">
              <w:rPr>
                <w:rFonts w:ascii="Times New Roman" w:hAnsi="Times New Roman"/>
                <w:sz w:val="24"/>
                <w:szCs w:val="24"/>
              </w:rPr>
              <w:t xml:space="preserve"> Regulas </w:t>
            </w:r>
            <w:r w:rsidR="00505648">
              <w:rPr>
                <w:rFonts w:ascii="Times New Roman" w:hAnsi="Times New Roman"/>
                <w:sz w:val="24"/>
                <w:szCs w:val="24"/>
              </w:rPr>
              <w:t>N</w:t>
            </w:r>
            <w:r w:rsidR="008D4B24">
              <w:rPr>
                <w:rFonts w:ascii="Times New Roman" w:hAnsi="Times New Roman"/>
                <w:sz w:val="24"/>
                <w:szCs w:val="24"/>
              </w:rPr>
              <w:t>r.</w:t>
            </w:r>
            <w:r w:rsidR="00C06B59">
              <w:rPr>
                <w:rFonts w:ascii="Times New Roman" w:hAnsi="Times New Roman"/>
                <w:sz w:val="24"/>
                <w:szCs w:val="24"/>
              </w:rPr>
              <w:t> </w:t>
            </w:r>
            <w:r w:rsidR="008D4B24">
              <w:rPr>
                <w:rFonts w:ascii="Times New Roman" w:hAnsi="Times New Roman"/>
                <w:sz w:val="24"/>
                <w:szCs w:val="24"/>
              </w:rPr>
              <w:t>601/2012 74. un 75.</w:t>
            </w:r>
            <w:r w:rsidR="00C06B59">
              <w:rPr>
                <w:rFonts w:ascii="Times New Roman" w:hAnsi="Times New Roman"/>
                <w:sz w:val="24"/>
                <w:szCs w:val="24"/>
              </w:rPr>
              <w:t> </w:t>
            </w:r>
            <w:r w:rsidR="008D4B24">
              <w:rPr>
                <w:rFonts w:ascii="Times New Roman" w:hAnsi="Times New Roman"/>
                <w:sz w:val="24"/>
                <w:szCs w:val="24"/>
              </w:rPr>
              <w:t>pants no</w:t>
            </w:r>
            <w:r w:rsidR="00C06B59">
              <w:rPr>
                <w:rFonts w:ascii="Times New Roman" w:hAnsi="Times New Roman"/>
                <w:sz w:val="24"/>
                <w:szCs w:val="24"/>
              </w:rPr>
              <w:t>teic</w:t>
            </w:r>
            <w:r w:rsidR="008D4B24">
              <w:rPr>
                <w:rFonts w:ascii="Times New Roman" w:hAnsi="Times New Roman"/>
                <w:sz w:val="24"/>
                <w:szCs w:val="24"/>
              </w:rPr>
              <w:t xml:space="preserve">, ka </w:t>
            </w:r>
            <w:r w:rsidR="00C06B59">
              <w:rPr>
                <w:rFonts w:ascii="Times New Roman" w:hAnsi="Times New Roman"/>
                <w:sz w:val="24"/>
                <w:szCs w:val="24"/>
              </w:rPr>
              <w:t xml:space="preserve">ES </w:t>
            </w:r>
            <w:r w:rsidR="008D4B24">
              <w:rPr>
                <w:rFonts w:ascii="Times New Roman" w:hAnsi="Times New Roman"/>
                <w:sz w:val="24"/>
                <w:szCs w:val="24"/>
              </w:rPr>
              <w:t>dalībvalstis var izvēlēties izmantot</w:t>
            </w:r>
            <w:r w:rsidR="008D4B24">
              <w:t xml:space="preserve"> </w:t>
            </w:r>
            <w:r w:rsidRPr="008D4B24" w:rsidR="008D4B24">
              <w:rPr>
                <w:rFonts w:ascii="Times New Roman" w:hAnsi="Times New Roman"/>
                <w:sz w:val="24"/>
                <w:szCs w:val="24"/>
              </w:rPr>
              <w:t>automatizētas sistēmas elektroniskai datu apmaiņai</w:t>
            </w:r>
            <w:r w:rsidR="00CD5458">
              <w:rPr>
                <w:rFonts w:ascii="Times New Roman" w:hAnsi="Times New Roman"/>
                <w:sz w:val="24"/>
                <w:szCs w:val="24"/>
              </w:rPr>
              <w:t>, pamatojoties uz noteikto ES ETS ziņošanas valodu</w:t>
            </w:r>
            <w:r w:rsidR="00505648">
              <w:rPr>
                <w:rFonts w:ascii="Times New Roman" w:hAnsi="Times New Roman"/>
                <w:sz w:val="24"/>
                <w:szCs w:val="24"/>
              </w:rPr>
              <w:t xml:space="preserve">, un </w:t>
            </w:r>
            <w:r w:rsidR="00C06B59">
              <w:rPr>
                <w:rFonts w:ascii="Times New Roman" w:hAnsi="Times New Roman"/>
                <w:sz w:val="24"/>
                <w:szCs w:val="24"/>
              </w:rPr>
              <w:t xml:space="preserve">ES </w:t>
            </w:r>
            <w:r w:rsidR="00505648">
              <w:rPr>
                <w:rFonts w:ascii="Times New Roman" w:hAnsi="Times New Roman"/>
                <w:sz w:val="24"/>
                <w:szCs w:val="24"/>
              </w:rPr>
              <w:t xml:space="preserve">dalībvalstis var prasīt, lai operatori šādas sistēmas izmanto. Eiropas Komisijas izstrādātā </w:t>
            </w:r>
            <w:r w:rsidRPr="00BD1B94" w:rsidR="00505648">
              <w:rPr>
                <w:rFonts w:ascii="Times New Roman" w:hAnsi="Times New Roman"/>
                <w:sz w:val="24"/>
                <w:szCs w:val="24"/>
              </w:rPr>
              <w:t>ES E</w:t>
            </w:r>
            <w:r w:rsidR="00505648">
              <w:rPr>
                <w:rFonts w:ascii="Times New Roman" w:hAnsi="Times New Roman"/>
                <w:sz w:val="24"/>
                <w:szCs w:val="24"/>
              </w:rPr>
              <w:t>TS informācijas apmaiņas sistēma</w:t>
            </w:r>
            <w:r w:rsidRPr="00BD1B94" w:rsidR="00505648">
              <w:rPr>
                <w:rFonts w:ascii="Times New Roman" w:hAnsi="Times New Roman"/>
                <w:sz w:val="24"/>
                <w:szCs w:val="24"/>
              </w:rPr>
              <w:t xml:space="preserve"> DECLARE</w:t>
            </w:r>
            <w:r w:rsidR="00505648">
              <w:rPr>
                <w:rFonts w:ascii="Times New Roman" w:hAnsi="Times New Roman"/>
                <w:sz w:val="24"/>
                <w:szCs w:val="24"/>
              </w:rPr>
              <w:t xml:space="preserve"> atbilst regulas Nr.</w:t>
            </w:r>
            <w:r w:rsidR="00C06B59">
              <w:rPr>
                <w:rFonts w:ascii="Times New Roman" w:hAnsi="Times New Roman"/>
                <w:sz w:val="24"/>
                <w:szCs w:val="24"/>
              </w:rPr>
              <w:t> </w:t>
            </w:r>
            <w:r w:rsidR="00505648">
              <w:rPr>
                <w:rFonts w:ascii="Times New Roman" w:hAnsi="Times New Roman"/>
                <w:sz w:val="24"/>
                <w:szCs w:val="24"/>
              </w:rPr>
              <w:t>601/2012 75.</w:t>
            </w:r>
            <w:r w:rsidR="00C06B59">
              <w:rPr>
                <w:rFonts w:ascii="Times New Roman" w:hAnsi="Times New Roman"/>
                <w:sz w:val="24"/>
                <w:szCs w:val="24"/>
              </w:rPr>
              <w:t> </w:t>
            </w:r>
            <w:r w:rsidR="00505648">
              <w:rPr>
                <w:rFonts w:ascii="Times New Roman" w:hAnsi="Times New Roman"/>
                <w:sz w:val="24"/>
                <w:szCs w:val="24"/>
              </w:rPr>
              <w:t>pantā noteiktajiem nosacījumiem</w:t>
            </w:r>
            <w:r w:rsidR="00C06B59">
              <w:rPr>
                <w:rFonts w:ascii="Times New Roman" w:hAnsi="Times New Roman"/>
                <w:sz w:val="24"/>
                <w:szCs w:val="24"/>
              </w:rPr>
              <w:t>,</w:t>
            </w:r>
            <w:r w:rsidR="00505648">
              <w:rPr>
                <w:rFonts w:ascii="Times New Roman" w:hAnsi="Times New Roman"/>
                <w:sz w:val="24"/>
                <w:szCs w:val="24"/>
              </w:rPr>
              <w:t xml:space="preserve"> un tajā notiek apmaiņa ar tām elektroniskām veidnēm (monitoringa plānam, emisiju ziņojumam, verifikācijas ziņojumam u.c.), ko Eiropas Komisija ir izstrādājusi </w:t>
            </w:r>
            <w:r w:rsidR="00E53AAF">
              <w:rPr>
                <w:rFonts w:ascii="Times New Roman" w:hAnsi="Times New Roman"/>
                <w:sz w:val="24"/>
                <w:szCs w:val="24"/>
              </w:rPr>
              <w:t xml:space="preserve">ņemot vērā </w:t>
            </w:r>
            <w:r w:rsidR="00505648">
              <w:rPr>
                <w:rFonts w:ascii="Times New Roman" w:hAnsi="Times New Roman"/>
                <w:sz w:val="24"/>
                <w:szCs w:val="24"/>
              </w:rPr>
              <w:t>regulas Nr.</w:t>
            </w:r>
            <w:r w:rsidR="00C06B59">
              <w:rPr>
                <w:rFonts w:ascii="Times New Roman" w:hAnsi="Times New Roman"/>
                <w:sz w:val="24"/>
                <w:szCs w:val="24"/>
              </w:rPr>
              <w:t> </w:t>
            </w:r>
            <w:r w:rsidR="00505648">
              <w:rPr>
                <w:rFonts w:ascii="Times New Roman" w:hAnsi="Times New Roman"/>
                <w:sz w:val="24"/>
                <w:szCs w:val="24"/>
              </w:rPr>
              <w:t>601/2012 74.</w:t>
            </w:r>
            <w:r w:rsidR="00C06B59">
              <w:rPr>
                <w:rFonts w:ascii="Times New Roman" w:hAnsi="Times New Roman"/>
                <w:sz w:val="24"/>
                <w:szCs w:val="24"/>
              </w:rPr>
              <w:t> </w:t>
            </w:r>
            <w:r w:rsidR="00505648">
              <w:rPr>
                <w:rFonts w:ascii="Times New Roman" w:hAnsi="Times New Roman"/>
                <w:sz w:val="24"/>
                <w:szCs w:val="24"/>
              </w:rPr>
              <w:t>pantu.</w:t>
            </w:r>
          </w:p>
          <w:p w:rsidR="008D4B24" w:rsidRPr="00BD1B94" w:rsidP="00C878F9" w14:paraId="63230140" w14:textId="1435BBF7">
            <w:pPr>
              <w:spacing w:before="60" w:after="60"/>
              <w:rPr>
                <w:rFonts w:ascii="Times New Roman" w:hAnsi="Times New Roman"/>
                <w:sz w:val="24"/>
                <w:szCs w:val="24"/>
              </w:rPr>
            </w:pPr>
            <w:r w:rsidRPr="00BD1B94">
              <w:rPr>
                <w:rFonts w:ascii="Times New Roman" w:hAnsi="Times New Roman"/>
                <w:sz w:val="24"/>
                <w:szCs w:val="24"/>
              </w:rPr>
              <w:t>ES E</w:t>
            </w:r>
            <w:r>
              <w:rPr>
                <w:rFonts w:ascii="Times New Roman" w:hAnsi="Times New Roman"/>
                <w:sz w:val="24"/>
                <w:szCs w:val="24"/>
              </w:rPr>
              <w:t>TS informācijas apmaiņas sistēmas</w:t>
            </w:r>
            <w:r w:rsidRPr="00BD1B94">
              <w:rPr>
                <w:rFonts w:ascii="Times New Roman" w:hAnsi="Times New Roman"/>
                <w:sz w:val="24"/>
                <w:szCs w:val="24"/>
              </w:rPr>
              <w:t xml:space="preserve"> DECLARE</w:t>
            </w:r>
            <w:r>
              <w:rPr>
                <w:rFonts w:ascii="Times New Roman" w:hAnsi="Times New Roman"/>
                <w:sz w:val="24"/>
                <w:szCs w:val="24"/>
              </w:rPr>
              <w:t xml:space="preserve"> izmantošana </w:t>
            </w:r>
            <w:r w:rsidRPr="00BD1B94">
              <w:rPr>
                <w:rFonts w:ascii="Times New Roman" w:hAnsi="Times New Roman"/>
                <w:sz w:val="24"/>
                <w:szCs w:val="24"/>
              </w:rPr>
              <w:t>būtiski atvieglos visu ES ETS dalībnieku – operatoru, verificētāju, VVD un to reģionālo vides pārvalžu, kā arī VARAM un emisijas reģistra nacionālo administratoru apmaiņu ar informāciju un pieejamību tai</w:t>
            </w:r>
            <w:r>
              <w:rPr>
                <w:rFonts w:ascii="Times New Roman" w:hAnsi="Times New Roman"/>
                <w:sz w:val="24"/>
                <w:szCs w:val="24"/>
              </w:rPr>
              <w:t>.</w:t>
            </w:r>
          </w:p>
          <w:p w:rsidR="00C878F9" w:rsidRPr="00BD1B94" w:rsidP="00C878F9" w14:paraId="3EBAA60E" w14:textId="77777777">
            <w:pPr>
              <w:pStyle w:val="naiskr"/>
              <w:spacing w:before="60" w:after="60"/>
              <w:jc w:val="both"/>
            </w:pPr>
            <w:r w:rsidRPr="00BD1B94">
              <w:t>ES ETS informācijas apmaiņas sistēmā DECLARE katram operatoram (katrai iekārtai) tiks izveidots konts sistēmā, kurā notiks visa apmaiņa ar ES ETS informāciju – monitoringa plānu un iesniegumu SEG atļaujas saņemšanai vai grozīšanai iesniegšana VVD, emisiju ziņojumu iesniegšana verificētājam, verificētāja slēdziena iesniegšana operatoriem, emisiju ziņojumu un verificētāja slēdziena iesniegšana VVD, VVD lēmumu par emisiju ziņojumu apstiprināšanu vai noraidīšanu iesniegšana operatoram; kā arī tiks uzglabāta visa informācija vienkopus. ES ETS informācijas apmaiņas sistēmā DECLARE šobrīd ir paredzētas šādas funkcijas:</w:t>
            </w:r>
          </w:p>
          <w:p w:rsidR="00C878F9" w:rsidRPr="00BD1B94" w:rsidP="00C878F9" w14:paraId="19813322" w14:textId="21542FA5">
            <w:pPr>
              <w:pStyle w:val="naiskr"/>
              <w:numPr>
                <w:ilvl w:val="1"/>
                <w:numId w:val="21"/>
              </w:numPr>
              <w:spacing w:before="60" w:after="60"/>
              <w:ind w:left="284" w:hanging="284"/>
              <w:jc w:val="both"/>
            </w:pPr>
            <w:r w:rsidRPr="00BD1B94">
              <w:t>monitoringa plānu iesniegšana un apstiprināšana (ar iespēju pievienot dažādus papildu dokumentus, piemēram, dažādus iesniegumus vai pamatojošo dokumentāciju) SEG atļaujas saņemšanai vai SEG atļaujas grozījumiem;</w:t>
            </w:r>
          </w:p>
          <w:p w:rsidR="00C878F9" w:rsidRPr="00BD1B94" w:rsidP="00C878F9" w14:paraId="0C93518F" w14:textId="77777777">
            <w:pPr>
              <w:pStyle w:val="naiskr"/>
              <w:numPr>
                <w:ilvl w:val="1"/>
                <w:numId w:val="21"/>
              </w:numPr>
              <w:spacing w:before="60" w:after="60"/>
              <w:ind w:left="284" w:hanging="284"/>
              <w:jc w:val="both"/>
            </w:pPr>
            <w:r w:rsidRPr="00BD1B94">
              <w:t>emisiju ziņojumu iesniegšana verificētājam;</w:t>
            </w:r>
          </w:p>
          <w:p w:rsidR="00C878F9" w:rsidRPr="00BD1B94" w:rsidP="00C878F9" w14:paraId="0AAC82E4" w14:textId="77777777">
            <w:pPr>
              <w:pStyle w:val="naiskr"/>
              <w:numPr>
                <w:ilvl w:val="1"/>
                <w:numId w:val="21"/>
              </w:numPr>
              <w:spacing w:before="60" w:after="60"/>
              <w:ind w:left="284" w:hanging="284"/>
              <w:jc w:val="both"/>
            </w:pPr>
            <w:r w:rsidRPr="00BD1B94">
              <w:t>emisiju ziņojumu verifikācija un verifikācijas slēdziena sniegšana;</w:t>
            </w:r>
          </w:p>
          <w:p w:rsidR="00C878F9" w:rsidRPr="00BD1B94" w:rsidP="00C878F9" w14:paraId="17261130" w14:textId="77777777">
            <w:pPr>
              <w:pStyle w:val="naiskr"/>
              <w:numPr>
                <w:ilvl w:val="1"/>
                <w:numId w:val="21"/>
              </w:numPr>
              <w:spacing w:before="60" w:after="60"/>
              <w:ind w:left="284" w:hanging="284"/>
              <w:jc w:val="both"/>
            </w:pPr>
            <w:r w:rsidRPr="00BD1B94">
              <w:t>emisiju ziņojumu iesniegšana kompetentajai iestādei;</w:t>
            </w:r>
          </w:p>
          <w:p w:rsidR="00C878F9" w:rsidRPr="00BD1B94" w:rsidP="00C878F9" w14:paraId="2A6E264C" w14:textId="77777777">
            <w:pPr>
              <w:pStyle w:val="naiskr"/>
              <w:numPr>
                <w:ilvl w:val="1"/>
                <w:numId w:val="21"/>
              </w:numPr>
              <w:spacing w:before="60" w:after="60"/>
              <w:ind w:left="284" w:hanging="284"/>
              <w:jc w:val="both"/>
            </w:pPr>
            <w:r w:rsidRPr="00BD1B94">
              <w:t>emisiju ziņojumu apstiprināšana;</w:t>
            </w:r>
          </w:p>
          <w:p w:rsidR="00C878F9" w:rsidRPr="00BD1B94" w:rsidP="00C878F9" w14:paraId="5EBFEC80" w14:textId="77777777">
            <w:pPr>
              <w:pStyle w:val="naiskr"/>
              <w:numPr>
                <w:ilvl w:val="1"/>
                <w:numId w:val="21"/>
              </w:numPr>
              <w:spacing w:before="60" w:after="60"/>
              <w:ind w:left="284" w:hanging="284"/>
              <w:jc w:val="both"/>
            </w:pPr>
            <w:r w:rsidRPr="00BD1B94">
              <w:t>emisiju ziņojumu un monitoringu plānu vienkāršā pārbaude par aizpildes pareizumu (sistēma automātiska pārbauda obligātu lauku aizpildīšanu);</w:t>
            </w:r>
          </w:p>
          <w:p w:rsidR="00C878F9" w:rsidRPr="00BD1B94" w:rsidP="00C878F9" w14:paraId="03E0E1DD" w14:textId="77777777">
            <w:pPr>
              <w:pStyle w:val="naiskr"/>
              <w:numPr>
                <w:ilvl w:val="1"/>
                <w:numId w:val="21"/>
              </w:numPr>
              <w:spacing w:before="60" w:after="60"/>
              <w:ind w:left="284" w:hanging="284"/>
              <w:jc w:val="both"/>
            </w:pPr>
            <w:r w:rsidRPr="00BD1B94">
              <w:t>datu apkopošanas rīki statistikas veikšanai, piemēram, Eiropas Parlamenta un Padomes 2003. gada 13. oktobra Direktīvas 2003/87/EK, ar kuru nosaka sistēmu siltumnīcas efektu izraisošo gāzu emisijas kvotu tirdzniecībai Kopienā un groza Padomes Direktīvu 96/61/EK 21. panta ziņošanas prasībām;</w:t>
            </w:r>
          </w:p>
          <w:p w:rsidR="00C878F9" w:rsidRPr="00BD1B94" w:rsidP="00C878F9" w14:paraId="65459C52" w14:textId="77777777">
            <w:pPr>
              <w:pStyle w:val="naiskr"/>
              <w:numPr>
                <w:ilvl w:val="1"/>
                <w:numId w:val="21"/>
              </w:numPr>
              <w:spacing w:before="60" w:after="60"/>
              <w:ind w:left="284" w:hanging="284"/>
              <w:jc w:val="both"/>
            </w:pPr>
            <w:r w:rsidRPr="00BD1B94">
              <w:t>uzlabojumu ziņojumu iesniegšana.</w:t>
            </w:r>
          </w:p>
          <w:p w:rsidR="00C878F9" w:rsidRPr="00BD1B94" w:rsidP="00C878F9" w14:paraId="3A8AE91B" w14:textId="77777777">
            <w:pPr>
              <w:pStyle w:val="naiskr"/>
              <w:spacing w:before="60" w:after="60"/>
              <w:jc w:val="both"/>
            </w:pPr>
            <w:r w:rsidRPr="00BD1B94">
              <w:t>Papildus šajā sistēmā VVD varēs operatoriem nosūtīt (iesniegt) sagatavotās SEG atļaujas, SEG atļauju grozījumus, kā arī lēmumus par emisiju ziņojumu apstiprināšanu.</w:t>
            </w:r>
          </w:p>
          <w:p w:rsidR="00C878F9" w:rsidP="00C878F9" w14:paraId="7E1D7930" w14:textId="77777777">
            <w:pPr>
              <w:spacing w:before="60" w:after="60"/>
              <w:rPr>
                <w:rFonts w:ascii="Times New Roman" w:hAnsi="Times New Roman"/>
                <w:sz w:val="24"/>
                <w:szCs w:val="24"/>
              </w:rPr>
            </w:pPr>
            <w:r w:rsidRPr="00BD1B94">
              <w:rPr>
                <w:rFonts w:ascii="Times New Roman" w:hAnsi="Times New Roman"/>
                <w:sz w:val="24"/>
                <w:szCs w:val="24"/>
              </w:rPr>
              <w:t>Šai sistēmai un tajā esošajiem kontiem pieeja būs tikai konkrētiem nominētiem cilvēkiem (nebūs publiski pieejama informācija). ES dalībvalstīm ir brīva izvēle izmantot ES ETS informācijas apmaiņas sistēmu DECLARE.</w:t>
            </w:r>
          </w:p>
          <w:p w:rsidR="00BD1B94" w:rsidRPr="00BD1B94" w:rsidP="00BD1B94" w14:paraId="7613E7CA" w14:textId="67F2C0A4">
            <w:pPr>
              <w:spacing w:before="60" w:after="60"/>
              <w:rPr>
                <w:rFonts w:ascii="Times New Roman" w:hAnsi="Times New Roman"/>
                <w:sz w:val="24"/>
                <w:szCs w:val="24"/>
              </w:rPr>
            </w:pPr>
            <w:r w:rsidRPr="00BD1B94">
              <w:rPr>
                <w:rFonts w:ascii="Times New Roman" w:hAnsi="Times New Roman"/>
                <w:sz w:val="24"/>
                <w:szCs w:val="24"/>
              </w:rPr>
              <w:t>Izmantojot šo sistēmu</w:t>
            </w:r>
            <w:r w:rsidR="006B3CC5">
              <w:rPr>
                <w:rFonts w:ascii="Times New Roman" w:hAnsi="Times New Roman"/>
                <w:sz w:val="24"/>
                <w:szCs w:val="24"/>
              </w:rPr>
              <w:t>,</w:t>
            </w:r>
            <w:r w:rsidRPr="00BD1B94">
              <w:rPr>
                <w:rFonts w:ascii="Times New Roman" w:hAnsi="Times New Roman"/>
                <w:sz w:val="24"/>
                <w:szCs w:val="24"/>
              </w:rPr>
              <w:t xml:space="preserve"> ES ETS operatori varēs pietiekami ātri un efektīvi iesniegt visu informāciju – VVD iesniedzamie iesniegumi SEG atļaujas saņemšanai vai grozīšanai un pavadošā dokumentācija – monitoringa plāns, datu kvalitātes kontroles un uzraudzības procedūru apraksti u.c., verificētājam iesniedzamie emisiju ziņojumi un pavadošā dokumentācija, VVD iesniedzamie gala emisiju ziņojumi, VARAM iesniedzamā informācija par ES ETS operatoru iekārtās izmantotā kurināmā un saražotās gala produkcijas (saražotā siltumenerģija un elektroenerģija, saražotās rūpnieciskās produkcijas apjomi un rūpnieciskās produkcijas ražošanā izmantoto izejvielu apjomi u.c., noteiktajām iestādēm, neizmantojot pastu, elektronisko pastu, datu nesēju, elektroniskos parakstus u.c.</w:t>
            </w:r>
            <w:r w:rsidR="005A02D7">
              <w:rPr>
                <w:rFonts w:ascii="Times New Roman" w:hAnsi="Times New Roman"/>
                <w:sz w:val="24"/>
                <w:szCs w:val="24"/>
              </w:rPr>
              <w:t>).</w:t>
            </w:r>
            <w:r w:rsidRPr="00BD1B94">
              <w:rPr>
                <w:rFonts w:ascii="Times New Roman" w:hAnsi="Times New Roman"/>
                <w:sz w:val="24"/>
                <w:szCs w:val="24"/>
              </w:rPr>
              <w:t xml:space="preserve"> Šo sistēmu izmantojot</w:t>
            </w:r>
            <w:r w:rsidR="006E261E">
              <w:rPr>
                <w:rFonts w:ascii="Times New Roman" w:hAnsi="Times New Roman"/>
                <w:sz w:val="24"/>
                <w:szCs w:val="24"/>
              </w:rPr>
              <w:t>,</w:t>
            </w:r>
            <w:r w:rsidRPr="00BD1B94">
              <w:rPr>
                <w:rFonts w:ascii="Times New Roman" w:hAnsi="Times New Roman"/>
                <w:sz w:val="24"/>
                <w:szCs w:val="24"/>
              </w:rPr>
              <w:t xml:space="preserve"> ES ETS operatoram vairs nevajadzēs pašam uzturēt šīs minētās informācijas uzglabāšanas vietni, jo tā visa tiks uzglabāta ES ETS informācijas apmaiņas sistēmā DECLARE.</w:t>
            </w:r>
          </w:p>
          <w:p w:rsidR="00A826B4" w:rsidP="00A826B4" w14:paraId="6F6FF821" w14:textId="77777777">
            <w:pPr>
              <w:spacing w:before="60" w:after="60"/>
              <w:rPr>
                <w:rFonts w:ascii="Times New Roman" w:hAnsi="Times New Roman"/>
                <w:sz w:val="24"/>
                <w:szCs w:val="24"/>
              </w:rPr>
            </w:pPr>
            <w:r w:rsidRPr="00BD1B94">
              <w:rPr>
                <w:rFonts w:ascii="Times New Roman" w:hAnsi="Times New Roman"/>
                <w:sz w:val="24"/>
                <w:szCs w:val="24"/>
              </w:rPr>
              <w:t>Papildus šī sistēma samazinās arī administratīvo slogu informācijas apmaiņai, kā arī informācijas uzglabāšanai VVD, VARAM un emisijas reģistra nacionālajiem administratoriem</w:t>
            </w:r>
            <w:r>
              <w:rPr>
                <w:rFonts w:ascii="Times New Roman" w:hAnsi="Times New Roman"/>
                <w:sz w:val="24"/>
                <w:szCs w:val="24"/>
              </w:rPr>
              <w:t>.</w:t>
            </w:r>
          </w:p>
          <w:p w:rsidR="00A826B4" w:rsidRPr="0007053D" w:rsidP="00A826B4" w14:paraId="4BE97D72" w14:textId="66D54F0F">
            <w:pPr>
              <w:spacing w:before="60" w:after="60"/>
              <w:rPr>
                <w:rFonts w:ascii="Times New Roman" w:hAnsi="Times New Roman"/>
                <w:sz w:val="24"/>
                <w:szCs w:val="24"/>
              </w:rPr>
            </w:pPr>
            <w:r>
              <w:rPr>
                <w:rFonts w:ascii="Times New Roman" w:hAnsi="Times New Roman"/>
                <w:sz w:val="24"/>
                <w:szCs w:val="24"/>
              </w:rPr>
              <w:t xml:space="preserve">Tomēr joprojām paliks spēkā nosacījums izmantot </w:t>
            </w:r>
            <w:r w:rsidRPr="00A826B4">
              <w:rPr>
                <w:rFonts w:ascii="Times New Roman" w:hAnsi="Times New Roman"/>
                <w:sz w:val="24"/>
                <w:szCs w:val="24"/>
              </w:rPr>
              <w:t>sistēm</w:t>
            </w:r>
            <w:r>
              <w:rPr>
                <w:rFonts w:ascii="Times New Roman" w:hAnsi="Times New Roman"/>
                <w:sz w:val="24"/>
                <w:szCs w:val="24"/>
              </w:rPr>
              <w:t>u</w:t>
            </w:r>
            <w:r w:rsidRPr="00A826B4">
              <w:rPr>
                <w:rFonts w:ascii="Times New Roman" w:hAnsi="Times New Roman"/>
                <w:sz w:val="24"/>
                <w:szCs w:val="24"/>
              </w:rPr>
              <w:t xml:space="preserve"> „TULPE”</w:t>
            </w:r>
            <w:r>
              <w:rPr>
                <w:rFonts w:ascii="Times New Roman" w:hAnsi="Times New Roman"/>
                <w:sz w:val="24"/>
                <w:szCs w:val="24"/>
              </w:rPr>
              <w:t xml:space="preserve"> pirmreizējai SEG atļauju saņemšanai (un visas pavadošās informācijas iesniegšanai), jo </w:t>
            </w:r>
            <w:r w:rsidRPr="00BD1B94">
              <w:rPr>
                <w:rFonts w:ascii="Times New Roman" w:hAnsi="Times New Roman"/>
                <w:sz w:val="24"/>
                <w:szCs w:val="24"/>
              </w:rPr>
              <w:t>ES ETS informācijas apmaiņas sistēmā DECLARE</w:t>
            </w:r>
            <w:r>
              <w:rPr>
                <w:rFonts w:ascii="Times New Roman" w:hAnsi="Times New Roman"/>
                <w:sz w:val="24"/>
                <w:szCs w:val="24"/>
              </w:rPr>
              <w:t xml:space="preserve"> šīs informācijas </w:t>
            </w:r>
            <w:r w:rsidRPr="00DF6FA4">
              <w:rPr>
                <w:rFonts w:ascii="Times New Roman" w:hAnsi="Times New Roman"/>
                <w:sz w:val="24"/>
                <w:szCs w:val="24"/>
              </w:rPr>
              <w:t>sistēmas iesniegšana nebūs iespējama</w:t>
            </w:r>
            <w:r w:rsidR="005A02D7">
              <w:rPr>
                <w:rFonts w:ascii="Times New Roman" w:hAnsi="Times New Roman"/>
                <w:sz w:val="24"/>
                <w:szCs w:val="24"/>
              </w:rPr>
              <w:t>,</w:t>
            </w:r>
            <w:r w:rsidRPr="00DF6FA4">
              <w:rPr>
                <w:rFonts w:ascii="Times New Roman" w:hAnsi="Times New Roman"/>
                <w:sz w:val="24"/>
                <w:szCs w:val="24"/>
              </w:rPr>
              <w:t xml:space="preserve"> pirms ES ETS operatoram ir izsniegta SEG atļauja</w:t>
            </w:r>
            <w:r w:rsidRPr="0007053D" w:rsidR="00C06B59">
              <w:rPr>
                <w:rFonts w:ascii="Times New Roman" w:hAnsi="Times New Roman"/>
                <w:sz w:val="24"/>
                <w:szCs w:val="24"/>
              </w:rPr>
              <w:t>,</w:t>
            </w:r>
            <w:r w:rsidRPr="0007053D">
              <w:rPr>
                <w:rFonts w:ascii="Times New Roman" w:hAnsi="Times New Roman"/>
                <w:sz w:val="24"/>
                <w:szCs w:val="24"/>
              </w:rPr>
              <w:t xml:space="preserve"> un secīgi ir izveidots konts šajā sistēmā.</w:t>
            </w:r>
          </w:p>
          <w:p w:rsidR="008563DF" w:rsidRPr="00DF6FA4" w:rsidP="00A826B4" w14:paraId="29C29CC3" w14:textId="649E2CBB">
            <w:pPr>
              <w:spacing w:before="60" w:after="60"/>
              <w:rPr>
                <w:rFonts w:ascii="Times New Roman" w:hAnsi="Times New Roman"/>
                <w:sz w:val="24"/>
                <w:szCs w:val="24"/>
              </w:rPr>
            </w:pPr>
            <w:r w:rsidRPr="0007053D">
              <w:rPr>
                <w:rFonts w:ascii="Times New Roman" w:hAnsi="Times New Roman"/>
                <w:sz w:val="24"/>
                <w:szCs w:val="24"/>
              </w:rPr>
              <w:t xml:space="preserve">Ņemot vērā to, ka šobrīd ES ETS operatori gatavo ikgadējos emisiju ziņojumus, nodrošina to verificēšanu un iesniegšanu VVD, tad noteikumu projektā ir noteikts, ka </w:t>
            </w:r>
            <w:r w:rsidRPr="00DF6FA4">
              <w:rPr>
                <w:rFonts w:ascii="Times New Roman" w:hAnsi="Times New Roman"/>
                <w:sz w:val="24"/>
                <w:szCs w:val="24"/>
              </w:rPr>
              <w:t>nosacījums par jo ES ETS informācijas apmaiņas sistēmas DECLARE izmantošanu stājas spēkā ti</w:t>
            </w:r>
            <w:r w:rsidR="005A02D7">
              <w:rPr>
                <w:rFonts w:ascii="Times New Roman" w:hAnsi="Times New Roman"/>
                <w:sz w:val="24"/>
                <w:szCs w:val="24"/>
              </w:rPr>
              <w:t>kai pēc šī cikla beigām – 2018. gada 1. </w:t>
            </w:r>
            <w:r w:rsidRPr="00DF6FA4">
              <w:rPr>
                <w:rFonts w:ascii="Times New Roman" w:hAnsi="Times New Roman"/>
                <w:sz w:val="24"/>
                <w:szCs w:val="24"/>
              </w:rPr>
              <w:t xml:space="preserve">jūnijā, </w:t>
            </w:r>
            <w:r w:rsidRPr="00DF6FA4" w:rsidR="0059357C">
              <w:rPr>
                <w:rFonts w:ascii="Times New Roman" w:hAnsi="Times New Roman"/>
                <w:sz w:val="24"/>
                <w:szCs w:val="24"/>
              </w:rPr>
              <w:t>tādējādi operatoriem netiktu radītas problēmas noteikto saistību – ikgadējo emisiju ziņojumu sagatavošana, verificēšanas nodrošināšana un iesniegšana VVD, kā arī emisijas kvotu nodošana, izpildei, jo ir jāņem vērā, ka jaunas sistēmas sākotnējās izmantošanas apguvei ir nepieciešams pietiekams laiks</w:t>
            </w:r>
            <w:r w:rsidRPr="00DF6FA4">
              <w:rPr>
                <w:rFonts w:ascii="Times New Roman" w:hAnsi="Times New Roman"/>
                <w:sz w:val="24"/>
                <w:szCs w:val="24"/>
              </w:rPr>
              <w:t>.</w:t>
            </w:r>
          </w:p>
          <w:p w:rsidR="00BD1B94" w:rsidRPr="0007053D" w:rsidP="00BD1B94" w14:paraId="0B7EA1EC" w14:textId="27876D0C">
            <w:pPr>
              <w:spacing w:before="60" w:after="60"/>
              <w:rPr>
                <w:rFonts w:ascii="Times New Roman" w:hAnsi="Times New Roman"/>
                <w:b/>
                <w:sz w:val="24"/>
                <w:szCs w:val="24"/>
              </w:rPr>
            </w:pPr>
            <w:r w:rsidRPr="0007053D">
              <w:rPr>
                <w:rFonts w:ascii="Times New Roman" w:hAnsi="Times New Roman"/>
                <w:b/>
                <w:sz w:val="24"/>
                <w:szCs w:val="24"/>
              </w:rPr>
              <w:t>2.2.</w:t>
            </w:r>
            <w:r w:rsidRPr="0007053D" w:rsidR="006E261E">
              <w:rPr>
                <w:rFonts w:ascii="Times New Roman" w:hAnsi="Times New Roman"/>
                <w:b/>
                <w:sz w:val="24"/>
                <w:szCs w:val="24"/>
              </w:rPr>
              <w:t> </w:t>
            </w:r>
            <w:r w:rsidRPr="0007053D">
              <w:rPr>
                <w:rFonts w:ascii="Times New Roman" w:hAnsi="Times New Roman"/>
                <w:sz w:val="24"/>
                <w:szCs w:val="24"/>
              </w:rPr>
              <w:t xml:space="preserve">Ar </w:t>
            </w:r>
            <w:r w:rsidRPr="0007053D" w:rsidR="006E261E">
              <w:rPr>
                <w:rFonts w:ascii="Times New Roman" w:hAnsi="Times New Roman"/>
                <w:sz w:val="24"/>
                <w:szCs w:val="24"/>
              </w:rPr>
              <w:t>n</w:t>
            </w:r>
            <w:r w:rsidRPr="0007053D">
              <w:rPr>
                <w:rFonts w:ascii="Times New Roman" w:hAnsi="Times New Roman"/>
                <w:sz w:val="24"/>
                <w:szCs w:val="24"/>
              </w:rPr>
              <w:t xml:space="preserve">oteikumu projektu </w:t>
            </w:r>
            <w:r w:rsidRPr="0007053D" w:rsidR="00DF6FA4">
              <w:rPr>
                <w:rFonts w:ascii="Times New Roman" w:hAnsi="Times New Roman"/>
                <w:sz w:val="24"/>
                <w:szCs w:val="24"/>
              </w:rPr>
              <w:t xml:space="preserve">SEG atļaujas izsniegšanas un to grozījumu veikšanas termiņi tiks pielāgoti </w:t>
            </w:r>
            <w:r w:rsidRPr="0007053D">
              <w:rPr>
                <w:rFonts w:ascii="Times New Roman" w:hAnsi="Times New Roman"/>
                <w:sz w:val="24"/>
                <w:szCs w:val="24"/>
              </w:rPr>
              <w:t>atļauju A vai B kategorijas piesārņojošās darbības veikšanai vai C kategorijas apliecinājumu izsniegšanas termiņiem</w:t>
            </w:r>
            <w:r w:rsidR="005A02D7">
              <w:rPr>
                <w:rFonts w:ascii="Times New Roman" w:hAnsi="Times New Roman"/>
                <w:sz w:val="24"/>
                <w:szCs w:val="24"/>
              </w:rPr>
              <w:t>.</w:t>
            </w:r>
          </w:p>
          <w:p w:rsidR="0012446F" w:rsidP="00BD1B94" w14:paraId="75860532" w14:textId="06874AE8">
            <w:pPr>
              <w:spacing w:before="60" w:after="60"/>
              <w:rPr>
                <w:rFonts w:ascii="Times New Roman" w:hAnsi="Times New Roman"/>
                <w:sz w:val="24"/>
                <w:szCs w:val="24"/>
              </w:rPr>
            </w:pPr>
            <w:r w:rsidRPr="0007053D">
              <w:rPr>
                <w:rFonts w:ascii="Times New Roman" w:hAnsi="Times New Roman"/>
                <w:b/>
                <w:sz w:val="24"/>
                <w:szCs w:val="24"/>
              </w:rPr>
              <w:t>2.3.</w:t>
            </w:r>
            <w:r w:rsidRPr="0007053D" w:rsidR="006E261E">
              <w:rPr>
                <w:rFonts w:ascii="Times New Roman" w:hAnsi="Times New Roman"/>
                <w:b/>
                <w:sz w:val="24"/>
                <w:szCs w:val="24"/>
              </w:rPr>
              <w:t> </w:t>
            </w:r>
            <w:r w:rsidRPr="0007053D">
              <w:rPr>
                <w:rFonts w:ascii="Times New Roman" w:hAnsi="Times New Roman"/>
                <w:sz w:val="24"/>
                <w:szCs w:val="24"/>
              </w:rPr>
              <w:t>Noteikumos Nr.</w:t>
            </w:r>
            <w:r w:rsidRPr="0007053D" w:rsidR="0034750F">
              <w:rPr>
                <w:rFonts w:ascii="Times New Roman" w:hAnsi="Times New Roman"/>
                <w:sz w:val="24"/>
                <w:szCs w:val="24"/>
              </w:rPr>
              <w:t> </w:t>
            </w:r>
            <w:r w:rsidRPr="0007053D">
              <w:rPr>
                <w:rFonts w:ascii="Times New Roman" w:hAnsi="Times New Roman"/>
                <w:sz w:val="24"/>
                <w:szCs w:val="24"/>
              </w:rPr>
              <w:t xml:space="preserve">769 ir nepieciešams veikt vairākus tehniskus grozījumus, </w:t>
            </w:r>
            <w:r w:rsidRPr="0007053D">
              <w:rPr>
                <w:rFonts w:ascii="Times New Roman" w:hAnsi="Times New Roman"/>
                <w:sz w:val="24"/>
                <w:szCs w:val="24"/>
              </w:rPr>
              <w:t>tos pielāgojot likumā “Par piesārņojumu” iekļautajam nosacījumam attiecībā uz E</w:t>
            </w:r>
            <w:r w:rsidRPr="0007053D">
              <w:rPr>
                <w:rFonts w:ascii="Times New Roman" w:hAnsi="Times New Roman"/>
                <w:sz w:val="24"/>
                <w:szCs w:val="24"/>
              </w:rPr>
              <w:t>S ETS brīvprātīgo operatoru atļaujas</w:t>
            </w:r>
            <w:r w:rsidRPr="0007053D">
              <w:rPr>
                <w:rFonts w:ascii="Times New Roman" w:hAnsi="Times New Roman"/>
                <w:sz w:val="24"/>
                <w:szCs w:val="24"/>
              </w:rPr>
              <w:t xml:space="preserve"> atcelšanas termiņu</w:t>
            </w:r>
            <w:r w:rsidRPr="0007053D" w:rsidR="006E261E">
              <w:rPr>
                <w:rFonts w:ascii="Times New Roman" w:hAnsi="Times New Roman"/>
                <w:sz w:val="24"/>
                <w:szCs w:val="24"/>
              </w:rPr>
              <w:t>.</w:t>
            </w:r>
          </w:p>
          <w:p w:rsidR="00FF6CA8" w:rsidRPr="00FF6CA8" w:rsidP="00A270C1" w14:paraId="29D10780" w14:textId="4B445CF8">
            <w:pPr>
              <w:spacing w:before="60" w:after="60"/>
              <w:rPr>
                <w:rFonts w:ascii="Times New Roman" w:hAnsi="Times New Roman"/>
                <w:sz w:val="24"/>
                <w:szCs w:val="24"/>
              </w:rPr>
            </w:pPr>
            <w:r>
              <w:rPr>
                <w:rFonts w:ascii="Times New Roman" w:hAnsi="Times New Roman"/>
                <w:b/>
                <w:sz w:val="24"/>
                <w:szCs w:val="24"/>
              </w:rPr>
              <w:t>2.4.</w:t>
            </w:r>
            <w:r w:rsidR="0034750F">
              <w:rPr>
                <w:rFonts w:ascii="Times New Roman" w:hAnsi="Times New Roman"/>
                <w:b/>
                <w:sz w:val="24"/>
                <w:szCs w:val="24"/>
              </w:rPr>
              <w:t> </w:t>
            </w:r>
            <w:r w:rsidR="000723A8">
              <w:rPr>
                <w:rFonts w:ascii="Times New Roman" w:hAnsi="Times New Roman"/>
                <w:sz w:val="24"/>
                <w:szCs w:val="24"/>
              </w:rPr>
              <w:t>A</w:t>
            </w:r>
            <w:r w:rsidRPr="00BD1B94" w:rsidR="000723A8">
              <w:rPr>
                <w:rFonts w:ascii="Times New Roman" w:hAnsi="Times New Roman"/>
                <w:sz w:val="24"/>
                <w:szCs w:val="24"/>
              </w:rPr>
              <w:t xml:space="preserve">r </w:t>
            </w:r>
            <w:r w:rsidR="000723A8">
              <w:rPr>
                <w:rFonts w:ascii="Times New Roman" w:hAnsi="Times New Roman"/>
                <w:sz w:val="24"/>
                <w:szCs w:val="24"/>
              </w:rPr>
              <w:t>n</w:t>
            </w:r>
            <w:r w:rsidRPr="00BD1B94" w:rsidR="000723A8">
              <w:rPr>
                <w:rFonts w:ascii="Times New Roman" w:hAnsi="Times New Roman"/>
                <w:sz w:val="24"/>
                <w:szCs w:val="24"/>
              </w:rPr>
              <w:t xml:space="preserve">oteikumu projektu </w:t>
            </w:r>
            <w:r>
              <w:rPr>
                <w:rFonts w:ascii="Times New Roman" w:hAnsi="Times New Roman"/>
                <w:sz w:val="24"/>
                <w:szCs w:val="24"/>
              </w:rPr>
              <w:t>Noteikumos Nr.</w:t>
            </w:r>
            <w:r w:rsidR="0034750F">
              <w:rPr>
                <w:rFonts w:ascii="Times New Roman" w:hAnsi="Times New Roman"/>
                <w:sz w:val="24"/>
                <w:szCs w:val="24"/>
              </w:rPr>
              <w:t> </w:t>
            </w:r>
            <w:r>
              <w:rPr>
                <w:rFonts w:ascii="Times New Roman" w:hAnsi="Times New Roman"/>
                <w:sz w:val="24"/>
                <w:szCs w:val="24"/>
              </w:rPr>
              <w:t xml:space="preserve">769 </w:t>
            </w:r>
            <w:r w:rsidR="00A270C1">
              <w:rPr>
                <w:rFonts w:ascii="Times New Roman" w:hAnsi="Times New Roman"/>
                <w:sz w:val="24"/>
                <w:szCs w:val="24"/>
              </w:rPr>
              <w:t>tiek</w:t>
            </w:r>
            <w:r w:rsidR="000723A8">
              <w:rPr>
                <w:rFonts w:ascii="Times New Roman" w:hAnsi="Times New Roman"/>
                <w:sz w:val="24"/>
                <w:szCs w:val="24"/>
              </w:rPr>
              <w:t xml:space="preserve"> </w:t>
            </w:r>
            <w:r>
              <w:rPr>
                <w:rFonts w:ascii="Times New Roman" w:hAnsi="Times New Roman"/>
                <w:sz w:val="24"/>
                <w:szCs w:val="24"/>
              </w:rPr>
              <w:t>noteikt</w:t>
            </w:r>
            <w:r w:rsidR="000723A8">
              <w:rPr>
                <w:rFonts w:ascii="Times New Roman" w:hAnsi="Times New Roman"/>
                <w:sz w:val="24"/>
                <w:szCs w:val="24"/>
              </w:rPr>
              <w:t>s</w:t>
            </w:r>
            <w:r>
              <w:rPr>
                <w:rFonts w:ascii="Times New Roman" w:hAnsi="Times New Roman"/>
                <w:sz w:val="24"/>
                <w:szCs w:val="24"/>
              </w:rPr>
              <w:t>, ka veidlapa ziņošanai par to finanšu līdzekļu izlietojumu, kurus operators attiecīgajā kalendāra gadā ir guvis, pārdodot tam bez maksas piešķirtās emisijas kvotas, ir pieejama ne tikai VVD tīmekļvietnē, bet arī VARAM tīmekļvietnē, lai nodrošinātu informācijas pieejamības nepārtrauktību, kā arī, lai atvieglotu operatoriem pieejamo informāciju, ņemot vērā operatoru uzdotos jautājumus par informācijas pieejamību un tās meklēšanu tieši VARAM tīmekļvietnē.</w:t>
            </w:r>
          </w:p>
        </w:tc>
      </w:tr>
      <w:tr w14:paraId="4DFF3ADA" w14:textId="77777777" w:rsidTr="000F14C9">
        <w:tblPrEx>
          <w:tblW w:w="9639" w:type="dxa"/>
          <w:jc w:val="center"/>
          <w:tblCellMar>
            <w:left w:w="57" w:type="dxa"/>
            <w:right w:w="57" w:type="dxa"/>
          </w:tblCellMar>
          <w:tblLook w:val="00A0"/>
        </w:tblPrEx>
        <w:trPr>
          <w:trHeight w:val="274"/>
          <w:jc w:val="center"/>
        </w:trPr>
        <w:tc>
          <w:tcPr>
            <w:tcW w:w="250" w:type="pct"/>
          </w:tcPr>
          <w:p w:rsidR="00CB4AAB" w:rsidRPr="00F122F9" w:rsidP="00B63F0E" w14:paraId="16B2083B" w14:textId="577E5481">
            <w:pPr>
              <w:spacing w:before="60" w:after="60"/>
              <w:jc w:val="center"/>
              <w:rPr>
                <w:rFonts w:ascii="Times New Roman" w:hAnsi="Times New Roman"/>
                <w:lang w:eastAsia="lv-LV"/>
              </w:rPr>
            </w:pPr>
            <w:r w:rsidRPr="00F122F9">
              <w:rPr>
                <w:rFonts w:ascii="Times New Roman" w:hAnsi="Times New Roman"/>
                <w:lang w:eastAsia="lv-LV"/>
              </w:rPr>
              <w:t>3.</w:t>
            </w:r>
          </w:p>
        </w:tc>
        <w:tc>
          <w:tcPr>
            <w:tcW w:w="853" w:type="pct"/>
          </w:tcPr>
          <w:p w:rsidR="00CB4AAB" w:rsidRPr="00810942" w:rsidP="00B63F0E" w14:paraId="46F27036"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izstrādē iesaistītās institūcijas</w:t>
            </w:r>
          </w:p>
        </w:tc>
        <w:tc>
          <w:tcPr>
            <w:tcW w:w="3897" w:type="pct"/>
          </w:tcPr>
          <w:p w:rsidR="00F07CD0" w:rsidRPr="006E261E" w:rsidP="005E117D" w14:paraId="4FF6E6C0" w14:textId="608D0B52">
            <w:pPr>
              <w:pStyle w:val="naiskr"/>
              <w:spacing w:before="60" w:after="60"/>
              <w:jc w:val="both"/>
              <w:rPr>
                <w:iCs/>
                <w:sz w:val="22"/>
                <w:szCs w:val="22"/>
              </w:rPr>
            </w:pPr>
            <w:r w:rsidRPr="00D65423">
              <w:rPr>
                <w:iCs/>
              </w:rPr>
              <w:t>VARAM, VVD</w:t>
            </w:r>
          </w:p>
        </w:tc>
      </w:tr>
      <w:tr w14:paraId="3495304A" w14:textId="77777777" w:rsidTr="00F122F9">
        <w:tblPrEx>
          <w:tblW w:w="9639" w:type="dxa"/>
          <w:jc w:val="center"/>
          <w:tblCellMar>
            <w:left w:w="57" w:type="dxa"/>
            <w:right w:w="57" w:type="dxa"/>
          </w:tblCellMar>
          <w:tblLook w:val="00A0"/>
        </w:tblPrEx>
        <w:trPr>
          <w:jc w:val="center"/>
        </w:trPr>
        <w:tc>
          <w:tcPr>
            <w:tcW w:w="250" w:type="pct"/>
          </w:tcPr>
          <w:p w:rsidR="00CB4AAB" w:rsidRPr="00F122F9" w:rsidP="00B63F0E" w14:paraId="538194A3" w14:textId="77777777">
            <w:pPr>
              <w:spacing w:before="60" w:after="60"/>
              <w:jc w:val="center"/>
              <w:rPr>
                <w:rFonts w:ascii="Times New Roman" w:hAnsi="Times New Roman"/>
                <w:lang w:eastAsia="lv-LV"/>
              </w:rPr>
            </w:pPr>
            <w:r w:rsidRPr="00F122F9">
              <w:rPr>
                <w:rFonts w:ascii="Times New Roman" w:hAnsi="Times New Roman"/>
                <w:lang w:eastAsia="lv-LV"/>
              </w:rPr>
              <w:t>4.</w:t>
            </w:r>
          </w:p>
        </w:tc>
        <w:tc>
          <w:tcPr>
            <w:tcW w:w="853" w:type="pct"/>
          </w:tcPr>
          <w:p w:rsidR="00CB4AAB" w:rsidRPr="00810942" w:rsidP="00B63F0E" w14:paraId="2D300A15"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897" w:type="pct"/>
          </w:tcPr>
          <w:p w:rsidR="00CB4AAB" w:rsidRPr="00810942" w:rsidP="00C97E69" w14:paraId="26FF8B71" w14:textId="18AF819E">
            <w:pPr>
              <w:spacing w:before="60" w:after="60"/>
              <w:ind w:firstLine="232"/>
              <w:rPr>
                <w:rFonts w:ascii="Times New Roman" w:hAnsi="Times New Roman"/>
                <w:sz w:val="24"/>
                <w:szCs w:val="24"/>
                <w:lang w:eastAsia="lv-LV"/>
              </w:rPr>
            </w:pPr>
            <w:r>
              <w:rPr>
                <w:rFonts w:ascii="Times New Roman" w:hAnsi="Times New Roman"/>
                <w:sz w:val="24"/>
                <w:szCs w:val="24"/>
                <w:lang w:eastAsia="lv-LV"/>
              </w:rPr>
              <w:t xml:space="preserve">Noteikumu projekts tiks virzīts izskatīšanai Ministru kabinetā tikai pēc </w:t>
            </w:r>
            <w:r w:rsidRPr="00B30135">
              <w:rPr>
                <w:rFonts w:ascii="Times New Roman" w:hAnsi="Times New Roman"/>
                <w:sz w:val="24"/>
                <w:szCs w:val="24"/>
                <w:lang w:eastAsia="lv-LV"/>
              </w:rPr>
              <w:t>likumprojekt</w:t>
            </w:r>
            <w:r>
              <w:rPr>
                <w:rFonts w:ascii="Times New Roman" w:hAnsi="Times New Roman"/>
                <w:sz w:val="24"/>
                <w:szCs w:val="24"/>
                <w:lang w:eastAsia="lv-LV"/>
              </w:rPr>
              <w:t>a</w:t>
            </w:r>
            <w:r w:rsidRPr="00B30135">
              <w:rPr>
                <w:rFonts w:ascii="Times New Roman" w:hAnsi="Times New Roman"/>
                <w:sz w:val="24"/>
                <w:szCs w:val="24"/>
                <w:lang w:eastAsia="lv-LV"/>
              </w:rPr>
              <w:t xml:space="preserve"> “Grozījumi likumā “Par piesārņojumu” (Nr.</w:t>
            </w:r>
            <w:r w:rsidR="0034750F">
              <w:rPr>
                <w:rFonts w:ascii="Times New Roman" w:hAnsi="Times New Roman"/>
                <w:sz w:val="24"/>
                <w:szCs w:val="24"/>
                <w:lang w:eastAsia="lv-LV"/>
              </w:rPr>
              <w:t> </w:t>
            </w:r>
            <w:r w:rsidRPr="00B30135">
              <w:rPr>
                <w:rFonts w:ascii="Times New Roman" w:hAnsi="Times New Roman"/>
                <w:sz w:val="24"/>
                <w:szCs w:val="24"/>
                <w:lang w:eastAsia="lv-LV"/>
              </w:rPr>
              <w:t>1034/Lp12)</w:t>
            </w:r>
            <w:r>
              <w:rPr>
                <w:rFonts w:ascii="Times New Roman" w:hAnsi="Times New Roman"/>
                <w:sz w:val="24"/>
                <w:szCs w:val="24"/>
                <w:lang w:eastAsia="lv-LV"/>
              </w:rPr>
              <w:t xml:space="preserve"> spēkā stāšanās, pie nepieciešamības to precizējot, ņemot vērā </w:t>
            </w:r>
            <w:r w:rsidR="0034750F">
              <w:rPr>
                <w:rFonts w:ascii="Times New Roman" w:hAnsi="Times New Roman"/>
                <w:sz w:val="24"/>
                <w:szCs w:val="24"/>
                <w:lang w:eastAsia="lv-LV"/>
              </w:rPr>
              <w:t xml:space="preserve">minētā </w:t>
            </w:r>
            <w:r>
              <w:rPr>
                <w:rFonts w:ascii="Times New Roman" w:hAnsi="Times New Roman"/>
                <w:sz w:val="24"/>
                <w:szCs w:val="24"/>
                <w:lang w:eastAsia="lv-LV"/>
              </w:rPr>
              <w:t>likumprojekta virzības laikā veiktos iespējamos grozījumus.</w:t>
            </w:r>
          </w:p>
        </w:tc>
      </w:tr>
    </w:tbl>
    <w:p w:rsidR="00CB4AAB" w:rsidRPr="00F122F9" w:rsidP="0034370D" w14:paraId="5A6A503C" w14:textId="77777777">
      <w:pPr>
        <w:spacing w:after="0"/>
        <w:ind w:firstLine="301"/>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82"/>
        <w:gridCol w:w="1787"/>
        <w:gridCol w:w="7370"/>
      </w:tblGrid>
      <w:tr w14:paraId="5F47132E" w14:textId="77777777" w:rsidTr="003F5D80">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555"/>
          <w:jc w:val="center"/>
        </w:trPr>
        <w:tc>
          <w:tcPr>
            <w:tcW w:w="0" w:type="auto"/>
            <w:gridSpan w:val="3"/>
            <w:vAlign w:val="center"/>
          </w:tcPr>
          <w:p w:rsidR="00CB4AAB" w:rsidRPr="00810942" w:rsidP="00B63F0E" w14:paraId="3B950755" w14:textId="295B6EC9">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II. Tiesību akta projekta ietekme uz sabiedrību, tautsaimniecības attīstību un administratīvo slogu</w:t>
            </w:r>
          </w:p>
        </w:tc>
      </w:tr>
      <w:tr w14:paraId="24093540" w14:textId="77777777" w:rsidTr="00F122F9">
        <w:tblPrEx>
          <w:tblW w:w="9639" w:type="dxa"/>
          <w:jc w:val="center"/>
          <w:tblCellMar>
            <w:left w:w="57" w:type="dxa"/>
            <w:right w:w="57" w:type="dxa"/>
          </w:tblCellMar>
          <w:tblLook w:val="00A0"/>
        </w:tblPrEx>
        <w:trPr>
          <w:trHeight w:val="274"/>
          <w:jc w:val="center"/>
        </w:trPr>
        <w:tc>
          <w:tcPr>
            <w:tcW w:w="250" w:type="pct"/>
          </w:tcPr>
          <w:p w:rsidR="00CB4AAB" w:rsidRPr="00F122F9" w:rsidP="00B63F0E" w14:paraId="44B7BA9B"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tcPr>
          <w:p w:rsidR="00CB4AAB" w:rsidRPr="00810942" w:rsidP="00B63F0E" w14:paraId="577E9F8E"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Sabiedrības mērķgrupas, kuras tiesiskais regulējums ietekmē vai varētu ietekmēt</w:t>
            </w:r>
          </w:p>
        </w:tc>
        <w:tc>
          <w:tcPr>
            <w:tcW w:w="3823" w:type="pct"/>
          </w:tcPr>
          <w:p w:rsidR="002C68A0" w:rsidRPr="00810942" w14:paraId="2FBBDCDC" w14:textId="77777777">
            <w:pPr>
              <w:pStyle w:val="naiskr"/>
              <w:spacing w:before="60" w:after="60"/>
              <w:jc w:val="both"/>
              <w:rPr>
                <w:bCs/>
                <w:u w:val="single"/>
                <w:shd w:val="clear" w:color="auto" w:fill="FFFFFF"/>
              </w:rPr>
            </w:pPr>
            <w:r w:rsidRPr="00810942">
              <w:rPr>
                <w:bCs/>
                <w:u w:val="single"/>
                <w:shd w:val="clear" w:color="auto" w:fill="FFFFFF"/>
              </w:rPr>
              <w:t>Noteikumu projekta tiesiskais regulējums ietekmē vai var ietekmēt:</w:t>
            </w:r>
          </w:p>
          <w:p w:rsidR="0012446F" w:rsidRPr="003F4806" w:rsidP="0002260A" w14:paraId="5514A855" w14:textId="47C6537F">
            <w:pPr>
              <w:pStyle w:val="naiskr"/>
              <w:numPr>
                <w:ilvl w:val="0"/>
                <w:numId w:val="15"/>
              </w:numPr>
              <w:spacing w:before="60" w:after="60"/>
              <w:ind w:left="368"/>
              <w:jc w:val="both"/>
            </w:pPr>
            <w:r w:rsidRPr="00810942">
              <w:rPr>
                <w:bCs/>
                <w:shd w:val="clear" w:color="auto" w:fill="FFFFFF"/>
              </w:rPr>
              <w:t xml:space="preserve">ES ETS operatorus attiecībā </w:t>
            </w:r>
            <w:r w:rsidRPr="003F4806">
              <w:rPr>
                <w:bCs/>
                <w:shd w:val="clear" w:color="auto" w:fill="FFFFFF"/>
              </w:rPr>
              <w:t xml:space="preserve">uz </w:t>
            </w:r>
            <w:r w:rsidRPr="00EE3404" w:rsidR="006C2654">
              <w:t>ES E</w:t>
            </w:r>
            <w:r w:rsidR="006C2654">
              <w:t>TS informācijas apmaiņas sistēmas</w:t>
            </w:r>
            <w:r w:rsidRPr="00EE3404" w:rsidR="006C2654">
              <w:t xml:space="preserve"> </w:t>
            </w:r>
            <w:r w:rsidRPr="003F4806">
              <w:rPr>
                <w:bCs/>
                <w:shd w:val="clear" w:color="auto" w:fill="FFFFFF"/>
              </w:rPr>
              <w:t xml:space="preserve">DECLARE izmantošanu, kā arī attiecībā uz ziņošanu par </w:t>
            </w:r>
            <w:r w:rsidRPr="006C2654">
              <w:t>emisijas kvotu pārdošanā iegūto finanšu līdzekļu izlietojumu;</w:t>
            </w:r>
          </w:p>
          <w:p w:rsidR="00BF14CB" w:rsidRPr="00B501CB" w:rsidP="00BD1B94" w14:paraId="148A9880" w14:textId="200C56FA">
            <w:pPr>
              <w:pStyle w:val="naiskr"/>
              <w:numPr>
                <w:ilvl w:val="0"/>
                <w:numId w:val="15"/>
              </w:numPr>
              <w:spacing w:before="60" w:after="60"/>
              <w:ind w:left="368"/>
              <w:jc w:val="both"/>
              <w:rPr>
                <w:bCs/>
                <w:sz w:val="22"/>
                <w:szCs w:val="22"/>
                <w:shd w:val="clear" w:color="auto" w:fill="FFFFFF"/>
              </w:rPr>
            </w:pPr>
            <w:r>
              <w:rPr>
                <w:bCs/>
                <w:shd w:val="clear" w:color="auto" w:fill="FFFFFF"/>
              </w:rPr>
              <w:t>VARAM</w:t>
            </w:r>
            <w:r w:rsidR="0034750F">
              <w:rPr>
                <w:bCs/>
                <w:shd w:val="clear" w:color="auto" w:fill="FFFFFF"/>
              </w:rPr>
              <w:t>,</w:t>
            </w:r>
            <w:r w:rsidRPr="003F4806" w:rsidR="008B1B3F">
              <w:rPr>
                <w:bCs/>
                <w:shd w:val="clear" w:color="auto" w:fill="FFFFFF"/>
              </w:rPr>
              <w:t xml:space="preserve">VVD un </w:t>
            </w:r>
            <w:r w:rsidR="0034750F">
              <w:rPr>
                <w:bCs/>
                <w:shd w:val="clear" w:color="auto" w:fill="FFFFFF"/>
              </w:rPr>
              <w:t xml:space="preserve">VVD </w:t>
            </w:r>
            <w:r w:rsidRPr="003F4806" w:rsidR="008B1B3F">
              <w:rPr>
                <w:bCs/>
                <w:shd w:val="clear" w:color="auto" w:fill="FFFFFF"/>
              </w:rPr>
              <w:t xml:space="preserve">reģionālo vides pārvalžu inspektorus attiecībā uz </w:t>
            </w:r>
            <w:r w:rsidRPr="00EE3404" w:rsidR="006C2654">
              <w:t>ES E</w:t>
            </w:r>
            <w:r w:rsidR="006C2654">
              <w:t>TS informācijas apmaiņas sistēmas</w:t>
            </w:r>
            <w:r w:rsidRPr="00EE3404" w:rsidR="006C2654">
              <w:t xml:space="preserve"> </w:t>
            </w:r>
            <w:r w:rsidRPr="003F4806" w:rsidR="008B1B3F">
              <w:rPr>
                <w:bCs/>
                <w:shd w:val="clear" w:color="auto" w:fill="FFFFFF"/>
              </w:rPr>
              <w:t xml:space="preserve">DECLARE izmantošanu, kā arī attiecībā uz SEG atļauju un to grozījumu izsniegšanas termiņiem, brīvprātīgo ES ETS </w:t>
            </w:r>
            <w:r w:rsidRPr="00810942" w:rsidR="008B1B3F">
              <w:rPr>
                <w:bCs/>
                <w:shd w:val="clear" w:color="auto" w:fill="FFFFFF"/>
              </w:rPr>
              <w:t>operatoru SEG atļauju atcelšanu.</w:t>
            </w:r>
          </w:p>
        </w:tc>
      </w:tr>
      <w:tr w14:paraId="09765920" w14:textId="77777777" w:rsidTr="00F122F9">
        <w:tblPrEx>
          <w:tblW w:w="9639" w:type="dxa"/>
          <w:jc w:val="center"/>
          <w:tblCellMar>
            <w:left w:w="57" w:type="dxa"/>
            <w:right w:w="57" w:type="dxa"/>
          </w:tblCellMar>
          <w:tblLook w:val="00A0"/>
        </w:tblPrEx>
        <w:trPr>
          <w:trHeight w:val="510"/>
          <w:jc w:val="center"/>
        </w:trPr>
        <w:tc>
          <w:tcPr>
            <w:tcW w:w="250" w:type="pct"/>
          </w:tcPr>
          <w:p w:rsidR="00CB4AAB" w:rsidRPr="00F122F9" w:rsidP="00B63F0E" w14:paraId="104CAE6C"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tcPr>
          <w:p w:rsidR="00CB4AAB" w:rsidRPr="00810942" w:rsidP="00B63F0E" w14:paraId="68CC145D"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Tiesiskā regulējuma ietekme uz tautsaimniecību un administratīvo slogu</w:t>
            </w:r>
          </w:p>
        </w:tc>
        <w:tc>
          <w:tcPr>
            <w:tcW w:w="3823" w:type="pct"/>
          </w:tcPr>
          <w:p w:rsidR="00CB4AAB" w:rsidRPr="00810942" w14:paraId="78361749" w14:textId="77777777">
            <w:pPr>
              <w:spacing w:before="60" w:after="60"/>
              <w:rPr>
                <w:rFonts w:ascii="Times New Roman" w:hAnsi="Times New Roman"/>
                <w:sz w:val="24"/>
                <w:szCs w:val="24"/>
                <w:u w:val="single"/>
              </w:rPr>
            </w:pPr>
            <w:r w:rsidRPr="00810942">
              <w:rPr>
                <w:rFonts w:ascii="Times New Roman" w:hAnsi="Times New Roman"/>
                <w:sz w:val="24"/>
                <w:szCs w:val="24"/>
                <w:u w:val="single"/>
              </w:rPr>
              <w:t>Noteikumu projekta tiesiskā regulējuma paredzamā ietekme uz administratīvo slogu:</w:t>
            </w:r>
          </w:p>
          <w:p w:rsidR="00CB4AAB" w:rsidRPr="003F4806" w14:paraId="4E28541D" w14:textId="77777777">
            <w:pPr>
              <w:spacing w:before="60" w:after="60"/>
              <w:rPr>
                <w:rFonts w:ascii="Times New Roman" w:hAnsi="Times New Roman"/>
                <w:i/>
                <w:sz w:val="24"/>
                <w:szCs w:val="24"/>
              </w:rPr>
            </w:pPr>
            <w:r w:rsidRPr="00810942">
              <w:rPr>
                <w:rFonts w:ascii="Times New Roman" w:hAnsi="Times New Roman"/>
                <w:i/>
                <w:sz w:val="24"/>
                <w:szCs w:val="24"/>
              </w:rPr>
              <w:t xml:space="preserve">ES ETS </w:t>
            </w:r>
            <w:r w:rsidRPr="003F4806">
              <w:rPr>
                <w:rFonts w:ascii="Times New Roman" w:hAnsi="Times New Roman"/>
                <w:i/>
                <w:sz w:val="24"/>
                <w:szCs w:val="24"/>
              </w:rPr>
              <w:t>operatoriem</w:t>
            </w:r>
          </w:p>
          <w:p w:rsidR="00470F41" w:rsidRPr="00810942" w:rsidP="00EC321F" w14:paraId="7C2FBB77" w14:textId="479E0DDE">
            <w:pPr>
              <w:spacing w:before="60" w:after="60"/>
              <w:ind w:firstLine="227"/>
              <w:rPr>
                <w:rFonts w:ascii="Times New Roman" w:hAnsi="Times New Roman"/>
                <w:sz w:val="24"/>
                <w:szCs w:val="24"/>
              </w:rPr>
            </w:pPr>
            <w:r w:rsidRPr="003F4806">
              <w:rPr>
                <w:rFonts w:ascii="Times New Roman" w:hAnsi="Times New Roman"/>
                <w:sz w:val="24"/>
                <w:szCs w:val="24"/>
              </w:rPr>
              <w:t xml:space="preserve">Ir paredzams, ka, izmantojot </w:t>
            </w:r>
            <w:r w:rsidRPr="00EE3404" w:rsidR="00B3434A">
              <w:rPr>
                <w:rFonts w:ascii="Times New Roman" w:hAnsi="Times New Roman"/>
                <w:sz w:val="24"/>
                <w:szCs w:val="24"/>
              </w:rPr>
              <w:t xml:space="preserve">ES ETS informācijas apmaiņas sistēmu </w:t>
            </w:r>
            <w:r w:rsidRPr="003F4806">
              <w:rPr>
                <w:rFonts w:ascii="Times New Roman" w:hAnsi="Times New Roman"/>
                <w:sz w:val="24"/>
                <w:szCs w:val="24"/>
              </w:rPr>
              <w:t>DECLARE, ES ETS operatoriem administratīvais slogs samazināsies, jo turpmāk va</w:t>
            </w:r>
            <w:r w:rsidR="00B3434A">
              <w:rPr>
                <w:rFonts w:ascii="Times New Roman" w:hAnsi="Times New Roman"/>
                <w:sz w:val="24"/>
                <w:szCs w:val="24"/>
              </w:rPr>
              <w:t>irs</w:t>
            </w:r>
            <w:r w:rsidRPr="003F4806">
              <w:rPr>
                <w:rFonts w:ascii="Times New Roman" w:hAnsi="Times New Roman"/>
                <w:sz w:val="24"/>
                <w:szCs w:val="24"/>
              </w:rPr>
              <w:t xml:space="preserve"> nevajadzēs izmantot dažāda veida informācijas apmaiņas un iesniegšanas iespējas (e-pasts, elektroniski parakstīti dokumenti, pasts, personīgā iesniegšana), bet visa informācijas apmaiņa un uzglabāšana notiks </w:t>
            </w:r>
            <w:r w:rsidRPr="00810942">
              <w:rPr>
                <w:rFonts w:ascii="Times New Roman" w:hAnsi="Times New Roman"/>
                <w:sz w:val="24"/>
                <w:szCs w:val="24"/>
              </w:rPr>
              <w:t>vienkopus.</w:t>
            </w:r>
          </w:p>
          <w:p w:rsidR="007B5691" w:rsidRPr="003F4806" w14:paraId="4D43BEF7" w14:textId="7EFDCA8C">
            <w:pPr>
              <w:spacing w:before="60" w:after="60"/>
              <w:rPr>
                <w:rFonts w:ascii="Times New Roman" w:hAnsi="Times New Roman"/>
                <w:i/>
                <w:sz w:val="24"/>
                <w:szCs w:val="24"/>
              </w:rPr>
            </w:pPr>
            <w:r>
              <w:rPr>
                <w:rFonts w:ascii="Times New Roman" w:hAnsi="Times New Roman"/>
                <w:i/>
                <w:sz w:val="24"/>
                <w:szCs w:val="24"/>
              </w:rPr>
              <w:t xml:space="preserve">VARAM un </w:t>
            </w:r>
            <w:r w:rsidRPr="003F4806" w:rsidR="008B1B3F">
              <w:rPr>
                <w:rFonts w:ascii="Times New Roman" w:hAnsi="Times New Roman"/>
                <w:i/>
                <w:sz w:val="24"/>
                <w:szCs w:val="24"/>
              </w:rPr>
              <w:t>V</w:t>
            </w:r>
            <w:r w:rsidR="00B3434A">
              <w:rPr>
                <w:rFonts w:ascii="Times New Roman" w:hAnsi="Times New Roman"/>
                <w:i/>
                <w:sz w:val="24"/>
                <w:szCs w:val="24"/>
              </w:rPr>
              <w:t>VD</w:t>
            </w:r>
            <w:r w:rsidRPr="003F4806" w:rsidR="008B1B3F">
              <w:rPr>
                <w:rFonts w:ascii="Times New Roman" w:hAnsi="Times New Roman"/>
                <w:i/>
                <w:sz w:val="24"/>
                <w:szCs w:val="24"/>
              </w:rPr>
              <w:t xml:space="preserve"> un tā reģionālajām vides pārvaldēm</w:t>
            </w:r>
          </w:p>
          <w:p w:rsidR="00D33079" w:rsidRPr="003F4806" w:rsidP="00EC321F" w14:paraId="3B01D901" w14:textId="06265A9B">
            <w:pPr>
              <w:spacing w:before="60" w:after="60"/>
              <w:ind w:firstLine="227"/>
              <w:rPr>
                <w:rFonts w:ascii="Times New Roman" w:hAnsi="Times New Roman"/>
                <w:sz w:val="24"/>
                <w:szCs w:val="24"/>
              </w:rPr>
            </w:pPr>
            <w:r w:rsidRPr="003F4806">
              <w:rPr>
                <w:rFonts w:ascii="Times New Roman" w:hAnsi="Times New Roman"/>
                <w:sz w:val="24"/>
                <w:szCs w:val="24"/>
              </w:rPr>
              <w:t xml:space="preserve">Ir paredzams, ka, izmantojot </w:t>
            </w:r>
            <w:r w:rsidRPr="00EE3404" w:rsidR="00B3434A">
              <w:rPr>
                <w:rFonts w:ascii="Times New Roman" w:hAnsi="Times New Roman"/>
                <w:sz w:val="24"/>
                <w:szCs w:val="24"/>
              </w:rPr>
              <w:t xml:space="preserve">ES ETS informācijas apmaiņas sistēmu </w:t>
            </w:r>
            <w:r w:rsidRPr="003F4806">
              <w:rPr>
                <w:rFonts w:ascii="Times New Roman" w:hAnsi="Times New Roman"/>
                <w:sz w:val="24"/>
                <w:szCs w:val="24"/>
              </w:rPr>
              <w:t>DECLARE</w:t>
            </w:r>
            <w:r w:rsidR="00B3434A">
              <w:rPr>
                <w:rFonts w:ascii="Times New Roman" w:hAnsi="Times New Roman"/>
                <w:sz w:val="24"/>
                <w:szCs w:val="24"/>
              </w:rPr>
              <w:t>,</w:t>
            </w:r>
            <w:r w:rsidRPr="003F4806">
              <w:rPr>
                <w:rFonts w:ascii="Times New Roman" w:hAnsi="Times New Roman"/>
                <w:sz w:val="24"/>
                <w:szCs w:val="24"/>
              </w:rPr>
              <w:t xml:space="preserve"> tā darbības uzsākšanas laikā palielināsies administratīvais slogs VVD inspektoriem, jo būs nepieciešams Latvijas ES ETS operatoriem izveidot kontus (63 konti), savukārt turpmāk administratīvais slogs sakarā ar šīs sistēmas izmantošanu var samazināties.</w:t>
            </w:r>
          </w:p>
          <w:p w:rsidR="00BD1B94" w:rsidP="005E117D" w14:paraId="79DEC46A" w14:textId="77777777">
            <w:pPr>
              <w:spacing w:before="60" w:after="60"/>
              <w:ind w:firstLine="227"/>
              <w:rPr>
                <w:rFonts w:ascii="Times New Roman" w:hAnsi="Times New Roman"/>
                <w:sz w:val="24"/>
                <w:szCs w:val="24"/>
              </w:rPr>
            </w:pPr>
          </w:p>
          <w:p w:rsidR="00F07CD0" w:rsidRPr="000F14C9" w:rsidP="005E117D" w14:paraId="1CFBF86E" w14:textId="08658E95">
            <w:pPr>
              <w:spacing w:before="60" w:after="60"/>
              <w:ind w:firstLine="227"/>
              <w:rPr>
                <w:rFonts w:ascii="Times New Roman" w:hAnsi="Times New Roman"/>
                <w:lang w:eastAsia="lv-LV"/>
              </w:rPr>
            </w:pPr>
            <w:r w:rsidRPr="003F4806">
              <w:rPr>
                <w:rFonts w:ascii="Times New Roman" w:hAnsi="Times New Roman"/>
                <w:sz w:val="24"/>
                <w:szCs w:val="24"/>
              </w:rPr>
              <w:t>Nav paredzama būtiska ietekme uz uzņēmējdarbības vidi.</w:t>
            </w:r>
          </w:p>
        </w:tc>
      </w:tr>
      <w:tr w14:paraId="32E93C38" w14:textId="77777777" w:rsidTr="00F122F9">
        <w:tblPrEx>
          <w:tblW w:w="9639" w:type="dxa"/>
          <w:jc w:val="center"/>
          <w:tblCellMar>
            <w:left w:w="57" w:type="dxa"/>
            <w:right w:w="57" w:type="dxa"/>
          </w:tblCellMar>
          <w:tblLook w:val="00A0"/>
        </w:tblPrEx>
        <w:trPr>
          <w:trHeight w:val="510"/>
          <w:jc w:val="center"/>
        </w:trPr>
        <w:tc>
          <w:tcPr>
            <w:tcW w:w="250" w:type="pct"/>
          </w:tcPr>
          <w:p w:rsidR="00CB4AAB" w:rsidRPr="00F122F9" w:rsidP="00B63F0E" w14:paraId="1C45C6D7" w14:textId="77777777">
            <w:pPr>
              <w:spacing w:before="60" w:after="60"/>
              <w:jc w:val="left"/>
              <w:rPr>
                <w:rFonts w:ascii="Times New Roman" w:hAnsi="Times New Roman"/>
                <w:lang w:eastAsia="lv-LV"/>
              </w:rPr>
            </w:pPr>
            <w:r w:rsidRPr="00F122F9">
              <w:rPr>
                <w:rFonts w:ascii="Times New Roman" w:hAnsi="Times New Roman"/>
                <w:lang w:eastAsia="lv-LV"/>
              </w:rPr>
              <w:t xml:space="preserve">3. </w:t>
            </w:r>
          </w:p>
        </w:tc>
        <w:tc>
          <w:tcPr>
            <w:tcW w:w="927" w:type="pct"/>
          </w:tcPr>
          <w:p w:rsidR="00CB4AAB" w:rsidRPr="00810942" w:rsidP="00B63F0E" w14:paraId="3BE9F202"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Administratīvo izmaksu monetārs novērtējums</w:t>
            </w:r>
          </w:p>
        </w:tc>
        <w:tc>
          <w:tcPr>
            <w:tcW w:w="3823" w:type="pct"/>
          </w:tcPr>
          <w:p w:rsidR="0074243C" w:rsidRPr="00810942" w:rsidP="00470F41" w14:paraId="18F610A5" w14:textId="77777777">
            <w:pPr>
              <w:spacing w:before="60" w:after="60"/>
              <w:ind w:firstLine="170"/>
              <w:rPr>
                <w:rFonts w:ascii="Times New Roman" w:hAnsi="Times New Roman"/>
                <w:sz w:val="24"/>
                <w:szCs w:val="24"/>
              </w:rPr>
            </w:pPr>
            <w:r w:rsidRPr="00810942">
              <w:rPr>
                <w:rFonts w:ascii="Times New Roman" w:hAnsi="Times New Roman"/>
                <w:sz w:val="24"/>
                <w:szCs w:val="24"/>
              </w:rPr>
              <w:t>Šobrīd netiek paredzēta noteikumu projektā iekļauto nosacījumu ietekme uz administratīvajām izmaksām (naudas izteiksmē).</w:t>
            </w:r>
          </w:p>
        </w:tc>
      </w:tr>
      <w:tr w14:paraId="09480A27" w14:textId="77777777" w:rsidTr="00F122F9">
        <w:tblPrEx>
          <w:tblW w:w="9639" w:type="dxa"/>
          <w:jc w:val="center"/>
          <w:tblCellMar>
            <w:left w:w="57" w:type="dxa"/>
            <w:right w:w="57" w:type="dxa"/>
          </w:tblCellMar>
          <w:tblLook w:val="00A0"/>
        </w:tblPrEx>
        <w:trPr>
          <w:trHeight w:val="345"/>
          <w:jc w:val="center"/>
        </w:trPr>
        <w:tc>
          <w:tcPr>
            <w:tcW w:w="250" w:type="pct"/>
          </w:tcPr>
          <w:p w:rsidR="00CB4AAB" w:rsidRPr="00F122F9" w:rsidP="00B63F0E" w14:paraId="38B8059D" w14:textId="77777777">
            <w:pPr>
              <w:spacing w:before="60" w:after="60"/>
              <w:jc w:val="left"/>
              <w:rPr>
                <w:rFonts w:ascii="Times New Roman" w:hAnsi="Times New Roman"/>
                <w:lang w:eastAsia="lv-LV"/>
              </w:rPr>
            </w:pPr>
            <w:r w:rsidRPr="00F122F9">
              <w:rPr>
                <w:rFonts w:ascii="Times New Roman" w:hAnsi="Times New Roman"/>
                <w:lang w:eastAsia="lv-LV"/>
              </w:rPr>
              <w:t>4.</w:t>
            </w:r>
          </w:p>
        </w:tc>
        <w:tc>
          <w:tcPr>
            <w:tcW w:w="927" w:type="pct"/>
          </w:tcPr>
          <w:p w:rsidR="00CB4AAB" w:rsidRPr="00810942" w:rsidP="00B63F0E" w14:paraId="06BC26A4"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823" w:type="pct"/>
          </w:tcPr>
          <w:p w:rsidR="00CB4AAB" w:rsidRPr="00810942" w:rsidP="00B63F0E" w14:paraId="7B230371" w14:textId="77777777">
            <w:pPr>
              <w:pStyle w:val="BodyTextIndent2"/>
              <w:spacing w:before="60" w:after="60" w:line="240" w:lineRule="auto"/>
              <w:ind w:left="0" w:firstLine="113"/>
              <w:jc w:val="both"/>
            </w:pPr>
            <w:r w:rsidRPr="00810942">
              <w:t>Nav</w:t>
            </w:r>
          </w:p>
        </w:tc>
      </w:tr>
    </w:tbl>
    <w:p w:rsidR="00F07CD0" w:rsidP="005E117D" w14:paraId="2BBA36A3" w14:textId="77777777">
      <w:pPr>
        <w:shd w:val="clear" w:color="auto" w:fill="FFFFFF"/>
        <w:spacing w:after="0"/>
        <w:jc w:val="left"/>
        <w:rPr>
          <w:rFonts w:ascii="Times New Roman" w:hAnsi="Times New Roman"/>
          <w:sz w:val="24"/>
          <w:szCs w:val="24"/>
        </w:rPr>
      </w:pPr>
    </w:p>
    <w:tbl>
      <w:tblPr>
        <w:tblW w:w="9639" w:type="dxa"/>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639"/>
      </w:tblGrid>
      <w:tr w14:paraId="4DC664C9" w14:textId="77777777" w:rsidTr="002C7EC6">
        <w:tblPrEx>
          <w:tblW w:w="9639" w:type="dxa"/>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3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65423" w:rsidRPr="009A3E9F" w:rsidP="002C7EC6" w14:paraId="6AAEC4F2" w14:textId="77777777">
            <w:pPr>
              <w:spacing w:after="0"/>
              <w:jc w:val="center"/>
              <w:rPr>
                <w:rFonts w:ascii="Times New Roman" w:eastAsia="Times New Roman" w:hAnsi="Times New Roman"/>
                <w:b/>
                <w:bCs/>
                <w:sz w:val="24"/>
                <w:szCs w:val="24"/>
                <w:lang w:eastAsia="lv-LV"/>
              </w:rPr>
            </w:pPr>
            <w:r w:rsidRPr="009A3E9F">
              <w:rPr>
                <w:rFonts w:ascii="Times New Roman" w:eastAsia="Times New Roman" w:hAnsi="Times New Roman"/>
                <w:b/>
                <w:bCs/>
                <w:sz w:val="24"/>
                <w:szCs w:val="24"/>
                <w:lang w:eastAsia="lv-LV"/>
              </w:rPr>
              <w:t>II</w:t>
            </w:r>
            <w:r>
              <w:rPr>
                <w:rFonts w:ascii="Times New Roman" w:eastAsia="Times New Roman" w:hAnsi="Times New Roman"/>
                <w:b/>
                <w:bCs/>
                <w:sz w:val="24"/>
                <w:szCs w:val="24"/>
                <w:lang w:eastAsia="lv-LV"/>
              </w:rPr>
              <w:t>I</w:t>
            </w:r>
            <w:r w:rsidRPr="009A3E9F">
              <w:rPr>
                <w:rFonts w:ascii="Times New Roman" w:eastAsia="Times New Roman" w:hAnsi="Times New Roman"/>
                <w:b/>
                <w:bCs/>
                <w:sz w:val="24"/>
                <w:szCs w:val="24"/>
                <w:lang w:eastAsia="lv-LV"/>
              </w:rPr>
              <w:t>. </w:t>
            </w:r>
            <w:r w:rsidRPr="00660BD9">
              <w:rPr>
                <w:rFonts w:ascii="Times New Roman" w:eastAsia="Times New Roman" w:hAnsi="Times New Roman"/>
                <w:b/>
                <w:sz w:val="24"/>
                <w:szCs w:val="24"/>
                <w:lang w:eastAsia="lv-LV"/>
              </w:rPr>
              <w:t>Tiesību akta projekta ietekme uz valsts budžetu un pašvaldību budžetiem</w:t>
            </w:r>
          </w:p>
        </w:tc>
      </w:tr>
      <w:tr w14:paraId="7EC24AA2" w14:textId="77777777" w:rsidTr="002C7EC6">
        <w:tblPrEx>
          <w:tblW w:w="9639" w:type="dxa"/>
          <w:tblInd w:w="-260" w:type="dxa"/>
          <w:tblCellMar>
            <w:top w:w="24" w:type="dxa"/>
            <w:left w:w="24" w:type="dxa"/>
            <w:bottom w:w="24" w:type="dxa"/>
            <w:right w:w="24" w:type="dxa"/>
          </w:tblCellMar>
          <w:tblLook w:val="04A0"/>
        </w:tblPrEx>
        <w:trPr>
          <w:trHeight w:val="210"/>
        </w:trPr>
        <w:tc>
          <w:tcPr>
            <w:tcW w:w="5000" w:type="pct"/>
            <w:tcBorders>
              <w:top w:val="outset" w:sz="6" w:space="0" w:color="414142"/>
              <w:left w:val="outset" w:sz="6" w:space="0" w:color="414142"/>
              <w:bottom w:val="outset" w:sz="6" w:space="0" w:color="414142"/>
              <w:right w:val="outset" w:sz="6" w:space="0" w:color="414142"/>
            </w:tcBorders>
            <w:vAlign w:val="center"/>
          </w:tcPr>
          <w:p w:rsidR="00D65423" w:rsidRPr="009A3E9F" w:rsidP="002C7EC6" w14:paraId="4F1549F0" w14:textId="77777777">
            <w:pPr>
              <w:spacing w:after="0"/>
              <w:jc w:val="center"/>
              <w:rPr>
                <w:rFonts w:ascii="Times New Roman" w:eastAsia="Times New Roman" w:hAnsi="Times New Roman"/>
                <w:sz w:val="24"/>
                <w:szCs w:val="24"/>
                <w:lang w:eastAsia="lv-LV"/>
              </w:rPr>
            </w:pPr>
            <w:r w:rsidRPr="009A3E9F">
              <w:rPr>
                <w:rFonts w:ascii="Times New Roman" w:hAnsi="Times New Roman"/>
                <w:i/>
                <w:iCs/>
                <w:sz w:val="24"/>
                <w:szCs w:val="24"/>
              </w:rPr>
              <w:t>Projekts šo jomu neskar</w:t>
            </w:r>
          </w:p>
        </w:tc>
      </w:tr>
    </w:tbl>
    <w:p w:rsidR="00D65423" w:rsidP="00D65423" w14:paraId="7EB62FDE" w14:textId="77777777">
      <w:pPr>
        <w:shd w:val="clear" w:color="auto" w:fill="FFFFFF"/>
        <w:spacing w:after="0"/>
        <w:jc w:val="left"/>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14:paraId="69A982BB" w14:textId="77777777" w:rsidTr="002C7EC6">
        <w:tblPrEx>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640" w:type="dxa"/>
            <w:vAlign w:val="center"/>
          </w:tcPr>
          <w:p w:rsidR="00D65423" w:rsidRPr="009A3E9F" w:rsidP="002C7EC6" w14:paraId="2E576424" w14:textId="77777777">
            <w:pPr>
              <w:pStyle w:val="naisf"/>
              <w:spacing w:before="0" w:after="0"/>
              <w:ind w:firstLine="0"/>
              <w:jc w:val="center"/>
              <w:rPr>
                <w:b/>
              </w:rPr>
            </w:pPr>
            <w:r w:rsidRPr="009A3E9F">
              <w:rPr>
                <w:b/>
              </w:rPr>
              <w:t>IV.</w:t>
            </w:r>
            <w:r>
              <w:rPr>
                <w:b/>
              </w:rPr>
              <w:t> </w:t>
            </w:r>
            <w:r w:rsidRPr="009A3E9F">
              <w:rPr>
                <w:b/>
              </w:rPr>
              <w:t>Tiesību akta projekta ietekme uz spēkā esošo tiesību normu sistēmu</w:t>
            </w:r>
          </w:p>
        </w:tc>
      </w:tr>
      <w:tr w14:paraId="265C0E01" w14:textId="77777777" w:rsidTr="002C7EC6">
        <w:tblPrEx>
          <w:tblW w:w="9640" w:type="dxa"/>
          <w:tblInd w:w="-176" w:type="dxa"/>
          <w:tblLook w:val="04A0"/>
        </w:tblPrEx>
        <w:trPr>
          <w:trHeight w:val="327"/>
        </w:trPr>
        <w:tc>
          <w:tcPr>
            <w:tcW w:w="9640" w:type="dxa"/>
            <w:vAlign w:val="center"/>
          </w:tcPr>
          <w:p w:rsidR="00D65423" w:rsidRPr="009A3E9F" w:rsidP="002C7EC6" w14:paraId="27092EFB" w14:textId="77777777">
            <w:pPr>
              <w:pStyle w:val="naisf"/>
              <w:spacing w:before="0" w:after="0"/>
              <w:ind w:firstLine="0"/>
              <w:jc w:val="center"/>
              <w:rPr>
                <w:b/>
              </w:rPr>
            </w:pPr>
            <w:r w:rsidRPr="009A3E9F">
              <w:rPr>
                <w:i/>
                <w:iCs/>
              </w:rPr>
              <w:t>Projekts šo jomu neskar</w:t>
            </w:r>
          </w:p>
        </w:tc>
      </w:tr>
    </w:tbl>
    <w:p w:rsidR="00D65423" w:rsidP="00D65423" w14:paraId="34920665" w14:textId="77777777">
      <w:pPr>
        <w:shd w:val="clear" w:color="auto" w:fill="FFFFFF"/>
        <w:spacing w:after="0"/>
        <w:rPr>
          <w:rFonts w:ascii="Times New Roman" w:eastAsia="Times New Roman" w:hAnsi="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82"/>
        <w:gridCol w:w="2795"/>
        <w:gridCol w:w="6362"/>
      </w:tblGrid>
      <w:tr w14:paraId="15A4CBAB" w14:textId="77777777" w:rsidTr="002C7EC6">
        <w:tblPrEx>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53AAF" w:rsidP="002C7EC6" w14:paraId="1DEC8486" w14:textId="77777777">
            <w:pPr>
              <w:spacing w:before="60" w:after="6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 Tiesību akta projekta atbilstība Latvijas Republikas starptautiskajām saistībām</w:t>
            </w:r>
          </w:p>
        </w:tc>
      </w:tr>
      <w:tr w14:paraId="489428BC" w14:textId="77777777" w:rsidTr="002C7EC6">
        <w:tblPrEx>
          <w:tblW w:w="9639" w:type="dxa"/>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E53AAF" w:rsidP="002C7EC6" w14:paraId="6E26216E"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E53AAF" w:rsidP="002C7EC6" w14:paraId="47DD6FA6"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E53AAF" w:rsidP="00E53AAF" w14:paraId="1511025B" w14:textId="5B6C5E7D">
            <w:pPr>
              <w:autoSpaceDE w:val="0"/>
              <w:autoSpaceDN w:val="0"/>
              <w:adjustRightInd w:val="0"/>
              <w:spacing w:before="60" w:after="60"/>
              <w:rPr>
                <w:rFonts w:ascii="Times New Roman" w:hAnsi="Times New Roman"/>
                <w:sz w:val="24"/>
                <w:szCs w:val="24"/>
              </w:rPr>
            </w:pPr>
            <w:r>
              <w:rPr>
                <w:rFonts w:ascii="Times New Roman" w:hAnsi="Times New Roman"/>
                <w:sz w:val="24"/>
                <w:szCs w:val="24"/>
              </w:rPr>
              <w:t>Regula Nr. 601/2012.</w:t>
            </w:r>
          </w:p>
        </w:tc>
      </w:tr>
      <w:tr w14:paraId="7E6CA9BA" w14:textId="77777777" w:rsidTr="002C7EC6">
        <w:tblPrEx>
          <w:tblW w:w="9639" w:type="dxa"/>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E53AAF" w:rsidP="002C7EC6" w14:paraId="76EB9FAB"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E53AAF" w:rsidP="002C7EC6" w14:paraId="48594820"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E53AAF" w:rsidP="002C7EC6" w14:paraId="2430C7C6"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rPr>
              <w:t>Projekts šo jomu neskar.</w:t>
            </w:r>
          </w:p>
        </w:tc>
      </w:tr>
      <w:tr w14:paraId="033A1D2E" w14:textId="77777777" w:rsidTr="002C7EC6">
        <w:tblPrEx>
          <w:tblW w:w="9639" w:type="dxa"/>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E53AAF" w:rsidP="002C7EC6" w14:paraId="29B84A9E"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E53AAF" w:rsidP="002C7EC6" w14:paraId="1E136797"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E53AAF" w:rsidP="002C7EC6" w14:paraId="6979DDAD"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E53AAF" w:rsidP="00D65423" w14:paraId="2B19F584" w14:textId="77777777">
      <w:pPr>
        <w:shd w:val="clear" w:color="auto" w:fill="FFFFFF"/>
        <w:spacing w:after="0"/>
        <w:rPr>
          <w:rFonts w:ascii="Times New Roman" w:eastAsia="Times New Roman" w:hAnsi="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215"/>
        <w:gridCol w:w="2121"/>
        <w:gridCol w:w="2699"/>
        <w:gridCol w:w="2604"/>
      </w:tblGrid>
      <w:tr w14:paraId="10C900A8" w14:textId="77777777" w:rsidTr="002C7EC6">
        <w:tblPrEx>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E53AAF" w:rsidP="002C7EC6" w14:paraId="461E3AF7" w14:textId="77777777">
            <w:pPr>
              <w:spacing w:before="60" w:after="6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 tabula</w:t>
            </w:r>
            <w:r>
              <w:rPr>
                <w:rFonts w:ascii="Times New Roman" w:eastAsia="Times New Roman" w:hAnsi="Times New Roman"/>
                <w:b/>
                <w:bCs/>
                <w:sz w:val="24"/>
                <w:szCs w:val="24"/>
                <w:lang w:eastAsia="lv-LV"/>
              </w:rPr>
              <w:br/>
              <w:t>Tiesību akta projekta atbilstība ES tiesību aktiem</w:t>
            </w:r>
          </w:p>
        </w:tc>
      </w:tr>
      <w:tr w14:paraId="629167AE" w14:textId="77777777" w:rsidTr="002C7EC6">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E53AAF" w:rsidP="002C7EC6" w14:paraId="0A2AE83A"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E53AAF" w:rsidP="00E53AAF" w14:paraId="2B1BBF94" w14:textId="144873F9">
            <w:pPr>
              <w:spacing w:before="60" w:after="60"/>
              <w:rPr>
                <w:rFonts w:ascii="Times New Roman" w:eastAsia="Times New Roman" w:hAnsi="Times New Roman"/>
                <w:sz w:val="24"/>
                <w:szCs w:val="24"/>
                <w:lang w:eastAsia="lv-LV"/>
              </w:rPr>
            </w:pPr>
            <w:r>
              <w:rPr>
                <w:rFonts w:ascii="Times New Roman" w:hAnsi="Times New Roman"/>
                <w:b/>
                <w:sz w:val="24"/>
                <w:szCs w:val="24"/>
              </w:rPr>
              <w:t>Regula Nr. 601/2012</w:t>
            </w:r>
          </w:p>
        </w:tc>
      </w:tr>
      <w:tr w14:paraId="0D981D16" w14:textId="77777777" w:rsidTr="002C7EC6">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rsidR="00E53AAF" w:rsidRPr="0022209C" w:rsidP="002C7EC6" w14:paraId="7F437305" w14:textId="77777777">
            <w:pPr>
              <w:spacing w:after="0"/>
              <w:jc w:val="center"/>
              <w:rPr>
                <w:rFonts w:ascii="Times New Roman" w:eastAsia="Times New Roman" w:hAnsi="Times New Roman"/>
                <w:sz w:val="20"/>
                <w:szCs w:val="20"/>
                <w:lang w:eastAsia="lv-LV"/>
              </w:rPr>
            </w:pPr>
            <w:r w:rsidRPr="0022209C">
              <w:rPr>
                <w:rFonts w:ascii="Times New Roman" w:eastAsia="Times New Roman" w:hAnsi="Times New Roman"/>
                <w:sz w:val="20"/>
                <w:szCs w:val="20"/>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E53AAF" w:rsidRPr="0022209C" w:rsidP="002C7EC6" w14:paraId="59A08DD6" w14:textId="77777777">
            <w:pPr>
              <w:spacing w:after="0"/>
              <w:jc w:val="center"/>
              <w:rPr>
                <w:rFonts w:ascii="Times New Roman" w:eastAsia="Times New Roman" w:hAnsi="Times New Roman"/>
                <w:sz w:val="20"/>
                <w:szCs w:val="20"/>
                <w:lang w:eastAsia="lv-LV"/>
              </w:rPr>
            </w:pPr>
            <w:r w:rsidRPr="0022209C">
              <w:rPr>
                <w:rFonts w:ascii="Times New Roman" w:eastAsia="Times New Roman" w:hAnsi="Times New Roman"/>
                <w:sz w:val="20"/>
                <w:szCs w:val="20"/>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E53AAF" w:rsidRPr="00332018" w:rsidP="002C7EC6" w14:paraId="7F6E30DE" w14:textId="77777777">
            <w:pPr>
              <w:spacing w:after="0"/>
              <w:jc w:val="center"/>
              <w:rPr>
                <w:rFonts w:ascii="Times New Roman" w:eastAsia="Times New Roman" w:hAnsi="Times New Roman"/>
                <w:sz w:val="20"/>
                <w:szCs w:val="20"/>
                <w:lang w:eastAsia="lv-LV"/>
              </w:rPr>
            </w:pPr>
            <w:r w:rsidRPr="00332018">
              <w:rPr>
                <w:rFonts w:ascii="Times New Roman" w:eastAsia="Times New Roman" w:hAnsi="Times New Roman"/>
                <w:sz w:val="20"/>
                <w:szCs w:val="20"/>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E53AAF" w:rsidRPr="0022209C" w:rsidP="002C7EC6" w14:paraId="4155A497" w14:textId="77777777">
            <w:pPr>
              <w:spacing w:after="0"/>
              <w:jc w:val="center"/>
              <w:rPr>
                <w:rFonts w:ascii="Times New Roman" w:eastAsia="Times New Roman" w:hAnsi="Times New Roman"/>
                <w:sz w:val="20"/>
                <w:szCs w:val="20"/>
                <w:lang w:eastAsia="lv-LV"/>
              </w:rPr>
            </w:pPr>
            <w:r w:rsidRPr="0022209C">
              <w:rPr>
                <w:rFonts w:ascii="Times New Roman" w:eastAsia="Times New Roman" w:hAnsi="Times New Roman"/>
                <w:sz w:val="20"/>
                <w:szCs w:val="20"/>
                <w:lang w:eastAsia="lv-LV"/>
              </w:rPr>
              <w:t>D</w:t>
            </w:r>
          </w:p>
        </w:tc>
      </w:tr>
      <w:tr w14:paraId="48168CDE" w14:textId="77777777" w:rsidTr="002C7EC6">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E53AAF" w:rsidRPr="00693D84" w:rsidP="002C7EC6" w14:paraId="1FA07B82"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E53AAF" w:rsidRPr="00693D84" w:rsidP="002C7EC6" w14:paraId="6AAEEBA3"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E53AAF" w:rsidRPr="00693D84" w:rsidP="002C7EC6" w14:paraId="5392BC02"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Informācija par to, vai šīs tabulas A ailē minētās ES tiesību akta vienības tiek pārņemtas vai ieviestas pilnībā vai daļēji.</w:t>
            </w:r>
          </w:p>
          <w:p w:rsidR="00E53AAF" w:rsidRPr="00693D84" w:rsidP="002C7EC6" w14:paraId="3F4372DE"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rsidR="00E53AAF" w:rsidRPr="00693D84" w:rsidP="002C7EC6" w14:paraId="199A75D5"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Norāda institūciju, kas ir atbildīga par šo saistību izpildi pilnībā</w:t>
            </w:r>
          </w:p>
        </w:tc>
        <w:tc>
          <w:tcPr>
            <w:tcW w:w="1351" w:type="pct"/>
            <w:tcBorders>
              <w:top w:val="outset" w:sz="6" w:space="0" w:color="414142"/>
              <w:left w:val="outset" w:sz="6" w:space="0" w:color="414142"/>
              <w:bottom w:val="outset" w:sz="6" w:space="0" w:color="414142"/>
              <w:right w:val="outset" w:sz="6" w:space="0" w:color="414142"/>
            </w:tcBorders>
            <w:hideMark/>
          </w:tcPr>
          <w:p w:rsidR="00E53AAF" w:rsidRPr="00693D84" w:rsidP="002C7EC6" w14:paraId="55A73548"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Informācija par to, vai šīs tabulas B ailē minētās projekta vienības paredz stingrākas prasības nekā šīs tabulas A ailē minētās ES tiesību akta vienības.</w:t>
            </w:r>
          </w:p>
          <w:p w:rsidR="00E53AAF" w:rsidRPr="00693D84" w:rsidP="002C7EC6" w14:paraId="0AB4013F"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Ja projekts satur stingrākas prasības nekā attiecīgais ES tiesību akts, norāda pamatojumu un samērīgumu.</w:t>
            </w:r>
          </w:p>
          <w:p w:rsidR="00E53AAF" w:rsidRPr="00693D84" w:rsidP="002C7EC6" w14:paraId="36A08B8E"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1EF24F56" w14:textId="77777777" w:rsidTr="002C7EC6">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rsidR="00E53AAF" w:rsidP="002C7EC6" w14:paraId="24270907" w14:textId="6610EF4C">
            <w:pPr>
              <w:spacing w:before="60" w:after="60"/>
              <w:rPr>
                <w:rFonts w:ascii="Times New Roman" w:hAnsi="Times New Roman" w:eastAsiaTheme="minorHAnsi"/>
                <w:sz w:val="24"/>
                <w:szCs w:val="24"/>
              </w:rPr>
            </w:pPr>
            <w:r>
              <w:rPr>
                <w:rFonts w:ascii="Times New Roman" w:hAnsi="Times New Roman" w:eastAsiaTheme="minorHAnsi"/>
                <w:sz w:val="24"/>
                <w:szCs w:val="24"/>
              </w:rPr>
              <w:t>74.</w:t>
            </w:r>
            <w:r w:rsidR="0034750F">
              <w:rPr>
                <w:rFonts w:ascii="Times New Roman" w:hAnsi="Times New Roman" w:eastAsiaTheme="minorHAnsi"/>
                <w:sz w:val="24"/>
                <w:szCs w:val="24"/>
              </w:rPr>
              <w:t> </w:t>
            </w:r>
            <w:r>
              <w:rPr>
                <w:rFonts w:ascii="Times New Roman" w:hAnsi="Times New Roman" w:eastAsiaTheme="minorHAnsi"/>
                <w:sz w:val="24"/>
                <w:szCs w:val="24"/>
              </w:rPr>
              <w:t>pants</w:t>
            </w:r>
          </w:p>
        </w:tc>
        <w:tc>
          <w:tcPr>
            <w:tcW w:w="1100" w:type="pct"/>
            <w:tcBorders>
              <w:top w:val="outset" w:sz="6" w:space="0" w:color="414142"/>
              <w:left w:val="outset" w:sz="6" w:space="0" w:color="414142"/>
              <w:bottom w:val="outset" w:sz="6" w:space="0" w:color="414142"/>
              <w:right w:val="outset" w:sz="6" w:space="0" w:color="414142"/>
            </w:tcBorders>
            <w:vAlign w:val="center"/>
          </w:tcPr>
          <w:p w:rsidR="00E53AAF" w:rsidP="00E53AAF" w14:paraId="089205FF" w14:textId="6164131F">
            <w:pPr>
              <w:spacing w:before="60" w:after="60"/>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oteikumu projekta 1., 7., 9.</w:t>
            </w:r>
            <w:r>
              <w:rPr>
                <w:rFonts w:ascii="Times New Roman" w:hAnsi="Times New Roman"/>
                <w:sz w:val="24"/>
                <w:szCs w:val="24"/>
              </w:rPr>
              <w:t> </w:t>
            </w:r>
            <w:r>
              <w:rPr>
                <w:rFonts w:ascii="Times New Roman" w:hAnsi="Times New Roman"/>
                <w:sz w:val="24"/>
                <w:szCs w:val="24"/>
              </w:rPr>
              <w:t>punkts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E53AAF" w:rsidP="00E53AAF" w14:paraId="64FCC0CE" w14:textId="77777777">
            <w:pPr>
              <w:spacing w:before="60" w:after="60"/>
              <w:rPr>
                <w:rFonts w:ascii="Times New Roman" w:hAnsi="Times New Roman"/>
                <w:sz w:val="24"/>
                <w:szCs w:val="24"/>
              </w:rPr>
            </w:pPr>
            <w:r>
              <w:rPr>
                <w:rFonts w:ascii="Times New Roman" w:hAnsi="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E53AAF" w:rsidP="0007053D" w14:paraId="4F7D8F61" w14:textId="77777777">
            <w:pPr>
              <w:pStyle w:val="naisc"/>
              <w:spacing w:before="60" w:after="60"/>
              <w:jc w:val="both"/>
              <w:rPr>
                <w:lang w:eastAsia="en-US"/>
              </w:rPr>
            </w:pPr>
            <w:r>
              <w:rPr>
                <w:lang w:eastAsia="en-US"/>
              </w:rPr>
              <w:t>Netiek ieviests paredzot stingrākas vai mazāk stingras prasības</w:t>
            </w:r>
          </w:p>
        </w:tc>
      </w:tr>
      <w:tr w14:paraId="1C90D005" w14:textId="77777777" w:rsidTr="002C7EC6">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rsidR="00E53AAF" w:rsidP="00E53AAF" w14:paraId="50DA5A93" w14:textId="635BE83F">
            <w:pPr>
              <w:spacing w:before="60" w:after="60"/>
              <w:rPr>
                <w:rFonts w:ascii="Times New Roman" w:hAnsi="Times New Roman"/>
                <w:sz w:val="24"/>
                <w:szCs w:val="24"/>
              </w:rPr>
            </w:pPr>
            <w:r>
              <w:rPr>
                <w:rFonts w:ascii="Times New Roman" w:hAnsi="Times New Roman" w:eastAsiaTheme="minorHAnsi"/>
                <w:sz w:val="24"/>
                <w:szCs w:val="24"/>
              </w:rPr>
              <w:t>75.pants</w:t>
            </w:r>
          </w:p>
        </w:tc>
        <w:tc>
          <w:tcPr>
            <w:tcW w:w="1100" w:type="pct"/>
            <w:tcBorders>
              <w:top w:val="outset" w:sz="6" w:space="0" w:color="414142"/>
              <w:left w:val="outset" w:sz="6" w:space="0" w:color="414142"/>
              <w:bottom w:val="outset" w:sz="6" w:space="0" w:color="414142"/>
              <w:right w:val="outset" w:sz="6" w:space="0" w:color="414142"/>
            </w:tcBorders>
            <w:vAlign w:val="center"/>
          </w:tcPr>
          <w:p w:rsidR="00E53AAF" w:rsidP="002C7EC6" w14:paraId="63D1AC6A" w14:textId="0FB1C731">
            <w:pPr>
              <w:spacing w:before="60" w:after="60"/>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oteikumu projekta 1., 7., 9.</w:t>
            </w:r>
            <w:r>
              <w:rPr>
                <w:rFonts w:ascii="Times New Roman" w:hAnsi="Times New Roman"/>
                <w:sz w:val="24"/>
                <w:szCs w:val="24"/>
              </w:rPr>
              <w:t> </w:t>
            </w:r>
            <w:r>
              <w:rPr>
                <w:rFonts w:ascii="Times New Roman" w:hAnsi="Times New Roman"/>
                <w:sz w:val="24"/>
                <w:szCs w:val="24"/>
              </w:rPr>
              <w:t>punkts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E53AAF" w:rsidP="00E53AAF" w14:paraId="7DD057BD" w14:textId="77777777">
            <w:pPr>
              <w:spacing w:before="60" w:after="60"/>
              <w:rPr>
                <w:rFonts w:ascii="Times New Roman" w:hAnsi="Times New Roman"/>
                <w:sz w:val="24"/>
                <w:szCs w:val="24"/>
              </w:rPr>
            </w:pPr>
            <w:r>
              <w:rPr>
                <w:rFonts w:ascii="Times New Roman" w:hAnsi="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E53AAF" w:rsidP="0007053D" w14:paraId="3CC2E9D1" w14:textId="32334B0A">
            <w:pPr>
              <w:pStyle w:val="naisc"/>
              <w:spacing w:before="60" w:after="60"/>
              <w:jc w:val="both"/>
              <w:rPr>
                <w:lang w:eastAsia="en-US"/>
              </w:rPr>
            </w:pPr>
            <w:r>
              <w:rPr>
                <w:lang w:eastAsia="en-US"/>
              </w:rPr>
              <w:t>Netiek ieviests paredzot stingrākas vai mazāk stingras prasības</w:t>
            </w:r>
          </w:p>
        </w:tc>
      </w:tr>
      <w:tr w14:paraId="28AB4D7A" w14:textId="77777777" w:rsidTr="002C7EC6">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E53AAF" w:rsidP="002C7EC6" w14:paraId="7A89022A"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Pr>
                <w:rFonts w:ascii="Times New Roman" w:eastAsia="Times New Roman" w:hAnsi="Times New Roman"/>
                <w:sz w:val="24"/>
                <w:szCs w:val="24"/>
                <w:lang w:eastAsia="lv-LV"/>
              </w:rPr>
              <w:br/>
              <w:t>Kādēļ?</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E53AAF" w:rsidP="002C7EC6" w14:paraId="752507DB" w14:textId="77777777">
            <w:pPr>
              <w:spacing w:before="60" w:after="60"/>
              <w:rPr>
                <w:rFonts w:ascii="Times New Roman" w:eastAsia="Times New Roman" w:hAnsi="Times New Roman"/>
                <w:sz w:val="24"/>
                <w:szCs w:val="24"/>
                <w:lang w:eastAsia="lv-LV"/>
              </w:rPr>
            </w:pPr>
            <w:r>
              <w:rPr>
                <w:rFonts w:ascii="Times New Roman" w:hAnsi="Times New Roman"/>
                <w:sz w:val="24"/>
                <w:szCs w:val="24"/>
              </w:rPr>
              <w:t>Projekts šo jomu neskar.</w:t>
            </w:r>
          </w:p>
        </w:tc>
      </w:tr>
      <w:tr w14:paraId="682DE3EF" w14:textId="77777777" w:rsidTr="002C7EC6">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E53AAF" w:rsidP="002C7EC6" w14:paraId="4EC810F8"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E53AAF" w:rsidP="002C7EC6" w14:paraId="6C3FD727" w14:textId="77777777">
            <w:pPr>
              <w:spacing w:before="60" w:after="60"/>
              <w:rPr>
                <w:rFonts w:ascii="Times New Roman" w:eastAsia="Times New Roman" w:hAnsi="Times New Roman"/>
                <w:sz w:val="24"/>
                <w:szCs w:val="24"/>
                <w:lang w:eastAsia="lv-LV"/>
              </w:rPr>
            </w:pPr>
            <w:r>
              <w:rPr>
                <w:rFonts w:ascii="Times New Roman" w:hAnsi="Times New Roman"/>
                <w:sz w:val="24"/>
                <w:szCs w:val="24"/>
              </w:rPr>
              <w:t>Projekts šo jomu neskar.</w:t>
            </w:r>
          </w:p>
        </w:tc>
      </w:tr>
      <w:tr w14:paraId="17601494" w14:textId="77777777" w:rsidTr="002C7EC6">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E53AAF" w:rsidP="002C7EC6" w14:paraId="438E2FE6"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E53AAF" w:rsidP="002C7EC6" w14:paraId="40D06FDC" w14:textId="77777777">
            <w:pPr>
              <w:spacing w:before="60" w:after="60"/>
              <w:rPr>
                <w:rFonts w:ascii="Times New Roman" w:eastAsia="Times New Roman" w:hAnsi="Times New Roman"/>
                <w:sz w:val="24"/>
                <w:szCs w:val="24"/>
                <w:lang w:eastAsia="lv-LV"/>
              </w:rPr>
            </w:pPr>
            <w:r>
              <w:rPr>
                <w:rFonts w:ascii="Times New Roman" w:hAnsi="Times New Roman"/>
                <w:sz w:val="24"/>
                <w:szCs w:val="24"/>
              </w:rPr>
              <w:t>Nav</w:t>
            </w:r>
          </w:p>
        </w:tc>
      </w:tr>
    </w:tbl>
    <w:p w:rsidR="00D65423" w:rsidRPr="00F122F9" w:rsidP="005E117D" w14:paraId="3E1FF2B4" w14:textId="77777777">
      <w:pPr>
        <w:shd w:val="clear" w:color="auto" w:fill="FFFFFF"/>
        <w:spacing w:after="0"/>
        <w:jc w:val="left"/>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2637"/>
        <w:gridCol w:w="6520"/>
      </w:tblGrid>
      <w:tr w14:paraId="16D1D74F" w14:textId="77777777" w:rsidTr="005E117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420"/>
          <w:jc w:val="center"/>
        </w:trPr>
        <w:tc>
          <w:tcPr>
            <w:tcW w:w="0" w:type="auto"/>
            <w:gridSpan w:val="3"/>
            <w:vAlign w:val="center"/>
          </w:tcPr>
          <w:p w:rsidR="00CB4AAB" w:rsidRPr="00810942" w:rsidP="00B63F0E" w14:paraId="21CED519" w14:textId="51FB7160">
            <w:pPr>
              <w:pStyle w:val="tvhtml"/>
              <w:spacing w:before="60" w:beforeAutospacing="0" w:after="60" w:afterAutospacing="0"/>
              <w:jc w:val="center"/>
              <w:rPr>
                <w:b/>
                <w:bCs/>
              </w:rPr>
            </w:pPr>
            <w:r w:rsidRPr="00810942">
              <w:rPr>
                <w:b/>
                <w:bCs/>
              </w:rPr>
              <w:t>VI. Sabiedrības līdzdalība un komunikācijas aktivitātes</w:t>
            </w:r>
          </w:p>
        </w:tc>
      </w:tr>
      <w:tr w14:paraId="1A8A9FE5" w14:textId="77777777" w:rsidTr="00F122F9">
        <w:tblPrEx>
          <w:tblW w:w="9639" w:type="dxa"/>
          <w:jc w:val="center"/>
          <w:tblCellMar>
            <w:top w:w="30" w:type="dxa"/>
            <w:left w:w="30" w:type="dxa"/>
            <w:bottom w:w="30" w:type="dxa"/>
            <w:right w:w="30" w:type="dxa"/>
          </w:tblCellMar>
          <w:tblLook w:val="00A0"/>
        </w:tblPrEx>
        <w:trPr>
          <w:trHeight w:val="540"/>
          <w:jc w:val="center"/>
        </w:trPr>
        <w:tc>
          <w:tcPr>
            <w:tcW w:w="250" w:type="pct"/>
          </w:tcPr>
          <w:p w:rsidR="00CB4AAB" w:rsidRPr="00F122F9" w:rsidP="00B63F0E" w14:paraId="0B3DA029" w14:textId="77777777">
            <w:pPr>
              <w:spacing w:before="60" w:after="60"/>
              <w:rPr>
                <w:rFonts w:ascii="Times New Roman" w:hAnsi="Times New Roman"/>
              </w:rPr>
            </w:pPr>
            <w:r w:rsidRPr="00F122F9">
              <w:rPr>
                <w:rFonts w:ascii="Times New Roman" w:hAnsi="Times New Roman"/>
              </w:rPr>
              <w:t>1.</w:t>
            </w:r>
          </w:p>
        </w:tc>
        <w:tc>
          <w:tcPr>
            <w:tcW w:w="1368" w:type="pct"/>
          </w:tcPr>
          <w:p w:rsidR="00CB4AAB" w:rsidRPr="00810942" w:rsidP="00B63F0E" w14:paraId="5635E9AF" w14:textId="77777777">
            <w:pPr>
              <w:spacing w:before="60" w:after="60"/>
              <w:rPr>
                <w:rFonts w:ascii="Times New Roman" w:hAnsi="Times New Roman"/>
                <w:sz w:val="24"/>
                <w:szCs w:val="24"/>
              </w:rPr>
            </w:pPr>
            <w:r w:rsidRPr="00810942">
              <w:rPr>
                <w:rFonts w:ascii="Times New Roman" w:hAnsi="Times New Roman"/>
                <w:sz w:val="24"/>
                <w:szCs w:val="24"/>
              </w:rPr>
              <w:t>Plānotās sabiedrības līdzdalības un komunikācijas aktivitātes saistībā ar projektu</w:t>
            </w:r>
          </w:p>
        </w:tc>
        <w:tc>
          <w:tcPr>
            <w:tcW w:w="3382" w:type="pct"/>
          </w:tcPr>
          <w:p w:rsidR="00CB4AAB" w:rsidRPr="00F122F9" w:rsidP="006817ED" w14:paraId="6D52BF87" w14:textId="45805AAF">
            <w:pPr>
              <w:pStyle w:val="naiskr"/>
              <w:spacing w:before="60" w:after="60"/>
              <w:jc w:val="both"/>
              <w:rPr>
                <w:sz w:val="22"/>
                <w:szCs w:val="22"/>
              </w:rPr>
            </w:pPr>
            <w:r w:rsidRPr="00F42059">
              <w:t>Saskaņā ar Ministru kabineta 2009.</w:t>
            </w:r>
            <w:r w:rsidR="00B3434A">
              <w:t> </w:t>
            </w:r>
            <w:r w:rsidRPr="00F42059">
              <w:t>gada 25.</w:t>
            </w:r>
            <w:r w:rsidR="00B3434A">
              <w:t> </w:t>
            </w:r>
            <w:r w:rsidRPr="00F42059">
              <w:t>augusta noteikumu Nr.</w:t>
            </w:r>
            <w:r w:rsidR="00B3434A">
              <w:t> </w:t>
            </w:r>
            <w:r w:rsidRPr="00F42059">
              <w:t>970 „Sabiedrības līdzdalības kārtība attīstības plānošanas procesā” 7.4.</w:t>
            </w:r>
            <w:r w:rsidRPr="00F42059">
              <w:rPr>
                <w:vertAlign w:val="superscript"/>
              </w:rPr>
              <w:t>1</w:t>
            </w:r>
            <w:r w:rsidR="00B3434A">
              <w:rPr>
                <w:vertAlign w:val="superscript"/>
              </w:rPr>
              <w:t> </w:t>
            </w:r>
            <w:r w:rsidRPr="00F42059">
              <w:t xml:space="preserve">apakšpunktu sabiedrības pārstāvji ir aicināti līdzdarboties, rakstiski </w:t>
            </w:r>
            <w:r>
              <w:t xml:space="preserve">sniedzot viedokli par </w:t>
            </w:r>
            <w:r w:rsidR="006817ED">
              <w:t xml:space="preserve">noteikumu </w:t>
            </w:r>
            <w:r w:rsidRPr="00F42059">
              <w:t>projektu tā izstrādes stadijā. Sabiedrības pārstāvji ir informēti par iespēju līdzdarboties, publicējot paziņoju</w:t>
            </w:r>
            <w:r>
              <w:t>mu par līdzdalības procesu V</w:t>
            </w:r>
            <w:r w:rsidR="002C5FC4">
              <w:t>ARAM</w:t>
            </w:r>
            <w:r w:rsidRPr="00F42059">
              <w:t xml:space="preserve"> tīmekļvietnē.</w:t>
            </w:r>
          </w:p>
        </w:tc>
      </w:tr>
      <w:tr w14:paraId="75A9AB73" w14:textId="77777777" w:rsidTr="00F122F9">
        <w:tblPrEx>
          <w:tblW w:w="9639" w:type="dxa"/>
          <w:jc w:val="center"/>
          <w:tblCellMar>
            <w:top w:w="30" w:type="dxa"/>
            <w:left w:w="30" w:type="dxa"/>
            <w:bottom w:w="30" w:type="dxa"/>
            <w:right w:w="30" w:type="dxa"/>
          </w:tblCellMar>
          <w:tblLook w:val="00A0"/>
        </w:tblPrEx>
        <w:trPr>
          <w:trHeight w:val="330"/>
          <w:jc w:val="center"/>
        </w:trPr>
        <w:tc>
          <w:tcPr>
            <w:tcW w:w="250" w:type="pct"/>
          </w:tcPr>
          <w:p w:rsidR="002C68A0" w:rsidRPr="00F122F9" w:rsidP="00B63F0E" w14:paraId="5324E5CA" w14:textId="77777777">
            <w:pPr>
              <w:spacing w:before="60" w:after="60"/>
              <w:rPr>
                <w:rFonts w:ascii="Times New Roman" w:hAnsi="Times New Roman"/>
              </w:rPr>
            </w:pPr>
            <w:r w:rsidRPr="00F122F9">
              <w:rPr>
                <w:rFonts w:ascii="Times New Roman" w:hAnsi="Times New Roman"/>
              </w:rPr>
              <w:t>2.</w:t>
            </w:r>
          </w:p>
        </w:tc>
        <w:tc>
          <w:tcPr>
            <w:tcW w:w="1368" w:type="pct"/>
          </w:tcPr>
          <w:p w:rsidR="002C68A0" w:rsidRPr="00810942" w:rsidP="00B63F0E" w14:paraId="499048CE" w14:textId="77777777">
            <w:pPr>
              <w:spacing w:before="60" w:after="60"/>
              <w:rPr>
                <w:rFonts w:ascii="Times New Roman" w:hAnsi="Times New Roman"/>
                <w:sz w:val="24"/>
                <w:szCs w:val="24"/>
              </w:rPr>
            </w:pPr>
            <w:r w:rsidRPr="00810942">
              <w:rPr>
                <w:rFonts w:ascii="Times New Roman" w:hAnsi="Times New Roman"/>
                <w:sz w:val="24"/>
                <w:szCs w:val="24"/>
              </w:rPr>
              <w:t>Sabiedrības līdzdalība projekta izstrādē</w:t>
            </w:r>
          </w:p>
        </w:tc>
        <w:tc>
          <w:tcPr>
            <w:tcW w:w="3382" w:type="pct"/>
          </w:tcPr>
          <w:p w:rsidR="002C68A0" w:rsidRPr="00B501CB" w:rsidP="00BD1B94" w14:paraId="3F45D92F" w14:textId="7DE8BEC3">
            <w:pPr>
              <w:spacing w:before="60" w:after="60"/>
              <w:rPr>
                <w:rFonts w:ascii="Times New Roman" w:hAnsi="Times New Roman"/>
              </w:rPr>
            </w:pPr>
            <w:r>
              <w:rPr>
                <w:rFonts w:ascii="Times New Roman" w:hAnsi="Times New Roman"/>
                <w:sz w:val="24"/>
                <w:szCs w:val="24"/>
              </w:rPr>
              <w:t xml:space="preserve">Noteikumu </w:t>
            </w:r>
            <w:r w:rsidR="002C7EC6">
              <w:rPr>
                <w:rFonts w:ascii="Times New Roman" w:hAnsi="Times New Roman"/>
                <w:sz w:val="24"/>
                <w:szCs w:val="24"/>
              </w:rPr>
              <w:t>projekts publicēts VARAM tīmekļ</w:t>
            </w:r>
            <w:r>
              <w:rPr>
                <w:rFonts w:ascii="Times New Roman" w:hAnsi="Times New Roman"/>
                <w:sz w:val="24"/>
                <w:szCs w:val="24"/>
              </w:rPr>
              <w:t>vietnē 2017.</w:t>
            </w:r>
            <w:r w:rsidR="0034750F">
              <w:rPr>
                <w:rFonts w:ascii="Times New Roman" w:hAnsi="Times New Roman"/>
                <w:sz w:val="24"/>
                <w:szCs w:val="24"/>
              </w:rPr>
              <w:t> </w:t>
            </w:r>
            <w:r>
              <w:rPr>
                <w:rFonts w:ascii="Times New Roman" w:hAnsi="Times New Roman"/>
                <w:sz w:val="24"/>
                <w:szCs w:val="24"/>
              </w:rPr>
              <w:t>gada 31.</w:t>
            </w:r>
            <w:r w:rsidR="0034750F">
              <w:rPr>
                <w:rFonts w:ascii="Times New Roman" w:hAnsi="Times New Roman"/>
                <w:sz w:val="24"/>
                <w:szCs w:val="24"/>
              </w:rPr>
              <w:t> </w:t>
            </w:r>
            <w:r>
              <w:rPr>
                <w:rFonts w:ascii="Times New Roman" w:hAnsi="Times New Roman"/>
                <w:sz w:val="24"/>
                <w:szCs w:val="24"/>
              </w:rPr>
              <w:t>oktobrī.</w:t>
            </w:r>
          </w:p>
        </w:tc>
      </w:tr>
      <w:tr w14:paraId="0AF6486A" w14:textId="77777777" w:rsidTr="00F122F9">
        <w:tblPrEx>
          <w:tblW w:w="9639" w:type="dxa"/>
          <w:jc w:val="center"/>
          <w:tblCellMar>
            <w:top w:w="30" w:type="dxa"/>
            <w:left w:w="30" w:type="dxa"/>
            <w:bottom w:w="30" w:type="dxa"/>
            <w:right w:w="30" w:type="dxa"/>
          </w:tblCellMar>
          <w:tblLook w:val="00A0"/>
        </w:tblPrEx>
        <w:trPr>
          <w:trHeight w:val="465"/>
          <w:jc w:val="center"/>
        </w:trPr>
        <w:tc>
          <w:tcPr>
            <w:tcW w:w="250" w:type="pct"/>
          </w:tcPr>
          <w:p w:rsidR="002C68A0" w:rsidRPr="00F122F9" w:rsidP="00B63F0E" w14:paraId="092350A5" w14:textId="77777777">
            <w:pPr>
              <w:spacing w:before="60" w:after="60"/>
              <w:rPr>
                <w:rFonts w:ascii="Times New Roman" w:hAnsi="Times New Roman"/>
              </w:rPr>
            </w:pPr>
            <w:r w:rsidRPr="00F122F9">
              <w:rPr>
                <w:rFonts w:ascii="Times New Roman" w:hAnsi="Times New Roman"/>
              </w:rPr>
              <w:t>3.</w:t>
            </w:r>
          </w:p>
        </w:tc>
        <w:tc>
          <w:tcPr>
            <w:tcW w:w="1368" w:type="pct"/>
          </w:tcPr>
          <w:p w:rsidR="002C68A0" w:rsidRPr="00810942" w:rsidP="00B63F0E" w14:paraId="2AD972C7" w14:textId="77777777">
            <w:pPr>
              <w:spacing w:before="60" w:after="60"/>
              <w:rPr>
                <w:rFonts w:ascii="Times New Roman" w:hAnsi="Times New Roman"/>
                <w:sz w:val="24"/>
                <w:szCs w:val="24"/>
              </w:rPr>
            </w:pPr>
            <w:r w:rsidRPr="00810942">
              <w:rPr>
                <w:rFonts w:ascii="Times New Roman" w:hAnsi="Times New Roman"/>
                <w:sz w:val="24"/>
                <w:szCs w:val="24"/>
              </w:rPr>
              <w:t>Sabiedrības līdzdalības rezultāti</w:t>
            </w:r>
          </w:p>
        </w:tc>
        <w:tc>
          <w:tcPr>
            <w:tcW w:w="3382" w:type="pct"/>
          </w:tcPr>
          <w:p w:rsidR="002C68A0" w:rsidRPr="00B501CB" w:rsidP="00B63F0E" w14:paraId="731515E8" w14:textId="64EB2C62">
            <w:pPr>
              <w:spacing w:before="60" w:after="60"/>
              <w:rPr>
                <w:rFonts w:ascii="Times New Roman" w:hAnsi="Times New Roman"/>
              </w:rPr>
            </w:pPr>
            <w:r>
              <w:rPr>
                <w:rFonts w:ascii="Times New Roman" w:hAnsi="Times New Roman"/>
                <w:sz w:val="24"/>
                <w:szCs w:val="24"/>
              </w:rPr>
              <w:t>Sabiedrības pārstāvju viedokļi un komentāri pēc noteikumu projekta publicēšanas VARAM tīmekļ</w:t>
            </w:r>
            <w:bookmarkStart w:id="0" w:name="_GoBack"/>
            <w:bookmarkEnd w:id="0"/>
            <w:r>
              <w:rPr>
                <w:rFonts w:ascii="Times New Roman" w:hAnsi="Times New Roman"/>
                <w:sz w:val="24"/>
                <w:szCs w:val="24"/>
              </w:rPr>
              <w:t>vietnē netika saņemti</w:t>
            </w:r>
            <w:r w:rsidRPr="009129F7">
              <w:rPr>
                <w:rFonts w:ascii="Times New Roman" w:hAnsi="Times New Roman"/>
                <w:sz w:val="24"/>
                <w:szCs w:val="24"/>
              </w:rPr>
              <w:t>.</w:t>
            </w:r>
          </w:p>
        </w:tc>
      </w:tr>
      <w:tr w14:paraId="3B57F1F7" w14:textId="77777777" w:rsidTr="00F122F9">
        <w:tblPrEx>
          <w:tblW w:w="9639" w:type="dxa"/>
          <w:jc w:val="center"/>
          <w:tblCellMar>
            <w:top w:w="30" w:type="dxa"/>
            <w:left w:w="30" w:type="dxa"/>
            <w:bottom w:w="30" w:type="dxa"/>
            <w:right w:w="30" w:type="dxa"/>
          </w:tblCellMar>
          <w:tblLook w:val="00A0"/>
        </w:tblPrEx>
        <w:trPr>
          <w:trHeight w:val="465"/>
          <w:jc w:val="center"/>
        </w:trPr>
        <w:tc>
          <w:tcPr>
            <w:tcW w:w="250" w:type="pct"/>
          </w:tcPr>
          <w:p w:rsidR="00CB4AAB" w:rsidRPr="00F122F9" w:rsidP="00B63F0E" w14:paraId="2544C9F9" w14:textId="77777777">
            <w:pPr>
              <w:spacing w:before="60" w:after="60"/>
              <w:rPr>
                <w:rFonts w:ascii="Times New Roman" w:hAnsi="Times New Roman"/>
              </w:rPr>
            </w:pPr>
            <w:r w:rsidRPr="00F122F9">
              <w:rPr>
                <w:rFonts w:ascii="Times New Roman" w:hAnsi="Times New Roman"/>
              </w:rPr>
              <w:t>4.</w:t>
            </w:r>
          </w:p>
        </w:tc>
        <w:tc>
          <w:tcPr>
            <w:tcW w:w="1368" w:type="pct"/>
          </w:tcPr>
          <w:p w:rsidR="00CB4AAB" w:rsidRPr="00810942" w:rsidP="00B63F0E" w14:paraId="5B052986" w14:textId="77777777">
            <w:pPr>
              <w:spacing w:before="60" w:after="60"/>
              <w:rPr>
                <w:rFonts w:ascii="Times New Roman" w:hAnsi="Times New Roman"/>
                <w:sz w:val="24"/>
                <w:szCs w:val="24"/>
              </w:rPr>
            </w:pPr>
            <w:r w:rsidRPr="00810942">
              <w:rPr>
                <w:rFonts w:ascii="Times New Roman" w:hAnsi="Times New Roman"/>
                <w:sz w:val="24"/>
                <w:szCs w:val="24"/>
              </w:rPr>
              <w:t>Cita informācija</w:t>
            </w:r>
          </w:p>
        </w:tc>
        <w:tc>
          <w:tcPr>
            <w:tcW w:w="3382" w:type="pct"/>
          </w:tcPr>
          <w:p w:rsidR="00CB4AAB" w:rsidRPr="00810942" w:rsidP="00B63F0E" w14:paraId="7016F23D" w14:textId="77777777">
            <w:pPr>
              <w:pStyle w:val="tvhtml"/>
              <w:spacing w:before="60" w:beforeAutospacing="0" w:after="60" w:afterAutospacing="0"/>
            </w:pPr>
            <w:r w:rsidRPr="00810942">
              <w:t>Nav</w:t>
            </w:r>
          </w:p>
        </w:tc>
      </w:tr>
    </w:tbl>
    <w:p w:rsidR="00CB4AAB" w:rsidRPr="00F122F9" w:rsidP="00E01818" w14:paraId="37EA6879" w14:textId="77777777">
      <w:pPr>
        <w:shd w:val="clear" w:color="auto" w:fill="FFFFFF"/>
        <w:spacing w:after="0"/>
        <w:ind w:firstLine="335"/>
        <w:jc w:val="left"/>
        <w:rPr>
          <w:rFonts w:ascii="Times New Roman" w:hAnsi="Times New Roman"/>
          <w:sz w:val="24"/>
          <w:szCs w:val="24"/>
          <w:lang w:eastAsia="lv-LV"/>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2070"/>
        <w:gridCol w:w="7087"/>
      </w:tblGrid>
      <w:tr w14:paraId="1ACA6E92" w14:textId="77777777" w:rsidTr="005E117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375"/>
          <w:jc w:val="center"/>
        </w:trPr>
        <w:tc>
          <w:tcPr>
            <w:tcW w:w="0" w:type="auto"/>
            <w:gridSpan w:val="3"/>
            <w:vAlign w:val="center"/>
          </w:tcPr>
          <w:p w:rsidR="00CB4AAB" w:rsidRPr="00810942" w:rsidP="00B63F0E" w14:paraId="36B6B855" w14:textId="36394EEC">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VII. Tiesību akta projekta izpildes nodrošināšana un tās ietekme uz institūcijām</w:t>
            </w:r>
          </w:p>
        </w:tc>
      </w:tr>
      <w:tr w14:paraId="3C570F89" w14:textId="77777777" w:rsidTr="00F122F9">
        <w:tblPrEx>
          <w:tblW w:w="9639" w:type="dxa"/>
          <w:jc w:val="center"/>
          <w:tblCellMar>
            <w:top w:w="30" w:type="dxa"/>
            <w:left w:w="30" w:type="dxa"/>
            <w:bottom w:w="30" w:type="dxa"/>
            <w:right w:w="30" w:type="dxa"/>
          </w:tblCellMar>
          <w:tblLook w:val="00A0"/>
        </w:tblPrEx>
        <w:trPr>
          <w:trHeight w:val="420"/>
          <w:jc w:val="center"/>
        </w:trPr>
        <w:tc>
          <w:tcPr>
            <w:tcW w:w="250" w:type="pct"/>
          </w:tcPr>
          <w:p w:rsidR="00CB4AAB" w:rsidRPr="00F122F9" w:rsidP="00B63F0E" w14:paraId="63009AC6"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1074" w:type="pct"/>
          </w:tcPr>
          <w:p w:rsidR="00CB4AAB" w:rsidRPr="00810942" w:rsidP="00B63F0E" w14:paraId="293E7F90"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izpildē iesaistītās institūcijas</w:t>
            </w:r>
          </w:p>
        </w:tc>
        <w:tc>
          <w:tcPr>
            <w:tcW w:w="3676" w:type="pct"/>
          </w:tcPr>
          <w:p w:rsidR="002C68A0" w:rsidRPr="00810942" w:rsidP="004134E1" w14:paraId="57E30C2D" w14:textId="7D692D2B">
            <w:pPr>
              <w:pStyle w:val="naisnod"/>
              <w:spacing w:before="40" w:after="40"/>
              <w:jc w:val="both"/>
              <w:rPr>
                <w:b w:val="0"/>
              </w:rPr>
            </w:pPr>
            <w:r w:rsidRPr="003F4806">
              <w:rPr>
                <w:b w:val="0"/>
                <w:bCs w:val="0"/>
              </w:rPr>
              <w:t>VARAM, VVD</w:t>
            </w:r>
          </w:p>
        </w:tc>
      </w:tr>
      <w:tr w14:paraId="7D0B20E2" w14:textId="77777777" w:rsidTr="00F122F9">
        <w:tblPrEx>
          <w:tblW w:w="9639" w:type="dxa"/>
          <w:jc w:val="center"/>
          <w:tblCellMar>
            <w:top w:w="30" w:type="dxa"/>
            <w:left w:w="30" w:type="dxa"/>
            <w:bottom w:w="30" w:type="dxa"/>
            <w:right w:w="30" w:type="dxa"/>
          </w:tblCellMar>
          <w:tblLook w:val="00A0"/>
        </w:tblPrEx>
        <w:trPr>
          <w:trHeight w:val="450"/>
          <w:jc w:val="center"/>
        </w:trPr>
        <w:tc>
          <w:tcPr>
            <w:tcW w:w="250" w:type="pct"/>
          </w:tcPr>
          <w:p w:rsidR="00CB4AAB" w:rsidRPr="00F122F9" w:rsidP="00B63F0E" w14:paraId="72FBD7E7"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1074" w:type="pct"/>
          </w:tcPr>
          <w:p w:rsidR="00CB4AAB" w:rsidRPr="00810942" w:rsidP="00B63F0E" w14:paraId="4296B0A7"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izpildes ietekme uz pārvaldes funkcijām un institucionālo struktūru.</w:t>
            </w:r>
          </w:p>
          <w:p w:rsidR="00CB4AAB" w:rsidRPr="00810942" w:rsidP="00B63F0E" w14:paraId="2A03DAB3"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Jaunu institūciju izveide, esošu institūciju likvidācija vai reorganizācija, to ietekme uz institūcijas cilvēkresursiem</w:t>
            </w:r>
          </w:p>
        </w:tc>
        <w:tc>
          <w:tcPr>
            <w:tcW w:w="3676" w:type="pct"/>
          </w:tcPr>
          <w:p w:rsidR="00BD1B94" w:rsidRPr="00810942" w:rsidP="00BD1B94" w14:paraId="19AFF53A" w14:textId="77777777">
            <w:pPr>
              <w:spacing w:before="60" w:after="60"/>
              <w:rPr>
                <w:rFonts w:ascii="Times New Roman" w:hAnsi="Times New Roman"/>
                <w:sz w:val="24"/>
                <w:szCs w:val="24"/>
              </w:rPr>
            </w:pPr>
            <w:r w:rsidRPr="00810942">
              <w:rPr>
                <w:rFonts w:ascii="Times New Roman" w:hAnsi="Times New Roman"/>
                <w:sz w:val="24"/>
                <w:szCs w:val="24"/>
              </w:rPr>
              <w:t>Noteikumu projektā iekļautie nosacījumi var radīt ietekmi uz pārvaldes funkcijām, tomēr tas neietekmēs institucionālo sistēmu.</w:t>
            </w:r>
          </w:p>
          <w:p w:rsidR="00BD1B94" w:rsidP="00BD1B94" w14:paraId="0E5F6AF2" w14:textId="77777777">
            <w:pPr>
              <w:spacing w:before="60" w:after="60"/>
              <w:rPr>
                <w:rFonts w:ascii="Times New Roman" w:hAnsi="Times New Roman"/>
                <w:sz w:val="24"/>
                <w:szCs w:val="24"/>
              </w:rPr>
            </w:pPr>
            <w:r w:rsidRPr="00810942">
              <w:rPr>
                <w:rFonts w:ascii="Times New Roman" w:hAnsi="Times New Roman"/>
                <w:sz w:val="24"/>
                <w:szCs w:val="24"/>
              </w:rPr>
              <w:t>Noteikumu projektā iekļauto nosacījumu izpildei nav nepieciešams veidot jaunas institūcijas, likvidēt vai reorganizēt esošās institūcijas.</w:t>
            </w:r>
            <w:r>
              <w:rPr>
                <w:rFonts w:ascii="Times New Roman" w:hAnsi="Times New Roman"/>
                <w:sz w:val="24"/>
                <w:szCs w:val="24"/>
              </w:rPr>
              <w:t xml:space="preserve"> </w:t>
            </w:r>
          </w:p>
          <w:p w:rsidR="00BD1B94" w:rsidRPr="00810942" w:rsidP="00BD1B94" w14:paraId="7D967437" w14:textId="77777777">
            <w:pPr>
              <w:spacing w:before="60" w:after="60"/>
              <w:rPr>
                <w:rFonts w:ascii="Times New Roman" w:hAnsi="Times New Roman"/>
                <w:sz w:val="24"/>
                <w:szCs w:val="24"/>
              </w:rPr>
            </w:pPr>
            <w:r>
              <w:rPr>
                <w:rFonts w:ascii="Times New Roman" w:hAnsi="Times New Roman"/>
                <w:sz w:val="24"/>
                <w:szCs w:val="24"/>
              </w:rPr>
              <w:t>Noteikumu projektā iekļauto nosacījumu izpilde neatstās ietekmi uz cilvēkresursiem.</w:t>
            </w:r>
          </w:p>
          <w:p w:rsidR="00C34B19" w:rsidRPr="00810942" w:rsidP="00BD1B94" w14:paraId="56D679CA" w14:textId="0FF56BED">
            <w:pPr>
              <w:spacing w:before="60" w:after="60"/>
              <w:rPr>
                <w:rFonts w:ascii="Times New Roman" w:hAnsi="Times New Roman"/>
                <w:sz w:val="24"/>
                <w:szCs w:val="24"/>
              </w:rPr>
            </w:pPr>
            <w:r w:rsidRPr="00810942">
              <w:rPr>
                <w:rFonts w:ascii="Times New Roman" w:hAnsi="Times New Roman"/>
                <w:sz w:val="24"/>
                <w:szCs w:val="24"/>
              </w:rPr>
              <w:t>Noteikumu projekta izpildē iesaistītās institūcijas noteikumu projektā iekļautos pasākumu nodrošinās piešķirto valsts budžeta līdzekļu ietvaros.</w:t>
            </w:r>
          </w:p>
        </w:tc>
      </w:tr>
      <w:tr w14:paraId="7597577B" w14:textId="77777777" w:rsidTr="00F122F9">
        <w:tblPrEx>
          <w:tblW w:w="9639" w:type="dxa"/>
          <w:jc w:val="center"/>
          <w:tblCellMar>
            <w:top w:w="30" w:type="dxa"/>
            <w:left w:w="30" w:type="dxa"/>
            <w:bottom w:w="30" w:type="dxa"/>
            <w:right w:w="30" w:type="dxa"/>
          </w:tblCellMar>
          <w:tblLook w:val="00A0"/>
        </w:tblPrEx>
        <w:trPr>
          <w:trHeight w:val="390"/>
          <w:jc w:val="center"/>
        </w:trPr>
        <w:tc>
          <w:tcPr>
            <w:tcW w:w="250" w:type="pct"/>
          </w:tcPr>
          <w:p w:rsidR="00CB4AAB" w:rsidRPr="00F122F9" w:rsidP="00B63F0E" w14:paraId="2EF96A86" w14:textId="77777777">
            <w:pPr>
              <w:spacing w:before="60" w:after="60"/>
              <w:jc w:val="left"/>
              <w:rPr>
                <w:rFonts w:ascii="Times New Roman" w:hAnsi="Times New Roman"/>
                <w:lang w:eastAsia="lv-LV"/>
              </w:rPr>
            </w:pPr>
            <w:r w:rsidRPr="00F122F9">
              <w:rPr>
                <w:rFonts w:ascii="Times New Roman" w:hAnsi="Times New Roman"/>
                <w:lang w:eastAsia="lv-LV"/>
              </w:rPr>
              <w:t>3.</w:t>
            </w:r>
          </w:p>
        </w:tc>
        <w:tc>
          <w:tcPr>
            <w:tcW w:w="1074" w:type="pct"/>
          </w:tcPr>
          <w:p w:rsidR="00CB4AAB" w:rsidRPr="00810942" w:rsidP="00B63F0E" w14:paraId="31786A3A"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676" w:type="pct"/>
          </w:tcPr>
          <w:p w:rsidR="00CB4AAB" w:rsidRPr="00810942" w:rsidP="00B63F0E" w14:paraId="738FFAD9"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Nav</w:t>
            </w:r>
          </w:p>
        </w:tc>
      </w:tr>
    </w:tbl>
    <w:p w:rsidR="00F122F9" w:rsidP="00E57372" w14:paraId="4A04053D" w14:textId="77777777">
      <w:pPr>
        <w:shd w:val="clear" w:color="auto" w:fill="FFFFFF"/>
        <w:spacing w:after="0"/>
        <w:rPr>
          <w:rFonts w:ascii="Times New Roman" w:hAnsi="Times New Roman"/>
          <w:sz w:val="20"/>
          <w:szCs w:val="20"/>
        </w:rPr>
      </w:pPr>
    </w:p>
    <w:p w:rsidR="004C1C0E" w:rsidP="00E57372" w14:paraId="5BDEC25A" w14:textId="77777777">
      <w:pPr>
        <w:shd w:val="clear" w:color="auto" w:fill="FFFFFF"/>
        <w:spacing w:after="0"/>
        <w:rPr>
          <w:rFonts w:ascii="Times New Roman" w:hAnsi="Times New Roman"/>
          <w:sz w:val="20"/>
          <w:szCs w:val="20"/>
        </w:rPr>
      </w:pPr>
    </w:p>
    <w:p w:rsidR="008A6BAE" w:rsidP="00E57372" w14:paraId="61EFF8D5" w14:textId="77777777">
      <w:pPr>
        <w:shd w:val="clear" w:color="auto" w:fill="FFFFFF"/>
        <w:spacing w:after="0"/>
        <w:rPr>
          <w:rFonts w:ascii="Times New Roman" w:hAnsi="Times New Roman"/>
          <w:sz w:val="20"/>
          <w:szCs w:val="20"/>
        </w:rPr>
      </w:pPr>
    </w:p>
    <w:p w:rsidR="008A6BAE" w:rsidP="00E57372" w14:paraId="4E29F44C" w14:textId="77777777">
      <w:pPr>
        <w:shd w:val="clear" w:color="auto" w:fill="FFFFFF"/>
        <w:spacing w:after="0"/>
        <w:rPr>
          <w:rFonts w:ascii="Times New Roman" w:hAnsi="Times New Roman"/>
          <w:sz w:val="20"/>
          <w:szCs w:val="20"/>
        </w:rPr>
      </w:pPr>
    </w:p>
    <w:p w:rsidR="006E261E" w:rsidRPr="009A3E9F" w:rsidP="006E261E" w14:paraId="37DE71D7" w14:textId="25976049">
      <w:pPr>
        <w:tabs>
          <w:tab w:val="left" w:pos="6237"/>
        </w:tabs>
        <w:spacing w:after="0"/>
        <w:rPr>
          <w:rFonts w:ascii="Times New Roman" w:hAnsi="Times New Roman"/>
          <w:sz w:val="24"/>
          <w:szCs w:val="24"/>
        </w:rPr>
      </w:pPr>
      <w:r w:rsidRPr="009A3E9F">
        <w:rPr>
          <w:rFonts w:ascii="Times New Roman" w:hAnsi="Times New Roman"/>
          <w:sz w:val="24"/>
          <w:szCs w:val="24"/>
        </w:rPr>
        <w:t>Vides aizsardzības un reģionālās attīstības ministrs</w:t>
      </w:r>
      <w:r w:rsidRPr="009A3E9F">
        <w:rPr>
          <w:rFonts w:ascii="Times New Roman" w:hAnsi="Times New Roman"/>
          <w:sz w:val="24"/>
          <w:szCs w:val="24"/>
        </w:rPr>
        <w:tab/>
      </w:r>
      <w:r w:rsidR="00D35AAA">
        <w:rPr>
          <w:rFonts w:ascii="Times New Roman" w:hAnsi="Times New Roman"/>
          <w:sz w:val="24"/>
          <w:szCs w:val="24"/>
        </w:rPr>
        <w:tab/>
      </w:r>
      <w:r w:rsidR="00D35AAA">
        <w:rPr>
          <w:rFonts w:ascii="Times New Roman" w:hAnsi="Times New Roman"/>
          <w:sz w:val="24"/>
          <w:szCs w:val="24"/>
        </w:rPr>
        <w:tab/>
      </w:r>
      <w:r w:rsidRPr="009A3E9F">
        <w:rPr>
          <w:rFonts w:ascii="Times New Roman" w:hAnsi="Times New Roman"/>
          <w:sz w:val="24"/>
          <w:szCs w:val="24"/>
        </w:rPr>
        <w:t>Kaspars Gerhards</w:t>
      </w:r>
    </w:p>
    <w:p w:rsidR="006E261E" w:rsidP="006E261E" w14:paraId="6BC206F7" w14:textId="77777777">
      <w:pPr>
        <w:tabs>
          <w:tab w:val="left" w:pos="6237"/>
        </w:tabs>
        <w:spacing w:after="0"/>
        <w:rPr>
          <w:rFonts w:ascii="Times New Roman" w:hAnsi="Times New Roman"/>
          <w:sz w:val="24"/>
          <w:szCs w:val="24"/>
        </w:rPr>
      </w:pPr>
    </w:p>
    <w:p w:rsidR="008A6BAE" w:rsidP="006E261E" w14:paraId="3A8DD72F" w14:textId="77777777">
      <w:pPr>
        <w:tabs>
          <w:tab w:val="left" w:pos="6237"/>
        </w:tabs>
        <w:spacing w:after="0"/>
        <w:rPr>
          <w:rFonts w:ascii="Times New Roman" w:hAnsi="Times New Roman"/>
          <w:sz w:val="24"/>
          <w:szCs w:val="24"/>
        </w:rPr>
      </w:pPr>
    </w:p>
    <w:p w:rsidR="008A6BAE" w:rsidP="006E261E" w14:paraId="6E84FC2A" w14:textId="77777777">
      <w:pPr>
        <w:tabs>
          <w:tab w:val="left" w:pos="6237"/>
        </w:tabs>
        <w:spacing w:after="0"/>
        <w:rPr>
          <w:rFonts w:ascii="Times New Roman" w:hAnsi="Times New Roman"/>
          <w:sz w:val="24"/>
          <w:szCs w:val="24"/>
        </w:rPr>
      </w:pPr>
    </w:p>
    <w:p w:rsidR="00D35AAA" w:rsidP="00E57372" w14:paraId="6D43D036" w14:textId="77777777">
      <w:pPr>
        <w:shd w:val="clear" w:color="auto" w:fill="FFFFFF"/>
        <w:spacing w:after="0"/>
        <w:rPr>
          <w:rFonts w:ascii="Times New Roman" w:hAnsi="Times New Roman"/>
          <w:sz w:val="24"/>
          <w:szCs w:val="24"/>
        </w:rPr>
      </w:pPr>
      <w:bookmarkStart w:id="1" w:name="p2008"/>
      <w:bookmarkEnd w:id="1"/>
    </w:p>
    <w:p w:rsidR="009541FF" w:rsidP="00E57372" w14:paraId="6F0BEBC2" w14:textId="77777777">
      <w:pPr>
        <w:shd w:val="clear" w:color="auto" w:fill="FFFFFF"/>
        <w:spacing w:after="0"/>
        <w:rPr>
          <w:rFonts w:ascii="Times New Roman" w:hAnsi="Times New Roman"/>
          <w:sz w:val="24"/>
          <w:szCs w:val="24"/>
        </w:rPr>
      </w:pPr>
    </w:p>
    <w:p w:rsidR="009541FF" w:rsidP="00E57372" w14:paraId="37607307" w14:textId="77777777">
      <w:pPr>
        <w:shd w:val="clear" w:color="auto" w:fill="FFFFFF"/>
        <w:spacing w:after="0"/>
        <w:rPr>
          <w:rFonts w:ascii="Times New Roman" w:hAnsi="Times New Roman"/>
          <w:sz w:val="24"/>
          <w:szCs w:val="24"/>
        </w:rPr>
      </w:pPr>
    </w:p>
    <w:p w:rsidR="009541FF" w:rsidP="00E57372" w14:paraId="0A29AFA2" w14:textId="77777777">
      <w:pPr>
        <w:shd w:val="clear" w:color="auto" w:fill="FFFFFF"/>
        <w:spacing w:after="0"/>
        <w:rPr>
          <w:rFonts w:ascii="Times New Roman" w:hAnsi="Times New Roman"/>
          <w:sz w:val="24"/>
          <w:szCs w:val="24"/>
        </w:rPr>
      </w:pPr>
    </w:p>
    <w:p w:rsidR="009541FF" w:rsidP="00E57372" w14:paraId="7C439664" w14:textId="77777777">
      <w:pPr>
        <w:shd w:val="clear" w:color="auto" w:fill="FFFFFF"/>
        <w:spacing w:after="0"/>
        <w:rPr>
          <w:rFonts w:ascii="Times New Roman" w:hAnsi="Times New Roman"/>
          <w:sz w:val="24"/>
          <w:szCs w:val="24"/>
        </w:rPr>
      </w:pPr>
    </w:p>
    <w:p w:rsidR="009541FF" w:rsidP="00E57372" w14:paraId="47ED718A" w14:textId="77777777">
      <w:pPr>
        <w:shd w:val="clear" w:color="auto" w:fill="FFFFFF"/>
        <w:spacing w:after="0"/>
        <w:rPr>
          <w:rFonts w:ascii="Times New Roman" w:hAnsi="Times New Roman"/>
          <w:sz w:val="24"/>
          <w:szCs w:val="24"/>
        </w:rPr>
      </w:pPr>
    </w:p>
    <w:p w:rsidR="009541FF" w:rsidP="00E57372" w14:paraId="7B2994AB" w14:textId="77777777">
      <w:pPr>
        <w:shd w:val="clear" w:color="auto" w:fill="FFFFFF"/>
        <w:spacing w:after="0"/>
        <w:rPr>
          <w:rFonts w:ascii="Times New Roman" w:hAnsi="Times New Roman"/>
          <w:sz w:val="24"/>
          <w:szCs w:val="24"/>
        </w:rPr>
      </w:pPr>
    </w:p>
    <w:p w:rsidR="009541FF" w:rsidP="00E57372" w14:paraId="053966A6" w14:textId="77777777">
      <w:pPr>
        <w:shd w:val="clear" w:color="auto" w:fill="FFFFFF"/>
        <w:spacing w:after="0"/>
        <w:rPr>
          <w:rFonts w:ascii="Times New Roman" w:hAnsi="Times New Roman"/>
          <w:sz w:val="24"/>
          <w:szCs w:val="24"/>
        </w:rPr>
      </w:pPr>
    </w:p>
    <w:p w:rsidR="009541FF" w:rsidP="00E57372" w14:paraId="0623B1F8" w14:textId="77777777">
      <w:pPr>
        <w:shd w:val="clear" w:color="auto" w:fill="FFFFFF"/>
        <w:spacing w:after="0"/>
        <w:rPr>
          <w:rFonts w:ascii="Times New Roman" w:hAnsi="Times New Roman"/>
          <w:sz w:val="24"/>
          <w:szCs w:val="24"/>
        </w:rPr>
      </w:pPr>
    </w:p>
    <w:p w:rsidR="009541FF" w:rsidP="00E57372" w14:paraId="226F2B65" w14:textId="77777777">
      <w:pPr>
        <w:shd w:val="clear" w:color="auto" w:fill="FFFFFF"/>
        <w:spacing w:after="0"/>
        <w:rPr>
          <w:rFonts w:ascii="Times New Roman" w:hAnsi="Times New Roman"/>
          <w:sz w:val="24"/>
          <w:szCs w:val="24"/>
        </w:rPr>
      </w:pPr>
    </w:p>
    <w:p w:rsidR="006E261E" w:rsidP="00C86B40" w14:paraId="4DBD4F08" w14:textId="6493928F">
      <w:pPr>
        <w:shd w:val="clear" w:color="auto" w:fill="FFFFFF"/>
        <w:spacing w:after="0"/>
        <w:rPr>
          <w:rFonts w:ascii="Times New Roman" w:hAnsi="Times New Roman"/>
          <w:color w:val="000000"/>
          <w:sz w:val="20"/>
          <w:szCs w:val="20"/>
        </w:rPr>
      </w:pPr>
      <w:bookmarkStart w:id="2" w:name="piel4"/>
      <w:bookmarkEnd w:id="2"/>
      <w:r w:rsidRPr="00C86B40">
        <w:rPr>
          <w:rFonts w:ascii="Times New Roman" w:hAnsi="Times New Roman"/>
          <w:color w:val="000000"/>
          <w:sz w:val="20"/>
          <w:szCs w:val="20"/>
        </w:rPr>
        <w:t>Rimša</w:t>
      </w:r>
      <w:r>
        <w:rPr>
          <w:rFonts w:ascii="Times New Roman" w:hAnsi="Times New Roman"/>
          <w:color w:val="000000"/>
          <w:sz w:val="20"/>
          <w:szCs w:val="20"/>
        </w:rPr>
        <w:t xml:space="preserve"> </w:t>
      </w:r>
      <w:r w:rsidRPr="00C86B40">
        <w:rPr>
          <w:rFonts w:ascii="Times New Roman" w:hAnsi="Times New Roman"/>
          <w:color w:val="000000"/>
          <w:sz w:val="20"/>
          <w:szCs w:val="20"/>
        </w:rPr>
        <w:t xml:space="preserve">67026512 </w:t>
      </w:r>
    </w:p>
    <w:p w:rsidR="00B466FC" w:rsidRPr="00797A1A" w:rsidP="00C86B40" w14:paraId="777BD361" w14:textId="728DC151">
      <w:pPr>
        <w:shd w:val="clear" w:color="auto" w:fill="FFFFFF"/>
        <w:spacing w:after="0"/>
        <w:rPr>
          <w:sz w:val="18"/>
          <w:szCs w:val="18"/>
        </w:rPr>
      </w:pPr>
      <w:r>
        <w:fldChar w:fldCharType="begin"/>
      </w:r>
      <w:r>
        <w:instrText xml:space="preserve"> HYPERLINK "mailto:Helena.Rimsa@varam.gov.lv" </w:instrText>
      </w:r>
      <w:r>
        <w:fldChar w:fldCharType="separate"/>
      </w:r>
      <w:r w:rsidRPr="00C86B40" w:rsidR="00C86B40">
        <w:rPr>
          <w:rStyle w:val="Hyperlink"/>
          <w:rFonts w:ascii="Times New Roman" w:hAnsi="Times New Roman"/>
          <w:sz w:val="20"/>
          <w:szCs w:val="20"/>
        </w:rPr>
        <w:t>Helena.Rimsa@varam.gov.lv</w:t>
      </w:r>
      <w:r>
        <w:fldChar w:fldCharType="end"/>
      </w:r>
    </w:p>
    <w:sectPr w:rsidSect="008F7F73">
      <w:headerReference w:type="default" r:id="rId5"/>
      <w:footerReference w:type="default" r:id="rId6"/>
      <w:footerReference w:type="first" r:id="rId7"/>
      <w:pgSz w:w="11906" w:h="16838" w:code="9"/>
      <w:pgMar w:top="1134"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EC6" w:rsidRPr="001E413D" w:rsidP="006817ED" w14:paraId="5E384F45" w14:textId="5B1ECD0D">
    <w:pPr>
      <w:spacing w:after="0"/>
      <w:rPr>
        <w:rFonts w:ascii="Times New Roman" w:hAnsi="Times New Roman"/>
        <w:sz w:val="18"/>
        <w:szCs w:val="18"/>
      </w:rPr>
    </w:pPr>
    <w:r w:rsidRPr="001E413D">
      <w:rPr>
        <w:rFonts w:ascii="Times New Roman" w:hAnsi="Times New Roman"/>
        <w:sz w:val="18"/>
        <w:szCs w:val="18"/>
      </w:rPr>
      <w:fldChar w:fldCharType="begin"/>
    </w:r>
    <w:r w:rsidRPr="001E413D">
      <w:rPr>
        <w:rFonts w:ascii="Times New Roman" w:hAnsi="Times New Roman"/>
        <w:sz w:val="18"/>
        <w:szCs w:val="18"/>
      </w:rPr>
      <w:instrText xml:space="preserve"> FILENAME   \* MERGEFORMAT </w:instrText>
    </w:r>
    <w:r w:rsidRPr="001E413D">
      <w:rPr>
        <w:rFonts w:ascii="Times New Roman" w:hAnsi="Times New Roman"/>
        <w:sz w:val="18"/>
        <w:szCs w:val="18"/>
      </w:rPr>
      <w:fldChar w:fldCharType="separate"/>
    </w:r>
    <w:r w:rsidRPr="001E413D">
      <w:rPr>
        <w:rFonts w:ascii="Times New Roman" w:hAnsi="Times New Roman"/>
        <w:noProof/>
        <w:sz w:val="18"/>
        <w:szCs w:val="18"/>
      </w:rPr>
      <w:fldChar w:fldCharType="end"/>
    </w:r>
    <w:r>
      <w:rPr>
        <w:rFonts w:ascii="Times New Roman" w:hAnsi="Times New Roman"/>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EC6" w:rsidRPr="000F0DF8" w:rsidP="004D7C36" w14:paraId="3646FDCC" w14:textId="47AD645C">
    <w:pPr>
      <w:spacing w:after="0"/>
      <w:rPr>
        <w:rFonts w:ascii="Times New Roman" w:hAnsi="Times New Roman"/>
        <w:sz w:val="18"/>
        <w:szCs w:val="18"/>
      </w:rPr>
    </w:pPr>
    <w:r w:rsidRPr="000F0DF8">
      <w:rPr>
        <w:rFonts w:ascii="Times New Roman" w:hAnsi="Times New Roman"/>
        <w:sz w:val="18"/>
        <w:szCs w:val="18"/>
      </w:rPr>
      <w:fldChar w:fldCharType="begin"/>
    </w:r>
    <w:r w:rsidRPr="000F0DF8">
      <w:rPr>
        <w:rFonts w:ascii="Times New Roman" w:hAnsi="Times New Roman"/>
        <w:sz w:val="18"/>
        <w:szCs w:val="18"/>
      </w:rPr>
      <w:instrText xml:space="preserve"> FILENAME   \* MERGEFORMAT </w:instrText>
    </w:r>
    <w:r w:rsidRPr="000F0DF8">
      <w:rPr>
        <w:rFonts w:ascii="Times New Roman" w:hAnsi="Times New Roman"/>
        <w:sz w:val="18"/>
        <w:szCs w:val="18"/>
      </w:rPr>
      <w:fldChar w:fldCharType="separate"/>
    </w:r>
    <w:r w:rsidRPr="000F0DF8">
      <w:rPr>
        <w:rFonts w:ascii="Times New Roman" w:hAnsi="Times New Roman"/>
        <w:noProof/>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EC6" w14:paraId="191F5FD3" w14:textId="77777777">
    <w:pPr>
      <w:pStyle w:val="Header"/>
      <w:jc w:val="center"/>
    </w:pPr>
    <w:r>
      <w:fldChar w:fldCharType="begin"/>
    </w:r>
    <w:r>
      <w:instrText xml:space="preserve"> PAGE   \* MERGEFORMAT </w:instrText>
    </w:r>
    <w:r>
      <w:fldChar w:fldCharType="separate"/>
    </w:r>
    <w:r w:rsidR="000F3E70">
      <w:rPr>
        <w:noProof/>
      </w:rPr>
      <w:t>8</w:t>
    </w:r>
    <w:r>
      <w:rPr>
        <w:noProof/>
      </w:rPr>
      <w:fldChar w:fldCharType="end"/>
    </w:r>
  </w:p>
  <w:p w:rsidR="002C7EC6" w14:paraId="63ABD5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FF59F2"/>
    <w:multiLevelType w:val="hybridMultilevel"/>
    <w:tmpl w:val="E8280A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8A83C6C"/>
    <w:multiLevelType w:val="hybridMultilevel"/>
    <w:tmpl w:val="9B301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10A37EA9"/>
    <w:multiLevelType w:val="hybridMultilevel"/>
    <w:tmpl w:val="F2508D6E"/>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3" w15:restartNumberingAfterBreak="1">
    <w:nsid w:val="18DD7D13"/>
    <w:multiLevelType w:val="hybridMultilevel"/>
    <w:tmpl w:val="409C20EE"/>
    <w:lvl w:ilvl="0">
      <w:start w:val="1"/>
      <w:numFmt w:val="bullet"/>
      <w:lvlText w:val=""/>
      <w:lvlJc w:val="left"/>
      <w:pPr>
        <w:ind w:left="1004" w:hanging="360"/>
      </w:pPr>
      <w:rPr>
        <w:rFonts w:ascii="Symbol" w:hAnsi="Symbol" w:hint="default"/>
      </w:rPr>
    </w:lvl>
    <w:lvl w:ilvl="1">
      <w:start w:val="1"/>
      <w:numFmt w:val="bullet"/>
      <w:lvlText w:val=""/>
      <w:lvlJc w:val="left"/>
      <w:pPr>
        <w:ind w:left="1724" w:hanging="360"/>
      </w:pPr>
      <w:rPr>
        <w:rFonts w:ascii="Symbol" w:hAnsi="Symbol"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4" w15:restartNumberingAfterBreak="1">
    <w:nsid w:val="1CB74205"/>
    <w:multiLevelType w:val="hybridMultilevel"/>
    <w:tmpl w:val="16541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1D18645E"/>
    <w:multiLevelType w:val="hybridMultilevel"/>
    <w:tmpl w:val="6FF6BFBA"/>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1">
    <w:nsid w:val="303E6AA0"/>
    <w:multiLevelType w:val="hybridMultilevel"/>
    <w:tmpl w:val="9FBA3C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3CBE0813"/>
    <w:multiLevelType w:val="hybridMultilevel"/>
    <w:tmpl w:val="F574F362"/>
    <w:lvl w:ilvl="0">
      <w:start w:val="1"/>
      <w:numFmt w:val="decimal"/>
      <w:lvlText w:val="%1)"/>
      <w:lvlJc w:val="left"/>
      <w:pPr>
        <w:ind w:left="587" w:hanging="360"/>
      </w:pPr>
      <w:rPr>
        <w:rFonts w:hint="default"/>
        <w:b/>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8" w15:restartNumberingAfterBreak="1">
    <w:nsid w:val="3D620BF9"/>
    <w:multiLevelType w:val="hybridMultilevel"/>
    <w:tmpl w:val="C4C4357E"/>
    <w:lvl w:ilvl="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E5A44BE"/>
    <w:multiLevelType w:val="hybridMultilevel"/>
    <w:tmpl w:val="9B9AFD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EB0279C"/>
    <w:multiLevelType w:val="hybridMultilevel"/>
    <w:tmpl w:val="1CCE603A"/>
    <w:lvl w:ilvl="0">
      <w:start w:val="1"/>
      <w:numFmt w:val="bullet"/>
      <w:lvlText w:val=""/>
      <w:lvlJc w:val="left"/>
      <w:pPr>
        <w:ind w:left="947" w:hanging="360"/>
      </w:pPr>
      <w:rPr>
        <w:rFonts w:ascii="Symbol" w:hAnsi="Symbol" w:hint="default"/>
      </w:rPr>
    </w:lvl>
    <w:lvl w:ilvl="1">
      <w:start w:val="5"/>
      <w:numFmt w:val="bullet"/>
      <w:lvlText w:val="-"/>
      <w:lvlJc w:val="left"/>
      <w:pPr>
        <w:ind w:left="1667" w:hanging="360"/>
      </w:pPr>
      <w:rPr>
        <w:rFonts w:ascii="Times New Roman" w:eastAsia="Times New Roman" w:hAnsi="Times New Roman"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11" w15:restartNumberingAfterBreak="1">
    <w:nsid w:val="51FB6389"/>
    <w:multiLevelType w:val="hybridMultilevel"/>
    <w:tmpl w:val="FBFEEC76"/>
    <w:lvl w:ilvl="0">
      <w:start w:val="5"/>
      <w:numFmt w:val="bullet"/>
      <w:lvlText w:val="-"/>
      <w:lvlJc w:val="left"/>
      <w:pPr>
        <w:ind w:left="587" w:hanging="360"/>
      </w:pPr>
      <w:rPr>
        <w:rFonts w:ascii="Times New Roman" w:eastAsia="Times New Roman" w:hAnsi="Times New Roman"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abstractNum w:abstractNumId="12" w15:restartNumberingAfterBreak="1">
    <w:nsid w:val="56165214"/>
    <w:multiLevelType w:val="hybridMultilevel"/>
    <w:tmpl w:val="302EDA1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3" w15:restartNumberingAfterBreak="1">
    <w:nsid w:val="59376E05"/>
    <w:multiLevelType w:val="hybridMultilevel"/>
    <w:tmpl w:val="1DACBB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5C8F119A"/>
    <w:multiLevelType w:val="hybridMultilevel"/>
    <w:tmpl w:val="9F925556"/>
    <w:lvl w:ilvl="0">
      <w:start w:val="1"/>
      <w:numFmt w:val="decimal"/>
      <w:lvlText w:val="%1)"/>
      <w:lvlJc w:val="left"/>
      <w:pPr>
        <w:ind w:left="616" w:hanging="360"/>
      </w:pPr>
      <w:rPr>
        <w:rFonts w:eastAsia="Times New Roman" w:cs="Times New Roman" w:hint="default"/>
        <w:sz w:val="22"/>
        <w:szCs w:val="22"/>
      </w:rPr>
    </w:lvl>
    <w:lvl w:ilvl="1" w:tentative="1">
      <w:start w:val="1"/>
      <w:numFmt w:val="lowerLetter"/>
      <w:lvlText w:val="%2."/>
      <w:lvlJc w:val="left"/>
      <w:pPr>
        <w:ind w:left="1336" w:hanging="360"/>
      </w:pPr>
      <w:rPr>
        <w:rFonts w:cs="Times New Roman"/>
      </w:rPr>
    </w:lvl>
    <w:lvl w:ilvl="2" w:tentative="1">
      <w:start w:val="1"/>
      <w:numFmt w:val="lowerRoman"/>
      <w:lvlText w:val="%3."/>
      <w:lvlJc w:val="right"/>
      <w:pPr>
        <w:ind w:left="2056" w:hanging="180"/>
      </w:pPr>
      <w:rPr>
        <w:rFonts w:cs="Times New Roman"/>
      </w:rPr>
    </w:lvl>
    <w:lvl w:ilvl="3" w:tentative="1">
      <w:start w:val="1"/>
      <w:numFmt w:val="decimal"/>
      <w:lvlText w:val="%4."/>
      <w:lvlJc w:val="left"/>
      <w:pPr>
        <w:ind w:left="2776" w:hanging="360"/>
      </w:pPr>
      <w:rPr>
        <w:rFonts w:cs="Times New Roman"/>
      </w:rPr>
    </w:lvl>
    <w:lvl w:ilvl="4" w:tentative="1">
      <w:start w:val="1"/>
      <w:numFmt w:val="lowerLetter"/>
      <w:lvlText w:val="%5."/>
      <w:lvlJc w:val="left"/>
      <w:pPr>
        <w:ind w:left="3496" w:hanging="360"/>
      </w:pPr>
      <w:rPr>
        <w:rFonts w:cs="Times New Roman"/>
      </w:rPr>
    </w:lvl>
    <w:lvl w:ilvl="5" w:tentative="1">
      <w:start w:val="1"/>
      <w:numFmt w:val="lowerRoman"/>
      <w:lvlText w:val="%6."/>
      <w:lvlJc w:val="right"/>
      <w:pPr>
        <w:ind w:left="4216" w:hanging="180"/>
      </w:pPr>
      <w:rPr>
        <w:rFonts w:cs="Times New Roman"/>
      </w:rPr>
    </w:lvl>
    <w:lvl w:ilvl="6" w:tentative="1">
      <w:start w:val="1"/>
      <w:numFmt w:val="decimal"/>
      <w:lvlText w:val="%7."/>
      <w:lvlJc w:val="left"/>
      <w:pPr>
        <w:ind w:left="4936" w:hanging="360"/>
      </w:pPr>
      <w:rPr>
        <w:rFonts w:cs="Times New Roman"/>
      </w:rPr>
    </w:lvl>
    <w:lvl w:ilvl="7" w:tentative="1">
      <w:start w:val="1"/>
      <w:numFmt w:val="lowerLetter"/>
      <w:lvlText w:val="%8."/>
      <w:lvlJc w:val="left"/>
      <w:pPr>
        <w:ind w:left="5656" w:hanging="360"/>
      </w:pPr>
      <w:rPr>
        <w:rFonts w:cs="Times New Roman"/>
      </w:rPr>
    </w:lvl>
    <w:lvl w:ilvl="8" w:tentative="1">
      <w:start w:val="1"/>
      <w:numFmt w:val="lowerRoman"/>
      <w:lvlText w:val="%9."/>
      <w:lvlJc w:val="right"/>
      <w:pPr>
        <w:ind w:left="6376" w:hanging="180"/>
      </w:pPr>
      <w:rPr>
        <w:rFonts w:cs="Times New Roman"/>
      </w:rPr>
    </w:lvl>
  </w:abstractNum>
  <w:abstractNum w:abstractNumId="15" w15:restartNumberingAfterBreak="1">
    <w:nsid w:val="5ED32202"/>
    <w:multiLevelType w:val="hybridMultilevel"/>
    <w:tmpl w:val="B8E48524"/>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16" w15:restartNumberingAfterBreak="1">
    <w:nsid w:val="60142C52"/>
    <w:multiLevelType w:val="hybridMultilevel"/>
    <w:tmpl w:val="09BCB2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6659376C"/>
    <w:multiLevelType w:val="hybridMultilevel"/>
    <w:tmpl w:val="BAA4D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6B5452AD"/>
    <w:multiLevelType w:val="hybridMultilevel"/>
    <w:tmpl w:val="04D4B3F8"/>
    <w:lvl w:ilvl="0">
      <w:start w:val="1"/>
      <w:numFmt w:val="bullet"/>
      <w:lvlText w:val=""/>
      <w:lvlJc w:val="left"/>
      <w:pPr>
        <w:ind w:left="720" w:hanging="360"/>
      </w:pPr>
      <w:rPr>
        <w:rFonts w:ascii="Symbol" w:hAnsi="Symbol" w:hint="default"/>
      </w:rPr>
    </w:lvl>
    <w:lvl w:ilvl="1">
      <w:start w:val="0"/>
      <w:numFmt w:val="bullet"/>
      <w:lvlText w:val="•"/>
      <w:lvlJc w:val="left"/>
      <w:pPr>
        <w:ind w:left="1515" w:hanging="435"/>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7AFF5FA8"/>
    <w:multiLevelType w:val="hybridMultilevel"/>
    <w:tmpl w:val="5678912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7FD43D62"/>
    <w:multiLevelType w:val="hybridMultilevel"/>
    <w:tmpl w:val="18CCAF70"/>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num w:numId="1">
    <w:abstractNumId w:val="15"/>
  </w:num>
  <w:num w:numId="2">
    <w:abstractNumId w:val="10"/>
  </w:num>
  <w:num w:numId="3">
    <w:abstractNumId w:val="11"/>
  </w:num>
  <w:num w:numId="4">
    <w:abstractNumId w:val="14"/>
  </w:num>
  <w:num w:numId="5">
    <w:abstractNumId w:val="4"/>
  </w:num>
  <w:num w:numId="6">
    <w:abstractNumId w:val="1"/>
  </w:num>
  <w:num w:numId="7">
    <w:abstractNumId w:val="2"/>
  </w:num>
  <w:num w:numId="8">
    <w:abstractNumId w:val="5"/>
  </w:num>
  <w:num w:numId="9">
    <w:abstractNumId w:val="16"/>
  </w:num>
  <w:num w:numId="10">
    <w:abstractNumId w:val="20"/>
  </w:num>
  <w:num w:numId="11">
    <w:abstractNumId w:val="7"/>
  </w:num>
  <w:num w:numId="12">
    <w:abstractNumId w:val="13"/>
  </w:num>
  <w:num w:numId="13">
    <w:abstractNumId w:val="8"/>
  </w:num>
  <w:num w:numId="14">
    <w:abstractNumId w:val="9"/>
  </w:num>
  <w:num w:numId="15">
    <w:abstractNumId w:val="17"/>
  </w:num>
  <w:num w:numId="16">
    <w:abstractNumId w:val="19"/>
  </w:num>
  <w:num w:numId="17">
    <w:abstractNumId w:val="18"/>
  </w:num>
  <w:num w:numId="18">
    <w:abstractNumId w:val="6"/>
  </w:num>
  <w:num w:numId="19">
    <w:abstractNumId w:val="12"/>
  </w:num>
  <w:num w:numId="20">
    <w:abstractNumId w:val="0"/>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displayVerticalDrawingGridEvery w:val="2"/>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CD"/>
    <w:rsid w:val="000022EA"/>
    <w:rsid w:val="0000357E"/>
    <w:rsid w:val="00003841"/>
    <w:rsid w:val="00005263"/>
    <w:rsid w:val="0000734C"/>
    <w:rsid w:val="00010007"/>
    <w:rsid w:val="0001568C"/>
    <w:rsid w:val="000204BD"/>
    <w:rsid w:val="00021F25"/>
    <w:rsid w:val="0002260A"/>
    <w:rsid w:val="00023CCB"/>
    <w:rsid w:val="00026472"/>
    <w:rsid w:val="00027636"/>
    <w:rsid w:val="00027F43"/>
    <w:rsid w:val="00030377"/>
    <w:rsid w:val="0003192F"/>
    <w:rsid w:val="0003736E"/>
    <w:rsid w:val="0003767B"/>
    <w:rsid w:val="0004253C"/>
    <w:rsid w:val="00045D4D"/>
    <w:rsid w:val="00051505"/>
    <w:rsid w:val="00054B73"/>
    <w:rsid w:val="00056F61"/>
    <w:rsid w:val="000576A2"/>
    <w:rsid w:val="00057819"/>
    <w:rsid w:val="0005794B"/>
    <w:rsid w:val="00060163"/>
    <w:rsid w:val="0006049C"/>
    <w:rsid w:val="0006345C"/>
    <w:rsid w:val="00063EC8"/>
    <w:rsid w:val="000650B6"/>
    <w:rsid w:val="0007053D"/>
    <w:rsid w:val="000723A8"/>
    <w:rsid w:val="000731AD"/>
    <w:rsid w:val="00075007"/>
    <w:rsid w:val="00077E67"/>
    <w:rsid w:val="0008176E"/>
    <w:rsid w:val="00081A58"/>
    <w:rsid w:val="00085C58"/>
    <w:rsid w:val="00087398"/>
    <w:rsid w:val="00087922"/>
    <w:rsid w:val="000900A6"/>
    <w:rsid w:val="00090A98"/>
    <w:rsid w:val="00090B46"/>
    <w:rsid w:val="00090B58"/>
    <w:rsid w:val="00092875"/>
    <w:rsid w:val="00095EE4"/>
    <w:rsid w:val="000A5328"/>
    <w:rsid w:val="000A58A3"/>
    <w:rsid w:val="000A58AB"/>
    <w:rsid w:val="000A6199"/>
    <w:rsid w:val="000B00B7"/>
    <w:rsid w:val="000B34B9"/>
    <w:rsid w:val="000B4B09"/>
    <w:rsid w:val="000B51AB"/>
    <w:rsid w:val="000C3537"/>
    <w:rsid w:val="000C3F9F"/>
    <w:rsid w:val="000C5291"/>
    <w:rsid w:val="000D0AD8"/>
    <w:rsid w:val="000D2F76"/>
    <w:rsid w:val="000D481C"/>
    <w:rsid w:val="000D4A73"/>
    <w:rsid w:val="000E002A"/>
    <w:rsid w:val="000E05CA"/>
    <w:rsid w:val="000E2B45"/>
    <w:rsid w:val="000E6416"/>
    <w:rsid w:val="000E73F7"/>
    <w:rsid w:val="000F09DB"/>
    <w:rsid w:val="000F0DF8"/>
    <w:rsid w:val="000F14C9"/>
    <w:rsid w:val="000F3E70"/>
    <w:rsid w:val="000F513E"/>
    <w:rsid w:val="000F74CA"/>
    <w:rsid w:val="0010256C"/>
    <w:rsid w:val="00104A4D"/>
    <w:rsid w:val="00104D1D"/>
    <w:rsid w:val="00106528"/>
    <w:rsid w:val="00107093"/>
    <w:rsid w:val="001110AE"/>
    <w:rsid w:val="00122EF5"/>
    <w:rsid w:val="0012446F"/>
    <w:rsid w:val="00126E7F"/>
    <w:rsid w:val="00127EA7"/>
    <w:rsid w:val="001344FB"/>
    <w:rsid w:val="00137AEB"/>
    <w:rsid w:val="00137D4F"/>
    <w:rsid w:val="001424BB"/>
    <w:rsid w:val="00142CF5"/>
    <w:rsid w:val="00145C8C"/>
    <w:rsid w:val="001473AE"/>
    <w:rsid w:val="001524D8"/>
    <w:rsid w:val="00157133"/>
    <w:rsid w:val="00157710"/>
    <w:rsid w:val="001604B9"/>
    <w:rsid w:val="00160970"/>
    <w:rsid w:val="00161F22"/>
    <w:rsid w:val="0016323A"/>
    <w:rsid w:val="00165328"/>
    <w:rsid w:val="00165E04"/>
    <w:rsid w:val="00167912"/>
    <w:rsid w:val="00167E1C"/>
    <w:rsid w:val="001707E7"/>
    <w:rsid w:val="0018092B"/>
    <w:rsid w:val="001811C2"/>
    <w:rsid w:val="0018158A"/>
    <w:rsid w:val="001849BF"/>
    <w:rsid w:val="001872D0"/>
    <w:rsid w:val="001926BF"/>
    <w:rsid w:val="00192C85"/>
    <w:rsid w:val="00194048"/>
    <w:rsid w:val="00196651"/>
    <w:rsid w:val="001B0A68"/>
    <w:rsid w:val="001C098C"/>
    <w:rsid w:val="001C250F"/>
    <w:rsid w:val="001C288A"/>
    <w:rsid w:val="001C37E7"/>
    <w:rsid w:val="001D141C"/>
    <w:rsid w:val="001D32BA"/>
    <w:rsid w:val="001D472A"/>
    <w:rsid w:val="001D5A67"/>
    <w:rsid w:val="001D6769"/>
    <w:rsid w:val="001D6E29"/>
    <w:rsid w:val="001D70DB"/>
    <w:rsid w:val="001E413D"/>
    <w:rsid w:val="001F16CF"/>
    <w:rsid w:val="001F5A5D"/>
    <w:rsid w:val="00201F24"/>
    <w:rsid w:val="002044F6"/>
    <w:rsid w:val="00205F15"/>
    <w:rsid w:val="00206C9F"/>
    <w:rsid w:val="00206DFD"/>
    <w:rsid w:val="002104E0"/>
    <w:rsid w:val="00212A4F"/>
    <w:rsid w:val="00214180"/>
    <w:rsid w:val="00215ACA"/>
    <w:rsid w:val="00217609"/>
    <w:rsid w:val="00217FC8"/>
    <w:rsid w:val="00220870"/>
    <w:rsid w:val="002214F7"/>
    <w:rsid w:val="0022209C"/>
    <w:rsid w:val="00223978"/>
    <w:rsid w:val="00230AF7"/>
    <w:rsid w:val="002326CD"/>
    <w:rsid w:val="00233691"/>
    <w:rsid w:val="002372A4"/>
    <w:rsid w:val="002407E2"/>
    <w:rsid w:val="0024436B"/>
    <w:rsid w:val="002459DA"/>
    <w:rsid w:val="00251A87"/>
    <w:rsid w:val="002608F1"/>
    <w:rsid w:val="0026240C"/>
    <w:rsid w:val="0026429E"/>
    <w:rsid w:val="00277367"/>
    <w:rsid w:val="00281AA7"/>
    <w:rsid w:val="0028217A"/>
    <w:rsid w:val="00284C5D"/>
    <w:rsid w:val="002937C4"/>
    <w:rsid w:val="00294A2F"/>
    <w:rsid w:val="00295EF4"/>
    <w:rsid w:val="002A06D2"/>
    <w:rsid w:val="002A323A"/>
    <w:rsid w:val="002B034D"/>
    <w:rsid w:val="002B3A6D"/>
    <w:rsid w:val="002B3E8E"/>
    <w:rsid w:val="002C4331"/>
    <w:rsid w:val="002C453A"/>
    <w:rsid w:val="002C5FC4"/>
    <w:rsid w:val="002C68A0"/>
    <w:rsid w:val="002C6DBC"/>
    <w:rsid w:val="002C7797"/>
    <w:rsid w:val="002C7EC6"/>
    <w:rsid w:val="002D08EF"/>
    <w:rsid w:val="002D2B3E"/>
    <w:rsid w:val="002D4D53"/>
    <w:rsid w:val="002E4B3E"/>
    <w:rsid w:val="002E5386"/>
    <w:rsid w:val="002E5FF2"/>
    <w:rsid w:val="002F0C8F"/>
    <w:rsid w:val="002F30BB"/>
    <w:rsid w:val="002F38D0"/>
    <w:rsid w:val="00307433"/>
    <w:rsid w:val="003162E4"/>
    <w:rsid w:val="00317EFB"/>
    <w:rsid w:val="0032070E"/>
    <w:rsid w:val="00322017"/>
    <w:rsid w:val="0032396A"/>
    <w:rsid w:val="00332018"/>
    <w:rsid w:val="00333FAA"/>
    <w:rsid w:val="00336675"/>
    <w:rsid w:val="00340056"/>
    <w:rsid w:val="0034370D"/>
    <w:rsid w:val="00344B08"/>
    <w:rsid w:val="0034750F"/>
    <w:rsid w:val="00351AAB"/>
    <w:rsid w:val="00356575"/>
    <w:rsid w:val="0035716E"/>
    <w:rsid w:val="0036017A"/>
    <w:rsid w:val="00362787"/>
    <w:rsid w:val="00374001"/>
    <w:rsid w:val="00375924"/>
    <w:rsid w:val="00380243"/>
    <w:rsid w:val="00383D36"/>
    <w:rsid w:val="003859B6"/>
    <w:rsid w:val="00386AE8"/>
    <w:rsid w:val="003878E1"/>
    <w:rsid w:val="00391B99"/>
    <w:rsid w:val="00392A8F"/>
    <w:rsid w:val="003A057F"/>
    <w:rsid w:val="003A3ADD"/>
    <w:rsid w:val="003A467F"/>
    <w:rsid w:val="003A7EFE"/>
    <w:rsid w:val="003B57C7"/>
    <w:rsid w:val="003B6E58"/>
    <w:rsid w:val="003C4D52"/>
    <w:rsid w:val="003D3065"/>
    <w:rsid w:val="003D3E8C"/>
    <w:rsid w:val="003D4EB3"/>
    <w:rsid w:val="003E4275"/>
    <w:rsid w:val="003E4EB2"/>
    <w:rsid w:val="003E7EBE"/>
    <w:rsid w:val="003F04DF"/>
    <w:rsid w:val="003F0CD3"/>
    <w:rsid w:val="003F4806"/>
    <w:rsid w:val="003F5D80"/>
    <w:rsid w:val="003F7A8E"/>
    <w:rsid w:val="00404329"/>
    <w:rsid w:val="004050B7"/>
    <w:rsid w:val="00406107"/>
    <w:rsid w:val="00406B06"/>
    <w:rsid w:val="00410902"/>
    <w:rsid w:val="00410CDD"/>
    <w:rsid w:val="004134E1"/>
    <w:rsid w:val="00417786"/>
    <w:rsid w:val="004177BE"/>
    <w:rsid w:val="00417E2B"/>
    <w:rsid w:val="00422573"/>
    <w:rsid w:val="00422921"/>
    <w:rsid w:val="00424F34"/>
    <w:rsid w:val="00430CCF"/>
    <w:rsid w:val="004312E3"/>
    <w:rsid w:val="00432216"/>
    <w:rsid w:val="004338E5"/>
    <w:rsid w:val="004348B3"/>
    <w:rsid w:val="004367B2"/>
    <w:rsid w:val="0044078B"/>
    <w:rsid w:val="0044629A"/>
    <w:rsid w:val="00450746"/>
    <w:rsid w:val="00451F24"/>
    <w:rsid w:val="00452056"/>
    <w:rsid w:val="004525F5"/>
    <w:rsid w:val="004550F6"/>
    <w:rsid w:val="004561F3"/>
    <w:rsid w:val="00456D95"/>
    <w:rsid w:val="00462ED9"/>
    <w:rsid w:val="00467527"/>
    <w:rsid w:val="004679AD"/>
    <w:rsid w:val="00470F41"/>
    <w:rsid w:val="00471D1C"/>
    <w:rsid w:val="004726B9"/>
    <w:rsid w:val="004731C9"/>
    <w:rsid w:val="00475B65"/>
    <w:rsid w:val="004765E0"/>
    <w:rsid w:val="00477910"/>
    <w:rsid w:val="00481B53"/>
    <w:rsid w:val="00482BA0"/>
    <w:rsid w:val="00482F95"/>
    <w:rsid w:val="00483329"/>
    <w:rsid w:val="004844FA"/>
    <w:rsid w:val="0049563D"/>
    <w:rsid w:val="00495C34"/>
    <w:rsid w:val="004A550A"/>
    <w:rsid w:val="004B29DD"/>
    <w:rsid w:val="004B2CB9"/>
    <w:rsid w:val="004B374F"/>
    <w:rsid w:val="004B4856"/>
    <w:rsid w:val="004B5C27"/>
    <w:rsid w:val="004B6CB6"/>
    <w:rsid w:val="004C1C0E"/>
    <w:rsid w:val="004C43F7"/>
    <w:rsid w:val="004C49D6"/>
    <w:rsid w:val="004D397A"/>
    <w:rsid w:val="004D47F8"/>
    <w:rsid w:val="004D7C36"/>
    <w:rsid w:val="004E72BB"/>
    <w:rsid w:val="004F0372"/>
    <w:rsid w:val="004F18C0"/>
    <w:rsid w:val="004F20B9"/>
    <w:rsid w:val="004F2C02"/>
    <w:rsid w:val="004F2CB3"/>
    <w:rsid w:val="004F3B23"/>
    <w:rsid w:val="004F4CB2"/>
    <w:rsid w:val="0050347B"/>
    <w:rsid w:val="00503B07"/>
    <w:rsid w:val="00505648"/>
    <w:rsid w:val="00506393"/>
    <w:rsid w:val="00515421"/>
    <w:rsid w:val="00516C6F"/>
    <w:rsid w:val="0051728B"/>
    <w:rsid w:val="005403CC"/>
    <w:rsid w:val="0054093C"/>
    <w:rsid w:val="00542D64"/>
    <w:rsid w:val="005461CC"/>
    <w:rsid w:val="00551016"/>
    <w:rsid w:val="00552B20"/>
    <w:rsid w:val="005532AD"/>
    <w:rsid w:val="0055418D"/>
    <w:rsid w:val="00556CDE"/>
    <w:rsid w:val="0056592D"/>
    <w:rsid w:val="00566D01"/>
    <w:rsid w:val="005702CB"/>
    <w:rsid w:val="00572C7E"/>
    <w:rsid w:val="00574736"/>
    <w:rsid w:val="005764D9"/>
    <w:rsid w:val="0057701F"/>
    <w:rsid w:val="005804F8"/>
    <w:rsid w:val="00590493"/>
    <w:rsid w:val="0059357C"/>
    <w:rsid w:val="00594397"/>
    <w:rsid w:val="00595B59"/>
    <w:rsid w:val="005A02D7"/>
    <w:rsid w:val="005A0323"/>
    <w:rsid w:val="005A110D"/>
    <w:rsid w:val="005B1274"/>
    <w:rsid w:val="005B1694"/>
    <w:rsid w:val="005B2FED"/>
    <w:rsid w:val="005B32B4"/>
    <w:rsid w:val="005B331F"/>
    <w:rsid w:val="005C5937"/>
    <w:rsid w:val="005C6EAA"/>
    <w:rsid w:val="005D0338"/>
    <w:rsid w:val="005D13EB"/>
    <w:rsid w:val="005D628E"/>
    <w:rsid w:val="005D7E57"/>
    <w:rsid w:val="005D7EFB"/>
    <w:rsid w:val="005E0FFC"/>
    <w:rsid w:val="005E117D"/>
    <w:rsid w:val="005E1415"/>
    <w:rsid w:val="005F0098"/>
    <w:rsid w:val="005F16C8"/>
    <w:rsid w:val="005F2936"/>
    <w:rsid w:val="005F2FD8"/>
    <w:rsid w:val="005F7788"/>
    <w:rsid w:val="00600452"/>
    <w:rsid w:val="00602636"/>
    <w:rsid w:val="006037C3"/>
    <w:rsid w:val="00604DCA"/>
    <w:rsid w:val="00613285"/>
    <w:rsid w:val="00620FA6"/>
    <w:rsid w:val="00622195"/>
    <w:rsid w:val="006249BD"/>
    <w:rsid w:val="00624E24"/>
    <w:rsid w:val="00625772"/>
    <w:rsid w:val="006317BF"/>
    <w:rsid w:val="00631816"/>
    <w:rsid w:val="006321B1"/>
    <w:rsid w:val="00634911"/>
    <w:rsid w:val="00634A03"/>
    <w:rsid w:val="00643958"/>
    <w:rsid w:val="00651E6F"/>
    <w:rsid w:val="00653212"/>
    <w:rsid w:val="006601A5"/>
    <w:rsid w:val="00660684"/>
    <w:rsid w:val="00660BD9"/>
    <w:rsid w:val="00662161"/>
    <w:rsid w:val="0066267E"/>
    <w:rsid w:val="00663998"/>
    <w:rsid w:val="00665626"/>
    <w:rsid w:val="00665B9D"/>
    <w:rsid w:val="00671F04"/>
    <w:rsid w:val="0067238A"/>
    <w:rsid w:val="00674310"/>
    <w:rsid w:val="006760E9"/>
    <w:rsid w:val="006762E7"/>
    <w:rsid w:val="006768F2"/>
    <w:rsid w:val="006769BE"/>
    <w:rsid w:val="00681392"/>
    <w:rsid w:val="006817ED"/>
    <w:rsid w:val="006826AF"/>
    <w:rsid w:val="00682846"/>
    <w:rsid w:val="00682AE5"/>
    <w:rsid w:val="00687104"/>
    <w:rsid w:val="006877F1"/>
    <w:rsid w:val="00687DA1"/>
    <w:rsid w:val="0069177C"/>
    <w:rsid w:val="00693D84"/>
    <w:rsid w:val="006952F9"/>
    <w:rsid w:val="006A0F48"/>
    <w:rsid w:val="006A25FA"/>
    <w:rsid w:val="006A2927"/>
    <w:rsid w:val="006A32CD"/>
    <w:rsid w:val="006A4627"/>
    <w:rsid w:val="006B2C34"/>
    <w:rsid w:val="006B3AE9"/>
    <w:rsid w:val="006B3CC5"/>
    <w:rsid w:val="006B5AED"/>
    <w:rsid w:val="006B6658"/>
    <w:rsid w:val="006C1C03"/>
    <w:rsid w:val="006C2654"/>
    <w:rsid w:val="006C4161"/>
    <w:rsid w:val="006D654B"/>
    <w:rsid w:val="006D7B47"/>
    <w:rsid w:val="006E0736"/>
    <w:rsid w:val="006E261E"/>
    <w:rsid w:val="006E43C7"/>
    <w:rsid w:val="006E58C0"/>
    <w:rsid w:val="006E6E80"/>
    <w:rsid w:val="006F1A15"/>
    <w:rsid w:val="006F2CEE"/>
    <w:rsid w:val="00700D2E"/>
    <w:rsid w:val="00702A03"/>
    <w:rsid w:val="00712302"/>
    <w:rsid w:val="0071517C"/>
    <w:rsid w:val="00717D42"/>
    <w:rsid w:val="0072372D"/>
    <w:rsid w:val="007241FD"/>
    <w:rsid w:val="007266B0"/>
    <w:rsid w:val="00727602"/>
    <w:rsid w:val="00727BBA"/>
    <w:rsid w:val="00741C87"/>
    <w:rsid w:val="00741CA1"/>
    <w:rsid w:val="007420F7"/>
    <w:rsid w:val="0074243C"/>
    <w:rsid w:val="00742CA3"/>
    <w:rsid w:val="00743CB3"/>
    <w:rsid w:val="00744BF9"/>
    <w:rsid w:val="007458AE"/>
    <w:rsid w:val="0074752B"/>
    <w:rsid w:val="00750422"/>
    <w:rsid w:val="0075414E"/>
    <w:rsid w:val="00760A92"/>
    <w:rsid w:val="00760A9F"/>
    <w:rsid w:val="00760F89"/>
    <w:rsid w:val="007618BB"/>
    <w:rsid w:val="007643DF"/>
    <w:rsid w:val="00766075"/>
    <w:rsid w:val="0076657B"/>
    <w:rsid w:val="00766E7D"/>
    <w:rsid w:val="007707F1"/>
    <w:rsid w:val="00770980"/>
    <w:rsid w:val="00771393"/>
    <w:rsid w:val="0077404F"/>
    <w:rsid w:val="00776A44"/>
    <w:rsid w:val="00777ECE"/>
    <w:rsid w:val="007818E7"/>
    <w:rsid w:val="0078297A"/>
    <w:rsid w:val="00782C59"/>
    <w:rsid w:val="00785ED0"/>
    <w:rsid w:val="00786738"/>
    <w:rsid w:val="007874A2"/>
    <w:rsid w:val="007916EA"/>
    <w:rsid w:val="00791C34"/>
    <w:rsid w:val="00797A1A"/>
    <w:rsid w:val="007A1002"/>
    <w:rsid w:val="007A3B64"/>
    <w:rsid w:val="007A44F4"/>
    <w:rsid w:val="007A519C"/>
    <w:rsid w:val="007A60EA"/>
    <w:rsid w:val="007B1AC9"/>
    <w:rsid w:val="007B5691"/>
    <w:rsid w:val="007C27C0"/>
    <w:rsid w:val="007C56FC"/>
    <w:rsid w:val="007C582C"/>
    <w:rsid w:val="007D0181"/>
    <w:rsid w:val="007D081F"/>
    <w:rsid w:val="007D2850"/>
    <w:rsid w:val="007D523F"/>
    <w:rsid w:val="007D6D34"/>
    <w:rsid w:val="007E432A"/>
    <w:rsid w:val="007F17D4"/>
    <w:rsid w:val="007F73EC"/>
    <w:rsid w:val="007F74DA"/>
    <w:rsid w:val="0080011A"/>
    <w:rsid w:val="00801DA7"/>
    <w:rsid w:val="00805918"/>
    <w:rsid w:val="00810942"/>
    <w:rsid w:val="008127AD"/>
    <w:rsid w:val="008148E0"/>
    <w:rsid w:val="00815F14"/>
    <w:rsid w:val="00824CFF"/>
    <w:rsid w:val="0082656B"/>
    <w:rsid w:val="008265CF"/>
    <w:rsid w:val="0083018E"/>
    <w:rsid w:val="008350E4"/>
    <w:rsid w:val="00840C2F"/>
    <w:rsid w:val="0084262E"/>
    <w:rsid w:val="00842C83"/>
    <w:rsid w:val="00854E93"/>
    <w:rsid w:val="00855B55"/>
    <w:rsid w:val="008563DF"/>
    <w:rsid w:val="00863170"/>
    <w:rsid w:val="00865B7C"/>
    <w:rsid w:val="00870977"/>
    <w:rsid w:val="0087220F"/>
    <w:rsid w:val="00874A3E"/>
    <w:rsid w:val="00875362"/>
    <w:rsid w:val="00875B6C"/>
    <w:rsid w:val="00876FD1"/>
    <w:rsid w:val="00882CDB"/>
    <w:rsid w:val="0088482E"/>
    <w:rsid w:val="0088536E"/>
    <w:rsid w:val="00887248"/>
    <w:rsid w:val="00890902"/>
    <w:rsid w:val="00894189"/>
    <w:rsid w:val="00895CBA"/>
    <w:rsid w:val="00897B19"/>
    <w:rsid w:val="008A09A1"/>
    <w:rsid w:val="008A4B7F"/>
    <w:rsid w:val="008A6BAE"/>
    <w:rsid w:val="008B16AB"/>
    <w:rsid w:val="008B1B3F"/>
    <w:rsid w:val="008B369D"/>
    <w:rsid w:val="008B5444"/>
    <w:rsid w:val="008C2970"/>
    <w:rsid w:val="008D0FA1"/>
    <w:rsid w:val="008D1DB4"/>
    <w:rsid w:val="008D4729"/>
    <w:rsid w:val="008D4B24"/>
    <w:rsid w:val="008E181D"/>
    <w:rsid w:val="008E2048"/>
    <w:rsid w:val="008E2339"/>
    <w:rsid w:val="008F0837"/>
    <w:rsid w:val="008F184D"/>
    <w:rsid w:val="008F43FF"/>
    <w:rsid w:val="008F652A"/>
    <w:rsid w:val="008F7A3D"/>
    <w:rsid w:val="008F7F73"/>
    <w:rsid w:val="00901969"/>
    <w:rsid w:val="00906338"/>
    <w:rsid w:val="009067AA"/>
    <w:rsid w:val="00907F32"/>
    <w:rsid w:val="0091011B"/>
    <w:rsid w:val="009118FD"/>
    <w:rsid w:val="00912060"/>
    <w:rsid w:val="009129F7"/>
    <w:rsid w:val="00914539"/>
    <w:rsid w:val="009216D3"/>
    <w:rsid w:val="00927C4D"/>
    <w:rsid w:val="009335AE"/>
    <w:rsid w:val="00933785"/>
    <w:rsid w:val="00934850"/>
    <w:rsid w:val="00935F0F"/>
    <w:rsid w:val="009419F6"/>
    <w:rsid w:val="0094491A"/>
    <w:rsid w:val="00953D71"/>
    <w:rsid w:val="009541FF"/>
    <w:rsid w:val="00955789"/>
    <w:rsid w:val="009618CD"/>
    <w:rsid w:val="00962087"/>
    <w:rsid w:val="0096225F"/>
    <w:rsid w:val="00965793"/>
    <w:rsid w:val="00965DA4"/>
    <w:rsid w:val="009675D6"/>
    <w:rsid w:val="00970497"/>
    <w:rsid w:val="009731CE"/>
    <w:rsid w:val="009756E1"/>
    <w:rsid w:val="00976EF1"/>
    <w:rsid w:val="00980B16"/>
    <w:rsid w:val="00982FEC"/>
    <w:rsid w:val="00983DE2"/>
    <w:rsid w:val="0098403B"/>
    <w:rsid w:val="009844A2"/>
    <w:rsid w:val="009846E7"/>
    <w:rsid w:val="00984958"/>
    <w:rsid w:val="0098768A"/>
    <w:rsid w:val="00987D4D"/>
    <w:rsid w:val="009909FE"/>
    <w:rsid w:val="00995ACA"/>
    <w:rsid w:val="009A089D"/>
    <w:rsid w:val="009A0D70"/>
    <w:rsid w:val="009A22CD"/>
    <w:rsid w:val="009A3E9F"/>
    <w:rsid w:val="009A4B34"/>
    <w:rsid w:val="009B0263"/>
    <w:rsid w:val="009C4A16"/>
    <w:rsid w:val="009C76C6"/>
    <w:rsid w:val="009D192D"/>
    <w:rsid w:val="009E2FE7"/>
    <w:rsid w:val="009E394F"/>
    <w:rsid w:val="009E76FB"/>
    <w:rsid w:val="009E7A63"/>
    <w:rsid w:val="009F1438"/>
    <w:rsid w:val="009F26D0"/>
    <w:rsid w:val="009F7EAD"/>
    <w:rsid w:val="00A041F4"/>
    <w:rsid w:val="00A07EB9"/>
    <w:rsid w:val="00A11276"/>
    <w:rsid w:val="00A13006"/>
    <w:rsid w:val="00A153E5"/>
    <w:rsid w:val="00A162A2"/>
    <w:rsid w:val="00A16417"/>
    <w:rsid w:val="00A170DE"/>
    <w:rsid w:val="00A21A17"/>
    <w:rsid w:val="00A22586"/>
    <w:rsid w:val="00A251E6"/>
    <w:rsid w:val="00A267A9"/>
    <w:rsid w:val="00A270C1"/>
    <w:rsid w:val="00A32E15"/>
    <w:rsid w:val="00A415E2"/>
    <w:rsid w:val="00A4200E"/>
    <w:rsid w:val="00A42CA7"/>
    <w:rsid w:val="00A43A1F"/>
    <w:rsid w:val="00A4523C"/>
    <w:rsid w:val="00A45982"/>
    <w:rsid w:val="00A46330"/>
    <w:rsid w:val="00A47534"/>
    <w:rsid w:val="00A50C8D"/>
    <w:rsid w:val="00A56BFB"/>
    <w:rsid w:val="00A60146"/>
    <w:rsid w:val="00A630B7"/>
    <w:rsid w:val="00A6503A"/>
    <w:rsid w:val="00A6520F"/>
    <w:rsid w:val="00A65A19"/>
    <w:rsid w:val="00A73DEC"/>
    <w:rsid w:val="00A7409E"/>
    <w:rsid w:val="00A74BE4"/>
    <w:rsid w:val="00A75432"/>
    <w:rsid w:val="00A77DFF"/>
    <w:rsid w:val="00A801B7"/>
    <w:rsid w:val="00A80527"/>
    <w:rsid w:val="00A81984"/>
    <w:rsid w:val="00A823F6"/>
    <w:rsid w:val="00A826B4"/>
    <w:rsid w:val="00A82961"/>
    <w:rsid w:val="00A85AC2"/>
    <w:rsid w:val="00A8634F"/>
    <w:rsid w:val="00A93CAD"/>
    <w:rsid w:val="00A964C7"/>
    <w:rsid w:val="00A964CA"/>
    <w:rsid w:val="00AA1466"/>
    <w:rsid w:val="00AA1A32"/>
    <w:rsid w:val="00AA3A63"/>
    <w:rsid w:val="00AA588C"/>
    <w:rsid w:val="00AA73AA"/>
    <w:rsid w:val="00AA78FF"/>
    <w:rsid w:val="00AB259C"/>
    <w:rsid w:val="00AB295A"/>
    <w:rsid w:val="00AB6D62"/>
    <w:rsid w:val="00AB77DE"/>
    <w:rsid w:val="00AC2DCE"/>
    <w:rsid w:val="00AC4125"/>
    <w:rsid w:val="00AC4AC7"/>
    <w:rsid w:val="00AC4ED9"/>
    <w:rsid w:val="00AC73FF"/>
    <w:rsid w:val="00AD02CB"/>
    <w:rsid w:val="00AD12A9"/>
    <w:rsid w:val="00AD31C8"/>
    <w:rsid w:val="00AD43BF"/>
    <w:rsid w:val="00AD50B6"/>
    <w:rsid w:val="00AD64AC"/>
    <w:rsid w:val="00AD6C3A"/>
    <w:rsid w:val="00AD7E93"/>
    <w:rsid w:val="00AE301B"/>
    <w:rsid w:val="00AE5847"/>
    <w:rsid w:val="00AF3D2A"/>
    <w:rsid w:val="00AF4DD3"/>
    <w:rsid w:val="00AF6864"/>
    <w:rsid w:val="00AF7A29"/>
    <w:rsid w:val="00B05A7D"/>
    <w:rsid w:val="00B20CFF"/>
    <w:rsid w:val="00B21A42"/>
    <w:rsid w:val="00B22D26"/>
    <w:rsid w:val="00B30135"/>
    <w:rsid w:val="00B3434A"/>
    <w:rsid w:val="00B40774"/>
    <w:rsid w:val="00B4475D"/>
    <w:rsid w:val="00B4619D"/>
    <w:rsid w:val="00B466FC"/>
    <w:rsid w:val="00B501CB"/>
    <w:rsid w:val="00B50C19"/>
    <w:rsid w:val="00B515DE"/>
    <w:rsid w:val="00B55B88"/>
    <w:rsid w:val="00B563C3"/>
    <w:rsid w:val="00B573BA"/>
    <w:rsid w:val="00B609FF"/>
    <w:rsid w:val="00B6142B"/>
    <w:rsid w:val="00B63F0E"/>
    <w:rsid w:val="00B669C9"/>
    <w:rsid w:val="00B72256"/>
    <w:rsid w:val="00B73564"/>
    <w:rsid w:val="00B75965"/>
    <w:rsid w:val="00B828AF"/>
    <w:rsid w:val="00B861EA"/>
    <w:rsid w:val="00B90CE9"/>
    <w:rsid w:val="00BA0BFE"/>
    <w:rsid w:val="00BA24F0"/>
    <w:rsid w:val="00BA4011"/>
    <w:rsid w:val="00BA4CAF"/>
    <w:rsid w:val="00BA589E"/>
    <w:rsid w:val="00BB0A2E"/>
    <w:rsid w:val="00BB0EE1"/>
    <w:rsid w:val="00BB0F8B"/>
    <w:rsid w:val="00BB1BE1"/>
    <w:rsid w:val="00BB2497"/>
    <w:rsid w:val="00BB49FA"/>
    <w:rsid w:val="00BB4BB8"/>
    <w:rsid w:val="00BC0C61"/>
    <w:rsid w:val="00BC2EF0"/>
    <w:rsid w:val="00BC4480"/>
    <w:rsid w:val="00BD0D80"/>
    <w:rsid w:val="00BD1B94"/>
    <w:rsid w:val="00BD491E"/>
    <w:rsid w:val="00BE12C2"/>
    <w:rsid w:val="00BE3EBF"/>
    <w:rsid w:val="00BF07A2"/>
    <w:rsid w:val="00BF14CB"/>
    <w:rsid w:val="00BF305D"/>
    <w:rsid w:val="00BF3945"/>
    <w:rsid w:val="00BF7184"/>
    <w:rsid w:val="00BF7554"/>
    <w:rsid w:val="00C00CDA"/>
    <w:rsid w:val="00C025DD"/>
    <w:rsid w:val="00C066AE"/>
    <w:rsid w:val="00C066C0"/>
    <w:rsid w:val="00C06B59"/>
    <w:rsid w:val="00C117E3"/>
    <w:rsid w:val="00C16C56"/>
    <w:rsid w:val="00C203EB"/>
    <w:rsid w:val="00C23BC0"/>
    <w:rsid w:val="00C23FA8"/>
    <w:rsid w:val="00C26FF7"/>
    <w:rsid w:val="00C319AC"/>
    <w:rsid w:val="00C319EF"/>
    <w:rsid w:val="00C34B19"/>
    <w:rsid w:val="00C35630"/>
    <w:rsid w:val="00C4087E"/>
    <w:rsid w:val="00C40886"/>
    <w:rsid w:val="00C42B66"/>
    <w:rsid w:val="00C44C03"/>
    <w:rsid w:val="00C51B39"/>
    <w:rsid w:val="00C55AE2"/>
    <w:rsid w:val="00C572AE"/>
    <w:rsid w:val="00C61BFB"/>
    <w:rsid w:val="00C63262"/>
    <w:rsid w:val="00C64519"/>
    <w:rsid w:val="00C715D5"/>
    <w:rsid w:val="00C71EAF"/>
    <w:rsid w:val="00C72650"/>
    <w:rsid w:val="00C72D81"/>
    <w:rsid w:val="00C7654B"/>
    <w:rsid w:val="00C76A46"/>
    <w:rsid w:val="00C82F50"/>
    <w:rsid w:val="00C83ABF"/>
    <w:rsid w:val="00C84078"/>
    <w:rsid w:val="00C85246"/>
    <w:rsid w:val="00C855B1"/>
    <w:rsid w:val="00C86B40"/>
    <w:rsid w:val="00C878F9"/>
    <w:rsid w:val="00C975E5"/>
    <w:rsid w:val="00C97E69"/>
    <w:rsid w:val="00CA002C"/>
    <w:rsid w:val="00CA5158"/>
    <w:rsid w:val="00CA6A84"/>
    <w:rsid w:val="00CB4AAB"/>
    <w:rsid w:val="00CB5F51"/>
    <w:rsid w:val="00CC0981"/>
    <w:rsid w:val="00CC153C"/>
    <w:rsid w:val="00CC1FA3"/>
    <w:rsid w:val="00CC3B6A"/>
    <w:rsid w:val="00CC4056"/>
    <w:rsid w:val="00CC51F3"/>
    <w:rsid w:val="00CD1677"/>
    <w:rsid w:val="00CD3F20"/>
    <w:rsid w:val="00CD5458"/>
    <w:rsid w:val="00CD5686"/>
    <w:rsid w:val="00CD5D36"/>
    <w:rsid w:val="00CD6F84"/>
    <w:rsid w:val="00CD7286"/>
    <w:rsid w:val="00CE0479"/>
    <w:rsid w:val="00CE4AB2"/>
    <w:rsid w:val="00CF4796"/>
    <w:rsid w:val="00CF48C9"/>
    <w:rsid w:val="00CF61E7"/>
    <w:rsid w:val="00CF61F9"/>
    <w:rsid w:val="00CF6CD7"/>
    <w:rsid w:val="00CF6F28"/>
    <w:rsid w:val="00D03CF2"/>
    <w:rsid w:val="00D04122"/>
    <w:rsid w:val="00D04125"/>
    <w:rsid w:val="00D127C1"/>
    <w:rsid w:val="00D138F8"/>
    <w:rsid w:val="00D15EC4"/>
    <w:rsid w:val="00D216F7"/>
    <w:rsid w:val="00D22B05"/>
    <w:rsid w:val="00D24D7B"/>
    <w:rsid w:val="00D26E10"/>
    <w:rsid w:val="00D27DF2"/>
    <w:rsid w:val="00D318B7"/>
    <w:rsid w:val="00D33079"/>
    <w:rsid w:val="00D35AAA"/>
    <w:rsid w:val="00D36CD7"/>
    <w:rsid w:val="00D36FC9"/>
    <w:rsid w:val="00D4628F"/>
    <w:rsid w:val="00D5153C"/>
    <w:rsid w:val="00D51B19"/>
    <w:rsid w:val="00D53361"/>
    <w:rsid w:val="00D53B1A"/>
    <w:rsid w:val="00D55671"/>
    <w:rsid w:val="00D557B2"/>
    <w:rsid w:val="00D56C78"/>
    <w:rsid w:val="00D65423"/>
    <w:rsid w:val="00D716DA"/>
    <w:rsid w:val="00D832EB"/>
    <w:rsid w:val="00D83518"/>
    <w:rsid w:val="00D85002"/>
    <w:rsid w:val="00D8537B"/>
    <w:rsid w:val="00D877F3"/>
    <w:rsid w:val="00D9122C"/>
    <w:rsid w:val="00D9400F"/>
    <w:rsid w:val="00D96CAC"/>
    <w:rsid w:val="00D97EC9"/>
    <w:rsid w:val="00DA0D65"/>
    <w:rsid w:val="00DA33FD"/>
    <w:rsid w:val="00DA5789"/>
    <w:rsid w:val="00DB029F"/>
    <w:rsid w:val="00DB0F41"/>
    <w:rsid w:val="00DB1104"/>
    <w:rsid w:val="00DB149F"/>
    <w:rsid w:val="00DB3189"/>
    <w:rsid w:val="00DB3854"/>
    <w:rsid w:val="00DB64CD"/>
    <w:rsid w:val="00DB68EA"/>
    <w:rsid w:val="00DC0546"/>
    <w:rsid w:val="00DC346E"/>
    <w:rsid w:val="00DC3DC9"/>
    <w:rsid w:val="00DC6D6D"/>
    <w:rsid w:val="00DD05D6"/>
    <w:rsid w:val="00DD0805"/>
    <w:rsid w:val="00DD12A3"/>
    <w:rsid w:val="00DE63FC"/>
    <w:rsid w:val="00DE680F"/>
    <w:rsid w:val="00DE799C"/>
    <w:rsid w:val="00DF1F7E"/>
    <w:rsid w:val="00DF1FA9"/>
    <w:rsid w:val="00DF2845"/>
    <w:rsid w:val="00DF5F32"/>
    <w:rsid w:val="00DF6FA4"/>
    <w:rsid w:val="00E0091A"/>
    <w:rsid w:val="00E01818"/>
    <w:rsid w:val="00E02D15"/>
    <w:rsid w:val="00E11204"/>
    <w:rsid w:val="00E30085"/>
    <w:rsid w:val="00E303E7"/>
    <w:rsid w:val="00E31185"/>
    <w:rsid w:val="00E31C26"/>
    <w:rsid w:val="00E33009"/>
    <w:rsid w:val="00E35628"/>
    <w:rsid w:val="00E36503"/>
    <w:rsid w:val="00E42D90"/>
    <w:rsid w:val="00E43F9B"/>
    <w:rsid w:val="00E50093"/>
    <w:rsid w:val="00E52517"/>
    <w:rsid w:val="00E52F14"/>
    <w:rsid w:val="00E536B0"/>
    <w:rsid w:val="00E53AAF"/>
    <w:rsid w:val="00E56319"/>
    <w:rsid w:val="00E572C9"/>
    <w:rsid w:val="00E57372"/>
    <w:rsid w:val="00E60BF8"/>
    <w:rsid w:val="00E61CD7"/>
    <w:rsid w:val="00E62321"/>
    <w:rsid w:val="00E636B5"/>
    <w:rsid w:val="00E6633C"/>
    <w:rsid w:val="00E71286"/>
    <w:rsid w:val="00E72719"/>
    <w:rsid w:val="00E76263"/>
    <w:rsid w:val="00E77904"/>
    <w:rsid w:val="00E8263E"/>
    <w:rsid w:val="00E83003"/>
    <w:rsid w:val="00E8529B"/>
    <w:rsid w:val="00E968F2"/>
    <w:rsid w:val="00EA11DB"/>
    <w:rsid w:val="00EA17EB"/>
    <w:rsid w:val="00EA249F"/>
    <w:rsid w:val="00EC321F"/>
    <w:rsid w:val="00EC4933"/>
    <w:rsid w:val="00EC4A98"/>
    <w:rsid w:val="00EC60F1"/>
    <w:rsid w:val="00EC6B91"/>
    <w:rsid w:val="00ED3575"/>
    <w:rsid w:val="00ED4A2A"/>
    <w:rsid w:val="00EE1096"/>
    <w:rsid w:val="00EE2278"/>
    <w:rsid w:val="00EE3404"/>
    <w:rsid w:val="00EE407D"/>
    <w:rsid w:val="00EF23FC"/>
    <w:rsid w:val="00EF536D"/>
    <w:rsid w:val="00EF64BE"/>
    <w:rsid w:val="00EF6874"/>
    <w:rsid w:val="00F040F3"/>
    <w:rsid w:val="00F05E39"/>
    <w:rsid w:val="00F07CD0"/>
    <w:rsid w:val="00F11582"/>
    <w:rsid w:val="00F122F9"/>
    <w:rsid w:val="00F12EF8"/>
    <w:rsid w:val="00F1355F"/>
    <w:rsid w:val="00F1498A"/>
    <w:rsid w:val="00F236F4"/>
    <w:rsid w:val="00F2457F"/>
    <w:rsid w:val="00F25417"/>
    <w:rsid w:val="00F27137"/>
    <w:rsid w:val="00F315C4"/>
    <w:rsid w:val="00F34AF3"/>
    <w:rsid w:val="00F35B52"/>
    <w:rsid w:val="00F3654E"/>
    <w:rsid w:val="00F37BCF"/>
    <w:rsid w:val="00F42059"/>
    <w:rsid w:val="00F424CC"/>
    <w:rsid w:val="00F5054D"/>
    <w:rsid w:val="00F506FE"/>
    <w:rsid w:val="00F55A53"/>
    <w:rsid w:val="00F62D9A"/>
    <w:rsid w:val="00F66214"/>
    <w:rsid w:val="00F67711"/>
    <w:rsid w:val="00F70677"/>
    <w:rsid w:val="00F73385"/>
    <w:rsid w:val="00F763D2"/>
    <w:rsid w:val="00F772BF"/>
    <w:rsid w:val="00F80A7A"/>
    <w:rsid w:val="00F8213A"/>
    <w:rsid w:val="00F8482A"/>
    <w:rsid w:val="00F93018"/>
    <w:rsid w:val="00FA0A11"/>
    <w:rsid w:val="00FA23D4"/>
    <w:rsid w:val="00FA27BC"/>
    <w:rsid w:val="00FA2BD1"/>
    <w:rsid w:val="00FA4857"/>
    <w:rsid w:val="00FB0DBE"/>
    <w:rsid w:val="00FB2B94"/>
    <w:rsid w:val="00FC63E0"/>
    <w:rsid w:val="00FD3ABC"/>
    <w:rsid w:val="00FD58D0"/>
    <w:rsid w:val="00FD5A20"/>
    <w:rsid w:val="00FD6516"/>
    <w:rsid w:val="00FE01B4"/>
    <w:rsid w:val="00FE1F8C"/>
    <w:rsid w:val="00FE23B9"/>
    <w:rsid w:val="00FE2FBE"/>
    <w:rsid w:val="00FE7DE5"/>
    <w:rsid w:val="00FF098F"/>
    <w:rsid w:val="00FF4929"/>
    <w:rsid w:val="00FF5450"/>
    <w:rsid w:val="00FF6CA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7501B18E-F6E5-490B-B5AD-77051526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BF"/>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BE3EBF"/>
    <w:pPr>
      <w:spacing w:after="0"/>
      <w:jc w:val="left"/>
    </w:pPr>
    <w:rPr>
      <w:rFonts w:ascii="Tahoma" w:eastAsia="Times New Roman" w:hAnsi="Tahoma" w:cs="Tahoma"/>
      <w:szCs w:val="16"/>
      <w:lang w:eastAsia="lv-LV"/>
    </w:rPr>
  </w:style>
  <w:style w:type="character" w:customStyle="1" w:styleId="BalloonTextChar">
    <w:name w:val="Balloon Text Char"/>
    <w:basedOn w:val="DefaultParagraphFont"/>
    <w:link w:val="BalloonText"/>
    <w:uiPriority w:val="99"/>
    <w:semiHidden/>
    <w:locked/>
    <w:rsid w:val="00BE3EBF"/>
    <w:rPr>
      <w:rFonts w:ascii="Tahoma" w:eastAsia="Times New Roman" w:hAnsi="Tahoma" w:cs="Tahoma"/>
      <w:szCs w:val="16"/>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basedOn w:val="Normal"/>
    <w:link w:val="ListParagraphChar"/>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 w:type="character" w:customStyle="1" w:styleId="ListParagraphChar">
    <w:name w:val="List Paragraph Char"/>
    <w:link w:val="ListParagraph"/>
    <w:uiPriority w:val="34"/>
    <w:locked/>
    <w:rsid w:val="0012446F"/>
    <w:rPr>
      <w:rFonts w:ascii="Times New Roman" w:eastAsia="Times New Roman" w:hAnsi="Times New Roman"/>
      <w:sz w:val="28"/>
      <w:szCs w:val="20"/>
      <w:lang w:eastAsia="en-US"/>
    </w:rPr>
  </w:style>
  <w:style w:type="paragraph" w:customStyle="1" w:styleId="tv2161">
    <w:name w:val="tv2161"/>
    <w:basedOn w:val="Normal"/>
    <w:rsid w:val="006E261E"/>
    <w:pPr>
      <w:spacing w:before="240" w:after="0" w:line="360" w:lineRule="auto"/>
      <w:ind w:firstLine="259"/>
      <w:jc w:val="right"/>
    </w:pPr>
    <w:rPr>
      <w:rFonts w:ascii="Verdana" w:eastAsia="Times New Roman"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03CB-3534-453E-BC16-3E584F32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3052</Words>
  <Characters>17397</Characters>
  <Application>Microsoft Office Word</Application>
  <DocSecurity>0</DocSecurity>
  <Lines>144</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Ministru kabineta noteikumu projektam „Grozījumi Ministru kabineta 2012.gada 13. novembra noteikumos Nr. 769 „Noteikumi par stacionāro tehnoloģisko iekārtu dalību Eiropas Savienības emisijas kvotu tirdzniecības sistēmā””</vt:lpstr>
      <vt:lpstr>Anotācija Ministru kabineta noteikumu projektam „Grozījumi Ministru kabineta 2012.gada 13. novembra noteikumos Nr. 769 „Noteikumi par stacionāro tehnoloģisko iekārtu dalību Eiropas Savienības emisijas kvotu tirdzniecības sistēmā””</vt:lpstr>
    </vt:vector>
  </TitlesOfParts>
  <Manager>Helena.Rimsa@varam.gov.lv</Manager>
  <Company>Vides aizsardzības un reģionālās attīstības ministrija</Company>
  <LinksUpToDate>false</LinksUpToDate>
  <CharactersWithSpaces>20409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„Grozījumi Ministru kabineta 2012.gada 13. novembra noteikumos Nr. 769 „Noteikumi par stacionāro tehnoloģisko iekārtu dalību Eiropas Savienības emisijas kvotu tirdzniecības sistēmā””</dc:title>
  <dc:subject>Anotācija Ministru kabineta noteikumu projektam</dc:subject>
  <dc:creator>Helena Rimsa</dc:creator>
  <dc:description>H.Rimša, 67026512, Helena.Rimsa@varam.gov.lv</dc:description>
  <cp:lastModifiedBy>Marta Ošleja</cp:lastModifiedBy>
  <cp:revision>13</cp:revision>
  <cp:lastPrinted>2016-02-11T13:52:00Z</cp:lastPrinted>
  <dcterms:created xsi:type="dcterms:W3CDTF">2018-01-23T09:31:00Z</dcterms:created>
  <dcterms:modified xsi:type="dcterms:W3CDTF">2018-02-14T12:38:00Z</dcterms:modified>
  <cp:category>Vides politika</cp:category>
</cp:coreProperties>
</file>