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0B7CDC" w:rsidRPr="000B7CDC" w:rsidP="00245738" w14:paraId="5AFB0ACA" w14:textId="77777777">
      <w:pPr>
        <w:pStyle w:val="Title"/>
      </w:pPr>
      <w:r w:rsidRPr="000B7CDC">
        <w:t>Ministru kabineta noteikumu projekta</w:t>
      </w:r>
    </w:p>
    <w:p w:rsidR="00DB2A9B" w:rsidRPr="00DB2A9B" w:rsidP="00D01BA1" w14:paraId="5AFB0ACB" w14:textId="77777777">
      <w:pPr>
        <w:jc w:val="center"/>
        <w:rPr>
          <w:szCs w:val="28"/>
        </w:rPr>
      </w:pPr>
      <w:r w:rsidRPr="00DB2A9B">
        <w:rPr>
          <w:b/>
          <w:bCs/>
          <w:szCs w:val="28"/>
        </w:rPr>
        <w:t>“Grozījumi Ministru kabineta 2014.</w:t>
      </w:r>
      <w:r w:rsidR="00245738">
        <w:rPr>
          <w:b/>
          <w:bCs/>
          <w:szCs w:val="28"/>
        </w:rPr>
        <w:t> </w:t>
      </w:r>
      <w:r w:rsidRPr="00DB2A9B">
        <w:rPr>
          <w:b/>
          <w:bCs/>
          <w:szCs w:val="28"/>
        </w:rPr>
        <w:t>gada 9.</w:t>
      </w:r>
      <w:r w:rsidR="00245738">
        <w:rPr>
          <w:b/>
          <w:bCs/>
          <w:szCs w:val="28"/>
        </w:rPr>
        <w:t> </w:t>
      </w:r>
      <w:r w:rsidRPr="00DB2A9B">
        <w:rPr>
          <w:b/>
          <w:bCs/>
          <w:szCs w:val="28"/>
        </w:rPr>
        <w:t>decembra  noteikumos Nr.</w:t>
      </w:r>
      <w:r w:rsidR="00245738">
        <w:rPr>
          <w:b/>
          <w:bCs/>
          <w:szCs w:val="28"/>
        </w:rPr>
        <w:t> </w:t>
      </w:r>
      <w:r w:rsidRPr="00DB2A9B">
        <w:rPr>
          <w:b/>
          <w:bCs/>
          <w:szCs w:val="28"/>
        </w:rPr>
        <w:t>752</w:t>
      </w:r>
      <w:r w:rsidRPr="00DB2A9B">
        <w:rPr>
          <w:szCs w:val="28"/>
        </w:rPr>
        <w:t xml:space="preserve"> </w:t>
      </w:r>
      <w:r w:rsidRPr="00DB2A9B">
        <w:rPr>
          <w:b/>
          <w:szCs w:val="28"/>
        </w:rPr>
        <w:t>“Prasības lietotu elektrisko un elektronisko iekārtu sūtījumu pārbaudei, par kuriem pastāv aizdomas, ka tiek sūtīti elektrisko un elektronisko iekārtu atkritumi”</w:t>
      </w:r>
    </w:p>
    <w:p w:rsidR="000B7CDC" w:rsidP="00245738" w14:paraId="5AFB0ACC" w14:textId="77777777">
      <w:pPr>
        <w:jc w:val="center"/>
        <w:rPr>
          <w:b/>
        </w:rPr>
      </w:pPr>
      <w:r w:rsidRPr="000B7CDC">
        <w:rPr>
          <w:b/>
        </w:rPr>
        <w:t xml:space="preserve">sākotnējās ietekmes novērtējuma </w:t>
      </w:r>
      <w:smartTag w:uri="schemas-tilde-lv/tildestengine" w:element="veidnes">
        <w:smartTagPr>
          <w:attr w:name="baseform" w:val="ziņojums"/>
          <w:attr w:name="id" w:val="-1"/>
          <w:attr w:name="text" w:val="ziņojums"/>
        </w:smartTagPr>
        <w:r w:rsidRPr="000B7CDC">
          <w:rPr>
            <w:b/>
          </w:rPr>
          <w:t>ziņojums</w:t>
        </w:r>
      </w:smartTag>
      <w:r w:rsidRPr="000B7CDC">
        <w:rPr>
          <w:b/>
        </w:rPr>
        <w:t xml:space="preserve"> (anotācija)</w:t>
      </w:r>
    </w:p>
    <w:p w:rsidR="00245738" w:rsidP="000B7CDC" w14:paraId="5AFB0ACD" w14:textId="7777777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7"/>
        <w:gridCol w:w="6485"/>
      </w:tblGrid>
      <w:tr w14:paraId="5AFB0ACF" w14:textId="2552F64B" w:rsidTr="00936E4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287" w:type="dxa"/>
            <w:gridSpan w:val="3"/>
            <w:shd w:val="clear" w:color="auto" w:fill="auto"/>
          </w:tcPr>
          <w:p w:rsidR="00245738" w:rsidRPr="00936E4C" w:rsidP="00936E4C" w14:paraId="5AFB0ACE" w14:textId="77777777">
            <w:pPr>
              <w:jc w:val="center"/>
              <w:rPr>
                <w:b/>
              </w:rPr>
            </w:pPr>
            <w:r w:rsidRPr="00936E4C">
              <w:rPr>
                <w:b/>
              </w:rPr>
              <w:t>I. Tiesību akta projekta izstrādes nepieciešamība</w:t>
            </w:r>
          </w:p>
        </w:tc>
      </w:tr>
      <w:tr w14:paraId="5AFB0AD5" w14:textId="194CF498" w:rsidTr="00936E4C">
        <w:tblPrEx>
          <w:tblW w:w="0" w:type="auto"/>
          <w:tblLook w:val="04A0"/>
        </w:tblPrEx>
        <w:tc>
          <w:tcPr>
            <w:tcW w:w="675" w:type="dxa"/>
            <w:shd w:val="clear" w:color="auto" w:fill="auto"/>
          </w:tcPr>
          <w:p w:rsidR="00245738" w:rsidRPr="00245738" w:rsidP="00936E4C" w14:paraId="5AFB0AD0" w14:textId="77777777">
            <w:pPr>
              <w:jc w:val="center"/>
            </w:pPr>
            <w:r w:rsidRPr="00245738">
              <w:t>1.</w:t>
            </w:r>
          </w:p>
        </w:tc>
        <w:tc>
          <w:tcPr>
            <w:tcW w:w="2127" w:type="dxa"/>
            <w:shd w:val="clear" w:color="auto" w:fill="auto"/>
          </w:tcPr>
          <w:p w:rsidR="00245738" w:rsidP="00245738" w14:paraId="5AFB0AD1" w14:textId="77777777">
            <w:r w:rsidRPr="000B7CDC">
              <w:t>Pamatojums</w:t>
            </w:r>
          </w:p>
          <w:p w:rsidR="00245738" w:rsidRPr="00936E4C" w:rsidP="00936E4C" w14:paraId="5AFB0AD2" w14:textId="77777777">
            <w:pPr>
              <w:jc w:val="center"/>
              <w:rPr>
                <w:b/>
              </w:rPr>
            </w:pPr>
          </w:p>
        </w:tc>
        <w:tc>
          <w:tcPr>
            <w:tcW w:w="6485" w:type="dxa"/>
            <w:shd w:val="clear" w:color="auto" w:fill="auto"/>
          </w:tcPr>
          <w:p w:rsidR="00245738" w:rsidP="00936E4C" w14:paraId="5AFB0AD3" w14:textId="77777777">
            <w:pPr>
              <w:pStyle w:val="ListParagraph"/>
              <w:ind w:left="0"/>
              <w:jc w:val="both"/>
            </w:pPr>
            <w:r>
              <w:t xml:space="preserve">1) </w:t>
            </w:r>
            <w:r w:rsidRPr="00CF16AA">
              <w:t xml:space="preserve">Atkritumu apsaimniekošanas likuma </w:t>
            </w:r>
            <w:r w:rsidRPr="00936E4C">
              <w:rPr>
                <w:szCs w:val="28"/>
              </w:rPr>
              <w:t>42. panta 8.</w:t>
            </w:r>
            <w:r w:rsidRPr="00936E4C">
              <w:rPr>
                <w:szCs w:val="28"/>
                <w:vertAlign w:val="superscript"/>
              </w:rPr>
              <w:t>2</w:t>
            </w:r>
            <w:r w:rsidRPr="00936E4C">
              <w:rPr>
                <w:szCs w:val="28"/>
              </w:rPr>
              <w:t xml:space="preserve"> daļa</w:t>
            </w:r>
            <w:r w:rsidRPr="00936E4C" w:rsidR="00CD1260">
              <w:rPr>
                <w:szCs w:val="28"/>
              </w:rPr>
              <w:t>;</w:t>
            </w:r>
          </w:p>
          <w:p w:rsidR="00245738" w:rsidRPr="00936E4C" w:rsidP="00936E4C" w14:paraId="5AFB0AD4" w14:textId="77777777">
            <w:pPr>
              <w:jc w:val="both"/>
              <w:rPr>
                <w:b/>
              </w:rPr>
            </w:pPr>
            <w:r>
              <w:t xml:space="preserve">2) </w:t>
            </w:r>
            <w:r w:rsidRPr="00CF16AA">
              <w:t xml:space="preserve">Latvija </w:t>
            </w:r>
            <w:r>
              <w:t>“</w:t>
            </w:r>
            <w:r w:rsidRPr="00CF16AA">
              <w:t>EU Pilot</w:t>
            </w:r>
            <w:r>
              <w:t>”</w:t>
            </w:r>
            <w:r w:rsidRPr="00CF16AA">
              <w:t xml:space="preserve"> sistēmā ir saņēmusi Eiropas Komisijas pieprasījumu sniegt informāciju par Eiropas Parlamenta un Padomes</w:t>
            </w:r>
            <w:r w:rsidRPr="00936E4C">
              <w:rPr>
                <w:b/>
              </w:rPr>
              <w:t xml:space="preserve"> </w:t>
            </w:r>
            <w:r w:rsidRPr="00CF16AA">
              <w:t>2012. gada 4.</w:t>
            </w:r>
            <w:r>
              <w:t> </w:t>
            </w:r>
            <w:r w:rsidRPr="00CF16AA">
              <w:t>jūlija Direktīvas 2012/19/ES par elektrisko un elektronisko iekārtu atkritumiem (turpmāk – Direktīva</w:t>
            </w:r>
            <w:r>
              <w:t xml:space="preserve"> 2012/19/ES</w:t>
            </w:r>
            <w:r w:rsidRPr="00CF16AA">
              <w:t>)</w:t>
            </w:r>
            <w:r w:rsidRPr="00936E4C">
              <w:rPr>
                <w:b/>
              </w:rPr>
              <w:t xml:space="preserve"> </w:t>
            </w:r>
            <w:r w:rsidRPr="00CF16AA">
              <w:t>prasību transponēšanu Latvijas normatīvajos aktos.</w:t>
            </w:r>
          </w:p>
        </w:tc>
      </w:tr>
      <w:tr w14:paraId="5AFB0AE2" w14:textId="03EA9214" w:rsidTr="00936E4C">
        <w:tblPrEx>
          <w:tblW w:w="0" w:type="auto"/>
          <w:tblLook w:val="04A0"/>
        </w:tblPrEx>
        <w:tc>
          <w:tcPr>
            <w:tcW w:w="675" w:type="dxa"/>
            <w:shd w:val="clear" w:color="auto" w:fill="auto"/>
          </w:tcPr>
          <w:p w:rsidR="00245738" w:rsidRPr="00245738" w:rsidP="00936E4C" w14:paraId="5AFB0AD6" w14:textId="77777777">
            <w:pPr>
              <w:jc w:val="center"/>
            </w:pPr>
            <w:r w:rsidRPr="00245738">
              <w:t>2.</w:t>
            </w:r>
          </w:p>
        </w:tc>
        <w:tc>
          <w:tcPr>
            <w:tcW w:w="2127" w:type="dxa"/>
            <w:shd w:val="clear" w:color="auto" w:fill="auto"/>
          </w:tcPr>
          <w:p w:rsidR="00245738" w:rsidP="00245738" w14:paraId="5AFB0AD7" w14:textId="77777777">
            <w:r w:rsidRPr="00FB41DC">
              <w:t>Pašreizējā situācija un problēmas</w:t>
            </w:r>
            <w:r>
              <w:t>, kuru risināšanai tiesību aktu projekts izstrādāts, tiesiskā regulējuma mērķis un būtība</w:t>
            </w:r>
          </w:p>
          <w:p w:rsidR="00245738" w:rsidRPr="00936E4C" w:rsidP="00936E4C" w14:paraId="5AFB0AD8" w14:textId="77777777">
            <w:pPr>
              <w:jc w:val="center"/>
              <w:rPr>
                <w:b/>
              </w:rPr>
            </w:pPr>
          </w:p>
        </w:tc>
        <w:tc>
          <w:tcPr>
            <w:tcW w:w="6485" w:type="dxa"/>
            <w:shd w:val="clear" w:color="auto" w:fill="auto"/>
          </w:tcPr>
          <w:p w:rsidR="00245738" w:rsidP="00936E4C" w14:paraId="5AFB0AD9" w14:textId="77777777">
            <w:pPr>
              <w:pStyle w:val="tv213"/>
              <w:spacing w:before="0" w:beforeAutospacing="0" w:after="0" w:afterAutospacing="0"/>
              <w:jc w:val="both"/>
            </w:pPr>
            <w:r>
              <w:t>Ministru kabineta 2014.</w:t>
            </w:r>
            <w:r w:rsidR="00CD1260">
              <w:t> </w:t>
            </w:r>
            <w:r>
              <w:t>gada 9.</w:t>
            </w:r>
            <w:r w:rsidR="00CD1260">
              <w:t> </w:t>
            </w:r>
            <w:r>
              <w:t>decembra noteikumi Nr.</w:t>
            </w:r>
            <w:r w:rsidR="00CD1260">
              <w:t> </w:t>
            </w:r>
            <w:r>
              <w:t>752 “</w:t>
            </w:r>
            <w:r w:rsidRPr="00936E4C">
              <w:rPr>
                <w:szCs w:val="28"/>
              </w:rPr>
              <w:t>Prasības lietotu elektrisko un elektronisko iekārtu sūtījumu pārbaudei, par kuriem pastāv aizdomas, ka tiek sūtīti elektrisko un elektronisko iekārtu atkritumi” (turpmāk – noteikumi Nr.</w:t>
            </w:r>
            <w:r w:rsidRPr="00936E4C" w:rsidR="00CD1260">
              <w:rPr>
                <w:szCs w:val="28"/>
              </w:rPr>
              <w:t> </w:t>
            </w:r>
            <w:r w:rsidRPr="00936E4C">
              <w:rPr>
                <w:szCs w:val="28"/>
              </w:rPr>
              <w:t>752) nosaka p</w:t>
            </w:r>
            <w:r>
              <w:t>rasības tādu lietotu elektrisko un elektronisko iekārtu (turpmāk – iekārtas) sūtījumu pārbaudei, par kuriem pastāv aizdomas, ka tiek sūtīti iekārtu atkritumi. Noteikumu Nr.</w:t>
            </w:r>
            <w:r w:rsidR="00CD1260">
              <w:t> </w:t>
            </w:r>
            <w:r>
              <w:t>752 anotācijas I sadaļas 2.</w:t>
            </w:r>
            <w:r w:rsidR="00CD1260">
              <w:t> </w:t>
            </w:r>
            <w:r>
              <w:t>punktā</w:t>
            </w:r>
            <w:r>
              <w:rPr>
                <w:rStyle w:val="FootnoteReference"/>
              </w:rPr>
              <w:footnoteReference w:id="3"/>
            </w:r>
            <w:r>
              <w:t xml:space="preserve"> ir sniegta detāla informācija par pastāvošo normatīvo regulējumu tādu iekārtu sūtījumiem, par kuriem pastāv aizdomas, ka tiek sūtīti iekārtu atkritumi. </w:t>
            </w:r>
          </w:p>
          <w:p w:rsidR="00245738" w:rsidP="00936E4C" w14:paraId="5AFB0ADA" w14:textId="77777777">
            <w:pPr>
              <w:pStyle w:val="tv213"/>
              <w:spacing w:before="0" w:beforeAutospacing="0" w:after="0" w:afterAutospacing="0"/>
              <w:jc w:val="both"/>
            </w:pPr>
            <w:r>
              <w:t>Tomēr ir konstatēts, ka Latvijas normatīvajos aktos nav pilnībā transponētas atsevišķas Direktīvas 2012/19/ES prasības. Lai nodrošinātu šo prasību pilnīgu transponēšanu, ir nepieciešams izdarīt grozījumus noteikumos Nr.</w:t>
            </w:r>
            <w:r w:rsidR="00CD1260">
              <w:t> </w:t>
            </w:r>
            <w:r>
              <w:t xml:space="preserve">752. </w:t>
            </w:r>
            <w:r w:rsidRPr="00E6554D">
              <w:t xml:space="preserve">Ministru kabineta noteikumu projekta </w:t>
            </w:r>
            <w:r w:rsidRPr="00936E4C">
              <w:rPr>
                <w:bCs/>
                <w:szCs w:val="28"/>
              </w:rPr>
              <w:t>“Grozījumi Ministru kabineta 2014.</w:t>
            </w:r>
            <w:r w:rsidRPr="00936E4C" w:rsidR="00CD1260">
              <w:rPr>
                <w:bCs/>
                <w:szCs w:val="28"/>
              </w:rPr>
              <w:t> </w:t>
            </w:r>
            <w:r w:rsidRPr="00936E4C">
              <w:rPr>
                <w:bCs/>
                <w:szCs w:val="28"/>
              </w:rPr>
              <w:t>gada 9.decembra  noteikumos Nr.</w:t>
            </w:r>
            <w:r w:rsidRPr="00936E4C" w:rsidR="00CD1260">
              <w:rPr>
                <w:bCs/>
                <w:szCs w:val="28"/>
              </w:rPr>
              <w:t> </w:t>
            </w:r>
            <w:r w:rsidRPr="00936E4C">
              <w:rPr>
                <w:bCs/>
                <w:szCs w:val="28"/>
              </w:rPr>
              <w:t>752</w:t>
            </w:r>
            <w:r w:rsidRPr="00936E4C">
              <w:rPr>
                <w:szCs w:val="28"/>
              </w:rPr>
              <w:t xml:space="preserve"> “Prasības lietotu elektrisko un elektronisko iekārtu sūtījumu pārbaudei, par kuriem pastāv aizdomas, ka tiek sūtīti elektrisko un elektronisko iekārtu atkritumi”</w:t>
            </w:r>
            <w:r w:rsidRPr="00936E4C">
              <w:rPr>
                <w:b/>
                <w:szCs w:val="28"/>
              </w:rPr>
              <w:t xml:space="preserve"> </w:t>
            </w:r>
            <w:r w:rsidRPr="00936E4C">
              <w:rPr>
                <w:szCs w:val="28"/>
              </w:rPr>
              <w:t>(turpmāk – noteikumu projekts)</w:t>
            </w:r>
            <w:r w:rsidRPr="00936E4C">
              <w:rPr>
                <w:b/>
                <w:szCs w:val="28"/>
              </w:rPr>
              <w:t xml:space="preserve"> </w:t>
            </w:r>
            <w:r>
              <w:t xml:space="preserve">ietvertā </w:t>
            </w:r>
            <w:r w:rsidRPr="00A55A05">
              <w:t>tiesiskā regulējuma mērķis un būtība:</w:t>
            </w:r>
          </w:p>
          <w:p w:rsidR="00245738" w:rsidP="00936E4C" w14:paraId="5AFB0ADB" w14:textId="77777777">
            <w:pPr>
              <w:pStyle w:val="tv213"/>
              <w:numPr>
                <w:ilvl w:val="0"/>
                <w:numId w:val="5"/>
              </w:numPr>
              <w:spacing w:before="0" w:beforeAutospacing="0" w:after="0" w:afterAutospacing="0"/>
              <w:jc w:val="both"/>
            </w:pPr>
            <w:r>
              <w:t>Noteikumus Nr.</w:t>
            </w:r>
            <w:r w:rsidR="00CD1260">
              <w:t> </w:t>
            </w:r>
            <w:r>
              <w:t>752 ir nepieciešams papildināt ar prasību, ka lietoto iekārtu funkcionalitātes pārbaude atkarībā no iekārtas veida un lietoto iekārtu novērtēšana, vai tās satur bīstamas vielas, ir veikta katram attiecīgajā sūtījumā ietilpstošajam priekšmetam;</w:t>
            </w:r>
          </w:p>
          <w:p w:rsidR="00245738" w:rsidP="00936E4C" w14:paraId="5AFB0ADC" w14:textId="77777777">
            <w:pPr>
              <w:numPr>
                <w:ilvl w:val="0"/>
                <w:numId w:val="5"/>
              </w:numPr>
              <w:jc w:val="both"/>
            </w:pPr>
            <w:r w:rsidRPr="00245738">
              <w:t>Noteikumus Nr.</w:t>
            </w:r>
            <w:r w:rsidR="00CD1260">
              <w:t> </w:t>
            </w:r>
            <w:r w:rsidRPr="00245738">
              <w:t>752 ir nepieciešams papildināt ar prasību, ka persona, kura ir atbildīga pa</w:t>
            </w:r>
            <w:r w:rsidR="00B82949">
              <w:t>r sūtījumu, piemēram,</w:t>
            </w:r>
            <w:r w:rsidRPr="00245738">
              <w:t xml:space="preserve"> katram atkritumu sūtījumam pievieno deklarāciju par nosūtītāja atbildību par sūtījumu.</w:t>
            </w:r>
          </w:p>
          <w:p w:rsidR="0090690B" w:rsidP="0090690B" w14:paraId="5AFB0ADD" w14:textId="77777777">
            <w:pPr>
              <w:jc w:val="both"/>
            </w:pPr>
          </w:p>
          <w:p w:rsidR="00245738" w:rsidRPr="00150A24" w:rsidP="0090690B" w14:paraId="5AFB0ADE" w14:textId="74399A8F">
            <w:pPr>
              <w:jc w:val="both"/>
            </w:pPr>
            <w:r w:rsidRPr="00150A24">
              <w:t>Eiropas Komisija</w:t>
            </w:r>
            <w:r w:rsidRPr="00150A24" w:rsidR="00550DF0">
              <w:t xml:space="preserve"> </w:t>
            </w:r>
            <w:r w:rsidRPr="00150A24" w:rsidR="00D25D35">
              <w:t>dokumenta</w:t>
            </w:r>
            <w:r w:rsidRPr="00150A24" w:rsidR="00550DF0">
              <w:t xml:space="preserve"> “Bieži uzdotie jautājumi par </w:t>
            </w:r>
            <w:r w:rsidRPr="00150A24" w:rsidR="00550DF0">
              <w:t>Direktī</w:t>
            </w:r>
            <w:r w:rsidRPr="00150A24" w:rsidR="00BF2896">
              <w:t>vu 2012/19/ES par elektrisko un</w:t>
            </w:r>
            <w:r w:rsidRPr="00150A24" w:rsidR="00550DF0">
              <w:t xml:space="preserve"> elektronisko iekārtu atkritumiem”</w:t>
            </w:r>
            <w:r>
              <w:rPr>
                <w:rStyle w:val="FootnoteReference"/>
              </w:rPr>
              <w:footnoteReference w:id="4"/>
            </w:r>
            <w:r w:rsidRPr="00150A24">
              <w:t xml:space="preserve"> </w:t>
            </w:r>
            <w:r w:rsidRPr="00150A24" w:rsidR="00D25D35">
              <w:t>11.6.</w:t>
            </w:r>
            <w:r w:rsidR="003241D8">
              <w:t> </w:t>
            </w:r>
            <w:r w:rsidRPr="00150A24" w:rsidR="00D25D35">
              <w:t xml:space="preserve">apakšpunktā </w:t>
            </w:r>
            <w:r w:rsidRPr="00150A24">
              <w:t>ir skaidrojusi jēdzienu “par ie</w:t>
            </w:r>
            <w:r w:rsidRPr="00150A24" w:rsidR="00D25D35">
              <w:t>kārtu sūtījumu atbildīgā persona”</w:t>
            </w:r>
            <w:r w:rsidRPr="00150A24">
              <w:t>. Minētajā skaidrojumā Eiropas Komisija ir norādījusi, ka Direktīvas VI pielikuma 4.</w:t>
            </w:r>
            <w:r w:rsidR="003241D8">
              <w:t xml:space="preserve"> punkta </w:t>
            </w:r>
            <w:r w:rsidRPr="00150A24">
              <w:t xml:space="preserve">(b) </w:t>
            </w:r>
            <w:r w:rsidR="003241D8">
              <w:t>apakš</w:t>
            </w:r>
            <w:r w:rsidRPr="00150A24">
              <w:t>punktā minētās atbildīgās personas deklarācijas par tās atbildību mērķis ir identificēt fizisko vai juridisko personu, kura uzņemas atbildību par sūtījumu attiecībā uz Direktīvas VI pielikuma prasībām. Atbildīgā persona ir persona, kura organizē iekārtu sūtījumu. Deklarāciju var veikt, piemēram, pievienojot attiecīgu tekstu deklarācija</w:t>
            </w:r>
            <w:r w:rsidRPr="00150A24" w:rsidR="00D25D35">
              <w:t>i</w:t>
            </w:r>
            <w:r w:rsidRPr="00150A24">
              <w:t>, kura tiek pieprasīta atbils</w:t>
            </w:r>
            <w:r w:rsidRPr="00150A24" w:rsidR="00D25D35">
              <w:t>toši VI pielikuma 1.</w:t>
            </w:r>
            <w:r w:rsidR="003241D8">
              <w:t xml:space="preserve"> punkta </w:t>
            </w:r>
            <w:r w:rsidRPr="00150A24" w:rsidR="00D25D35">
              <w:t>(c)</w:t>
            </w:r>
            <w:r w:rsidR="003241D8">
              <w:t xml:space="preserve"> apakš</w:t>
            </w:r>
            <w:r w:rsidRPr="00150A24" w:rsidR="00D25D35">
              <w:t>punktam (transponēts noteikumu Nr.752 2.4.</w:t>
            </w:r>
            <w:r w:rsidR="003241D8">
              <w:t> </w:t>
            </w:r>
            <w:r w:rsidRPr="00150A24" w:rsidR="00D25D35">
              <w:t xml:space="preserve">apakšpunktā). </w:t>
            </w:r>
          </w:p>
          <w:p w:rsidR="00917821" w:rsidRPr="00150A24" w:rsidP="00917821" w14:paraId="5AFB0ADF" w14:textId="77777777">
            <w:pPr>
              <w:jc w:val="both"/>
            </w:pPr>
            <w:r w:rsidRPr="00150A24">
              <w:t xml:space="preserve">Noteikumos Nr.752 jau šobrīd ir lietoti jēdzieni “iekārtu valdītājs (kurš organizē iekārtu sūtījumu)” un “par sūtījumu atbildīgais iekārtu valdītājs”. </w:t>
            </w:r>
          </w:p>
          <w:p w:rsidR="00917821" w:rsidRPr="00150A24" w:rsidP="00917821" w14:paraId="5AFB0AE0" w14:textId="3DEC0B56">
            <w:pPr>
              <w:jc w:val="both"/>
              <w:rPr>
                <w:rFonts w:ascii="Arial" w:hAnsi="Arial" w:cs="Arial"/>
                <w:sz w:val="28"/>
                <w:szCs w:val="28"/>
              </w:rPr>
            </w:pPr>
            <w:r w:rsidRPr="00150A24">
              <w:t>Eiropas Komisija dokumenta “Bieži uzdotie jautājumi par Direktīvu 2012/19/ES par elektrisko un elektronisko iekārtu atkritumiem” 11.1.</w:t>
            </w:r>
            <w:r w:rsidR="003241D8">
              <w:t> </w:t>
            </w:r>
            <w:r w:rsidRPr="00150A24">
              <w:t>punktā ir skaidrojusi, ka iekārtu turētājs ne vienmēr ir iekārtu juridiskais īpašnieks. Direktīvas VI pielikuma 1.</w:t>
            </w:r>
            <w:r w:rsidR="003241D8">
              <w:t> </w:t>
            </w:r>
            <w:r w:rsidRPr="00150A24">
              <w:t>punktā ir ietverta atsauce uz objekta valdītāju, kurš ir nodomājis sūtīt vai sūta lietotas iekārtas. VI pielikuma 1.</w:t>
            </w:r>
            <w:r w:rsidR="003241D8">
              <w:t xml:space="preserve"> punkta </w:t>
            </w:r>
            <w:r w:rsidRPr="00150A24">
              <w:t>(c)</w:t>
            </w:r>
            <w:r w:rsidR="003241D8">
              <w:t> apakšpunkts</w:t>
            </w:r>
            <w:r w:rsidRPr="00150A24">
              <w:t xml:space="preserve"> un 5.</w:t>
            </w:r>
            <w:r w:rsidR="003241D8">
              <w:t> </w:t>
            </w:r>
            <w:r w:rsidRPr="00150A24">
              <w:t>punkts ietver atsauces uz valdītāju, kurš organizē transportu. “Objekta valdītājs” ir fiziska vai juridiska persona, kuras valdījumā tieši vai netieši atrodas lietotas iekārtas, bet kura ne vienmēr ir to juridiskā īpašniece.</w:t>
            </w:r>
          </w:p>
          <w:p w:rsidR="00917821" w:rsidRPr="00245738" w:rsidP="0090690B" w14:paraId="5AFB0AE1" w14:textId="77777777">
            <w:pPr>
              <w:jc w:val="both"/>
            </w:pPr>
          </w:p>
        </w:tc>
      </w:tr>
      <w:tr w14:paraId="5AFB0AE6" w14:textId="5BD46FD8" w:rsidTr="00936E4C">
        <w:tblPrEx>
          <w:tblW w:w="0" w:type="auto"/>
          <w:tblLook w:val="04A0"/>
        </w:tblPrEx>
        <w:tc>
          <w:tcPr>
            <w:tcW w:w="675" w:type="dxa"/>
            <w:shd w:val="clear" w:color="auto" w:fill="auto"/>
          </w:tcPr>
          <w:p w:rsidR="00245738" w:rsidRPr="00245738" w:rsidP="00936E4C" w14:paraId="5AFB0AE3" w14:textId="77777777">
            <w:pPr>
              <w:jc w:val="center"/>
            </w:pPr>
            <w:r w:rsidRPr="00245738">
              <w:t>3.</w:t>
            </w:r>
          </w:p>
        </w:tc>
        <w:tc>
          <w:tcPr>
            <w:tcW w:w="2127" w:type="dxa"/>
            <w:shd w:val="clear" w:color="auto" w:fill="auto"/>
          </w:tcPr>
          <w:p w:rsidR="00245738" w:rsidRPr="00936E4C" w:rsidP="00984AFF" w14:paraId="5AFB0AE4" w14:textId="59737799">
            <w:pPr>
              <w:rPr>
                <w:b/>
              </w:rPr>
            </w:pPr>
            <w:r>
              <w:t>Projekta iz</w:t>
            </w:r>
            <w:r w:rsidR="00984AFF">
              <w:t>strādē iesaistītās institūcijas</w:t>
            </w:r>
            <w:bookmarkStart w:id="0" w:name="_GoBack"/>
            <w:bookmarkEnd w:id="0"/>
          </w:p>
        </w:tc>
        <w:tc>
          <w:tcPr>
            <w:tcW w:w="6485" w:type="dxa"/>
            <w:shd w:val="clear" w:color="auto" w:fill="auto"/>
          </w:tcPr>
          <w:p w:rsidR="00245738" w:rsidRPr="00936E4C" w:rsidP="00245738" w14:paraId="5AFB0AE5" w14:textId="51920677">
            <w:pPr>
              <w:rPr>
                <w:b/>
              </w:rPr>
            </w:pPr>
            <w:r>
              <w:t xml:space="preserve">Vides aizsardzības un reģionālās attīstības ministrija (turpmāk – </w:t>
            </w:r>
            <w:r w:rsidR="00452ABA">
              <w:t>VARAM</w:t>
            </w:r>
            <w:r>
              <w:t>)</w:t>
            </w:r>
            <w:r w:rsidRPr="000B7CDC" w:rsidR="00452ABA">
              <w:t>.</w:t>
            </w:r>
          </w:p>
        </w:tc>
      </w:tr>
      <w:tr w14:paraId="5AFB0AEA" w14:textId="6A0EF113" w:rsidTr="00936E4C">
        <w:tblPrEx>
          <w:tblW w:w="0" w:type="auto"/>
          <w:tblLook w:val="04A0"/>
        </w:tblPrEx>
        <w:tc>
          <w:tcPr>
            <w:tcW w:w="675" w:type="dxa"/>
            <w:shd w:val="clear" w:color="auto" w:fill="auto"/>
          </w:tcPr>
          <w:p w:rsidR="00245738" w:rsidRPr="00245738" w:rsidP="00936E4C" w14:paraId="5AFB0AE7" w14:textId="77777777">
            <w:pPr>
              <w:jc w:val="center"/>
            </w:pPr>
            <w:r w:rsidRPr="00245738">
              <w:t>4.</w:t>
            </w:r>
          </w:p>
        </w:tc>
        <w:tc>
          <w:tcPr>
            <w:tcW w:w="2127" w:type="dxa"/>
            <w:shd w:val="clear" w:color="auto" w:fill="auto"/>
          </w:tcPr>
          <w:p w:rsidR="00245738" w:rsidRPr="00936E4C" w:rsidP="00245738" w14:paraId="5AFB0AE8" w14:textId="77777777">
            <w:pPr>
              <w:rPr>
                <w:b/>
              </w:rPr>
            </w:pPr>
            <w:r w:rsidRPr="000B7CDC">
              <w:t>Cita informācija</w:t>
            </w:r>
          </w:p>
        </w:tc>
        <w:tc>
          <w:tcPr>
            <w:tcW w:w="6485" w:type="dxa"/>
            <w:shd w:val="clear" w:color="auto" w:fill="auto"/>
          </w:tcPr>
          <w:p w:rsidR="00245738" w:rsidRPr="0090690B" w:rsidP="00245738" w14:paraId="5AFB0AE9" w14:textId="77777777">
            <w:r w:rsidRPr="000B7CDC">
              <w:t>Nav.</w:t>
            </w:r>
          </w:p>
        </w:tc>
      </w:tr>
    </w:tbl>
    <w:p w:rsidR="00245738" w:rsidP="000B7CDC" w14:paraId="5AFB0AEB" w14:textId="7777777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54"/>
        <w:gridCol w:w="6485"/>
      </w:tblGrid>
      <w:tr w14:paraId="5AFB0AED" w14:textId="4E5B9EB0" w:rsidTr="001132D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87" w:type="dxa"/>
            <w:gridSpan w:val="3"/>
          </w:tcPr>
          <w:p w:rsidR="000B7CDC" w:rsidRPr="000B7CDC" w:rsidP="001132D1" w14:paraId="5AFB0AEC" w14:textId="77777777">
            <w:pPr>
              <w:jc w:val="center"/>
              <w:rPr>
                <w:b/>
              </w:rPr>
            </w:pPr>
            <w:r w:rsidRPr="000B7CDC">
              <w:rPr>
                <w:b/>
              </w:rPr>
              <w:t>II. Tiesību akta projekta ietekme uz sabiedrību</w:t>
            </w:r>
          </w:p>
        </w:tc>
      </w:tr>
      <w:tr w14:paraId="5AFB0B07" w14:textId="57BD1838" w:rsidTr="001132D1">
        <w:tblPrEx>
          <w:tblW w:w="0" w:type="auto"/>
          <w:tblLook w:val="01E0"/>
        </w:tblPrEx>
        <w:tc>
          <w:tcPr>
            <w:tcW w:w="648" w:type="dxa"/>
          </w:tcPr>
          <w:p w:rsidR="000B7CDC" w:rsidRPr="000B7CDC" w:rsidP="001132D1" w14:paraId="5AFB0AEE" w14:textId="77777777">
            <w:pPr>
              <w:jc w:val="center"/>
            </w:pPr>
            <w:r w:rsidRPr="000B7CDC">
              <w:t>1.</w:t>
            </w:r>
          </w:p>
        </w:tc>
        <w:tc>
          <w:tcPr>
            <w:tcW w:w="2154" w:type="dxa"/>
          </w:tcPr>
          <w:p w:rsidR="000B7CDC" w:rsidRPr="000B7CDC" w:rsidP="001132D1" w14:paraId="5AFB0AEF" w14:textId="77777777">
            <w:r w:rsidRPr="000B7CDC">
              <w:t>Sabiedrības mērķgrupa</w:t>
            </w:r>
            <w:r w:rsidR="00820554">
              <w:t xml:space="preserve">s, kuras tiesiskais regulējums </w:t>
            </w:r>
            <w:r w:rsidRPr="000B7CDC">
              <w:t>ietekmē vai varētu ietekmēt</w:t>
            </w:r>
          </w:p>
        </w:tc>
        <w:tc>
          <w:tcPr>
            <w:tcW w:w="6485" w:type="dxa"/>
          </w:tcPr>
          <w:p w:rsidR="002373D0" w:rsidP="002373D0" w14:paraId="5AFB0AF0" w14:textId="77777777">
            <w:pPr>
              <w:jc w:val="both"/>
            </w:pPr>
            <w:r>
              <w:t>Sabiedrības mērķgrupas:</w:t>
            </w:r>
          </w:p>
          <w:p w:rsidR="002373D0" w:rsidP="002373D0" w14:paraId="5AFB0AF1" w14:textId="77777777">
            <w:pPr>
              <w:jc w:val="both"/>
            </w:pPr>
            <w:r>
              <w:t xml:space="preserve">- </w:t>
            </w:r>
            <w:r w:rsidRPr="00BC4698">
              <w:t>1199 elektrisko un elektronisko iekārtu ražotāji, kuri ir noslēguši līgumus ar videi kaitīgo preču atkritumu apsaimniekotājiem</w:t>
            </w:r>
            <w:r>
              <w:t>;</w:t>
            </w:r>
          </w:p>
          <w:p w:rsidR="002373D0" w:rsidP="002373D0" w14:paraId="5AFB0AF2" w14:textId="77777777">
            <w:pPr>
              <w:jc w:val="both"/>
            </w:pPr>
            <w:r>
              <w:t xml:space="preserve">- 6 videi kaitīgo preču atkritumu apsaimniekotāji, kam ir tiesības saviem līgumpartneriem piešķirt atbrīvojumu no dabas resursu nodokļa samaksas par videi kaitīgām precēm. </w:t>
            </w:r>
          </w:p>
          <w:p w:rsidR="002373D0" w:rsidP="002373D0" w14:paraId="5AFB0AF3" w14:textId="77777777">
            <w:pPr>
              <w:jc w:val="both"/>
            </w:pPr>
            <w:r>
              <w:t xml:space="preserve">- </w:t>
            </w:r>
            <w:r w:rsidRPr="000B7CDC">
              <w:t>137 komersanti, kuri nodarbojas ar iekārtu remontu.</w:t>
            </w:r>
          </w:p>
          <w:p w:rsidR="000B7CDC" w:rsidP="008645EE" w14:paraId="5AFB0AF4" w14:textId="77777777">
            <w:pPr>
              <w:jc w:val="both"/>
            </w:pPr>
            <w:r>
              <w:t xml:space="preserve">Laika posmā no </w:t>
            </w:r>
            <w:r w:rsidR="008645EE">
              <w:t>2014</w:t>
            </w:r>
            <w:r>
              <w:t>.</w:t>
            </w:r>
            <w:r w:rsidR="00CD1260">
              <w:t> </w:t>
            </w:r>
            <w:r>
              <w:t>gada l</w:t>
            </w:r>
            <w:r w:rsidR="008645EE">
              <w:t>īdz 2016</w:t>
            </w:r>
            <w:r>
              <w:t>.</w:t>
            </w:r>
            <w:r w:rsidR="00CD1260">
              <w:t> </w:t>
            </w:r>
            <w:r>
              <w:t>gadam</w:t>
            </w:r>
            <w:r w:rsidR="008645EE">
              <w:t xml:space="preserve"> Latvijā importētais un eksportētais iekārtu atkritumu daudzums: </w:t>
            </w:r>
            <w:r w:rsidRPr="000B7CD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2519"/>
              <w:gridCol w:w="2522"/>
            </w:tblGrid>
            <w:tr w14:paraId="5AFB0AF8" w14:textId="77777777" w:rsidTr="00435DF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dxa"/>
                  <w:shd w:val="clear" w:color="auto" w:fill="auto"/>
                </w:tcPr>
                <w:p w:rsidR="008645EE" w:rsidP="008645EE" w14:paraId="5AFB0AF5" w14:textId="77777777">
                  <w:r>
                    <w:t>Gads</w:t>
                  </w:r>
                </w:p>
              </w:tc>
              <w:tc>
                <w:tcPr>
                  <w:tcW w:w="3402" w:type="dxa"/>
                  <w:shd w:val="clear" w:color="auto" w:fill="auto"/>
                </w:tcPr>
                <w:p w:rsidR="008645EE" w:rsidP="008645EE" w14:paraId="5AFB0AF6" w14:textId="77777777">
                  <w:r>
                    <w:t>Importētais iekārtu atkritumu daudzums</w:t>
                  </w:r>
                  <w:r w:rsidR="00CB6BFC">
                    <w:t xml:space="preserve"> (tonnas)</w:t>
                  </w:r>
                </w:p>
              </w:tc>
              <w:tc>
                <w:tcPr>
                  <w:tcW w:w="3339" w:type="dxa"/>
                  <w:shd w:val="clear" w:color="auto" w:fill="auto"/>
                </w:tcPr>
                <w:p w:rsidR="008645EE" w:rsidP="008645EE" w14:paraId="5AFB0AF7" w14:textId="77777777">
                  <w:r>
                    <w:t>Eksportētais iekārtu atkritumu daudzums</w:t>
                  </w:r>
                  <w:r w:rsidR="00CB6BFC">
                    <w:t xml:space="preserve"> (tonnas)</w:t>
                  </w:r>
                </w:p>
              </w:tc>
            </w:tr>
            <w:tr w14:paraId="5AFB0AFC" w14:textId="77777777" w:rsidTr="00435DF2">
              <w:tblPrEx>
                <w:tblW w:w="0" w:type="auto"/>
                <w:tblLook w:val="04A0"/>
              </w:tblPrEx>
              <w:tc>
                <w:tcPr>
                  <w:tcW w:w="1555" w:type="dxa"/>
                  <w:shd w:val="clear" w:color="auto" w:fill="auto"/>
                </w:tcPr>
                <w:p w:rsidR="008645EE" w:rsidP="008645EE" w14:paraId="5AFB0AF9" w14:textId="77777777">
                  <w:r>
                    <w:t>2016</w:t>
                  </w:r>
                  <w:r w:rsidR="00CB6BFC">
                    <w:t>.</w:t>
                  </w:r>
                </w:p>
              </w:tc>
              <w:tc>
                <w:tcPr>
                  <w:tcW w:w="3402" w:type="dxa"/>
                  <w:shd w:val="clear" w:color="auto" w:fill="auto"/>
                </w:tcPr>
                <w:p w:rsidR="008645EE" w:rsidP="008645EE" w14:paraId="5AFB0AFA" w14:textId="77777777">
                  <w:r>
                    <w:t>423</w:t>
                  </w:r>
                </w:p>
              </w:tc>
              <w:tc>
                <w:tcPr>
                  <w:tcW w:w="3339" w:type="dxa"/>
                  <w:shd w:val="clear" w:color="auto" w:fill="auto"/>
                </w:tcPr>
                <w:p w:rsidR="008645EE" w:rsidP="008645EE" w14:paraId="5AFB0AFB" w14:textId="77777777">
                  <w:r>
                    <w:t>1273</w:t>
                  </w:r>
                </w:p>
              </w:tc>
            </w:tr>
            <w:tr w14:paraId="5AFB0B00" w14:textId="77777777" w:rsidTr="00435DF2">
              <w:tblPrEx>
                <w:tblW w:w="0" w:type="auto"/>
                <w:tblLook w:val="04A0"/>
              </w:tblPrEx>
              <w:tc>
                <w:tcPr>
                  <w:tcW w:w="1555" w:type="dxa"/>
                  <w:shd w:val="clear" w:color="auto" w:fill="auto"/>
                </w:tcPr>
                <w:p w:rsidR="008645EE" w:rsidP="008645EE" w14:paraId="5AFB0AFD" w14:textId="77777777">
                  <w:r>
                    <w:t>2015</w:t>
                  </w:r>
                  <w:r w:rsidR="00CB6BFC">
                    <w:t>.</w:t>
                  </w:r>
                </w:p>
              </w:tc>
              <w:tc>
                <w:tcPr>
                  <w:tcW w:w="3402" w:type="dxa"/>
                  <w:shd w:val="clear" w:color="auto" w:fill="auto"/>
                </w:tcPr>
                <w:p w:rsidR="008645EE" w:rsidP="008645EE" w14:paraId="5AFB0AFE" w14:textId="77777777">
                  <w:r>
                    <w:t>285</w:t>
                  </w:r>
                </w:p>
              </w:tc>
              <w:tc>
                <w:tcPr>
                  <w:tcW w:w="3339" w:type="dxa"/>
                  <w:shd w:val="clear" w:color="auto" w:fill="auto"/>
                </w:tcPr>
                <w:p w:rsidR="008645EE" w:rsidP="008645EE" w14:paraId="5AFB0AFF" w14:textId="77777777">
                  <w:r>
                    <w:t>1221</w:t>
                  </w:r>
                </w:p>
              </w:tc>
            </w:tr>
            <w:tr w14:paraId="5AFB0B04" w14:textId="77777777" w:rsidTr="00435DF2">
              <w:tblPrEx>
                <w:tblW w:w="0" w:type="auto"/>
                <w:tblLook w:val="04A0"/>
              </w:tblPrEx>
              <w:tc>
                <w:tcPr>
                  <w:tcW w:w="1555" w:type="dxa"/>
                  <w:shd w:val="clear" w:color="auto" w:fill="auto"/>
                </w:tcPr>
                <w:p w:rsidR="008645EE" w:rsidP="008645EE" w14:paraId="5AFB0B01" w14:textId="77777777">
                  <w:r>
                    <w:t>2014.</w:t>
                  </w:r>
                </w:p>
              </w:tc>
              <w:tc>
                <w:tcPr>
                  <w:tcW w:w="3402" w:type="dxa"/>
                  <w:shd w:val="clear" w:color="auto" w:fill="auto"/>
                </w:tcPr>
                <w:p w:rsidR="008645EE" w:rsidP="008645EE" w14:paraId="5AFB0B02" w14:textId="77777777">
                  <w:r>
                    <w:t>818</w:t>
                  </w:r>
                </w:p>
              </w:tc>
              <w:tc>
                <w:tcPr>
                  <w:tcW w:w="3339" w:type="dxa"/>
                  <w:shd w:val="clear" w:color="auto" w:fill="auto"/>
                </w:tcPr>
                <w:p w:rsidR="008645EE" w:rsidP="008645EE" w14:paraId="5AFB0B03" w14:textId="77777777">
                  <w:r>
                    <w:t>892</w:t>
                  </w:r>
                </w:p>
              </w:tc>
            </w:tr>
          </w:tbl>
          <w:p w:rsidR="008645EE" w:rsidRPr="00CB6BFC" w:rsidP="008645EE" w14:paraId="5AFB0B05" w14:textId="77777777">
            <w:pPr>
              <w:jc w:val="both"/>
              <w:rPr>
                <w:i/>
                <w:sz w:val="20"/>
              </w:rPr>
            </w:pPr>
            <w:r w:rsidRPr="00CB6BFC">
              <w:rPr>
                <w:i/>
                <w:sz w:val="20"/>
              </w:rPr>
              <w:t>Datu avots: VSIA “Latvijas Vides, ģeoloģ</w:t>
            </w:r>
            <w:r w:rsidRPr="00CB6BFC" w:rsidR="009E41D1">
              <w:rPr>
                <w:i/>
                <w:sz w:val="20"/>
              </w:rPr>
              <w:t>ijas un meteoroloģijas centrs”.</w:t>
            </w:r>
          </w:p>
          <w:p w:rsidR="009E41D1" w:rsidRPr="000B7CDC" w:rsidP="008645EE" w14:paraId="5AFB0B06" w14:textId="77777777">
            <w:pPr>
              <w:jc w:val="both"/>
            </w:pPr>
          </w:p>
        </w:tc>
      </w:tr>
      <w:tr w14:paraId="5AFB0B0D" w14:textId="23426046" w:rsidTr="001132D1">
        <w:tblPrEx>
          <w:tblW w:w="0" w:type="auto"/>
          <w:tblLook w:val="01E0"/>
        </w:tblPrEx>
        <w:tc>
          <w:tcPr>
            <w:tcW w:w="648" w:type="dxa"/>
            <w:shd w:val="clear" w:color="auto" w:fill="auto"/>
          </w:tcPr>
          <w:p w:rsidR="000B7CDC" w:rsidRPr="000B7CDC" w:rsidP="001132D1" w14:paraId="5AFB0B08" w14:textId="77777777">
            <w:pPr>
              <w:jc w:val="center"/>
              <w:rPr>
                <w:highlight w:val="yellow"/>
              </w:rPr>
            </w:pPr>
            <w:r w:rsidRPr="000B7CDC">
              <w:t>2.</w:t>
            </w:r>
          </w:p>
        </w:tc>
        <w:tc>
          <w:tcPr>
            <w:tcW w:w="2154" w:type="dxa"/>
            <w:shd w:val="clear" w:color="auto" w:fill="FFFFFF"/>
          </w:tcPr>
          <w:p w:rsidR="000B7CDC" w:rsidRPr="000669FF" w:rsidP="001132D1" w14:paraId="5AFB0B09" w14:textId="77777777">
            <w:r w:rsidRPr="000669FF">
              <w:t>Tiesiskā regulējuma ietekme uz tautsaimniecību un administratīvo slogu</w:t>
            </w:r>
          </w:p>
        </w:tc>
        <w:tc>
          <w:tcPr>
            <w:tcW w:w="6485" w:type="dxa"/>
            <w:shd w:val="clear" w:color="auto" w:fill="auto"/>
          </w:tcPr>
          <w:p w:rsidR="00C0270E" w:rsidRPr="000669FF" w:rsidP="00EB3A61" w14:paraId="5AFB0B0A" w14:textId="77D95779">
            <w:pPr>
              <w:pStyle w:val="tv213"/>
              <w:spacing w:before="0" w:beforeAutospacing="0" w:after="0" w:afterAutospacing="0"/>
              <w:jc w:val="both"/>
            </w:pPr>
            <w:r w:rsidRPr="000669FF">
              <w:t>Noteikumu projekta 1.</w:t>
            </w:r>
            <w:r w:rsidR="000669FF">
              <w:t> </w:t>
            </w:r>
            <w:r w:rsidRPr="000669FF">
              <w:t>punkts paredz, ka iekārtu valdītājs, kas ir paredzējis nosūtīt lietotas iekārtas vai nosūta lietotas iekārtas, iesniedz Valsts vides dienestā vai Valsts ieņēmumu dienesta Muitas pārvaldē tādu dokumentu kopijas</w:t>
            </w:r>
            <w:r w:rsidRPr="000669FF" w:rsidR="009E04C9">
              <w:t>, kas apliecina, ka ir veikta</w:t>
            </w:r>
            <w:r w:rsidRPr="000669FF">
              <w:t xml:space="preserve"> noteikumu</w:t>
            </w:r>
            <w:r w:rsidRPr="000669FF" w:rsidR="009E04C9">
              <w:t xml:space="preserve"> Nr.</w:t>
            </w:r>
            <w:r w:rsidR="000669FF">
              <w:t> </w:t>
            </w:r>
            <w:r w:rsidRPr="000669FF" w:rsidR="009E04C9">
              <w:t>752</w:t>
            </w:r>
            <w:r w:rsidRPr="000669FF">
              <w:t xml:space="preserve"> 5.1. ap</w:t>
            </w:r>
            <w:r w:rsidRPr="000669FF" w:rsidR="009E04C9">
              <w:t xml:space="preserve">akšpunktā minētā pārbaude vai </w:t>
            </w:r>
            <w:r w:rsidRPr="000669FF">
              <w:t xml:space="preserve"> 5.2. apakšpunktā minētā novērtēšana par katru sūtījumā iekļauto iekārtu. </w:t>
            </w:r>
          </w:p>
          <w:p w:rsidR="00C0270E" w:rsidRPr="000669FF" w:rsidP="00EB3A61" w14:paraId="5AFB0B0B" w14:textId="67FDC33A">
            <w:pPr>
              <w:pStyle w:val="tv213"/>
              <w:spacing w:before="0" w:beforeAutospacing="0" w:after="0" w:afterAutospacing="0"/>
              <w:jc w:val="both"/>
            </w:pPr>
            <w:r w:rsidRPr="000669FF">
              <w:t xml:space="preserve">Minētā grozījuma rezultātā palielināsies administratīvais slogs komersantiem, kuri ir paredzējuši nosūtīt lietotas iekārtas vai nosūta lietotas iekārtas, tā kā par katru sūtījumā iekļauto iekārtu būs nepieciešams iesniegt dokumentu, ka tai ir veiktas attiecīgās noteikumos paredzētās pārbaudes.    </w:t>
            </w:r>
          </w:p>
          <w:p w:rsidR="00EB3A61" w:rsidRPr="000669FF" w:rsidP="00EB3A61" w14:paraId="5AFB0B0C" w14:textId="0D377518">
            <w:pPr>
              <w:pStyle w:val="tv213"/>
              <w:spacing w:before="0" w:beforeAutospacing="0" w:after="0" w:afterAutospacing="0"/>
              <w:jc w:val="both"/>
            </w:pPr>
            <w:r w:rsidRPr="000669FF">
              <w:t>Noteikumu projekta prasību piemērošanas gadījumā varētu palielināties administratīvais slogs arī Valsts vides dienestam un Valsts ieņēmumu dienesta Muitas pārvaldei, tā kā šīm institūcijām varētu būt nepieciešams vairāk laika, lai pārbaudītu visus iesniegtos dokumentus. Vienlaikus jāatzīmē, ka kopš noteikumu Nr.</w:t>
            </w:r>
            <w:r w:rsidR="000669FF">
              <w:t> </w:t>
            </w:r>
            <w:r w:rsidRPr="000669FF">
              <w:t>752 spēkā stāšanās šīs minēto noteikumu normas nav praksē piemērotas, tāpēc nav pieejama informācija prognožu izdarīšanai par iespējamo pieprasījumu skaitu.</w:t>
            </w:r>
          </w:p>
        </w:tc>
      </w:tr>
      <w:tr w14:paraId="5AFB0B1D" w14:textId="2393D836" w:rsidTr="001132D1">
        <w:tblPrEx>
          <w:tblW w:w="0" w:type="auto"/>
          <w:tblLook w:val="01E0"/>
        </w:tblPrEx>
        <w:tc>
          <w:tcPr>
            <w:tcW w:w="648" w:type="dxa"/>
          </w:tcPr>
          <w:p w:rsidR="000B7CDC" w:rsidRPr="000B7CDC" w:rsidP="001132D1" w14:paraId="5AFB0B0E" w14:textId="77777777">
            <w:pPr>
              <w:jc w:val="center"/>
            </w:pPr>
            <w:r w:rsidRPr="000B7CDC">
              <w:t>3.</w:t>
            </w:r>
          </w:p>
        </w:tc>
        <w:tc>
          <w:tcPr>
            <w:tcW w:w="2154" w:type="dxa"/>
          </w:tcPr>
          <w:p w:rsidR="000B7CDC" w:rsidRPr="000B7CDC" w:rsidP="001132D1" w14:paraId="5AFB0B0F" w14:textId="77777777">
            <w:r w:rsidRPr="000B7CDC">
              <w:t>Administratīvo izmaksu monetārs novērtējums</w:t>
            </w:r>
          </w:p>
        </w:tc>
        <w:tc>
          <w:tcPr>
            <w:tcW w:w="6485" w:type="dxa"/>
          </w:tcPr>
          <w:p w:rsidR="009E04C9" w:rsidRPr="00150A24" w:rsidP="009E04C9" w14:paraId="5AFB0B10" w14:textId="5D675B62">
            <w:pPr>
              <w:spacing w:after="120"/>
              <w:ind w:left="110" w:right="108"/>
              <w:jc w:val="both"/>
            </w:pPr>
            <w:r w:rsidRPr="00150A24">
              <w:t>Administratīvo izmaksu novērtējumā iekļauts aprēķins par  noteikumu Nr.</w:t>
            </w:r>
            <w:r w:rsidR="00AF43CF">
              <w:t> </w:t>
            </w:r>
            <w:r w:rsidRPr="00150A24">
              <w:t>752  5.1.</w:t>
            </w:r>
            <w:r w:rsidR="00AF43CF">
              <w:t> </w:t>
            </w:r>
            <w:r w:rsidRPr="00150A24">
              <w:t>apakšpunktā minētā pārbaude vai 5.2.</w:t>
            </w:r>
            <w:r w:rsidR="00AF43CF">
              <w:t> </w:t>
            </w:r>
            <w:r w:rsidRPr="00150A24">
              <w:t>apakšpunktā minētā novērtēšana par katru sūtījumā iekļauto iekārtu.</w:t>
            </w:r>
          </w:p>
          <w:p w:rsidR="009E04C9" w:rsidRPr="00150A24" w:rsidP="009E04C9" w14:paraId="5AFB0B11" w14:textId="77777777">
            <w:pPr>
              <w:ind w:left="110" w:right="108"/>
              <w:jc w:val="center"/>
            </w:pPr>
            <w:r w:rsidRPr="00150A24">
              <w:t>C = (f x l+x) x (n x b), kur</w:t>
            </w:r>
          </w:p>
          <w:p w:rsidR="009E04C9" w:rsidRPr="00150A24" w:rsidP="009E04C9" w14:paraId="5AFB0B12" w14:textId="77777777">
            <w:pPr>
              <w:ind w:left="110" w:right="108"/>
              <w:jc w:val="both"/>
            </w:pPr>
            <w:r w:rsidRPr="00150A24">
              <w:t>C –dokumentu sagatavošanas izmaksas jeb administratīvās izmaksas par noteikumu Nr,752 5.1. apakšpunktā minētās pārbaudes vai 5.2. apakšpunktā minētās novērtēšanas veikšanu par katru sūtījumā iekļauto iekārtu;</w:t>
            </w:r>
          </w:p>
          <w:p w:rsidR="009E04C9" w:rsidRPr="00150A24" w:rsidP="009E04C9" w14:paraId="5AFB0B13" w14:textId="77777777">
            <w:pPr>
              <w:pStyle w:val="tv213"/>
              <w:spacing w:before="0" w:beforeAutospacing="0" w:after="0" w:afterAutospacing="0"/>
              <w:ind w:left="110" w:right="108"/>
              <w:jc w:val="both"/>
            </w:pPr>
            <w:r w:rsidRPr="00150A24">
              <w:t xml:space="preserve">f – finanšu līdzekļu apjoms, kas nepieciešams, lai sagatavotu dokumentus par noteikumu Nr,752 5.1. apakšpunktā minētās pārbaudes vai 5.2. apakšpunktā minētās novērtēšanas veikšanu par katru sūtījumā iekļauto iekārtu (stundas samaksas likme) – privātajā sektorā stundas likme ir aprēķināta, dalot vidējo mēneša algu privātajā sektorā (pēc Centrālās statistikas pārvaldes tīmekļvietnes </w:t>
            </w:r>
            <w:r>
              <w:fldChar w:fldCharType="begin"/>
            </w:r>
            <w:r>
              <w:instrText xml:space="preserve"> HYPERLINK "http://www.csb.gov.lv" </w:instrText>
            </w:r>
            <w:r>
              <w:fldChar w:fldCharType="separate"/>
            </w:r>
            <w:r w:rsidRPr="00150A24">
              <w:rPr>
                <w:rStyle w:val="Hyperlink"/>
              </w:rPr>
              <w:t>www.csb.gov.lv</w:t>
            </w:r>
            <w:r>
              <w:fldChar w:fldCharType="end"/>
            </w:r>
            <w:r w:rsidRPr="00150A24">
              <w:t xml:space="preserve"> datiem 2016. gadā tā bija 845,00 </w:t>
            </w:r>
            <w:r w:rsidRPr="00150A24">
              <w:rPr>
                <w:i/>
              </w:rPr>
              <w:t>euro/</w:t>
            </w:r>
            <w:r w:rsidRPr="00150A24">
              <w:t>mēnesī) ar Darba likuma 131. panta pirmajā daļā minēto normālo darba laiku (40 stundas nedēļā x 4 = 160 stundas mēnesī) = 5,28 </w:t>
            </w:r>
            <w:r w:rsidRPr="00150A24">
              <w:rPr>
                <w:i/>
              </w:rPr>
              <w:t>euro</w:t>
            </w:r>
            <w:r w:rsidRPr="00150A24">
              <w:t>/stundā</w:t>
            </w:r>
            <w:r w:rsidRPr="00150A24" w:rsidR="005B0002">
              <w:t>*</w:t>
            </w:r>
            <w:r w:rsidRPr="00150A24">
              <w:t>;</w:t>
            </w:r>
          </w:p>
          <w:p w:rsidR="009E04C9" w:rsidRPr="00150A24" w:rsidP="009E04C9" w14:paraId="5AFB0B14" w14:textId="77777777">
            <w:pPr>
              <w:pStyle w:val="tv213"/>
              <w:spacing w:before="0" w:beforeAutospacing="0" w:after="0" w:afterAutospacing="0"/>
              <w:ind w:left="110" w:right="108"/>
              <w:jc w:val="both"/>
            </w:pPr>
            <w:r w:rsidRPr="00150A24">
              <w:t>l – laika patēriņš, kas nepieciešams, lai sagatav</w:t>
            </w:r>
            <w:r w:rsidRPr="00150A24" w:rsidR="005B0002">
              <w:t xml:space="preserve">otu dokumentus par noteikumu Nr. </w:t>
            </w:r>
            <w:r w:rsidRPr="00150A24">
              <w:t>752 5.1. apakšpunktā minētās pārbaudes vai 5.2. apakšpunktā minētās novērtēšanas veikšanu par katru sūtījumā iekļauto i</w:t>
            </w:r>
            <w:r w:rsidRPr="00150A24" w:rsidR="005B0002">
              <w:t>ekārtu – 1 stunda</w:t>
            </w:r>
            <w:r w:rsidRPr="00150A24">
              <w:t>;</w:t>
            </w:r>
          </w:p>
          <w:p w:rsidR="009E04C9" w:rsidRPr="00150A24" w:rsidP="009E04C9" w14:paraId="5AFB0B15" w14:textId="77777777">
            <w:pPr>
              <w:pStyle w:val="tv213"/>
              <w:spacing w:before="0" w:beforeAutospacing="0" w:after="0" w:afterAutospacing="0"/>
              <w:ind w:left="110" w:right="108"/>
              <w:jc w:val="both"/>
            </w:pPr>
            <w:r w:rsidRPr="00150A24">
              <w:t>x – iekārtu, aprīkojuma un laboratorijas pakalpojumu izmaksas – 1018</w:t>
            </w:r>
            <w:r w:rsidRPr="00150A24">
              <w:rPr>
                <w:i/>
              </w:rPr>
              <w:t> euro</w:t>
            </w:r>
          </w:p>
          <w:p w:rsidR="009E04C9" w:rsidRPr="00150A24" w:rsidP="009E04C9" w14:paraId="5AFB0B16" w14:textId="77777777">
            <w:pPr>
              <w:pStyle w:val="tv213"/>
              <w:spacing w:before="0" w:beforeAutospacing="0" w:after="0" w:afterAutospacing="0"/>
              <w:ind w:left="110" w:right="108"/>
              <w:jc w:val="both"/>
            </w:pPr>
            <w:r w:rsidRPr="00150A24">
              <w:t>n – komersantu skaits, uz ko attiecas pr</w:t>
            </w:r>
            <w:r w:rsidRPr="00150A24" w:rsidR="005B0002">
              <w:t>ojektā paredzētās prasības – 1 komersants**</w:t>
            </w:r>
            <w:r w:rsidRPr="00150A24">
              <w:t>;</w:t>
            </w:r>
          </w:p>
          <w:p w:rsidR="009E04C9" w:rsidRPr="00150A24" w:rsidP="009E04C9" w14:paraId="5AFB0B17" w14:textId="77777777">
            <w:pPr>
              <w:pStyle w:val="tv213"/>
              <w:spacing w:before="0" w:beforeAutospacing="0" w:after="0" w:afterAutospacing="0"/>
              <w:ind w:left="110" w:right="108"/>
              <w:jc w:val="both"/>
            </w:pPr>
            <w:r w:rsidRPr="00150A24">
              <w:t>b – noteikumu Nr,752 5.1. apakšpunktā minētās</w:t>
            </w:r>
            <w:r w:rsidRPr="009E04C9">
              <w:rPr>
                <w:b/>
              </w:rPr>
              <w:t xml:space="preserve"> </w:t>
            </w:r>
            <w:r w:rsidRPr="00150A24">
              <w:t>pārbaudes vai 5.2. apakšpunktā minētās novērtēšanas veikšanas biežums – 1 reizi gadā.</w:t>
            </w:r>
          </w:p>
          <w:p w:rsidR="009E04C9" w:rsidRPr="00150A24" w:rsidP="009E04C9" w14:paraId="5AFB0B18" w14:textId="77777777">
            <w:pPr>
              <w:pStyle w:val="tv213"/>
              <w:spacing w:before="0" w:beforeAutospacing="0" w:after="0" w:afterAutospacing="0"/>
              <w:ind w:left="110" w:right="108"/>
              <w:jc w:val="both"/>
            </w:pPr>
            <w:r w:rsidRPr="00150A24">
              <w:t xml:space="preserve">Aprēķins: </w:t>
            </w:r>
          </w:p>
          <w:p w:rsidR="009E04C9" w:rsidRPr="00150A24" w:rsidP="009E04C9" w14:paraId="5AFB0B19" w14:textId="77777777">
            <w:pPr>
              <w:pStyle w:val="tv213"/>
              <w:spacing w:before="0" w:beforeAutospacing="0" w:after="0" w:afterAutospacing="0"/>
              <w:ind w:left="110" w:right="108"/>
              <w:jc w:val="center"/>
              <w:rPr>
                <w:i/>
              </w:rPr>
            </w:pPr>
            <w:r w:rsidRPr="00150A24">
              <w:t>C = (5,28 x 1+1018) x (1 x 1) = 1023,28 </w:t>
            </w:r>
            <w:r w:rsidRPr="00150A24">
              <w:rPr>
                <w:i/>
              </w:rPr>
              <w:t>euro</w:t>
            </w:r>
          </w:p>
          <w:p w:rsidR="005B0002" w:rsidRPr="00150A24" w:rsidP="005B0002" w14:paraId="5AFB0B1A" w14:textId="77777777">
            <w:pPr>
              <w:pStyle w:val="tv213"/>
              <w:spacing w:before="0" w:beforeAutospacing="0" w:after="0" w:afterAutospacing="0"/>
              <w:ind w:left="110" w:right="108"/>
              <w:jc w:val="both"/>
            </w:pPr>
            <w:r w:rsidRPr="00150A24">
              <w:t xml:space="preserve">Piezīmes: </w:t>
            </w:r>
          </w:p>
          <w:p w:rsidR="000B7CDC" w:rsidRPr="00150A24" w:rsidP="005B0002" w14:paraId="5AFB0B1B" w14:textId="5BBBC39E">
            <w:pPr>
              <w:pStyle w:val="tv213"/>
              <w:spacing w:before="0" w:beforeAutospacing="0" w:after="0" w:afterAutospacing="0"/>
              <w:ind w:right="108"/>
              <w:jc w:val="both"/>
            </w:pPr>
            <w:r w:rsidRPr="00150A24">
              <w:t>*norādītās kopējās aprīkojuma izmaksas regulārai noteikumu Nr. 752 5.1.</w:t>
            </w:r>
            <w:r w:rsidR="004463D9">
              <w:t> </w:t>
            </w:r>
            <w:r w:rsidRPr="00150A24">
              <w:t>apakšpu</w:t>
            </w:r>
            <w:r w:rsidR="004463D9">
              <w:t>nktā minētās pārbaudes vai 5.2. </w:t>
            </w:r>
            <w:r w:rsidRPr="00150A24">
              <w:t>apakšpunktā minētās novērtēšanas veikšanai vienā sūtījumā ietilpstošām iekārtām;</w:t>
            </w:r>
          </w:p>
          <w:p w:rsidR="005B0002" w:rsidRPr="000B7CDC" w:rsidP="004463D9" w14:paraId="5AFB0B1C" w14:textId="4D4C7C35">
            <w:pPr>
              <w:pStyle w:val="tv213"/>
              <w:spacing w:before="0" w:beforeAutospacing="0" w:after="0" w:afterAutospacing="0"/>
              <w:ind w:right="108"/>
              <w:jc w:val="both"/>
            </w:pPr>
            <w:r w:rsidRPr="00150A24">
              <w:t>** - aprēķins veikts attiecībā uz vienu komersantu, tā kā no noteikumu Nr.</w:t>
            </w:r>
            <w:r w:rsidR="004463D9">
              <w:t> </w:t>
            </w:r>
            <w:r w:rsidRPr="00150A24">
              <w:t>752 praktiskās piemērošanas pieredzes nav iespējams izdarīt secinājumus par komersantu skaitu, kuriem būtu nepieciešams nodrošināt noteikumu Nr</w:t>
            </w:r>
            <w:r w:rsidR="004463D9">
              <w:t>. </w:t>
            </w:r>
            <w:r w:rsidRPr="00150A24">
              <w:t>752 5.1.</w:t>
            </w:r>
            <w:r w:rsidR="004463D9">
              <w:t> </w:t>
            </w:r>
            <w:r w:rsidRPr="00150A24">
              <w:t>apakšpu</w:t>
            </w:r>
            <w:r w:rsidR="004463D9">
              <w:t>nktā minētās pārbaudes vai 5.2. </w:t>
            </w:r>
            <w:r w:rsidRPr="00150A24">
              <w:t>apakšpunktā minētās novērtēšanas veikšanu par katru sūtījumā iekļauto iekārtu.</w:t>
            </w:r>
            <w:r>
              <w:rPr>
                <w:b/>
              </w:rPr>
              <w:t xml:space="preserve"> </w:t>
            </w:r>
          </w:p>
        </w:tc>
      </w:tr>
      <w:tr w14:paraId="5AFB0B21" w14:textId="0A45E81B" w:rsidTr="001132D1">
        <w:tblPrEx>
          <w:tblW w:w="0" w:type="auto"/>
          <w:tblLook w:val="01E0"/>
        </w:tblPrEx>
        <w:tc>
          <w:tcPr>
            <w:tcW w:w="648" w:type="dxa"/>
          </w:tcPr>
          <w:p w:rsidR="000B7CDC" w:rsidRPr="000B7CDC" w:rsidP="001132D1" w14:paraId="5AFB0B1E" w14:textId="77777777">
            <w:pPr>
              <w:jc w:val="center"/>
            </w:pPr>
            <w:r w:rsidRPr="000B7CDC">
              <w:t>4.</w:t>
            </w:r>
          </w:p>
        </w:tc>
        <w:tc>
          <w:tcPr>
            <w:tcW w:w="2154" w:type="dxa"/>
          </w:tcPr>
          <w:p w:rsidR="000B7CDC" w:rsidRPr="000B7CDC" w:rsidP="001132D1" w14:paraId="5AFB0B1F" w14:textId="77777777">
            <w:r w:rsidRPr="000B7CDC">
              <w:t>Cita informācija</w:t>
            </w:r>
          </w:p>
        </w:tc>
        <w:tc>
          <w:tcPr>
            <w:tcW w:w="6485" w:type="dxa"/>
          </w:tcPr>
          <w:p w:rsidR="000B7CDC" w:rsidRPr="000B7CDC" w:rsidP="001132D1" w14:paraId="5AFB0B20" w14:textId="77777777">
            <w:pPr>
              <w:jc w:val="both"/>
            </w:pPr>
            <w:r w:rsidRPr="000B7CDC">
              <w:t>Nav.</w:t>
            </w:r>
          </w:p>
        </w:tc>
      </w:tr>
    </w:tbl>
    <w:p w:rsidR="000B7CDC" w:rsidRPr="000B7CDC" w:rsidP="000B7CDC" w14:paraId="5AFB0B22" w14:textId="77777777"/>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14:paraId="5AFB0B24" w14:textId="77777777" w:rsidTr="00493AA5">
        <w:tblPrEx>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56" w:type="dxa"/>
            <w:shd w:val="clear" w:color="auto" w:fill="auto"/>
          </w:tcPr>
          <w:p w:rsidR="009E41D1" w:rsidRPr="00493AA5" w:rsidP="00493AA5" w14:paraId="5AFB0B23" w14:textId="77777777">
            <w:pPr>
              <w:jc w:val="center"/>
              <w:rPr>
                <w:b/>
              </w:rPr>
            </w:pPr>
            <w:r w:rsidRPr="00493AA5">
              <w:rPr>
                <w:b/>
              </w:rPr>
              <w:t>III. Tiesību akta projekta ietekme uz valsts budžetu un pašvaldību budžetiem</w:t>
            </w:r>
          </w:p>
        </w:tc>
      </w:tr>
      <w:tr w14:paraId="5AFB0B26" w14:textId="77777777" w:rsidTr="00493AA5">
        <w:tblPrEx>
          <w:tblW w:w="9356" w:type="dxa"/>
          <w:tblInd w:w="-34" w:type="dxa"/>
          <w:tblLook w:val="04A0"/>
        </w:tblPrEx>
        <w:tc>
          <w:tcPr>
            <w:tcW w:w="9356" w:type="dxa"/>
            <w:shd w:val="clear" w:color="auto" w:fill="auto"/>
          </w:tcPr>
          <w:p w:rsidR="009E41D1" w:rsidP="00493AA5" w14:paraId="5AFB0B25" w14:textId="77777777">
            <w:pPr>
              <w:jc w:val="center"/>
            </w:pPr>
            <w:r>
              <w:t>Projekts šo jomu neskar.</w:t>
            </w:r>
          </w:p>
        </w:tc>
      </w:tr>
    </w:tbl>
    <w:p w:rsidR="009E41D1" w:rsidP="009E41D1" w14:paraId="5AFB0B27" w14:textId="77777777"/>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14:paraId="5AFB0B29" w14:textId="77777777" w:rsidTr="00493AA5">
        <w:tblPrEx>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56" w:type="dxa"/>
            <w:shd w:val="clear" w:color="auto" w:fill="auto"/>
          </w:tcPr>
          <w:p w:rsidR="009E41D1" w:rsidRPr="00493AA5" w:rsidP="00493AA5" w14:paraId="5AFB0B28" w14:textId="77777777">
            <w:pPr>
              <w:jc w:val="center"/>
              <w:rPr>
                <w:b/>
              </w:rPr>
            </w:pPr>
            <w:r w:rsidRPr="00493AA5">
              <w:rPr>
                <w:b/>
              </w:rPr>
              <w:t>IV. Tiesību akta projekta ietekme uz spēkā esošo tiesību normu sistēmu</w:t>
            </w:r>
          </w:p>
        </w:tc>
      </w:tr>
      <w:tr w14:paraId="5AFB0B2B" w14:textId="77777777" w:rsidTr="00493AA5">
        <w:tblPrEx>
          <w:tblW w:w="9356" w:type="dxa"/>
          <w:tblInd w:w="-34" w:type="dxa"/>
          <w:tblLook w:val="04A0"/>
        </w:tblPrEx>
        <w:tc>
          <w:tcPr>
            <w:tcW w:w="9356" w:type="dxa"/>
            <w:shd w:val="clear" w:color="auto" w:fill="auto"/>
          </w:tcPr>
          <w:p w:rsidR="009E41D1" w:rsidP="00493AA5" w14:paraId="5AFB0B2A" w14:textId="77777777">
            <w:pPr>
              <w:jc w:val="center"/>
            </w:pPr>
            <w:r>
              <w:t>Projekts šo jomu neskar.</w:t>
            </w:r>
          </w:p>
        </w:tc>
      </w:tr>
    </w:tbl>
    <w:p w:rsidR="000B7CDC" w:rsidRPr="000B7CDC" w:rsidP="000B7CDC" w14:paraId="5AFB0B2C" w14:textId="77777777"/>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2296"/>
        <w:gridCol w:w="6577"/>
      </w:tblGrid>
      <w:tr w14:paraId="5AFB0B2E" w14:textId="77777777" w:rsidTr="001132D1">
        <w:tblPrEx>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9396" w:type="dxa"/>
            <w:gridSpan w:val="3"/>
          </w:tcPr>
          <w:p w:rsidR="000B7CDC" w:rsidRPr="000B7CDC" w:rsidP="001132D1" w14:paraId="5AFB0B2D" w14:textId="77777777">
            <w:pPr>
              <w:pStyle w:val="naisnod"/>
              <w:spacing w:before="0" w:after="0"/>
            </w:pPr>
            <w:r w:rsidRPr="000B7CDC">
              <w:t>V. Tiesību akta projekta atbilstība Latvijas Republikas starptautiskajām saistībām</w:t>
            </w:r>
          </w:p>
        </w:tc>
      </w:tr>
      <w:tr w14:paraId="5AFB0B33" w14:textId="77777777" w:rsidTr="001132D1">
        <w:tblPrEx>
          <w:tblW w:w="9396" w:type="dxa"/>
          <w:jc w:val="center"/>
          <w:tblLayout w:type="fixed"/>
          <w:tblLook w:val="01E0"/>
        </w:tblPrEx>
        <w:trPr>
          <w:jc w:val="center"/>
        </w:trPr>
        <w:tc>
          <w:tcPr>
            <w:tcW w:w="523" w:type="dxa"/>
          </w:tcPr>
          <w:p w:rsidR="000B7CDC" w:rsidRPr="000B7CDC" w:rsidP="001132D1" w14:paraId="5AFB0B2F" w14:textId="77777777">
            <w:pPr>
              <w:pStyle w:val="naiskr"/>
              <w:tabs>
                <w:tab w:val="left" w:pos="2628"/>
              </w:tabs>
              <w:spacing w:before="0" w:after="0"/>
              <w:jc w:val="both"/>
            </w:pPr>
            <w:r w:rsidRPr="000B7CDC">
              <w:t>1.</w:t>
            </w:r>
          </w:p>
        </w:tc>
        <w:tc>
          <w:tcPr>
            <w:tcW w:w="2296" w:type="dxa"/>
          </w:tcPr>
          <w:p w:rsidR="000B7CDC" w:rsidRPr="000B7CDC" w:rsidP="001132D1" w14:paraId="5AFB0B30" w14:textId="77777777">
            <w:pPr>
              <w:pStyle w:val="naiskr"/>
              <w:tabs>
                <w:tab w:val="left" w:pos="2628"/>
              </w:tabs>
              <w:spacing w:before="0" w:after="0"/>
              <w:jc w:val="both"/>
            </w:pPr>
            <w:r w:rsidRPr="000B7CDC">
              <w:t>Saistības pret Eiropas Savienību</w:t>
            </w:r>
          </w:p>
        </w:tc>
        <w:tc>
          <w:tcPr>
            <w:tcW w:w="6577" w:type="dxa"/>
          </w:tcPr>
          <w:p w:rsidR="000B7CDC" w:rsidRPr="000B7CDC" w:rsidP="001132D1" w14:paraId="5AFB0B31" w14:textId="77777777">
            <w:pPr>
              <w:pStyle w:val="naisc"/>
              <w:spacing w:before="0" w:after="0"/>
              <w:jc w:val="both"/>
              <w:rPr>
                <w:rStyle w:val="Emphasis"/>
              </w:rPr>
            </w:pPr>
            <w:r w:rsidRPr="00CF16AA">
              <w:t>Eiropas Parlamenta un Padomes</w:t>
            </w:r>
            <w:r w:rsidRPr="00936E4C">
              <w:rPr>
                <w:b/>
              </w:rPr>
              <w:t xml:space="preserve"> </w:t>
            </w:r>
            <w:r w:rsidRPr="00CF16AA">
              <w:t>2012. gada 4.</w:t>
            </w:r>
            <w:r>
              <w:t> jūlija Direktīva</w:t>
            </w:r>
            <w:r w:rsidRPr="00CF16AA">
              <w:t xml:space="preserve"> 2012/19/ES par elektrisko un elektronisko iekārtu atkritumiem </w:t>
            </w:r>
            <w:r w:rsidRPr="000B7CDC">
              <w:rPr>
                <w:bCs/>
              </w:rPr>
              <w:t xml:space="preserve"> </w:t>
            </w:r>
            <w:r w:rsidRPr="000B7CDC">
              <w:rPr>
                <w:rStyle w:val="Strong"/>
                <w:b w:val="0"/>
              </w:rPr>
              <w:t>(</w:t>
            </w:r>
            <w:r w:rsidRPr="000B7CDC">
              <w:rPr>
                <w:rStyle w:val="Emphasis"/>
              </w:rPr>
              <w:t>OV L 197, 24.7.2012., 38. lpp.</w:t>
            </w:r>
            <w:r w:rsidR="00CB6BFC">
              <w:rPr>
                <w:rStyle w:val="Emphasis"/>
                <w:i w:val="0"/>
              </w:rPr>
              <w:t>)</w:t>
            </w:r>
          </w:p>
          <w:p w:rsidR="000B7CDC" w:rsidRPr="000B7CDC" w:rsidP="001132D1" w14:paraId="5AFB0B32" w14:textId="77777777">
            <w:pPr>
              <w:pStyle w:val="naisc"/>
              <w:spacing w:before="0" w:after="0"/>
              <w:jc w:val="both"/>
              <w:rPr>
                <w:i/>
                <w:iCs/>
              </w:rPr>
            </w:pPr>
          </w:p>
        </w:tc>
      </w:tr>
      <w:tr w14:paraId="5AFB0B37" w14:textId="77777777" w:rsidTr="001132D1">
        <w:tblPrEx>
          <w:tblW w:w="9396" w:type="dxa"/>
          <w:jc w:val="center"/>
          <w:tblLayout w:type="fixed"/>
          <w:tblLook w:val="01E0"/>
        </w:tblPrEx>
        <w:trPr>
          <w:jc w:val="center"/>
        </w:trPr>
        <w:tc>
          <w:tcPr>
            <w:tcW w:w="523" w:type="dxa"/>
          </w:tcPr>
          <w:p w:rsidR="000B7CDC" w:rsidRPr="000B7CDC" w:rsidP="001132D1" w14:paraId="5AFB0B34" w14:textId="77777777">
            <w:pPr>
              <w:pStyle w:val="naiskr"/>
              <w:tabs>
                <w:tab w:val="left" w:pos="2628"/>
              </w:tabs>
              <w:spacing w:before="0" w:after="0"/>
              <w:jc w:val="both"/>
            </w:pPr>
            <w:r w:rsidRPr="000B7CDC">
              <w:t>2.</w:t>
            </w:r>
          </w:p>
        </w:tc>
        <w:tc>
          <w:tcPr>
            <w:tcW w:w="2296" w:type="dxa"/>
          </w:tcPr>
          <w:p w:rsidR="000B7CDC" w:rsidRPr="000B7CDC" w:rsidP="001132D1" w14:paraId="5AFB0B35" w14:textId="77777777">
            <w:pPr>
              <w:pStyle w:val="naiskr"/>
              <w:tabs>
                <w:tab w:val="left" w:pos="2628"/>
              </w:tabs>
              <w:spacing w:before="0" w:after="0"/>
              <w:jc w:val="both"/>
            </w:pPr>
            <w:r w:rsidRPr="000B7CDC">
              <w:t>Citas starptautiskās saistības</w:t>
            </w:r>
          </w:p>
        </w:tc>
        <w:tc>
          <w:tcPr>
            <w:tcW w:w="6577" w:type="dxa"/>
          </w:tcPr>
          <w:p w:rsidR="000B7CDC" w:rsidRPr="000B7CDC" w:rsidP="001132D1" w14:paraId="5AFB0B36" w14:textId="77777777">
            <w:pPr>
              <w:pStyle w:val="naiskr"/>
              <w:tabs>
                <w:tab w:val="left" w:pos="2628"/>
              </w:tabs>
              <w:spacing w:before="0" w:after="0"/>
              <w:jc w:val="both"/>
            </w:pPr>
            <w:r w:rsidRPr="000B7CDC">
              <w:t>Projekts šo jomu neskar.</w:t>
            </w:r>
          </w:p>
        </w:tc>
      </w:tr>
      <w:tr w14:paraId="5AFB0B3B" w14:textId="77777777" w:rsidTr="001132D1">
        <w:tblPrEx>
          <w:tblW w:w="9396" w:type="dxa"/>
          <w:jc w:val="center"/>
          <w:tblLayout w:type="fixed"/>
          <w:tblLook w:val="01E0"/>
        </w:tblPrEx>
        <w:trPr>
          <w:jc w:val="center"/>
        </w:trPr>
        <w:tc>
          <w:tcPr>
            <w:tcW w:w="523" w:type="dxa"/>
          </w:tcPr>
          <w:p w:rsidR="000B7CDC" w:rsidRPr="000B7CDC" w:rsidP="001132D1" w14:paraId="5AFB0B38" w14:textId="77777777">
            <w:pPr>
              <w:pStyle w:val="naiskr"/>
              <w:tabs>
                <w:tab w:val="left" w:pos="2628"/>
              </w:tabs>
              <w:spacing w:before="0" w:after="0"/>
              <w:jc w:val="both"/>
            </w:pPr>
            <w:r w:rsidRPr="000B7CDC">
              <w:t>3.</w:t>
            </w:r>
          </w:p>
        </w:tc>
        <w:tc>
          <w:tcPr>
            <w:tcW w:w="2296" w:type="dxa"/>
          </w:tcPr>
          <w:p w:rsidR="000B7CDC" w:rsidRPr="000B7CDC" w:rsidP="001132D1" w14:paraId="5AFB0B39" w14:textId="77777777">
            <w:pPr>
              <w:pStyle w:val="naiskr"/>
              <w:tabs>
                <w:tab w:val="left" w:pos="2628"/>
              </w:tabs>
              <w:spacing w:before="0" w:after="0"/>
              <w:jc w:val="both"/>
            </w:pPr>
            <w:r w:rsidRPr="000B7CDC">
              <w:t>Cita informācija</w:t>
            </w:r>
          </w:p>
        </w:tc>
        <w:tc>
          <w:tcPr>
            <w:tcW w:w="6577" w:type="dxa"/>
          </w:tcPr>
          <w:p w:rsidR="000B7CDC" w:rsidRPr="000B7CDC" w:rsidP="001132D1" w14:paraId="5AFB0B3A" w14:textId="77777777">
            <w:pPr>
              <w:pStyle w:val="naiskr"/>
              <w:tabs>
                <w:tab w:val="left" w:pos="2628"/>
              </w:tabs>
              <w:spacing w:before="0" w:after="0"/>
              <w:jc w:val="both"/>
            </w:pPr>
            <w:r w:rsidRPr="000B7CDC">
              <w:t>Nav.</w:t>
            </w:r>
          </w:p>
        </w:tc>
      </w:tr>
    </w:tbl>
    <w:p w:rsidR="000B7CDC" w:rsidRPr="000B7CDC" w:rsidP="000B7CDC" w14:paraId="5AFB0B3C" w14:textId="77777777">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44"/>
        <w:gridCol w:w="2977"/>
        <w:gridCol w:w="1559"/>
        <w:gridCol w:w="2175"/>
      </w:tblGrid>
      <w:tr w14:paraId="5AFB0B3F" w14:textId="77777777" w:rsidTr="001132D1">
        <w:tblPrEx>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rPr>
          <w:trHeight w:val="523"/>
          <w:jc w:val="center"/>
        </w:trPr>
        <w:tc>
          <w:tcPr>
            <w:tcW w:w="9455" w:type="dxa"/>
            <w:gridSpan w:val="4"/>
            <w:vAlign w:val="center"/>
          </w:tcPr>
          <w:p w:rsidR="000B7CDC" w:rsidRPr="000B7CDC" w:rsidP="001132D1" w14:paraId="5AFB0B3D" w14:textId="77777777">
            <w:pPr>
              <w:pStyle w:val="naisnod"/>
              <w:spacing w:before="0" w:after="0"/>
            </w:pPr>
            <w:r w:rsidRPr="000B7CDC">
              <w:t>1.tabula</w:t>
            </w:r>
          </w:p>
          <w:p w:rsidR="000B7CDC" w:rsidRPr="000B7CDC" w:rsidP="001132D1" w14:paraId="5AFB0B3E" w14:textId="77777777">
            <w:pPr>
              <w:pStyle w:val="naisnod"/>
              <w:spacing w:before="0" w:after="0"/>
              <w:rPr>
                <w:i/>
              </w:rPr>
            </w:pPr>
            <w:r w:rsidRPr="000B7CDC">
              <w:t>Tiesību akta projekta atbilstība ES tiesību aktiem</w:t>
            </w:r>
          </w:p>
        </w:tc>
      </w:tr>
      <w:tr w14:paraId="5AFB0B42" w14:textId="77777777" w:rsidTr="001132D1">
        <w:tblPrEx>
          <w:tblW w:w="9455" w:type="dxa"/>
          <w:jc w:val="center"/>
          <w:tblLayout w:type="fixed"/>
          <w:tblCellMar>
            <w:left w:w="28" w:type="dxa"/>
            <w:right w:w="28" w:type="dxa"/>
          </w:tblCellMar>
          <w:tblLook w:val="0000"/>
        </w:tblPrEx>
        <w:trPr>
          <w:trHeight w:val="1252"/>
          <w:jc w:val="center"/>
        </w:trPr>
        <w:tc>
          <w:tcPr>
            <w:tcW w:w="2744" w:type="dxa"/>
            <w:vAlign w:val="center"/>
          </w:tcPr>
          <w:p w:rsidR="000B7CDC" w:rsidRPr="000B7CDC" w:rsidP="001132D1" w14:paraId="5AFB0B40" w14:textId="77777777">
            <w:pPr>
              <w:pStyle w:val="naiskr"/>
              <w:spacing w:before="0" w:after="0"/>
              <w:ind w:hanging="10"/>
              <w:jc w:val="both"/>
            </w:pPr>
            <w:r w:rsidRPr="000B7CDC">
              <w:t>Attiecīgā ES tiesību akta datums, numurs un nosaukums</w:t>
            </w:r>
          </w:p>
        </w:tc>
        <w:tc>
          <w:tcPr>
            <w:tcW w:w="6711" w:type="dxa"/>
            <w:gridSpan w:val="3"/>
            <w:vAlign w:val="center"/>
          </w:tcPr>
          <w:p w:rsidR="000B7CDC" w:rsidRPr="00A822C8" w:rsidP="001132D1" w14:paraId="5AFB0B41" w14:textId="77777777">
            <w:pPr>
              <w:pStyle w:val="naisc"/>
              <w:spacing w:before="0" w:after="0"/>
              <w:jc w:val="both"/>
              <w:rPr>
                <w:b/>
              </w:rPr>
            </w:pPr>
            <w:r w:rsidRPr="00CF16AA">
              <w:t>Eiropas Parlamenta un Padomes</w:t>
            </w:r>
            <w:r w:rsidRPr="00936E4C">
              <w:rPr>
                <w:b/>
              </w:rPr>
              <w:t xml:space="preserve"> </w:t>
            </w:r>
            <w:r w:rsidRPr="00CF16AA">
              <w:t>2012. gada 4.</w:t>
            </w:r>
            <w:r>
              <w:t> jūlija Direktīva</w:t>
            </w:r>
            <w:r w:rsidRPr="00CF16AA">
              <w:t xml:space="preserve"> 2012/19/ES par elektrisko un elektronisko iekārtu atkritumiem </w:t>
            </w:r>
            <w:r w:rsidRPr="00A822C8">
              <w:rPr>
                <w:b/>
                <w:bCs/>
              </w:rPr>
              <w:t xml:space="preserve"> </w:t>
            </w:r>
            <w:r w:rsidRPr="00CB6BFC">
              <w:rPr>
                <w:rStyle w:val="Strong"/>
                <w:b w:val="0"/>
              </w:rPr>
              <w:t>(</w:t>
            </w:r>
            <w:r w:rsidRPr="00CB6BFC">
              <w:rPr>
                <w:rStyle w:val="Emphasis"/>
              </w:rPr>
              <w:t>OV L 197, 24.7.2012., 38. lpp.</w:t>
            </w:r>
            <w:r w:rsidRPr="00CB6BFC">
              <w:rPr>
                <w:rStyle w:val="Emphasis"/>
                <w:i w:val="0"/>
              </w:rPr>
              <w:t>)</w:t>
            </w:r>
          </w:p>
        </w:tc>
      </w:tr>
      <w:tr w14:paraId="5AFB0B47" w14:textId="77777777" w:rsidTr="001132D1">
        <w:tblPrEx>
          <w:tblW w:w="9455" w:type="dxa"/>
          <w:jc w:val="center"/>
          <w:tblLayout w:type="fixed"/>
          <w:tblCellMar>
            <w:left w:w="28" w:type="dxa"/>
            <w:right w:w="28" w:type="dxa"/>
          </w:tblCellMar>
          <w:tblLook w:val="0000"/>
        </w:tblPrEx>
        <w:trPr>
          <w:trHeight w:val="165"/>
          <w:jc w:val="center"/>
        </w:trPr>
        <w:tc>
          <w:tcPr>
            <w:tcW w:w="2744" w:type="dxa"/>
            <w:vAlign w:val="center"/>
          </w:tcPr>
          <w:p w:rsidR="000B7CDC" w:rsidRPr="000B7CDC" w:rsidP="001132D1" w14:paraId="5AFB0B43" w14:textId="77777777">
            <w:pPr>
              <w:pStyle w:val="naiskr"/>
              <w:spacing w:before="0" w:after="0"/>
              <w:jc w:val="both"/>
            </w:pPr>
            <w:r w:rsidRPr="000B7CDC">
              <w:t>A</w:t>
            </w:r>
          </w:p>
        </w:tc>
        <w:tc>
          <w:tcPr>
            <w:tcW w:w="2977" w:type="dxa"/>
            <w:vAlign w:val="center"/>
          </w:tcPr>
          <w:p w:rsidR="000B7CDC" w:rsidRPr="000B7CDC" w:rsidP="001132D1" w14:paraId="5AFB0B44" w14:textId="77777777">
            <w:pPr>
              <w:pStyle w:val="naiskr"/>
              <w:spacing w:before="0" w:after="0"/>
              <w:jc w:val="both"/>
            </w:pPr>
            <w:r w:rsidRPr="000B7CDC">
              <w:t>B</w:t>
            </w:r>
          </w:p>
        </w:tc>
        <w:tc>
          <w:tcPr>
            <w:tcW w:w="1559" w:type="dxa"/>
            <w:vAlign w:val="center"/>
          </w:tcPr>
          <w:p w:rsidR="000B7CDC" w:rsidRPr="000B7CDC" w:rsidP="001132D1" w14:paraId="5AFB0B45" w14:textId="77777777">
            <w:pPr>
              <w:pStyle w:val="naiskr"/>
              <w:spacing w:before="0" w:after="0"/>
              <w:jc w:val="both"/>
            </w:pPr>
            <w:r w:rsidRPr="000B7CDC">
              <w:t>C</w:t>
            </w:r>
          </w:p>
        </w:tc>
        <w:tc>
          <w:tcPr>
            <w:tcW w:w="2175" w:type="dxa"/>
            <w:vAlign w:val="center"/>
          </w:tcPr>
          <w:p w:rsidR="000B7CDC" w:rsidRPr="000B7CDC" w:rsidP="001132D1" w14:paraId="5AFB0B46" w14:textId="77777777">
            <w:pPr>
              <w:pStyle w:val="naiskr"/>
              <w:spacing w:before="0" w:after="0"/>
              <w:jc w:val="both"/>
            </w:pPr>
            <w:r w:rsidRPr="000B7CDC">
              <w:t>D</w:t>
            </w:r>
          </w:p>
        </w:tc>
      </w:tr>
      <w:tr w14:paraId="5AFB0B50" w14:textId="77777777" w:rsidTr="001132D1">
        <w:tblPrEx>
          <w:tblW w:w="9455" w:type="dxa"/>
          <w:jc w:val="center"/>
          <w:tblLayout w:type="fixed"/>
          <w:tblCellMar>
            <w:left w:w="28" w:type="dxa"/>
            <w:right w:w="28" w:type="dxa"/>
          </w:tblCellMar>
          <w:tblLook w:val="0000"/>
        </w:tblPrEx>
        <w:trPr>
          <w:trHeight w:val="165"/>
          <w:jc w:val="center"/>
        </w:trPr>
        <w:tc>
          <w:tcPr>
            <w:tcW w:w="2744" w:type="dxa"/>
            <w:vAlign w:val="center"/>
          </w:tcPr>
          <w:p w:rsidR="005370EE" w:rsidRPr="00CB6BFC" w:rsidP="001132D1" w14:paraId="5AFB0B48" w14:textId="77777777">
            <w:pPr>
              <w:pStyle w:val="naiskr"/>
              <w:spacing w:before="0" w:after="0"/>
              <w:jc w:val="both"/>
            </w:pPr>
            <w:r w:rsidRPr="00CB6BFC">
              <w:t>Attiecīgā ES tiesību akta panta numurs (uzskaitot katru tiesību akta vienību – pantu, daļu, punktu, apakšpunktu)</w:t>
            </w:r>
          </w:p>
        </w:tc>
        <w:tc>
          <w:tcPr>
            <w:tcW w:w="2977" w:type="dxa"/>
            <w:vAlign w:val="center"/>
          </w:tcPr>
          <w:p w:rsidR="005370EE" w:rsidRPr="00CB6BFC" w:rsidP="001132D1" w14:paraId="5AFB0B49" w14:textId="77777777">
            <w:pPr>
              <w:pStyle w:val="naiskr"/>
              <w:spacing w:before="0" w:after="0"/>
              <w:jc w:val="both"/>
            </w:pPr>
            <w:r w:rsidRPr="00CB6BFC">
              <w:t>Projekta vienība, kas pārņem vai ievieš katru šīs tabulas A ailē minēto ES tiesību akta vienību, vai tiesību akts, kur attiecīgā ES tiesību akta vienība pārņemta vai ieviesta</w:t>
            </w:r>
          </w:p>
        </w:tc>
        <w:tc>
          <w:tcPr>
            <w:tcW w:w="1559" w:type="dxa"/>
            <w:vAlign w:val="center"/>
          </w:tcPr>
          <w:p w:rsidR="005370EE" w:rsidRPr="00CB6BFC" w:rsidP="005370EE" w14:paraId="5AFB0B4A" w14:textId="77777777">
            <w:r w:rsidRPr="00CB6BFC">
              <w:t>Informācija par to, vai šīs tabulas A ailē minētās ES tiesību akta vienības tiek pārņemtas vai ieviestas pilnībā vai daļēji.</w:t>
            </w:r>
          </w:p>
          <w:p w:rsidR="005370EE" w:rsidRPr="00CB6BFC" w:rsidP="005370EE" w14:paraId="5AFB0B4B" w14:textId="77777777">
            <w:pPr>
              <w:spacing w:before="100" w:beforeAutospacing="1" w:after="100" w:afterAutospacing="1" w:line="293" w:lineRule="atLeast"/>
            </w:pPr>
            <w:r w:rsidRPr="00CB6BFC">
              <w:t xml:space="preserve">Ja attiecīgā ES tiesību akta </w:t>
            </w:r>
            <w:r w:rsidRPr="00CB6BFC">
              <w:t>vienība tiek pārņemta vai ieviesta daļēji, sniedz attiecīgu skaidrojumu, kā arī precīzi norāda, kad un kādā veidā ES tiesību akta vienība tiks pārņemta vai ieviesta pilnībā.</w:t>
            </w:r>
          </w:p>
          <w:p w:rsidR="005370EE" w:rsidRPr="00CB6BFC" w:rsidP="005370EE" w14:paraId="5AFB0B4C" w14:textId="77777777">
            <w:pPr>
              <w:pStyle w:val="naiskr"/>
              <w:spacing w:before="0" w:after="0"/>
              <w:jc w:val="both"/>
            </w:pPr>
            <w:r w:rsidRPr="00CB6BFC">
              <w:t>Norāda institūciju, kas ir atbildīga par šo saistību izpildi pilnībā</w:t>
            </w:r>
          </w:p>
        </w:tc>
        <w:tc>
          <w:tcPr>
            <w:tcW w:w="2175" w:type="dxa"/>
            <w:vAlign w:val="center"/>
          </w:tcPr>
          <w:p w:rsidR="005370EE" w:rsidRPr="00CB6BFC" w:rsidP="005370EE" w14:paraId="5AFB0B4D" w14:textId="77777777">
            <w:r w:rsidRPr="00CB6BFC">
              <w:t>Informācija par to, vai šīs tabulas B ailē minētās projekta vienības paredz stingrākas prasības nekā šīs tabulas A ailē minētās ES tiesību akta vienības.</w:t>
            </w:r>
          </w:p>
          <w:p w:rsidR="005370EE" w:rsidRPr="00CB6BFC" w:rsidP="005370EE" w14:paraId="5AFB0B4E" w14:textId="77777777">
            <w:pPr>
              <w:spacing w:before="100" w:beforeAutospacing="1" w:after="100" w:afterAutospacing="1" w:line="293" w:lineRule="atLeast"/>
            </w:pPr>
            <w:r w:rsidRPr="00CB6BFC">
              <w:t xml:space="preserve">Ja projekts satur stingrākas prasības nekā attiecīgais ES </w:t>
            </w:r>
            <w:r w:rsidRPr="00CB6BFC">
              <w:t>tiesību akts, norāda pamatojumu un samērīgumu.</w:t>
            </w:r>
          </w:p>
          <w:p w:rsidR="005370EE" w:rsidRPr="00CB6BFC" w:rsidP="005370EE" w14:paraId="5AFB0B4F" w14:textId="77777777">
            <w:pPr>
              <w:pStyle w:val="naiskr"/>
              <w:spacing w:before="0" w:after="0"/>
              <w:jc w:val="both"/>
            </w:pPr>
            <w:r w:rsidRPr="00CB6BFC">
              <w:t>Norāda iespējamās alternatīvas (t.sk. alternatīvas, kas neparedz tiesiskā regulējuma izstrādi) – kādos gadījumos būtu iespējams izvairīties no stingrāku prasību noteikšanas, nekā paredzēts attiecīgajos ES tiesību aktos</w:t>
            </w:r>
          </w:p>
        </w:tc>
      </w:tr>
      <w:tr w14:paraId="5AFB0B55" w14:textId="77777777" w:rsidTr="001132D1">
        <w:tblPrEx>
          <w:tblW w:w="9455" w:type="dxa"/>
          <w:jc w:val="center"/>
          <w:tblLayout w:type="fixed"/>
          <w:tblCellMar>
            <w:left w:w="28" w:type="dxa"/>
            <w:right w:w="28" w:type="dxa"/>
          </w:tblCellMar>
          <w:tblLook w:val="0000"/>
        </w:tblPrEx>
        <w:trPr>
          <w:trHeight w:val="410"/>
          <w:jc w:val="center"/>
        </w:trPr>
        <w:tc>
          <w:tcPr>
            <w:tcW w:w="2744" w:type="dxa"/>
          </w:tcPr>
          <w:p w:rsidR="000B7CDC" w:rsidRPr="004E6C6D" w:rsidP="001132D1" w14:paraId="5AFB0B51" w14:textId="77777777">
            <w:pPr>
              <w:pStyle w:val="naiskr"/>
              <w:spacing w:before="0" w:after="0"/>
              <w:jc w:val="both"/>
            </w:pPr>
            <w:r>
              <w:t xml:space="preserve">Direktīvas 2012/19/ES </w:t>
            </w:r>
            <w:r w:rsidR="004523AB">
              <w:t xml:space="preserve">VI pielikuma </w:t>
            </w:r>
            <w:r w:rsidRPr="004463D9" w:rsidR="004523AB">
              <w:t>1</w:t>
            </w:r>
            <w:r w:rsidRPr="004463D9" w:rsidR="004E6C6D">
              <w:t>.</w:t>
            </w:r>
            <w:r w:rsidR="00416DC5">
              <w:t> </w:t>
            </w:r>
            <w:r w:rsidRPr="004E6C6D" w:rsidR="004E6C6D">
              <w:t>punkta b)</w:t>
            </w:r>
            <w:r w:rsidR="00416DC5">
              <w:t> </w:t>
            </w:r>
            <w:r w:rsidRPr="004E6C6D" w:rsidR="004E6C6D">
              <w:t>apakšpunkts</w:t>
            </w:r>
          </w:p>
        </w:tc>
        <w:tc>
          <w:tcPr>
            <w:tcW w:w="2977" w:type="dxa"/>
          </w:tcPr>
          <w:p w:rsidR="000B7CDC" w:rsidRPr="000B7CDC" w:rsidP="004E6C6D" w14:paraId="5AFB0B52" w14:textId="77777777">
            <w:r>
              <w:t>1.</w:t>
            </w:r>
            <w:r w:rsidR="00416DC5">
              <w:t> </w:t>
            </w:r>
            <w:r>
              <w:t>punkts</w:t>
            </w:r>
          </w:p>
        </w:tc>
        <w:tc>
          <w:tcPr>
            <w:tcW w:w="1559" w:type="dxa"/>
          </w:tcPr>
          <w:p w:rsidR="000B7CDC" w:rsidRPr="000B7CDC" w:rsidP="001132D1" w14:paraId="5AFB0B53" w14:textId="77777777">
            <w:pPr>
              <w:pStyle w:val="naiskr"/>
              <w:spacing w:before="0" w:after="0"/>
              <w:jc w:val="both"/>
            </w:pPr>
            <w:r>
              <w:t>Pārņemts</w:t>
            </w:r>
            <w:r w:rsidRPr="000B7CDC">
              <w:t xml:space="preserve"> pilnībā</w:t>
            </w:r>
          </w:p>
        </w:tc>
        <w:tc>
          <w:tcPr>
            <w:tcW w:w="2175" w:type="dxa"/>
          </w:tcPr>
          <w:p w:rsidR="000B7CDC" w:rsidRPr="000B7CDC" w:rsidP="001132D1" w14:paraId="5AFB0B54" w14:textId="77777777">
            <w:pPr>
              <w:pStyle w:val="naiskr"/>
              <w:spacing w:before="0" w:after="0"/>
              <w:jc w:val="both"/>
            </w:pPr>
            <w:r>
              <w:t>Neparedz</w:t>
            </w:r>
            <w:r w:rsidRPr="000B7CDC">
              <w:t xml:space="preserve"> stingrākas prasības.</w:t>
            </w:r>
          </w:p>
        </w:tc>
      </w:tr>
      <w:tr w14:paraId="5AFB0B5A" w14:textId="77777777" w:rsidTr="001132D1">
        <w:tblPrEx>
          <w:tblW w:w="9455" w:type="dxa"/>
          <w:jc w:val="center"/>
          <w:tblLayout w:type="fixed"/>
          <w:tblCellMar>
            <w:left w:w="28" w:type="dxa"/>
            <w:right w:w="28" w:type="dxa"/>
          </w:tblCellMar>
          <w:tblLook w:val="0000"/>
        </w:tblPrEx>
        <w:trPr>
          <w:trHeight w:val="410"/>
          <w:jc w:val="center"/>
        </w:trPr>
        <w:tc>
          <w:tcPr>
            <w:tcW w:w="2744" w:type="dxa"/>
          </w:tcPr>
          <w:p w:rsidR="000B7CDC" w:rsidRPr="004E6C6D" w:rsidP="001132D1" w14:paraId="5AFB0B56" w14:textId="77777777">
            <w:pPr>
              <w:pStyle w:val="naiskr"/>
              <w:spacing w:before="0" w:after="0"/>
              <w:jc w:val="both"/>
            </w:pPr>
            <w:r>
              <w:t xml:space="preserve">Direktīvas 2012/19/ES </w:t>
            </w:r>
            <w:r w:rsidRPr="004E6C6D" w:rsidR="004E6C6D">
              <w:t>VI pielikuma 4.</w:t>
            </w:r>
            <w:r w:rsidR="00416DC5">
              <w:t> </w:t>
            </w:r>
            <w:r w:rsidRPr="004E6C6D" w:rsidR="004E6C6D">
              <w:t>punkta b)</w:t>
            </w:r>
            <w:r w:rsidR="00416DC5">
              <w:t> </w:t>
            </w:r>
            <w:r w:rsidRPr="004E6C6D" w:rsidR="004E6C6D">
              <w:t>apakšpunkts</w:t>
            </w:r>
          </w:p>
        </w:tc>
        <w:tc>
          <w:tcPr>
            <w:tcW w:w="2977" w:type="dxa"/>
          </w:tcPr>
          <w:p w:rsidR="000B7CDC" w:rsidRPr="000B7CDC" w:rsidP="001132D1" w14:paraId="5AFB0B57" w14:textId="77777777">
            <w:pPr>
              <w:pStyle w:val="naiskr"/>
              <w:spacing w:before="0" w:after="0"/>
              <w:jc w:val="both"/>
            </w:pPr>
            <w:r w:rsidRPr="000B7CDC">
              <w:t>2.</w:t>
            </w:r>
            <w:r w:rsidR="00416DC5">
              <w:t> </w:t>
            </w:r>
            <w:r w:rsidRPr="000B7CDC">
              <w:t>punkts</w:t>
            </w:r>
          </w:p>
        </w:tc>
        <w:tc>
          <w:tcPr>
            <w:tcW w:w="1559" w:type="dxa"/>
          </w:tcPr>
          <w:p w:rsidR="000B7CDC" w:rsidRPr="000B7CDC" w:rsidP="001132D1" w14:paraId="5AFB0B58" w14:textId="77777777">
            <w:pPr>
              <w:pStyle w:val="naiskr"/>
              <w:spacing w:before="0" w:after="0"/>
              <w:jc w:val="both"/>
            </w:pPr>
            <w:r>
              <w:t>Pārņemts</w:t>
            </w:r>
            <w:r w:rsidRPr="000B7CDC">
              <w:t xml:space="preserve"> pilnībā.</w:t>
            </w:r>
          </w:p>
        </w:tc>
        <w:tc>
          <w:tcPr>
            <w:tcW w:w="2175" w:type="dxa"/>
          </w:tcPr>
          <w:p w:rsidR="000B7CDC" w:rsidRPr="000B7CDC" w:rsidP="001132D1" w14:paraId="5AFB0B59" w14:textId="77777777">
            <w:pPr>
              <w:pStyle w:val="naiskr"/>
              <w:spacing w:before="0" w:after="0"/>
              <w:jc w:val="both"/>
            </w:pPr>
            <w:r>
              <w:t>Neparedz</w:t>
            </w:r>
            <w:r w:rsidRPr="000B7CDC">
              <w:t xml:space="preserve"> stingrākas prasības.</w:t>
            </w:r>
          </w:p>
        </w:tc>
      </w:tr>
    </w:tbl>
    <w:p w:rsidR="000B7CDC" w:rsidRPr="000B7CDC" w:rsidP="000B7CDC" w14:paraId="5AFB0B5B" w14:textId="77777777">
      <w:pPr>
        <w:pStyle w:val="naisf"/>
        <w:spacing w:before="0" w:after="0"/>
        <w:ind w:firstLine="0"/>
      </w:pP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02"/>
        <w:gridCol w:w="992"/>
        <w:gridCol w:w="3827"/>
        <w:gridCol w:w="2835"/>
      </w:tblGrid>
      <w:tr w14:paraId="5AFB0B5F" w14:textId="77777777" w:rsidTr="00CB6BFC">
        <w:tblPrEx>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Ex>
        <w:trPr>
          <w:trHeight w:val="281"/>
          <w:tblCellSpacing w:w="0" w:type="dxa"/>
        </w:trPr>
        <w:tc>
          <w:tcPr>
            <w:tcW w:w="2694" w:type="dxa"/>
            <w:gridSpan w:val="2"/>
            <w:tcBorders>
              <w:top w:val="outset" w:sz="6" w:space="0" w:color="auto"/>
              <w:left w:val="outset" w:sz="6" w:space="0" w:color="auto"/>
              <w:bottom w:val="outset" w:sz="6" w:space="0" w:color="auto"/>
              <w:right w:val="outset" w:sz="6" w:space="0" w:color="auto"/>
            </w:tcBorders>
            <w:vAlign w:val="center"/>
          </w:tcPr>
          <w:p w:rsidR="000B7CDC" w:rsidRPr="000B7CDC" w:rsidP="001132D1" w14:paraId="5AFB0B5C" w14:textId="77777777">
            <w:pPr>
              <w:pStyle w:val="naiskr"/>
              <w:spacing w:before="0" w:after="0"/>
              <w:jc w:val="both"/>
            </w:pPr>
            <w:r w:rsidRPr="000B7CDC">
              <w:t> Kā ir izmantota ES tiesību aktā paredzētā rīcības brīvība dalībvalstij pārņemt vai ieviest noteiktas ES tiesību akta normas.</w:t>
            </w:r>
          </w:p>
          <w:p w:rsidR="000B7CDC" w:rsidRPr="000B7CDC" w:rsidP="001132D1" w14:paraId="5AFB0B5D" w14:textId="77777777">
            <w:pPr>
              <w:pStyle w:val="naiskr"/>
              <w:spacing w:before="0" w:after="0"/>
              <w:jc w:val="both"/>
            </w:pPr>
            <w:r w:rsidRPr="000B7CDC">
              <w:t>Kādēļ?</w:t>
            </w:r>
          </w:p>
        </w:tc>
        <w:tc>
          <w:tcPr>
            <w:tcW w:w="6662" w:type="dxa"/>
            <w:gridSpan w:val="2"/>
            <w:tcBorders>
              <w:top w:val="outset" w:sz="6" w:space="0" w:color="auto"/>
              <w:left w:val="outset" w:sz="6" w:space="0" w:color="auto"/>
              <w:bottom w:val="outset" w:sz="6" w:space="0" w:color="auto"/>
              <w:right w:val="outset" w:sz="6" w:space="0" w:color="auto"/>
            </w:tcBorders>
          </w:tcPr>
          <w:p w:rsidR="000B7CDC" w:rsidRPr="000B7CDC" w:rsidP="001132D1" w14:paraId="5AFB0B5E" w14:textId="77777777">
            <w:pPr>
              <w:jc w:val="both"/>
            </w:pPr>
            <w:r w:rsidRPr="000B7CDC">
              <w:rPr>
                <w:b/>
              </w:rPr>
              <w:t xml:space="preserve"> </w:t>
            </w:r>
            <w:r w:rsidRPr="000B7CDC">
              <w:t>Ar noteikumu projektu transponējamās tiesību normas neparedz rīcības brīvību dalībvalstīm.</w:t>
            </w:r>
          </w:p>
        </w:tc>
      </w:tr>
      <w:tr w14:paraId="5AFB0B62" w14:textId="77777777" w:rsidTr="00CB6BFC">
        <w:tblPrEx>
          <w:tblW w:w="9356" w:type="dxa"/>
          <w:tblCellSpacing w:w="0" w:type="dxa"/>
          <w:tblInd w:w="-127" w:type="dxa"/>
          <w:tblCellMar>
            <w:left w:w="0" w:type="dxa"/>
            <w:right w:w="0" w:type="dxa"/>
          </w:tblCellMar>
          <w:tblLook w:val="0000"/>
        </w:tblPrEx>
        <w:trPr>
          <w:trHeight w:val="913"/>
          <w:tblCellSpacing w:w="0" w:type="dxa"/>
        </w:trPr>
        <w:tc>
          <w:tcPr>
            <w:tcW w:w="6521" w:type="dxa"/>
            <w:gridSpan w:val="3"/>
            <w:tcBorders>
              <w:top w:val="outset" w:sz="6" w:space="0" w:color="auto"/>
              <w:left w:val="outset" w:sz="6" w:space="0" w:color="auto"/>
              <w:bottom w:val="outset" w:sz="6" w:space="0" w:color="auto"/>
              <w:right w:val="outset" w:sz="6" w:space="0" w:color="auto"/>
            </w:tcBorders>
            <w:vAlign w:val="center"/>
          </w:tcPr>
          <w:p w:rsidR="000B7CDC" w:rsidRPr="000B7CDC" w:rsidP="001132D1" w14:paraId="5AFB0B60" w14:textId="77777777">
            <w:pPr>
              <w:pStyle w:val="naiskr"/>
              <w:spacing w:before="0" w:after="0"/>
              <w:jc w:val="both"/>
            </w:pPr>
            <w:r w:rsidRPr="000B7CDC">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35" w:type="dxa"/>
            <w:tcBorders>
              <w:top w:val="outset" w:sz="6" w:space="0" w:color="auto"/>
              <w:left w:val="outset" w:sz="6" w:space="0" w:color="auto"/>
              <w:bottom w:val="outset" w:sz="6" w:space="0" w:color="auto"/>
              <w:right w:val="outset" w:sz="6" w:space="0" w:color="auto"/>
            </w:tcBorders>
          </w:tcPr>
          <w:p w:rsidR="000B7CDC" w:rsidRPr="000B7CDC" w:rsidP="001132D1" w14:paraId="5AFB0B61" w14:textId="77777777">
            <w:pPr>
              <w:pStyle w:val="naiskr"/>
              <w:spacing w:before="0" w:after="0"/>
            </w:pPr>
            <w:r w:rsidRPr="000B7CDC">
              <w:t> Projekts šo jomu neskar.</w:t>
            </w:r>
          </w:p>
        </w:tc>
      </w:tr>
      <w:tr w14:paraId="5AFB0B69" w14:textId="77777777" w:rsidTr="00CB6BFC">
        <w:tblPrEx>
          <w:tblW w:w="9356" w:type="dxa"/>
          <w:tblCellSpacing w:w="0" w:type="dxa"/>
          <w:tblInd w:w="-127" w:type="dxa"/>
          <w:tblCellMar>
            <w:left w:w="0" w:type="dxa"/>
            <w:right w:w="0" w:type="dxa"/>
          </w:tblCellMar>
          <w:tblLook w:val="0000"/>
        </w:tblPrEx>
        <w:trPr>
          <w:trHeight w:val="579"/>
          <w:tblCellSpacing w:w="0" w:type="dxa"/>
        </w:trPr>
        <w:tc>
          <w:tcPr>
            <w:tcW w:w="1702" w:type="dxa"/>
            <w:tcBorders>
              <w:top w:val="outset" w:sz="6" w:space="0" w:color="auto"/>
              <w:left w:val="outset" w:sz="6" w:space="0" w:color="auto"/>
              <w:bottom w:val="outset" w:sz="6" w:space="0" w:color="auto"/>
              <w:right w:val="outset" w:sz="6" w:space="0" w:color="auto"/>
            </w:tcBorders>
          </w:tcPr>
          <w:p w:rsidR="000B7CDC" w:rsidRPr="000B7CDC" w:rsidP="001132D1" w14:paraId="5AFB0B63" w14:textId="77777777">
            <w:pPr>
              <w:pStyle w:val="naiskr"/>
              <w:spacing w:before="0" w:after="0"/>
            </w:pPr>
            <w:r w:rsidRPr="000B7CDC">
              <w:t> Cita informācija</w:t>
            </w:r>
          </w:p>
        </w:tc>
        <w:tc>
          <w:tcPr>
            <w:tcW w:w="7654" w:type="dxa"/>
            <w:gridSpan w:val="3"/>
            <w:tcBorders>
              <w:top w:val="outset" w:sz="6" w:space="0" w:color="auto"/>
              <w:left w:val="outset" w:sz="6" w:space="0" w:color="auto"/>
              <w:bottom w:val="outset" w:sz="6" w:space="0" w:color="auto"/>
              <w:right w:val="outset" w:sz="6" w:space="0" w:color="auto"/>
            </w:tcBorders>
          </w:tcPr>
          <w:p w:rsidR="000B7CDC" w:rsidP="001132D1" w14:paraId="5AFB0B64" w14:textId="77777777">
            <w:pPr>
              <w:pStyle w:val="naiskr"/>
              <w:spacing w:before="0" w:after="0"/>
              <w:jc w:val="both"/>
            </w:pPr>
            <w:r w:rsidRPr="000B7CDC">
              <w:t xml:space="preserve">Informācija par Direktīvas 2012/19/ES pārējo normu transponēšanu ir pieejama </w:t>
            </w:r>
            <w:r>
              <w:fldChar w:fldCharType="begin"/>
            </w:r>
            <w:r>
              <w:instrText xml:space="preserve"> HYPERLINK "http://tap.mk.gov.lv/mk/tap/?pid=40299944" </w:instrText>
            </w:r>
            <w:r>
              <w:fldChar w:fldCharType="separate"/>
            </w:r>
            <w:r w:rsidRPr="00DE3494" w:rsidR="00CB6BFC">
              <w:rPr>
                <w:rStyle w:val="Hyperlink"/>
              </w:rPr>
              <w:t>http://tap.mk.gov.lv/mk/tap/?pid=40299944</w:t>
            </w:r>
            <w:r>
              <w:fldChar w:fldCharType="end"/>
            </w:r>
            <w:r w:rsidR="00CB6BFC">
              <w:t xml:space="preserve"> </w:t>
            </w:r>
            <w:r w:rsidR="002A64C7">
              <w:t xml:space="preserve">– likumprojekts “Grozījumi Atkritumu apsaimniekošanas likumā”;  </w:t>
            </w:r>
          </w:p>
          <w:p w:rsidR="005370EE" w:rsidP="001132D1" w14:paraId="5AFB0B65" w14:textId="77777777">
            <w:pPr>
              <w:pStyle w:val="naiskr"/>
              <w:spacing w:before="0" w:after="0"/>
              <w:jc w:val="both"/>
            </w:pPr>
            <w:r>
              <w:fldChar w:fldCharType="begin"/>
            </w:r>
            <w:r>
              <w:instrText xml:space="preserve"> HYPERLINK "http://tap.mk.gov.lv/lv/mk/tap/?pid=40323577" </w:instrText>
            </w:r>
            <w:r>
              <w:fldChar w:fldCharType="separate"/>
            </w:r>
            <w:r w:rsidRPr="0009296C" w:rsidR="00452ABA">
              <w:rPr>
                <w:rStyle w:val="Hyperlink"/>
              </w:rPr>
              <w:t>http://tap.mk.gov.lv/lv/mk/tap/?pid=40323577</w:t>
            </w:r>
            <w:r>
              <w:fldChar w:fldCharType="end"/>
            </w:r>
            <w:r w:rsidR="00452ABA">
              <w:t xml:space="preserve"> - noteikumu projekts “Prasības lietotu elektrisko un elektronisko iekārtu sūtījumu pārbaudei, par kuriem pastāv aizdomas, ka tiek sūtīti elektrisko un elektronisko iekārtu atkritumi”;</w:t>
            </w:r>
          </w:p>
          <w:p w:rsidR="005370EE" w:rsidP="001132D1" w14:paraId="5AFB0B66" w14:textId="77777777">
            <w:pPr>
              <w:pStyle w:val="naiskr"/>
              <w:spacing w:before="0" w:after="0"/>
              <w:jc w:val="both"/>
            </w:pPr>
            <w:r>
              <w:fldChar w:fldCharType="begin"/>
            </w:r>
            <w:r>
              <w:instrText xml:space="preserve"> HYPERLINK "http://tap.mk.gov.lv/lv/mk/tap/?pid=40320563" </w:instrText>
            </w:r>
            <w:r>
              <w:fldChar w:fldCharType="separate"/>
            </w:r>
            <w:r w:rsidRPr="0009296C" w:rsidR="00452ABA">
              <w:rPr>
                <w:rStyle w:val="Hyperlink"/>
              </w:rPr>
              <w:t>http://tap.mk.gov.lv/lv/mk/tap/?pid=40320563</w:t>
            </w:r>
            <w:r>
              <w:fldChar w:fldCharType="end"/>
            </w:r>
            <w:r w:rsidR="00452ABA">
              <w:t xml:space="preserve"> - Noteikumu projekts “Elektrisko un elektronisko iekārtu kategorijas un marķēšanas prasības un šo iekārtu atkritumu apsaimniekošanas prasības un kārtība”;</w:t>
            </w:r>
          </w:p>
          <w:p w:rsidR="005370EE" w:rsidRPr="000B7CDC" w:rsidP="001132D1" w14:paraId="5AFB0B67" w14:textId="77777777">
            <w:pPr>
              <w:pStyle w:val="naiskr"/>
              <w:spacing w:before="0" w:after="0"/>
              <w:jc w:val="both"/>
            </w:pPr>
            <w:r>
              <w:fldChar w:fldCharType="begin"/>
            </w:r>
            <w:r>
              <w:instrText xml:space="preserve"> HYPERLINK "http://tap.mk.gov.lv/lv/mk/tap/?pid=40320562" </w:instrText>
            </w:r>
            <w:r>
              <w:fldChar w:fldCharType="separate"/>
            </w:r>
            <w:r w:rsidRPr="0009296C" w:rsidR="00452ABA">
              <w:rPr>
                <w:rStyle w:val="Hyperlink"/>
              </w:rPr>
              <w:t>http://tap.mk.gov.lv/lv/mk/tap/?pid=40320562</w:t>
            </w:r>
            <w:r>
              <w:fldChar w:fldCharType="end"/>
            </w:r>
            <w:r w:rsidR="00452ABA">
              <w:t xml:space="preserve"> - Noteikumu projekts “Elektrisko un elektronisko iekārtu ražotāju un to pilnvaroto pārstāvju un bateriju vai akumulatoru ražotāju reģistrācijas kārtība un samaksu par datu uzturēšanu apmērs un samaksas kārtība”. </w:t>
            </w:r>
          </w:p>
          <w:p w:rsidR="004E6C6D" w:rsidRPr="000B7CDC" w:rsidP="001132D1" w14:paraId="5AFB0B68" w14:textId="77777777">
            <w:pPr>
              <w:autoSpaceDE w:val="0"/>
              <w:autoSpaceDN w:val="0"/>
              <w:adjustRightInd w:val="0"/>
              <w:jc w:val="both"/>
              <w:rPr>
                <w:rFonts w:eastAsia="Calibri"/>
                <w:lang w:eastAsia="en-US"/>
              </w:rPr>
            </w:pPr>
            <w:r>
              <w:t xml:space="preserve"> </w:t>
            </w:r>
          </w:p>
        </w:tc>
      </w:tr>
    </w:tbl>
    <w:p w:rsidR="000B7CDC" w:rsidRPr="000B7CDC" w:rsidP="000B7CDC" w14:paraId="5AFB0B6A" w14:textId="77777777">
      <w:pPr>
        <w:pStyle w:val="naisf"/>
        <w:ind w:firstLine="0"/>
      </w:pPr>
    </w:p>
    <w:tbl>
      <w:tblPr>
        <w:tblW w:w="950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502"/>
      </w:tblGrid>
      <w:tr w14:paraId="5AFB0B6E" w14:textId="77777777" w:rsidTr="005370EE">
        <w:tblPrEx>
          <w:tblW w:w="950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Ex>
        <w:trPr>
          <w:trHeight w:val="792"/>
          <w:tblCellSpacing w:w="0" w:type="dxa"/>
        </w:trPr>
        <w:tc>
          <w:tcPr>
            <w:tcW w:w="9502" w:type="dxa"/>
            <w:tcBorders>
              <w:top w:val="outset" w:sz="6" w:space="0" w:color="auto"/>
              <w:left w:val="outset" w:sz="6" w:space="0" w:color="auto"/>
              <w:bottom w:val="outset" w:sz="6" w:space="0" w:color="auto"/>
              <w:right w:val="outset" w:sz="6" w:space="0" w:color="auto"/>
            </w:tcBorders>
            <w:vAlign w:val="center"/>
          </w:tcPr>
          <w:p w:rsidR="000B7CDC" w:rsidRPr="000B7CDC" w:rsidP="001132D1" w14:paraId="5AFB0B6B" w14:textId="77777777">
            <w:pPr>
              <w:pStyle w:val="naisnod"/>
              <w:spacing w:before="0" w:after="0"/>
            </w:pPr>
            <w:r w:rsidRPr="000B7CDC">
              <w:t> 2.tabula</w:t>
            </w:r>
          </w:p>
          <w:p w:rsidR="000B7CDC" w:rsidRPr="000B7CDC" w:rsidP="001132D1" w14:paraId="5AFB0B6C" w14:textId="77777777">
            <w:pPr>
              <w:pStyle w:val="naisnod"/>
              <w:spacing w:before="0" w:after="0"/>
            </w:pPr>
            <w:r w:rsidRPr="000B7CDC">
              <w:t>Ar tiesību akta projektu uzņemtās saistības, kas izriet no starptautiskajiem tiesību aktiem vai starptautiskas institūcijas vai organizācijas dokumentiem</w:t>
            </w:r>
          </w:p>
          <w:p w:rsidR="000B7CDC" w:rsidRPr="000B7CDC" w:rsidP="001132D1" w14:paraId="5AFB0B6D" w14:textId="77777777">
            <w:pPr>
              <w:pStyle w:val="naisnod"/>
              <w:spacing w:before="0" w:after="0"/>
            </w:pPr>
            <w:r w:rsidRPr="000B7CDC">
              <w:t>Pasākumi šo saistību izpildei</w:t>
            </w:r>
          </w:p>
        </w:tc>
      </w:tr>
      <w:tr w14:paraId="5AFB0B70" w14:textId="77777777" w:rsidTr="005370EE">
        <w:tblPrEx>
          <w:tblW w:w="9502" w:type="dxa"/>
          <w:tblCellSpacing w:w="0" w:type="dxa"/>
          <w:tblInd w:w="-127" w:type="dxa"/>
          <w:tblCellMar>
            <w:left w:w="0" w:type="dxa"/>
            <w:right w:w="0" w:type="dxa"/>
          </w:tblCellMar>
          <w:tblLook w:val="0000"/>
        </w:tblPrEx>
        <w:trPr>
          <w:trHeight w:val="792"/>
          <w:tblCellSpacing w:w="0" w:type="dxa"/>
        </w:trPr>
        <w:tc>
          <w:tcPr>
            <w:tcW w:w="9502" w:type="dxa"/>
            <w:tcBorders>
              <w:top w:val="outset" w:sz="6" w:space="0" w:color="auto"/>
              <w:left w:val="outset" w:sz="6" w:space="0" w:color="auto"/>
              <w:bottom w:val="outset" w:sz="6" w:space="0" w:color="auto"/>
              <w:right w:val="outset" w:sz="6" w:space="0" w:color="auto"/>
            </w:tcBorders>
            <w:vAlign w:val="center"/>
          </w:tcPr>
          <w:p w:rsidR="000B7CDC" w:rsidRPr="000B7CDC" w:rsidP="001132D1" w14:paraId="5AFB0B6F" w14:textId="77777777">
            <w:pPr>
              <w:pStyle w:val="naisnod"/>
              <w:spacing w:before="0" w:after="0"/>
              <w:rPr>
                <w:b w:val="0"/>
              </w:rPr>
            </w:pPr>
            <w:r w:rsidRPr="000B7CDC">
              <w:rPr>
                <w:b w:val="0"/>
              </w:rPr>
              <w:t>Projekts šo jomu neskar</w:t>
            </w:r>
            <w:r w:rsidR="00CB6BFC">
              <w:rPr>
                <w:b w:val="0"/>
              </w:rPr>
              <w:t xml:space="preserve">. </w:t>
            </w:r>
          </w:p>
        </w:tc>
      </w:tr>
    </w:tbl>
    <w:p w:rsidR="000B7CDC" w:rsidRPr="000B7CDC" w:rsidP="000B7CDC" w14:paraId="5AFB0B71" w14:textId="77777777"/>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4568"/>
        <w:gridCol w:w="4419"/>
      </w:tblGrid>
      <w:tr w14:paraId="5AFB0B73" w14:textId="77777777" w:rsidTr="001132D1">
        <w:tblPrEx>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jc w:val="center"/>
        </w:trPr>
        <w:tc>
          <w:tcPr>
            <w:tcW w:w="9472" w:type="dxa"/>
            <w:gridSpan w:val="3"/>
            <w:tcMar>
              <w:top w:w="57" w:type="dxa"/>
              <w:left w:w="57" w:type="dxa"/>
              <w:bottom w:w="57" w:type="dxa"/>
              <w:right w:w="57" w:type="dxa"/>
            </w:tcMar>
          </w:tcPr>
          <w:p w:rsidR="000B7CDC" w:rsidRPr="000B7CDC" w:rsidP="001132D1" w14:paraId="5AFB0B72" w14:textId="77777777">
            <w:pPr>
              <w:pStyle w:val="naisnod"/>
              <w:spacing w:before="0" w:after="0"/>
              <w:ind w:left="57" w:right="57"/>
            </w:pPr>
            <w:r w:rsidRPr="000B7CDC">
              <w:t>VI. Sabiedrības līdzdalība un komunikācijas aktivitātes</w:t>
            </w:r>
          </w:p>
        </w:tc>
      </w:tr>
      <w:tr w14:paraId="5AFB0B77" w14:textId="77777777" w:rsidTr="001132D1">
        <w:tblPrEx>
          <w:tblW w:w="9472" w:type="dxa"/>
          <w:jc w:val="center"/>
          <w:tblCellMar>
            <w:left w:w="0" w:type="dxa"/>
            <w:right w:w="0" w:type="dxa"/>
          </w:tblCellMar>
          <w:tblLook w:val="0000"/>
        </w:tblPrEx>
        <w:trPr>
          <w:trHeight w:val="553"/>
          <w:jc w:val="center"/>
        </w:trPr>
        <w:tc>
          <w:tcPr>
            <w:tcW w:w="485" w:type="dxa"/>
            <w:tcMar>
              <w:top w:w="57" w:type="dxa"/>
              <w:left w:w="57" w:type="dxa"/>
              <w:bottom w:w="57" w:type="dxa"/>
              <w:right w:w="57" w:type="dxa"/>
            </w:tcMar>
          </w:tcPr>
          <w:p w:rsidR="000B7CDC" w:rsidRPr="000B7CDC" w:rsidP="001132D1" w14:paraId="5AFB0B74" w14:textId="77777777">
            <w:pPr>
              <w:pStyle w:val="naiskr"/>
              <w:spacing w:before="0" w:after="0"/>
              <w:ind w:left="57" w:right="57"/>
              <w:rPr>
                <w:bCs/>
              </w:rPr>
            </w:pPr>
            <w:r w:rsidRPr="000B7CDC">
              <w:rPr>
                <w:bCs/>
              </w:rPr>
              <w:t>1.</w:t>
            </w:r>
          </w:p>
        </w:tc>
        <w:tc>
          <w:tcPr>
            <w:tcW w:w="4568" w:type="dxa"/>
            <w:tcMar>
              <w:top w:w="57" w:type="dxa"/>
              <w:left w:w="57" w:type="dxa"/>
              <w:bottom w:w="57" w:type="dxa"/>
              <w:right w:w="57" w:type="dxa"/>
            </w:tcMar>
          </w:tcPr>
          <w:p w:rsidR="000B7CDC" w:rsidRPr="000B7CDC" w:rsidP="001132D1" w14:paraId="5AFB0B75" w14:textId="77777777">
            <w:pPr>
              <w:pStyle w:val="naiskr"/>
              <w:tabs>
                <w:tab w:val="left" w:pos="170"/>
              </w:tabs>
              <w:spacing w:before="0" w:after="0"/>
              <w:ind w:left="57" w:right="57"/>
            </w:pPr>
            <w:r w:rsidRPr="000B7CDC">
              <w:t>Plānotās sabiedrības līdzdalības un komunikācijas aktivitātes saistībā ar projektu</w:t>
            </w:r>
          </w:p>
        </w:tc>
        <w:tc>
          <w:tcPr>
            <w:tcW w:w="4419" w:type="dxa"/>
            <w:tcMar>
              <w:top w:w="57" w:type="dxa"/>
              <w:left w:w="57" w:type="dxa"/>
              <w:bottom w:w="57" w:type="dxa"/>
              <w:right w:w="57" w:type="dxa"/>
            </w:tcMar>
          </w:tcPr>
          <w:p w:rsidR="000B7CDC" w:rsidRPr="000B7CDC" w:rsidP="00D01BA1" w14:paraId="5AFB0B76" w14:textId="77777777">
            <w:pPr>
              <w:pStyle w:val="naiskr"/>
              <w:spacing w:before="0" w:after="0"/>
              <w:ind w:left="57" w:right="57"/>
              <w:jc w:val="both"/>
            </w:pPr>
            <w:r>
              <w:t>Noteikumu projekts no 2017.</w:t>
            </w:r>
            <w:r w:rsidR="007B1414">
              <w:t> </w:t>
            </w:r>
            <w:r>
              <w:t xml:space="preserve">gada </w:t>
            </w:r>
            <w:r w:rsidR="00982E1F">
              <w:t>2</w:t>
            </w:r>
            <w:r w:rsidRPr="00A822C8" w:rsidR="00D01BA1">
              <w:t>.</w:t>
            </w:r>
            <w:r w:rsidR="007F536E">
              <w:t> </w:t>
            </w:r>
            <w:r w:rsidRPr="00A822C8" w:rsidR="00D01BA1">
              <w:t>novem</w:t>
            </w:r>
            <w:r>
              <w:t>bra</w:t>
            </w:r>
            <w:r w:rsidRPr="000B7CDC">
              <w:t xml:space="preserve"> ir pieejams VARAM </w:t>
            </w:r>
            <w:r w:rsidR="007B1414">
              <w:t>tīmekļvietnē</w:t>
            </w:r>
            <w:r w:rsidRPr="000B7CDC">
              <w:t xml:space="preserve"> </w:t>
            </w:r>
            <w:r>
              <w:fldChar w:fldCharType="begin"/>
            </w:r>
            <w:r>
              <w:instrText xml:space="preserve"> HYPERLINK "http://www.varam.gov.lv" </w:instrText>
            </w:r>
            <w:r>
              <w:fldChar w:fldCharType="separate"/>
            </w:r>
            <w:r w:rsidRPr="000B7CDC">
              <w:rPr>
                <w:rStyle w:val="Hyperlink"/>
                <w:color w:val="auto"/>
              </w:rPr>
              <w:t>www.varam.gov.lv</w:t>
            </w:r>
            <w:r>
              <w:fldChar w:fldCharType="end"/>
            </w:r>
            <w:r w:rsidRPr="000B7CDC">
              <w:t>, līdz a</w:t>
            </w:r>
            <w:r w:rsidR="00150A24">
              <w:t>r to ieinteresētajām personām bija</w:t>
            </w:r>
            <w:r w:rsidRPr="000B7CDC">
              <w:t xml:space="preserve"> iespēja izteikt viedokli un sniegt priekšlikumus.</w:t>
            </w:r>
          </w:p>
        </w:tc>
      </w:tr>
      <w:tr w14:paraId="5AFB0B7B" w14:textId="77777777" w:rsidTr="001132D1">
        <w:tblPrEx>
          <w:tblW w:w="9472" w:type="dxa"/>
          <w:jc w:val="center"/>
          <w:tblCellMar>
            <w:left w:w="0" w:type="dxa"/>
            <w:right w:w="0" w:type="dxa"/>
          </w:tblCellMar>
          <w:tblLook w:val="0000"/>
        </w:tblPrEx>
        <w:trPr>
          <w:trHeight w:val="339"/>
          <w:jc w:val="center"/>
        </w:trPr>
        <w:tc>
          <w:tcPr>
            <w:tcW w:w="485" w:type="dxa"/>
            <w:tcMar>
              <w:top w:w="57" w:type="dxa"/>
              <w:left w:w="57" w:type="dxa"/>
              <w:bottom w:w="57" w:type="dxa"/>
              <w:right w:w="57" w:type="dxa"/>
            </w:tcMar>
          </w:tcPr>
          <w:p w:rsidR="000B7CDC" w:rsidRPr="000B7CDC" w:rsidP="001132D1" w14:paraId="5AFB0B78" w14:textId="77777777">
            <w:pPr>
              <w:pStyle w:val="naiskr"/>
              <w:spacing w:before="0" w:after="0"/>
              <w:ind w:left="57" w:right="57"/>
              <w:rPr>
                <w:bCs/>
              </w:rPr>
            </w:pPr>
            <w:r w:rsidRPr="000B7CDC">
              <w:rPr>
                <w:bCs/>
              </w:rPr>
              <w:t>2.</w:t>
            </w:r>
          </w:p>
        </w:tc>
        <w:tc>
          <w:tcPr>
            <w:tcW w:w="4568" w:type="dxa"/>
            <w:tcMar>
              <w:top w:w="57" w:type="dxa"/>
              <w:left w:w="57" w:type="dxa"/>
              <w:bottom w:w="57" w:type="dxa"/>
              <w:right w:w="57" w:type="dxa"/>
            </w:tcMar>
          </w:tcPr>
          <w:p w:rsidR="000B7CDC" w:rsidRPr="000B7CDC" w:rsidP="001132D1" w14:paraId="5AFB0B79" w14:textId="77777777">
            <w:pPr>
              <w:pStyle w:val="naiskr"/>
              <w:spacing w:before="0" w:after="0"/>
              <w:ind w:left="57" w:right="57"/>
            </w:pPr>
            <w:r w:rsidRPr="000B7CDC">
              <w:t xml:space="preserve">Sabiedrības līdzdalība projekta izstrādē </w:t>
            </w:r>
          </w:p>
        </w:tc>
        <w:tc>
          <w:tcPr>
            <w:tcW w:w="4419" w:type="dxa"/>
            <w:tcMar>
              <w:top w:w="57" w:type="dxa"/>
              <w:left w:w="57" w:type="dxa"/>
              <w:bottom w:w="57" w:type="dxa"/>
              <w:right w:w="57" w:type="dxa"/>
            </w:tcMar>
          </w:tcPr>
          <w:p w:rsidR="000B7CDC" w:rsidRPr="000B7CDC" w:rsidP="00D01BA1" w14:paraId="5AFB0B7A" w14:textId="77777777">
            <w:pPr>
              <w:pStyle w:val="naiskr"/>
              <w:spacing w:before="0" w:after="0"/>
              <w:ind w:left="57" w:right="57"/>
              <w:jc w:val="both"/>
            </w:pPr>
            <w:r>
              <w:t>S</w:t>
            </w:r>
            <w:r w:rsidR="00452ABA">
              <w:t>abied</w:t>
            </w:r>
            <w:r>
              <w:t>riskās apspriešanas ietvaros netika saņemti priekšlikumi par noteikumu projektu.</w:t>
            </w:r>
            <w:r w:rsidR="00452ABA">
              <w:t xml:space="preserve"> </w:t>
            </w:r>
          </w:p>
        </w:tc>
      </w:tr>
      <w:tr w14:paraId="5AFB0B7F" w14:textId="77777777" w:rsidTr="001132D1">
        <w:tblPrEx>
          <w:tblW w:w="9472" w:type="dxa"/>
          <w:jc w:val="center"/>
          <w:tblCellMar>
            <w:left w:w="0" w:type="dxa"/>
            <w:right w:w="0" w:type="dxa"/>
          </w:tblCellMar>
          <w:tblLook w:val="0000"/>
        </w:tblPrEx>
        <w:trPr>
          <w:trHeight w:val="375"/>
          <w:jc w:val="center"/>
        </w:trPr>
        <w:tc>
          <w:tcPr>
            <w:tcW w:w="485" w:type="dxa"/>
            <w:tcMar>
              <w:top w:w="57" w:type="dxa"/>
              <w:left w:w="57" w:type="dxa"/>
              <w:bottom w:w="57" w:type="dxa"/>
              <w:right w:w="57" w:type="dxa"/>
            </w:tcMar>
          </w:tcPr>
          <w:p w:rsidR="000B7CDC" w:rsidRPr="000B7CDC" w:rsidP="001132D1" w14:paraId="5AFB0B7C" w14:textId="77777777">
            <w:pPr>
              <w:pStyle w:val="naiskr"/>
              <w:spacing w:before="0" w:after="0"/>
              <w:ind w:left="57" w:right="57"/>
              <w:rPr>
                <w:bCs/>
              </w:rPr>
            </w:pPr>
            <w:r w:rsidRPr="000B7CDC">
              <w:rPr>
                <w:bCs/>
              </w:rPr>
              <w:t>3.</w:t>
            </w:r>
          </w:p>
        </w:tc>
        <w:tc>
          <w:tcPr>
            <w:tcW w:w="4568" w:type="dxa"/>
            <w:tcMar>
              <w:top w:w="57" w:type="dxa"/>
              <w:left w:w="57" w:type="dxa"/>
              <w:bottom w:w="57" w:type="dxa"/>
              <w:right w:w="57" w:type="dxa"/>
            </w:tcMar>
          </w:tcPr>
          <w:p w:rsidR="000B7CDC" w:rsidRPr="000B7CDC" w:rsidP="001132D1" w14:paraId="5AFB0B7D" w14:textId="77777777">
            <w:pPr>
              <w:pStyle w:val="naiskr"/>
              <w:spacing w:before="0" w:after="0"/>
              <w:ind w:left="57" w:right="57"/>
            </w:pPr>
            <w:r w:rsidRPr="000B7CDC">
              <w:t xml:space="preserve">Sabiedrības līdzdalības rezultāti </w:t>
            </w:r>
          </w:p>
        </w:tc>
        <w:tc>
          <w:tcPr>
            <w:tcW w:w="4419" w:type="dxa"/>
            <w:tcMar>
              <w:top w:w="57" w:type="dxa"/>
              <w:left w:w="57" w:type="dxa"/>
              <w:bottom w:w="57" w:type="dxa"/>
              <w:right w:w="57" w:type="dxa"/>
            </w:tcMar>
          </w:tcPr>
          <w:p w:rsidR="000B7CDC" w:rsidRPr="000B7CDC" w:rsidP="001132D1" w14:paraId="5AFB0B7E" w14:textId="77777777">
            <w:pPr>
              <w:pStyle w:val="naiskr"/>
              <w:spacing w:before="0" w:after="0"/>
              <w:ind w:right="57"/>
              <w:jc w:val="both"/>
            </w:pPr>
            <w:r>
              <w:t>Sabiedriskās apspriešanas ietvaros netika saņemti priekšlikumi par noteikumu projektu.</w:t>
            </w:r>
          </w:p>
        </w:tc>
      </w:tr>
      <w:tr w14:paraId="5AFB0B83" w14:textId="77777777" w:rsidTr="001132D1">
        <w:tblPrEx>
          <w:tblW w:w="9472" w:type="dxa"/>
          <w:jc w:val="center"/>
          <w:tblCellMar>
            <w:left w:w="0" w:type="dxa"/>
            <w:right w:w="0" w:type="dxa"/>
          </w:tblCellMar>
          <w:tblLook w:val="0000"/>
        </w:tblPrEx>
        <w:trPr>
          <w:trHeight w:val="476"/>
          <w:jc w:val="center"/>
        </w:trPr>
        <w:tc>
          <w:tcPr>
            <w:tcW w:w="485" w:type="dxa"/>
            <w:tcMar>
              <w:top w:w="57" w:type="dxa"/>
              <w:left w:w="57" w:type="dxa"/>
              <w:bottom w:w="57" w:type="dxa"/>
              <w:right w:w="57" w:type="dxa"/>
            </w:tcMar>
          </w:tcPr>
          <w:p w:rsidR="000B7CDC" w:rsidRPr="000B7CDC" w:rsidP="001132D1" w14:paraId="5AFB0B80" w14:textId="77777777">
            <w:pPr>
              <w:pStyle w:val="naiskr"/>
              <w:spacing w:before="0" w:after="0"/>
              <w:ind w:left="57" w:right="57"/>
              <w:rPr>
                <w:bCs/>
              </w:rPr>
            </w:pPr>
            <w:r w:rsidRPr="000B7CDC">
              <w:rPr>
                <w:bCs/>
              </w:rPr>
              <w:t>4.</w:t>
            </w:r>
          </w:p>
        </w:tc>
        <w:tc>
          <w:tcPr>
            <w:tcW w:w="4568" w:type="dxa"/>
            <w:tcMar>
              <w:top w:w="57" w:type="dxa"/>
              <w:left w:w="57" w:type="dxa"/>
              <w:bottom w:w="57" w:type="dxa"/>
              <w:right w:w="57" w:type="dxa"/>
            </w:tcMar>
          </w:tcPr>
          <w:p w:rsidR="000B7CDC" w:rsidRPr="000B7CDC" w:rsidP="001132D1" w14:paraId="5AFB0B81" w14:textId="77777777">
            <w:pPr>
              <w:pStyle w:val="naiskr"/>
              <w:spacing w:before="0" w:after="0"/>
              <w:ind w:left="57" w:right="57"/>
            </w:pPr>
            <w:r w:rsidRPr="000B7CDC">
              <w:t>Cita informācija</w:t>
            </w:r>
          </w:p>
        </w:tc>
        <w:tc>
          <w:tcPr>
            <w:tcW w:w="4419" w:type="dxa"/>
            <w:tcMar>
              <w:top w:w="57" w:type="dxa"/>
              <w:left w:w="57" w:type="dxa"/>
              <w:bottom w:w="57" w:type="dxa"/>
              <w:right w:w="57" w:type="dxa"/>
            </w:tcMar>
          </w:tcPr>
          <w:p w:rsidR="000B7CDC" w:rsidRPr="000B7CDC" w:rsidP="001132D1" w14:paraId="5AFB0B82" w14:textId="77777777">
            <w:pPr>
              <w:pStyle w:val="naiskr"/>
              <w:spacing w:before="0" w:after="0"/>
              <w:ind w:right="57"/>
              <w:jc w:val="both"/>
            </w:pPr>
            <w:r w:rsidRPr="000B7CDC">
              <w:t>Nav.</w:t>
            </w:r>
          </w:p>
        </w:tc>
      </w:tr>
    </w:tbl>
    <w:p w:rsidR="000B7CDC" w:rsidRPr="000B7CDC" w:rsidP="000B7CDC" w14:paraId="5AFB0B84" w14:textId="77777777"/>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6"/>
        <w:gridCol w:w="4570"/>
        <w:gridCol w:w="4418"/>
      </w:tblGrid>
      <w:tr w14:paraId="5AFB0B86" w14:textId="77777777" w:rsidTr="001132D1">
        <w:tblPrEx>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jc w:val="center"/>
        </w:trPr>
        <w:tc>
          <w:tcPr>
            <w:tcW w:w="9474" w:type="dxa"/>
            <w:gridSpan w:val="3"/>
            <w:tcBorders>
              <w:top w:val="single" w:sz="4" w:space="0" w:color="auto"/>
            </w:tcBorders>
            <w:tcMar>
              <w:top w:w="57" w:type="dxa"/>
              <w:left w:w="57" w:type="dxa"/>
              <w:bottom w:w="57" w:type="dxa"/>
              <w:right w:w="57" w:type="dxa"/>
            </w:tcMar>
          </w:tcPr>
          <w:p w:rsidR="000B7CDC" w:rsidRPr="000B7CDC" w:rsidP="001132D1" w14:paraId="5AFB0B85" w14:textId="77777777">
            <w:pPr>
              <w:pStyle w:val="naisnod"/>
              <w:spacing w:before="0" w:after="0"/>
              <w:ind w:left="57" w:right="57"/>
            </w:pPr>
            <w:r w:rsidRPr="000B7CDC">
              <w:t>VII. Tiesību akta projekta izpildes nodrošināšana un tās ietekme uz institūcijām</w:t>
            </w:r>
          </w:p>
        </w:tc>
      </w:tr>
      <w:tr w14:paraId="5AFB0B8A" w14:textId="77777777" w:rsidTr="001132D1">
        <w:tblPrEx>
          <w:tblW w:w="9474" w:type="dxa"/>
          <w:jc w:val="center"/>
          <w:tblCellMar>
            <w:top w:w="28" w:type="dxa"/>
            <w:left w:w="28" w:type="dxa"/>
            <w:bottom w:w="28" w:type="dxa"/>
            <w:right w:w="28" w:type="dxa"/>
          </w:tblCellMar>
          <w:tblLook w:val="0000"/>
        </w:tblPrEx>
        <w:trPr>
          <w:trHeight w:val="427"/>
          <w:jc w:val="center"/>
        </w:trPr>
        <w:tc>
          <w:tcPr>
            <w:tcW w:w="486" w:type="dxa"/>
            <w:tcMar>
              <w:top w:w="57" w:type="dxa"/>
              <w:left w:w="57" w:type="dxa"/>
              <w:bottom w:w="57" w:type="dxa"/>
              <w:right w:w="57" w:type="dxa"/>
            </w:tcMar>
          </w:tcPr>
          <w:p w:rsidR="000B7CDC" w:rsidRPr="000B7CDC" w:rsidP="001132D1" w14:paraId="5AFB0B87" w14:textId="77777777">
            <w:pPr>
              <w:pStyle w:val="naisnod"/>
              <w:spacing w:before="0" w:after="0"/>
              <w:ind w:left="57" w:right="57"/>
              <w:jc w:val="left"/>
              <w:rPr>
                <w:b w:val="0"/>
              </w:rPr>
            </w:pPr>
            <w:r w:rsidRPr="000B7CDC">
              <w:rPr>
                <w:b w:val="0"/>
              </w:rPr>
              <w:t>1.</w:t>
            </w:r>
          </w:p>
        </w:tc>
        <w:tc>
          <w:tcPr>
            <w:tcW w:w="4570" w:type="dxa"/>
            <w:tcMar>
              <w:top w:w="57" w:type="dxa"/>
              <w:left w:w="57" w:type="dxa"/>
              <w:bottom w:w="57" w:type="dxa"/>
              <w:right w:w="57" w:type="dxa"/>
            </w:tcMar>
          </w:tcPr>
          <w:p w:rsidR="000B7CDC" w:rsidRPr="000B7CDC" w:rsidP="001132D1" w14:paraId="5AFB0B88" w14:textId="77777777">
            <w:pPr>
              <w:pStyle w:val="naisf"/>
              <w:spacing w:before="0" w:after="0"/>
              <w:ind w:left="57" w:right="57" w:firstLine="0"/>
              <w:jc w:val="left"/>
            </w:pPr>
            <w:r w:rsidRPr="000B7CDC">
              <w:t xml:space="preserve">Projekta izpildē iesaistītās institūcijas </w:t>
            </w:r>
          </w:p>
        </w:tc>
        <w:tc>
          <w:tcPr>
            <w:tcW w:w="4418" w:type="dxa"/>
            <w:tcMar>
              <w:top w:w="57" w:type="dxa"/>
              <w:left w:w="57" w:type="dxa"/>
              <w:bottom w:w="57" w:type="dxa"/>
              <w:right w:w="57" w:type="dxa"/>
            </w:tcMar>
          </w:tcPr>
          <w:p w:rsidR="000B7CDC" w:rsidRPr="000B7CDC" w:rsidP="001132D1" w14:paraId="5AFB0B89" w14:textId="77777777">
            <w:pPr>
              <w:pStyle w:val="naisc"/>
              <w:spacing w:before="0" w:after="0"/>
              <w:jc w:val="both"/>
            </w:pPr>
            <w:r w:rsidRPr="000B7CDC">
              <w:t>VARAM, Valsts vides dienests.</w:t>
            </w:r>
          </w:p>
        </w:tc>
      </w:tr>
      <w:tr w14:paraId="5AFB0B8F" w14:textId="77777777" w:rsidTr="001132D1">
        <w:tblPrEx>
          <w:tblW w:w="9474" w:type="dxa"/>
          <w:jc w:val="center"/>
          <w:tblCellMar>
            <w:top w:w="28" w:type="dxa"/>
            <w:left w:w="28" w:type="dxa"/>
            <w:bottom w:w="28" w:type="dxa"/>
            <w:right w:w="28" w:type="dxa"/>
          </w:tblCellMar>
          <w:tblLook w:val="0000"/>
        </w:tblPrEx>
        <w:trPr>
          <w:trHeight w:val="463"/>
          <w:jc w:val="center"/>
        </w:trPr>
        <w:tc>
          <w:tcPr>
            <w:tcW w:w="486" w:type="dxa"/>
            <w:tcMar>
              <w:top w:w="57" w:type="dxa"/>
              <w:left w:w="57" w:type="dxa"/>
              <w:bottom w:w="57" w:type="dxa"/>
              <w:right w:w="57" w:type="dxa"/>
            </w:tcMar>
          </w:tcPr>
          <w:p w:rsidR="000B7CDC" w:rsidRPr="000B7CDC" w:rsidP="001132D1" w14:paraId="5AFB0B8B" w14:textId="77777777">
            <w:pPr>
              <w:pStyle w:val="naisnod"/>
              <w:spacing w:before="0" w:after="0"/>
              <w:ind w:left="57" w:right="57"/>
              <w:jc w:val="left"/>
              <w:rPr>
                <w:b w:val="0"/>
              </w:rPr>
            </w:pPr>
            <w:r w:rsidRPr="000B7CDC">
              <w:rPr>
                <w:b w:val="0"/>
              </w:rPr>
              <w:t>2.</w:t>
            </w:r>
          </w:p>
        </w:tc>
        <w:tc>
          <w:tcPr>
            <w:tcW w:w="4570" w:type="dxa"/>
            <w:tcMar>
              <w:top w:w="57" w:type="dxa"/>
              <w:left w:w="57" w:type="dxa"/>
              <w:bottom w:w="57" w:type="dxa"/>
              <w:right w:w="57" w:type="dxa"/>
            </w:tcMar>
          </w:tcPr>
          <w:p w:rsidR="000B7CDC" w:rsidRPr="000B7CDC" w:rsidP="001132D1" w14:paraId="5AFB0B8C" w14:textId="77777777">
            <w:pPr>
              <w:pStyle w:val="naisf"/>
              <w:spacing w:before="0" w:after="0"/>
              <w:ind w:left="57" w:right="57" w:firstLine="0"/>
              <w:jc w:val="left"/>
            </w:pPr>
            <w:r w:rsidRPr="000B7CDC">
              <w:t>Projekta izpildes ietekme uz pārvaldes funkcijām un institucionālo struktūru</w:t>
            </w:r>
          </w:p>
        </w:tc>
        <w:tc>
          <w:tcPr>
            <w:tcW w:w="4418" w:type="dxa"/>
            <w:tcMar>
              <w:top w:w="57" w:type="dxa"/>
              <w:left w:w="57" w:type="dxa"/>
              <w:bottom w:w="57" w:type="dxa"/>
              <w:right w:w="57" w:type="dxa"/>
            </w:tcMar>
          </w:tcPr>
          <w:p w:rsidR="000B7CDC" w:rsidRPr="000B7CDC" w:rsidP="001132D1" w14:paraId="5AFB0B8D" w14:textId="77777777">
            <w:pPr>
              <w:pStyle w:val="naisnod"/>
              <w:spacing w:before="0" w:after="0"/>
              <w:ind w:right="57"/>
              <w:jc w:val="left"/>
              <w:rPr>
                <w:b w:val="0"/>
              </w:rPr>
            </w:pPr>
            <w:r w:rsidRPr="000B7CDC">
              <w:rPr>
                <w:b w:val="0"/>
              </w:rPr>
              <w:t>Noteikumu projekts neietekmē iesaistīto institūciju funkcijas un uzdevumus.</w:t>
            </w:r>
          </w:p>
          <w:p w:rsidR="000B7CDC" w:rsidRPr="000B7CDC" w:rsidP="001132D1" w14:paraId="5AFB0B8E" w14:textId="77777777">
            <w:pPr>
              <w:pStyle w:val="naisnod"/>
              <w:spacing w:before="0" w:after="0"/>
              <w:ind w:right="57"/>
              <w:jc w:val="both"/>
              <w:rPr>
                <w:b w:val="0"/>
              </w:rPr>
            </w:pPr>
            <w:r w:rsidRPr="000B7CDC">
              <w:rPr>
                <w:b w:val="0"/>
              </w:rPr>
              <w:t>Nav paredzēta jauno institūciju izveide/likvidēšana/reorganizēšana</w:t>
            </w:r>
            <w:r w:rsidR="00E91506">
              <w:rPr>
                <w:b w:val="0"/>
              </w:rPr>
              <w:t>.</w:t>
            </w:r>
          </w:p>
        </w:tc>
      </w:tr>
      <w:tr w14:paraId="5AFB0B93" w14:textId="77777777" w:rsidTr="001132D1">
        <w:tblPrEx>
          <w:tblW w:w="9474" w:type="dxa"/>
          <w:jc w:val="center"/>
          <w:tblCellMar>
            <w:top w:w="28" w:type="dxa"/>
            <w:left w:w="28" w:type="dxa"/>
            <w:bottom w:w="28" w:type="dxa"/>
            <w:right w:w="28" w:type="dxa"/>
          </w:tblCellMar>
          <w:tblLook w:val="0000"/>
        </w:tblPrEx>
        <w:trPr>
          <w:trHeight w:val="476"/>
          <w:jc w:val="center"/>
        </w:trPr>
        <w:tc>
          <w:tcPr>
            <w:tcW w:w="486" w:type="dxa"/>
            <w:tcMar>
              <w:top w:w="57" w:type="dxa"/>
              <w:left w:w="57" w:type="dxa"/>
              <w:bottom w:w="57" w:type="dxa"/>
              <w:right w:w="57" w:type="dxa"/>
            </w:tcMar>
          </w:tcPr>
          <w:p w:rsidR="000B7CDC" w:rsidRPr="000B7CDC" w:rsidP="001132D1" w14:paraId="5AFB0B90" w14:textId="77777777">
            <w:pPr>
              <w:pStyle w:val="naiskr"/>
              <w:spacing w:before="0" w:after="0"/>
              <w:ind w:left="57" w:right="57"/>
            </w:pPr>
            <w:r w:rsidRPr="000B7CDC">
              <w:t>3.</w:t>
            </w:r>
          </w:p>
        </w:tc>
        <w:tc>
          <w:tcPr>
            <w:tcW w:w="4570" w:type="dxa"/>
            <w:tcMar>
              <w:top w:w="57" w:type="dxa"/>
              <w:left w:w="57" w:type="dxa"/>
              <w:bottom w:w="57" w:type="dxa"/>
              <w:right w:w="57" w:type="dxa"/>
            </w:tcMar>
          </w:tcPr>
          <w:p w:rsidR="000B7CDC" w:rsidRPr="000B7CDC" w:rsidP="001132D1" w14:paraId="5AFB0B91" w14:textId="77777777">
            <w:pPr>
              <w:pStyle w:val="naiskr"/>
              <w:spacing w:before="0" w:after="0"/>
              <w:ind w:left="57" w:right="57"/>
            </w:pPr>
            <w:r w:rsidRPr="000B7CDC">
              <w:t>Cita informācija</w:t>
            </w:r>
          </w:p>
        </w:tc>
        <w:tc>
          <w:tcPr>
            <w:tcW w:w="4418" w:type="dxa"/>
            <w:tcMar>
              <w:top w:w="57" w:type="dxa"/>
              <w:left w:w="57" w:type="dxa"/>
              <w:bottom w:w="57" w:type="dxa"/>
              <w:right w:w="57" w:type="dxa"/>
            </w:tcMar>
          </w:tcPr>
          <w:p w:rsidR="000B7CDC" w:rsidRPr="000B7CDC" w:rsidP="001132D1" w14:paraId="5AFB0B92" w14:textId="77777777">
            <w:pPr>
              <w:pStyle w:val="naiskr"/>
              <w:spacing w:before="0" w:after="0"/>
              <w:ind w:left="57" w:right="57"/>
            </w:pPr>
            <w:r w:rsidRPr="000B7CDC">
              <w:t>Nav.</w:t>
            </w:r>
          </w:p>
        </w:tc>
      </w:tr>
    </w:tbl>
    <w:p w:rsidR="000B7CDC" w:rsidRPr="000B7CDC" w:rsidP="000B7CDC" w14:paraId="5AFB0B94" w14:textId="77777777">
      <w:pPr>
        <w:pStyle w:val="naisf"/>
        <w:spacing w:before="0" w:after="0"/>
        <w:ind w:firstLine="374"/>
        <w:rPr>
          <w:b/>
        </w:rPr>
      </w:pPr>
    </w:p>
    <w:p w:rsidR="000B7CDC" w:rsidRPr="000B7CDC" w:rsidP="000B7CDC" w14:paraId="5AFB0B95" w14:textId="77777777">
      <w:pPr>
        <w:pStyle w:val="naisf"/>
        <w:spacing w:before="0" w:after="0"/>
        <w:ind w:firstLine="374"/>
        <w:rPr>
          <w:b/>
        </w:rPr>
      </w:pPr>
    </w:p>
    <w:p w:rsidR="000B7CDC" w:rsidRPr="000B7CDC" w:rsidP="000B7CDC" w14:paraId="5AFB0B96" w14:textId="77777777">
      <w:pPr>
        <w:pStyle w:val="naisf"/>
        <w:spacing w:before="0" w:after="0"/>
        <w:ind w:firstLine="374"/>
        <w:rPr>
          <w:b/>
        </w:rPr>
      </w:pPr>
    </w:p>
    <w:p w:rsidR="00BB0F1E" w:rsidRPr="00ED433D" w:rsidP="00BB0F1E" w14:paraId="5AFB0B97" w14:textId="77777777"/>
    <w:p w:rsidR="00BB0F1E" w:rsidRPr="00ED433D" w:rsidP="00BB0F1E" w14:paraId="5AFB0B98" w14:textId="77777777">
      <w:pPr>
        <w:pStyle w:val="tv2161"/>
        <w:spacing w:before="0" w:line="240" w:lineRule="auto"/>
        <w:ind w:firstLine="0"/>
        <w:jc w:val="both"/>
        <w:rPr>
          <w:rFonts w:ascii="Times New Roman" w:hAnsi="Times New Roman"/>
          <w:sz w:val="24"/>
          <w:szCs w:val="24"/>
        </w:rPr>
      </w:pPr>
      <w:r>
        <w:rPr>
          <w:rFonts w:ascii="Times New Roman" w:hAnsi="Times New Roman"/>
          <w:sz w:val="24"/>
          <w:szCs w:val="24"/>
        </w:rPr>
        <w:t>V</w:t>
      </w:r>
      <w:r w:rsidRPr="00ED433D">
        <w:rPr>
          <w:rFonts w:ascii="Times New Roman" w:hAnsi="Times New Roman"/>
          <w:sz w:val="24"/>
          <w:szCs w:val="24"/>
        </w:rPr>
        <w:t xml:space="preserve">ides aizsardzības un </w:t>
      </w:r>
    </w:p>
    <w:p w:rsidR="00BB0F1E" w:rsidP="00BB0F1E" w14:paraId="5AFB0B99" w14:textId="77777777">
      <w:r>
        <w:t>reģionālās attīstības ministrs</w:t>
      </w:r>
      <w:r>
        <w:tab/>
      </w:r>
      <w:r>
        <w:tab/>
      </w:r>
      <w:r>
        <w:tab/>
      </w:r>
      <w:r>
        <w:tab/>
      </w:r>
      <w:r>
        <w:tab/>
      </w:r>
      <w:r>
        <w:tab/>
      </w:r>
      <w:r w:rsidR="00BF6742">
        <w:tab/>
      </w:r>
      <w:r>
        <w:t>K.</w:t>
      </w:r>
      <w:r w:rsidR="00FD7CC7">
        <w:t> </w:t>
      </w:r>
      <w:r>
        <w:t>Gerhards</w:t>
      </w:r>
    </w:p>
    <w:p w:rsidR="00BB0F1E" w:rsidRPr="00867ED3" w:rsidP="00BB0F1E" w14:paraId="5AFB0B9D" w14:textId="15F24786">
      <w:pPr>
        <w:pStyle w:val="tv2161"/>
        <w:spacing w:before="0" w:line="240" w:lineRule="auto"/>
        <w:ind w:firstLine="0"/>
        <w:jc w:val="left"/>
      </w:pP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p>
    <w:p w:rsidR="00E91506" w:rsidP="00BB0F1E" w14:paraId="5AFB0B9E" w14:textId="77777777">
      <w:pPr>
        <w:pStyle w:val="tv2161"/>
        <w:spacing w:before="0" w:line="240" w:lineRule="auto"/>
        <w:ind w:firstLine="0"/>
        <w:jc w:val="both"/>
        <w:rPr>
          <w:rFonts w:ascii="Times New Roman" w:hAnsi="Times New Roman"/>
          <w:sz w:val="24"/>
          <w:szCs w:val="24"/>
          <w:lang w:eastAsia="lv-LV"/>
        </w:rPr>
      </w:pPr>
    </w:p>
    <w:p w:rsidR="00E91506" w:rsidP="00BB0F1E" w14:paraId="5AFB0B9F" w14:textId="77777777">
      <w:pPr>
        <w:pStyle w:val="tv2161"/>
        <w:spacing w:before="0" w:line="240" w:lineRule="auto"/>
        <w:ind w:firstLine="0"/>
        <w:jc w:val="both"/>
        <w:rPr>
          <w:rFonts w:ascii="Times New Roman" w:hAnsi="Times New Roman"/>
          <w:sz w:val="24"/>
          <w:szCs w:val="24"/>
          <w:lang w:eastAsia="lv-LV"/>
        </w:rPr>
      </w:pPr>
    </w:p>
    <w:p w:rsidR="00BB0F1E" w:rsidRPr="00C32B8E" w:rsidP="00BB0F1E" w14:paraId="5AFB0BA0" w14:textId="77777777">
      <w:pPr>
        <w:pStyle w:val="tv2161"/>
        <w:spacing w:before="0" w:line="240" w:lineRule="auto"/>
        <w:ind w:firstLine="0"/>
        <w:jc w:val="both"/>
        <w:rPr>
          <w:rFonts w:ascii="Times New Roman" w:hAnsi="Times New Roman"/>
          <w:sz w:val="24"/>
          <w:szCs w:val="24"/>
          <w:lang w:eastAsia="lv-LV"/>
        </w:rPr>
      </w:pPr>
      <w:r w:rsidRPr="00C32B8E">
        <w:rPr>
          <w:rFonts w:ascii="Times New Roman" w:hAnsi="Times New Roman"/>
          <w:sz w:val="24"/>
          <w:szCs w:val="24"/>
          <w:lang w:eastAsia="lv-LV"/>
        </w:rPr>
        <w:t xml:space="preserve">                                                   </w:t>
      </w:r>
      <w:r w:rsidRPr="00C32B8E">
        <w:rPr>
          <w:rFonts w:ascii="Times New Roman" w:hAnsi="Times New Roman"/>
          <w:sz w:val="24"/>
          <w:szCs w:val="24"/>
          <w:lang w:eastAsia="lv-LV"/>
        </w:rPr>
        <w:tab/>
        <w:t xml:space="preserve"> </w:t>
      </w:r>
    </w:p>
    <w:p w:rsidR="00BB0F1E" w:rsidP="00BB0F1E" w14:paraId="5AFB0BA1" w14:textId="77777777">
      <w:pPr>
        <w:rPr>
          <w:sz w:val="20"/>
          <w:szCs w:val="20"/>
        </w:rPr>
      </w:pPr>
      <w:r w:rsidRPr="00507719">
        <w:rPr>
          <w:sz w:val="20"/>
          <w:szCs w:val="20"/>
        </w:rPr>
        <w:t>Doniņa</w:t>
      </w:r>
      <w:r>
        <w:rPr>
          <w:sz w:val="20"/>
          <w:szCs w:val="20"/>
        </w:rPr>
        <w:t xml:space="preserve">, </w:t>
      </w:r>
      <w:r w:rsidRPr="00507719">
        <w:rPr>
          <w:sz w:val="20"/>
          <w:szCs w:val="20"/>
        </w:rPr>
        <w:t>6</w:t>
      </w:r>
      <w:smartTag w:uri="schemas-tilde-lv/tildestengine" w:element="phone">
        <w:smartTagPr>
          <w:attr w:name="phone_number" w:val="7026515"/>
        </w:smartTagPr>
        <w:r w:rsidRPr="00507719">
          <w:rPr>
            <w:sz w:val="20"/>
            <w:szCs w:val="20"/>
          </w:rPr>
          <w:t>7026515</w:t>
        </w:r>
      </w:smartTag>
    </w:p>
    <w:p w:rsidR="00BB0F1E" w:rsidRPr="00563D3C" w:rsidP="00BB0F1E" w14:paraId="5AFB0BA2" w14:textId="77777777">
      <w:pPr>
        <w:rPr>
          <w:sz w:val="20"/>
          <w:szCs w:val="20"/>
        </w:rPr>
      </w:pPr>
      <w:r>
        <w:fldChar w:fldCharType="begin"/>
      </w:r>
      <w:r>
        <w:instrText xml:space="preserve"> HYPERLINK "mailto:ilze.donina@varam.gov.lv" </w:instrText>
      </w:r>
      <w:r>
        <w:fldChar w:fldCharType="separate"/>
      </w:r>
      <w:r w:rsidRPr="00507719" w:rsidR="00452ABA">
        <w:rPr>
          <w:rStyle w:val="Hyperlink"/>
          <w:sz w:val="20"/>
          <w:szCs w:val="20"/>
        </w:rPr>
        <w:t>ilze.donina@varam.gov.lv</w:t>
      </w:r>
      <w:r>
        <w:fldChar w:fldCharType="end"/>
      </w:r>
    </w:p>
    <w:p w:rsidR="001132D1" w:rsidRPr="00453C1B" w14:paraId="5AFB0BA3" w14:textId="77777777">
      <w:pPr>
        <w:rPr>
          <w:sz w:val="20"/>
          <w:szCs w:val="20"/>
        </w:rPr>
      </w:pPr>
    </w:p>
    <w:sectPr w:rsidSect="001132D1">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63D9" w:rsidRPr="00E6554D" w:rsidP="00E6554D" w14:paraId="5AFB0BAB" w14:textId="77777777">
    <w:pPr>
      <w:pStyle w:val="Title"/>
      <w:jc w:val="both"/>
      <w:rPr>
        <w:b w:val="0"/>
      </w:rPr>
    </w:pPr>
    <w:r w:rsidRPr="00E6554D">
      <w:rPr>
        <w:b w:val="0"/>
      </w:rPr>
      <w:t>VARAMAnot_</w:t>
    </w:r>
    <w:r>
      <w:rPr>
        <w:b w:val="0"/>
      </w:rPr>
      <w:t>190118_EEIA sutijumi</w:t>
    </w:r>
  </w:p>
  <w:p w:rsidR="004463D9" w:rsidRPr="009F5E0A" w:rsidP="001132D1" w14:paraId="5AFB0BAC" w14:textId="77777777">
    <w:pPr>
      <w:pStyle w:val="Title"/>
      <w:jc w:val="both"/>
      <w:rPr>
        <w:b w:val="0"/>
        <w:bCs w:val="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63D9" w:rsidRPr="00E6554D" w:rsidP="00E6554D" w14:paraId="5AFB0BAE" w14:textId="77777777">
    <w:pPr>
      <w:pStyle w:val="Title"/>
      <w:jc w:val="both"/>
      <w:rPr>
        <w:b w:val="0"/>
      </w:rPr>
    </w:pPr>
    <w:r w:rsidRPr="00E6554D">
      <w:rPr>
        <w:b w:val="0"/>
      </w:rPr>
      <w:t>VARAMAnot_</w:t>
    </w:r>
    <w:r>
      <w:rPr>
        <w:b w:val="0"/>
      </w:rPr>
      <w:t>190118_EEIA sutijumi</w:t>
    </w:r>
  </w:p>
  <w:p w:rsidR="004463D9" w:rsidRPr="009D3527" w:rsidP="001132D1" w14:paraId="5AFB0BAF" w14:textId="77777777">
    <w:pPr>
      <w:pStyle w:val="Title"/>
      <w:jc w:val="both"/>
      <w:rPr>
        <w:b w:val="0"/>
      </w:rPr>
    </w:pPr>
  </w:p>
  <w:p w:rsidR="004463D9" w:rsidRPr="00A918C3" w:rsidP="001132D1" w14:paraId="5AFB0BB0" w14:textId="77777777">
    <w:pPr>
      <w:pStyle w:val="Title"/>
      <w:jc w:val="left"/>
      <w:rPr>
        <w:b w:val="0"/>
      </w:rPr>
    </w:pPr>
  </w:p>
  <w:p w:rsidR="004463D9" w:rsidRPr="0091577B" w:rsidP="001132D1" w14:paraId="5AFB0BB1" w14:textId="77777777">
    <w:pPr>
      <w:pStyle w:val="Title"/>
      <w:jc w:val="both"/>
      <w:rPr>
        <w:b w:val="0"/>
        <w:bCs w:val="0"/>
      </w:rPr>
    </w:pPr>
  </w:p>
  <w:p w:rsidR="004463D9" w:rsidRPr="00503A61" w:rsidP="001132D1" w14:paraId="5AFB0BB2" w14:textId="77777777">
    <w:pPr>
      <w:pStyle w:val="Title"/>
      <w:jc w:val="both"/>
      <w:rPr>
        <w:b w:val="0"/>
        <w:b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63D9" w:rsidP="000B7CDC" w14:paraId="0DBEAB8A" w14:textId="77777777">
      <w:r>
        <w:separator/>
      </w:r>
    </w:p>
  </w:footnote>
  <w:footnote w:type="continuationSeparator" w:id="1">
    <w:p w:rsidR="004463D9" w:rsidP="000B7CDC" w14:paraId="0C9289E2" w14:textId="77777777">
      <w:r>
        <w:continuationSeparator/>
      </w:r>
    </w:p>
  </w:footnote>
  <w:footnote w:type="continuationNotice" w:id="2">
    <w:p w:rsidR="00C23D0C" w14:paraId="3B789611" w14:textId="77777777"/>
  </w:footnote>
  <w:footnote w:id="3">
    <w:p w:rsidR="004463D9" w:rsidP="00CB6BFC" w14:paraId="5AFB0BB3" w14:textId="77777777">
      <w:pPr>
        <w:pStyle w:val="FootnoteText"/>
        <w:jc w:val="both"/>
      </w:pPr>
      <w:r>
        <w:rPr>
          <w:rStyle w:val="FootnoteReference"/>
        </w:rPr>
        <w:footnoteRef/>
      </w:r>
      <w:r>
        <w:t xml:space="preserve"> </w:t>
      </w:r>
      <w:r>
        <w:fldChar w:fldCharType="begin"/>
      </w:r>
      <w:r>
        <w:instrText xml:space="preserve"> HYPERLINK "http://tap.mk.gov.lv/lv/mk/tap/?pid=40323577" </w:instrText>
      </w:r>
      <w:r>
        <w:fldChar w:fldCharType="separate"/>
      </w:r>
      <w:r w:rsidRPr="004C5A5E">
        <w:rPr>
          <w:rStyle w:val="Hyperlink"/>
        </w:rPr>
        <w:t>http://tap.mk.gov.lv/lv/mk/tap/?pid=40323577</w:t>
      </w:r>
      <w:r>
        <w:fldChar w:fldCharType="end"/>
      </w:r>
      <w:r>
        <w:t xml:space="preserve"> </w:t>
      </w:r>
    </w:p>
  </w:footnote>
  <w:footnote w:id="4">
    <w:p w:rsidR="004463D9" w:rsidP="00550DF0" w14:paraId="5AFB0BB4" w14:textId="77777777">
      <w:r>
        <w:rPr>
          <w:rStyle w:val="FootnoteReference"/>
        </w:rPr>
        <w:footnoteRef/>
      </w:r>
      <w:r>
        <w:t xml:space="preserve"> </w:t>
      </w:r>
      <w:r>
        <w:fldChar w:fldCharType="begin"/>
      </w:r>
      <w:r>
        <w:instrText xml:space="preserve"> HYPERLINK "http://ec.europa.eu/environment/waste/weee/pdf/faq.pdf" </w:instrText>
      </w:r>
      <w:r>
        <w:fldChar w:fldCharType="separate"/>
      </w:r>
      <w:r w:rsidRPr="008B3797">
        <w:rPr>
          <w:rStyle w:val="Hyperlink"/>
        </w:rPr>
        <w:t>http://ec.europa.eu/environment/waste/weee/pdf/faq.pdf</w:t>
      </w:r>
      <w:r>
        <w:fldChar w:fldCharType="end"/>
      </w:r>
    </w:p>
    <w:p w:rsidR="004463D9" w:rsidP="00550DF0" w14:paraId="5AFB0BB5"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63D9" w14:paraId="5AFB0BA9" w14:textId="77777777">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Pr="00013525">
      <w:rPr>
        <w:rStyle w:val="PageNumber"/>
      </w:rPr>
      <w:t>6</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7950C0"/>
    <w:multiLevelType w:val="hybridMultilevel"/>
    <w:tmpl w:val="65EA337C"/>
    <w:lvl w:ilvl="0">
      <w:start w:val="1"/>
      <w:numFmt w:val="decimal"/>
      <w:lvlText w:val="%1)"/>
      <w:lvlJc w:val="left"/>
      <w:pPr>
        <w:ind w:left="5037" w:hanging="360"/>
      </w:pPr>
      <w:rPr>
        <w:rFonts w:hint="default"/>
      </w:rPr>
    </w:lvl>
    <w:lvl w:ilvl="1" w:tentative="1">
      <w:start w:val="1"/>
      <w:numFmt w:val="lowerLetter"/>
      <w:lvlText w:val="%2."/>
      <w:lvlJc w:val="left"/>
      <w:pPr>
        <w:ind w:left="5757" w:hanging="360"/>
      </w:pPr>
    </w:lvl>
    <w:lvl w:ilvl="2" w:tentative="1">
      <w:start w:val="1"/>
      <w:numFmt w:val="lowerRoman"/>
      <w:lvlText w:val="%3."/>
      <w:lvlJc w:val="right"/>
      <w:pPr>
        <w:ind w:left="6477" w:hanging="180"/>
      </w:pPr>
    </w:lvl>
    <w:lvl w:ilvl="3" w:tentative="1">
      <w:start w:val="1"/>
      <w:numFmt w:val="decimal"/>
      <w:lvlText w:val="%4."/>
      <w:lvlJc w:val="left"/>
      <w:pPr>
        <w:ind w:left="7197" w:hanging="360"/>
      </w:pPr>
    </w:lvl>
    <w:lvl w:ilvl="4" w:tentative="1">
      <w:start w:val="1"/>
      <w:numFmt w:val="lowerLetter"/>
      <w:lvlText w:val="%5."/>
      <w:lvlJc w:val="left"/>
      <w:pPr>
        <w:ind w:left="7917" w:hanging="360"/>
      </w:pPr>
    </w:lvl>
    <w:lvl w:ilvl="5" w:tentative="1">
      <w:start w:val="1"/>
      <w:numFmt w:val="lowerRoman"/>
      <w:lvlText w:val="%6."/>
      <w:lvlJc w:val="right"/>
      <w:pPr>
        <w:ind w:left="8637" w:hanging="180"/>
      </w:pPr>
    </w:lvl>
    <w:lvl w:ilvl="6" w:tentative="1">
      <w:start w:val="1"/>
      <w:numFmt w:val="decimal"/>
      <w:lvlText w:val="%7."/>
      <w:lvlJc w:val="left"/>
      <w:pPr>
        <w:ind w:left="9357" w:hanging="360"/>
      </w:pPr>
    </w:lvl>
    <w:lvl w:ilvl="7" w:tentative="1">
      <w:start w:val="1"/>
      <w:numFmt w:val="lowerLetter"/>
      <w:lvlText w:val="%8."/>
      <w:lvlJc w:val="left"/>
      <w:pPr>
        <w:ind w:left="10077" w:hanging="360"/>
      </w:pPr>
    </w:lvl>
    <w:lvl w:ilvl="8" w:tentative="1">
      <w:start w:val="1"/>
      <w:numFmt w:val="lowerRoman"/>
      <w:lvlText w:val="%9."/>
      <w:lvlJc w:val="right"/>
      <w:pPr>
        <w:ind w:left="10797" w:hanging="180"/>
      </w:pPr>
    </w:lvl>
  </w:abstractNum>
  <w:abstractNum w:abstractNumId="1" w15:restartNumberingAfterBreak="1">
    <w:nsid w:val="2A4F5FCD"/>
    <w:multiLevelType w:val="hybridMultilevel"/>
    <w:tmpl w:val="C908C20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2BCA2608"/>
    <w:multiLevelType w:val="hybridMultilevel"/>
    <w:tmpl w:val="5E6A7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4D9509E2"/>
    <w:multiLevelType w:val="hybridMultilevel"/>
    <w:tmpl w:val="4726D6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54114B61"/>
    <w:multiLevelType w:val="hybridMultilevel"/>
    <w:tmpl w:val="DA101D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722D73EE"/>
    <w:multiLevelType w:val="hybridMultilevel"/>
    <w:tmpl w:val="501CAC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763935E9"/>
    <w:multiLevelType w:val="hybridMultilevel"/>
    <w:tmpl w:val="39387022"/>
    <w:lvl w:ilvl="0">
      <w:start w:val="8"/>
      <w:numFmt w:val="bullet"/>
      <w:lvlText w:val=""/>
      <w:lvlJc w:val="left"/>
      <w:pPr>
        <w:ind w:left="470" w:hanging="360"/>
      </w:pPr>
      <w:rPr>
        <w:rFonts w:ascii="Symbol" w:eastAsia="Times New Roman" w:hAnsi="Symbol" w:cs="Times New Roman" w:hint="default"/>
        <w:b/>
      </w:rPr>
    </w:lvl>
    <w:lvl w:ilvl="1" w:tentative="1">
      <w:start w:val="1"/>
      <w:numFmt w:val="bullet"/>
      <w:lvlText w:val="o"/>
      <w:lvlJc w:val="left"/>
      <w:pPr>
        <w:ind w:left="1190" w:hanging="360"/>
      </w:pPr>
      <w:rPr>
        <w:rFonts w:ascii="Courier New" w:hAnsi="Courier New" w:cs="Courier New" w:hint="default"/>
      </w:rPr>
    </w:lvl>
    <w:lvl w:ilvl="2" w:tentative="1">
      <w:start w:val="1"/>
      <w:numFmt w:val="bullet"/>
      <w:lvlText w:val=""/>
      <w:lvlJc w:val="left"/>
      <w:pPr>
        <w:ind w:left="1910" w:hanging="360"/>
      </w:pPr>
      <w:rPr>
        <w:rFonts w:ascii="Wingdings" w:hAnsi="Wingdings" w:hint="default"/>
      </w:rPr>
    </w:lvl>
    <w:lvl w:ilvl="3" w:tentative="1">
      <w:start w:val="1"/>
      <w:numFmt w:val="bullet"/>
      <w:lvlText w:val=""/>
      <w:lvlJc w:val="left"/>
      <w:pPr>
        <w:ind w:left="2630" w:hanging="360"/>
      </w:pPr>
      <w:rPr>
        <w:rFonts w:ascii="Symbol" w:hAnsi="Symbol" w:hint="default"/>
      </w:rPr>
    </w:lvl>
    <w:lvl w:ilvl="4" w:tentative="1">
      <w:start w:val="1"/>
      <w:numFmt w:val="bullet"/>
      <w:lvlText w:val="o"/>
      <w:lvlJc w:val="left"/>
      <w:pPr>
        <w:ind w:left="3350" w:hanging="360"/>
      </w:pPr>
      <w:rPr>
        <w:rFonts w:ascii="Courier New" w:hAnsi="Courier New" w:cs="Courier New" w:hint="default"/>
      </w:rPr>
    </w:lvl>
    <w:lvl w:ilvl="5" w:tentative="1">
      <w:start w:val="1"/>
      <w:numFmt w:val="bullet"/>
      <w:lvlText w:val=""/>
      <w:lvlJc w:val="left"/>
      <w:pPr>
        <w:ind w:left="4070" w:hanging="360"/>
      </w:pPr>
      <w:rPr>
        <w:rFonts w:ascii="Wingdings" w:hAnsi="Wingdings" w:hint="default"/>
      </w:rPr>
    </w:lvl>
    <w:lvl w:ilvl="6" w:tentative="1">
      <w:start w:val="1"/>
      <w:numFmt w:val="bullet"/>
      <w:lvlText w:val=""/>
      <w:lvlJc w:val="left"/>
      <w:pPr>
        <w:ind w:left="4790" w:hanging="360"/>
      </w:pPr>
      <w:rPr>
        <w:rFonts w:ascii="Symbol" w:hAnsi="Symbol" w:hint="default"/>
      </w:rPr>
    </w:lvl>
    <w:lvl w:ilvl="7" w:tentative="1">
      <w:start w:val="1"/>
      <w:numFmt w:val="bullet"/>
      <w:lvlText w:val="o"/>
      <w:lvlJc w:val="left"/>
      <w:pPr>
        <w:ind w:left="5510" w:hanging="360"/>
      </w:pPr>
      <w:rPr>
        <w:rFonts w:ascii="Courier New" w:hAnsi="Courier New" w:cs="Courier New" w:hint="default"/>
      </w:rPr>
    </w:lvl>
    <w:lvl w:ilvl="8" w:tentative="1">
      <w:start w:val="1"/>
      <w:numFmt w:val="bullet"/>
      <w:lvlText w:val=""/>
      <w:lvlJc w:val="left"/>
      <w:pPr>
        <w:ind w:left="623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DC"/>
    <w:rsid w:val="00013525"/>
    <w:rsid w:val="000429F8"/>
    <w:rsid w:val="00045F43"/>
    <w:rsid w:val="000669FF"/>
    <w:rsid w:val="00082AC1"/>
    <w:rsid w:val="00084588"/>
    <w:rsid w:val="00085E82"/>
    <w:rsid w:val="0009296C"/>
    <w:rsid w:val="000A31FE"/>
    <w:rsid w:val="000B0060"/>
    <w:rsid w:val="000B7CDC"/>
    <w:rsid w:val="000F75D8"/>
    <w:rsid w:val="00110030"/>
    <w:rsid w:val="001132D1"/>
    <w:rsid w:val="00121FD8"/>
    <w:rsid w:val="00150A24"/>
    <w:rsid w:val="00187C24"/>
    <w:rsid w:val="001A1719"/>
    <w:rsid w:val="001B36FF"/>
    <w:rsid w:val="001F41F4"/>
    <w:rsid w:val="00234599"/>
    <w:rsid w:val="002373D0"/>
    <w:rsid w:val="00245738"/>
    <w:rsid w:val="00280F66"/>
    <w:rsid w:val="00293372"/>
    <w:rsid w:val="002A64C7"/>
    <w:rsid w:val="002D1389"/>
    <w:rsid w:val="002D2EAD"/>
    <w:rsid w:val="00323F1E"/>
    <w:rsid w:val="003241D8"/>
    <w:rsid w:val="003340DE"/>
    <w:rsid w:val="003A5B5F"/>
    <w:rsid w:val="003D4944"/>
    <w:rsid w:val="003F3F91"/>
    <w:rsid w:val="00412F87"/>
    <w:rsid w:val="00416DC5"/>
    <w:rsid w:val="004269C8"/>
    <w:rsid w:val="00435DF2"/>
    <w:rsid w:val="004463D9"/>
    <w:rsid w:val="004523AB"/>
    <w:rsid w:val="00452ABA"/>
    <w:rsid w:val="00453C1B"/>
    <w:rsid w:val="00493AA5"/>
    <w:rsid w:val="004B24D6"/>
    <w:rsid w:val="004B56E2"/>
    <w:rsid w:val="004C5A5E"/>
    <w:rsid w:val="004E6C6D"/>
    <w:rsid w:val="004F3BB5"/>
    <w:rsid w:val="00503A61"/>
    <w:rsid w:val="00507719"/>
    <w:rsid w:val="005370EE"/>
    <w:rsid w:val="00550DF0"/>
    <w:rsid w:val="00563D3C"/>
    <w:rsid w:val="00573EF2"/>
    <w:rsid w:val="0059304E"/>
    <w:rsid w:val="005B0002"/>
    <w:rsid w:val="005D6773"/>
    <w:rsid w:val="005F6F54"/>
    <w:rsid w:val="00742BEC"/>
    <w:rsid w:val="007B1414"/>
    <w:rsid w:val="007E31A2"/>
    <w:rsid w:val="007E6462"/>
    <w:rsid w:val="007F30EE"/>
    <w:rsid w:val="007F536E"/>
    <w:rsid w:val="00801925"/>
    <w:rsid w:val="00820554"/>
    <w:rsid w:val="0085325C"/>
    <w:rsid w:val="008645EE"/>
    <w:rsid w:val="00867ED3"/>
    <w:rsid w:val="008B3797"/>
    <w:rsid w:val="008E5D93"/>
    <w:rsid w:val="0090690B"/>
    <w:rsid w:val="0091577B"/>
    <w:rsid w:val="00917821"/>
    <w:rsid w:val="00936E4C"/>
    <w:rsid w:val="00954CFD"/>
    <w:rsid w:val="009642B0"/>
    <w:rsid w:val="00975414"/>
    <w:rsid w:val="00982E1F"/>
    <w:rsid w:val="00984AFF"/>
    <w:rsid w:val="0099367D"/>
    <w:rsid w:val="009D3527"/>
    <w:rsid w:val="009E04C9"/>
    <w:rsid w:val="009E41D1"/>
    <w:rsid w:val="009F5E0A"/>
    <w:rsid w:val="00A55A05"/>
    <w:rsid w:val="00A822C8"/>
    <w:rsid w:val="00A918C3"/>
    <w:rsid w:val="00AA1245"/>
    <w:rsid w:val="00AC2CEB"/>
    <w:rsid w:val="00AE3D55"/>
    <w:rsid w:val="00AF43CF"/>
    <w:rsid w:val="00B62235"/>
    <w:rsid w:val="00B77F4B"/>
    <w:rsid w:val="00B82949"/>
    <w:rsid w:val="00B914C3"/>
    <w:rsid w:val="00B93089"/>
    <w:rsid w:val="00B97746"/>
    <w:rsid w:val="00BA04FF"/>
    <w:rsid w:val="00BB0F1E"/>
    <w:rsid w:val="00BC4698"/>
    <w:rsid w:val="00BE394B"/>
    <w:rsid w:val="00BE498C"/>
    <w:rsid w:val="00BF2896"/>
    <w:rsid w:val="00BF6742"/>
    <w:rsid w:val="00C0270E"/>
    <w:rsid w:val="00C23D0C"/>
    <w:rsid w:val="00C26DDD"/>
    <w:rsid w:val="00C32B8E"/>
    <w:rsid w:val="00C948B7"/>
    <w:rsid w:val="00C95BF7"/>
    <w:rsid w:val="00CB6BFC"/>
    <w:rsid w:val="00CC3398"/>
    <w:rsid w:val="00CD1260"/>
    <w:rsid w:val="00CF16AA"/>
    <w:rsid w:val="00D01BA1"/>
    <w:rsid w:val="00D15FA8"/>
    <w:rsid w:val="00D25D35"/>
    <w:rsid w:val="00D65A9C"/>
    <w:rsid w:val="00D969D7"/>
    <w:rsid w:val="00DB2A9B"/>
    <w:rsid w:val="00DD6C75"/>
    <w:rsid w:val="00DE3494"/>
    <w:rsid w:val="00E05891"/>
    <w:rsid w:val="00E53771"/>
    <w:rsid w:val="00E53968"/>
    <w:rsid w:val="00E6554D"/>
    <w:rsid w:val="00E91506"/>
    <w:rsid w:val="00EB3A61"/>
    <w:rsid w:val="00ED433D"/>
    <w:rsid w:val="00F97499"/>
    <w:rsid w:val="00FB41DC"/>
    <w:rsid w:val="00FC5414"/>
    <w:rsid w:val="00FD7CC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37552730-2DE1-4BAD-9F60-CA9839F6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C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7CDC"/>
    <w:pPr>
      <w:tabs>
        <w:tab w:val="center" w:pos="4153"/>
        <w:tab w:val="right" w:pos="8306"/>
      </w:tabs>
    </w:pPr>
  </w:style>
  <w:style w:type="character" w:customStyle="1" w:styleId="HeaderChar">
    <w:name w:val="Header Char"/>
    <w:link w:val="Header"/>
    <w:rsid w:val="000B7CDC"/>
    <w:rPr>
      <w:rFonts w:ascii="Times New Roman" w:eastAsia="Times New Roman" w:hAnsi="Times New Roman" w:cs="Times New Roman"/>
      <w:sz w:val="24"/>
      <w:szCs w:val="24"/>
      <w:lang w:val="lv-LV" w:eastAsia="lv-LV"/>
    </w:rPr>
  </w:style>
  <w:style w:type="paragraph" w:customStyle="1" w:styleId="naisf">
    <w:name w:val="naisf"/>
    <w:basedOn w:val="Normal"/>
    <w:rsid w:val="000B7CDC"/>
    <w:pPr>
      <w:spacing w:before="75" w:after="75"/>
      <w:ind w:firstLine="375"/>
      <w:jc w:val="both"/>
    </w:pPr>
  </w:style>
  <w:style w:type="character" w:styleId="PageNumber">
    <w:name w:val="page number"/>
    <w:basedOn w:val="DefaultParagraphFont"/>
    <w:rsid w:val="000B7CDC"/>
  </w:style>
  <w:style w:type="character" w:styleId="Hyperlink">
    <w:name w:val="Hyperlink"/>
    <w:rsid w:val="000B7CDC"/>
    <w:rPr>
      <w:rFonts w:cs="Times New Roman"/>
      <w:color w:val="0000FF"/>
      <w:u w:val="single"/>
    </w:rPr>
  </w:style>
  <w:style w:type="paragraph" w:customStyle="1" w:styleId="naisnod">
    <w:name w:val="naisnod"/>
    <w:basedOn w:val="Normal"/>
    <w:rsid w:val="000B7CDC"/>
    <w:pPr>
      <w:spacing w:before="150" w:after="150"/>
      <w:jc w:val="center"/>
    </w:pPr>
    <w:rPr>
      <w:b/>
      <w:bCs/>
    </w:rPr>
  </w:style>
  <w:style w:type="paragraph" w:customStyle="1" w:styleId="naiskr">
    <w:name w:val="naiskr"/>
    <w:basedOn w:val="Normal"/>
    <w:rsid w:val="000B7CDC"/>
    <w:pPr>
      <w:spacing w:before="75" w:after="75"/>
    </w:pPr>
  </w:style>
  <w:style w:type="paragraph" w:styleId="Title">
    <w:name w:val="Title"/>
    <w:basedOn w:val="Normal"/>
    <w:link w:val="TitleChar"/>
    <w:qFormat/>
    <w:rsid w:val="000B7CDC"/>
    <w:pPr>
      <w:jc w:val="center"/>
    </w:pPr>
    <w:rPr>
      <w:b/>
      <w:bCs/>
      <w:lang w:eastAsia="x-none"/>
    </w:rPr>
  </w:style>
  <w:style w:type="character" w:customStyle="1" w:styleId="TitleChar">
    <w:name w:val="Title Char"/>
    <w:link w:val="Title"/>
    <w:rsid w:val="000B7CDC"/>
    <w:rPr>
      <w:rFonts w:ascii="Times New Roman" w:eastAsia="Times New Roman" w:hAnsi="Times New Roman" w:cs="Times New Roman"/>
      <w:b/>
      <w:bCs/>
      <w:sz w:val="24"/>
      <w:szCs w:val="24"/>
      <w:lang w:val="lv-LV"/>
    </w:rPr>
  </w:style>
  <w:style w:type="paragraph" w:customStyle="1" w:styleId="naisc">
    <w:name w:val="naisc"/>
    <w:basedOn w:val="Normal"/>
    <w:rsid w:val="000B7CDC"/>
    <w:pPr>
      <w:spacing w:before="75" w:after="75"/>
      <w:jc w:val="center"/>
    </w:pPr>
  </w:style>
  <w:style w:type="character" w:styleId="Emphasis">
    <w:name w:val="Emphasis"/>
    <w:uiPriority w:val="20"/>
    <w:qFormat/>
    <w:rsid w:val="000B7CDC"/>
    <w:rPr>
      <w:i/>
      <w:iCs/>
    </w:rPr>
  </w:style>
  <w:style w:type="paragraph" w:customStyle="1" w:styleId="tvhtml1">
    <w:name w:val="tv_html1"/>
    <w:basedOn w:val="Normal"/>
    <w:rsid w:val="000B7CDC"/>
    <w:pPr>
      <w:spacing w:before="100" w:beforeAutospacing="1" w:line="360" w:lineRule="auto"/>
    </w:pPr>
    <w:rPr>
      <w:rFonts w:ascii="Verdana" w:hAnsi="Verdana"/>
      <w:sz w:val="18"/>
      <w:szCs w:val="18"/>
      <w:lang w:val="en-US" w:eastAsia="en-US"/>
    </w:rPr>
  </w:style>
  <w:style w:type="character" w:styleId="Strong">
    <w:name w:val="Strong"/>
    <w:uiPriority w:val="22"/>
    <w:qFormat/>
    <w:rsid w:val="000B7CDC"/>
    <w:rPr>
      <w:b/>
      <w:bCs/>
    </w:rPr>
  </w:style>
  <w:style w:type="paragraph" w:customStyle="1" w:styleId="tv2131">
    <w:name w:val="tv2131"/>
    <w:basedOn w:val="Normal"/>
    <w:rsid w:val="000B7CDC"/>
    <w:pPr>
      <w:spacing w:before="240" w:line="360" w:lineRule="auto"/>
      <w:ind w:firstLine="217"/>
      <w:jc w:val="both"/>
    </w:pPr>
    <w:rPr>
      <w:rFonts w:ascii="Verdana" w:hAnsi="Verdana"/>
      <w:sz w:val="13"/>
      <w:szCs w:val="13"/>
      <w:lang w:val="en-US" w:eastAsia="en-US"/>
    </w:rPr>
  </w:style>
  <w:style w:type="paragraph" w:customStyle="1" w:styleId="tv2161">
    <w:name w:val="tv2161"/>
    <w:basedOn w:val="Normal"/>
    <w:rsid w:val="000B7CDC"/>
    <w:pPr>
      <w:spacing w:before="240" w:line="360" w:lineRule="auto"/>
      <w:ind w:firstLine="259"/>
      <w:jc w:val="right"/>
    </w:pPr>
    <w:rPr>
      <w:rFonts w:ascii="Verdana" w:hAnsi="Verdana"/>
      <w:sz w:val="16"/>
      <w:szCs w:val="16"/>
      <w:lang w:eastAsia="en-US"/>
    </w:rPr>
  </w:style>
  <w:style w:type="paragraph" w:customStyle="1" w:styleId="Normal1">
    <w:name w:val="Normal1"/>
    <w:basedOn w:val="Normal"/>
    <w:rsid w:val="000B7CDC"/>
    <w:pPr>
      <w:spacing w:before="120"/>
      <w:jc w:val="both"/>
    </w:pPr>
    <w:rPr>
      <w:sz w:val="18"/>
      <w:szCs w:val="18"/>
      <w:lang w:val="en-US" w:eastAsia="en-US"/>
    </w:rPr>
  </w:style>
  <w:style w:type="paragraph" w:styleId="ListParagraph">
    <w:name w:val="List Paragraph"/>
    <w:basedOn w:val="Normal"/>
    <w:uiPriority w:val="34"/>
    <w:qFormat/>
    <w:rsid w:val="000B7CDC"/>
    <w:pPr>
      <w:ind w:left="720"/>
      <w:contextualSpacing/>
    </w:pPr>
  </w:style>
  <w:style w:type="table" w:styleId="TableGrid">
    <w:name w:val="Table Grid"/>
    <w:basedOn w:val="TableNormal"/>
    <w:uiPriority w:val="39"/>
    <w:rsid w:val="000B7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7CDC"/>
    <w:pPr>
      <w:tabs>
        <w:tab w:val="center" w:pos="4320"/>
        <w:tab w:val="right" w:pos="8640"/>
      </w:tabs>
    </w:pPr>
  </w:style>
  <w:style w:type="character" w:customStyle="1" w:styleId="FooterChar">
    <w:name w:val="Footer Char"/>
    <w:link w:val="Footer"/>
    <w:uiPriority w:val="99"/>
    <w:rsid w:val="000B7CDC"/>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975414"/>
    <w:rPr>
      <w:sz w:val="20"/>
      <w:szCs w:val="20"/>
    </w:rPr>
  </w:style>
  <w:style w:type="character" w:customStyle="1" w:styleId="EndnoteTextChar">
    <w:name w:val="Endnote Text Char"/>
    <w:link w:val="EndnoteText"/>
    <w:uiPriority w:val="99"/>
    <w:semiHidden/>
    <w:rsid w:val="00975414"/>
    <w:rPr>
      <w:rFonts w:ascii="Times New Roman" w:eastAsia="Times New Roman" w:hAnsi="Times New Roman"/>
      <w:lang w:val="lv-LV" w:eastAsia="lv-LV"/>
    </w:rPr>
  </w:style>
  <w:style w:type="character" w:styleId="EndnoteReference">
    <w:name w:val="endnote reference"/>
    <w:uiPriority w:val="99"/>
    <w:semiHidden/>
    <w:unhideWhenUsed/>
    <w:rsid w:val="00975414"/>
    <w:rPr>
      <w:vertAlign w:val="superscript"/>
    </w:rPr>
  </w:style>
  <w:style w:type="paragraph" w:styleId="FootnoteText">
    <w:name w:val="footnote text"/>
    <w:basedOn w:val="Normal"/>
    <w:link w:val="FootnoteTextChar"/>
    <w:uiPriority w:val="99"/>
    <w:unhideWhenUsed/>
    <w:rsid w:val="00975414"/>
    <w:rPr>
      <w:sz w:val="20"/>
      <w:szCs w:val="20"/>
    </w:rPr>
  </w:style>
  <w:style w:type="character" w:customStyle="1" w:styleId="FootnoteTextChar">
    <w:name w:val="Footnote Text Char"/>
    <w:link w:val="FootnoteText"/>
    <w:uiPriority w:val="99"/>
    <w:rsid w:val="00975414"/>
    <w:rPr>
      <w:rFonts w:ascii="Times New Roman" w:eastAsia="Times New Roman" w:hAnsi="Times New Roman"/>
      <w:lang w:val="lv-LV" w:eastAsia="lv-LV"/>
    </w:rPr>
  </w:style>
  <w:style w:type="character" w:styleId="FootnoteReference">
    <w:name w:val="footnote reference"/>
    <w:uiPriority w:val="99"/>
    <w:semiHidden/>
    <w:unhideWhenUsed/>
    <w:rsid w:val="00975414"/>
    <w:rPr>
      <w:vertAlign w:val="superscript"/>
    </w:rPr>
  </w:style>
  <w:style w:type="paragraph" w:customStyle="1" w:styleId="norm">
    <w:name w:val="norm"/>
    <w:basedOn w:val="Normal"/>
    <w:rsid w:val="00975414"/>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293372"/>
    <w:rPr>
      <w:rFonts w:ascii="Segoe UI" w:hAnsi="Segoe UI"/>
      <w:sz w:val="18"/>
      <w:szCs w:val="18"/>
      <w:lang w:val="x-none" w:eastAsia="x-none"/>
    </w:rPr>
  </w:style>
  <w:style w:type="character" w:customStyle="1" w:styleId="BalloonTextChar">
    <w:name w:val="Balloon Text Char"/>
    <w:link w:val="BalloonText"/>
    <w:uiPriority w:val="99"/>
    <w:semiHidden/>
    <w:rsid w:val="00293372"/>
    <w:rPr>
      <w:rFonts w:ascii="Segoe UI" w:eastAsia="Times New Roman" w:hAnsi="Segoe UI" w:cs="Segoe UI"/>
      <w:sz w:val="18"/>
      <w:szCs w:val="18"/>
    </w:rPr>
  </w:style>
  <w:style w:type="paragraph" w:customStyle="1" w:styleId="tv213">
    <w:name w:val="tv213"/>
    <w:basedOn w:val="Normal"/>
    <w:rsid w:val="00E6554D"/>
    <w:pPr>
      <w:spacing w:before="100" w:beforeAutospacing="1" w:after="100" w:afterAutospacing="1"/>
    </w:pPr>
  </w:style>
  <w:style w:type="character" w:styleId="FollowedHyperlink">
    <w:name w:val="FollowedHyperlink"/>
    <w:uiPriority w:val="99"/>
    <w:semiHidden/>
    <w:unhideWhenUsed/>
    <w:rsid w:val="004E6C6D"/>
    <w:rPr>
      <w:color w:val="954F72"/>
      <w:u w:val="single"/>
    </w:rPr>
  </w:style>
  <w:style w:type="character" w:styleId="CommentReference">
    <w:name w:val="annotation reference"/>
    <w:uiPriority w:val="99"/>
    <w:semiHidden/>
    <w:unhideWhenUsed/>
    <w:rsid w:val="005F6F54"/>
    <w:rPr>
      <w:sz w:val="16"/>
      <w:szCs w:val="16"/>
    </w:rPr>
  </w:style>
  <w:style w:type="paragraph" w:styleId="CommentText">
    <w:name w:val="annotation text"/>
    <w:basedOn w:val="Normal"/>
    <w:link w:val="CommentTextChar"/>
    <w:uiPriority w:val="99"/>
    <w:semiHidden/>
    <w:unhideWhenUsed/>
    <w:rsid w:val="005F6F54"/>
    <w:rPr>
      <w:sz w:val="20"/>
      <w:szCs w:val="20"/>
    </w:rPr>
  </w:style>
  <w:style w:type="character" w:customStyle="1" w:styleId="CommentTextChar">
    <w:name w:val="Comment Text Char"/>
    <w:link w:val="CommentText"/>
    <w:uiPriority w:val="99"/>
    <w:semiHidden/>
    <w:rsid w:val="005F6F5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F6F54"/>
    <w:rPr>
      <w:b/>
      <w:bCs/>
    </w:rPr>
  </w:style>
  <w:style w:type="character" w:customStyle="1" w:styleId="CommentSubjectChar">
    <w:name w:val="Comment Subject Char"/>
    <w:link w:val="CommentSubject"/>
    <w:uiPriority w:val="99"/>
    <w:semiHidden/>
    <w:rsid w:val="005F6F54"/>
    <w:rPr>
      <w:rFonts w:ascii="Times New Roman" w:eastAsia="Times New Roman" w:hAnsi="Times New Roman"/>
      <w:b/>
      <w:bCs/>
    </w:rPr>
  </w:style>
  <w:style w:type="paragraph" w:styleId="NormalWeb">
    <w:name w:val="Normal (Web)"/>
    <w:basedOn w:val="Normal"/>
    <w:uiPriority w:val="99"/>
    <w:unhideWhenUsed/>
    <w:rsid w:val="005F6F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0853F-F84D-4296-893C-20C91CA6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8889</Words>
  <Characters>5067</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9.decembra  noteikumos Nr.752 “Prasības lietotu elektrisko un elektronisko iekārtu sūtījumu pārbaudei, par kuriem pastāv aizdomas, ka tiek sūtīti elektrisko un elektronisko iekārt</vt:lpstr>
    </vt:vector>
  </TitlesOfParts>
  <Company>VARAM</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9.decembra  noteikumos Nr.752 “Prasības lietotu elektrisko un elektronisko iekārtu sūtījumu pārbaudei, par kuriem pastāv aizdomas, ka tiek sūtīti elektrisko un elektronisko iekārtu atkritumi”sākotnējās ietekmes novērtējuma ziņojums (anotācija)</dc:title>
  <dc:subject>MK noteikumu projekta anotācija</dc:subject>
  <dc:creator>Ilze Donina</dc:creator>
  <dc:description>67026515, ilze.donina@varam.gov.lv</dc:description>
  <cp:lastModifiedBy>Dmitrijs Dmitrijevs</cp:lastModifiedBy>
  <cp:revision>5</cp:revision>
  <dcterms:created xsi:type="dcterms:W3CDTF">2018-01-19T13:27:00Z</dcterms:created>
  <dcterms:modified xsi:type="dcterms:W3CDTF">2018-01-25T12:21:00Z</dcterms:modified>
</cp:coreProperties>
</file>