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6C1919" w:rsidRPr="00C04FBF"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rsidR="006C1919" w:rsidRPr="00C04FBF"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8F677D" w:rsidP="006C1919">
      <w:pPr>
        <w:spacing w:after="0" w:line="240" w:lineRule="auto"/>
        <w:jc w:val="center"/>
        <w:rPr>
          <w:rFonts w:ascii="Times New Roman" w:hAnsi="Times New Roman" w:cs="Times New Roman"/>
          <w:b/>
          <w:sz w:val="24"/>
          <w:szCs w:val="24"/>
        </w:rPr>
      </w:pPr>
    </w:p>
    <w:tbl>
      <w:tblPr>
        <w:tblStyle w:val="TableGrid"/>
        <w:tblW w:w="0" w:type="auto"/>
        <w:tblLook w:val="04A0"/>
      </w:tblPr>
      <w:tblGrid>
        <w:gridCol w:w="4643"/>
        <w:gridCol w:w="4644"/>
      </w:tblGrid>
      <w:tr w:rsidTr="00713860">
        <w:tblPrEx>
          <w:tblW w:w="0" w:type="auto"/>
          <w:tblLook w:val="04A0"/>
        </w:tblPrEx>
        <w:tc>
          <w:tcPr>
            <w:tcW w:w="9287" w:type="dxa"/>
            <w:gridSpan w:val="2"/>
          </w:tcPr>
          <w:p w:rsidR="008F677D" w:rsidP="006C1919">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Tr="008F677D">
        <w:tblPrEx>
          <w:tblW w:w="0" w:type="auto"/>
          <w:tblLook w:val="04A0"/>
        </w:tblPrEx>
        <w:tc>
          <w:tcPr>
            <w:tcW w:w="4643" w:type="dxa"/>
          </w:tcPr>
          <w:p w:rsidR="008F677D" w:rsidRPr="008F677D" w:rsidP="008F677D">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4644" w:type="dxa"/>
          </w:tcPr>
          <w:p w:rsidR="008F677D" w:rsidRPr="008F677D" w:rsidP="008F677D">
            <w:pPr>
              <w:rPr>
                <w:rFonts w:ascii="Times New Roman" w:hAnsi="Times New Roman" w:cs="Times New Roman"/>
                <w:sz w:val="24"/>
                <w:szCs w:val="24"/>
              </w:rPr>
            </w:pPr>
            <w:r w:rsidRPr="008F677D">
              <w:rPr>
                <w:rFonts w:ascii="Times New Roman" w:hAnsi="Times New Roman" w:cs="Times New Roman"/>
                <w:sz w:val="24"/>
                <w:szCs w:val="24"/>
              </w:rPr>
              <w:t>Neskar</w:t>
            </w:r>
            <w:r w:rsidR="00552BDC">
              <w:rPr>
                <w:rFonts w:ascii="Times New Roman" w:hAnsi="Times New Roman" w:cs="Times New Roman"/>
                <w:sz w:val="24"/>
                <w:szCs w:val="24"/>
              </w:rPr>
              <w:t>.</w:t>
            </w:r>
          </w:p>
        </w:tc>
      </w:tr>
    </w:tbl>
    <w:p w:rsidR="006C1919" w:rsidRPr="00C04FBF" w:rsidP="006C1919">
      <w:pPr>
        <w:spacing w:after="0" w:line="240" w:lineRule="auto"/>
        <w:jc w:val="center"/>
        <w:rPr>
          <w:rFonts w:ascii="Times New Roman" w:hAnsi="Times New Roman" w:cs="Times New Roman"/>
          <w:sz w:val="24"/>
          <w:szCs w:val="24"/>
        </w:rPr>
      </w:pPr>
    </w:p>
    <w:tbl>
      <w:tblPr>
        <w:tblStyle w:val="TableGrid"/>
        <w:tblW w:w="0" w:type="auto"/>
        <w:tblLook w:val="04A0"/>
      </w:tblPr>
      <w:tblGrid>
        <w:gridCol w:w="668"/>
        <w:gridCol w:w="1949"/>
        <w:gridCol w:w="6670"/>
      </w:tblGrid>
      <w:tr w:rsidTr="00552BDC">
        <w:tblPrEx>
          <w:tblW w:w="0" w:type="auto"/>
          <w:tblLook w:val="04A0"/>
        </w:tblPrEx>
        <w:tc>
          <w:tcPr>
            <w:tcW w:w="9287" w:type="dxa"/>
            <w:gridSpan w:val="3"/>
            <w:tcBorders>
              <w:top w:val="single" w:sz="4" w:space="0" w:color="auto"/>
              <w:left w:val="single" w:sz="4" w:space="0" w:color="auto"/>
              <w:bottom w:val="single" w:sz="4" w:space="0" w:color="auto"/>
              <w:right w:val="single" w:sz="4" w:space="0" w:color="auto"/>
            </w:tcBorders>
            <w:hideMark/>
          </w:tcPr>
          <w:p w:rsidR="00552BDC">
            <w:pPr>
              <w:pStyle w:val="ListParagraph"/>
              <w:tabs>
                <w:tab w:val="left" w:pos="2268"/>
                <w:tab w:val="left" w:pos="2410"/>
              </w:tabs>
              <w:ind w:left="1080"/>
              <w:jc w:val="center"/>
              <w:rPr>
                <w:rFonts w:ascii="Times New Roman" w:hAnsi="Times New Roman" w:cs="Times New Roman"/>
                <w:b/>
                <w:sz w:val="24"/>
                <w:szCs w:val="24"/>
              </w:rPr>
            </w:pPr>
            <w:r>
              <w:rPr>
                <w:rFonts w:ascii="Times New Roman" w:hAnsi="Times New Roman" w:cs="Times New Roman"/>
                <w:b/>
                <w:bCs/>
                <w:sz w:val="24"/>
                <w:szCs w:val="24"/>
              </w:rPr>
              <w:t>I. Tiesību akta projekta izstrādes nepieciešamība</w:t>
            </w:r>
          </w:p>
        </w:tc>
      </w:tr>
      <w:tr w:rsidTr="00552BDC">
        <w:tblPrEx>
          <w:tblW w:w="0" w:type="auto"/>
          <w:tblLook w:val="04A0"/>
        </w:tblPrEx>
        <w:tc>
          <w:tcPr>
            <w:tcW w:w="675"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552BDC">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6769" w:type="dxa"/>
            <w:tcBorders>
              <w:top w:val="single" w:sz="4" w:space="0" w:color="auto"/>
              <w:left w:val="single" w:sz="4" w:space="0" w:color="auto"/>
              <w:bottom w:val="single" w:sz="4" w:space="0" w:color="auto"/>
              <w:right w:val="single" w:sz="4" w:space="0" w:color="auto"/>
            </w:tcBorders>
            <w:vAlign w:val="center"/>
            <w:hideMark/>
          </w:tcPr>
          <w:p w:rsidR="00552BDC">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1. Saskaņā ar Ministru kabineta un Latvijas Pašvaldību savienības 2008. gada 3. oktobra domstarpību un vienošanās </w:t>
            </w:r>
            <w:smartTag w:uri="schemas-tilde-lv/tildestengine" w:element="veidnes">
              <w:smartTagPr>
                <w:attr w:name="baseform" w:val="protokol|s"/>
                <w:attr w:name="id" w:val="-1"/>
                <w:attr w:name="text" w:val="protokolu"/>
              </w:smartTagPr>
              <w:r>
                <w:rPr>
                  <w:rFonts w:ascii="Times New Roman" w:hAnsi="Times New Roman" w:cs="Times New Roman"/>
                  <w:bCs/>
                  <w:sz w:val="24"/>
                  <w:szCs w:val="24"/>
                </w:rPr>
                <w:t>protokolu</w:t>
              </w:r>
            </w:smartTag>
            <w:r>
              <w:rPr>
                <w:rFonts w:ascii="Times New Roman" w:hAnsi="Times New Roman" w:cs="Times New Roman"/>
                <w:bCs/>
                <w:sz w:val="24"/>
                <w:szCs w:val="24"/>
              </w:rPr>
              <w:t xml:space="preserve"> Reģionālās attīstības un pašvaldību lietu ministrijai ir uzdots, sākot ar 2009. gadu, līdz katra gada 20. februārim izvērtēt pašvaldību iesniegtos valsts budžeta līdzekļu pieprasījumus par iepriekšējo gadu, kas saistīti ar Ministru kabineta 2007. gada 27. marta noteikumu Nr. 215 „Kārtība, kādā veicama smadzeņu un bioloģiskās nāves fakta konstatēšana un miruša cilvēka nodošana apbedīšanai” 19.2. apakšpunktā uzlikto pienākumu izpildi. Par finansēšanas avotu noteikta Finanšu ministrijas pamatbudžeta programmu </w:t>
            </w:r>
            <w:smartTag w:uri="schemas-tilde-lv/tildestengine" w:element="date">
              <w:smartTagPr>
                <w:attr w:name="Day" w:val="30"/>
                <w:attr w:name="Month" w:val="11"/>
                <w:attr w:name="Year" w:val="2001"/>
              </w:smartTagPr>
              <w:r>
                <w:rPr>
                  <w:rFonts w:ascii="Times New Roman" w:hAnsi="Times New Roman" w:cs="Times New Roman"/>
                  <w:bCs/>
                  <w:sz w:val="24"/>
                  <w:szCs w:val="24"/>
                </w:rPr>
                <w:t>02.00.00</w:t>
              </w:r>
            </w:smartTag>
            <w:r>
              <w:rPr>
                <w:rFonts w:ascii="Times New Roman" w:hAnsi="Times New Roman" w:cs="Times New Roman"/>
                <w:bCs/>
                <w:sz w:val="24"/>
                <w:szCs w:val="24"/>
              </w:rPr>
              <w:t xml:space="preserve"> „Līdzekļi neparedzētiem gadījumiem”. Saskaņā ar Ministru kabineta 2010. gada 22. novembra rīkojumu Nr. 676 „Par Reģionālās attīstības un pašvaldību lietu ministrijas likvidācijas nodrošināšanu” ar 2011. gada 1. janvāri Reģionālās attīstības un pašvaldību lietu ministrija tiek </w:t>
            </w:r>
            <w:r>
              <w:rPr>
                <w:rFonts w:ascii="Times New Roman" w:hAnsi="Times New Roman" w:cs="Times New Roman"/>
                <w:bCs/>
                <w:sz w:val="24"/>
                <w:szCs w:val="24"/>
              </w:rPr>
              <w:t>pievienota Vides ministrijai un izveidota jauna iestāde Vides</w:t>
            </w:r>
            <w:r>
              <w:rPr>
                <w:rFonts w:ascii="Times New Roman" w:hAnsi="Times New Roman" w:cs="Times New Roman"/>
                <w:bCs/>
                <w:sz w:val="24"/>
                <w:szCs w:val="24"/>
              </w:rPr>
              <w:t xml:space="preserve"> aizsardzības un reģionālās attīstības ministrija (turpmāk - VARAM).</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2.Jelgavas pilsētas pašvaldības iestādes “Jelgavas sociālo lietu pārvalde” 2018. gada 4. janvāra vēstule Nr.1-4/1634 “Par līdzekļu piešķiršanu no valsts budžeta programmas “Līdzekļi neparedzētiem gadījumiem””.</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3. Jūrmalas pilsētas domes Labklājības pārvaldes 2018. gada 11. janvāra vēstule Nr.11-9/300 “Par līdzekļu piešķiršanu no valsts budžeta programmas “Līdzekļi neparedzētiem gadījumiem””.</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4. Rīgas domes Mājokļu un vides departamenta 2018. gada 17. janvāra vēstule </w:t>
            </w:r>
            <w:r>
              <w:rPr>
                <w:rFonts w:ascii="Times New Roman" w:hAnsi="Times New Roman" w:cs="Times New Roman"/>
                <w:bCs/>
                <w:sz w:val="24"/>
                <w:szCs w:val="24"/>
              </w:rPr>
              <w:t>Nr.DMV-18-158</w:t>
            </w:r>
            <w:r>
              <w:rPr>
                <w:rFonts w:ascii="Times New Roman" w:hAnsi="Times New Roman" w:cs="Times New Roman"/>
                <w:bCs/>
                <w:sz w:val="24"/>
                <w:szCs w:val="24"/>
              </w:rPr>
              <w:t>-</w:t>
            </w:r>
            <w:r>
              <w:rPr>
                <w:rFonts w:ascii="Times New Roman" w:hAnsi="Times New Roman" w:cs="Times New Roman"/>
                <w:bCs/>
                <w:sz w:val="24"/>
                <w:szCs w:val="24"/>
              </w:rPr>
              <w:t>nd</w:t>
            </w:r>
            <w:r>
              <w:rPr>
                <w:rFonts w:ascii="Times New Roman" w:hAnsi="Times New Roman" w:cs="Times New Roman"/>
                <w:bCs/>
                <w:sz w:val="24"/>
                <w:szCs w:val="24"/>
              </w:rPr>
              <w:t xml:space="preserve"> “Par līdzekļu piešķiršanu no valsts budžeta programmas “Līdzekļi neparedzētiem gadījumiem” par neatpazītu mirušu personu apbedīšanu”.</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5. Valmieras pilsētas pašvaldības 2018. gada 19. janvāra vēstule Nr.2.2.1.7/18/64 “Par valsts budžeta līdzekļu nepieciešamību”.</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6. Ventspils pilsētas domes 2018. gada 10. janvāra vēstule Nr.1-09/5933 “Par līdzekļu piešķiršanu no valsts budžeta programmas “Līdzekļi neparedzētiem gadījumiem””.</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7. Jelgavas novada pašvaldības 2018. gada 15. janvāra vēstule </w:t>
            </w:r>
            <w:r>
              <w:rPr>
                <w:rFonts w:ascii="Times New Roman" w:hAnsi="Times New Roman" w:cs="Times New Roman"/>
                <w:bCs/>
                <w:sz w:val="24"/>
                <w:szCs w:val="24"/>
              </w:rPr>
              <w:t>Nr.JNP</w:t>
            </w:r>
            <w:r>
              <w:rPr>
                <w:rFonts w:ascii="Times New Roman" w:hAnsi="Times New Roman" w:cs="Times New Roman"/>
                <w:bCs/>
                <w:sz w:val="24"/>
                <w:szCs w:val="24"/>
              </w:rPr>
              <w:t>/3-18/18/19 “Par līdzekļu piešķiršanu no valsts budžeta programmas “Līdzekļi neparedzētiem gadījumiem” Jelgavas novadam”.</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8. Ķeguma novada pašvaldības 2018. gada 4. janvāra vēstule Nr. KNP7-2/18/3 “Par līdzekļu piešķiršanu no valsts budžeta programmas “Līdzekļi neparedzētiem gadījumiem””.</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9. Rucavas novada pašvaldības 2018. gada 22. janvāra vēstule Nr.2.1.8/4/24 “Par līdzekļu piešķiršanu no valsts budžeta programmas “Līdzekļi neparedzētiem gadījumiem””.</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10. Saulkrastu sociālā dienesta 2018. gada 5. janvāra vēstule Nr.1.9/1 “Par līdzekļu piešķiršanu no valsts budžeta programmas “Līdzekļi neparedzētiem gadījumiem””.</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11. Valkas novada Sociālā dienesta 2018. gada 3. janvāra vēstule Nr.4-3/18/2 “Pieprasījums par izdevumu segšanu”.</w:t>
            </w:r>
          </w:p>
          <w:p w:rsidR="00552BDC">
            <w:pPr>
              <w:ind w:firstLine="601"/>
              <w:jc w:val="both"/>
              <w:rPr>
                <w:rFonts w:ascii="Times New Roman" w:hAnsi="Times New Roman" w:cs="Times New Roman"/>
                <w:bCs/>
                <w:sz w:val="24"/>
                <w:szCs w:val="24"/>
              </w:rPr>
            </w:pPr>
            <w:r>
              <w:rPr>
                <w:rFonts w:ascii="Times New Roman" w:hAnsi="Times New Roman" w:cs="Times New Roman"/>
                <w:bCs/>
                <w:sz w:val="24"/>
                <w:szCs w:val="24"/>
              </w:rPr>
              <w:t>12. Ventspils novada pašvaldības 2018. gada 8. janvāra vēstule Nr.1.11./IZ129 “Par līdzekļu piešķiršanu no valsts budžeta programmas “Līdzekļi neparedzētiem gadījumiem””.</w:t>
            </w:r>
          </w:p>
        </w:tc>
      </w:tr>
      <w:tr w:rsidTr="00552BDC">
        <w:tblPrEx>
          <w:tblW w:w="0" w:type="auto"/>
          <w:tblLook w:val="04A0"/>
        </w:tblPrEx>
        <w:tc>
          <w:tcPr>
            <w:tcW w:w="675"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552BDC">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6769" w:type="dxa"/>
            <w:tcBorders>
              <w:top w:val="single" w:sz="4" w:space="0" w:color="auto"/>
              <w:left w:val="single" w:sz="4" w:space="0" w:color="auto"/>
              <w:bottom w:val="single" w:sz="4" w:space="0" w:color="auto"/>
              <w:right w:val="single" w:sz="4" w:space="0" w:color="auto"/>
            </w:tcBorders>
            <w:hideMark/>
          </w:tcPr>
          <w:p w:rsidR="00552BDC">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VARAM saņēma no Jelgavas pilsētas domes, Jūrmalas pilsētas domes, Rīgas pilsētas domes, Valmieras pilsētas domes, Ventspils pilsētas domes, Jelgavas novada pašvaldības, Ķeguma novada pašvaldības, Rucavas novada pašvaldības, Saulkrastu novada pašvaldības, Valkas novada pašvaldības un Ventspils novada pašvaldības informāciju un izvērtēja ar personu apbedīšanu saistīto izdevumu apstiprinošos dokumentus par izmaksām, kas pašvaldībām radās 2017. gadā, apglabājot tās mirušās personas, kuru personības nav noskaidrotas (turpmāk – mirušās personas).</w:t>
            </w:r>
          </w:p>
          <w:p w:rsidR="00552BDC">
            <w:pPr>
              <w:tabs>
                <w:tab w:val="left" w:pos="317"/>
                <w:tab w:val="left" w:pos="851"/>
              </w:tabs>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Ņemot vērā to, ka izmaksas, kas pašvaldībām radušās, apglabājot mirušās personas, ir pašvaldībām neparedzēti izdevumi, VARAM sagatavoja Ministru kabineta rīkojuma projektu „Par finanšu līdzekļu piešķiršanu no valsts budžeta programmas „Līdzekļi neparedzētiem gadījumiem””, kas paredz Finanšu ministrijai no valsts budžeta programmas 02.00.00 „Līdzekļi neparedzētiem gadījumiem” piešķirt VARAM </w:t>
            </w:r>
            <w:r w:rsidR="00BC53C4">
              <w:rPr>
                <w:rFonts w:ascii="Times New Roman" w:hAnsi="Times New Roman" w:cs="Times New Roman"/>
                <w:bCs/>
                <w:sz w:val="24"/>
                <w:szCs w:val="24"/>
              </w:rPr>
              <w:t>17 587</w:t>
            </w:r>
            <w:r>
              <w:rPr>
                <w:rFonts w:ascii="Times New Roman" w:hAnsi="Times New Roman" w:cs="Times New Roman"/>
                <w:bCs/>
                <w:sz w:val="24"/>
                <w:szCs w:val="24"/>
              </w:rPr>
              <w:t xml:space="preserve"> </w:t>
            </w:r>
            <w:r>
              <w:rPr>
                <w:rFonts w:ascii="Times New Roman" w:hAnsi="Times New Roman" w:cs="Times New Roman"/>
                <w:bCs/>
                <w:sz w:val="24"/>
                <w:szCs w:val="24"/>
              </w:rPr>
              <w:t>euro</w:t>
            </w:r>
            <w:r>
              <w:rPr>
                <w:rFonts w:ascii="Times New Roman" w:hAnsi="Times New Roman" w:cs="Times New Roman"/>
                <w:bCs/>
                <w:sz w:val="24"/>
                <w:szCs w:val="24"/>
              </w:rPr>
              <w:t xml:space="preserve"> pārskaitīšanai pašvaldībām, lai segtu izdevumus, kas pašvaldībām radušies 2017. gadā, apglabājot mirušās personas, kuru personība nav noskaidrota.</w:t>
            </w:r>
          </w:p>
          <w:p w:rsidR="00552BDC">
            <w:pPr>
              <w:ind w:firstLine="709"/>
              <w:jc w:val="both"/>
              <w:rPr>
                <w:rFonts w:ascii="Times New Roman" w:hAnsi="Times New Roman" w:cs="Times New Roman"/>
                <w:bCs/>
                <w:sz w:val="24"/>
                <w:szCs w:val="24"/>
              </w:rPr>
            </w:pPr>
            <w:r>
              <w:rPr>
                <w:rFonts w:ascii="Times New Roman" w:hAnsi="Times New Roman" w:cs="Times New Roman"/>
                <w:sz w:val="24"/>
                <w:szCs w:val="24"/>
              </w:rPr>
              <w:t xml:space="preserve">Ministru kabineta rīkojuma projekts „Par finanšu līdzekļu piešķiršanu no valsts budžeta programmas „Līdzekļi neparedzētiem </w:t>
            </w:r>
            <w:r>
              <w:rPr>
                <w:rFonts w:ascii="Times New Roman" w:hAnsi="Times New Roman" w:cs="Times New Roman"/>
                <w:bCs/>
                <w:sz w:val="24"/>
                <w:szCs w:val="24"/>
              </w:rPr>
              <w:t xml:space="preserve">gadījumiem”” paredz Finanšu ministrijai no valsts budžeta programmas 02.00.00 "Līdzekļi neparedzētiem gadījumiem" piešķirt Vides aizsardzības un reģionālās attīstības ministrijai </w:t>
            </w:r>
            <w:r w:rsidR="00BC53C4">
              <w:rPr>
                <w:rFonts w:ascii="Times New Roman" w:hAnsi="Times New Roman" w:cs="Times New Roman"/>
                <w:bCs/>
                <w:sz w:val="24"/>
                <w:szCs w:val="24"/>
              </w:rPr>
              <w:t>17 587</w:t>
            </w:r>
            <w:r>
              <w:rPr>
                <w:rFonts w:ascii="Times New Roman" w:hAnsi="Times New Roman" w:cs="Times New Roman"/>
                <w:bCs/>
                <w:sz w:val="24"/>
                <w:szCs w:val="24"/>
              </w:rPr>
              <w:t xml:space="preserve"> </w:t>
            </w:r>
            <w:r>
              <w:rPr>
                <w:rFonts w:ascii="Times New Roman" w:hAnsi="Times New Roman" w:cs="Times New Roman"/>
                <w:bCs/>
                <w:sz w:val="24"/>
                <w:szCs w:val="24"/>
              </w:rPr>
              <w:t>euro</w:t>
            </w:r>
            <w:r>
              <w:rPr>
                <w:rFonts w:ascii="Times New Roman" w:hAnsi="Times New Roman" w:cs="Times New Roman"/>
                <w:bCs/>
                <w:sz w:val="24"/>
                <w:szCs w:val="24"/>
              </w:rPr>
              <w:t xml:space="preserve"> pārskaitīšanai pašvaldībām, lai segtu izdevumus, kas pašvaldībām radušies 2017. gadā, apglabājot mirušās personas, kuru personība nav noskaidrota, tai skaitā:</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Jelgavas pilsētas domei – 270 </w:t>
            </w:r>
            <w:r>
              <w:rPr>
                <w:rFonts w:ascii="Times New Roman" w:hAnsi="Times New Roman" w:cs="Times New Roman"/>
                <w:bCs/>
                <w:sz w:val="24"/>
                <w:szCs w:val="24"/>
              </w:rPr>
              <w:t>euro</w:t>
            </w:r>
            <w:r>
              <w:rPr>
                <w:rFonts w:ascii="Times New Roman" w:hAnsi="Times New Roman" w:cs="Times New Roman"/>
                <w:bCs/>
                <w:sz w:val="24"/>
                <w:szCs w:val="24"/>
              </w:rPr>
              <w:t>;</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Jūrmalas pilsētas domei – 1 451 </w:t>
            </w:r>
            <w:r>
              <w:rPr>
                <w:rFonts w:ascii="Times New Roman" w:hAnsi="Times New Roman" w:cs="Times New Roman"/>
                <w:bCs/>
                <w:sz w:val="24"/>
                <w:szCs w:val="24"/>
              </w:rPr>
              <w:t>euro</w:t>
            </w:r>
            <w:r>
              <w:rPr>
                <w:rFonts w:ascii="Times New Roman" w:hAnsi="Times New Roman" w:cs="Times New Roman"/>
                <w:bCs/>
                <w:sz w:val="24"/>
                <w:szCs w:val="24"/>
              </w:rPr>
              <w:t>;</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Rīgas pilsētas domei – </w:t>
            </w:r>
            <w:r w:rsidR="00BC53C4">
              <w:rPr>
                <w:rFonts w:ascii="Times New Roman" w:hAnsi="Times New Roman" w:cs="Times New Roman"/>
                <w:bCs/>
                <w:sz w:val="24"/>
                <w:szCs w:val="24"/>
              </w:rPr>
              <w:t>13 123</w:t>
            </w:r>
            <w:r>
              <w:rPr>
                <w:rFonts w:ascii="Times New Roman" w:hAnsi="Times New Roman" w:cs="Times New Roman"/>
                <w:bCs/>
                <w:sz w:val="24"/>
                <w:szCs w:val="24"/>
              </w:rPr>
              <w:t xml:space="preserve"> </w:t>
            </w:r>
            <w:r>
              <w:rPr>
                <w:rFonts w:ascii="Times New Roman" w:hAnsi="Times New Roman" w:cs="Times New Roman"/>
                <w:bCs/>
                <w:sz w:val="24"/>
                <w:szCs w:val="24"/>
              </w:rPr>
              <w:t>euro</w:t>
            </w:r>
            <w:r>
              <w:rPr>
                <w:rFonts w:ascii="Times New Roman" w:hAnsi="Times New Roman" w:cs="Times New Roman"/>
                <w:bCs/>
                <w:sz w:val="24"/>
                <w:szCs w:val="24"/>
              </w:rPr>
              <w:t>;</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Valmieras pilsētas domei – 215 </w:t>
            </w:r>
            <w:r>
              <w:rPr>
                <w:rFonts w:ascii="Times New Roman" w:hAnsi="Times New Roman" w:cs="Times New Roman"/>
                <w:bCs/>
                <w:sz w:val="24"/>
                <w:szCs w:val="24"/>
              </w:rPr>
              <w:t>euro</w:t>
            </w:r>
            <w:r>
              <w:rPr>
                <w:rFonts w:ascii="Times New Roman" w:hAnsi="Times New Roman" w:cs="Times New Roman"/>
                <w:bCs/>
                <w:sz w:val="24"/>
                <w:szCs w:val="24"/>
              </w:rPr>
              <w:t>;</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Ventspils pilsētas domei – 254 </w:t>
            </w:r>
            <w:r>
              <w:rPr>
                <w:rFonts w:ascii="Times New Roman" w:hAnsi="Times New Roman" w:cs="Times New Roman"/>
                <w:bCs/>
                <w:sz w:val="24"/>
                <w:szCs w:val="24"/>
              </w:rPr>
              <w:t>euro</w:t>
            </w:r>
            <w:r>
              <w:rPr>
                <w:rFonts w:ascii="Times New Roman" w:hAnsi="Times New Roman" w:cs="Times New Roman"/>
                <w:bCs/>
                <w:sz w:val="24"/>
                <w:szCs w:val="24"/>
              </w:rPr>
              <w:t>;</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Jelgavas novada pašvaldībai – 299 </w:t>
            </w:r>
            <w:r>
              <w:rPr>
                <w:rFonts w:ascii="Times New Roman" w:hAnsi="Times New Roman" w:cs="Times New Roman"/>
                <w:bCs/>
                <w:sz w:val="24"/>
                <w:szCs w:val="24"/>
              </w:rPr>
              <w:t>euro</w:t>
            </w:r>
            <w:r>
              <w:rPr>
                <w:rFonts w:ascii="Times New Roman" w:hAnsi="Times New Roman" w:cs="Times New Roman"/>
                <w:bCs/>
                <w:sz w:val="24"/>
                <w:szCs w:val="24"/>
              </w:rPr>
              <w:t>;</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Ķeguma novada pašvaldībai – 369 </w:t>
            </w:r>
            <w:r>
              <w:rPr>
                <w:rFonts w:ascii="Times New Roman" w:hAnsi="Times New Roman" w:cs="Times New Roman"/>
                <w:bCs/>
                <w:sz w:val="24"/>
                <w:szCs w:val="24"/>
              </w:rPr>
              <w:t>euro</w:t>
            </w:r>
            <w:r>
              <w:rPr>
                <w:rFonts w:ascii="Times New Roman" w:hAnsi="Times New Roman" w:cs="Times New Roman"/>
                <w:bCs/>
                <w:sz w:val="24"/>
                <w:szCs w:val="24"/>
              </w:rPr>
              <w:t>;</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Rucavas novada pašvaldībai – 480 </w:t>
            </w:r>
            <w:r>
              <w:rPr>
                <w:rFonts w:ascii="Times New Roman" w:hAnsi="Times New Roman" w:cs="Times New Roman"/>
                <w:bCs/>
                <w:sz w:val="24"/>
                <w:szCs w:val="24"/>
              </w:rPr>
              <w:t>euro</w:t>
            </w:r>
            <w:r>
              <w:rPr>
                <w:rFonts w:ascii="Times New Roman" w:hAnsi="Times New Roman" w:cs="Times New Roman"/>
                <w:bCs/>
                <w:sz w:val="24"/>
                <w:szCs w:val="24"/>
              </w:rPr>
              <w:t>;</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Saulkrastu novada pašvaldībai – 459 </w:t>
            </w:r>
            <w:r>
              <w:rPr>
                <w:rFonts w:ascii="Times New Roman" w:hAnsi="Times New Roman" w:cs="Times New Roman"/>
                <w:bCs/>
                <w:sz w:val="24"/>
                <w:szCs w:val="24"/>
              </w:rPr>
              <w:t>euro</w:t>
            </w:r>
            <w:r>
              <w:rPr>
                <w:rFonts w:ascii="Times New Roman" w:hAnsi="Times New Roman" w:cs="Times New Roman"/>
                <w:bCs/>
                <w:sz w:val="24"/>
                <w:szCs w:val="24"/>
              </w:rPr>
              <w:t>;</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Valkas novada pašvaldībai – 285 </w:t>
            </w:r>
            <w:r>
              <w:rPr>
                <w:rFonts w:ascii="Times New Roman" w:hAnsi="Times New Roman" w:cs="Times New Roman"/>
                <w:bCs/>
                <w:sz w:val="24"/>
                <w:szCs w:val="24"/>
              </w:rPr>
              <w:t>euro</w:t>
            </w:r>
            <w:r>
              <w:rPr>
                <w:rFonts w:ascii="Times New Roman" w:hAnsi="Times New Roman" w:cs="Times New Roman"/>
                <w:bCs/>
                <w:sz w:val="24"/>
                <w:szCs w:val="24"/>
              </w:rPr>
              <w:t>;</w:t>
            </w:r>
          </w:p>
          <w:p w:rsidR="00552BDC" w:rsidP="00552BDC">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Ventspils novada pašvaldībai – 382 </w:t>
            </w:r>
            <w:r>
              <w:rPr>
                <w:rFonts w:ascii="Times New Roman" w:hAnsi="Times New Roman" w:cs="Times New Roman"/>
                <w:bCs/>
                <w:sz w:val="24"/>
                <w:szCs w:val="24"/>
              </w:rPr>
              <w:t>euro</w:t>
            </w:r>
            <w:r>
              <w:rPr>
                <w:rFonts w:ascii="Times New Roman" w:hAnsi="Times New Roman" w:cs="Times New Roman"/>
                <w:bCs/>
                <w:sz w:val="24"/>
                <w:szCs w:val="24"/>
              </w:rPr>
              <w:t>.</w:t>
            </w:r>
          </w:p>
        </w:tc>
      </w:tr>
      <w:tr w:rsidTr="00552BDC">
        <w:tblPrEx>
          <w:tblW w:w="0" w:type="auto"/>
          <w:tblLook w:val="04A0"/>
        </w:tblPrEx>
        <w:tc>
          <w:tcPr>
            <w:tcW w:w="675"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52BDC">
            <w:pPr>
              <w:rPr>
                <w:rFonts w:ascii="Times New Roman" w:hAnsi="Times New Roman" w:cs="Times New Roman"/>
                <w:sz w:val="24"/>
                <w:szCs w:val="24"/>
              </w:rPr>
            </w:pPr>
            <w:r>
              <w:rPr>
                <w:rFonts w:ascii="Times New Roman" w:hAnsi="Times New Roman" w:cs="Times New Roman"/>
                <w:sz w:val="24"/>
                <w:szCs w:val="24"/>
              </w:rPr>
              <w:t xml:space="preserve">Projekta izstrādē iesaistītās </w:t>
            </w:r>
            <w:r>
              <w:rPr>
                <w:rFonts w:ascii="Times New Roman" w:hAnsi="Times New Roman" w:cs="Times New Roman"/>
                <w:sz w:val="24"/>
                <w:szCs w:val="24"/>
              </w:rPr>
              <w:t>institūcijas un publiskas personas kapitālsabiedrības</w:t>
            </w:r>
          </w:p>
        </w:tc>
        <w:tc>
          <w:tcPr>
            <w:tcW w:w="6769" w:type="dxa"/>
            <w:tcBorders>
              <w:top w:val="single" w:sz="4" w:space="0" w:color="auto"/>
              <w:left w:val="single" w:sz="4" w:space="0" w:color="auto"/>
              <w:bottom w:val="single" w:sz="4" w:space="0" w:color="auto"/>
              <w:right w:val="single" w:sz="4" w:space="0" w:color="auto"/>
            </w:tcBorders>
            <w:hideMark/>
          </w:tcPr>
          <w:p w:rsidR="00552BDC">
            <w:pPr>
              <w:rPr>
                <w:rFonts w:ascii="Times New Roman" w:hAnsi="Times New Roman" w:cs="Times New Roman"/>
                <w:sz w:val="24"/>
                <w:szCs w:val="24"/>
              </w:rPr>
            </w:pPr>
            <w:r>
              <w:rPr>
                <w:rFonts w:ascii="Times New Roman" w:hAnsi="Times New Roman" w:cs="Times New Roman"/>
                <w:sz w:val="24"/>
                <w:szCs w:val="24"/>
              </w:rPr>
              <w:t>VARAM un Finanšu ministrija.</w:t>
            </w:r>
          </w:p>
        </w:tc>
      </w:tr>
      <w:tr w:rsidTr="00552BDC">
        <w:tblPrEx>
          <w:tblW w:w="0" w:type="auto"/>
          <w:tblLook w:val="04A0"/>
        </w:tblPrEx>
        <w:tc>
          <w:tcPr>
            <w:tcW w:w="675"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552BDC">
            <w:pPr>
              <w:rPr>
                <w:rFonts w:ascii="Times New Roman" w:hAnsi="Times New Roman" w:cs="Times New Roman"/>
                <w:sz w:val="24"/>
                <w:szCs w:val="24"/>
              </w:rPr>
            </w:pPr>
            <w:r>
              <w:rPr>
                <w:rFonts w:ascii="Times New Roman" w:hAnsi="Times New Roman" w:cs="Times New Roman"/>
                <w:sz w:val="24"/>
                <w:szCs w:val="24"/>
              </w:rPr>
              <w:t>Cita informācija</w:t>
            </w:r>
          </w:p>
        </w:tc>
        <w:tc>
          <w:tcPr>
            <w:tcW w:w="6769" w:type="dxa"/>
            <w:tcBorders>
              <w:top w:val="single" w:sz="4" w:space="0" w:color="auto"/>
              <w:left w:val="single" w:sz="4" w:space="0" w:color="auto"/>
              <w:bottom w:val="single" w:sz="4" w:space="0" w:color="auto"/>
              <w:right w:val="single" w:sz="4" w:space="0" w:color="auto"/>
            </w:tcBorders>
            <w:hideMark/>
          </w:tcPr>
          <w:p w:rsidR="00552BDC">
            <w:pPr>
              <w:rPr>
                <w:rFonts w:ascii="Times New Roman" w:hAnsi="Times New Roman" w:cs="Times New Roman"/>
                <w:sz w:val="24"/>
                <w:szCs w:val="24"/>
              </w:rPr>
            </w:pPr>
            <w:r>
              <w:rPr>
                <w:rFonts w:ascii="Times New Roman" w:hAnsi="Times New Roman" w:cs="Times New Roman"/>
                <w:sz w:val="24"/>
                <w:szCs w:val="24"/>
              </w:rPr>
              <w:t>Nav.</w:t>
            </w:r>
          </w:p>
        </w:tc>
      </w:tr>
    </w:tbl>
    <w:p w:rsidR="00552BDC" w:rsidP="00552BDC">
      <w:pPr>
        <w:spacing w:after="0" w:line="240" w:lineRule="auto"/>
        <w:jc w:val="both"/>
        <w:rPr>
          <w:rFonts w:ascii="Times New Roman" w:hAnsi="Times New Roman" w:cs="Times New Roman"/>
          <w:sz w:val="24"/>
          <w:szCs w:val="24"/>
        </w:rPr>
      </w:pPr>
    </w:p>
    <w:tbl>
      <w:tblPr>
        <w:tblStyle w:val="TableGrid"/>
        <w:tblW w:w="0" w:type="auto"/>
        <w:tblLook w:val="04A0"/>
      </w:tblPr>
      <w:tblGrid>
        <w:gridCol w:w="9287"/>
      </w:tblGrid>
      <w:tr w:rsidTr="00552BDC">
        <w:tblPrEx>
          <w:tblW w:w="0" w:type="auto"/>
          <w:tblLook w:val="04A0"/>
        </w:tblPrEx>
        <w:tc>
          <w:tcPr>
            <w:tcW w:w="928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b/>
                <w:sz w:val="24"/>
                <w:szCs w:val="24"/>
              </w:rPr>
            </w:pPr>
            <w:r>
              <w:rPr>
                <w:rFonts w:ascii="Times New Roman" w:hAnsi="Times New Roman" w:cs="Times New Roman"/>
                <w:b/>
                <w:sz w:val="24"/>
                <w:szCs w:val="24"/>
              </w:rPr>
              <w:t>II. Tiesību akta projekta ietekme uz sabiedrību, tautsaimniecības attīstību un administratīvo slogu</w:t>
            </w:r>
          </w:p>
        </w:tc>
      </w:tr>
      <w:tr w:rsidTr="00552BDC">
        <w:tblPrEx>
          <w:tblW w:w="0" w:type="auto"/>
          <w:tblLook w:val="04A0"/>
        </w:tblPrEx>
        <w:tc>
          <w:tcPr>
            <w:tcW w:w="928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552BDC" w:rsidP="00552BDC">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101"/>
        <w:gridCol w:w="1005"/>
        <w:gridCol w:w="1005"/>
        <w:gridCol w:w="1004"/>
        <w:gridCol w:w="1004"/>
        <w:gridCol w:w="1004"/>
        <w:gridCol w:w="1004"/>
        <w:gridCol w:w="1004"/>
      </w:tblGrid>
      <w:tr w:rsidTr="00552BDC">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Tr="00552BDC">
        <w:tblPrEx>
          <w:tblW w:w="5000" w:type="pct"/>
          <w:shd w:val="clear" w:color="auto" w:fill="FFFFFF"/>
          <w:tblCellMar>
            <w:top w:w="30" w:type="dxa"/>
            <w:left w:w="30" w:type="dxa"/>
            <w:bottom w:w="30" w:type="dxa"/>
            <w:right w:w="30" w:type="dxa"/>
          </w:tblCellMar>
          <w:tblLook w:val="04A0"/>
        </w:tblPrEx>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2018. 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Turpmākie trīs gadi (</w:t>
            </w:r>
            <w:r>
              <w:rPr>
                <w:rFonts w:ascii="Times New Roman" w:eastAsia="Times New Roman" w:hAnsi="Times New Roman" w:cs="Times New Roman"/>
                <w:i/>
                <w:iCs/>
                <w:color w:val="000000" w:themeColor="text1"/>
                <w:sz w:val="24"/>
                <w:szCs w:val="24"/>
                <w:lang w:eastAsia="lv-LV"/>
              </w:rPr>
              <w:t>euro</w:t>
            </w:r>
            <w:r>
              <w:rPr>
                <w:rFonts w:ascii="Times New Roman" w:eastAsia="Times New Roman" w:hAnsi="Times New Roman" w:cs="Times New Roman"/>
                <w:color w:val="000000" w:themeColor="text1"/>
                <w:sz w:val="24"/>
                <w:szCs w:val="24"/>
                <w:lang w:eastAsia="lv-LV"/>
              </w:rPr>
              <w:t>)</w:t>
            </w:r>
          </w:p>
        </w:tc>
      </w:tr>
      <w:tr w:rsidTr="00552BDC">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rPr>
                <w:rFonts w:ascii="Times New Roman" w:eastAsia="Times New Roman" w:hAnsi="Times New Roman" w:cs="Times New Roman"/>
                <w:color w:val="000000" w:themeColor="text1"/>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2019. gads</w:t>
            </w:r>
            <w:bookmarkStart w:id="0" w:name="_GoBack"/>
            <w:bookmarkEnd w:id="0"/>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2020. gads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2021. gads</w:t>
            </w:r>
          </w:p>
        </w:tc>
      </w:tr>
      <w:tr w:rsidTr="00552BDC">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izmaiņas, salīdzinot ar vidēja termiņa budžeta ietvaru 2019.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izmaiņas, salīdzinot ar vidēja termiņa budžeta ietvaru 2020.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izmaiņas, salīdzinot ar vidēja termiņa budžeta ietvaru 2021. gadam</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8</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rsidP="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w:t>
            </w:r>
            <w:r w:rsidRPr="00BC53C4" w:rsidR="00BC53C4">
              <w:rPr>
                <w:rFonts w:ascii="Times New Roman" w:eastAsia="Times New Roman" w:hAnsi="Times New Roman" w:cs="Times New Roman"/>
                <w:color w:val="000000" w:themeColor="text1"/>
                <w:sz w:val="24"/>
                <w:szCs w:val="24"/>
                <w:lang w:eastAsia="lv-LV"/>
              </w:rPr>
              <w:t>17587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w:t>
            </w:r>
            <w:r w:rsidRPr="00BC53C4" w:rsidR="00BC53C4">
              <w:rPr>
                <w:rFonts w:ascii="Times New Roman" w:eastAsia="Times New Roman" w:hAnsi="Times New Roman" w:cs="Times New Roman"/>
                <w:color w:val="000000" w:themeColor="text1"/>
                <w:sz w:val="24"/>
                <w:szCs w:val="24"/>
                <w:lang w:eastAsia="lv-LV"/>
              </w:rPr>
              <w:t>17587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w:t>
            </w:r>
            <w:r w:rsidRPr="00BC53C4" w:rsidR="00BC53C4">
              <w:rPr>
                <w:rFonts w:ascii="Times New Roman" w:eastAsia="Times New Roman" w:hAnsi="Times New Roman" w:cs="Times New Roman"/>
                <w:color w:val="000000" w:themeColor="text1"/>
                <w:sz w:val="24"/>
                <w:szCs w:val="24"/>
                <w:lang w:eastAsia="lv-LV"/>
              </w:rPr>
              <w:t>17587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w:t>
            </w:r>
            <w:r w:rsidRPr="00BC53C4" w:rsidR="00BC53C4">
              <w:rPr>
                <w:rFonts w:ascii="Times New Roman" w:eastAsia="Times New Roman" w:hAnsi="Times New Roman" w:cs="Times New Roman"/>
                <w:color w:val="000000" w:themeColor="text1"/>
                <w:sz w:val="24"/>
                <w:szCs w:val="24"/>
                <w:lang w:eastAsia="lv-LV"/>
              </w:rPr>
              <w:t>17587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3.2. speciālais </w:t>
            </w:r>
            <w:r>
              <w:rPr>
                <w:rFonts w:ascii="Times New Roman" w:eastAsia="Times New Roman" w:hAnsi="Times New Roman" w:cs="Times New Roman"/>
                <w:color w:val="000000" w:themeColor="text1"/>
                <w:sz w:val="24"/>
                <w:szCs w:val="24"/>
                <w:lang w:eastAsia="lv-LV"/>
              </w:rPr>
              <w: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w:t>
            </w:r>
            <w:r w:rsidRPr="00BC53C4" w:rsidR="00BC53C4">
              <w:rPr>
                <w:rFonts w:ascii="Times New Roman" w:eastAsia="Times New Roman" w:hAnsi="Times New Roman" w:cs="Times New Roman"/>
                <w:color w:val="000000" w:themeColor="text1"/>
                <w:sz w:val="24"/>
                <w:szCs w:val="24"/>
                <w:lang w:eastAsia="lv-LV"/>
              </w:rPr>
              <w:t>17587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jc w:val="right"/>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rPr>
                <w:rFonts w:ascii="Times New Roman" w:eastAsia="Times New Roman" w:hAnsi="Times New Roman" w:cs="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rsidRPr="00BC53C4">
            <w:pPr>
              <w:spacing w:after="0" w:line="240" w:lineRule="auto"/>
              <w:rPr>
                <w:rFonts w:ascii="Times New Roman" w:eastAsia="Times New Roman" w:hAnsi="Times New Roman" w:cs="Times New Roman"/>
                <w:color w:val="000000" w:themeColor="text1"/>
                <w:sz w:val="24"/>
                <w:szCs w:val="24"/>
                <w:lang w:eastAsia="lv-LV"/>
              </w:rPr>
            </w:pPr>
            <w:r w:rsidRPr="00BC53C4">
              <w:rPr>
                <w:rFonts w:ascii="Times New Roman" w:eastAsia="Times New Roman" w:hAnsi="Times New Roman" w:cs="Times New Roman"/>
                <w:color w:val="000000" w:themeColor="text1"/>
                <w:sz w:val="24"/>
                <w:szCs w:val="24"/>
                <w:lang w:eastAsia="lv-LV"/>
              </w:rPr>
              <w:t> 7310 valsts budžeta uzturēšanas izdevumu transferti pašvaldībām noteiktam mērķim.</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rPr>
                <w:rFonts w:ascii="Times New Roman" w:eastAsia="Times New Roman" w:hAnsi="Times New Roman" w:cs="Times New Roman"/>
                <w:color w:val="000000" w:themeColor="text1"/>
                <w:sz w:val="24"/>
                <w:szCs w:val="24"/>
                <w:lang w:eastAsia="lv-LV"/>
              </w:rPr>
            </w:pP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52BDC">
            <w:pPr>
              <w:spacing w:after="0" w:line="240" w:lineRule="auto"/>
              <w:rPr>
                <w:rFonts w:ascii="Times New Roman" w:eastAsia="Times New Roman" w:hAnsi="Times New Roman" w:cs="Times New Roman"/>
                <w:color w:val="000000" w:themeColor="text1"/>
                <w:sz w:val="24"/>
                <w:szCs w:val="24"/>
                <w:lang w:eastAsia="lv-LV"/>
              </w:rPr>
            </w:pP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Tr="00552BDC">
        <w:tblPrEx>
          <w:tblW w:w="5000" w:type="pct"/>
          <w:shd w:val="clear" w:color="auto" w:fill="FFFFFF"/>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552BDC">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Izdevumus sedz no valsts budžeta programmas 02.00.00 „Līdzekļi neparedzētiem gadījumiem”.</w:t>
            </w:r>
          </w:p>
        </w:tc>
      </w:tr>
    </w:tbl>
    <w:p w:rsidR="00552BDC" w:rsidP="00552BDC">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rsidTr="00552BDC">
        <w:tblPrEx>
          <w:tblW w:w="0" w:type="auto"/>
          <w:tblLook w:val="04A0"/>
        </w:tblPrEx>
        <w:tc>
          <w:tcPr>
            <w:tcW w:w="928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b/>
                <w:sz w:val="24"/>
                <w:szCs w:val="24"/>
              </w:rPr>
            </w:pPr>
            <w:r>
              <w:rPr>
                <w:rFonts w:ascii="Times New Roman" w:hAnsi="Times New Roman" w:cs="Times New Roman"/>
                <w:b/>
                <w:sz w:val="24"/>
                <w:szCs w:val="24"/>
              </w:rPr>
              <w:t>IV. Tiesību akta projekta ietekme uz spēkā esošo tiesību normu sistēmu</w:t>
            </w:r>
          </w:p>
        </w:tc>
      </w:tr>
      <w:tr w:rsidTr="00552BDC">
        <w:tblPrEx>
          <w:tblW w:w="0" w:type="auto"/>
          <w:tblLook w:val="04A0"/>
        </w:tblPrEx>
        <w:tc>
          <w:tcPr>
            <w:tcW w:w="928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552BDC" w:rsidP="00552BDC">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rsidTr="00552BDC">
        <w:tblPrEx>
          <w:tblW w:w="0" w:type="auto"/>
          <w:tblLook w:val="04A0"/>
        </w:tblPrEx>
        <w:tc>
          <w:tcPr>
            <w:tcW w:w="928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b/>
                <w:sz w:val="24"/>
                <w:szCs w:val="24"/>
              </w:rPr>
            </w:pPr>
            <w:r>
              <w:rPr>
                <w:rFonts w:ascii="Times New Roman" w:hAnsi="Times New Roman" w:cs="Times New Roman"/>
                <w:b/>
                <w:sz w:val="24"/>
                <w:szCs w:val="24"/>
              </w:rPr>
              <w:t>V. Tiesību akta projekta atbilstība Latvijas Republikas starptautiskajām saistībām</w:t>
            </w:r>
          </w:p>
        </w:tc>
      </w:tr>
      <w:tr w:rsidTr="00552BDC">
        <w:tblPrEx>
          <w:tblW w:w="0" w:type="auto"/>
          <w:tblLook w:val="04A0"/>
        </w:tblPrEx>
        <w:tc>
          <w:tcPr>
            <w:tcW w:w="928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552BDC" w:rsidP="00552BDC">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rsidTr="00552BDC">
        <w:tblPrEx>
          <w:tblW w:w="0" w:type="auto"/>
          <w:tblLook w:val="04A0"/>
        </w:tblPrEx>
        <w:tc>
          <w:tcPr>
            <w:tcW w:w="928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b/>
                <w:sz w:val="24"/>
                <w:szCs w:val="24"/>
              </w:rPr>
            </w:pPr>
            <w:r>
              <w:rPr>
                <w:rFonts w:ascii="Times New Roman" w:hAnsi="Times New Roman" w:cs="Times New Roman"/>
                <w:b/>
                <w:sz w:val="24"/>
                <w:szCs w:val="24"/>
              </w:rPr>
              <w:t>VI. Sabiedrības līdzdalība un komunikācijas aktivitātes</w:t>
            </w:r>
          </w:p>
        </w:tc>
      </w:tr>
      <w:tr w:rsidTr="00552BDC">
        <w:tblPrEx>
          <w:tblW w:w="0" w:type="auto"/>
          <w:tblLook w:val="04A0"/>
        </w:tblPrEx>
        <w:tc>
          <w:tcPr>
            <w:tcW w:w="928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552BDC" w:rsidP="00552BDC">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Tr="00552BDC">
        <w:tblPrEx>
          <w:tblW w:w="0" w:type="auto"/>
          <w:tblLook w:val="04A0"/>
        </w:tblPrEx>
        <w:tc>
          <w:tcPr>
            <w:tcW w:w="9287" w:type="dxa"/>
            <w:gridSpan w:val="3"/>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tc>
      </w:tr>
      <w:tr w:rsidTr="00552BDC">
        <w:tblPrEx>
          <w:tblW w:w="0" w:type="auto"/>
          <w:tblLook w:val="04A0"/>
        </w:tblPrEx>
        <w:tc>
          <w:tcPr>
            <w:tcW w:w="81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552BDC">
            <w:pPr>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4359" w:type="dxa"/>
            <w:tcBorders>
              <w:top w:val="single" w:sz="4" w:space="0" w:color="auto"/>
              <w:left w:val="single" w:sz="4" w:space="0" w:color="auto"/>
              <w:bottom w:val="single" w:sz="4" w:space="0" w:color="auto"/>
              <w:right w:val="single" w:sz="4" w:space="0" w:color="auto"/>
            </w:tcBorders>
            <w:hideMark/>
          </w:tcPr>
          <w:p w:rsidR="00552BDC">
            <w:pPr>
              <w:rPr>
                <w:rFonts w:ascii="Times New Roman" w:hAnsi="Times New Roman" w:cs="Times New Roman"/>
                <w:sz w:val="24"/>
                <w:szCs w:val="24"/>
              </w:rPr>
            </w:pPr>
            <w:r>
              <w:rPr>
                <w:rFonts w:ascii="Times New Roman" w:hAnsi="Times New Roman" w:cs="Times New Roman"/>
                <w:sz w:val="24"/>
                <w:szCs w:val="24"/>
              </w:rPr>
              <w:t>VARAM un Finanšu ministrija.</w:t>
            </w:r>
          </w:p>
        </w:tc>
      </w:tr>
      <w:tr w:rsidTr="00552BDC">
        <w:tblPrEx>
          <w:tblW w:w="0" w:type="auto"/>
          <w:tblLook w:val="04A0"/>
        </w:tblPrEx>
        <w:tc>
          <w:tcPr>
            <w:tcW w:w="81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552BD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rsidR="00552BDC">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Borders>
              <w:top w:val="single" w:sz="4" w:space="0" w:color="auto"/>
              <w:left w:val="single" w:sz="4" w:space="0" w:color="auto"/>
              <w:bottom w:val="single" w:sz="4" w:space="0" w:color="auto"/>
              <w:right w:val="single" w:sz="4" w:space="0" w:color="auto"/>
            </w:tcBorders>
            <w:hideMark/>
          </w:tcPr>
          <w:p w:rsidR="00552BDC">
            <w:pPr>
              <w:rPr>
                <w:rFonts w:ascii="Times New Roman" w:hAnsi="Times New Roman" w:cs="Times New Roman"/>
                <w:sz w:val="24"/>
                <w:szCs w:val="24"/>
              </w:rPr>
            </w:pPr>
            <w:r>
              <w:rPr>
                <w:rFonts w:ascii="Times New Roman" w:hAnsi="Times New Roman" w:cs="Times New Roman"/>
                <w:sz w:val="24"/>
                <w:szCs w:val="24"/>
              </w:rPr>
              <w:t>Projekts šo jomu neskar.</w:t>
            </w:r>
          </w:p>
        </w:tc>
      </w:tr>
      <w:tr w:rsidTr="00552BDC">
        <w:tblPrEx>
          <w:tblW w:w="0" w:type="auto"/>
          <w:tblLook w:val="04A0"/>
        </w:tblPrEx>
        <w:tc>
          <w:tcPr>
            <w:tcW w:w="817" w:type="dxa"/>
            <w:tcBorders>
              <w:top w:val="single" w:sz="4" w:space="0" w:color="auto"/>
              <w:left w:val="single" w:sz="4" w:space="0" w:color="auto"/>
              <w:bottom w:val="single" w:sz="4" w:space="0" w:color="auto"/>
              <w:right w:val="single" w:sz="4" w:space="0" w:color="auto"/>
            </w:tcBorders>
            <w:hideMark/>
          </w:tcPr>
          <w:p w:rsidR="00552BDC">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552BDC">
            <w:pPr>
              <w:rPr>
                <w:rFonts w:ascii="Times New Roman" w:hAnsi="Times New Roman" w:cs="Times New Roman"/>
                <w:sz w:val="24"/>
                <w:szCs w:val="24"/>
              </w:rPr>
            </w:pPr>
            <w:r>
              <w:rPr>
                <w:rFonts w:ascii="Times New Roman" w:hAnsi="Times New Roman" w:cs="Times New Roman"/>
                <w:sz w:val="24"/>
                <w:szCs w:val="24"/>
              </w:rPr>
              <w:t>Cita informācija</w:t>
            </w:r>
          </w:p>
        </w:tc>
        <w:tc>
          <w:tcPr>
            <w:tcW w:w="4359" w:type="dxa"/>
            <w:tcBorders>
              <w:top w:val="single" w:sz="4" w:space="0" w:color="auto"/>
              <w:left w:val="single" w:sz="4" w:space="0" w:color="auto"/>
              <w:bottom w:val="single" w:sz="4" w:space="0" w:color="auto"/>
              <w:right w:val="single" w:sz="4" w:space="0" w:color="auto"/>
            </w:tcBorders>
            <w:hideMark/>
          </w:tcPr>
          <w:p w:rsidR="00552BDC">
            <w:pPr>
              <w:rPr>
                <w:rFonts w:ascii="Times New Roman" w:hAnsi="Times New Roman" w:cs="Times New Roman"/>
                <w:sz w:val="24"/>
                <w:szCs w:val="24"/>
              </w:rPr>
            </w:pPr>
            <w:r>
              <w:rPr>
                <w:rFonts w:ascii="Times New Roman" w:hAnsi="Times New Roman" w:cs="Times New Roman"/>
                <w:sz w:val="24"/>
                <w:szCs w:val="24"/>
              </w:rPr>
              <w:t>Nav.</w:t>
            </w:r>
          </w:p>
        </w:tc>
      </w:tr>
    </w:tbl>
    <w:p w:rsidR="006C1919" w:rsidRPr="00C04FBF"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564EBA" w:rsidP="006C1919">
      <w:pPr>
        <w:spacing w:after="0" w:line="240" w:lineRule="auto"/>
        <w:jc w:val="both"/>
        <w:rPr>
          <w:rFonts w:ascii="Times New Roman" w:hAnsi="Times New Roman" w:cs="Times New Roman"/>
          <w:sz w:val="24"/>
          <w:szCs w:val="24"/>
        </w:rPr>
      </w:pPr>
    </w:p>
    <w:p w:rsidR="00564EBA" w:rsidRPr="00564EBA" w:rsidP="006C1919">
      <w:pPr>
        <w:spacing w:after="0" w:line="240" w:lineRule="auto"/>
        <w:jc w:val="both"/>
        <w:rPr>
          <w:rFonts w:ascii="Times New Roman" w:hAnsi="Times New Roman" w:cs="Times New Roman"/>
          <w:sz w:val="24"/>
          <w:szCs w:val="24"/>
        </w:rPr>
      </w:pPr>
    </w:p>
    <w:p w:rsidR="006C1919" w:rsidRPr="00C04FBF" w:rsidP="006C1919">
      <w:pPr>
        <w:spacing w:after="0" w:line="240" w:lineRule="auto"/>
        <w:jc w:val="both"/>
        <w:rPr>
          <w:rFonts w:ascii="Times New Roman" w:hAnsi="Times New Roman" w:cs="Times New Roman"/>
          <w:i/>
          <w:sz w:val="24"/>
          <w:szCs w:val="24"/>
        </w:rPr>
      </w:pPr>
    </w:p>
    <w:p w:rsidR="006C1919" w:rsidRPr="00C04FBF"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6C1919" w:rsidRPr="00C04FBF"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t>K.Gerhards</w:t>
      </w:r>
    </w:p>
    <w:p w:rsidR="006C1919"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564EBA" w:rsidP="006C1919">
      <w:pPr>
        <w:spacing w:after="0" w:line="240" w:lineRule="auto"/>
        <w:jc w:val="both"/>
        <w:rPr>
          <w:rFonts w:ascii="Times New Roman" w:hAnsi="Times New Roman" w:cs="Times New Roman"/>
          <w:sz w:val="24"/>
          <w:szCs w:val="24"/>
        </w:rPr>
      </w:pPr>
    </w:p>
    <w:p w:rsidR="00564EBA" w:rsidP="006C1919">
      <w:pPr>
        <w:spacing w:after="0" w:line="240" w:lineRule="auto"/>
        <w:jc w:val="both"/>
        <w:rPr>
          <w:rFonts w:ascii="Times New Roman" w:hAnsi="Times New Roman" w:cs="Times New Roman"/>
          <w:sz w:val="24"/>
          <w:szCs w:val="24"/>
        </w:rPr>
      </w:pPr>
    </w:p>
    <w:p w:rsidR="00564EBA" w:rsidP="006C1919">
      <w:pPr>
        <w:spacing w:after="0" w:line="240" w:lineRule="auto"/>
        <w:jc w:val="both"/>
        <w:rPr>
          <w:rFonts w:ascii="Times New Roman" w:hAnsi="Times New Roman" w:cs="Times New Roman"/>
          <w:sz w:val="24"/>
          <w:szCs w:val="24"/>
        </w:rPr>
      </w:pPr>
    </w:p>
    <w:p w:rsidR="00564EBA" w:rsidP="006C1919">
      <w:pPr>
        <w:spacing w:after="0" w:line="240" w:lineRule="auto"/>
        <w:jc w:val="both"/>
        <w:rPr>
          <w:rFonts w:ascii="Times New Roman" w:hAnsi="Times New Roman" w:cs="Times New Roman"/>
          <w:sz w:val="24"/>
          <w:szCs w:val="24"/>
        </w:rPr>
      </w:pPr>
    </w:p>
    <w:p w:rsidR="008F677D" w:rsidP="006C1919">
      <w:pPr>
        <w:spacing w:after="0" w:line="240" w:lineRule="auto"/>
        <w:jc w:val="both"/>
        <w:rPr>
          <w:rFonts w:ascii="Times New Roman" w:hAnsi="Times New Roman" w:cs="Times New Roman"/>
          <w:sz w:val="24"/>
          <w:szCs w:val="24"/>
        </w:rPr>
      </w:pPr>
    </w:p>
    <w:p w:rsidR="008F677D" w:rsidP="006C1919">
      <w:pPr>
        <w:spacing w:after="0" w:line="240" w:lineRule="auto"/>
        <w:jc w:val="both"/>
        <w:rPr>
          <w:rFonts w:ascii="Times New Roman" w:hAnsi="Times New Roman" w:cs="Times New Roman"/>
          <w:sz w:val="24"/>
          <w:szCs w:val="24"/>
        </w:rPr>
      </w:pPr>
    </w:p>
    <w:p w:rsidR="008F677D" w:rsidP="006C1919">
      <w:pPr>
        <w:spacing w:after="0" w:line="240" w:lineRule="auto"/>
        <w:jc w:val="both"/>
        <w:rPr>
          <w:rFonts w:ascii="Times New Roman" w:hAnsi="Times New Roman" w:cs="Times New Roman"/>
          <w:sz w:val="24"/>
          <w:szCs w:val="24"/>
        </w:rPr>
      </w:pPr>
    </w:p>
    <w:p w:rsidR="008F677D" w:rsidP="006C1919">
      <w:pPr>
        <w:spacing w:after="0" w:line="240" w:lineRule="auto"/>
        <w:jc w:val="both"/>
        <w:rPr>
          <w:rFonts w:ascii="Times New Roman" w:hAnsi="Times New Roman" w:cs="Times New Roman"/>
          <w:sz w:val="24"/>
          <w:szCs w:val="24"/>
        </w:rPr>
      </w:pPr>
    </w:p>
    <w:p w:rsidR="008F677D" w:rsidP="006C1919">
      <w:pPr>
        <w:spacing w:after="0" w:line="240" w:lineRule="auto"/>
        <w:jc w:val="both"/>
        <w:rPr>
          <w:rFonts w:ascii="Times New Roman" w:hAnsi="Times New Roman" w:cs="Times New Roman"/>
          <w:sz w:val="24"/>
          <w:szCs w:val="24"/>
        </w:rPr>
      </w:pPr>
    </w:p>
    <w:p w:rsidR="008F677D" w:rsidP="006C1919">
      <w:pPr>
        <w:spacing w:after="0" w:line="240" w:lineRule="auto"/>
        <w:jc w:val="both"/>
        <w:rPr>
          <w:rFonts w:ascii="Times New Roman" w:hAnsi="Times New Roman" w:cs="Times New Roman"/>
          <w:sz w:val="24"/>
          <w:szCs w:val="24"/>
        </w:rPr>
      </w:pPr>
    </w:p>
    <w:p w:rsidR="008F677D" w:rsidP="006C1919">
      <w:pPr>
        <w:spacing w:after="0" w:line="240" w:lineRule="auto"/>
        <w:jc w:val="both"/>
        <w:rPr>
          <w:rFonts w:ascii="Times New Roman" w:hAnsi="Times New Roman" w:cs="Times New Roman"/>
          <w:sz w:val="24"/>
          <w:szCs w:val="24"/>
        </w:rPr>
      </w:pPr>
    </w:p>
    <w:p w:rsidR="008F677D"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6C1919" w:rsidRPr="00C03732"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rsidR="006C1919" w:rsidRPr="00C03732" w:rsidP="006C1919">
      <w:pPr>
        <w:widowControl w:val="0"/>
        <w:spacing w:after="0" w:line="240" w:lineRule="auto"/>
        <w:rPr>
          <w:rFonts w:ascii="Times New Roman" w:eastAsia="Calibri" w:hAnsi="Times New Roman" w:cs="Times New Roman"/>
          <w:sz w:val="20"/>
          <w:szCs w:val="20"/>
        </w:rPr>
      </w:pPr>
      <w:r>
        <w:fldChar w:fldCharType="begin"/>
      </w:r>
      <w:r>
        <w:instrText xml:space="preserve"> HYPERLINK "mailto:solvita.vaivode@varam.gov.lv" </w:instrText>
      </w:r>
      <w:r>
        <w:fldChar w:fldCharType="separate"/>
      </w:r>
      <w:r w:rsidRPr="005631AD">
        <w:rPr>
          <w:rStyle w:val="Hyperlink"/>
          <w:rFonts w:ascii="Times New Roman" w:eastAsia="Calibri" w:hAnsi="Times New Roman" w:cs="Times New Roman"/>
          <w:sz w:val="20"/>
          <w:szCs w:val="20"/>
        </w:rPr>
        <w:t>solvita.vaivode@varam.gov.lv</w:t>
      </w:r>
      <w:r>
        <w:fldChar w:fldCharType="end"/>
      </w:r>
      <w:r w:rsidRPr="00C03732">
        <w:rPr>
          <w:rFonts w:ascii="Times New Roman" w:eastAsia="Calibri" w:hAnsi="Times New Roman" w:cs="Times New Roman"/>
          <w:sz w:val="20"/>
          <w:szCs w:val="20"/>
        </w:rPr>
        <w:t xml:space="preserve"> </w:t>
      </w:r>
    </w:p>
    <w:sectPr w:rsidSect="000D707B">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707B" w:rsidRPr="008C0048" w:rsidP="000D707B">
    <w:pPr>
      <w:pStyle w:val="Footer"/>
      <w:rPr>
        <w:rFonts w:ascii="Times New Roman" w:hAnsi="Times New Roman" w:cs="Times New Roman"/>
        <w:sz w:val="20"/>
        <w:szCs w:val="20"/>
      </w:rPr>
    </w:pPr>
    <w:r>
      <w:rPr>
        <w:rFonts w:ascii="Times New Roman" w:hAnsi="Times New Roman" w:cs="Times New Roman"/>
        <w:sz w:val="20"/>
        <w:szCs w:val="20"/>
      </w:rPr>
      <w:t>VARAManot_</w:t>
    </w:r>
    <w:r w:rsidR="00BC53C4">
      <w:rPr>
        <w:rFonts w:ascii="Times New Roman" w:hAnsi="Times New Roman" w:cs="Times New Roman"/>
        <w:sz w:val="20"/>
        <w:szCs w:val="20"/>
      </w:rPr>
      <w:t>14</w:t>
    </w:r>
    <w:r w:rsidR="00ED60BC">
      <w:rPr>
        <w:rFonts w:ascii="Times New Roman" w:hAnsi="Times New Roman" w:cs="Times New Roman"/>
        <w:sz w:val="20"/>
        <w:szCs w:val="20"/>
      </w:rPr>
      <w:t>02</w:t>
    </w:r>
    <w:r w:rsidR="00FE60E6">
      <w:rPr>
        <w:rFonts w:ascii="Times New Roman" w:hAnsi="Times New Roman" w:cs="Times New Roman"/>
        <w:sz w:val="20"/>
        <w:szCs w:val="20"/>
      </w:rPr>
      <w:t>18_</w:t>
    </w:r>
    <w:r w:rsidR="00552BDC">
      <w:rPr>
        <w:rFonts w:ascii="Times New Roman" w:hAnsi="Times New Roman" w:cs="Times New Roman"/>
        <w:sz w:val="20"/>
        <w:szCs w:val="20"/>
      </w:rPr>
      <w:t>neatpaz_p</w:t>
    </w:r>
    <w:r w:rsidRPr="00C82A09">
      <w:rPr>
        <w:rFonts w:ascii="Times New Roman" w:hAnsi="Times New Roman" w:cs="Times New Roman"/>
        <w:sz w:val="20"/>
        <w:szCs w:val="20"/>
      </w:rPr>
      <w:t>_</w:t>
    </w:r>
    <w:r w:rsidR="00FE60E6">
      <w:rPr>
        <w:rFonts w:ascii="Times New Roman" w:hAnsi="Times New Roman" w:cs="Times New Roman"/>
        <w:sz w:val="20"/>
        <w:szCs w:val="20"/>
      </w:rPr>
      <w:t>lng</w:t>
    </w:r>
    <w:r>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707B" w:rsidRPr="0061370D" w:rsidP="000D707B">
    <w:pPr>
      <w:pStyle w:val="Footer"/>
      <w:rPr>
        <w:rFonts w:ascii="Times New Roman" w:hAnsi="Times New Roman" w:cs="Times New Roman"/>
        <w:sz w:val="20"/>
        <w:szCs w:val="20"/>
      </w:rPr>
    </w:pPr>
    <w:r>
      <w:rPr>
        <w:rFonts w:ascii="Times New Roman" w:hAnsi="Times New Roman" w:cs="Times New Roman"/>
        <w:sz w:val="20"/>
        <w:szCs w:val="20"/>
      </w:rPr>
      <w:t>VARAManot_</w:t>
    </w:r>
    <w:r w:rsidR="00BC53C4">
      <w:rPr>
        <w:rFonts w:ascii="Times New Roman" w:hAnsi="Times New Roman" w:cs="Times New Roman"/>
        <w:sz w:val="20"/>
        <w:szCs w:val="20"/>
      </w:rPr>
      <w:t>14</w:t>
    </w:r>
    <w:r w:rsidR="00ED60BC">
      <w:rPr>
        <w:rFonts w:ascii="Times New Roman" w:hAnsi="Times New Roman" w:cs="Times New Roman"/>
        <w:sz w:val="20"/>
        <w:szCs w:val="20"/>
      </w:rPr>
      <w:t>02</w:t>
    </w:r>
    <w:r>
      <w:rPr>
        <w:rFonts w:ascii="Times New Roman" w:hAnsi="Times New Roman" w:cs="Times New Roman"/>
        <w:sz w:val="20"/>
        <w:szCs w:val="20"/>
      </w:rPr>
      <w:t>118_</w:t>
    </w:r>
    <w:r w:rsidR="00552BDC">
      <w:rPr>
        <w:rFonts w:ascii="Times New Roman" w:hAnsi="Times New Roman" w:cs="Times New Roman"/>
        <w:sz w:val="20"/>
        <w:szCs w:val="20"/>
      </w:rPr>
      <w:t>neatpaz_p</w:t>
    </w:r>
    <w:r w:rsidRPr="00C82A09">
      <w:rPr>
        <w:rFonts w:ascii="Times New Roman" w:hAnsi="Times New Roman" w:cs="Times New Roman"/>
        <w:sz w:val="20"/>
        <w:szCs w:val="20"/>
      </w:rPr>
      <w:t>_</w:t>
    </w:r>
    <w:r>
      <w:rPr>
        <w:rFonts w:ascii="Times New Roman" w:hAnsi="Times New Roman" w:cs="Times New Roman"/>
        <w:sz w:val="20"/>
        <w:szCs w:val="20"/>
      </w:rPr>
      <w:t>lng</w:t>
    </w:r>
    <w:r>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4616729"/>
      <w:docPartObj>
        <w:docPartGallery w:val="Page Numbers (Top of Page)"/>
        <w:docPartUnique/>
      </w:docPartObj>
    </w:sdtPr>
    <w:sdtEndPr>
      <w:rPr>
        <w:rFonts w:ascii="Times New Roman" w:hAnsi="Times New Roman" w:cs="Times New Roman"/>
        <w:noProof/>
      </w:rPr>
    </w:sdtEndPr>
    <w:sdtContent>
      <w:p w:rsidR="000D707B" w:rsidRPr="006718C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BC53C4">
          <w:rPr>
            <w:rFonts w:ascii="Times New Roman" w:hAnsi="Times New Roman" w:cs="Times New Roman"/>
            <w:noProof/>
          </w:rPr>
          <w:t>5</w:t>
        </w:r>
        <w:r w:rsidRPr="006718C5">
          <w:rPr>
            <w:rFonts w:ascii="Times New Roman" w:hAnsi="Times New Roman" w:cs="Times New Roman"/>
            <w:noProof/>
          </w:rPr>
          <w:fldChar w:fldCharType="end"/>
        </w:r>
      </w:p>
    </w:sdtContent>
  </w:sdt>
  <w:p w:rsidR="000D7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37B76AC"/>
    <w:multiLevelType w:val="hybridMultilevel"/>
    <w:tmpl w:val="0A0E0DC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15:restartNumberingAfterBreak="1">
    <w:nsid w:val="1CFA46C2"/>
    <w:multiLevelType w:val="hybridMultilevel"/>
    <w:tmpl w:val="9B720AEA"/>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1">
    <w:nsid w:val="41E06D04"/>
    <w:multiLevelType w:val="hybridMultilevel"/>
    <w:tmpl w:val="FF725304"/>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1">
    <w:nsid w:val="6848699D"/>
    <w:multiLevelType w:val="hybridMultilevel"/>
    <w:tmpl w:val="9F445D66"/>
    <w:lvl w:ilvl="0">
      <w:start w:val="1"/>
      <w:numFmt w:val="decimal"/>
      <w:lvlText w:val="%1."/>
      <w:lvlJc w:val="left"/>
      <w:pPr>
        <w:ind w:left="1080" w:hanging="360"/>
      </w:pPr>
      <w:rPr>
        <w:rFonts w:ascii="Times New Roman" w:hAnsi="Times New Roman" w:cs="Times New Roman"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andra Režā">
    <w15:presenceInfo w15:providerId="None" w15:userId="Sandra Rež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D707B"/>
    <w:rsid w:val="000F1229"/>
    <w:rsid w:val="00161183"/>
    <w:rsid w:val="0018384A"/>
    <w:rsid w:val="001B3E61"/>
    <w:rsid w:val="001F21DB"/>
    <w:rsid w:val="002110ED"/>
    <w:rsid w:val="002560E5"/>
    <w:rsid w:val="00280790"/>
    <w:rsid w:val="00295F3E"/>
    <w:rsid w:val="00307EFD"/>
    <w:rsid w:val="00327261"/>
    <w:rsid w:val="00350753"/>
    <w:rsid w:val="003B76B8"/>
    <w:rsid w:val="003C5BE9"/>
    <w:rsid w:val="00402711"/>
    <w:rsid w:val="00410B36"/>
    <w:rsid w:val="00422D1C"/>
    <w:rsid w:val="004268D7"/>
    <w:rsid w:val="004A69AB"/>
    <w:rsid w:val="004C3E5E"/>
    <w:rsid w:val="00517EA1"/>
    <w:rsid w:val="00552BDC"/>
    <w:rsid w:val="005631AD"/>
    <w:rsid w:val="00564EBA"/>
    <w:rsid w:val="005A62D4"/>
    <w:rsid w:val="005D33BB"/>
    <w:rsid w:val="005F523A"/>
    <w:rsid w:val="0061370D"/>
    <w:rsid w:val="00640B14"/>
    <w:rsid w:val="006718C5"/>
    <w:rsid w:val="006C1919"/>
    <w:rsid w:val="00753296"/>
    <w:rsid w:val="00772AB0"/>
    <w:rsid w:val="007C0E49"/>
    <w:rsid w:val="007D6AFB"/>
    <w:rsid w:val="00817380"/>
    <w:rsid w:val="00830EA9"/>
    <w:rsid w:val="008735AE"/>
    <w:rsid w:val="008820C0"/>
    <w:rsid w:val="0088796E"/>
    <w:rsid w:val="00896D96"/>
    <w:rsid w:val="008C0048"/>
    <w:rsid w:val="008D2F77"/>
    <w:rsid w:val="008D4C93"/>
    <w:rsid w:val="008E7559"/>
    <w:rsid w:val="008F677D"/>
    <w:rsid w:val="00917071"/>
    <w:rsid w:val="0091707F"/>
    <w:rsid w:val="0095766E"/>
    <w:rsid w:val="00957E27"/>
    <w:rsid w:val="009B6DD2"/>
    <w:rsid w:val="009E147D"/>
    <w:rsid w:val="00A06774"/>
    <w:rsid w:val="00A425F1"/>
    <w:rsid w:val="00A42661"/>
    <w:rsid w:val="00A44358"/>
    <w:rsid w:val="00A90836"/>
    <w:rsid w:val="00B824FC"/>
    <w:rsid w:val="00BC53C4"/>
    <w:rsid w:val="00C03732"/>
    <w:rsid w:val="00C04FBF"/>
    <w:rsid w:val="00C648EF"/>
    <w:rsid w:val="00C82A09"/>
    <w:rsid w:val="00CD5ACB"/>
    <w:rsid w:val="00CF00AE"/>
    <w:rsid w:val="00D439B7"/>
    <w:rsid w:val="00D63E96"/>
    <w:rsid w:val="00D67671"/>
    <w:rsid w:val="00D760ED"/>
    <w:rsid w:val="00D90BE6"/>
    <w:rsid w:val="00DA03F8"/>
    <w:rsid w:val="00DC5282"/>
    <w:rsid w:val="00DE150C"/>
    <w:rsid w:val="00E20FE4"/>
    <w:rsid w:val="00E57E8A"/>
    <w:rsid w:val="00E87929"/>
    <w:rsid w:val="00EB14E7"/>
    <w:rsid w:val="00ED60BC"/>
    <w:rsid w:val="00F3113C"/>
    <w:rsid w:val="00FB4FD5"/>
    <w:rsid w:val="00FE2314"/>
    <w:rsid w:val="00FE60E6"/>
    <w:rsid w:val="00FF011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B03F-23BA-4B78-932E-4FBD1D40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5470</Words>
  <Characters>3119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Solvita Vaivode</cp:lastModifiedBy>
  <cp:revision>8</cp:revision>
  <dcterms:created xsi:type="dcterms:W3CDTF">2018-02-02T10:39:00Z</dcterms:created>
  <dcterms:modified xsi:type="dcterms:W3CDTF">2018-02-14T12:48:00Z</dcterms:modified>
</cp:coreProperties>
</file>