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76A99" w:rsidRPr="00A35547" w:rsidP="00A76A99" w14:paraId="77254869"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498601843"/>
      <w:r w:rsidRPr="00A35547">
        <w:rPr>
          <w:rFonts w:ascii="Times New Roman" w:eastAsia="Times New Roman" w:hAnsi="Times New Roman" w:cs="Times New Roman"/>
          <w:b/>
          <w:bCs/>
          <w:sz w:val="28"/>
          <w:szCs w:val="24"/>
          <w:lang w:eastAsia="lv-LV"/>
        </w:rPr>
        <w:t xml:space="preserve">Ministru kabineta noteikumu projekta „Grozījums Ministru kabineta 2005.gada 28.jūnija noteikumos Nr.461 „Noteikumi par neatliekamās medicīniskās palīdzības nodrošināšanu un </w:t>
      </w:r>
      <w:r w:rsidRPr="00A35547">
        <w:rPr>
          <w:rFonts w:ascii="Times New Roman" w:eastAsia="Times New Roman" w:hAnsi="Times New Roman" w:cs="Times New Roman"/>
          <w:b/>
          <w:bCs/>
          <w:sz w:val="28"/>
          <w:szCs w:val="24"/>
          <w:lang w:eastAsia="lv-LV"/>
        </w:rPr>
        <w:t>pretepidēmijas</w:t>
      </w:r>
      <w:r w:rsidRPr="00A35547">
        <w:rPr>
          <w:rFonts w:ascii="Times New Roman" w:eastAsia="Times New Roman" w:hAnsi="Times New Roman" w:cs="Times New Roman"/>
          <w:b/>
          <w:bCs/>
          <w:sz w:val="28"/>
          <w:szCs w:val="24"/>
          <w:lang w:eastAsia="lv-LV"/>
        </w:rPr>
        <w:t xml:space="preserve"> pasākumiem, medikamentu nodrošinājuma sistēmas sagatavošanu un darbu valsts apdraudējuma gadījumā”” sākotnējās ietekmes novērtējuma ziņojums (anotācija)</w:t>
      </w:r>
    </w:p>
    <w:p w:rsidR="00894C55" w:rsidRPr="00894C55" w:rsidP="00894C55" w14:paraId="6C57E8FD"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9"/>
        <w:gridCol w:w="2267"/>
        <w:gridCol w:w="6369"/>
      </w:tblGrid>
      <w:tr w14:paraId="1AE410EC" w14:textId="77777777" w:rsidTr="00E94696">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0392341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563B48CA" w14:textId="77777777" w:rsidTr="00D92083">
        <w:tblPrEx>
          <w:tblW w:w="5000" w:type="pct"/>
          <w:tblCellMar>
            <w:top w:w="24" w:type="dxa"/>
            <w:left w:w="24" w:type="dxa"/>
            <w:bottom w:w="24" w:type="dxa"/>
            <w:right w:w="24" w:type="dxa"/>
          </w:tblCellMar>
          <w:tblLook w:val="04A0"/>
        </w:tblPrEx>
        <w:trPr>
          <w:trHeight w:val="324"/>
        </w:trPr>
        <w:tc>
          <w:tcPr>
            <w:tcW w:w="231" w:type="pct"/>
            <w:tcBorders>
              <w:top w:val="outset" w:sz="6" w:space="0" w:color="414142"/>
              <w:left w:val="outset" w:sz="6" w:space="0" w:color="414142"/>
              <w:bottom w:val="outset" w:sz="6" w:space="0" w:color="414142"/>
              <w:right w:val="outset" w:sz="6" w:space="0" w:color="414142"/>
            </w:tcBorders>
            <w:hideMark/>
          </w:tcPr>
          <w:p w:rsidR="00894C55" w:rsidRPr="00C918F0" w:rsidP="00EF373C" w14:paraId="3A69EFAC" w14:textId="77777777">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0D1C6D55"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tcPr>
          <w:p w:rsidR="00B856A2" w:rsidRPr="00C918F0" w:rsidP="00FA22CA" w14:paraId="169B132C" w14:textId="3ED08802">
            <w:pPr>
              <w:spacing w:after="0" w:line="240" w:lineRule="auto"/>
              <w:ind w:left="118"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FF216E">
              <w:rPr>
                <w:rFonts w:ascii="Times New Roman" w:eastAsia="Times New Roman" w:hAnsi="Times New Roman" w:cs="Times New Roman"/>
                <w:sz w:val="24"/>
                <w:szCs w:val="24"/>
                <w:lang w:eastAsia="lv-LV"/>
              </w:rPr>
              <w:t>s</w:t>
            </w:r>
            <w:bookmarkStart w:id="1" w:name="_GoBack"/>
            <w:bookmarkEnd w:id="1"/>
            <w:r>
              <w:rPr>
                <w:rFonts w:ascii="Times New Roman" w:eastAsia="Times New Roman" w:hAnsi="Times New Roman" w:cs="Times New Roman"/>
                <w:sz w:val="24"/>
                <w:szCs w:val="24"/>
                <w:lang w:eastAsia="lv-LV"/>
              </w:rPr>
              <w:t xml:space="preserve"> iniciatīva</w:t>
            </w:r>
          </w:p>
        </w:tc>
      </w:tr>
      <w:tr w14:paraId="5E8BA8C0" w14:textId="77777777" w:rsidTr="00D92083">
        <w:tblPrEx>
          <w:tblW w:w="5000" w:type="pct"/>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D81366" w:rsidRPr="00C918F0" w:rsidP="00EF373C" w14:paraId="3B644400" w14:textId="77777777">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rsidR="003F476F" w:rsidP="00D81366" w14:paraId="10918CF1" w14:textId="1C8E2C5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476F" w:rsidRPr="003F476F" w:rsidP="003F476F" w14:paraId="28D35AD8" w14:textId="77777777">
            <w:pPr>
              <w:rPr>
                <w:rFonts w:ascii="Times New Roman" w:eastAsia="Times New Roman" w:hAnsi="Times New Roman" w:cs="Times New Roman"/>
                <w:sz w:val="24"/>
                <w:szCs w:val="24"/>
                <w:lang w:eastAsia="lv-LV"/>
              </w:rPr>
            </w:pPr>
          </w:p>
          <w:p w:rsidR="003F476F" w:rsidRPr="003F476F" w:rsidP="003F476F" w14:paraId="6AB312FA" w14:textId="77777777">
            <w:pPr>
              <w:rPr>
                <w:rFonts w:ascii="Times New Roman" w:eastAsia="Times New Roman" w:hAnsi="Times New Roman" w:cs="Times New Roman"/>
                <w:sz w:val="24"/>
                <w:szCs w:val="24"/>
                <w:lang w:eastAsia="lv-LV"/>
              </w:rPr>
            </w:pPr>
          </w:p>
          <w:p w:rsidR="003F476F" w:rsidRPr="003F476F" w:rsidP="003F476F" w14:paraId="61522779" w14:textId="77777777">
            <w:pPr>
              <w:rPr>
                <w:rFonts w:ascii="Times New Roman" w:eastAsia="Times New Roman" w:hAnsi="Times New Roman" w:cs="Times New Roman"/>
                <w:sz w:val="24"/>
                <w:szCs w:val="24"/>
                <w:lang w:eastAsia="lv-LV"/>
              </w:rPr>
            </w:pPr>
          </w:p>
          <w:p w:rsidR="003F476F" w:rsidRPr="003F476F" w:rsidP="003F476F" w14:paraId="3AA09343" w14:textId="77777777">
            <w:pPr>
              <w:rPr>
                <w:rFonts w:ascii="Times New Roman" w:eastAsia="Times New Roman" w:hAnsi="Times New Roman" w:cs="Times New Roman"/>
                <w:sz w:val="24"/>
                <w:szCs w:val="24"/>
                <w:lang w:eastAsia="lv-LV"/>
              </w:rPr>
            </w:pPr>
          </w:p>
          <w:p w:rsidR="003F476F" w:rsidRPr="003F476F" w:rsidP="003F476F" w14:paraId="17C04D71" w14:textId="77777777">
            <w:pPr>
              <w:rPr>
                <w:rFonts w:ascii="Times New Roman" w:eastAsia="Times New Roman" w:hAnsi="Times New Roman" w:cs="Times New Roman"/>
                <w:sz w:val="24"/>
                <w:szCs w:val="24"/>
                <w:lang w:eastAsia="lv-LV"/>
              </w:rPr>
            </w:pPr>
          </w:p>
          <w:p w:rsidR="003F476F" w:rsidRPr="003F476F" w:rsidP="003F476F" w14:paraId="6C985DC8" w14:textId="77777777">
            <w:pPr>
              <w:rPr>
                <w:rFonts w:ascii="Times New Roman" w:eastAsia="Times New Roman" w:hAnsi="Times New Roman" w:cs="Times New Roman"/>
                <w:sz w:val="24"/>
                <w:szCs w:val="24"/>
                <w:lang w:eastAsia="lv-LV"/>
              </w:rPr>
            </w:pPr>
          </w:p>
          <w:p w:rsidR="003F476F" w:rsidRPr="003F476F" w:rsidP="003F476F" w14:paraId="7C34BA10" w14:textId="77777777">
            <w:pPr>
              <w:rPr>
                <w:rFonts w:ascii="Times New Roman" w:eastAsia="Times New Roman" w:hAnsi="Times New Roman" w:cs="Times New Roman"/>
                <w:sz w:val="24"/>
                <w:szCs w:val="24"/>
                <w:lang w:eastAsia="lv-LV"/>
              </w:rPr>
            </w:pPr>
          </w:p>
          <w:p w:rsidR="003F476F" w:rsidRPr="003F476F" w:rsidP="003F476F" w14:paraId="7322505F" w14:textId="77777777">
            <w:pPr>
              <w:rPr>
                <w:rFonts w:ascii="Times New Roman" w:eastAsia="Times New Roman" w:hAnsi="Times New Roman" w:cs="Times New Roman"/>
                <w:sz w:val="24"/>
                <w:szCs w:val="24"/>
                <w:lang w:eastAsia="lv-LV"/>
              </w:rPr>
            </w:pPr>
          </w:p>
          <w:p w:rsidR="003F476F" w:rsidRPr="003F476F" w:rsidP="003F476F" w14:paraId="6694A13A" w14:textId="77777777">
            <w:pPr>
              <w:rPr>
                <w:rFonts w:ascii="Times New Roman" w:eastAsia="Times New Roman" w:hAnsi="Times New Roman" w:cs="Times New Roman"/>
                <w:sz w:val="24"/>
                <w:szCs w:val="24"/>
                <w:lang w:eastAsia="lv-LV"/>
              </w:rPr>
            </w:pPr>
          </w:p>
          <w:p w:rsidR="003F476F" w:rsidRPr="003F476F" w:rsidP="003F476F" w14:paraId="0CFF39ED" w14:textId="77777777">
            <w:pPr>
              <w:rPr>
                <w:rFonts w:ascii="Times New Roman" w:eastAsia="Times New Roman" w:hAnsi="Times New Roman" w:cs="Times New Roman"/>
                <w:sz w:val="24"/>
                <w:szCs w:val="24"/>
                <w:lang w:eastAsia="lv-LV"/>
              </w:rPr>
            </w:pPr>
          </w:p>
          <w:p w:rsidR="003F476F" w:rsidRPr="003F476F" w:rsidP="003F476F" w14:paraId="4DED4231" w14:textId="77777777">
            <w:pPr>
              <w:rPr>
                <w:rFonts w:ascii="Times New Roman" w:eastAsia="Times New Roman" w:hAnsi="Times New Roman" w:cs="Times New Roman"/>
                <w:sz w:val="24"/>
                <w:szCs w:val="24"/>
                <w:lang w:eastAsia="lv-LV"/>
              </w:rPr>
            </w:pPr>
          </w:p>
          <w:p w:rsidR="003F476F" w:rsidRPr="003F476F" w:rsidP="003F476F" w14:paraId="09847014" w14:textId="77777777">
            <w:pPr>
              <w:rPr>
                <w:rFonts w:ascii="Times New Roman" w:eastAsia="Times New Roman" w:hAnsi="Times New Roman" w:cs="Times New Roman"/>
                <w:sz w:val="24"/>
                <w:szCs w:val="24"/>
                <w:lang w:eastAsia="lv-LV"/>
              </w:rPr>
            </w:pPr>
          </w:p>
          <w:p w:rsidR="003F476F" w:rsidRPr="003F476F" w:rsidP="003F476F" w14:paraId="15481570" w14:textId="77777777">
            <w:pPr>
              <w:rPr>
                <w:rFonts w:ascii="Times New Roman" w:eastAsia="Times New Roman" w:hAnsi="Times New Roman" w:cs="Times New Roman"/>
                <w:sz w:val="24"/>
                <w:szCs w:val="24"/>
                <w:lang w:eastAsia="lv-LV"/>
              </w:rPr>
            </w:pPr>
          </w:p>
          <w:p w:rsidR="003F476F" w:rsidRPr="003F476F" w:rsidP="003F476F" w14:paraId="6F16913C" w14:textId="77777777">
            <w:pPr>
              <w:rPr>
                <w:rFonts w:ascii="Times New Roman" w:eastAsia="Times New Roman" w:hAnsi="Times New Roman" w:cs="Times New Roman"/>
                <w:sz w:val="24"/>
                <w:szCs w:val="24"/>
                <w:lang w:eastAsia="lv-LV"/>
              </w:rPr>
            </w:pPr>
          </w:p>
          <w:p w:rsidR="003F476F" w:rsidRPr="003F476F" w:rsidP="003F476F" w14:paraId="455DBDF0" w14:textId="77777777">
            <w:pPr>
              <w:rPr>
                <w:rFonts w:ascii="Times New Roman" w:eastAsia="Times New Roman" w:hAnsi="Times New Roman" w:cs="Times New Roman"/>
                <w:sz w:val="24"/>
                <w:szCs w:val="24"/>
                <w:lang w:eastAsia="lv-LV"/>
              </w:rPr>
            </w:pPr>
          </w:p>
          <w:p w:rsidR="003F476F" w:rsidRPr="003F476F" w:rsidP="003F476F" w14:paraId="69AD07CE" w14:textId="77777777">
            <w:pPr>
              <w:rPr>
                <w:rFonts w:ascii="Times New Roman" w:eastAsia="Times New Roman" w:hAnsi="Times New Roman" w:cs="Times New Roman"/>
                <w:sz w:val="24"/>
                <w:szCs w:val="24"/>
                <w:lang w:eastAsia="lv-LV"/>
              </w:rPr>
            </w:pPr>
          </w:p>
          <w:p w:rsidR="003F476F" w:rsidRPr="003F476F" w:rsidP="003F476F" w14:paraId="6D2672EA" w14:textId="77777777">
            <w:pPr>
              <w:rPr>
                <w:rFonts w:ascii="Times New Roman" w:eastAsia="Times New Roman" w:hAnsi="Times New Roman" w:cs="Times New Roman"/>
                <w:sz w:val="24"/>
                <w:szCs w:val="24"/>
                <w:lang w:eastAsia="lv-LV"/>
              </w:rPr>
            </w:pPr>
          </w:p>
          <w:p w:rsidR="003F476F" w:rsidRPr="003F476F" w:rsidP="003F476F" w14:paraId="3F7F0E67" w14:textId="77777777">
            <w:pPr>
              <w:rPr>
                <w:rFonts w:ascii="Times New Roman" w:eastAsia="Times New Roman" w:hAnsi="Times New Roman" w:cs="Times New Roman"/>
                <w:sz w:val="24"/>
                <w:szCs w:val="24"/>
                <w:lang w:eastAsia="lv-LV"/>
              </w:rPr>
            </w:pPr>
          </w:p>
          <w:p w:rsidR="003F476F" w:rsidP="003F476F" w14:paraId="15479053" w14:textId="08586D0C">
            <w:pPr>
              <w:rPr>
                <w:rFonts w:ascii="Times New Roman" w:eastAsia="Times New Roman" w:hAnsi="Times New Roman" w:cs="Times New Roman"/>
                <w:sz w:val="24"/>
                <w:szCs w:val="24"/>
                <w:lang w:eastAsia="lv-LV"/>
              </w:rPr>
            </w:pPr>
          </w:p>
          <w:p w:rsidR="00D81366" w:rsidRPr="003F476F" w:rsidP="003F476F" w14:paraId="435C20DA" w14:textId="77777777">
            <w:pPr>
              <w:ind w:firstLine="720"/>
              <w:rPr>
                <w:rFonts w:ascii="Times New Roman" w:eastAsia="Times New Roman" w:hAnsi="Times New Roman" w:cs="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tcPr>
          <w:p w:rsidR="00D317E9" w:rsidRPr="002B1922" w:rsidP="007E436C" w14:paraId="6ACD32E5" w14:textId="0E0800A5">
            <w:pPr>
              <w:spacing w:after="0" w:line="240" w:lineRule="auto"/>
              <w:ind w:left="118" w:right="115" w:firstLine="426"/>
              <w:jc w:val="both"/>
              <w:rPr>
                <w:rFonts w:ascii="Times New Roman" w:eastAsia="Times New Roman" w:hAnsi="Times New Roman" w:cs="Times New Roman"/>
                <w:sz w:val="24"/>
                <w:szCs w:val="24"/>
                <w:lang w:eastAsia="lv-LV"/>
              </w:rPr>
            </w:pPr>
            <w:r w:rsidRPr="002B1922">
              <w:rPr>
                <w:rFonts w:ascii="Times New Roman" w:eastAsia="Times New Roman" w:hAnsi="Times New Roman" w:cs="Times New Roman"/>
                <w:sz w:val="24"/>
                <w:szCs w:val="24"/>
                <w:lang w:eastAsia="lv-LV"/>
              </w:rPr>
              <w:t xml:space="preserve">Ministru kabineta 2005.gada 28.jūnija noteikumu Nr.461 “Noteikumi par neatliekamās medicīniskās palīdzības nodrošināšanu un </w:t>
            </w:r>
            <w:r w:rsidRPr="002B1922">
              <w:rPr>
                <w:rFonts w:ascii="Times New Roman" w:eastAsia="Times New Roman" w:hAnsi="Times New Roman" w:cs="Times New Roman"/>
                <w:sz w:val="24"/>
                <w:szCs w:val="24"/>
                <w:lang w:eastAsia="lv-LV"/>
              </w:rPr>
              <w:t>pretepidēmijas</w:t>
            </w:r>
            <w:r w:rsidRPr="002B1922">
              <w:rPr>
                <w:rFonts w:ascii="Times New Roman" w:eastAsia="Times New Roman" w:hAnsi="Times New Roman" w:cs="Times New Roman"/>
                <w:sz w:val="24"/>
                <w:szCs w:val="24"/>
                <w:lang w:eastAsia="lv-LV"/>
              </w:rPr>
              <w:t xml:space="preserve"> pasākumiem, medikamentu nodrošinājuma sistēmas sagatavošanu un darbu valsts apdraudējuma gadījumā” (turpmāk –</w:t>
            </w:r>
            <w:r w:rsidR="00305E24">
              <w:rPr>
                <w:rFonts w:ascii="Times New Roman" w:eastAsia="Times New Roman" w:hAnsi="Times New Roman" w:cs="Times New Roman"/>
                <w:sz w:val="24"/>
                <w:szCs w:val="24"/>
                <w:lang w:eastAsia="lv-LV"/>
              </w:rPr>
              <w:t xml:space="preserve"> </w:t>
            </w:r>
            <w:r w:rsidR="00FA22CA">
              <w:rPr>
                <w:rFonts w:ascii="Times New Roman" w:eastAsia="Times New Roman" w:hAnsi="Times New Roman" w:cs="Times New Roman"/>
                <w:sz w:val="24"/>
                <w:szCs w:val="24"/>
                <w:lang w:eastAsia="lv-LV"/>
              </w:rPr>
              <w:t>N</w:t>
            </w:r>
            <w:r w:rsidRPr="002B1922">
              <w:rPr>
                <w:rFonts w:ascii="Times New Roman" w:eastAsia="Times New Roman" w:hAnsi="Times New Roman" w:cs="Times New Roman"/>
                <w:sz w:val="24"/>
                <w:szCs w:val="24"/>
                <w:lang w:eastAsia="lv-LV"/>
              </w:rPr>
              <w:t xml:space="preserve">oteikumi Nr.461) </w:t>
            </w:r>
            <w:r w:rsidRPr="002B1922">
              <w:rPr>
                <w:rFonts w:ascii="Times New Roman" w:hAnsi="Times New Roman" w:cs="Times New Roman"/>
                <w:sz w:val="24"/>
                <w:szCs w:val="24"/>
              </w:rPr>
              <w:t>13.1.apakšpunkts paredz, ka darbam medikamentu nodrošinājuma sistēmu sagatavošanai, Veselības ministrija nosaka operatīvo medicīnisko rezervju un valsts materiālo rezervju medikamentu un medicīnisko preču apjomu, izstrādā un iesniedz Ministru kabinetā priekšlikumus par nepieciešamo finansējumu to izveidošanai, uzturēšanai un atjaunošanai.</w:t>
            </w:r>
          </w:p>
          <w:p w:rsidR="00D81366" w:rsidRPr="002B1922" w:rsidP="007E436C" w14:paraId="3AD8C454" w14:textId="09FD9175">
            <w:pPr>
              <w:spacing w:after="0" w:line="240" w:lineRule="auto"/>
              <w:ind w:left="118" w:right="115" w:firstLine="426"/>
              <w:jc w:val="both"/>
              <w:rPr>
                <w:rFonts w:ascii="Times New Roman" w:eastAsia="Times New Roman" w:hAnsi="Times New Roman" w:cs="Times New Roman"/>
                <w:vanish/>
                <w:sz w:val="24"/>
                <w:szCs w:val="24"/>
                <w:lang w:eastAsia="lv-LV"/>
              </w:rPr>
            </w:pPr>
            <w:r w:rsidRPr="002B1922">
              <w:rPr>
                <w:rFonts w:ascii="Times New Roman" w:eastAsia="Times New Roman" w:hAnsi="Times New Roman" w:cs="Times New Roman"/>
                <w:sz w:val="24"/>
                <w:szCs w:val="24"/>
                <w:lang w:eastAsia="lv-LV"/>
              </w:rPr>
              <w:t xml:space="preserve">Saskaņā ar Ministru kabineta 2009.gada 15.decembra noteikumiem Nr.1480 “Neatliekamās medicīniskās palīdzības dienesta nolikums” </w:t>
            </w:r>
            <w:r w:rsidRPr="002B1922">
              <w:rPr>
                <w:rFonts w:ascii="Times New Roman" w:eastAsia="Times New Roman" w:hAnsi="Times New Roman" w:cs="Times New Roman"/>
                <w:vanish/>
                <w:sz w:val="24"/>
                <w:szCs w:val="24"/>
                <w:lang w:eastAsia="lv-LV"/>
              </w:rPr>
              <w:t>14</w:t>
            </w:r>
          </w:p>
          <w:p w:rsidR="00D81366" w:rsidRPr="002B1922" w:rsidP="007E436C" w14:paraId="329D062C" w14:textId="5FF5C91C">
            <w:pPr>
              <w:spacing w:after="0" w:line="240" w:lineRule="auto"/>
              <w:ind w:left="118" w:right="115" w:firstLine="426"/>
              <w:jc w:val="both"/>
              <w:rPr>
                <w:rFonts w:ascii="Times New Roman" w:hAnsi="Times New Roman" w:cs="Times New Roman"/>
                <w:sz w:val="24"/>
                <w:szCs w:val="24"/>
              </w:rPr>
            </w:pPr>
            <w:bookmarkStart w:id="2" w:name="p-415722"/>
            <w:bookmarkStart w:id="3" w:name="p14"/>
            <w:bookmarkEnd w:id="2"/>
            <w:bookmarkEnd w:id="3"/>
            <w:r w:rsidRPr="002B1922">
              <w:rPr>
                <w:rFonts w:ascii="Times New Roman" w:hAnsi="Times New Roman" w:cs="Times New Roman"/>
                <w:sz w:val="24"/>
                <w:szCs w:val="24"/>
              </w:rPr>
              <w:t>Neatliekamās medicīniskās palīdzības dienests (turpmāk – Dienests) uzglabā</w:t>
            </w:r>
            <w:r w:rsidRPr="002B1922" w:rsidR="00D3559C">
              <w:rPr>
                <w:rFonts w:ascii="Times New Roman" w:hAnsi="Times New Roman" w:cs="Times New Roman"/>
                <w:sz w:val="24"/>
                <w:szCs w:val="24"/>
              </w:rPr>
              <w:t xml:space="preserve">, uzskaita un atjauno </w:t>
            </w:r>
            <w:r w:rsidRPr="002B1922" w:rsidR="00DC12AA">
              <w:rPr>
                <w:rFonts w:ascii="Times New Roman" w:hAnsi="Times New Roman" w:cs="Times New Roman"/>
                <w:sz w:val="24"/>
                <w:szCs w:val="24"/>
              </w:rPr>
              <w:t xml:space="preserve">medicīnisko ierīču un medikamentu </w:t>
            </w:r>
            <w:r w:rsidRPr="002B1922">
              <w:rPr>
                <w:rFonts w:ascii="Times New Roman" w:hAnsi="Times New Roman" w:cs="Times New Roman"/>
                <w:sz w:val="24"/>
                <w:szCs w:val="24"/>
              </w:rPr>
              <w:t>valsts materiālās rezerves ārkārtas medicīniskajām situācijām valstī</w:t>
            </w:r>
            <w:r w:rsidR="009D24A5">
              <w:rPr>
                <w:rFonts w:ascii="Times New Roman" w:hAnsi="Times New Roman" w:cs="Times New Roman"/>
                <w:sz w:val="24"/>
                <w:szCs w:val="24"/>
              </w:rPr>
              <w:t>, kā</w:t>
            </w:r>
            <w:r w:rsidRPr="002B1922" w:rsidR="00D3559C">
              <w:rPr>
                <w:rFonts w:ascii="Times New Roman" w:hAnsi="Times New Roman" w:cs="Times New Roman"/>
                <w:sz w:val="24"/>
                <w:szCs w:val="24"/>
              </w:rPr>
              <w:t xml:space="preserve"> arī organizē to realizēšanu</w:t>
            </w:r>
            <w:r w:rsidRPr="002B1922">
              <w:rPr>
                <w:rFonts w:ascii="Times New Roman" w:hAnsi="Times New Roman" w:cs="Times New Roman"/>
                <w:sz w:val="24"/>
                <w:szCs w:val="24"/>
              </w:rPr>
              <w:t>. Ministru kabineta 2011.gada 13.decembra noteikumos Nr.948 “Katastrofu medicīnas sistēmas organizēšanas noteikumi”</w:t>
            </w:r>
            <w:r w:rsidR="007C7FAC">
              <w:rPr>
                <w:rFonts w:ascii="Times New Roman" w:hAnsi="Times New Roman" w:cs="Times New Roman"/>
                <w:sz w:val="24"/>
                <w:szCs w:val="24"/>
              </w:rPr>
              <w:t xml:space="preserve"> </w:t>
            </w:r>
            <w:r w:rsidRPr="002B1922">
              <w:rPr>
                <w:rFonts w:ascii="Times New Roman" w:hAnsi="Times New Roman" w:cs="Times New Roman"/>
                <w:sz w:val="24"/>
                <w:szCs w:val="24"/>
              </w:rPr>
              <w:t xml:space="preserve">ir noteikts, ka Dienests veido medicīniskās rezerves </w:t>
            </w:r>
            <w:r w:rsidRPr="002B1922">
              <w:rPr>
                <w:rFonts w:ascii="Times New Roman" w:hAnsi="Times New Roman" w:cs="Times New Roman"/>
                <w:sz w:val="24"/>
                <w:szCs w:val="24"/>
              </w:rPr>
              <w:t>pirmsslimnīcas</w:t>
            </w:r>
            <w:r w:rsidRPr="002B1922">
              <w:rPr>
                <w:rFonts w:ascii="Times New Roman" w:hAnsi="Times New Roman" w:cs="Times New Roman"/>
                <w:sz w:val="24"/>
                <w:szCs w:val="24"/>
              </w:rPr>
              <w:t xml:space="preserve"> neatliekamās medicīniskās palīdzības nodrošināšanai ārkārtas medicīniskajā situācijā un ārkārtas sabiedrības veselības situācijā. Dienesta medicīnisko rezervju izveidošanas un izmantošanas kār</w:t>
            </w:r>
            <w:r w:rsidRPr="002B1922" w:rsidR="00FE4D94">
              <w:rPr>
                <w:rFonts w:ascii="Times New Roman" w:hAnsi="Times New Roman" w:cs="Times New Roman"/>
                <w:sz w:val="24"/>
                <w:szCs w:val="24"/>
              </w:rPr>
              <w:t xml:space="preserve">tību nosaka Dienesta direktors. </w:t>
            </w:r>
            <w:r w:rsidRPr="002B1922">
              <w:rPr>
                <w:rFonts w:ascii="Times New Roman" w:hAnsi="Times New Roman" w:cs="Times New Roman"/>
                <w:sz w:val="24"/>
                <w:szCs w:val="24"/>
              </w:rPr>
              <w:t xml:space="preserve">Savukārt </w:t>
            </w:r>
            <w:r w:rsidRPr="002B1922" w:rsidR="008B3965">
              <w:rPr>
                <w:rFonts w:ascii="Times New Roman" w:hAnsi="Times New Roman" w:cs="Times New Roman"/>
                <w:sz w:val="24"/>
                <w:szCs w:val="24"/>
              </w:rPr>
              <w:t>stacionārās</w:t>
            </w:r>
            <w:r w:rsidRPr="002B1922" w:rsidR="00A8061B">
              <w:rPr>
                <w:rFonts w:ascii="Times New Roman" w:hAnsi="Times New Roman" w:cs="Times New Roman"/>
                <w:sz w:val="24"/>
                <w:szCs w:val="24"/>
              </w:rPr>
              <w:t xml:space="preserve"> </w:t>
            </w:r>
            <w:r w:rsidRPr="002B1922">
              <w:rPr>
                <w:rFonts w:ascii="Times New Roman" w:hAnsi="Times New Roman" w:cs="Times New Roman"/>
                <w:sz w:val="24"/>
                <w:szCs w:val="24"/>
              </w:rPr>
              <w:t>ārstniecības iestādes veido medicīniskās rezerves medicīniskās palīdzības nodrošināšanai ārkārtas medicīniskajā situācijā un ārkārtas sabiedrības veselības situācijā. Valsts materiālo rezervju veidošanas un uzturēšanas kārtību nosaka Valsts materiālo rezervju likums, kura mērķis ir civilās aizsardzības sistēmas ietvaros veidot un uzglabāt valsts materiālās rezerves, lai tās izmantotu valsts apdraudējuma gadījumā.</w:t>
            </w:r>
            <w:r w:rsidR="00D16FC6">
              <w:rPr>
                <w:rFonts w:ascii="Times New Roman" w:hAnsi="Times New Roman" w:cs="Times New Roman"/>
                <w:sz w:val="24"/>
                <w:szCs w:val="24"/>
              </w:rPr>
              <w:t xml:space="preserve"> </w:t>
            </w:r>
            <w:r w:rsidRPr="002B1922" w:rsidR="005D1961">
              <w:rPr>
                <w:rFonts w:ascii="Times New Roman" w:hAnsi="Times New Roman" w:cs="Times New Roman"/>
                <w:sz w:val="24"/>
                <w:szCs w:val="24"/>
              </w:rPr>
              <w:t xml:space="preserve">Detalizētu valsts materiālo rezervju glabāšanas, uzskaites, atjaunināšanas, iznomāšanas, aizdošanas, realizācijas un norakstīšanas kārtību nosaka </w:t>
            </w:r>
            <w:r w:rsidR="00D16FC6">
              <w:rPr>
                <w:rFonts w:ascii="Times New Roman" w:hAnsi="Times New Roman" w:cs="Times New Roman"/>
                <w:sz w:val="24"/>
                <w:szCs w:val="24"/>
              </w:rPr>
              <w:t>Ministru kabineta 2007.</w:t>
            </w:r>
            <w:r w:rsidRPr="00D16FC6" w:rsidR="00D16FC6">
              <w:rPr>
                <w:rFonts w:ascii="Times New Roman" w:hAnsi="Times New Roman" w:cs="Times New Roman"/>
                <w:sz w:val="24"/>
                <w:szCs w:val="24"/>
              </w:rPr>
              <w:t xml:space="preserve">gada </w:t>
            </w:r>
            <w:r w:rsidR="00D16FC6">
              <w:rPr>
                <w:rFonts w:ascii="Times New Roman" w:hAnsi="Times New Roman" w:cs="Times New Roman"/>
                <w:sz w:val="24"/>
                <w:szCs w:val="24"/>
              </w:rPr>
              <w:t>18.decembra noteikumi Nr.877 “</w:t>
            </w:r>
            <w:r w:rsidRPr="00D16FC6" w:rsidR="00D16FC6">
              <w:rPr>
                <w:rFonts w:ascii="Times New Roman" w:hAnsi="Times New Roman" w:cs="Times New Roman"/>
                <w:sz w:val="24"/>
                <w:szCs w:val="24"/>
              </w:rPr>
              <w:t>Valsts materiālo rezervju glabāšanas, uzskaites, atjaunināšanas, iznomāšanas, aizdošanas, realiz</w:t>
            </w:r>
            <w:r w:rsidR="00D16FC6">
              <w:rPr>
                <w:rFonts w:ascii="Times New Roman" w:hAnsi="Times New Roman" w:cs="Times New Roman"/>
                <w:sz w:val="24"/>
                <w:szCs w:val="24"/>
              </w:rPr>
              <w:t xml:space="preserve">ācijas un norakstīšanas kārtība”. </w:t>
            </w:r>
            <w:r w:rsidR="007E436C">
              <w:rPr>
                <w:rFonts w:ascii="Times New Roman" w:hAnsi="Times New Roman" w:cs="Times New Roman"/>
                <w:sz w:val="24"/>
                <w:szCs w:val="24"/>
              </w:rPr>
              <w:t xml:space="preserve">Līdz ar to, </w:t>
            </w:r>
            <w:r w:rsidR="00D16FC6">
              <w:rPr>
                <w:rFonts w:ascii="Times New Roman" w:hAnsi="Times New Roman" w:cs="Times New Roman"/>
                <w:sz w:val="24"/>
                <w:szCs w:val="24"/>
              </w:rPr>
              <w:t>N</w:t>
            </w:r>
            <w:r w:rsidRPr="002B1922" w:rsidR="00446413">
              <w:rPr>
                <w:rFonts w:ascii="Times New Roman" w:hAnsi="Times New Roman" w:cs="Times New Roman"/>
                <w:sz w:val="24"/>
                <w:szCs w:val="24"/>
              </w:rPr>
              <w:t>oteikumu Nr.461</w:t>
            </w:r>
            <w:r w:rsidR="00D16FC6">
              <w:rPr>
                <w:rFonts w:ascii="Times New Roman" w:hAnsi="Times New Roman" w:cs="Times New Roman"/>
                <w:sz w:val="24"/>
                <w:szCs w:val="24"/>
              </w:rPr>
              <w:t xml:space="preserve"> 13.1.</w:t>
            </w:r>
            <w:r w:rsidRPr="002B1922">
              <w:rPr>
                <w:rFonts w:ascii="Times New Roman" w:hAnsi="Times New Roman" w:cs="Times New Roman"/>
                <w:sz w:val="24"/>
                <w:szCs w:val="24"/>
              </w:rPr>
              <w:t>a</w:t>
            </w:r>
            <w:r w:rsidRPr="002B1922" w:rsidR="008D7C6E">
              <w:rPr>
                <w:rFonts w:ascii="Times New Roman" w:hAnsi="Times New Roman" w:cs="Times New Roman"/>
                <w:sz w:val="24"/>
                <w:szCs w:val="24"/>
              </w:rPr>
              <w:t>pakšpunktā iekļautā norma</w:t>
            </w:r>
            <w:r w:rsidRPr="002B1922" w:rsidR="005D1961">
              <w:rPr>
                <w:rFonts w:ascii="Times New Roman" w:hAnsi="Times New Roman" w:cs="Times New Roman"/>
                <w:sz w:val="24"/>
                <w:szCs w:val="24"/>
              </w:rPr>
              <w:t xml:space="preserve"> ir zaudējusi aktualitāti un</w:t>
            </w:r>
            <w:r w:rsidRPr="002B1922" w:rsidR="00AD2EF3">
              <w:rPr>
                <w:rFonts w:ascii="Times New Roman" w:hAnsi="Times New Roman" w:cs="Times New Roman"/>
                <w:sz w:val="24"/>
                <w:szCs w:val="24"/>
              </w:rPr>
              <w:t xml:space="preserve"> </w:t>
            </w:r>
            <w:r w:rsidRPr="002B1922" w:rsidR="008D7C6E">
              <w:rPr>
                <w:rFonts w:ascii="Times New Roman" w:hAnsi="Times New Roman" w:cs="Times New Roman"/>
                <w:sz w:val="24"/>
                <w:szCs w:val="24"/>
              </w:rPr>
              <w:t xml:space="preserve">dublē </w:t>
            </w:r>
            <w:r w:rsidRPr="002B1922">
              <w:rPr>
                <w:rFonts w:ascii="Times New Roman" w:hAnsi="Times New Roman" w:cs="Times New Roman"/>
                <w:sz w:val="24"/>
                <w:szCs w:val="24"/>
              </w:rPr>
              <w:t>iepriekš minētās normas un ir svītrojama.</w:t>
            </w:r>
          </w:p>
          <w:p w:rsidR="00612A32" w:rsidRPr="002B1922" w:rsidP="007E436C" w14:paraId="57BEFEF0" w14:textId="68CAB652">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rPr>
              <w:t>N</w:t>
            </w:r>
            <w:r w:rsidRPr="002B1922">
              <w:rPr>
                <w:rFonts w:ascii="Times New Roman" w:eastAsia="Times New Roman" w:hAnsi="Times New Roman" w:cs="Times New Roman"/>
                <w:sz w:val="24"/>
                <w:szCs w:val="24"/>
                <w:lang w:eastAsia="lv-LV"/>
              </w:rPr>
              <w:t xml:space="preserve">oteikumu Nr.461 </w:t>
            </w:r>
            <w:r w:rsidRPr="002B1922">
              <w:rPr>
                <w:rFonts w:ascii="Times New Roman" w:hAnsi="Times New Roman" w:cs="Times New Roman"/>
                <w:sz w:val="24"/>
                <w:szCs w:val="24"/>
              </w:rPr>
              <w:t>13.2.apakšpunkts paredz, ka darbam medikamentu nodrošinājuma sistēmu</w:t>
            </w:r>
            <w:r w:rsidRPr="002B1922" w:rsidR="00E660C2">
              <w:rPr>
                <w:rFonts w:ascii="Times New Roman" w:hAnsi="Times New Roman" w:cs="Times New Roman"/>
                <w:sz w:val="24"/>
                <w:szCs w:val="24"/>
              </w:rPr>
              <w:t xml:space="preserve"> sagatavošanai</w:t>
            </w:r>
            <w:r w:rsidRPr="002B1922">
              <w:rPr>
                <w:rFonts w:ascii="Times New Roman" w:hAnsi="Times New Roman" w:cs="Times New Roman"/>
                <w:sz w:val="24"/>
                <w:szCs w:val="24"/>
              </w:rPr>
              <w:t>, Veselības ministrija nosaka medikamentu atlikto piegāžu apjomu un iesniedz Ministru kabinetā priekšlikumus par nepieciešamo finansējumu medikamentu atlikto piegāžu līgumu slēgšanai</w:t>
            </w:r>
            <w:r w:rsidRPr="002B1922" w:rsidR="00E660C2">
              <w:rPr>
                <w:rFonts w:ascii="Times New Roman" w:hAnsi="Times New Roman" w:cs="Times New Roman"/>
                <w:sz w:val="24"/>
                <w:szCs w:val="24"/>
              </w:rPr>
              <w:t>.</w:t>
            </w:r>
          </w:p>
          <w:p w:rsidR="00342BAF" w:rsidRPr="002B1922" w:rsidP="007E436C" w14:paraId="7D85079F" w14:textId="6662CB8F">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ar </w:t>
            </w:r>
            <w:r w:rsidRPr="002B1922" w:rsidR="00DA02EB">
              <w:rPr>
                <w:rFonts w:ascii="Times New Roman" w:eastAsia="Times New Roman" w:hAnsi="Times New Roman" w:cs="Times New Roman"/>
                <w:sz w:val="24"/>
                <w:szCs w:val="24"/>
                <w:lang w:eastAsia="lv-LV"/>
              </w:rPr>
              <w:t>2017.gada 22.maija Ministru kabineta rīkojumu Nr. 244 “Par koncep</w:t>
            </w:r>
            <w:r>
              <w:rPr>
                <w:rFonts w:ascii="Times New Roman" w:eastAsia="Times New Roman" w:hAnsi="Times New Roman" w:cs="Times New Roman"/>
                <w:sz w:val="24"/>
                <w:szCs w:val="24"/>
                <w:lang w:eastAsia="lv-LV"/>
              </w:rPr>
              <w:t>tuālo ziņojumu</w:t>
            </w:r>
            <w:r w:rsidRPr="002B1922" w:rsidR="00DA02EB">
              <w:rPr>
                <w:rFonts w:ascii="Times New Roman" w:eastAsia="Times New Roman" w:hAnsi="Times New Roman" w:cs="Times New Roman"/>
                <w:sz w:val="24"/>
                <w:szCs w:val="24"/>
                <w:lang w:eastAsia="lv-LV"/>
              </w:rPr>
              <w:t xml:space="preserve"> “Par valsts materiālo rezervju veidošanu un pārvaldīšanu”</w:t>
            </w:r>
            <w:r>
              <w:rPr>
                <w:rFonts w:ascii="Times New Roman" w:eastAsia="Times New Roman" w:hAnsi="Times New Roman" w:cs="Times New Roman"/>
                <w:sz w:val="24"/>
                <w:szCs w:val="24"/>
                <w:lang w:eastAsia="lv-LV"/>
              </w:rPr>
              <w:t>”</w:t>
            </w:r>
            <w:r w:rsidRPr="002B1922" w:rsidR="003D6755">
              <w:rPr>
                <w:rFonts w:ascii="Times New Roman" w:eastAsia="Times New Roman" w:hAnsi="Times New Roman" w:cs="Times New Roman"/>
                <w:sz w:val="24"/>
                <w:szCs w:val="24"/>
                <w:lang w:eastAsia="lv-LV"/>
              </w:rPr>
              <w:t xml:space="preserve"> (ierobežotas pieejamības informācija) </w:t>
            </w:r>
            <w:r w:rsidRPr="002B1922" w:rsidR="00DA02EB">
              <w:rPr>
                <w:rFonts w:ascii="Times New Roman" w:eastAsia="Times New Roman" w:hAnsi="Times New Roman" w:cs="Times New Roman"/>
                <w:sz w:val="24"/>
                <w:szCs w:val="24"/>
                <w:lang w:eastAsia="lv-LV"/>
              </w:rPr>
              <w:t xml:space="preserve">apstiprinātajam konceptuālajā ziņojumā </w:t>
            </w:r>
            <w:r w:rsidR="007E436C">
              <w:rPr>
                <w:rFonts w:ascii="Times New Roman" w:eastAsia="Times New Roman" w:hAnsi="Times New Roman" w:cs="Times New Roman"/>
                <w:sz w:val="24"/>
                <w:szCs w:val="24"/>
                <w:lang w:eastAsia="lv-LV"/>
              </w:rPr>
              <w:t xml:space="preserve">ietvertajam </w:t>
            </w:r>
            <w:r w:rsidR="009D24A5">
              <w:rPr>
                <w:rFonts w:ascii="Times New Roman" w:eastAsia="Times New Roman" w:hAnsi="Times New Roman" w:cs="Times New Roman"/>
                <w:sz w:val="24"/>
                <w:szCs w:val="24"/>
                <w:lang w:eastAsia="lv-LV"/>
              </w:rPr>
              <w:t>3.</w:t>
            </w:r>
            <w:r w:rsidRPr="002B1922" w:rsidR="00DA02EB">
              <w:rPr>
                <w:rFonts w:ascii="Times New Roman" w:eastAsia="Times New Roman" w:hAnsi="Times New Roman" w:cs="Times New Roman"/>
                <w:sz w:val="24"/>
                <w:szCs w:val="24"/>
                <w:lang w:eastAsia="lv-LV"/>
              </w:rPr>
              <w:t xml:space="preserve"> variantam</w:t>
            </w:r>
            <w:r w:rsidR="009A0639">
              <w:rPr>
                <w:rFonts w:ascii="Times New Roman" w:eastAsia="Times New Roman" w:hAnsi="Times New Roman" w:cs="Times New Roman"/>
                <w:sz w:val="24"/>
                <w:szCs w:val="24"/>
                <w:lang w:eastAsia="lv-LV"/>
              </w:rPr>
              <w:t xml:space="preserve"> tiek atbalstīts risinājums, ka</w:t>
            </w:r>
            <w:r w:rsidRPr="002B1922">
              <w:rPr>
                <w:rFonts w:ascii="Times New Roman" w:eastAsia="Times New Roman" w:hAnsi="Times New Roman" w:cs="Times New Roman"/>
                <w:sz w:val="24"/>
                <w:szCs w:val="24"/>
                <w:lang w:eastAsia="lv-LV"/>
              </w:rPr>
              <w:t xml:space="preserve"> valsts materiālās rezerves tiek plānotas un veidotas pamatojoties uz riska novērtējumu.</w:t>
            </w:r>
          </w:p>
          <w:p w:rsidR="005D1961" w:rsidRPr="002B1922" w:rsidP="007E436C" w14:paraId="3D1F4E02" w14:textId="222E5A9F">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Līdz ar to nav</w:t>
            </w:r>
            <w:r w:rsidRPr="002B1922" w:rsidR="00342BAF">
              <w:rPr>
                <w:rFonts w:ascii="Times New Roman" w:eastAsia="Times New Roman" w:hAnsi="Times New Roman" w:cs="Times New Roman"/>
                <w:sz w:val="24"/>
                <w:szCs w:val="24"/>
                <w:lang w:eastAsia="lv-LV"/>
              </w:rPr>
              <w:t xml:space="preserve"> atbalstīts variants, ka valsts materiālās rezerves netiek veidotas un tiek plānotas atliktās piegādes</w:t>
            </w:r>
            <w:r w:rsidR="009A0639">
              <w:rPr>
                <w:rFonts w:ascii="Times New Roman" w:eastAsia="Times New Roman" w:hAnsi="Times New Roman" w:cs="Times New Roman"/>
                <w:sz w:val="24"/>
                <w:szCs w:val="24"/>
                <w:lang w:eastAsia="lv-LV"/>
              </w:rPr>
              <w:t>,</w:t>
            </w:r>
            <w:r w:rsidRPr="002B1922" w:rsidR="004F4AD9">
              <w:rPr>
                <w:rFonts w:ascii="Times New Roman" w:eastAsia="Times New Roman" w:hAnsi="Times New Roman" w:cs="Times New Roman"/>
                <w:sz w:val="24"/>
                <w:szCs w:val="24"/>
                <w:lang w:eastAsia="lv-LV"/>
              </w:rPr>
              <w:t xml:space="preserve"> slēdzot līgumus ar komersantiem par piegādi noteiktā laikā un apjomā</w:t>
            </w:r>
            <w:r w:rsidRPr="002B1922" w:rsidR="00342BAF">
              <w:rPr>
                <w:rFonts w:ascii="Times New Roman" w:eastAsia="Times New Roman" w:hAnsi="Times New Roman" w:cs="Times New Roman"/>
                <w:sz w:val="24"/>
                <w:szCs w:val="24"/>
                <w:lang w:eastAsia="lv-LV"/>
              </w:rPr>
              <w:t>.</w:t>
            </w:r>
          </w:p>
          <w:p w:rsidR="009B0340" w:rsidRPr="002B1922" w:rsidP="007E436C" w14:paraId="766A0DF6" w14:textId="115D4426">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rPr>
              <w:t>Ņ</w:t>
            </w:r>
            <w:r w:rsidRPr="002B1922">
              <w:rPr>
                <w:rFonts w:ascii="Times New Roman" w:hAnsi="Times New Roman" w:cs="Times New Roman"/>
                <w:sz w:val="24"/>
                <w:szCs w:val="24"/>
              </w:rPr>
              <w:t>emot vērā</w:t>
            </w:r>
            <w:r>
              <w:rPr>
                <w:rFonts w:ascii="Times New Roman" w:hAnsi="Times New Roman" w:cs="Times New Roman"/>
                <w:sz w:val="24"/>
                <w:szCs w:val="24"/>
              </w:rPr>
              <w:t xml:space="preserve"> to</w:t>
            </w:r>
            <w:r w:rsidRPr="002B1922">
              <w:rPr>
                <w:rFonts w:ascii="Times New Roman" w:hAnsi="Times New Roman" w:cs="Times New Roman"/>
                <w:sz w:val="24"/>
                <w:szCs w:val="24"/>
              </w:rPr>
              <w:t xml:space="preserve">, ka </w:t>
            </w:r>
            <w:r w:rsidRPr="002B1922" w:rsidR="004F4AD9">
              <w:rPr>
                <w:rFonts w:ascii="Times New Roman" w:hAnsi="Times New Roman" w:cs="Times New Roman"/>
                <w:sz w:val="24"/>
                <w:szCs w:val="24"/>
              </w:rPr>
              <w:t xml:space="preserve">ārkārtas </w:t>
            </w:r>
            <w:r w:rsidRPr="002B1922">
              <w:rPr>
                <w:rFonts w:ascii="Times New Roman" w:hAnsi="Times New Roman" w:cs="Times New Roman"/>
                <w:sz w:val="24"/>
                <w:szCs w:val="24"/>
              </w:rPr>
              <w:t>situācijā iespējami gadījumi, kad līgumi par atliktajām piegādēm</w:t>
            </w:r>
            <w:r w:rsidRPr="002B1922" w:rsidR="004F4AD9">
              <w:rPr>
                <w:rFonts w:ascii="Times New Roman" w:hAnsi="Times New Roman" w:cs="Times New Roman"/>
                <w:sz w:val="24"/>
                <w:szCs w:val="24"/>
              </w:rPr>
              <w:t xml:space="preserve"> var</w:t>
            </w:r>
            <w:r w:rsidRPr="002B1922">
              <w:rPr>
                <w:rFonts w:ascii="Times New Roman" w:hAnsi="Times New Roman" w:cs="Times New Roman"/>
                <w:sz w:val="24"/>
                <w:szCs w:val="24"/>
              </w:rPr>
              <w:t xml:space="preserve"> netik</w:t>
            </w:r>
            <w:r w:rsidRPr="002B1922" w:rsidR="004F4AD9">
              <w:rPr>
                <w:rFonts w:ascii="Times New Roman" w:hAnsi="Times New Roman" w:cs="Times New Roman"/>
                <w:sz w:val="24"/>
                <w:szCs w:val="24"/>
              </w:rPr>
              <w:t>t</w:t>
            </w:r>
            <w:r w:rsidRPr="002B1922">
              <w:rPr>
                <w:rFonts w:ascii="Times New Roman" w:hAnsi="Times New Roman" w:cs="Times New Roman"/>
                <w:sz w:val="24"/>
                <w:szCs w:val="24"/>
              </w:rPr>
              <w:t xml:space="preserve"> pildīti, kā arī</w:t>
            </w:r>
            <w:r w:rsidR="009A0639">
              <w:rPr>
                <w:rFonts w:ascii="Times New Roman" w:hAnsi="Times New Roman" w:cs="Times New Roman"/>
                <w:sz w:val="24"/>
                <w:szCs w:val="24"/>
              </w:rPr>
              <w:t>,</w:t>
            </w:r>
            <w:r w:rsidRPr="002B1922">
              <w:rPr>
                <w:rFonts w:ascii="Times New Roman" w:hAnsi="Times New Roman" w:cs="Times New Roman"/>
                <w:sz w:val="24"/>
                <w:szCs w:val="24"/>
              </w:rPr>
              <w:t xml:space="preserve"> plānojot resursus operatīvajiem dienestiem, personālam jābūt savlaicīgi apmācītam darbam ar </w:t>
            </w:r>
            <w:r>
              <w:rPr>
                <w:rFonts w:ascii="Times New Roman" w:hAnsi="Times New Roman" w:cs="Times New Roman"/>
                <w:sz w:val="24"/>
                <w:szCs w:val="24"/>
              </w:rPr>
              <w:t xml:space="preserve">atliktajās piegādēs </w:t>
            </w:r>
            <w:r w:rsidRPr="002B1922">
              <w:rPr>
                <w:rFonts w:ascii="Times New Roman" w:hAnsi="Times New Roman" w:cs="Times New Roman"/>
                <w:sz w:val="24"/>
                <w:szCs w:val="24"/>
              </w:rPr>
              <w:t>piegādājamajiem resursiem (piemēram, tehnisko aprīkojumu),</w:t>
            </w:r>
            <w:r w:rsidRPr="002B1922" w:rsidR="00D25244">
              <w:rPr>
                <w:rFonts w:ascii="Times New Roman" w:hAnsi="Times New Roman" w:cs="Times New Roman"/>
                <w:sz w:val="24"/>
                <w:szCs w:val="24"/>
              </w:rPr>
              <w:t xml:space="preserve"> </w:t>
            </w:r>
            <w:r w:rsidRPr="002B1922" w:rsidR="004F4AD9">
              <w:rPr>
                <w:rFonts w:ascii="Times New Roman" w:hAnsi="Times New Roman" w:cs="Times New Roman"/>
                <w:sz w:val="24"/>
                <w:szCs w:val="24"/>
              </w:rPr>
              <w:t>atbalst</w:t>
            </w:r>
            <w:r>
              <w:rPr>
                <w:rFonts w:ascii="Times New Roman" w:hAnsi="Times New Roman" w:cs="Times New Roman"/>
                <w:sz w:val="24"/>
                <w:szCs w:val="24"/>
              </w:rPr>
              <w:t>īts risinājums</w:t>
            </w:r>
            <w:r w:rsidRPr="002B1922" w:rsidR="001C20B8">
              <w:rPr>
                <w:rFonts w:ascii="Times New Roman" w:hAnsi="Times New Roman" w:cs="Times New Roman"/>
                <w:sz w:val="24"/>
                <w:szCs w:val="24"/>
              </w:rPr>
              <w:t>, ka racionā</w:t>
            </w:r>
            <w:r w:rsidRPr="002B1922">
              <w:rPr>
                <w:rFonts w:ascii="Times New Roman" w:hAnsi="Times New Roman" w:cs="Times New Roman"/>
                <w:sz w:val="24"/>
                <w:szCs w:val="24"/>
              </w:rPr>
              <w:t xml:space="preserve">la būtu šobrīd esošā kārtība valsts materiālo rezervju </w:t>
            </w:r>
            <w:r>
              <w:rPr>
                <w:rFonts w:ascii="Times New Roman" w:hAnsi="Times New Roman" w:cs="Times New Roman"/>
                <w:sz w:val="24"/>
                <w:szCs w:val="24"/>
              </w:rPr>
              <w:t xml:space="preserve">veidošanai un </w:t>
            </w:r>
            <w:r w:rsidRPr="002B1922">
              <w:rPr>
                <w:rFonts w:ascii="Times New Roman" w:hAnsi="Times New Roman" w:cs="Times New Roman"/>
                <w:sz w:val="24"/>
                <w:szCs w:val="24"/>
              </w:rPr>
              <w:t>uzglabāšanai</w:t>
            </w:r>
            <w:r>
              <w:rPr>
                <w:rFonts w:ascii="Times New Roman" w:hAnsi="Times New Roman" w:cs="Times New Roman"/>
                <w:sz w:val="24"/>
                <w:szCs w:val="24"/>
              </w:rPr>
              <w:t xml:space="preserve">. </w:t>
            </w:r>
          </w:p>
          <w:p w:rsidR="009B0340" w:rsidP="007E436C" w14:paraId="5DA69B10" w14:textId="16848FEE">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r w:rsidRPr="002B1922">
              <w:rPr>
                <w:rFonts w:ascii="Times New Roman" w:eastAsia="Times New Roman" w:hAnsi="Times New Roman" w:cs="Times New Roman"/>
                <w:sz w:val="24"/>
                <w:szCs w:val="24"/>
                <w:lang w:eastAsia="lv-LV"/>
              </w:rPr>
              <w:t>Prognozējamais piegādes laiks atlikto pi</w:t>
            </w:r>
            <w:r w:rsidRPr="002B1922" w:rsidR="00D25244">
              <w:rPr>
                <w:rFonts w:ascii="Times New Roman" w:eastAsia="Times New Roman" w:hAnsi="Times New Roman" w:cs="Times New Roman"/>
                <w:sz w:val="24"/>
                <w:szCs w:val="24"/>
                <w:lang w:eastAsia="lv-LV"/>
              </w:rPr>
              <w:t>egāžu gadījumā</w:t>
            </w:r>
            <w:r w:rsidR="009D24A5">
              <w:rPr>
                <w:rFonts w:ascii="Times New Roman" w:eastAsia="Times New Roman" w:hAnsi="Times New Roman" w:cs="Times New Roman"/>
                <w:sz w:val="24"/>
                <w:szCs w:val="24"/>
                <w:lang w:eastAsia="lv-LV"/>
              </w:rPr>
              <w:t xml:space="preserve"> varētu būt ilgāks</w:t>
            </w:r>
            <w:r w:rsidRPr="002B1922" w:rsidR="00D25244">
              <w:rPr>
                <w:rFonts w:ascii="Times New Roman" w:eastAsia="Times New Roman" w:hAnsi="Times New Roman" w:cs="Times New Roman"/>
                <w:sz w:val="24"/>
                <w:szCs w:val="24"/>
                <w:lang w:eastAsia="lv-LV"/>
              </w:rPr>
              <w:t xml:space="preserve"> salīdzinājumā ar</w:t>
            </w:r>
            <w:r w:rsidRPr="002B1922" w:rsidR="004F4AD9">
              <w:rPr>
                <w:rFonts w:ascii="Times New Roman" w:eastAsia="Times New Roman" w:hAnsi="Times New Roman" w:cs="Times New Roman"/>
                <w:sz w:val="24"/>
                <w:szCs w:val="24"/>
                <w:lang w:eastAsia="lv-LV"/>
              </w:rPr>
              <w:t xml:space="preserve"> </w:t>
            </w:r>
            <w:r w:rsidR="009D24A5">
              <w:rPr>
                <w:rFonts w:ascii="Times New Roman" w:eastAsia="Times New Roman" w:hAnsi="Times New Roman" w:cs="Times New Roman"/>
                <w:sz w:val="24"/>
                <w:szCs w:val="24"/>
                <w:lang w:eastAsia="lv-LV"/>
              </w:rPr>
              <w:t xml:space="preserve">noteiktā veidā un kārtībā uzglabātiem </w:t>
            </w:r>
            <w:r w:rsidRPr="002B1922" w:rsidR="004F4AD9">
              <w:rPr>
                <w:rFonts w:ascii="Times New Roman" w:eastAsia="Times New Roman" w:hAnsi="Times New Roman" w:cs="Times New Roman"/>
                <w:sz w:val="24"/>
                <w:szCs w:val="24"/>
                <w:lang w:eastAsia="lv-LV"/>
              </w:rPr>
              <w:t>valsts materiālajiem resursiem</w:t>
            </w:r>
            <w:r w:rsidRPr="002B1922">
              <w:rPr>
                <w:rFonts w:ascii="Times New Roman" w:eastAsia="Times New Roman" w:hAnsi="Times New Roman" w:cs="Times New Roman"/>
                <w:sz w:val="24"/>
                <w:szCs w:val="24"/>
                <w:lang w:eastAsia="lv-LV"/>
              </w:rPr>
              <w:t>, kas jau atrodas reaģēšanas pasākumos iesaistīto institūciju</w:t>
            </w:r>
            <w:r w:rsidRPr="002B1922" w:rsidR="004F4AD9">
              <w:rPr>
                <w:rFonts w:ascii="Times New Roman" w:eastAsia="Times New Roman" w:hAnsi="Times New Roman" w:cs="Times New Roman"/>
                <w:sz w:val="24"/>
                <w:szCs w:val="24"/>
                <w:lang w:eastAsia="lv-LV"/>
              </w:rPr>
              <w:t xml:space="preserve"> rīcībā un var tikt salīdzinoši īsā laikā lietoti atbilstoši vajadzībai ārkā</w:t>
            </w:r>
            <w:r w:rsidR="009D24A5">
              <w:rPr>
                <w:rFonts w:ascii="Times New Roman" w:eastAsia="Times New Roman" w:hAnsi="Times New Roman" w:cs="Times New Roman"/>
                <w:sz w:val="24"/>
                <w:szCs w:val="24"/>
                <w:lang w:eastAsia="lv-LV"/>
              </w:rPr>
              <w:t>rtas medicīnisko situāciju gadījumā</w:t>
            </w:r>
            <w:r w:rsidRPr="002B1922">
              <w:rPr>
                <w:rFonts w:ascii="Times New Roman" w:eastAsia="Times New Roman" w:hAnsi="Times New Roman" w:cs="Times New Roman"/>
                <w:sz w:val="24"/>
                <w:szCs w:val="24"/>
                <w:lang w:eastAsia="lv-LV"/>
              </w:rPr>
              <w:t>.</w:t>
            </w:r>
          </w:p>
          <w:p w:rsidR="009D24A5" w:rsidRPr="002B1922" w:rsidP="007E436C" w14:paraId="76926D1B" w14:textId="36680C36">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Vienlaikus skaidrojam, ka atlikto piegāžu mehānisms ir noteikts Mobilizācijas likuma 9.panta 5.punktā, kā arī Ministru kabineta 2005.gada 26.jūlija noteikumu Nr.547 “</w:t>
            </w:r>
            <w:r w:rsidR="00922A35">
              <w:rPr>
                <w:rFonts w:ascii="Times New Roman" w:eastAsia="Times New Roman" w:hAnsi="Times New Roman" w:cs="Times New Roman"/>
                <w:sz w:val="24"/>
                <w:szCs w:val="24"/>
                <w:lang w:eastAsia="lv-LV"/>
              </w:rPr>
              <w:t>Noteikumi par atliktajām piegādēm</w:t>
            </w:r>
            <w:r>
              <w:rPr>
                <w:rFonts w:ascii="Times New Roman" w:eastAsia="Times New Roman" w:hAnsi="Times New Roman" w:cs="Times New Roman"/>
                <w:sz w:val="24"/>
                <w:szCs w:val="24"/>
                <w:lang w:eastAsia="lv-LV"/>
              </w:rPr>
              <w:t>”</w:t>
            </w:r>
            <w:r w:rsidR="00922A35">
              <w:rPr>
                <w:rFonts w:ascii="Times New Roman" w:eastAsia="Times New Roman" w:hAnsi="Times New Roman" w:cs="Times New Roman"/>
                <w:sz w:val="24"/>
                <w:szCs w:val="24"/>
                <w:lang w:eastAsia="lv-LV"/>
              </w:rPr>
              <w:t xml:space="preserve"> 4.5.apakšpunktā noteikti materiālo resursu un pakalpojumu veidi atliktajām piegādēm. Savukārt 5.punktā noteikts, ka atliktās piegādes plāno, ja nav izveidotas valsts materiālās rezerves vai nav ekonomiski lietderīgi tās veidot.</w:t>
            </w:r>
          </w:p>
          <w:p w:rsidR="009B0340" w:rsidRPr="002B1922" w:rsidP="007E436C" w14:paraId="643C40D1" w14:textId="5DB7177F">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7C7FAC">
              <w:rPr>
                <w:rFonts w:ascii="Times New Roman" w:eastAsia="Times New Roman" w:hAnsi="Times New Roman" w:cs="Times New Roman"/>
                <w:sz w:val="24"/>
                <w:szCs w:val="24"/>
                <w:lang w:eastAsia="lv-LV"/>
              </w:rPr>
              <w:t>N</w:t>
            </w:r>
            <w:r w:rsidRPr="002B1922">
              <w:rPr>
                <w:rFonts w:ascii="Times New Roman" w:eastAsia="Times New Roman" w:hAnsi="Times New Roman" w:cs="Times New Roman"/>
                <w:sz w:val="24"/>
                <w:szCs w:val="24"/>
                <w:lang w:eastAsia="lv-LV"/>
              </w:rPr>
              <w:t>oteikumu Nr.461</w:t>
            </w:r>
            <w:r w:rsidRPr="002B1922">
              <w:rPr>
                <w:rFonts w:ascii="Times New Roman" w:hAnsi="Times New Roman" w:cs="Times New Roman"/>
                <w:sz w:val="24"/>
                <w:szCs w:val="24"/>
              </w:rPr>
              <w:t xml:space="preserve"> 13.2. apakšpunktā iekļautā norma ir</w:t>
            </w:r>
            <w:r w:rsidRPr="002B1922" w:rsidR="008A59B8">
              <w:rPr>
                <w:rFonts w:ascii="Times New Roman" w:hAnsi="Times New Roman" w:cs="Times New Roman"/>
                <w:sz w:val="24"/>
                <w:szCs w:val="24"/>
              </w:rPr>
              <w:t xml:space="preserve"> zaudējusi aktualitāti </w:t>
            </w:r>
            <w:r w:rsidR="002B1922">
              <w:rPr>
                <w:rFonts w:ascii="Times New Roman" w:hAnsi="Times New Roman" w:cs="Times New Roman"/>
                <w:sz w:val="24"/>
                <w:szCs w:val="24"/>
              </w:rPr>
              <w:t>un ir</w:t>
            </w:r>
            <w:r w:rsidRPr="002B1922">
              <w:rPr>
                <w:rFonts w:ascii="Times New Roman" w:hAnsi="Times New Roman" w:cs="Times New Roman"/>
                <w:sz w:val="24"/>
                <w:szCs w:val="24"/>
              </w:rPr>
              <w:t xml:space="preserve"> svītrojama.</w:t>
            </w:r>
          </w:p>
          <w:p w:rsidR="00E242AA" w:rsidP="00E242AA" w14:paraId="16CA27BC" w14:textId="77777777">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p>
          <w:p w:rsidR="009B2130" w:rsidRPr="002B1922" w:rsidP="00E242AA" w14:paraId="7828C43C" w14:textId="235BE0C2">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B1922" w:rsidR="00E660C2">
              <w:rPr>
                <w:rFonts w:ascii="Times New Roman" w:eastAsia="Times New Roman" w:hAnsi="Times New Roman" w:cs="Times New Roman"/>
                <w:sz w:val="24"/>
                <w:szCs w:val="24"/>
                <w:lang w:eastAsia="lv-LV"/>
              </w:rPr>
              <w:t xml:space="preserve">oteikumu Nr.461 </w:t>
            </w:r>
            <w:r w:rsidRPr="002B1922" w:rsidR="00E660C2">
              <w:rPr>
                <w:rFonts w:ascii="Times New Roman" w:hAnsi="Times New Roman" w:cs="Times New Roman"/>
                <w:sz w:val="24"/>
                <w:szCs w:val="24"/>
              </w:rPr>
              <w:t xml:space="preserve">13.3.apakšpunkts </w:t>
            </w:r>
            <w:r w:rsidRPr="002B1922" w:rsidR="00D317E9">
              <w:rPr>
                <w:rFonts w:ascii="Times New Roman" w:hAnsi="Times New Roman" w:cs="Times New Roman"/>
                <w:sz w:val="24"/>
                <w:szCs w:val="24"/>
              </w:rPr>
              <w:t>nosaka</w:t>
            </w:r>
            <w:r w:rsidR="002B1922">
              <w:rPr>
                <w:rFonts w:ascii="Times New Roman" w:hAnsi="Times New Roman" w:cs="Times New Roman"/>
                <w:sz w:val="24"/>
                <w:szCs w:val="24"/>
              </w:rPr>
              <w:t>, ka</w:t>
            </w:r>
            <w:r w:rsidRPr="002B1922" w:rsidR="00E660C2">
              <w:rPr>
                <w:rFonts w:ascii="Times New Roman" w:hAnsi="Times New Roman" w:cs="Times New Roman"/>
                <w:sz w:val="24"/>
                <w:szCs w:val="24"/>
              </w:rPr>
              <w:t xml:space="preserve"> darbam medikamentu nodrošinājuma sistēmu sagatavošanai, Veselības ministrija izstrādā un iesniedz Ministru kabinetā priekšlikumus par asins komponentu un asins rezerves izveidošanu, ilgstošu uzglabāšanu un tam nepieciešamo finansējumu</w:t>
            </w:r>
            <w:r w:rsidRPr="002B1922" w:rsidR="00396EAD">
              <w:rPr>
                <w:rFonts w:ascii="Times New Roman" w:hAnsi="Times New Roman" w:cs="Times New Roman"/>
                <w:sz w:val="24"/>
                <w:szCs w:val="24"/>
              </w:rPr>
              <w:t>.</w:t>
            </w:r>
            <w:r w:rsidRPr="002B1922" w:rsidR="007A2592">
              <w:rPr>
                <w:rFonts w:ascii="Times New Roman" w:hAnsi="Times New Roman" w:cs="Times New Roman"/>
                <w:sz w:val="24"/>
                <w:szCs w:val="24"/>
              </w:rPr>
              <w:t xml:space="preserve"> </w:t>
            </w:r>
            <w:r w:rsidRPr="002B1922" w:rsidR="001567FF">
              <w:rPr>
                <w:rFonts w:ascii="Times New Roman" w:eastAsia="Times New Roman" w:hAnsi="Times New Roman" w:cs="Times New Roman"/>
                <w:sz w:val="24"/>
                <w:szCs w:val="24"/>
                <w:lang w:eastAsia="lv-LV"/>
              </w:rPr>
              <w:t>Ņ</w:t>
            </w:r>
            <w:r w:rsidRPr="002B1922">
              <w:rPr>
                <w:rFonts w:ascii="Times New Roman" w:eastAsia="Times New Roman" w:hAnsi="Times New Roman" w:cs="Times New Roman"/>
                <w:sz w:val="24"/>
                <w:szCs w:val="24"/>
                <w:lang w:eastAsia="lv-LV"/>
              </w:rPr>
              <w:t xml:space="preserve">emot vērā to, ka Valsts asinsdonoru centrs neatliekamās medicīniskās palīdzības sniegšanai ārkārtas medicīniskajā situācijā nekavējoties no </w:t>
            </w:r>
            <w:r w:rsidRPr="002B1922" w:rsidR="003E78BC">
              <w:rPr>
                <w:rFonts w:ascii="Times New Roman" w:eastAsia="Times New Roman" w:hAnsi="Times New Roman" w:cs="Times New Roman"/>
                <w:sz w:val="24"/>
                <w:szCs w:val="24"/>
                <w:lang w:eastAsia="lv-LV"/>
              </w:rPr>
              <w:t xml:space="preserve">asins komponentu </w:t>
            </w:r>
            <w:r w:rsidRPr="002B1922">
              <w:rPr>
                <w:rFonts w:ascii="Times New Roman" w:eastAsia="Times New Roman" w:hAnsi="Times New Roman" w:cs="Times New Roman"/>
                <w:sz w:val="24"/>
                <w:szCs w:val="24"/>
                <w:lang w:eastAsia="lv-LV"/>
              </w:rPr>
              <w:t>krājumiem var izsniegt papildus</w:t>
            </w:r>
            <w:r w:rsidRPr="002B1922" w:rsidR="00BB289E">
              <w:rPr>
                <w:rFonts w:ascii="Times New Roman" w:eastAsia="Times New Roman" w:hAnsi="Times New Roman" w:cs="Times New Roman"/>
                <w:sz w:val="24"/>
                <w:szCs w:val="24"/>
                <w:lang w:eastAsia="lv-LV"/>
              </w:rPr>
              <w:t xml:space="preserve"> devas</w:t>
            </w:r>
            <w:r w:rsidRPr="002B1922" w:rsidR="00D25244">
              <w:rPr>
                <w:rFonts w:ascii="Times New Roman" w:eastAsia="Times New Roman" w:hAnsi="Times New Roman" w:cs="Times New Roman"/>
                <w:sz w:val="24"/>
                <w:szCs w:val="24"/>
                <w:lang w:eastAsia="lv-LV"/>
              </w:rPr>
              <w:t>,</w:t>
            </w:r>
            <w:r w:rsidRPr="002B1922">
              <w:rPr>
                <w:rFonts w:ascii="Times New Roman" w:eastAsia="Times New Roman" w:hAnsi="Times New Roman" w:cs="Times New Roman"/>
                <w:sz w:val="24"/>
                <w:szCs w:val="24"/>
                <w:lang w:eastAsia="lv-LV"/>
              </w:rPr>
              <w:t xml:space="preserve"> kā arī </w:t>
            </w:r>
            <w:r w:rsidRPr="002B1922">
              <w:rPr>
                <w:rFonts w:ascii="Times New Roman" w:eastAsia="Times New Roman" w:hAnsi="Times New Roman" w:cs="Times New Roman"/>
                <w:sz w:val="24"/>
                <w:szCs w:val="24"/>
                <w:lang w:eastAsia="lv-LV"/>
              </w:rPr>
              <w:t>Valsts asinsdonoru centrs</w:t>
            </w:r>
            <w:r w:rsidRPr="002B1922" w:rsidR="003E78BC">
              <w:rPr>
                <w:rFonts w:ascii="Times New Roman" w:eastAsia="Times New Roman" w:hAnsi="Times New Roman" w:cs="Times New Roman"/>
                <w:sz w:val="24"/>
                <w:szCs w:val="24"/>
                <w:lang w:eastAsia="lv-LV"/>
              </w:rPr>
              <w:t xml:space="preserve"> </w:t>
            </w:r>
            <w:r w:rsidRPr="002B1922">
              <w:rPr>
                <w:rFonts w:ascii="Times New Roman" w:eastAsia="Times New Roman" w:hAnsi="Times New Roman" w:cs="Times New Roman"/>
                <w:sz w:val="24"/>
                <w:szCs w:val="24"/>
                <w:lang w:eastAsia="lv-LV"/>
              </w:rPr>
              <w:t xml:space="preserve">paaugstinātas gatavības režīmā var uzsākt donoru pieņemšanu un asins sagatavošanu, pieņemot </w:t>
            </w:r>
            <w:r w:rsidRPr="002B1922" w:rsidR="007A2592">
              <w:rPr>
                <w:rFonts w:ascii="Times New Roman" w:eastAsia="Times New Roman" w:hAnsi="Times New Roman" w:cs="Times New Roman"/>
                <w:sz w:val="24"/>
                <w:szCs w:val="24"/>
                <w:lang w:eastAsia="lv-LV"/>
              </w:rPr>
              <w:t xml:space="preserve">aptuveni </w:t>
            </w:r>
            <w:r w:rsidRPr="002B1922">
              <w:rPr>
                <w:rFonts w:ascii="Times New Roman" w:eastAsia="Times New Roman" w:hAnsi="Times New Roman" w:cs="Times New Roman"/>
                <w:sz w:val="24"/>
                <w:szCs w:val="24"/>
                <w:lang w:eastAsia="lv-LV"/>
              </w:rPr>
              <w:t xml:space="preserve">40 donorus stundā, kā arī </w:t>
            </w:r>
            <w:r w:rsidRPr="002B1922">
              <w:rPr>
                <w:rFonts w:ascii="Times New Roman" w:eastAsia="Times New Roman" w:hAnsi="Times New Roman" w:cs="Times New Roman"/>
                <w:sz w:val="24"/>
                <w:szCs w:val="24"/>
                <w:lang w:eastAsia="lv-LV"/>
              </w:rPr>
              <w:t xml:space="preserve">ievērojot valstī apstiprināto asins komponentu sagatavošanas tehnoloģiju prasības, šie asins komponenti var tikt izsniegti pēc 12 stundām no darba sākuma. </w:t>
            </w:r>
            <w:r w:rsidRPr="002B1922" w:rsidR="003E78BC">
              <w:rPr>
                <w:rFonts w:ascii="Times New Roman" w:eastAsia="Times New Roman" w:hAnsi="Times New Roman" w:cs="Times New Roman"/>
                <w:sz w:val="24"/>
                <w:szCs w:val="24"/>
                <w:lang w:eastAsia="lv-LV"/>
              </w:rPr>
              <w:t>Ņemot vērā iepriekšminēto</w:t>
            </w:r>
            <w:r w:rsidRPr="002B1922" w:rsidR="003A4B64">
              <w:rPr>
                <w:rFonts w:ascii="Times New Roman" w:eastAsia="Times New Roman" w:hAnsi="Times New Roman" w:cs="Times New Roman"/>
                <w:sz w:val="24"/>
                <w:szCs w:val="24"/>
                <w:lang w:eastAsia="lv-LV"/>
              </w:rPr>
              <w:t>,</w:t>
            </w:r>
            <w:r w:rsidRPr="002B1922" w:rsidR="003E78BC">
              <w:rPr>
                <w:rFonts w:ascii="Times New Roman" w:eastAsia="Times New Roman" w:hAnsi="Times New Roman" w:cs="Times New Roman"/>
                <w:sz w:val="24"/>
                <w:szCs w:val="24"/>
                <w:lang w:eastAsia="lv-LV"/>
              </w:rPr>
              <w:t xml:space="preserve"> lielu krājumu uzglabāšana</w:t>
            </w:r>
            <w:r w:rsidRPr="002B1922" w:rsidR="003A4B64">
              <w:rPr>
                <w:rFonts w:ascii="Times New Roman" w:eastAsia="Times New Roman" w:hAnsi="Times New Roman" w:cs="Times New Roman"/>
                <w:sz w:val="24"/>
                <w:szCs w:val="24"/>
                <w:lang w:eastAsia="lv-LV"/>
              </w:rPr>
              <w:t xml:space="preserve"> bez konkrēta pielietojuma</w:t>
            </w:r>
            <w:r w:rsidR="002B1922">
              <w:rPr>
                <w:rFonts w:ascii="Times New Roman" w:eastAsia="Times New Roman" w:hAnsi="Times New Roman" w:cs="Times New Roman"/>
                <w:sz w:val="24"/>
                <w:szCs w:val="24"/>
                <w:lang w:eastAsia="lv-LV"/>
              </w:rPr>
              <w:t xml:space="preserve"> </w:t>
            </w:r>
            <w:r w:rsidRPr="002B1922" w:rsidR="003E78BC">
              <w:rPr>
                <w:rFonts w:ascii="Times New Roman" w:eastAsia="Times New Roman" w:hAnsi="Times New Roman" w:cs="Times New Roman"/>
                <w:sz w:val="24"/>
                <w:szCs w:val="24"/>
                <w:lang w:eastAsia="lv-LV"/>
              </w:rPr>
              <w:t xml:space="preserve">būtu finansiāli dārga un </w:t>
            </w:r>
            <w:r w:rsidRPr="002B1922" w:rsidR="003A4B64">
              <w:rPr>
                <w:rFonts w:ascii="Times New Roman" w:eastAsia="Times New Roman" w:hAnsi="Times New Roman" w:cs="Times New Roman"/>
                <w:sz w:val="24"/>
                <w:szCs w:val="24"/>
                <w:lang w:eastAsia="lv-LV"/>
              </w:rPr>
              <w:t>veidojot nepamatotas rezerves asins komponenta neizmantošanas gadījumā, tie būtu jānoraksta pēc derīguma termiņa beigām, kas radītu finansiālus zaudējumus.</w:t>
            </w:r>
          </w:p>
          <w:p w:rsidR="00D81366" w:rsidRPr="002B1922" w:rsidP="007E436C" w14:paraId="4EFD17EC" w14:textId="7717F831">
            <w:pPr>
              <w:spacing w:after="0" w:line="240" w:lineRule="auto"/>
              <w:ind w:left="118" w:right="115" w:firstLine="426"/>
              <w:jc w:val="both"/>
              <w:rPr>
                <w:rFonts w:ascii="Times New Roman" w:eastAsia="Times New Roman" w:hAnsi="Times New Roman" w:cs="Times New Roman"/>
                <w:sz w:val="24"/>
                <w:szCs w:val="24"/>
                <w:lang w:eastAsia="lv-LV"/>
              </w:rPr>
            </w:pPr>
            <w:r w:rsidRPr="002B1922">
              <w:rPr>
                <w:rFonts w:ascii="Times New Roman" w:hAnsi="Times New Roman" w:cs="Times New Roman"/>
                <w:sz w:val="24"/>
                <w:szCs w:val="24"/>
              </w:rPr>
              <w:t xml:space="preserve">Līdz ar </w:t>
            </w:r>
            <w:r w:rsidR="007E436C">
              <w:rPr>
                <w:rFonts w:ascii="Times New Roman" w:hAnsi="Times New Roman" w:cs="Times New Roman"/>
                <w:sz w:val="24"/>
                <w:szCs w:val="24"/>
              </w:rPr>
              <w:t xml:space="preserve">to, </w:t>
            </w:r>
            <w:r w:rsidR="007E436C">
              <w:rPr>
                <w:rFonts w:ascii="Times New Roman" w:eastAsia="Times New Roman" w:hAnsi="Times New Roman" w:cs="Times New Roman"/>
                <w:sz w:val="24"/>
                <w:szCs w:val="24"/>
                <w:lang w:eastAsia="lv-LV"/>
              </w:rPr>
              <w:t>N</w:t>
            </w:r>
            <w:r w:rsidRPr="002B1922">
              <w:rPr>
                <w:rFonts w:ascii="Times New Roman" w:eastAsia="Times New Roman" w:hAnsi="Times New Roman" w:cs="Times New Roman"/>
                <w:sz w:val="24"/>
                <w:szCs w:val="24"/>
                <w:lang w:eastAsia="lv-LV"/>
              </w:rPr>
              <w:t>oteikumu Nr.461</w:t>
            </w:r>
            <w:r w:rsidR="007C7FAC">
              <w:rPr>
                <w:rFonts w:ascii="Times New Roman" w:hAnsi="Times New Roman" w:cs="Times New Roman"/>
                <w:sz w:val="24"/>
                <w:szCs w:val="24"/>
              </w:rPr>
              <w:t xml:space="preserve"> 13.3.</w:t>
            </w:r>
            <w:r w:rsidRPr="002B1922">
              <w:rPr>
                <w:rFonts w:ascii="Times New Roman" w:hAnsi="Times New Roman" w:cs="Times New Roman"/>
                <w:sz w:val="24"/>
                <w:szCs w:val="24"/>
              </w:rPr>
              <w:t>apakšpunktā iekļautā norma ir svītrojama.</w:t>
            </w:r>
          </w:p>
        </w:tc>
      </w:tr>
      <w:tr w14:paraId="061922F0" w14:textId="77777777" w:rsidTr="00D92083">
        <w:tblPrEx>
          <w:tblW w:w="5000" w:type="pct"/>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D81366" w:rsidRPr="00C918F0" w:rsidP="00D81366" w14:paraId="2ED5BCC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252" w:type="pct"/>
            <w:tcBorders>
              <w:top w:val="outset" w:sz="6" w:space="0" w:color="414142"/>
              <w:left w:val="outset" w:sz="6" w:space="0" w:color="414142"/>
              <w:bottom w:val="outset" w:sz="6" w:space="0" w:color="414142"/>
              <w:right w:val="outset" w:sz="6" w:space="0" w:color="414142"/>
            </w:tcBorders>
            <w:hideMark/>
          </w:tcPr>
          <w:p w:rsidR="00D81366" w:rsidRPr="00C918F0" w:rsidP="00D81366" w14:paraId="58B898ED"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rsidR="00D81366" w:rsidRPr="00C918F0" w:rsidP="00E42647" w14:paraId="3CCFAC7E" w14:textId="6B003EC6">
            <w:pPr>
              <w:spacing w:after="0" w:line="240" w:lineRule="auto"/>
              <w:ind w:left="11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w:t>
            </w:r>
            <w:r w:rsidRPr="002B1922" w:rsidR="00E433FE">
              <w:rPr>
                <w:rFonts w:ascii="Times New Roman" w:hAnsi="Times New Roman" w:cs="Times New Roman"/>
                <w:sz w:val="24"/>
                <w:szCs w:val="24"/>
              </w:rPr>
              <w:t>ienests</w:t>
            </w:r>
            <w:r w:rsidR="00AC555A">
              <w:rPr>
                <w:rFonts w:ascii="Times New Roman" w:hAnsi="Times New Roman" w:cs="Times New Roman"/>
                <w:sz w:val="24"/>
                <w:szCs w:val="24"/>
              </w:rPr>
              <w:t xml:space="preserve">, </w:t>
            </w:r>
            <w:r w:rsidRPr="002B1922" w:rsidR="00AC555A">
              <w:rPr>
                <w:rFonts w:ascii="Times New Roman" w:eastAsia="Times New Roman" w:hAnsi="Times New Roman" w:cs="Times New Roman"/>
                <w:sz w:val="24"/>
                <w:szCs w:val="24"/>
                <w:lang w:eastAsia="lv-LV"/>
              </w:rPr>
              <w:t>Valsts asinsdonoru centrs</w:t>
            </w:r>
          </w:p>
        </w:tc>
      </w:tr>
      <w:tr w14:paraId="23019B2D" w14:textId="77777777" w:rsidTr="00D92083">
        <w:tblPrEx>
          <w:tblW w:w="5000" w:type="pct"/>
          <w:tblCellMar>
            <w:top w:w="24" w:type="dxa"/>
            <w:left w:w="24" w:type="dxa"/>
            <w:bottom w:w="24" w:type="dxa"/>
            <w:right w:w="24" w:type="dxa"/>
          </w:tblCellMar>
          <w:tblLook w:val="04A0"/>
        </w:tblPrEx>
        <w:trPr>
          <w:trHeight w:val="228"/>
        </w:trPr>
        <w:tc>
          <w:tcPr>
            <w:tcW w:w="231" w:type="pct"/>
            <w:tcBorders>
              <w:top w:val="outset" w:sz="6" w:space="0" w:color="414142"/>
              <w:left w:val="outset" w:sz="6" w:space="0" w:color="414142"/>
              <w:bottom w:val="outset" w:sz="6" w:space="0" w:color="414142"/>
              <w:right w:val="outset" w:sz="6" w:space="0" w:color="414142"/>
            </w:tcBorders>
            <w:hideMark/>
          </w:tcPr>
          <w:p w:rsidR="00D81366" w:rsidRPr="00C918F0" w:rsidP="00D81366" w14:paraId="0D5DF76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rsidR="00D81366" w:rsidRPr="00C918F0" w:rsidP="00D81366" w14:paraId="68E8F65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rsidR="00D81366" w:rsidRPr="00894C55" w:rsidP="007C7FAC" w14:paraId="1502AF09" w14:textId="64C2445F">
            <w:pPr>
              <w:spacing w:after="0" w:line="240" w:lineRule="auto"/>
              <w:ind w:left="118"/>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6E52FA" w:rsidP="00804DDC" w14:paraId="56EF4341" w14:textId="2D589F43">
      <w:pPr>
        <w:shd w:val="clear" w:color="auto" w:fill="FFFFFF"/>
        <w:spacing w:after="12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9"/>
        <w:gridCol w:w="2975"/>
        <w:gridCol w:w="5661"/>
      </w:tblGrid>
      <w:tr w14:paraId="3C9CB7DC" w14:textId="77777777" w:rsidTr="004E022F">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1D83" w:rsidRPr="00E433FE" w:rsidP="004E022F" w14:paraId="740345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433F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7BD9D285" w14:textId="77777777" w:rsidTr="00D92083">
        <w:tblPrEx>
          <w:tblW w:w="5000" w:type="pct"/>
          <w:tblCellMar>
            <w:top w:w="24" w:type="dxa"/>
            <w:left w:w="24" w:type="dxa"/>
            <w:bottom w:w="24" w:type="dxa"/>
            <w:right w:w="24" w:type="dxa"/>
          </w:tblCellMar>
          <w:tblLook w:val="04A0"/>
        </w:tblPrEx>
        <w:trPr>
          <w:trHeight w:val="920"/>
        </w:trPr>
        <w:tc>
          <w:tcPr>
            <w:tcW w:w="231"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34634C8" w14:textId="77777777">
            <w:pPr>
              <w:spacing w:after="0" w:line="240" w:lineRule="auto"/>
              <w:jc w:val="center"/>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1.</w:t>
            </w:r>
          </w:p>
        </w:tc>
        <w:tc>
          <w:tcPr>
            <w:tcW w:w="1643"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1763CFE6" w14:textId="77777777">
            <w:pPr>
              <w:spacing w:after="0" w:line="240" w:lineRule="auto"/>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 xml:space="preserve">Sabiedrības </w:t>
            </w:r>
            <w:r w:rsidRPr="00E433FE">
              <w:rPr>
                <w:rFonts w:ascii="Times New Roman" w:eastAsia="Times New Roman" w:hAnsi="Times New Roman" w:cs="Times New Roman"/>
                <w:sz w:val="24"/>
                <w:szCs w:val="24"/>
                <w:lang w:eastAsia="lv-LV"/>
              </w:rPr>
              <w:t>mērķgrupas</w:t>
            </w:r>
            <w:r w:rsidRPr="00E433FE">
              <w:rPr>
                <w:rFonts w:ascii="Times New Roman" w:eastAsia="Times New Roman" w:hAnsi="Times New Roman" w:cs="Times New Roman"/>
                <w:sz w:val="24"/>
                <w:szCs w:val="24"/>
                <w:lang w:eastAsia="lv-LV"/>
              </w:rPr>
              <w:t>, kuras tiesiskais regulējums ietekmē vai varētu ietekmēt</w:t>
            </w:r>
          </w:p>
        </w:tc>
        <w:tc>
          <w:tcPr>
            <w:tcW w:w="3126"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B2B6BF7" w14:textId="758FE698">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D</w:t>
            </w:r>
            <w:r w:rsidR="0050110E">
              <w:rPr>
                <w:rFonts w:ascii="Times New Roman" w:hAnsi="Times New Roman" w:cs="Times New Roman"/>
                <w:sz w:val="24"/>
                <w:szCs w:val="24"/>
              </w:rPr>
              <w:t>ienests</w:t>
            </w:r>
            <w:r w:rsidR="00AC555A">
              <w:rPr>
                <w:rFonts w:ascii="Times New Roman" w:hAnsi="Times New Roman" w:cs="Times New Roman"/>
                <w:sz w:val="24"/>
                <w:szCs w:val="24"/>
              </w:rPr>
              <w:t xml:space="preserve">, </w:t>
            </w:r>
            <w:r w:rsidR="0050110E">
              <w:rPr>
                <w:rFonts w:ascii="Times New Roman" w:eastAsia="Times New Roman" w:hAnsi="Times New Roman" w:cs="Times New Roman"/>
                <w:sz w:val="24"/>
                <w:szCs w:val="24"/>
                <w:lang w:eastAsia="lv-LV"/>
              </w:rPr>
              <w:t>Valsts asinsdonoru centrs</w:t>
            </w:r>
            <w:r>
              <w:rPr>
                <w:rFonts w:ascii="Times New Roman" w:eastAsia="Times New Roman" w:hAnsi="Times New Roman" w:cs="Times New Roman"/>
                <w:sz w:val="24"/>
                <w:szCs w:val="24"/>
                <w:lang w:eastAsia="lv-LV"/>
              </w:rPr>
              <w:t>.</w:t>
            </w:r>
          </w:p>
        </w:tc>
      </w:tr>
      <w:tr w14:paraId="6795C8C5" w14:textId="77777777" w:rsidTr="00D92083">
        <w:tblPrEx>
          <w:tblW w:w="5000" w:type="pct"/>
          <w:tblCellMar>
            <w:top w:w="24" w:type="dxa"/>
            <w:left w:w="24" w:type="dxa"/>
            <w:bottom w:w="24" w:type="dxa"/>
            <w:right w:w="24" w:type="dxa"/>
          </w:tblCellMar>
          <w:tblLook w:val="04A0"/>
        </w:tblPrEx>
        <w:trPr>
          <w:trHeight w:val="847"/>
        </w:trPr>
        <w:tc>
          <w:tcPr>
            <w:tcW w:w="231"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E6E38D1" w14:textId="77777777">
            <w:pPr>
              <w:spacing w:after="0" w:line="240" w:lineRule="auto"/>
              <w:jc w:val="center"/>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2.</w:t>
            </w:r>
          </w:p>
        </w:tc>
        <w:tc>
          <w:tcPr>
            <w:tcW w:w="1643"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1586978C" w14:textId="77777777">
            <w:pPr>
              <w:spacing w:after="0" w:line="240" w:lineRule="auto"/>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Tiesiskā regulējuma ietekme uz tautsaimniecību un administratīvo slogu</w:t>
            </w:r>
          </w:p>
        </w:tc>
        <w:tc>
          <w:tcPr>
            <w:tcW w:w="3126"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770A5CE" w14:textId="42075132">
            <w:pPr>
              <w:spacing w:after="0" w:line="240" w:lineRule="auto"/>
              <w:ind w:left="119" w:right="145" w:firstLine="286"/>
              <w:jc w:val="both"/>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 xml:space="preserve">Projekts nemaina </w:t>
            </w:r>
            <w:r w:rsidR="007D2148">
              <w:rPr>
                <w:rFonts w:ascii="Times New Roman" w:hAnsi="Times New Roman" w:cs="Times New Roman"/>
                <w:sz w:val="24"/>
                <w:szCs w:val="24"/>
              </w:rPr>
              <w:t>D</w:t>
            </w:r>
            <w:r w:rsidRPr="00E433FE" w:rsidR="00E433FE">
              <w:rPr>
                <w:rFonts w:ascii="Times New Roman" w:hAnsi="Times New Roman" w:cs="Times New Roman"/>
                <w:sz w:val="24"/>
                <w:szCs w:val="24"/>
              </w:rPr>
              <w:t xml:space="preserve">ienesta </w:t>
            </w:r>
            <w:r w:rsidR="007D2148">
              <w:rPr>
                <w:rFonts w:ascii="Times New Roman" w:hAnsi="Times New Roman" w:cs="Times New Roman"/>
                <w:sz w:val="24"/>
                <w:szCs w:val="24"/>
              </w:rPr>
              <w:t xml:space="preserve">un </w:t>
            </w:r>
            <w:r w:rsidR="007D2148">
              <w:rPr>
                <w:rFonts w:ascii="Times New Roman" w:eastAsia="Times New Roman" w:hAnsi="Times New Roman" w:cs="Times New Roman"/>
                <w:sz w:val="24"/>
                <w:szCs w:val="24"/>
                <w:lang w:eastAsia="lv-LV"/>
              </w:rPr>
              <w:t xml:space="preserve">Valsts asinsdonoru centra </w:t>
            </w:r>
            <w:r w:rsidRPr="00E433FE">
              <w:rPr>
                <w:rFonts w:ascii="Times New Roman" w:eastAsia="Times New Roman" w:hAnsi="Times New Roman" w:cs="Times New Roman"/>
                <w:sz w:val="24"/>
                <w:szCs w:val="24"/>
                <w:lang w:eastAsia="lv-LV"/>
              </w:rPr>
              <w:t>pienākumus un tiesības. Līdz ar to administratīvais slogs nemainās.</w:t>
            </w:r>
          </w:p>
        </w:tc>
      </w:tr>
      <w:tr w14:paraId="49E18C56" w14:textId="77777777" w:rsidTr="00D92083">
        <w:tblPrEx>
          <w:tblW w:w="5000" w:type="pct"/>
          <w:tblCellMar>
            <w:top w:w="24" w:type="dxa"/>
            <w:left w:w="24" w:type="dxa"/>
            <w:bottom w:w="24" w:type="dxa"/>
            <w:right w:w="24" w:type="dxa"/>
          </w:tblCellMar>
          <w:tblLook w:val="04A0"/>
        </w:tblPrEx>
        <w:trPr>
          <w:trHeight w:val="408"/>
        </w:trPr>
        <w:tc>
          <w:tcPr>
            <w:tcW w:w="231"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78440DD9" w14:textId="77777777">
            <w:pPr>
              <w:spacing w:after="0" w:line="240" w:lineRule="auto"/>
              <w:jc w:val="center"/>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3.</w:t>
            </w:r>
          </w:p>
        </w:tc>
        <w:tc>
          <w:tcPr>
            <w:tcW w:w="1643"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5D42754" w14:textId="77777777">
            <w:pPr>
              <w:spacing w:after="0" w:line="240" w:lineRule="auto"/>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Administratīvo izmaksu monetārs novērtējums</w:t>
            </w:r>
          </w:p>
        </w:tc>
        <w:tc>
          <w:tcPr>
            <w:tcW w:w="3126"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16F5B821" w14:textId="77777777">
            <w:pPr>
              <w:spacing w:after="0" w:line="240" w:lineRule="auto"/>
              <w:ind w:left="119" w:firstLine="286"/>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Projekts šo jomu neskar</w:t>
            </w:r>
          </w:p>
          <w:p w:rsidR="005E1D83" w:rsidRPr="00E433FE" w:rsidP="004E022F" w14:paraId="6BA59211" w14:textId="77777777">
            <w:pPr>
              <w:spacing w:after="0" w:line="240" w:lineRule="auto"/>
              <w:ind w:left="119" w:firstLine="286"/>
              <w:rPr>
                <w:rFonts w:ascii="Times New Roman" w:eastAsia="Times New Roman" w:hAnsi="Times New Roman" w:cs="Times New Roman"/>
                <w:sz w:val="24"/>
                <w:szCs w:val="24"/>
                <w:lang w:eastAsia="lv-LV"/>
              </w:rPr>
            </w:pPr>
          </w:p>
        </w:tc>
      </w:tr>
      <w:tr w14:paraId="54BCAFA5" w14:textId="77777777" w:rsidTr="00D92083">
        <w:tblPrEx>
          <w:tblW w:w="5000" w:type="pct"/>
          <w:tblCellMar>
            <w:top w:w="24" w:type="dxa"/>
            <w:left w:w="24" w:type="dxa"/>
            <w:bottom w:w="24" w:type="dxa"/>
            <w:right w:w="24" w:type="dxa"/>
          </w:tblCellMar>
          <w:tblLook w:val="04A0"/>
        </w:tblPrEx>
        <w:trPr>
          <w:trHeight w:val="276"/>
        </w:trPr>
        <w:tc>
          <w:tcPr>
            <w:tcW w:w="231"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6CD1AA50" w14:textId="77777777">
            <w:pPr>
              <w:spacing w:after="0" w:line="240" w:lineRule="auto"/>
              <w:jc w:val="center"/>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4.</w:t>
            </w:r>
          </w:p>
        </w:tc>
        <w:tc>
          <w:tcPr>
            <w:tcW w:w="1643" w:type="pct"/>
            <w:tcBorders>
              <w:top w:val="outset" w:sz="6" w:space="0" w:color="414142"/>
              <w:left w:val="outset" w:sz="6" w:space="0" w:color="414142"/>
              <w:bottom w:val="outset" w:sz="6" w:space="0" w:color="414142"/>
              <w:right w:val="outset" w:sz="6" w:space="0" w:color="414142"/>
            </w:tcBorders>
            <w:hideMark/>
          </w:tcPr>
          <w:p w:rsidR="005E1D83" w:rsidRPr="00E433FE" w:rsidP="004E022F" w14:paraId="427FAE8E" w14:textId="77777777">
            <w:pPr>
              <w:spacing w:after="0" w:line="240" w:lineRule="auto"/>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rsidR="005E1D83" w:rsidRPr="00E433FE" w:rsidP="005E1D83" w14:paraId="37586237" w14:textId="77777777">
            <w:pPr>
              <w:tabs>
                <w:tab w:val="left" w:pos="2671"/>
              </w:tabs>
              <w:spacing w:after="0" w:line="240" w:lineRule="auto"/>
              <w:ind w:firstLine="403"/>
              <w:rPr>
                <w:rFonts w:ascii="Times New Roman" w:eastAsia="Times New Roman" w:hAnsi="Times New Roman" w:cs="Times New Roman"/>
                <w:sz w:val="24"/>
                <w:szCs w:val="24"/>
                <w:lang w:eastAsia="lv-LV"/>
              </w:rPr>
            </w:pPr>
            <w:r w:rsidRPr="00E433FE">
              <w:rPr>
                <w:rFonts w:ascii="Times New Roman" w:eastAsia="Times New Roman" w:hAnsi="Times New Roman" w:cs="Times New Roman"/>
                <w:sz w:val="24"/>
                <w:szCs w:val="24"/>
                <w:lang w:eastAsia="lv-LV"/>
              </w:rPr>
              <w:t>Nav</w:t>
            </w:r>
          </w:p>
        </w:tc>
      </w:tr>
    </w:tbl>
    <w:p w:rsidR="005E1D83" w:rsidP="00804DDC" w14:paraId="3BE28A2F" w14:textId="3E9F0E2F">
      <w:pPr>
        <w:shd w:val="clear" w:color="auto" w:fill="FFFFFF"/>
        <w:spacing w:after="12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CF74774" w14:textId="77777777" w:rsidTr="004E022F">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6702E7" w:rsidRPr="00076089" w:rsidP="004E022F" w14:paraId="2965443B"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14:paraId="45991E5A" w14:textId="77777777" w:rsidTr="004E022F">
        <w:tblPrEx>
          <w:tblW w:w="5000" w:type="pct"/>
          <w:tblCellMar>
            <w:top w:w="24" w:type="dxa"/>
            <w:left w:w="24" w:type="dxa"/>
            <w:bottom w:w="24" w:type="dxa"/>
            <w:right w:w="24" w:type="dxa"/>
          </w:tblCellMar>
          <w:tblLook w:val="04A0"/>
        </w:tblPrEx>
        <w:trPr>
          <w:trHeight w:val="400"/>
        </w:trPr>
        <w:tc>
          <w:tcPr>
            <w:tcW w:w="5000" w:type="pct"/>
            <w:tcBorders>
              <w:top w:val="outset" w:sz="6" w:space="0" w:color="414142"/>
              <w:left w:val="outset" w:sz="6" w:space="0" w:color="414142"/>
              <w:bottom w:val="outset" w:sz="6" w:space="0" w:color="414142"/>
              <w:right w:val="outset" w:sz="6" w:space="0" w:color="414142"/>
            </w:tcBorders>
          </w:tcPr>
          <w:p w:rsidR="006702E7" w:rsidRPr="00484644" w:rsidP="004E022F" w14:paraId="257CF393"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702E7" w:rsidP="00D92083" w14:paraId="76EFFBBC" w14:textId="21E53D4E">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7C4880F" w14:textId="77777777" w:rsidTr="004E022F">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6702E7" w:rsidRPr="006702E7" w:rsidP="004E022F" w14:paraId="34226D36" w14:textId="0FFCEECE">
            <w:pPr>
              <w:shd w:val="clear" w:color="auto" w:fill="FFFFFF"/>
              <w:spacing w:after="0" w:line="240" w:lineRule="auto"/>
              <w:jc w:val="center"/>
              <w:rPr>
                <w:rFonts w:ascii="Times New Roman" w:eastAsia="Times New Roman" w:hAnsi="Times New Roman" w:cs="Times New Roman"/>
                <w:b/>
                <w:sz w:val="24"/>
                <w:szCs w:val="24"/>
                <w:lang w:eastAsia="lv-LV"/>
              </w:rPr>
            </w:pPr>
            <w:r w:rsidRPr="006702E7">
              <w:rPr>
                <w:rFonts w:ascii="Times New Roman" w:eastAsia="Times New Roman" w:hAnsi="Times New Roman" w:cs="Times New Roman"/>
                <w:b/>
                <w:bCs/>
                <w:sz w:val="24"/>
                <w:szCs w:val="24"/>
                <w:lang w:eastAsia="lv-LV"/>
              </w:rPr>
              <w:t>IV. Tiesību akta projekta ietekme uz spēkā esošo tiesību normu sistēmu</w:t>
            </w:r>
          </w:p>
        </w:tc>
      </w:tr>
      <w:tr w14:paraId="76DB673C" w14:textId="77777777" w:rsidTr="004E022F">
        <w:tblPrEx>
          <w:tblW w:w="5000" w:type="pct"/>
          <w:tblCellMar>
            <w:top w:w="24" w:type="dxa"/>
            <w:left w:w="24" w:type="dxa"/>
            <w:bottom w:w="24" w:type="dxa"/>
            <w:right w:w="24" w:type="dxa"/>
          </w:tblCellMar>
          <w:tblLook w:val="04A0"/>
        </w:tblPrEx>
        <w:trPr>
          <w:trHeight w:val="400"/>
        </w:trPr>
        <w:tc>
          <w:tcPr>
            <w:tcW w:w="5000" w:type="pct"/>
            <w:tcBorders>
              <w:top w:val="outset" w:sz="6" w:space="0" w:color="414142"/>
              <w:left w:val="outset" w:sz="6" w:space="0" w:color="414142"/>
              <w:bottom w:val="outset" w:sz="6" w:space="0" w:color="414142"/>
              <w:right w:val="outset" w:sz="6" w:space="0" w:color="414142"/>
            </w:tcBorders>
          </w:tcPr>
          <w:p w:rsidR="006702E7" w:rsidRPr="00484644" w:rsidP="004E022F" w14:paraId="39A48051"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702E7" w:rsidP="00D92083" w14:paraId="6E34367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4AD1927" w14:textId="77777777" w:rsidTr="004E022F">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rsidR="006702E7" w:rsidRPr="00076089" w:rsidP="004E022F" w14:paraId="53F62317" w14:textId="77777777">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14:paraId="6FED2B18" w14:textId="77777777" w:rsidTr="004E022F">
        <w:tblPrEx>
          <w:tblW w:w="5000" w:type="pct"/>
          <w:tblCellMar>
            <w:top w:w="24" w:type="dxa"/>
            <w:left w:w="24" w:type="dxa"/>
            <w:bottom w:w="24" w:type="dxa"/>
            <w:right w:w="24" w:type="dxa"/>
          </w:tblCellMar>
          <w:tblLook w:val="04A0"/>
        </w:tblPrEx>
        <w:trPr>
          <w:trHeight w:val="526"/>
        </w:trPr>
        <w:tc>
          <w:tcPr>
            <w:tcW w:w="5000" w:type="pct"/>
            <w:tcBorders>
              <w:top w:val="outset" w:sz="6" w:space="0" w:color="414142"/>
              <w:left w:val="outset" w:sz="6" w:space="0" w:color="414142"/>
              <w:bottom w:val="outset" w:sz="6" w:space="0" w:color="414142"/>
              <w:right w:val="outset" w:sz="6" w:space="0" w:color="414142"/>
            </w:tcBorders>
          </w:tcPr>
          <w:p w:rsidR="006702E7" w:rsidRPr="00484644" w:rsidP="004E022F" w14:paraId="1FAAA0F2" w14:textId="77777777">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6702E7" w:rsidRPr="00894C55" w:rsidP="00D92083" w14:paraId="2C2F448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8"/>
        <w:gridCol w:w="2551"/>
        <w:gridCol w:w="6173"/>
      </w:tblGrid>
      <w:tr w14:paraId="30DEA081"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33F3F3D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CE7B7A8" w14:textId="77777777" w:rsidTr="00D92083">
        <w:tblPrEx>
          <w:tblW w:w="5048" w:type="pct"/>
          <w:jc w:val="center"/>
          <w:tblCellMar>
            <w:top w:w="24" w:type="dxa"/>
            <w:left w:w="24" w:type="dxa"/>
            <w:bottom w:w="24" w:type="dxa"/>
            <w:right w:w="24" w:type="dxa"/>
          </w:tblCellMar>
          <w:tblLook w:val="04A0"/>
        </w:tblPrEx>
        <w:trPr>
          <w:trHeight w:val="432"/>
          <w:jc w:val="center"/>
        </w:trPr>
        <w:tc>
          <w:tcPr>
            <w:tcW w:w="229" w:type="pct"/>
            <w:tcBorders>
              <w:top w:val="outset" w:sz="6" w:space="0" w:color="414142"/>
              <w:left w:val="outset" w:sz="6" w:space="0" w:color="414142"/>
              <w:bottom w:val="outset" w:sz="6" w:space="0" w:color="414142"/>
              <w:right w:val="outset" w:sz="6" w:space="0" w:color="414142"/>
            </w:tcBorders>
            <w:hideMark/>
          </w:tcPr>
          <w:p w:rsidR="00894C55" w:rsidRPr="003429ED" w:rsidP="002C2963" w14:paraId="67C03214" w14:textId="77777777">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5"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534E127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376" w:type="pct"/>
            <w:tcBorders>
              <w:top w:val="outset" w:sz="6" w:space="0" w:color="414142"/>
              <w:left w:val="outset" w:sz="6" w:space="0" w:color="414142"/>
              <w:bottom w:val="outset" w:sz="6" w:space="0" w:color="414142"/>
              <w:right w:val="outset" w:sz="6" w:space="0" w:color="414142"/>
            </w:tcBorders>
          </w:tcPr>
          <w:p w:rsidR="00894C55" w:rsidRPr="003429ED" w:rsidP="00D92083" w14:paraId="752739F7" w14:textId="41A0BE31">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w:t>
            </w:r>
            <w:r w:rsidR="00305E24">
              <w:rPr>
                <w:rFonts w:ascii="Times New Roman" w:eastAsia="Times New Roman" w:hAnsi="Times New Roman" w:cs="Times New Roman"/>
                <w:sz w:val="24"/>
                <w:szCs w:val="24"/>
                <w:lang w:eastAsia="lv-LV"/>
              </w:rPr>
              <w:t xml:space="preserve"> 2017.gada 21.novembrī </w:t>
            </w:r>
            <w:r w:rsidRPr="00E92DA2">
              <w:rPr>
                <w:rFonts w:ascii="Times New Roman" w:eastAsia="Times New Roman" w:hAnsi="Times New Roman" w:cs="Times New Roman"/>
                <w:sz w:val="24"/>
                <w:szCs w:val="24"/>
                <w:lang w:eastAsia="lv-LV"/>
              </w:rPr>
              <w:t>ievietots Veselības ministrijas tīmekļa vietnē</w:t>
            </w:r>
            <w:r w:rsidR="00305E24">
              <w:rPr>
                <w:rFonts w:ascii="Times New Roman" w:eastAsia="Times New Roman" w:hAnsi="Times New Roman" w:cs="Times New Roman"/>
                <w:sz w:val="24"/>
                <w:szCs w:val="24"/>
                <w:lang w:eastAsia="lv-LV"/>
              </w:rPr>
              <w:t xml:space="preserve"> un nodots</w:t>
            </w:r>
            <w:r w:rsidRPr="00E92DA2">
              <w:rPr>
                <w:rFonts w:ascii="Times New Roman" w:eastAsia="Times New Roman" w:hAnsi="Times New Roman" w:cs="Times New Roman"/>
                <w:sz w:val="24"/>
                <w:szCs w:val="24"/>
                <w:lang w:eastAsia="lv-LV"/>
              </w:rPr>
              <w:t xml:space="preserve"> </w:t>
            </w:r>
            <w:r w:rsidR="00C272E2">
              <w:rPr>
                <w:rFonts w:ascii="Times New Roman" w:eastAsia="Times New Roman" w:hAnsi="Times New Roman" w:cs="Times New Roman"/>
                <w:sz w:val="24"/>
                <w:szCs w:val="24"/>
                <w:lang w:eastAsia="lv-LV"/>
              </w:rPr>
              <w:t>sabiedriskai apspriedei.</w:t>
            </w:r>
          </w:p>
        </w:tc>
      </w:tr>
      <w:tr w14:paraId="567B2FD7" w14:textId="77777777" w:rsidTr="00D92083">
        <w:tblPrEx>
          <w:tblW w:w="5048" w:type="pct"/>
          <w:jc w:val="center"/>
          <w:tblCellMar>
            <w:top w:w="24" w:type="dxa"/>
            <w:left w:w="24" w:type="dxa"/>
            <w:bottom w:w="24" w:type="dxa"/>
            <w:right w:w="24" w:type="dxa"/>
          </w:tblCellMar>
          <w:tblLook w:val="04A0"/>
        </w:tblPrEx>
        <w:trPr>
          <w:trHeight w:val="1144"/>
          <w:jc w:val="center"/>
        </w:trPr>
        <w:tc>
          <w:tcPr>
            <w:tcW w:w="229" w:type="pct"/>
            <w:tcBorders>
              <w:top w:val="outset" w:sz="6" w:space="0" w:color="414142"/>
              <w:left w:val="outset" w:sz="6" w:space="0" w:color="414142"/>
              <w:bottom w:val="outset" w:sz="6" w:space="0" w:color="414142"/>
              <w:right w:val="outset" w:sz="6" w:space="0" w:color="414142"/>
            </w:tcBorders>
            <w:hideMark/>
          </w:tcPr>
          <w:p w:rsidR="00894C55" w:rsidRPr="003429ED" w:rsidP="002C2963" w14:paraId="607D9CD8" w14:textId="77777777">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5"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DF6EB33"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376" w:type="pct"/>
            <w:tcBorders>
              <w:top w:val="outset" w:sz="6" w:space="0" w:color="414142"/>
              <w:left w:val="outset" w:sz="6" w:space="0" w:color="414142"/>
              <w:bottom w:val="outset" w:sz="6" w:space="0" w:color="414142"/>
              <w:right w:val="outset" w:sz="6" w:space="0" w:color="414142"/>
            </w:tcBorders>
          </w:tcPr>
          <w:p w:rsidR="00D25244" w:rsidP="00D92083" w14:paraId="72184461" w14:textId="77777777">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abiedrības pārstāvjiem bija iespēja līdzdarboties, </w:t>
            </w:r>
            <w:r w:rsidR="00852406">
              <w:rPr>
                <w:rFonts w:ascii="Times New Roman" w:eastAsia="Times New Roman" w:hAnsi="Times New Roman" w:cs="Times New Roman"/>
                <w:sz w:val="24"/>
                <w:szCs w:val="24"/>
                <w:lang w:eastAsia="lv-LV"/>
              </w:rPr>
              <w:t>piedaloties sabiedriskajā apspriedē</w:t>
            </w:r>
            <w:r>
              <w:rPr>
                <w:rFonts w:ascii="Times New Roman" w:eastAsia="Times New Roman" w:hAnsi="Times New Roman" w:cs="Times New Roman"/>
                <w:sz w:val="24"/>
                <w:szCs w:val="24"/>
                <w:lang w:eastAsia="lv-LV"/>
              </w:rPr>
              <w:t xml:space="preserve"> par n</w:t>
            </w:r>
            <w:r w:rsidRPr="00DD3923">
              <w:rPr>
                <w:rFonts w:ascii="Times New Roman" w:eastAsia="Times New Roman" w:hAnsi="Times New Roman" w:cs="Times New Roman"/>
                <w:sz w:val="24"/>
                <w:szCs w:val="24"/>
                <w:lang w:eastAsia="lv-LV"/>
              </w:rPr>
              <w:t>oteikumu projektu tā izstrādes stadijā.</w:t>
            </w:r>
          </w:p>
          <w:p w:rsidR="007D2148" w:rsidRPr="003429ED" w:rsidP="00D92083" w14:paraId="14A9F07A" w14:textId="096C6126">
            <w:pPr>
              <w:spacing w:after="12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izstrādes procesā notika </w:t>
            </w:r>
            <w:r w:rsidR="00551630">
              <w:rPr>
                <w:rFonts w:ascii="Times New Roman" w:eastAsia="Times New Roman" w:hAnsi="Times New Roman" w:cs="Times New Roman"/>
                <w:sz w:val="24"/>
                <w:szCs w:val="24"/>
                <w:lang w:eastAsia="lv-LV"/>
              </w:rPr>
              <w:t>konsultācijas</w:t>
            </w:r>
            <w:r>
              <w:rPr>
                <w:rFonts w:ascii="Times New Roman" w:eastAsia="Times New Roman" w:hAnsi="Times New Roman" w:cs="Times New Roman"/>
                <w:sz w:val="24"/>
                <w:szCs w:val="24"/>
                <w:lang w:eastAsia="lv-LV"/>
              </w:rPr>
              <w:t xml:space="preserve"> ar Dienestu</w:t>
            </w:r>
            <w:r w:rsidR="00E1792B">
              <w:rPr>
                <w:rFonts w:ascii="Times New Roman" w:eastAsia="Times New Roman" w:hAnsi="Times New Roman" w:cs="Times New Roman"/>
                <w:sz w:val="24"/>
                <w:szCs w:val="24"/>
                <w:lang w:eastAsia="lv-LV"/>
              </w:rPr>
              <w:t xml:space="preserve"> un Valsts asinsdonoru centru</w:t>
            </w:r>
            <w:r>
              <w:rPr>
                <w:rFonts w:ascii="Times New Roman" w:eastAsia="Times New Roman" w:hAnsi="Times New Roman" w:cs="Times New Roman"/>
                <w:sz w:val="24"/>
                <w:szCs w:val="24"/>
                <w:lang w:eastAsia="lv-LV"/>
              </w:rPr>
              <w:t>.</w:t>
            </w:r>
          </w:p>
        </w:tc>
      </w:tr>
      <w:tr w14:paraId="2EEF922C" w14:textId="77777777" w:rsidTr="00D92083">
        <w:tblPrEx>
          <w:tblW w:w="5048" w:type="pct"/>
          <w:jc w:val="center"/>
          <w:tblCellMar>
            <w:top w:w="24" w:type="dxa"/>
            <w:left w:w="24" w:type="dxa"/>
            <w:bottom w:w="24" w:type="dxa"/>
            <w:right w:w="24" w:type="dxa"/>
          </w:tblCellMar>
          <w:tblLook w:val="04A0"/>
        </w:tblPrEx>
        <w:trPr>
          <w:trHeight w:val="663"/>
          <w:jc w:val="center"/>
        </w:trPr>
        <w:tc>
          <w:tcPr>
            <w:tcW w:w="229" w:type="pct"/>
            <w:tcBorders>
              <w:top w:val="outset" w:sz="6" w:space="0" w:color="414142"/>
              <w:left w:val="outset" w:sz="6" w:space="0" w:color="414142"/>
              <w:bottom w:val="outset" w:sz="6" w:space="0" w:color="414142"/>
              <w:right w:val="outset" w:sz="6" w:space="0" w:color="414142"/>
            </w:tcBorders>
            <w:hideMark/>
          </w:tcPr>
          <w:p w:rsidR="00655340" w:rsidRPr="003429ED" w:rsidP="002C2963" w14:paraId="4EE73BCC" w14:textId="77777777">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5"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17EDE22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376" w:type="pct"/>
            <w:tcBorders>
              <w:top w:val="outset" w:sz="6" w:space="0" w:color="414142"/>
              <w:left w:val="outset" w:sz="6" w:space="0" w:color="414142"/>
              <w:bottom w:val="outset" w:sz="6" w:space="0" w:color="414142"/>
              <w:right w:val="outset" w:sz="6" w:space="0" w:color="414142"/>
            </w:tcBorders>
          </w:tcPr>
          <w:p w:rsidR="00655340" w:rsidRPr="003429ED" w:rsidP="00D92083" w14:paraId="1C096189" w14:textId="01A40568">
            <w:pPr>
              <w:spacing w:after="0" w:line="240" w:lineRule="auto"/>
              <w:ind w:left="118" w:right="49"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 xml:space="preserve">par </w:t>
            </w:r>
            <w:r w:rsidRPr="00305E24">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projektu</w:t>
            </w:r>
            <w:r w:rsidRPr="00305E24">
              <w:rPr>
                <w:rFonts w:ascii="Times New Roman" w:eastAsia="Times New Roman" w:hAnsi="Times New Roman" w:cs="Times New Roman"/>
                <w:sz w:val="24"/>
                <w:szCs w:val="24"/>
                <w:lang w:eastAsia="lv-LV"/>
              </w:rPr>
              <w:t xml:space="preserve"> netika saņemti.</w:t>
            </w:r>
          </w:p>
        </w:tc>
      </w:tr>
      <w:tr w14:paraId="4FF9E8F4" w14:textId="77777777" w:rsidTr="00D92083">
        <w:tblPrEx>
          <w:tblW w:w="5048" w:type="pct"/>
          <w:jc w:val="center"/>
          <w:tblCellMar>
            <w:top w:w="24" w:type="dxa"/>
            <w:left w:w="24" w:type="dxa"/>
            <w:bottom w:w="24" w:type="dxa"/>
            <w:right w:w="24" w:type="dxa"/>
          </w:tblCellMar>
          <w:tblLook w:val="04A0"/>
        </w:tblPrEx>
        <w:trPr>
          <w:trHeight w:val="372"/>
          <w:jc w:val="center"/>
        </w:trPr>
        <w:tc>
          <w:tcPr>
            <w:tcW w:w="229" w:type="pct"/>
            <w:tcBorders>
              <w:top w:val="outset" w:sz="6" w:space="0" w:color="414142"/>
              <w:left w:val="outset" w:sz="6" w:space="0" w:color="414142"/>
              <w:bottom w:val="outset" w:sz="6" w:space="0" w:color="414142"/>
              <w:right w:val="outset" w:sz="6" w:space="0" w:color="414142"/>
            </w:tcBorders>
            <w:hideMark/>
          </w:tcPr>
          <w:p w:rsidR="00655340" w:rsidRPr="003429ED" w:rsidP="002C2963" w14:paraId="37C76DD0" w14:textId="77777777">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395"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8CC978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76" w:type="pct"/>
            <w:tcBorders>
              <w:top w:val="outset" w:sz="6" w:space="0" w:color="414142"/>
              <w:left w:val="outset" w:sz="6" w:space="0" w:color="414142"/>
              <w:bottom w:val="outset" w:sz="6" w:space="0" w:color="414142"/>
              <w:right w:val="outset" w:sz="6" w:space="0" w:color="414142"/>
            </w:tcBorders>
            <w:hideMark/>
          </w:tcPr>
          <w:p w:rsidR="00655340" w:rsidRPr="003429ED" w:rsidP="00D92083" w14:paraId="5BDD32FD" w14:textId="77777777">
            <w:pPr>
              <w:spacing w:after="0" w:line="240" w:lineRule="auto"/>
              <w:ind w:left="118"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416AB8B3" w14:textId="3A135A5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D92083" w:rsidRPr="00894C55" w:rsidP="00894C55" w14:paraId="137D8C7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9"/>
        <w:gridCol w:w="3475"/>
        <w:gridCol w:w="5161"/>
      </w:tblGrid>
      <w:tr w14:paraId="49F8D35F"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702E7" w:rsidP="00816C11" w14:paraId="363C7F9F" w14:textId="3CD4EBF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p w:rsidR="00894C55" w:rsidRPr="006702E7" w:rsidP="006702E7" w14:paraId="4F6C5664" w14:textId="77777777">
            <w:pPr>
              <w:rPr>
                <w:rFonts w:ascii="Times New Roman" w:eastAsia="Times New Roman" w:hAnsi="Times New Roman" w:cs="Times New Roman"/>
                <w:sz w:val="24"/>
                <w:szCs w:val="24"/>
                <w:lang w:eastAsia="lv-LV"/>
              </w:rPr>
            </w:pPr>
          </w:p>
        </w:tc>
      </w:tr>
      <w:tr w14:paraId="65E3B313" w14:textId="77777777" w:rsidTr="00D92083">
        <w:tblPrEx>
          <w:tblW w:w="5000" w:type="pct"/>
          <w:jc w:val="center"/>
          <w:tblCellMar>
            <w:top w:w="24" w:type="dxa"/>
            <w:left w:w="24" w:type="dxa"/>
            <w:bottom w:w="24" w:type="dxa"/>
            <w:right w:w="24" w:type="dxa"/>
          </w:tblCellMar>
          <w:tblLook w:val="04A0"/>
        </w:tblPrEx>
        <w:trPr>
          <w:trHeight w:val="336"/>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6E52FA" w:rsidP="002C2963" w14:paraId="69D1D0D4" w14:textId="77777777">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19"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14555BE"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A446D1" w:rsidRPr="006E52FA" w:rsidP="001902B6" w14:paraId="4BF7361C" w14:textId="6A47C9A0">
            <w:pPr>
              <w:spacing w:after="0" w:line="240" w:lineRule="auto"/>
              <w:ind w:left="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r w:rsidR="005E1D83">
              <w:rPr>
                <w:rFonts w:ascii="Times New Roman" w:eastAsia="Times New Roman" w:hAnsi="Times New Roman" w:cs="Times New Roman"/>
                <w:sz w:val="24"/>
                <w:szCs w:val="24"/>
                <w:lang w:eastAsia="lv-LV"/>
              </w:rPr>
              <w:t>, Valsts asinsdonoru centrs</w:t>
            </w:r>
          </w:p>
        </w:tc>
      </w:tr>
      <w:tr w14:paraId="47E9E11D" w14:textId="77777777" w:rsidTr="00D92083">
        <w:tblPrEx>
          <w:tblW w:w="5000" w:type="pct"/>
          <w:jc w:val="center"/>
          <w:tblCellMar>
            <w:top w:w="24" w:type="dxa"/>
            <w:left w:w="24" w:type="dxa"/>
            <w:bottom w:w="24" w:type="dxa"/>
            <w:right w:w="24" w:type="dxa"/>
          </w:tblCellMar>
          <w:tblLook w:val="04A0"/>
        </w:tblPrEx>
        <w:trPr>
          <w:trHeight w:val="360"/>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6E52FA" w:rsidP="002C2963" w14:paraId="6B59D71C" w14:textId="77777777">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19" w:type="pct"/>
            <w:tcBorders>
              <w:top w:val="outset" w:sz="6" w:space="0" w:color="414142"/>
              <w:left w:val="outset" w:sz="6" w:space="0" w:color="414142"/>
              <w:bottom w:val="outset" w:sz="6" w:space="0" w:color="414142"/>
              <w:right w:val="outset" w:sz="6" w:space="0" w:color="414142"/>
            </w:tcBorders>
            <w:hideMark/>
          </w:tcPr>
          <w:p w:rsidR="00894C55" w:rsidRPr="00033C29" w:rsidP="00894C55" w14:paraId="709E4CFF" w14:textId="77777777">
            <w:pPr>
              <w:spacing w:after="0" w:line="240" w:lineRule="auto"/>
              <w:rPr>
                <w:rFonts w:ascii="Times New Roman" w:eastAsia="Times New Roman" w:hAnsi="Times New Roman" w:cs="Times New Roman"/>
                <w:sz w:val="24"/>
                <w:szCs w:val="24"/>
                <w:lang w:eastAsia="lv-LV"/>
              </w:rPr>
            </w:pPr>
            <w:r w:rsidRPr="00033C29">
              <w:rPr>
                <w:rFonts w:ascii="Times New Roman" w:eastAsia="Times New Roman" w:hAnsi="Times New Roman" w:cs="Times New Roman"/>
                <w:sz w:val="24"/>
                <w:szCs w:val="24"/>
                <w:lang w:eastAsia="lv-LV"/>
              </w:rPr>
              <w:t>Projekta izpildes ietekme uz pārvaldes funkcijām un institucionālo struktūru.</w:t>
            </w:r>
          </w:p>
          <w:p w:rsidR="00894C55" w:rsidRPr="006702E7" w:rsidP="00894C55" w14:paraId="03FCCE59" w14:textId="77777777">
            <w:pPr>
              <w:spacing w:before="100" w:beforeAutospacing="1" w:after="100" w:afterAutospacing="1" w:line="293" w:lineRule="atLeast"/>
              <w:rPr>
                <w:rFonts w:ascii="Times New Roman" w:eastAsia="Times New Roman" w:hAnsi="Times New Roman" w:cs="Times New Roman"/>
                <w:sz w:val="24"/>
                <w:szCs w:val="24"/>
                <w:highlight w:val="yellow"/>
                <w:lang w:eastAsia="lv-LV"/>
              </w:rPr>
            </w:pPr>
            <w:r w:rsidRPr="00033C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894C55" w:rsidRPr="006702E7" w:rsidP="003F476F" w14:paraId="1484DB9D" w14:textId="0816BC57">
            <w:pPr>
              <w:spacing w:after="0" w:line="240" w:lineRule="auto"/>
              <w:ind w:left="40"/>
              <w:rPr>
                <w:rFonts w:ascii="Times New Roman" w:eastAsia="Times New Roman" w:hAnsi="Times New Roman" w:cs="Times New Roman"/>
                <w:sz w:val="24"/>
                <w:szCs w:val="24"/>
                <w:highlight w:val="yellow"/>
                <w:lang w:eastAsia="lv-LV"/>
              </w:rPr>
            </w:pPr>
            <w:r w:rsidRPr="00A32294">
              <w:rPr>
                <w:rFonts w:ascii="Times New Roman" w:eastAsia="Times New Roman" w:hAnsi="Times New Roman" w:cs="Times New Roman"/>
                <w:sz w:val="24"/>
                <w:szCs w:val="24"/>
                <w:lang w:eastAsia="lv-LV"/>
              </w:rPr>
              <w:t>Projekts šo jomu neskar</w:t>
            </w:r>
          </w:p>
        </w:tc>
      </w:tr>
      <w:tr w14:paraId="480E88F5" w14:textId="77777777" w:rsidTr="00D92083">
        <w:tblPrEx>
          <w:tblW w:w="5000" w:type="pct"/>
          <w:jc w:val="center"/>
          <w:tblCellMar>
            <w:top w:w="24" w:type="dxa"/>
            <w:left w:w="24" w:type="dxa"/>
            <w:bottom w:w="24" w:type="dxa"/>
            <w:right w:w="24" w:type="dxa"/>
          </w:tblCellMar>
          <w:tblLook w:val="04A0"/>
        </w:tblPrEx>
        <w:trPr>
          <w:trHeight w:val="31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6E52FA" w:rsidP="002C2963" w14:paraId="726DEF85" w14:textId="77777777">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19"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7E8AC749"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52FA" w:rsidP="00F57B0C" w14:paraId="2D0C3308"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702E7" w:rsidP="00894C55" w14:paraId="0CC5DD28" w14:textId="77777777">
      <w:pPr>
        <w:spacing w:after="0" w:line="240" w:lineRule="auto"/>
        <w:rPr>
          <w:rFonts w:ascii="Times New Roman" w:hAnsi="Times New Roman" w:cs="Times New Roman"/>
          <w:sz w:val="28"/>
          <w:szCs w:val="28"/>
        </w:rPr>
      </w:pPr>
    </w:p>
    <w:p w:rsidR="00571DF8" w:rsidRPr="00894C55" w:rsidP="00894C55" w14:paraId="5696815E" w14:textId="77777777">
      <w:pPr>
        <w:spacing w:after="0" w:line="240" w:lineRule="auto"/>
        <w:rPr>
          <w:rFonts w:ascii="Times New Roman" w:hAnsi="Times New Roman" w:cs="Times New Roman"/>
          <w:sz w:val="28"/>
          <w:szCs w:val="28"/>
        </w:rPr>
      </w:pPr>
    </w:p>
    <w:p w:rsidR="002D1541" w:rsidRPr="002D1541" w:rsidP="002D1541" w14:paraId="356CF0CC" w14:textId="77777777">
      <w:pPr>
        <w:tabs>
          <w:tab w:val="left" w:pos="7230"/>
        </w:tabs>
        <w:spacing w:after="0" w:line="240" w:lineRule="auto"/>
        <w:ind w:right="-766"/>
        <w:rPr>
          <w:rFonts w:ascii="Times New Roman" w:hAnsi="Times New Roman"/>
          <w:sz w:val="28"/>
          <w:szCs w:val="28"/>
        </w:rPr>
      </w:pPr>
      <w:r w:rsidRPr="002D1541">
        <w:rPr>
          <w:rFonts w:ascii="Times New Roman" w:hAnsi="Times New Roman"/>
          <w:sz w:val="28"/>
          <w:szCs w:val="28"/>
        </w:rPr>
        <w:t>Ministru prezidents,</w:t>
      </w:r>
    </w:p>
    <w:p w:rsidR="00D95C0F" w:rsidRPr="00484644" w:rsidP="002D1541" w14:paraId="4E26FC26" w14:textId="2F5E9A14">
      <w:pPr>
        <w:tabs>
          <w:tab w:val="left" w:pos="7230"/>
        </w:tabs>
        <w:spacing w:after="0" w:line="240" w:lineRule="auto"/>
        <w:ind w:right="-766"/>
        <w:rPr>
          <w:rFonts w:ascii="Times New Roman" w:eastAsia="Calibri" w:hAnsi="Times New Roman" w:cs="Times New Roman"/>
          <w:sz w:val="28"/>
          <w:szCs w:val="28"/>
        </w:rPr>
      </w:pPr>
      <w:r w:rsidRPr="002D1541">
        <w:rPr>
          <w:rFonts w:ascii="Times New Roman" w:hAnsi="Times New Roman"/>
          <w:sz w:val="28"/>
          <w:szCs w:val="28"/>
        </w:rPr>
        <w:t>veselības ministra pienākumu izpildītājs</w:t>
      </w:r>
      <w:r w:rsidRPr="002D1541">
        <w:rPr>
          <w:rFonts w:ascii="Times New Roman" w:hAnsi="Times New Roman"/>
          <w:sz w:val="28"/>
          <w:szCs w:val="28"/>
        </w:rPr>
        <w:tab/>
        <w:t>Māris Kučinskis</w:t>
      </w:r>
      <w:r w:rsidRPr="00484644">
        <w:rPr>
          <w:rFonts w:ascii="Times New Roman" w:eastAsia="Calibri" w:hAnsi="Times New Roman" w:cs="Times New Roman"/>
          <w:sz w:val="28"/>
          <w:szCs w:val="28"/>
        </w:rPr>
        <w:tab/>
      </w:r>
    </w:p>
    <w:p w:rsidR="00D95C0F" w:rsidP="00700F6E" w14:paraId="244F2EC7" w14:textId="77777777">
      <w:pPr>
        <w:tabs>
          <w:tab w:val="right" w:pos="9072"/>
        </w:tabs>
        <w:spacing w:after="0" w:line="240" w:lineRule="auto"/>
        <w:ind w:right="-1"/>
        <w:rPr>
          <w:rFonts w:ascii="Times New Roman" w:eastAsia="Calibri" w:hAnsi="Times New Roman" w:cs="Times New Roman"/>
          <w:sz w:val="28"/>
          <w:szCs w:val="28"/>
        </w:rPr>
      </w:pPr>
    </w:p>
    <w:p w:rsidR="00D95C0F" w:rsidP="00700F6E" w14:paraId="6737490B" w14:textId="77777777">
      <w:pPr>
        <w:tabs>
          <w:tab w:val="right" w:pos="9072"/>
        </w:tabs>
        <w:spacing w:after="0" w:line="240" w:lineRule="auto"/>
        <w:ind w:right="-1"/>
        <w:rPr>
          <w:rFonts w:ascii="Times New Roman" w:eastAsia="Calibri" w:hAnsi="Times New Roman" w:cs="Times New Roman"/>
          <w:sz w:val="28"/>
          <w:szCs w:val="28"/>
        </w:rPr>
      </w:pPr>
    </w:p>
    <w:p w:rsidR="00700F6E" w:rsidP="00700F6E" w14:paraId="7BA4BDAD" w14:textId="24763E0D">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w:t>
      </w:r>
      <w:r w:rsidR="00305E24">
        <w:rPr>
          <w:rFonts w:ascii="Times New Roman" w:eastAsia="Calibri" w:hAnsi="Times New Roman" w:cs="Times New Roman"/>
          <w:sz w:val="28"/>
          <w:szCs w:val="28"/>
        </w:rPr>
        <w:t>s</w:t>
      </w:r>
      <w:r>
        <w:rPr>
          <w:rFonts w:ascii="Times New Roman" w:eastAsia="Calibri" w:hAnsi="Times New Roman" w:cs="Times New Roman"/>
          <w:sz w:val="28"/>
          <w:szCs w:val="28"/>
        </w:rPr>
        <w:tab/>
      </w:r>
      <w:r w:rsidR="00305E24">
        <w:rPr>
          <w:rFonts w:ascii="Times New Roman" w:eastAsia="Calibri" w:hAnsi="Times New Roman" w:cs="Times New Roman"/>
          <w:sz w:val="28"/>
          <w:szCs w:val="28"/>
        </w:rPr>
        <w:t>Aivars Lapiņš</w:t>
      </w:r>
    </w:p>
    <w:p w:rsidR="00EF373C" w:rsidP="00F33323" w14:paraId="2EDB2EF0" w14:textId="298E9862">
      <w:pPr>
        <w:tabs>
          <w:tab w:val="left" w:pos="6237"/>
        </w:tabs>
        <w:spacing w:before="120" w:after="0" w:line="240" w:lineRule="auto"/>
        <w:rPr>
          <w:rFonts w:ascii="Times New Roman" w:eastAsia="Calibri" w:hAnsi="Times New Roman" w:cs="Times New Roman"/>
          <w:sz w:val="24"/>
          <w:szCs w:val="24"/>
        </w:rPr>
      </w:pPr>
    </w:p>
    <w:p w:rsidR="00D95C0F" w:rsidP="00F33323" w14:paraId="53FC9F56" w14:textId="330D0D29">
      <w:pPr>
        <w:tabs>
          <w:tab w:val="left" w:pos="6237"/>
        </w:tabs>
        <w:spacing w:before="120" w:after="0" w:line="240" w:lineRule="auto"/>
        <w:rPr>
          <w:rFonts w:ascii="Times New Roman" w:eastAsia="Calibri" w:hAnsi="Times New Roman" w:cs="Times New Roman"/>
          <w:sz w:val="24"/>
          <w:szCs w:val="24"/>
        </w:rPr>
      </w:pPr>
    </w:p>
    <w:p w:rsidR="00D95C0F" w:rsidP="00F33323" w14:paraId="16BEA0E2" w14:textId="1A006CD9">
      <w:pPr>
        <w:tabs>
          <w:tab w:val="left" w:pos="6237"/>
        </w:tabs>
        <w:spacing w:before="120" w:after="0" w:line="240" w:lineRule="auto"/>
        <w:rPr>
          <w:rFonts w:ascii="Times New Roman" w:eastAsia="Calibri" w:hAnsi="Times New Roman" w:cs="Times New Roman"/>
          <w:sz w:val="24"/>
          <w:szCs w:val="24"/>
        </w:rPr>
      </w:pPr>
    </w:p>
    <w:p w:rsidR="00D95C0F" w:rsidP="00F33323" w14:paraId="1D5C768F" w14:textId="12CCBC42">
      <w:pPr>
        <w:tabs>
          <w:tab w:val="left" w:pos="6237"/>
        </w:tabs>
        <w:spacing w:before="120" w:after="0" w:line="240" w:lineRule="auto"/>
        <w:rPr>
          <w:rFonts w:ascii="Times New Roman" w:eastAsia="Calibri" w:hAnsi="Times New Roman" w:cs="Times New Roman"/>
          <w:sz w:val="24"/>
          <w:szCs w:val="24"/>
        </w:rPr>
      </w:pPr>
    </w:p>
    <w:p w:rsidR="00D95C0F" w:rsidP="00F33323" w14:paraId="535EE8B2" w14:textId="77777777">
      <w:pPr>
        <w:tabs>
          <w:tab w:val="left" w:pos="6237"/>
        </w:tabs>
        <w:spacing w:before="120" w:after="0" w:line="240" w:lineRule="auto"/>
        <w:rPr>
          <w:rFonts w:ascii="Times New Roman" w:eastAsia="Calibri" w:hAnsi="Times New Roman" w:cs="Times New Roman"/>
          <w:sz w:val="24"/>
          <w:szCs w:val="24"/>
        </w:rPr>
      </w:pPr>
    </w:p>
    <w:p w:rsidR="00EF373C" w:rsidP="00F33323" w14:paraId="57850571" w14:textId="64AE6BCD">
      <w:pPr>
        <w:tabs>
          <w:tab w:val="left" w:pos="6237"/>
        </w:tabs>
        <w:spacing w:before="120" w:after="0" w:line="240" w:lineRule="auto"/>
        <w:rPr>
          <w:rFonts w:ascii="Times New Roman" w:eastAsia="Calibri" w:hAnsi="Times New Roman" w:cs="Times New Roman"/>
          <w:sz w:val="24"/>
          <w:szCs w:val="24"/>
        </w:rPr>
      </w:pPr>
    </w:p>
    <w:p w:rsidR="002D1541" w:rsidP="00F33323" w14:paraId="126A9428" w14:textId="051C425D">
      <w:pPr>
        <w:tabs>
          <w:tab w:val="left" w:pos="6237"/>
        </w:tabs>
        <w:spacing w:before="120" w:after="0" w:line="240" w:lineRule="auto"/>
        <w:rPr>
          <w:rFonts w:ascii="Times New Roman" w:eastAsia="Calibri" w:hAnsi="Times New Roman" w:cs="Times New Roman"/>
          <w:sz w:val="24"/>
          <w:szCs w:val="24"/>
        </w:rPr>
      </w:pPr>
    </w:p>
    <w:p w:rsidR="002D1541" w:rsidP="00F33323" w14:paraId="282AAF78" w14:textId="77777777">
      <w:pPr>
        <w:tabs>
          <w:tab w:val="left" w:pos="6237"/>
        </w:tabs>
        <w:spacing w:before="120" w:after="0" w:line="240" w:lineRule="auto"/>
        <w:rPr>
          <w:rFonts w:ascii="Times New Roman" w:eastAsia="Calibri" w:hAnsi="Times New Roman" w:cs="Times New Roman"/>
          <w:sz w:val="24"/>
          <w:szCs w:val="24"/>
        </w:rPr>
      </w:pPr>
    </w:p>
    <w:p w:rsidR="00F33323" w:rsidRPr="00484644" w:rsidP="00F33323" w14:paraId="731543A5" w14:textId="34D6C89E">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Kleina</w:t>
      </w:r>
      <w:r w:rsidRPr="00484644">
        <w:rPr>
          <w:rFonts w:ascii="Times New Roman" w:eastAsia="Calibri" w:hAnsi="Times New Roman" w:cs="Times New Roman"/>
          <w:sz w:val="24"/>
          <w:szCs w:val="24"/>
        </w:rPr>
        <w:t xml:space="preserve"> </w:t>
      </w:r>
      <w:r w:rsidRPr="00484644">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078</w:t>
      </w:r>
    </w:p>
    <w:p w:rsidR="00894C55" w:rsidRPr="00144E83" w:rsidP="006E52FA" w14:paraId="2A7EB09E" w14:textId="28FE0406">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biruta.kleina</w:t>
      </w:r>
      <w:r w:rsidRPr="00484644">
        <w:rPr>
          <w:rFonts w:ascii="Times New Roman" w:eastAsia="Calibri" w:hAnsi="Times New Roman" w:cs="Times New Roman"/>
          <w:sz w:val="24"/>
          <w:szCs w:val="24"/>
        </w:rPr>
        <w:t>@vm.gov.lv</w:t>
      </w:r>
    </w:p>
    <w:sectPr w:rsidSect="00EF373C">
      <w:headerReference w:type="default" r:id="rId5"/>
      <w:footerReference w:type="default" r:id="rId6"/>
      <w:footerReference w:type="first" r:id="rId7"/>
      <w:pgSz w:w="11906" w:h="16838"/>
      <w:pgMar w:top="1418" w:right="1134" w:bottom="1134"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D9" w:rsidRPr="007A5EC4" w:rsidP="007A5EC4" w14:paraId="22F8D625" w14:textId="409564AF">
    <w:pPr>
      <w:pStyle w:val="Footer"/>
      <w:rPr>
        <w:rFonts w:ascii="Times New Roman" w:hAnsi="Times New Roman" w:cs="Times New Roman"/>
        <w:sz w:val="20"/>
        <w:szCs w:val="20"/>
      </w:rPr>
    </w:pPr>
    <w:r>
      <w:rPr>
        <w:rFonts w:ascii="Times New Roman" w:hAnsi="Times New Roman" w:cs="Times New Roman"/>
        <w:sz w:val="20"/>
        <w:szCs w:val="20"/>
      </w:rPr>
      <w:t>VManot_29</w:t>
    </w:r>
    <w:r w:rsidR="006702E7">
      <w:rPr>
        <w:rFonts w:ascii="Times New Roman" w:hAnsi="Times New Roman" w:cs="Times New Roman"/>
        <w:sz w:val="20"/>
        <w:szCs w:val="20"/>
      </w:rPr>
      <w:t>01</w:t>
    </w:r>
    <w:r w:rsidR="00033C29">
      <w:rPr>
        <w:rFonts w:ascii="Times New Roman" w:hAnsi="Times New Roman" w:cs="Times New Roman"/>
        <w:sz w:val="20"/>
        <w:szCs w:val="20"/>
      </w:rPr>
      <w:t>18</w:t>
    </w:r>
    <w:r>
      <w:rPr>
        <w:rFonts w:ascii="Times New Roman" w:hAnsi="Times New Roman" w:cs="Times New Roman"/>
        <w:sz w:val="20"/>
        <w:szCs w:val="20"/>
      </w:rPr>
      <w:t>_groz461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D9" w:rsidRPr="009A2654" w14:paraId="7F2B4975" w14:textId="2287C041">
    <w:pPr>
      <w:pStyle w:val="Footer"/>
      <w:rPr>
        <w:rFonts w:ascii="Times New Roman" w:hAnsi="Times New Roman" w:cs="Times New Roman"/>
        <w:sz w:val="20"/>
        <w:szCs w:val="20"/>
      </w:rPr>
    </w:pPr>
    <w:r>
      <w:rPr>
        <w:rFonts w:ascii="Times New Roman" w:hAnsi="Times New Roman" w:cs="Times New Roman"/>
        <w:sz w:val="20"/>
        <w:szCs w:val="20"/>
      </w:rPr>
      <w:t>VManot_29</w:t>
    </w:r>
    <w:r w:rsidR="006702E7">
      <w:rPr>
        <w:rFonts w:ascii="Times New Roman" w:hAnsi="Times New Roman" w:cs="Times New Roman"/>
        <w:sz w:val="20"/>
        <w:szCs w:val="20"/>
      </w:rPr>
      <w:t>01</w:t>
    </w:r>
    <w:r w:rsidR="00033C29">
      <w:rPr>
        <w:rFonts w:ascii="Times New Roman" w:hAnsi="Times New Roman" w:cs="Times New Roman"/>
        <w:sz w:val="20"/>
        <w:szCs w:val="20"/>
      </w:rPr>
      <w:t>18</w:t>
    </w:r>
    <w:r>
      <w:rPr>
        <w:rFonts w:ascii="Times New Roman" w:hAnsi="Times New Roman" w:cs="Times New Roman"/>
        <w:sz w:val="20"/>
        <w:szCs w:val="20"/>
      </w:rPr>
      <w:t>_groz461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2657054"/>
      <w:docPartObj>
        <w:docPartGallery w:val="Page Numbers (Top of Page)"/>
        <w:docPartUnique/>
      </w:docPartObj>
    </w:sdtPr>
    <w:sdtEndPr>
      <w:rPr>
        <w:rFonts w:ascii="Times New Roman" w:hAnsi="Times New Roman" w:cs="Times New Roman"/>
        <w:noProof/>
        <w:sz w:val="24"/>
        <w:szCs w:val="20"/>
      </w:rPr>
    </w:sdtEndPr>
    <w:sdtContent>
      <w:p w:rsidR="004F4AD9" w:rsidRPr="00C25B49" w14:paraId="72C33F70" w14:textId="32C949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216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C7E"/>
    <w:rsid w:val="00023A15"/>
    <w:rsid w:val="00025FD4"/>
    <w:rsid w:val="00033C29"/>
    <w:rsid w:val="00045286"/>
    <w:rsid w:val="00062983"/>
    <w:rsid w:val="00067643"/>
    <w:rsid w:val="00076089"/>
    <w:rsid w:val="0008612A"/>
    <w:rsid w:val="000A0240"/>
    <w:rsid w:val="000B1774"/>
    <w:rsid w:val="000B4BD0"/>
    <w:rsid w:val="000C57B7"/>
    <w:rsid w:val="000E4559"/>
    <w:rsid w:val="00113969"/>
    <w:rsid w:val="00137B67"/>
    <w:rsid w:val="00144E83"/>
    <w:rsid w:val="001567FF"/>
    <w:rsid w:val="00183508"/>
    <w:rsid w:val="00183CAC"/>
    <w:rsid w:val="00186F16"/>
    <w:rsid w:val="001902B6"/>
    <w:rsid w:val="00190702"/>
    <w:rsid w:val="001A4346"/>
    <w:rsid w:val="001A4923"/>
    <w:rsid w:val="001A7928"/>
    <w:rsid w:val="001C095C"/>
    <w:rsid w:val="001C20B8"/>
    <w:rsid w:val="001F653D"/>
    <w:rsid w:val="001F6B5C"/>
    <w:rsid w:val="00243426"/>
    <w:rsid w:val="002621F3"/>
    <w:rsid w:val="00266D3B"/>
    <w:rsid w:val="002B1922"/>
    <w:rsid w:val="002B7C55"/>
    <w:rsid w:val="002C2963"/>
    <w:rsid w:val="002D1541"/>
    <w:rsid w:val="002E1C05"/>
    <w:rsid w:val="002F1B03"/>
    <w:rsid w:val="002F438A"/>
    <w:rsid w:val="00305E24"/>
    <w:rsid w:val="00335AEA"/>
    <w:rsid w:val="003429ED"/>
    <w:rsid w:val="00342BAF"/>
    <w:rsid w:val="00396EAD"/>
    <w:rsid w:val="003A4B64"/>
    <w:rsid w:val="003B0BF9"/>
    <w:rsid w:val="003B4641"/>
    <w:rsid w:val="003B507D"/>
    <w:rsid w:val="003C7D24"/>
    <w:rsid w:val="003D6755"/>
    <w:rsid w:val="003E0791"/>
    <w:rsid w:val="003E3785"/>
    <w:rsid w:val="003E78BC"/>
    <w:rsid w:val="003F28AC"/>
    <w:rsid w:val="003F476F"/>
    <w:rsid w:val="00415C52"/>
    <w:rsid w:val="004454FE"/>
    <w:rsid w:val="00446413"/>
    <w:rsid w:val="0044771F"/>
    <w:rsid w:val="0046053B"/>
    <w:rsid w:val="00471F27"/>
    <w:rsid w:val="00476879"/>
    <w:rsid w:val="00484644"/>
    <w:rsid w:val="004936DB"/>
    <w:rsid w:val="00493DF3"/>
    <w:rsid w:val="004A37B5"/>
    <w:rsid w:val="004C0A7C"/>
    <w:rsid w:val="004D4456"/>
    <w:rsid w:val="004E022F"/>
    <w:rsid w:val="004E6C83"/>
    <w:rsid w:val="004F1617"/>
    <w:rsid w:val="004F4AD9"/>
    <w:rsid w:val="004F5882"/>
    <w:rsid w:val="0050110E"/>
    <w:rsid w:val="0050178F"/>
    <w:rsid w:val="00512BF1"/>
    <w:rsid w:val="00551630"/>
    <w:rsid w:val="00557646"/>
    <w:rsid w:val="00571DF8"/>
    <w:rsid w:val="00573620"/>
    <w:rsid w:val="005D1961"/>
    <w:rsid w:val="005E1D83"/>
    <w:rsid w:val="005E3268"/>
    <w:rsid w:val="0061213D"/>
    <w:rsid w:val="00612A32"/>
    <w:rsid w:val="00616475"/>
    <w:rsid w:val="006375E9"/>
    <w:rsid w:val="00642B40"/>
    <w:rsid w:val="00655340"/>
    <w:rsid w:val="006702E7"/>
    <w:rsid w:val="006976B3"/>
    <w:rsid w:val="006A6A58"/>
    <w:rsid w:val="006B4D19"/>
    <w:rsid w:val="006C2C6C"/>
    <w:rsid w:val="006C3BF9"/>
    <w:rsid w:val="006E1081"/>
    <w:rsid w:val="006E52FA"/>
    <w:rsid w:val="006F4F1E"/>
    <w:rsid w:val="00700F6E"/>
    <w:rsid w:val="00720585"/>
    <w:rsid w:val="00723DF8"/>
    <w:rsid w:val="00744533"/>
    <w:rsid w:val="00762976"/>
    <w:rsid w:val="00762E46"/>
    <w:rsid w:val="00773AF6"/>
    <w:rsid w:val="00780EC1"/>
    <w:rsid w:val="00795F71"/>
    <w:rsid w:val="007A2592"/>
    <w:rsid w:val="007A5EC4"/>
    <w:rsid w:val="007B50CA"/>
    <w:rsid w:val="007C7FAC"/>
    <w:rsid w:val="007D2148"/>
    <w:rsid w:val="007D6CA2"/>
    <w:rsid w:val="007E436C"/>
    <w:rsid w:val="007E73AB"/>
    <w:rsid w:val="0080320D"/>
    <w:rsid w:val="00804DDC"/>
    <w:rsid w:val="00816C11"/>
    <w:rsid w:val="00824478"/>
    <w:rsid w:val="0085096A"/>
    <w:rsid w:val="00852406"/>
    <w:rsid w:val="00853C0C"/>
    <w:rsid w:val="0085426B"/>
    <w:rsid w:val="00883C3C"/>
    <w:rsid w:val="00894C55"/>
    <w:rsid w:val="008A59B8"/>
    <w:rsid w:val="008B0595"/>
    <w:rsid w:val="008B3965"/>
    <w:rsid w:val="008B6194"/>
    <w:rsid w:val="008D677F"/>
    <w:rsid w:val="008D7C6E"/>
    <w:rsid w:val="00915048"/>
    <w:rsid w:val="00922A35"/>
    <w:rsid w:val="00952B23"/>
    <w:rsid w:val="00971A0E"/>
    <w:rsid w:val="00976744"/>
    <w:rsid w:val="0098529C"/>
    <w:rsid w:val="009A0639"/>
    <w:rsid w:val="009A2654"/>
    <w:rsid w:val="009A3565"/>
    <w:rsid w:val="009A4807"/>
    <w:rsid w:val="009A6553"/>
    <w:rsid w:val="009B0340"/>
    <w:rsid w:val="009B2130"/>
    <w:rsid w:val="009D24A5"/>
    <w:rsid w:val="009D52F7"/>
    <w:rsid w:val="00A17354"/>
    <w:rsid w:val="00A27BB5"/>
    <w:rsid w:val="00A32294"/>
    <w:rsid w:val="00A32DA9"/>
    <w:rsid w:val="00A35547"/>
    <w:rsid w:val="00A3584F"/>
    <w:rsid w:val="00A4141A"/>
    <w:rsid w:val="00A446D1"/>
    <w:rsid w:val="00A6073E"/>
    <w:rsid w:val="00A620E3"/>
    <w:rsid w:val="00A67DCC"/>
    <w:rsid w:val="00A76A99"/>
    <w:rsid w:val="00A8061B"/>
    <w:rsid w:val="00AA19CD"/>
    <w:rsid w:val="00AC555A"/>
    <w:rsid w:val="00AD2EF3"/>
    <w:rsid w:val="00AD4DCF"/>
    <w:rsid w:val="00AE10D3"/>
    <w:rsid w:val="00AE5567"/>
    <w:rsid w:val="00AF6E5F"/>
    <w:rsid w:val="00B06B26"/>
    <w:rsid w:val="00B16480"/>
    <w:rsid w:val="00B2165C"/>
    <w:rsid w:val="00B32A1F"/>
    <w:rsid w:val="00B335DD"/>
    <w:rsid w:val="00B40200"/>
    <w:rsid w:val="00B710EA"/>
    <w:rsid w:val="00B758FD"/>
    <w:rsid w:val="00B81704"/>
    <w:rsid w:val="00B856A2"/>
    <w:rsid w:val="00BA20AA"/>
    <w:rsid w:val="00BA234D"/>
    <w:rsid w:val="00BB1698"/>
    <w:rsid w:val="00BB1EAD"/>
    <w:rsid w:val="00BB289E"/>
    <w:rsid w:val="00BB31A4"/>
    <w:rsid w:val="00BD4425"/>
    <w:rsid w:val="00C05B3C"/>
    <w:rsid w:val="00C23FD3"/>
    <w:rsid w:val="00C25B49"/>
    <w:rsid w:val="00C272E2"/>
    <w:rsid w:val="00C42118"/>
    <w:rsid w:val="00C42985"/>
    <w:rsid w:val="00C54A4A"/>
    <w:rsid w:val="00C91113"/>
    <w:rsid w:val="00C918F0"/>
    <w:rsid w:val="00CA3B6D"/>
    <w:rsid w:val="00CA7B36"/>
    <w:rsid w:val="00CB5445"/>
    <w:rsid w:val="00CC209C"/>
    <w:rsid w:val="00CD5BBD"/>
    <w:rsid w:val="00CE5657"/>
    <w:rsid w:val="00D02AF8"/>
    <w:rsid w:val="00D133F8"/>
    <w:rsid w:val="00D14A3E"/>
    <w:rsid w:val="00D16FC6"/>
    <w:rsid w:val="00D25244"/>
    <w:rsid w:val="00D304F7"/>
    <w:rsid w:val="00D317E9"/>
    <w:rsid w:val="00D3559C"/>
    <w:rsid w:val="00D556BF"/>
    <w:rsid w:val="00D6475C"/>
    <w:rsid w:val="00D81366"/>
    <w:rsid w:val="00D92083"/>
    <w:rsid w:val="00D95C0F"/>
    <w:rsid w:val="00DA02EB"/>
    <w:rsid w:val="00DC12AA"/>
    <w:rsid w:val="00DD3923"/>
    <w:rsid w:val="00E1792B"/>
    <w:rsid w:val="00E22F05"/>
    <w:rsid w:val="00E242AA"/>
    <w:rsid w:val="00E3716B"/>
    <w:rsid w:val="00E42647"/>
    <w:rsid w:val="00E433FE"/>
    <w:rsid w:val="00E576F6"/>
    <w:rsid w:val="00E61FEA"/>
    <w:rsid w:val="00E660C2"/>
    <w:rsid w:val="00E738C8"/>
    <w:rsid w:val="00E77DE4"/>
    <w:rsid w:val="00E80A8D"/>
    <w:rsid w:val="00E8749E"/>
    <w:rsid w:val="00E875F2"/>
    <w:rsid w:val="00E905A1"/>
    <w:rsid w:val="00E90C01"/>
    <w:rsid w:val="00E92DA2"/>
    <w:rsid w:val="00E93312"/>
    <w:rsid w:val="00E94696"/>
    <w:rsid w:val="00EA486E"/>
    <w:rsid w:val="00ED7434"/>
    <w:rsid w:val="00EF373C"/>
    <w:rsid w:val="00EF7111"/>
    <w:rsid w:val="00F200E4"/>
    <w:rsid w:val="00F33323"/>
    <w:rsid w:val="00F4386E"/>
    <w:rsid w:val="00F45351"/>
    <w:rsid w:val="00F57B0C"/>
    <w:rsid w:val="00F8630A"/>
    <w:rsid w:val="00F95C5C"/>
    <w:rsid w:val="00FA22CA"/>
    <w:rsid w:val="00FE4D94"/>
    <w:rsid w:val="00FF0FD6"/>
    <w:rsid w:val="00FF21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CommentReference">
    <w:name w:val="annotation reference"/>
    <w:basedOn w:val="DefaultParagraphFont"/>
    <w:uiPriority w:val="99"/>
    <w:semiHidden/>
    <w:unhideWhenUsed/>
    <w:rsid w:val="00D02AF8"/>
    <w:rPr>
      <w:sz w:val="16"/>
      <w:szCs w:val="16"/>
    </w:rPr>
  </w:style>
  <w:style w:type="paragraph" w:styleId="CommentText">
    <w:name w:val="annotation text"/>
    <w:basedOn w:val="Normal"/>
    <w:link w:val="CommentTextChar"/>
    <w:uiPriority w:val="99"/>
    <w:semiHidden/>
    <w:unhideWhenUsed/>
    <w:rsid w:val="00D02AF8"/>
    <w:pPr>
      <w:spacing w:line="240" w:lineRule="auto"/>
    </w:pPr>
    <w:rPr>
      <w:sz w:val="20"/>
      <w:szCs w:val="20"/>
    </w:rPr>
  </w:style>
  <w:style w:type="character" w:customStyle="1" w:styleId="CommentTextChar">
    <w:name w:val="Comment Text Char"/>
    <w:basedOn w:val="DefaultParagraphFont"/>
    <w:link w:val="CommentText"/>
    <w:uiPriority w:val="99"/>
    <w:semiHidden/>
    <w:rsid w:val="00D02AF8"/>
    <w:rPr>
      <w:sz w:val="20"/>
      <w:szCs w:val="20"/>
    </w:rPr>
  </w:style>
  <w:style w:type="paragraph" w:styleId="CommentSubject">
    <w:name w:val="annotation subject"/>
    <w:basedOn w:val="CommentText"/>
    <w:next w:val="CommentText"/>
    <w:link w:val="CommentSubjectChar"/>
    <w:uiPriority w:val="99"/>
    <w:semiHidden/>
    <w:unhideWhenUsed/>
    <w:rsid w:val="00D02AF8"/>
    <w:rPr>
      <w:b/>
      <w:bCs/>
    </w:rPr>
  </w:style>
  <w:style w:type="character" w:customStyle="1" w:styleId="CommentSubjectChar">
    <w:name w:val="Comment Subject Char"/>
    <w:basedOn w:val="CommentTextChar"/>
    <w:link w:val="CommentSubject"/>
    <w:uiPriority w:val="99"/>
    <w:semiHidden/>
    <w:rsid w:val="00D02AF8"/>
    <w:rPr>
      <w:b/>
      <w:bCs/>
      <w:sz w:val="20"/>
      <w:szCs w:val="20"/>
    </w:rPr>
  </w:style>
  <w:style w:type="character" w:customStyle="1" w:styleId="UnresolvedMention">
    <w:name w:val="Unresolved Mention"/>
    <w:basedOn w:val="DefaultParagraphFont"/>
    <w:uiPriority w:val="99"/>
    <w:semiHidden/>
    <w:unhideWhenUsed/>
    <w:rsid w:val="00144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F214-B394-4A00-99BB-3D8378C8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5312</Words>
  <Characters>3029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2005.gada 28.jūnija noteikumos Nr.461 „Noteikumi par neatliekamās medicīniskās palīdzības nodrošināšanu un pretepidēmijas pasākumiem, medikamentu nodrošinājuma sistēmas sagatavošanu un darb</vt:lpstr>
    </vt:vector>
  </TitlesOfParts>
  <Company>Veselības ministrija</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28.jūnija noteikumos Nr.461 „Noteikumi par neatliekamās medicīniskās palīdzības nodrošināšanu un pretepidēmijas pasākumiem, medikamentu nodrošinājuma sistēmas sagatavošanu un darbu valsts apdraudējuma gadījumā”” sākotnējās ietekmes novērtējuma ziņojums (anotācija)</dc:title>
  <dc:subject>Anotācija</dc:subject>
  <dc:creator>Biruta Kleina</dc:creator>
  <dc:description>67876078, biruta.kleina@vm.gov.lv</dc:description>
  <cp:lastModifiedBy>Biruta Kleina</cp:lastModifiedBy>
  <cp:revision>9</cp:revision>
  <dcterms:created xsi:type="dcterms:W3CDTF">2018-01-10T13:34:00Z</dcterms:created>
  <dcterms:modified xsi:type="dcterms:W3CDTF">2018-01-29T13:54:00Z</dcterms:modified>
</cp:coreProperties>
</file>