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6457F2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3679DA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6457F2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FA2CC5" w:rsidRPr="001A021D" w:rsidRDefault="00FA2CC5" w:rsidP="00FA2CC5">
      <w:pPr>
        <w:spacing w:before="480"/>
        <w:jc w:val="center"/>
        <w:rPr>
          <w:b/>
          <w:sz w:val="28"/>
          <w:szCs w:val="28"/>
        </w:rPr>
      </w:pPr>
      <w:bookmarkStart w:id="0" w:name="OLE_LINK1"/>
      <w:r w:rsidRPr="001A021D">
        <w:rPr>
          <w:b/>
          <w:sz w:val="28"/>
          <w:szCs w:val="28"/>
        </w:rPr>
        <w:t>Grozījumi Ministru kabineta 20</w:t>
      </w:r>
      <w:r w:rsidR="003679DA">
        <w:rPr>
          <w:b/>
          <w:sz w:val="28"/>
          <w:szCs w:val="28"/>
        </w:rPr>
        <w:t>11</w:t>
      </w:r>
      <w:r w:rsidRPr="001A021D">
        <w:rPr>
          <w:b/>
          <w:sz w:val="28"/>
          <w:szCs w:val="28"/>
        </w:rPr>
        <w:t xml:space="preserve">.gada </w:t>
      </w:r>
      <w:r w:rsidR="003679DA">
        <w:rPr>
          <w:b/>
          <w:sz w:val="28"/>
          <w:szCs w:val="28"/>
        </w:rPr>
        <w:t>19.oktobra</w:t>
      </w:r>
      <w:r w:rsidRPr="001A021D">
        <w:rPr>
          <w:b/>
          <w:sz w:val="28"/>
          <w:szCs w:val="28"/>
        </w:rPr>
        <w:t xml:space="preserve"> noteikumos Nr.</w:t>
      </w:r>
      <w:r w:rsidR="003679DA">
        <w:rPr>
          <w:b/>
          <w:sz w:val="28"/>
          <w:szCs w:val="28"/>
        </w:rPr>
        <w:t>800</w:t>
      </w:r>
      <w:r w:rsidRPr="001A021D">
        <w:rPr>
          <w:b/>
          <w:sz w:val="28"/>
          <w:szCs w:val="28"/>
        </w:rPr>
        <w:t xml:space="preserve"> „</w:t>
      </w:r>
      <w:r w:rsidR="003679DA" w:rsidRPr="003679DA">
        <w:rPr>
          <w:b/>
          <w:sz w:val="28"/>
          <w:szCs w:val="28"/>
        </w:rPr>
        <w:t>Farmaceitiskās darbības licencēšanas kārtība</w:t>
      </w:r>
      <w:r w:rsidRPr="001A021D">
        <w:rPr>
          <w:b/>
          <w:sz w:val="28"/>
          <w:szCs w:val="28"/>
        </w:rPr>
        <w:t>”</w:t>
      </w:r>
      <w:bookmarkEnd w:id="0"/>
    </w:p>
    <w:p w:rsidR="00213F26" w:rsidRDefault="00213F26" w:rsidP="00FA2CC5">
      <w:pPr>
        <w:jc w:val="right"/>
        <w:rPr>
          <w:sz w:val="28"/>
          <w:szCs w:val="28"/>
        </w:rPr>
      </w:pPr>
    </w:p>
    <w:p w:rsidR="003679DA" w:rsidRDefault="003679DA" w:rsidP="003679DA">
      <w:pPr>
        <w:jc w:val="right"/>
        <w:rPr>
          <w:sz w:val="28"/>
          <w:szCs w:val="28"/>
        </w:rPr>
      </w:pPr>
      <w:r w:rsidRPr="003679DA">
        <w:rPr>
          <w:sz w:val="28"/>
          <w:szCs w:val="28"/>
        </w:rPr>
        <w:t xml:space="preserve">Izdoti saskaņā ar Farmācijas likuma 5.panta </w:t>
      </w:r>
    </w:p>
    <w:p w:rsidR="003679DA" w:rsidRPr="003679DA" w:rsidRDefault="003679DA" w:rsidP="003679DA">
      <w:pPr>
        <w:jc w:val="right"/>
        <w:rPr>
          <w:sz w:val="28"/>
          <w:szCs w:val="28"/>
        </w:rPr>
      </w:pPr>
      <w:r w:rsidRPr="003679DA">
        <w:rPr>
          <w:sz w:val="28"/>
          <w:szCs w:val="28"/>
        </w:rPr>
        <w:t xml:space="preserve">1., 14., 19. un 26.punktu, 37., 45. un 51.pantu un </w:t>
      </w:r>
    </w:p>
    <w:p w:rsidR="003679DA" w:rsidRDefault="003679DA" w:rsidP="003679DA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„</w:t>
      </w:r>
      <w:r w:rsidRPr="003679DA">
        <w:rPr>
          <w:sz w:val="28"/>
          <w:szCs w:val="28"/>
        </w:rPr>
        <w:t>Par narkotisko un psihotropo vielu un zāļu</w:t>
      </w:r>
    </w:p>
    <w:p w:rsidR="00FA2CC5" w:rsidRPr="008C03DA" w:rsidRDefault="003679DA" w:rsidP="003679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likumīgās aprites kārtību”</w:t>
      </w:r>
      <w:r w:rsidRPr="003679DA">
        <w:rPr>
          <w:sz w:val="28"/>
          <w:szCs w:val="28"/>
        </w:rPr>
        <w:t xml:space="preserve"> 12.panta pirmo daļu</w:t>
      </w:r>
    </w:p>
    <w:p w:rsidR="00FA2CC5" w:rsidRPr="008C03DA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:rsidR="00FA2CC5" w:rsidRPr="008C03DA" w:rsidRDefault="00FA2CC5" w:rsidP="00FA2CC5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Izdarīt Ministru kabineta </w:t>
      </w:r>
      <w:r w:rsidR="003679DA" w:rsidRPr="003679DA">
        <w:rPr>
          <w:sz w:val="28"/>
          <w:szCs w:val="28"/>
        </w:rPr>
        <w:t xml:space="preserve">2011.gada 19.oktobra noteikumos Nr.800 </w:t>
      </w:r>
      <w:r w:rsidRPr="008C03DA">
        <w:rPr>
          <w:sz w:val="28"/>
          <w:szCs w:val="28"/>
        </w:rPr>
        <w:t>„</w:t>
      </w:r>
      <w:r w:rsidR="003679DA" w:rsidRPr="003679DA">
        <w:rPr>
          <w:sz w:val="28"/>
          <w:szCs w:val="28"/>
        </w:rPr>
        <w:t>Farmaceitiskās darbības licencēšanas kārtība</w:t>
      </w:r>
      <w:r w:rsidRPr="008C03DA">
        <w:rPr>
          <w:sz w:val="28"/>
          <w:szCs w:val="28"/>
        </w:rPr>
        <w:t>” (Latvijas Vēstnesis,</w:t>
      </w:r>
      <w:r w:rsidRPr="008C03DA">
        <w:rPr>
          <w:sz w:val="28"/>
        </w:rPr>
        <w:t xml:space="preserve"> 20</w:t>
      </w:r>
      <w:r w:rsidR="003679DA">
        <w:rPr>
          <w:sz w:val="28"/>
        </w:rPr>
        <w:t>11</w:t>
      </w:r>
      <w:r>
        <w:rPr>
          <w:sz w:val="28"/>
        </w:rPr>
        <w:t xml:space="preserve">, </w:t>
      </w:r>
      <w:r w:rsidR="003679DA">
        <w:rPr>
          <w:sz w:val="28"/>
        </w:rPr>
        <w:t>170</w:t>
      </w:r>
      <w:r w:rsidRPr="008C03DA">
        <w:rPr>
          <w:sz w:val="28"/>
        </w:rPr>
        <w:t xml:space="preserve">.nr.; </w:t>
      </w:r>
      <w:r w:rsidR="003679DA" w:rsidRPr="003679DA">
        <w:rPr>
          <w:sz w:val="28"/>
        </w:rPr>
        <w:t>2013, 123., 169. nr.; 2014, 252. nr.</w:t>
      </w:r>
      <w:r w:rsidR="003679DA">
        <w:rPr>
          <w:sz w:val="28"/>
        </w:rPr>
        <w:t>; 2016, 21.nr.</w:t>
      </w:r>
      <w:r w:rsidRPr="008C03DA">
        <w:rPr>
          <w:sz w:val="28"/>
        </w:rPr>
        <w:t>) šādus grozījumus:</w:t>
      </w:r>
    </w:p>
    <w:p w:rsidR="00FA2CC5" w:rsidRDefault="00FA2CC5" w:rsidP="00FA2CC5">
      <w:pPr>
        <w:ind w:left="720"/>
        <w:jc w:val="both"/>
        <w:rPr>
          <w:sz w:val="28"/>
        </w:rPr>
      </w:pPr>
    </w:p>
    <w:p w:rsidR="00E5076F" w:rsidRDefault="003679DA" w:rsidP="00E5076F">
      <w:pPr>
        <w:jc w:val="both"/>
        <w:rPr>
          <w:sz w:val="28"/>
        </w:rPr>
      </w:pPr>
      <w:r>
        <w:rPr>
          <w:sz w:val="28"/>
        </w:rPr>
        <w:t>1</w:t>
      </w:r>
      <w:r w:rsidR="00622155">
        <w:rPr>
          <w:sz w:val="28"/>
        </w:rPr>
        <w:t>.</w:t>
      </w:r>
      <w:r w:rsidR="00E262B3">
        <w:rPr>
          <w:sz w:val="28"/>
        </w:rPr>
        <w:t xml:space="preserve"> </w:t>
      </w:r>
      <w:r w:rsidR="00E5076F">
        <w:rPr>
          <w:sz w:val="28"/>
        </w:rPr>
        <w:t>izteikt 23.punkta trešo teikumu šādā redakcijā:</w:t>
      </w:r>
    </w:p>
    <w:p w:rsidR="00622155" w:rsidRDefault="00E5076F" w:rsidP="00E5076F">
      <w:pPr>
        <w:jc w:val="both"/>
        <w:rPr>
          <w:sz w:val="28"/>
        </w:rPr>
      </w:pPr>
      <w:r>
        <w:rPr>
          <w:sz w:val="28"/>
        </w:rPr>
        <w:t>„</w:t>
      </w:r>
      <w:r>
        <w:rPr>
          <w:sz w:val="28"/>
        </w:rPr>
        <w:t xml:space="preserve">Šo noteikumu 19.punktā minēto lēmumu aģentūra ne vēlāk kā nākamajā darbdienā pēc tā pieņemšanas </w:t>
      </w:r>
      <w:proofErr w:type="spellStart"/>
      <w:r>
        <w:rPr>
          <w:sz w:val="28"/>
        </w:rPr>
        <w:t>nosūta</w:t>
      </w:r>
      <w:proofErr w:type="spellEnd"/>
      <w:r>
        <w:rPr>
          <w:sz w:val="28"/>
        </w:rPr>
        <w:t xml:space="preserve"> iesniedzējam uz oficiālo elektronisko adresi, ja iesniedzējam ir aktivizēts e-adreses konts, vai </w:t>
      </w:r>
      <w:proofErr w:type="spellStart"/>
      <w:r>
        <w:rPr>
          <w:sz w:val="28"/>
        </w:rPr>
        <w:t>nosūta</w:t>
      </w:r>
      <w:proofErr w:type="spellEnd"/>
      <w:r>
        <w:rPr>
          <w:sz w:val="28"/>
        </w:rPr>
        <w:t xml:space="preserve"> pa pastu vai izsniedz personīgi iesniedzējam, ja iesniedzējam e-adreses konts nav aktivizēts.”</w:t>
      </w:r>
      <w:r w:rsidR="00E262B3">
        <w:rPr>
          <w:sz w:val="28"/>
        </w:rPr>
        <w:t>;</w:t>
      </w:r>
    </w:p>
    <w:p w:rsidR="00E262B3" w:rsidRDefault="00E262B3" w:rsidP="005825ED">
      <w:pPr>
        <w:jc w:val="both"/>
        <w:rPr>
          <w:sz w:val="28"/>
        </w:rPr>
      </w:pPr>
    </w:p>
    <w:p w:rsidR="00E262B3" w:rsidRDefault="00E262B3" w:rsidP="005825ED">
      <w:pPr>
        <w:jc w:val="both"/>
        <w:rPr>
          <w:sz w:val="28"/>
        </w:rPr>
      </w:pPr>
      <w:r>
        <w:rPr>
          <w:sz w:val="28"/>
        </w:rPr>
        <w:t xml:space="preserve">2. </w:t>
      </w:r>
      <w:r w:rsidR="00BD4F8B">
        <w:rPr>
          <w:sz w:val="28"/>
        </w:rPr>
        <w:t>aizst</w:t>
      </w:r>
      <w:r w:rsidR="00BD4F8B">
        <w:rPr>
          <w:sz w:val="28"/>
        </w:rPr>
        <w:t>āt 53.punktā vārdus un skaitli „</w:t>
      </w:r>
      <w:r w:rsidR="00BD4F8B">
        <w:rPr>
          <w:sz w:val="28"/>
        </w:rPr>
        <w:t xml:space="preserve">minēto lēmumu 10 dienu laikā pa faksu un elektronisko pastu (ja elektroniskā pasta adrese ir norādīta iesniegumā) </w:t>
      </w:r>
      <w:proofErr w:type="spellStart"/>
      <w:r w:rsidR="00BD4F8B">
        <w:rPr>
          <w:sz w:val="28"/>
        </w:rPr>
        <w:t>nosūta</w:t>
      </w:r>
      <w:proofErr w:type="spellEnd"/>
      <w:r w:rsidR="00BD4F8B">
        <w:rPr>
          <w:sz w:val="28"/>
        </w:rPr>
        <w:t xml:space="preserve"> iesni</w:t>
      </w:r>
      <w:r w:rsidR="00871F85">
        <w:rPr>
          <w:sz w:val="28"/>
        </w:rPr>
        <w:t>edzējam” ar vārdiem un skaitli „</w:t>
      </w:r>
      <w:r w:rsidR="00BD4F8B">
        <w:rPr>
          <w:sz w:val="28"/>
        </w:rPr>
        <w:t xml:space="preserve">minēto lēmumu 10 dienu laikā </w:t>
      </w:r>
      <w:proofErr w:type="spellStart"/>
      <w:r w:rsidR="00BD4F8B">
        <w:rPr>
          <w:sz w:val="28"/>
        </w:rPr>
        <w:t>nosūta</w:t>
      </w:r>
      <w:proofErr w:type="spellEnd"/>
      <w:r w:rsidR="00BD4F8B">
        <w:rPr>
          <w:sz w:val="28"/>
        </w:rPr>
        <w:t xml:space="preserve"> iesniedzējam uz oficiālo elektronisko adresi, ja iesniedzējam ir aktivizēts e-adreses konts, vai pa faksu vai uz iesniegumā norādīto elektroniskā pasta adresi, ja iesniedzējam e-adreses konts nav aktivizēts.</w:t>
      </w:r>
      <w:r w:rsidR="00BD4F8B">
        <w:rPr>
          <w:sz w:val="28"/>
        </w:rPr>
        <w:t>”</w:t>
      </w:r>
      <w:r>
        <w:rPr>
          <w:sz w:val="28"/>
        </w:rPr>
        <w:t>;</w:t>
      </w:r>
    </w:p>
    <w:p w:rsidR="00E262B3" w:rsidRDefault="00E262B3" w:rsidP="005825ED">
      <w:pPr>
        <w:jc w:val="both"/>
        <w:rPr>
          <w:sz w:val="28"/>
        </w:rPr>
      </w:pPr>
    </w:p>
    <w:p w:rsidR="001E41EC" w:rsidRDefault="001E41EC" w:rsidP="001E41EC">
      <w:pPr>
        <w:jc w:val="both"/>
        <w:rPr>
          <w:sz w:val="28"/>
        </w:rPr>
      </w:pPr>
      <w:r>
        <w:rPr>
          <w:sz w:val="28"/>
        </w:rPr>
        <w:t xml:space="preserve">3. </w:t>
      </w:r>
      <w:r w:rsidR="00BD4F8B">
        <w:rPr>
          <w:sz w:val="28"/>
        </w:rPr>
        <w:t>aizstāt 5</w:t>
      </w:r>
      <w:r w:rsidR="00BD4F8B">
        <w:rPr>
          <w:sz w:val="28"/>
        </w:rPr>
        <w:t>7</w:t>
      </w:r>
      <w:r w:rsidR="00871F85">
        <w:rPr>
          <w:sz w:val="28"/>
        </w:rPr>
        <w:t>.punktā vārdus „</w:t>
      </w:r>
      <w:r w:rsidR="00871F85" w:rsidRPr="00871F85">
        <w:rPr>
          <w:sz w:val="28"/>
        </w:rPr>
        <w:t xml:space="preserve">lēmumu </w:t>
      </w:r>
      <w:proofErr w:type="spellStart"/>
      <w:r w:rsidR="00871F85" w:rsidRPr="00871F85">
        <w:rPr>
          <w:sz w:val="28"/>
        </w:rPr>
        <w:t>nosūta</w:t>
      </w:r>
      <w:proofErr w:type="spellEnd"/>
      <w:r w:rsidR="00871F85" w:rsidRPr="00871F85">
        <w:rPr>
          <w:sz w:val="28"/>
        </w:rPr>
        <w:t xml:space="preserve"> pa faksu un elektronisko pastu (ja elektroniskā pasta adrese ir norādīta iesniegumā)</w:t>
      </w:r>
      <w:r w:rsidR="00871F85">
        <w:rPr>
          <w:sz w:val="28"/>
        </w:rPr>
        <w:t xml:space="preserve">” ar vārdiem „lēmumu </w:t>
      </w:r>
      <w:proofErr w:type="spellStart"/>
      <w:r w:rsidR="00871F85">
        <w:rPr>
          <w:sz w:val="28"/>
        </w:rPr>
        <w:t>nosūta</w:t>
      </w:r>
      <w:proofErr w:type="spellEnd"/>
      <w:r w:rsidR="00BD4F8B">
        <w:rPr>
          <w:sz w:val="28"/>
        </w:rPr>
        <w:t xml:space="preserve"> uz oficiālo elektronisko adresi, ja </w:t>
      </w:r>
      <w:r w:rsidR="00871F85">
        <w:rPr>
          <w:sz w:val="28"/>
        </w:rPr>
        <w:t>licences turētājam</w:t>
      </w:r>
      <w:r w:rsidR="00BD4F8B">
        <w:rPr>
          <w:sz w:val="28"/>
        </w:rPr>
        <w:t xml:space="preserve"> ir aktivizēts e-adreses konts, vai pa faksu vai uz iesniegumā norādīto elektroniskā pasta adresi, ja </w:t>
      </w:r>
      <w:r w:rsidR="00871F85">
        <w:rPr>
          <w:sz w:val="28"/>
        </w:rPr>
        <w:t>licences turētājam</w:t>
      </w:r>
      <w:r w:rsidR="00BD4F8B">
        <w:rPr>
          <w:sz w:val="28"/>
        </w:rPr>
        <w:t xml:space="preserve"> e-adreses konts nav aktivizēts.”.</w:t>
      </w:r>
    </w:p>
    <w:p w:rsidR="00E262B3" w:rsidRPr="00C514FD" w:rsidRDefault="00E262B3" w:rsidP="005825ED">
      <w:pPr>
        <w:jc w:val="both"/>
        <w:rPr>
          <w:sz w:val="28"/>
          <w:szCs w:val="28"/>
        </w:rPr>
      </w:pPr>
    </w:p>
    <w:p w:rsidR="006457F2" w:rsidRPr="00C514FD" w:rsidRDefault="006457F2" w:rsidP="005825ED">
      <w:pPr>
        <w:jc w:val="both"/>
        <w:rPr>
          <w:sz w:val="28"/>
          <w:szCs w:val="28"/>
        </w:rPr>
      </w:pPr>
    </w:p>
    <w:p w:rsidR="00E262B3" w:rsidRPr="00DF115E" w:rsidRDefault="00E262B3" w:rsidP="00E262B3">
      <w:pPr>
        <w:tabs>
          <w:tab w:val="right" w:pos="7088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DF115E">
        <w:rPr>
          <w:rFonts w:eastAsia="Calibri"/>
          <w:sz w:val="28"/>
          <w:szCs w:val="28"/>
          <w:lang w:eastAsia="en-US"/>
        </w:rPr>
        <w:t>Māris Kučinskis</w:t>
      </w:r>
    </w:p>
    <w:p w:rsidR="00E262B3" w:rsidRDefault="00E262B3" w:rsidP="00E262B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>,</w:t>
      </w:r>
    </w:p>
    <w:p w:rsidR="00E262B3" w:rsidRDefault="00E262B3" w:rsidP="00E262B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a pienākumu izpildītājs</w:t>
      </w:r>
      <w:r w:rsidRPr="003842CB">
        <w:rPr>
          <w:rFonts w:eastAsia="Calibri"/>
          <w:sz w:val="28"/>
          <w:szCs w:val="28"/>
        </w:rPr>
        <w:t xml:space="preserve"> </w:t>
      </w:r>
      <w:r w:rsidRPr="003842CB"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  <w:r>
        <w:rPr>
          <w:rFonts w:eastAsia="Calibri"/>
          <w:sz w:val="28"/>
          <w:szCs w:val="28"/>
        </w:rPr>
        <w:tab/>
      </w:r>
    </w:p>
    <w:p w:rsidR="00E262B3" w:rsidRDefault="00E262B3" w:rsidP="00E262B3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E262B3" w:rsidRPr="00AE1554" w:rsidRDefault="00E262B3" w:rsidP="00E262B3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 w:rsidRPr="00AE1554">
        <w:rPr>
          <w:rFonts w:eastAsia="Calibri"/>
          <w:sz w:val="28"/>
          <w:szCs w:val="28"/>
        </w:rPr>
        <w:t>Ministru prezidents,</w:t>
      </w:r>
    </w:p>
    <w:p w:rsidR="00E262B3" w:rsidRDefault="00E262B3" w:rsidP="00E262B3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veselības ministra pienākumu izpildītājs</w:t>
      </w:r>
      <w:r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</w:p>
    <w:p w:rsidR="00E262B3" w:rsidRPr="00AB0C46" w:rsidRDefault="00E262B3" w:rsidP="00E262B3">
      <w:pPr>
        <w:tabs>
          <w:tab w:val="left" w:pos="7230"/>
          <w:tab w:val="right" w:pos="9072"/>
        </w:tabs>
        <w:spacing w:before="240"/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</w:t>
      </w:r>
      <w:bookmarkStart w:id="1" w:name="_GoBack"/>
      <w:bookmarkEnd w:id="1"/>
      <w:r w:rsidRPr="009C25C1">
        <w:rPr>
          <w:rFonts w:eastAsia="Calibri"/>
          <w:sz w:val="28"/>
          <w:szCs w:val="28"/>
        </w:rPr>
        <w:t>ār</w:t>
      </w:r>
      <w:r>
        <w:rPr>
          <w:rFonts w:eastAsia="Calibri"/>
          <w:sz w:val="28"/>
          <w:szCs w:val="28"/>
        </w:rPr>
        <w:t xml:space="preserve">s                                                     </w:t>
      </w:r>
      <w:r>
        <w:rPr>
          <w:rFonts w:eastAsia="Calibri"/>
          <w:sz w:val="28"/>
          <w:szCs w:val="28"/>
        </w:rPr>
        <w:tab/>
        <w:t>Aivars Lapiņš</w:t>
      </w:r>
    </w:p>
    <w:p w:rsidR="006E083B" w:rsidRPr="00BE5ABD" w:rsidRDefault="006E083B" w:rsidP="00E262B3">
      <w:pPr>
        <w:tabs>
          <w:tab w:val="right" w:pos="7088"/>
        </w:tabs>
        <w:spacing w:after="480"/>
        <w:ind w:right="-766"/>
        <w:rPr>
          <w:szCs w:val="28"/>
        </w:rPr>
      </w:pPr>
    </w:p>
    <w:sectPr w:rsidR="006E083B" w:rsidRPr="00BE5AB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ED" w:rsidRDefault="005825ED">
      <w:r>
        <w:separator/>
      </w:r>
    </w:p>
  </w:endnote>
  <w:endnote w:type="continuationSeparator" w:id="0">
    <w:p w:rsidR="005825ED" w:rsidRDefault="0058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ED" w:rsidRPr="00DF13B0" w:rsidRDefault="00DF13B0" w:rsidP="00DF13B0">
    <w:pPr>
      <w:pStyle w:val="Footer"/>
    </w:pPr>
    <w:r>
      <w:rPr>
        <w:sz w:val="20"/>
        <w:szCs w:val="20"/>
      </w:rPr>
      <w:t>VMnot_010318_groz_800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ED" w:rsidRPr="009F3EFB" w:rsidRDefault="005825ED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E5076F">
      <w:rPr>
        <w:sz w:val="20"/>
        <w:szCs w:val="20"/>
      </w:rPr>
      <w:t>0103</w:t>
    </w:r>
    <w:r w:rsidR="00E262B3">
      <w:rPr>
        <w:sz w:val="20"/>
        <w:szCs w:val="20"/>
      </w:rPr>
      <w:t>18</w:t>
    </w:r>
    <w:r>
      <w:rPr>
        <w:sz w:val="20"/>
        <w:szCs w:val="20"/>
      </w:rPr>
      <w:t>_groz_</w:t>
    </w:r>
    <w:r w:rsidR="00E262B3">
      <w:rPr>
        <w:sz w:val="20"/>
        <w:szCs w:val="20"/>
      </w:rPr>
      <w:t>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ED" w:rsidRDefault="005825ED">
      <w:r>
        <w:separator/>
      </w:r>
    </w:p>
  </w:footnote>
  <w:footnote w:type="continuationSeparator" w:id="0">
    <w:p w:rsidR="005825ED" w:rsidRDefault="0058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25ED" w:rsidRDefault="00C00F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5ED" w:rsidRDefault="005825ED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2DE8"/>
    <w:multiLevelType w:val="multilevel"/>
    <w:tmpl w:val="AD1EC9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5C0"/>
    <w:rsid w:val="001D31F3"/>
    <w:rsid w:val="001D7F58"/>
    <w:rsid w:val="001E41EC"/>
    <w:rsid w:val="001E7CF0"/>
    <w:rsid w:val="001F12D5"/>
    <w:rsid w:val="002040C5"/>
    <w:rsid w:val="00213F26"/>
    <w:rsid w:val="00216C6D"/>
    <w:rsid w:val="002324E9"/>
    <w:rsid w:val="00240843"/>
    <w:rsid w:val="00242C98"/>
    <w:rsid w:val="00291A7E"/>
    <w:rsid w:val="00294ED1"/>
    <w:rsid w:val="002A72A1"/>
    <w:rsid w:val="002B1439"/>
    <w:rsid w:val="002B2635"/>
    <w:rsid w:val="002C51C0"/>
    <w:rsid w:val="002D5D3B"/>
    <w:rsid w:val="002D5FC0"/>
    <w:rsid w:val="002F09CE"/>
    <w:rsid w:val="002F71E6"/>
    <w:rsid w:val="003460CE"/>
    <w:rsid w:val="003461B0"/>
    <w:rsid w:val="003657FB"/>
    <w:rsid w:val="003679DA"/>
    <w:rsid w:val="00370725"/>
    <w:rsid w:val="003732DE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D66C8"/>
    <w:rsid w:val="004E3E9C"/>
    <w:rsid w:val="004E5A1D"/>
    <w:rsid w:val="004E74DA"/>
    <w:rsid w:val="005003A0"/>
    <w:rsid w:val="00523B02"/>
    <w:rsid w:val="005256C0"/>
    <w:rsid w:val="00537199"/>
    <w:rsid w:val="0055244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10E8F"/>
    <w:rsid w:val="00615BB4"/>
    <w:rsid w:val="00622155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1F85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B568A"/>
    <w:rsid w:val="00BC4543"/>
    <w:rsid w:val="00BD4F8B"/>
    <w:rsid w:val="00BD688C"/>
    <w:rsid w:val="00BE301F"/>
    <w:rsid w:val="00C00364"/>
    <w:rsid w:val="00C00A8E"/>
    <w:rsid w:val="00C00FA3"/>
    <w:rsid w:val="00C1655D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115E"/>
    <w:rsid w:val="00DF13B0"/>
    <w:rsid w:val="00E05E87"/>
    <w:rsid w:val="00E25C04"/>
    <w:rsid w:val="00E262B3"/>
    <w:rsid w:val="00E36A1B"/>
    <w:rsid w:val="00E43197"/>
    <w:rsid w:val="00E5076F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074B7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FF2C1B"/>
  <w15:docId w15:val="{6D229AF8-A71B-4A11-A489-9325110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962F-4C73-474D-BA5B-3D0EF67A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19.oktobra noteikumos Nr.800 „Farmaceitiskās darbības licencēšanas kārtība”</vt:lpstr>
    </vt:vector>
  </TitlesOfParts>
  <Company>Veselības ministrija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19.oktobra noteikumos Nr.800 „Farmaceitiskās darbības licencēšanas kārtība”</dc:title>
  <dc:subject>Noteikumu projekts</dc:subject>
  <dc:creator>Ilze Šķiņķe</dc:creator>
  <dc:description>67876077, ilze.skinke@vm.gov.lv</dc:description>
  <cp:lastModifiedBy>Ilze Šķiņķe</cp:lastModifiedBy>
  <cp:revision>6</cp:revision>
  <cp:lastPrinted>2016-11-07T06:18:00Z</cp:lastPrinted>
  <dcterms:created xsi:type="dcterms:W3CDTF">2017-10-02T10:15:00Z</dcterms:created>
  <dcterms:modified xsi:type="dcterms:W3CDTF">2018-03-01T08:12:00Z</dcterms:modified>
</cp:coreProperties>
</file>