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24B71" w:rsidP="00F24B71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Projekts</w:t>
      </w:r>
    </w:p>
    <w:p w:rsidR="00F24B71" w:rsidRPr="00F24B71" w:rsidP="00F24B71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F24B71" w:rsidP="000A4262">
      <w:pPr>
        <w:tabs>
          <w:tab w:val="left" w:pos="6840"/>
          <w:tab w:val="right" w:pos="9000"/>
        </w:tabs>
        <w:rPr>
          <w:sz w:val="28"/>
        </w:rPr>
      </w:pPr>
    </w:p>
    <w:p w:rsidR="0062120E" w:rsidRPr="00DD4660" w:rsidP="000A4262">
      <w:pPr>
        <w:tabs>
          <w:tab w:val="left" w:pos="6840"/>
          <w:tab w:val="right" w:pos="9000"/>
        </w:tabs>
        <w:rPr>
          <w:sz w:val="28"/>
        </w:rPr>
      </w:pPr>
      <w:r w:rsidRPr="00DD4660">
        <w:rPr>
          <w:sz w:val="28"/>
        </w:rPr>
        <w:t>201</w:t>
      </w:r>
      <w:r w:rsidRPr="00DD4660" w:rsidR="00F704BD">
        <w:rPr>
          <w:sz w:val="28"/>
        </w:rPr>
        <w:t>8</w:t>
      </w:r>
      <w:r w:rsidRPr="00DD4660">
        <w:rPr>
          <w:sz w:val="28"/>
        </w:rPr>
        <w:t>.</w:t>
      </w:r>
      <w:r w:rsidRPr="00DD4660" w:rsidR="00756D3D">
        <w:rPr>
          <w:sz w:val="28"/>
        </w:rPr>
        <w:t xml:space="preserve"> </w:t>
      </w:r>
      <w:r w:rsidRPr="00DD4660">
        <w:rPr>
          <w:sz w:val="28"/>
        </w:rPr>
        <w:t>gada ___. ________</w:t>
      </w:r>
      <w:r w:rsidRPr="00DD4660">
        <w:rPr>
          <w:sz w:val="28"/>
        </w:rPr>
        <w:tab/>
        <w:t>Noteikumi Nr.____</w:t>
      </w:r>
    </w:p>
    <w:p w:rsidR="0062120E" w:rsidRPr="00DD4660" w:rsidP="000A4262">
      <w:pPr>
        <w:tabs>
          <w:tab w:val="left" w:pos="6840"/>
          <w:tab w:val="right" w:pos="9000"/>
        </w:tabs>
        <w:rPr>
          <w:sz w:val="28"/>
        </w:rPr>
      </w:pPr>
      <w:r w:rsidRPr="00DD4660">
        <w:rPr>
          <w:sz w:val="28"/>
        </w:rPr>
        <w:t>Rīgā</w:t>
      </w:r>
      <w:r w:rsidRPr="00DD4660">
        <w:rPr>
          <w:sz w:val="28"/>
        </w:rPr>
        <w:tab/>
        <w:t>(prot. Nr. ___ __.§)</w:t>
      </w:r>
    </w:p>
    <w:p w:rsidR="0062120E" w:rsidP="000A4262">
      <w:pPr>
        <w:jc w:val="both"/>
        <w:rPr>
          <w:rStyle w:val="Strong"/>
          <w:b w:val="0"/>
          <w:bCs w:val="0"/>
          <w:sz w:val="28"/>
        </w:rPr>
      </w:pPr>
    </w:p>
    <w:p w:rsidR="00010120" w:rsidRPr="00DD4660" w:rsidP="000A4262">
      <w:pPr>
        <w:jc w:val="both"/>
        <w:rPr>
          <w:rStyle w:val="Strong"/>
          <w:b w:val="0"/>
          <w:bCs w:val="0"/>
          <w:sz w:val="28"/>
        </w:rPr>
      </w:pPr>
    </w:p>
    <w:p w:rsidR="0062120E" w:rsidRPr="00DD4660" w:rsidP="00010120">
      <w:pPr>
        <w:jc w:val="center"/>
        <w:rPr>
          <w:b/>
          <w:sz w:val="32"/>
        </w:rPr>
      </w:pPr>
      <w:r w:rsidRPr="00010120">
        <w:rPr>
          <w:b/>
          <w:sz w:val="28"/>
        </w:rPr>
        <w:t>Grozījumi Ministru kabineta 2011.</w:t>
      </w:r>
      <w:r>
        <w:rPr>
          <w:b/>
          <w:sz w:val="28"/>
        </w:rPr>
        <w:t xml:space="preserve"> </w:t>
      </w:r>
      <w:r w:rsidRPr="00010120">
        <w:rPr>
          <w:b/>
          <w:sz w:val="28"/>
        </w:rPr>
        <w:t xml:space="preserve">gada 19. oktobra noteikumos Nr. </w:t>
      </w:r>
      <w:r w:rsidR="00F24B71">
        <w:rPr>
          <w:b/>
          <w:sz w:val="28"/>
        </w:rPr>
        <w:t>820 „Dopinga kontroles kārtība”</w:t>
      </w:r>
    </w:p>
    <w:p w:rsidR="0062120E" w:rsidRPr="00DD4660" w:rsidP="000A4262">
      <w:pPr>
        <w:jc w:val="right"/>
        <w:rPr>
          <w:sz w:val="28"/>
        </w:rPr>
      </w:pPr>
    </w:p>
    <w:p w:rsidR="0062120E" w:rsidRPr="00DD4660" w:rsidP="000A4262">
      <w:pPr>
        <w:jc w:val="right"/>
        <w:rPr>
          <w:sz w:val="28"/>
        </w:rPr>
      </w:pPr>
      <w:r w:rsidRPr="00DD4660">
        <w:rPr>
          <w:sz w:val="28"/>
        </w:rPr>
        <w:t>Izdoti saskaņā ar Sporta likuma</w:t>
      </w:r>
    </w:p>
    <w:p w:rsidR="0062120E" w:rsidRPr="00DD4660" w:rsidP="000A4262">
      <w:pPr>
        <w:jc w:val="right"/>
        <w:rPr>
          <w:sz w:val="28"/>
        </w:rPr>
      </w:pPr>
      <w:r w:rsidRPr="00DD4660">
        <w:rPr>
          <w:sz w:val="28"/>
        </w:rPr>
        <w:t>6. panta piektās daļas 4. punktu</w:t>
      </w:r>
    </w:p>
    <w:p w:rsidR="0062120E" w:rsidRPr="00DD4660" w:rsidP="000A4262">
      <w:pPr>
        <w:ind w:firstLine="720"/>
        <w:jc w:val="both"/>
        <w:rPr>
          <w:sz w:val="28"/>
        </w:rPr>
      </w:pPr>
    </w:p>
    <w:p w:rsidR="0062120E" w:rsidRPr="00DD4660" w:rsidP="000A4262">
      <w:pPr>
        <w:ind w:firstLine="720"/>
        <w:jc w:val="both"/>
        <w:rPr>
          <w:sz w:val="28"/>
        </w:rPr>
      </w:pPr>
    </w:p>
    <w:p w:rsidR="0062120E" w:rsidRPr="00DD4660" w:rsidP="00BA484E">
      <w:pPr>
        <w:pStyle w:val="NoSpacing"/>
        <w:jc w:val="both"/>
        <w:rPr>
          <w:sz w:val="28"/>
        </w:rPr>
      </w:pPr>
      <w:r w:rsidRPr="00DD4660">
        <w:rPr>
          <w:sz w:val="28"/>
        </w:rPr>
        <w:t>Izdarīt Ministru kabineta 2011. gada 19. oktobra noteikumos Nr. 820 „Dopinga kontroles kārtība” (Latvijas Vēstnesis, 2011, 169.</w:t>
      </w:r>
      <w:r w:rsidR="0075383B">
        <w:rPr>
          <w:sz w:val="28"/>
        </w:rPr>
        <w:t xml:space="preserve"> </w:t>
      </w:r>
      <w:r w:rsidRPr="00DD4660">
        <w:rPr>
          <w:sz w:val="28"/>
        </w:rPr>
        <w:t>nr.; 2013, 27.</w:t>
      </w:r>
      <w:r w:rsidR="0075383B">
        <w:rPr>
          <w:sz w:val="28"/>
        </w:rPr>
        <w:t xml:space="preserve"> </w:t>
      </w:r>
      <w:r w:rsidRPr="00DD4660">
        <w:rPr>
          <w:sz w:val="28"/>
        </w:rPr>
        <w:t>nr.; 2014, 21.</w:t>
      </w:r>
      <w:r w:rsidR="0075383B">
        <w:rPr>
          <w:sz w:val="28"/>
        </w:rPr>
        <w:t xml:space="preserve"> </w:t>
      </w:r>
      <w:r w:rsidR="0009725A">
        <w:rPr>
          <w:sz w:val="28"/>
        </w:rPr>
        <w:t>nr.</w:t>
      </w:r>
      <w:r w:rsidRPr="00DD4660">
        <w:rPr>
          <w:sz w:val="28"/>
        </w:rPr>
        <w:t>, 205.</w:t>
      </w:r>
      <w:r w:rsidR="0075383B">
        <w:rPr>
          <w:sz w:val="28"/>
        </w:rPr>
        <w:t xml:space="preserve"> </w:t>
      </w:r>
      <w:r w:rsidRPr="00DD4660">
        <w:rPr>
          <w:sz w:val="28"/>
        </w:rPr>
        <w:t>nr.</w:t>
      </w:r>
      <w:r w:rsidR="0009725A">
        <w:rPr>
          <w:sz w:val="28"/>
        </w:rPr>
        <w:t>;</w:t>
      </w:r>
      <w:r w:rsidRPr="00DD4660" w:rsidR="00F704BD">
        <w:rPr>
          <w:sz w:val="28"/>
        </w:rPr>
        <w:t xml:space="preserve"> 2015, 96. nr.; 2016, 44. nr.; 2017, </w:t>
      </w:r>
      <w:r w:rsidRPr="00DD4660" w:rsidR="00BA484E">
        <w:rPr>
          <w:sz w:val="28"/>
        </w:rPr>
        <w:t>56. nr.</w:t>
      </w:r>
      <w:r w:rsidRPr="00DD4660">
        <w:rPr>
          <w:sz w:val="28"/>
        </w:rPr>
        <w:t xml:space="preserve">) </w:t>
      </w:r>
      <w:r w:rsidRPr="00DD4660" w:rsidR="00994479">
        <w:rPr>
          <w:sz w:val="28"/>
        </w:rPr>
        <w:t xml:space="preserve">šādus </w:t>
      </w:r>
      <w:r w:rsidRPr="00DD4660">
        <w:rPr>
          <w:sz w:val="28"/>
        </w:rPr>
        <w:t>grozījumu</w:t>
      </w:r>
      <w:r w:rsidRPr="00DD4660" w:rsidR="00994479">
        <w:rPr>
          <w:sz w:val="28"/>
        </w:rPr>
        <w:t>s</w:t>
      </w:r>
      <w:r w:rsidRPr="00DD4660" w:rsidR="00C61DD3">
        <w:rPr>
          <w:sz w:val="28"/>
        </w:rPr>
        <w:t xml:space="preserve">: </w:t>
      </w:r>
    </w:p>
    <w:p w:rsidR="00495040" w:rsidRPr="00DD4660" w:rsidP="00BA484E">
      <w:pPr>
        <w:rPr>
          <w:sz w:val="28"/>
        </w:rPr>
      </w:pPr>
    </w:p>
    <w:p w:rsidR="00C61DD3" w:rsidRPr="00DD4660" w:rsidP="00C61DD3">
      <w:pPr>
        <w:pStyle w:val="ListParagraph"/>
        <w:numPr>
          <w:ilvl w:val="0"/>
          <w:numId w:val="8"/>
        </w:numPr>
        <w:rPr>
          <w:sz w:val="28"/>
        </w:rPr>
      </w:pPr>
      <w:r w:rsidRPr="00DD4660">
        <w:rPr>
          <w:sz w:val="28"/>
        </w:rPr>
        <w:t>Aizstāt 51.</w:t>
      </w:r>
      <w:r w:rsidRPr="00DD4660">
        <w:rPr>
          <w:sz w:val="28"/>
          <w:vertAlign w:val="superscript"/>
        </w:rPr>
        <w:t>2</w:t>
      </w:r>
      <w:r w:rsidRPr="00DD4660">
        <w:rPr>
          <w:sz w:val="28"/>
        </w:rPr>
        <w:t> punktā vārdus un skaitļus “šā pielikuma 8., 9., 10., 11., 12. un 13.</w:t>
      </w:r>
      <w:r w:rsidR="004D1146">
        <w:rPr>
          <w:sz w:val="28"/>
        </w:rPr>
        <w:t xml:space="preserve"> </w:t>
      </w:r>
      <w:r w:rsidRPr="00DD4660">
        <w:rPr>
          <w:sz w:val="28"/>
        </w:rPr>
        <w:t>punktā minētās vielas” ar vārdiem un skaitļiem “šā pielikuma 8., 9., 10., 11. un 12.</w:t>
      </w:r>
      <w:r w:rsidR="004D1146">
        <w:rPr>
          <w:sz w:val="28"/>
        </w:rPr>
        <w:t xml:space="preserve"> </w:t>
      </w:r>
      <w:r w:rsidRPr="00DD4660">
        <w:rPr>
          <w:sz w:val="28"/>
        </w:rPr>
        <w:t xml:space="preserve">punktā minētās vielas”. </w:t>
      </w:r>
    </w:p>
    <w:p w:rsidR="00B91EE9" w:rsidRPr="00DD4660" w:rsidP="00BA484E">
      <w:pPr>
        <w:rPr>
          <w:sz w:val="28"/>
        </w:rPr>
      </w:pPr>
    </w:p>
    <w:p w:rsidR="00994479" w:rsidRPr="00DD4660" w:rsidP="00C61DD3">
      <w:pPr>
        <w:pStyle w:val="ListParagraph"/>
        <w:numPr>
          <w:ilvl w:val="0"/>
          <w:numId w:val="8"/>
        </w:numPr>
        <w:rPr>
          <w:sz w:val="28"/>
        </w:rPr>
      </w:pPr>
      <w:r w:rsidRPr="00DD4660">
        <w:rPr>
          <w:sz w:val="28"/>
        </w:rPr>
        <w:t xml:space="preserve">Izteikt 1. pielikumu šādā redakcijā: </w:t>
      </w:r>
    </w:p>
    <w:p w:rsidR="0062120E" w:rsidRPr="00DD4660" w:rsidP="00E72F09">
      <w:pPr>
        <w:jc w:val="right"/>
        <w:rPr>
          <w:sz w:val="28"/>
        </w:rPr>
      </w:pPr>
      <w:r w:rsidRPr="00DD4660">
        <w:rPr>
          <w:sz w:val="28"/>
        </w:rPr>
        <w:t xml:space="preserve">„1. pielikums </w:t>
      </w:r>
      <w:r w:rsidRPr="00DD4660">
        <w:rPr>
          <w:sz w:val="28"/>
        </w:rPr>
        <w:br/>
        <w:t xml:space="preserve">Ministru kabineta </w:t>
      </w:r>
    </w:p>
    <w:p w:rsidR="00672051" w:rsidRPr="00DD4660" w:rsidP="00E72F09">
      <w:pPr>
        <w:jc w:val="right"/>
        <w:rPr>
          <w:sz w:val="28"/>
        </w:rPr>
      </w:pPr>
      <w:r w:rsidRPr="00DD4660">
        <w:rPr>
          <w:sz w:val="28"/>
        </w:rPr>
        <w:t xml:space="preserve">2011. gada 19. oktobra </w:t>
      </w:r>
    </w:p>
    <w:p w:rsidR="0062120E" w:rsidRPr="00DD4660" w:rsidP="00E72F09">
      <w:pPr>
        <w:jc w:val="right"/>
        <w:rPr>
          <w:sz w:val="28"/>
        </w:rPr>
      </w:pPr>
      <w:r w:rsidRPr="00DD4660">
        <w:rPr>
          <w:sz w:val="28"/>
        </w:rPr>
        <w:t>noteikumiem Nr. 820</w:t>
      </w:r>
    </w:p>
    <w:p w:rsidR="0062120E" w:rsidRPr="00DD4660" w:rsidP="00E72F09">
      <w:pPr>
        <w:jc w:val="right"/>
        <w:rPr>
          <w:sz w:val="28"/>
        </w:rPr>
      </w:pPr>
    </w:p>
    <w:p w:rsidR="0062120E" w:rsidRPr="00DD4660" w:rsidP="00E72F09">
      <w:pPr>
        <w:jc w:val="right"/>
        <w:rPr>
          <w:sz w:val="28"/>
        </w:rPr>
      </w:pPr>
    </w:p>
    <w:p w:rsidR="0058141E" w:rsidRPr="00DD4660" w:rsidP="0058141E">
      <w:pPr>
        <w:jc w:val="center"/>
        <w:rPr>
          <w:b/>
          <w:sz w:val="28"/>
        </w:rPr>
      </w:pPr>
      <w:r w:rsidRPr="00DD4660">
        <w:rPr>
          <w:b/>
          <w:sz w:val="28"/>
        </w:rPr>
        <w:t>Aizliegtās dopinga vielas un dopinga metodes</w:t>
      </w:r>
    </w:p>
    <w:p w:rsidR="0058141E" w:rsidRPr="00DD4660" w:rsidP="0058141E">
      <w:pPr>
        <w:jc w:val="both"/>
        <w:rPr>
          <w:sz w:val="28"/>
        </w:rPr>
      </w:pPr>
    </w:p>
    <w:p w:rsidR="00F60B83" w:rsidP="00F60B83">
      <w:pPr>
        <w:shd w:val="clear" w:color="auto" w:fill="FFFFFF"/>
        <w:rPr>
          <w:rFonts w:eastAsia="Times New Roman"/>
          <w:color w:val="000000"/>
        </w:rPr>
      </w:pPr>
      <w:r>
        <w:rPr>
          <w:sz w:val="28"/>
        </w:rPr>
        <w:t>1. S0. NEAPSTIPRINĀTĀ</w:t>
      </w:r>
      <w:r w:rsidRPr="00DD4660" w:rsidR="00C44C44">
        <w:rPr>
          <w:sz w:val="28"/>
        </w:rPr>
        <w:t>S VIELAS</w:t>
      </w:r>
      <w:r w:rsidRPr="00F60B83">
        <w:rPr>
          <w:rFonts w:eastAsia="Times New Roman"/>
          <w:color w:val="000000"/>
        </w:rPr>
        <w:t> </w:t>
      </w:r>
    </w:p>
    <w:p w:rsidR="00F60B83" w:rsidRPr="00F60B83" w:rsidP="00F60B83">
      <w:pPr>
        <w:shd w:val="clear" w:color="auto" w:fill="FFFFFF"/>
        <w:rPr>
          <w:rFonts w:eastAsia="Times New Roman"/>
          <w:color w:val="000000"/>
        </w:rPr>
      </w:pPr>
    </w:p>
    <w:p w:rsidR="00F60B83" w:rsidRPr="00F60B83" w:rsidP="00F60B8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60B83">
        <w:rPr>
          <w:rFonts w:eastAsia="Times New Roman"/>
          <w:color w:val="000000"/>
          <w:sz w:val="28"/>
          <w:szCs w:val="28"/>
        </w:rPr>
        <w:t xml:space="preserve">Jebkura farmakoloģiska viela, kas nav iekļauta citās saraksta grupās  un ko kompetenta veselības nozares valsts institūcija nav apstiprinājusi lietošanai terapeitiskos nolūkos cilvēkiem (piemēram, zāles </w:t>
      </w:r>
      <w:r w:rsidRPr="00F60B83">
        <w:rPr>
          <w:rFonts w:eastAsia="Times New Roman"/>
          <w:color w:val="000000"/>
          <w:sz w:val="28"/>
          <w:szCs w:val="28"/>
        </w:rPr>
        <w:t>pirmsklīniskajā</w:t>
      </w:r>
      <w:r w:rsidRPr="00F60B83">
        <w:rPr>
          <w:rFonts w:eastAsia="Times New Roman"/>
          <w:color w:val="000000"/>
          <w:sz w:val="28"/>
          <w:szCs w:val="28"/>
        </w:rPr>
        <w:t xml:space="preserve"> un klīniskajā izpētes stadijā, </w:t>
      </w:r>
      <w:r w:rsidRPr="00F60B83">
        <w:rPr>
          <w:rFonts w:eastAsia="Times New Roman"/>
          <w:bCs/>
          <w:color w:val="000000"/>
          <w:sz w:val="28"/>
          <w:szCs w:val="28"/>
        </w:rPr>
        <w:t>zāles, kuru izpēte ir pārtraukta vai kuras ir izņemtas no tirgus, dizaina vielas*,</w:t>
      </w:r>
      <w:r w:rsidRPr="00F60B83">
        <w:rPr>
          <w:rFonts w:eastAsia="Times New Roman"/>
          <w:color w:val="000000"/>
          <w:sz w:val="28"/>
          <w:szCs w:val="28"/>
        </w:rPr>
        <w:t> kā arī vielas, ko drīkst izmantot tikai veterinārajā medicīnā), ir vienmēr aizliegta.</w:t>
      </w:r>
    </w:p>
    <w:p w:rsidR="00F60B83" w:rsidRPr="00F60B83" w:rsidP="00F60B8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60B83" w:rsidRPr="00F60B83" w:rsidP="00F60B8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60B83">
        <w:rPr>
          <w:rFonts w:eastAsia="Times New Roman"/>
          <w:color w:val="000000"/>
          <w:sz w:val="28"/>
          <w:szCs w:val="28"/>
        </w:rPr>
        <w:t>*</w:t>
      </w:r>
      <w:r w:rsidR="0095080A">
        <w:rPr>
          <w:rFonts w:eastAsia="Times New Roman"/>
          <w:color w:val="000000"/>
          <w:sz w:val="28"/>
          <w:szCs w:val="28"/>
        </w:rPr>
        <w:t xml:space="preserve"> </w:t>
      </w:r>
      <w:r w:rsidRPr="00F60B83">
        <w:rPr>
          <w:rFonts w:eastAsia="Times New Roman"/>
          <w:color w:val="000000"/>
          <w:sz w:val="28"/>
          <w:szCs w:val="28"/>
        </w:rPr>
        <w:t xml:space="preserve">Dizaina vielas - vielas, kas ir līdzīgas struktūrā vai funkcionāli tām vielām, kas ir </w:t>
      </w:r>
      <w:r w:rsidRPr="00CE130D" w:rsidR="00812F28">
        <w:rPr>
          <w:rFonts w:eastAsia="Times New Roman"/>
          <w:color w:val="000000"/>
          <w:sz w:val="28"/>
          <w:szCs w:val="28"/>
        </w:rPr>
        <w:t>Pasaules Antidopinga kodeksa</w:t>
      </w:r>
      <w:r w:rsidR="00812F28">
        <w:rPr>
          <w:rFonts w:eastAsia="Times New Roman"/>
          <w:color w:val="000000"/>
          <w:sz w:val="28"/>
          <w:szCs w:val="28"/>
        </w:rPr>
        <w:t xml:space="preserve"> </w:t>
      </w:r>
      <w:r w:rsidRPr="00F60B83">
        <w:rPr>
          <w:rFonts w:eastAsia="Times New Roman"/>
          <w:color w:val="000000"/>
          <w:sz w:val="28"/>
          <w:szCs w:val="28"/>
        </w:rPr>
        <w:t>aizliegto vielu sarakstā, un atbilst vismaz diviem no šiem kritērijiem, kas ir aprakstīti Pasaules Antidopinga kodeksā:</w:t>
      </w:r>
    </w:p>
    <w:p w:rsidR="00F60B83" w:rsidRPr="00FE3126" w:rsidP="00815D2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viela vai metode, kuru</w:t>
      </w:r>
      <w:r w:rsidRPr="00FE3126">
        <w:rPr>
          <w:rFonts w:eastAsia="Times New Roman"/>
          <w:color w:val="000000"/>
          <w:sz w:val="28"/>
          <w:szCs w:val="28"/>
        </w:rPr>
        <w:t xml:space="preserve"> lietojot atsevišķi vai kombinācijā ar citām vielām vai metodēm, var uzlabot vai uzlabo sportisko sniegumu;</w:t>
      </w:r>
    </w:p>
    <w:p w:rsidR="00F60B83" w:rsidRPr="00FE3126" w:rsidP="00815D2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viela vai metode, kuras</w:t>
      </w:r>
      <w:r w:rsidRPr="00FE3126">
        <w:rPr>
          <w:rFonts w:eastAsia="Times New Roman"/>
          <w:color w:val="000000"/>
          <w:sz w:val="28"/>
          <w:szCs w:val="28"/>
        </w:rPr>
        <w:t xml:space="preserve"> lietošana rada reālus vai potenciālus draudus sportista veselībai;</w:t>
      </w:r>
    </w:p>
    <w:p w:rsidR="00F60B83" w:rsidRPr="00FE3126" w:rsidP="00815D2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viela vai metode, kuras</w:t>
      </w:r>
      <w:r w:rsidRPr="00FE3126">
        <w:rPr>
          <w:rFonts w:eastAsia="Times New Roman"/>
          <w:color w:val="000000"/>
          <w:sz w:val="28"/>
          <w:szCs w:val="28"/>
        </w:rPr>
        <w:t xml:space="preserve"> lietošana ir pretrunā</w:t>
      </w:r>
      <w:r>
        <w:rPr>
          <w:rFonts w:eastAsia="Times New Roman"/>
          <w:color w:val="000000"/>
          <w:sz w:val="28"/>
          <w:szCs w:val="28"/>
        </w:rPr>
        <w:t xml:space="preserve"> Pasaules</w:t>
      </w:r>
      <w:r w:rsidRPr="00FE3126">
        <w:rPr>
          <w:rFonts w:eastAsia="Times New Roman"/>
          <w:color w:val="000000"/>
          <w:sz w:val="28"/>
          <w:szCs w:val="28"/>
        </w:rPr>
        <w:t xml:space="preserve"> Antidopinga kodeksa ievadā aprakstītajam sportiskajam garam.</w:t>
      </w:r>
    </w:p>
    <w:p w:rsidR="00F60B83" w:rsidRPr="00F60B83" w:rsidP="00F60B8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60B83" w:rsidRPr="00F60B83" w:rsidP="00F60B8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60B83">
        <w:rPr>
          <w:rFonts w:eastAsia="Times New Roman"/>
          <w:color w:val="212121"/>
          <w:sz w:val="28"/>
          <w:szCs w:val="28"/>
          <w:shd w:val="clear" w:color="auto" w:fill="FFFFFF"/>
        </w:rPr>
        <w:t>Attiecībā uz šajā grupā iekļautajām vielām katrs iespējamais antidopinga noteikumu pārkāpuma gadījums tiek izskatīts atsevišķi Pasaules Antidopinga aģentūras Aizliegtā saraksta ekspertu grupā.</w:t>
      </w:r>
    </w:p>
    <w:p w:rsidR="00C44C44" w:rsidRPr="00F60B83" w:rsidP="00C44C44">
      <w:pPr>
        <w:jc w:val="both"/>
        <w:rPr>
          <w:sz w:val="28"/>
          <w:szCs w:val="28"/>
        </w:rPr>
      </w:pPr>
    </w:p>
    <w:p w:rsidR="00C44C44" w:rsidRPr="00F60B83" w:rsidP="00C44C44">
      <w:pPr>
        <w:pStyle w:val="Heading2"/>
        <w:kinsoku w:val="0"/>
        <w:overflowPunct w:val="0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60B83">
        <w:rPr>
          <w:rFonts w:ascii="Times New Roman" w:hAnsi="Times New Roman"/>
          <w:color w:val="auto"/>
          <w:sz w:val="28"/>
          <w:szCs w:val="28"/>
        </w:rPr>
        <w:t>2. S1. ANABOLISKIE LĪDZEKĻI</w:t>
      </w:r>
    </w:p>
    <w:p w:rsidR="00C44C44" w:rsidRPr="00F60B83" w:rsidP="00C44C44">
      <w:pPr>
        <w:jc w:val="both"/>
        <w:rPr>
          <w:sz w:val="28"/>
          <w:szCs w:val="28"/>
        </w:rPr>
      </w:pPr>
    </w:p>
    <w:p w:rsidR="00C44C44" w:rsidRPr="00F60B83" w:rsidP="00C44C44">
      <w:pPr>
        <w:jc w:val="both"/>
        <w:rPr>
          <w:sz w:val="28"/>
          <w:szCs w:val="28"/>
        </w:rPr>
      </w:pPr>
      <w:r w:rsidRPr="00F60B83">
        <w:rPr>
          <w:sz w:val="28"/>
          <w:szCs w:val="28"/>
        </w:rPr>
        <w:t>Anabolisko</w:t>
      </w:r>
      <w:r w:rsidRPr="00F60B83">
        <w:rPr>
          <w:sz w:val="28"/>
          <w:szCs w:val="28"/>
        </w:rPr>
        <w:t xml:space="preserve"> līdzekļu lietošana ir aizliegta.</w:t>
      </w:r>
    </w:p>
    <w:p w:rsidR="00C44C44" w:rsidRPr="00F60B83" w:rsidP="00C44C44">
      <w:pPr>
        <w:jc w:val="both"/>
        <w:rPr>
          <w:sz w:val="28"/>
          <w:szCs w:val="28"/>
        </w:rPr>
      </w:pPr>
    </w:p>
    <w:p w:rsidR="00C44C44" w:rsidRPr="00DD4660" w:rsidP="00C44C44">
      <w:pPr>
        <w:pStyle w:val="Heading3"/>
        <w:widowControl/>
        <w:tabs>
          <w:tab w:val="left" w:pos="323"/>
        </w:tabs>
        <w:kinsoku w:val="0"/>
        <w:overflowPunct w:val="0"/>
        <w:spacing w:before="0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4660">
        <w:rPr>
          <w:rFonts w:ascii="Times New Roman" w:hAnsi="Times New Roman" w:cs="Times New Roman"/>
          <w:b w:val="0"/>
          <w:sz w:val="28"/>
          <w:szCs w:val="24"/>
        </w:rPr>
        <w:t>2.1. ANABOLISKIE ANDROGĒNIE STEROĪDI (AAS)</w:t>
      </w:r>
    </w:p>
    <w:p w:rsidR="00C44C44" w:rsidRPr="00DD4660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2.1.1. Eksogēnie</w:t>
      </w: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anaboliskie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androgēnie</w:t>
      </w:r>
      <w:r w:rsidRPr="00DD4660">
        <w:rPr>
          <w:rFonts w:ascii="Times New Roman" w:hAnsi="Times New Roman" w:cs="Times New Roman"/>
          <w:sz w:val="28"/>
          <w:szCs w:val="24"/>
        </w:rPr>
        <w:t xml:space="preserve"> steroīdi, tostarp šādi:</w:t>
      </w:r>
    </w:p>
    <w:p w:rsidR="00C44C44" w:rsidRPr="00DD4660" w:rsidP="00C44C44">
      <w:pPr>
        <w:jc w:val="both"/>
        <w:rPr>
          <w:sz w:val="28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1-androst</w:t>
      </w:r>
      <w:r w:rsidR="0003415F">
        <w:rPr>
          <w:rFonts w:ascii="Times New Roman" w:hAnsi="Times New Roman" w:cs="Times New Roman"/>
          <w:sz w:val="28"/>
          <w:szCs w:val="24"/>
        </w:rPr>
        <w:t>ē</w:t>
      </w:r>
      <w:r w:rsidRPr="00DD4660">
        <w:rPr>
          <w:rFonts w:ascii="Times New Roman" w:hAnsi="Times New Roman" w:cs="Times New Roman"/>
          <w:sz w:val="28"/>
          <w:szCs w:val="24"/>
        </w:rPr>
        <w:t>ndiols (5α-androst-1-ēn-3β,17β-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1-androstēndions (5α-androst-1-ēn-3,17-dions);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1-androsterons (3α-hidroksi-5α-androst-1-ēn-17-ons);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1-testosterons (17β-hidroksi-5α-androst-1-ēn-3-ons);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4-hidroksitestosterons (4,17β-dihidroksiandrost-4-ēn-3-ons);</w:t>
      </w:r>
    </w:p>
    <w:p w:rsidR="0003415F" w:rsidP="00C44C44">
      <w:pPr>
        <w:pStyle w:val="BodyText"/>
        <w:widowControl/>
        <w:kinsoku w:val="0"/>
        <w:overflowPunct w:val="0"/>
        <w:ind w:left="0" w:hanging="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bolandiols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(estr-4-ēn-3β,17β-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); 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bolasterons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03415F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kalusterons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; </w:t>
      </w:r>
      <w:bookmarkStart w:id="0" w:name="_GoBack"/>
      <w:bookmarkEnd w:id="0"/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klostebols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danazols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([1,2]</w:t>
      </w:r>
      <w:r w:rsidRPr="00DD4660">
        <w:rPr>
          <w:rFonts w:ascii="Times New Roman" w:hAnsi="Times New Roman" w:cs="Times New Roman"/>
          <w:sz w:val="28"/>
          <w:szCs w:val="24"/>
        </w:rPr>
        <w:t>oksazol</w:t>
      </w:r>
      <w:r w:rsidRPr="00DD4660">
        <w:rPr>
          <w:rFonts w:ascii="Times New Roman" w:hAnsi="Times New Roman" w:cs="Times New Roman"/>
          <w:sz w:val="28"/>
          <w:szCs w:val="24"/>
        </w:rPr>
        <w:t>[4’,5’:2,3]pregna-4-ēn-20-in-17α-</w:t>
      </w:r>
      <w:r w:rsidRPr="00DD4660">
        <w:rPr>
          <w:rFonts w:ascii="Times New Roman" w:hAnsi="Times New Roman" w:cs="Times New Roman"/>
          <w:sz w:val="28"/>
          <w:szCs w:val="24"/>
        </w:rPr>
        <w:t>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); 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dehidrohlormetiltestosterons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(4-hlor-17β-hidroksi-17α-metilandrosta-1,4-diēn-3-ons); 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dezoksimetiltestosterons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(17α-metil-5α-androst-2-ēn-17β-</w:t>
      </w:r>
      <w:r w:rsidRPr="00DD4660">
        <w:rPr>
          <w:rFonts w:ascii="Times New Roman" w:hAnsi="Times New Roman" w:cs="Times New Roman"/>
          <w:sz w:val="28"/>
          <w:szCs w:val="24"/>
        </w:rPr>
        <w:t>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); 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drostanolons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etilestrenols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(19-norpregna-4-ēn-17α-</w:t>
      </w:r>
      <w:r w:rsidRPr="00DD4660">
        <w:rPr>
          <w:rFonts w:ascii="Times New Roman" w:hAnsi="Times New Roman" w:cs="Times New Roman"/>
          <w:sz w:val="28"/>
          <w:szCs w:val="24"/>
        </w:rPr>
        <w:t>ols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fluoksimesterons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formebolons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furazabols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(17α- metil[1,2,5]</w:t>
      </w:r>
      <w:r w:rsidRPr="00DD4660">
        <w:rPr>
          <w:rFonts w:ascii="Times New Roman" w:hAnsi="Times New Roman" w:cs="Times New Roman"/>
          <w:sz w:val="28"/>
          <w:szCs w:val="24"/>
        </w:rPr>
        <w:t>oksadiazol</w:t>
      </w:r>
      <w:r w:rsidRPr="00DD4660">
        <w:rPr>
          <w:rFonts w:ascii="Times New Roman" w:hAnsi="Times New Roman" w:cs="Times New Roman"/>
          <w:sz w:val="28"/>
          <w:szCs w:val="24"/>
        </w:rPr>
        <w:t>[3',4':2,3]-5α-androstān-17β-</w:t>
      </w:r>
      <w:r w:rsidRPr="00DD4660">
        <w:rPr>
          <w:rFonts w:ascii="Times New Roman" w:hAnsi="Times New Roman" w:cs="Times New Roman"/>
          <w:sz w:val="28"/>
          <w:szCs w:val="24"/>
        </w:rPr>
        <w:t>ols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gestrinons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mestanolons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mesterolons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metandienons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(17β-hidroksi-17α-metilandrosta-1,4-diēn-3-ons);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metenolons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metandriols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metasterons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(17β-hidroksi-2α,17α-dimetil-5α-androstān-3-ons);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metildi</w:t>
      </w:r>
      <w:r w:rsidR="003D1F60">
        <w:rPr>
          <w:rFonts w:ascii="Times New Roman" w:hAnsi="Times New Roman" w:cs="Times New Roman"/>
          <w:sz w:val="28"/>
          <w:szCs w:val="24"/>
        </w:rPr>
        <w:t>ē</w:t>
      </w:r>
      <w:r w:rsidRPr="00DD4660">
        <w:rPr>
          <w:rFonts w:ascii="Times New Roman" w:hAnsi="Times New Roman" w:cs="Times New Roman"/>
          <w:sz w:val="28"/>
          <w:szCs w:val="24"/>
        </w:rPr>
        <w:t>nolons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(17β-hidroksi-17α-metilestra-4,9-diēn-3-ons);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metil-1-testosterons (17β-hidroksi-17α-metil-5α-androst-1-ēn-3-ons);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metilnortestosterons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(17β-hidroksi-17α-metilestr-4-ēn-3-ons);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metiltestosterons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metribolons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sz w:val="28"/>
          <w:szCs w:val="24"/>
        </w:rPr>
        <w:t>metiltrienolons</w:t>
      </w:r>
      <w:r w:rsidRPr="00DD4660">
        <w:rPr>
          <w:rFonts w:ascii="Times New Roman" w:hAnsi="Times New Roman" w:cs="Times New Roman"/>
          <w:sz w:val="28"/>
          <w:szCs w:val="24"/>
        </w:rPr>
        <w:t>, 17β-hidroksi-17α-metilestra-4,9,11-triēn-3-ons);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mibolerons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norboletons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norklostebols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noretandrolons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oksabolons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oksandrolons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oksimesterons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oksimetolons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prostanozols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(17β-[(tetrahidropirān-2-il)</w:t>
      </w:r>
      <w:r>
        <w:rPr>
          <w:rFonts w:ascii="Times New Roman" w:hAnsi="Times New Roman" w:cs="Times New Roman"/>
          <w:sz w:val="28"/>
          <w:szCs w:val="24"/>
        </w:rPr>
        <w:t>oksi]-1'H-pirazolo[3,4:2,3]-5α-</w:t>
      </w:r>
      <w:r w:rsidRPr="00DD4660">
        <w:rPr>
          <w:rFonts w:ascii="Times New Roman" w:hAnsi="Times New Roman" w:cs="Times New Roman"/>
          <w:sz w:val="28"/>
          <w:szCs w:val="24"/>
        </w:rPr>
        <w:t>androstāns);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hinbolons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stanozolols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stenbolons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tetrahidrogestrinons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(17-hidro</w:t>
      </w:r>
      <w:r w:rsidR="00EB2410">
        <w:rPr>
          <w:rFonts w:ascii="Times New Roman" w:hAnsi="Times New Roman" w:cs="Times New Roman"/>
          <w:sz w:val="28"/>
          <w:szCs w:val="24"/>
        </w:rPr>
        <w:t>ksi-18a-homo-19-nor-17α-pregna</w:t>
      </w:r>
      <w:r w:rsidRPr="00DD4660">
        <w:rPr>
          <w:rFonts w:ascii="Times New Roman" w:hAnsi="Times New Roman" w:cs="Times New Roman"/>
          <w:sz w:val="28"/>
          <w:szCs w:val="24"/>
        </w:rPr>
        <w:t>-4,9,11-triēn-3-ons);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trenbolons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(17β-hidroksiestr-4,9,11-triēn-3-ons)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un citas vielas, kurām ir līdzīga ķīmiskā struktūra vai bioloģiskā iedarbība.</w:t>
      </w:r>
    </w:p>
    <w:p w:rsidR="00C44C44" w:rsidRPr="00DD4660" w:rsidP="00C44C44">
      <w:pPr>
        <w:jc w:val="both"/>
        <w:rPr>
          <w:sz w:val="28"/>
        </w:rPr>
      </w:pPr>
    </w:p>
    <w:p w:rsidR="00C44C44" w:rsidRPr="00DD4660" w:rsidP="00C44C44">
      <w:pPr>
        <w:pStyle w:val="Heading3"/>
        <w:widowControl/>
        <w:tabs>
          <w:tab w:val="left" w:pos="325"/>
        </w:tabs>
        <w:kinsoku w:val="0"/>
        <w:overflowPunct w:val="0"/>
        <w:spacing w:before="0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4660">
        <w:rPr>
          <w:rFonts w:ascii="Times New Roman" w:hAnsi="Times New Roman" w:cs="Times New Roman"/>
          <w:b w:val="0"/>
          <w:sz w:val="28"/>
          <w:szCs w:val="24"/>
        </w:rPr>
        <w:t>2.1.2. Endogēnie</w:t>
      </w:r>
      <w:r w:rsidRPr="00DD4660">
        <w:rPr>
          <w:rFonts w:ascii="Times New Roman" w:hAnsi="Times New Roman" w:cs="Times New Roman"/>
          <w:b w:val="0"/>
          <w:sz w:val="28"/>
          <w:szCs w:val="24"/>
          <w:vertAlign w:val="superscript"/>
        </w:rPr>
        <w:t>2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>anaboliskie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>androgēnie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 xml:space="preserve"> steroīdi, ja tos ievada </w:t>
      </w:r>
      <w:r w:rsidR="0075734C">
        <w:rPr>
          <w:rFonts w:ascii="Times New Roman" w:hAnsi="Times New Roman" w:cs="Times New Roman"/>
          <w:b w:val="0"/>
          <w:sz w:val="28"/>
          <w:szCs w:val="24"/>
        </w:rPr>
        <w:t>eksogēni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19-norandrostēndiols (estr-4-ēn-3,17-diols);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19-norandrostēndions (estr-4-ēn-3,17-dions);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</w:t>
      </w:r>
      <w:r w:rsidR="004D171B">
        <w:rPr>
          <w:rFonts w:ascii="Times New Roman" w:hAnsi="Times New Roman" w:cs="Times New Roman"/>
          <w:sz w:val="28"/>
          <w:szCs w:val="24"/>
        </w:rPr>
        <w:t>a</w:t>
      </w:r>
      <w:r w:rsidRPr="00DD4660">
        <w:rPr>
          <w:rFonts w:ascii="Times New Roman" w:hAnsi="Times New Roman" w:cs="Times New Roman"/>
          <w:sz w:val="28"/>
          <w:szCs w:val="24"/>
        </w:rPr>
        <w:t>nolons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(5α-</w:t>
      </w:r>
      <w:r w:rsidRPr="00DD4660">
        <w:rPr>
          <w:rFonts w:ascii="Times New Roman" w:hAnsi="Times New Roman" w:cs="Times New Roman"/>
          <w:sz w:val="28"/>
          <w:szCs w:val="24"/>
        </w:rPr>
        <w:t>dihidrotestosterons</w:t>
      </w:r>
      <w:r w:rsidRPr="00DD4660">
        <w:rPr>
          <w:rFonts w:ascii="Times New Roman" w:hAnsi="Times New Roman" w:cs="Times New Roman"/>
          <w:sz w:val="28"/>
          <w:szCs w:val="24"/>
        </w:rPr>
        <w:t>, 17β-hidroksi-5α-androstān-3-ons);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androstēndiols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(androst-5-ēn-3β,17β-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androstēndions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(androst-4-ēn-3,17-dions);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boldenons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boldions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(androsta-1,4-diēn-3,17-dions);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nandrolons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(19-nortestosterons);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prasterons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sz w:val="28"/>
          <w:szCs w:val="24"/>
        </w:rPr>
        <w:t>dehidroepiandrosterons</w:t>
      </w:r>
      <w:r w:rsidRPr="00DD4660">
        <w:rPr>
          <w:rFonts w:ascii="Times New Roman" w:hAnsi="Times New Roman" w:cs="Times New Roman"/>
          <w:sz w:val="28"/>
          <w:szCs w:val="24"/>
        </w:rPr>
        <w:t>, DHEA, 3β-hidroksiandrost-5-ēn-17-ons);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testosterons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un to metabolīti un izomēri, tostarp arī šādi: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3β-hidroksi-5α-androstān-17-ons;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5α-androst-2-ēn-17-ons;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5α-androstān-3α,17α-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5α-androstān-3α,17β-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5α-androstān-3β,17α-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5α-androstān-3β,17β-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5β-androstān-3α,17β-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7α-</w:t>
      </w:r>
      <w:r w:rsidRPr="00DD4660">
        <w:rPr>
          <w:rFonts w:ascii="Times New Roman" w:hAnsi="Times New Roman" w:cs="Times New Roman"/>
          <w:sz w:val="28"/>
          <w:szCs w:val="24"/>
        </w:rPr>
        <w:t>hidroksi</w:t>
      </w:r>
      <w:r w:rsidRPr="00DD4660">
        <w:rPr>
          <w:rFonts w:ascii="Times New Roman" w:hAnsi="Times New Roman" w:cs="Times New Roman"/>
          <w:sz w:val="28"/>
          <w:szCs w:val="24"/>
        </w:rPr>
        <w:t>-DHEA;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7β-</w:t>
      </w:r>
      <w:r w:rsidRPr="00DD4660">
        <w:rPr>
          <w:rFonts w:ascii="Times New Roman" w:hAnsi="Times New Roman" w:cs="Times New Roman"/>
          <w:sz w:val="28"/>
          <w:szCs w:val="24"/>
        </w:rPr>
        <w:t>hidroksi</w:t>
      </w:r>
      <w:r w:rsidRPr="00DD4660">
        <w:rPr>
          <w:rFonts w:ascii="Times New Roman" w:hAnsi="Times New Roman" w:cs="Times New Roman"/>
          <w:sz w:val="28"/>
          <w:szCs w:val="24"/>
        </w:rPr>
        <w:t>-DHEA;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4-androstēndiols (androst-4-ēn-3β,17β-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5-androstēndions (androst-5-ēn-3,17-dions);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7-keto-DHEA;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19-norandrosterons;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19-noretioholanolons;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androst-4-ēn-3α,17α-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androst-4-ēn-3α,17β-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androst-4-ēn-3β,17α-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androst-5-ēn-3α,17α-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androst-5-ēn-3α,17β-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androst-5-ēn-3β,17α-</w:t>
      </w:r>
      <w:r w:rsidRPr="00DD4660">
        <w:rPr>
          <w:rFonts w:ascii="Times New Roman" w:hAnsi="Times New Roman" w:cs="Times New Roman"/>
          <w:sz w:val="28"/>
          <w:szCs w:val="24"/>
        </w:rPr>
        <w:t>diols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epi-dihidrotestosterons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epitestosterons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etioholanolons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pStyle w:val="Heading3"/>
        <w:widowControl/>
        <w:tabs>
          <w:tab w:val="left" w:pos="323"/>
        </w:tabs>
        <w:kinsoku w:val="0"/>
        <w:overflowPunct w:val="0"/>
        <w:spacing w:before="0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C44C44" w:rsidRPr="00DD4660" w:rsidP="00C44C44">
      <w:pPr>
        <w:pStyle w:val="Heading3"/>
        <w:widowControl/>
        <w:tabs>
          <w:tab w:val="left" w:pos="323"/>
        </w:tabs>
        <w:kinsoku w:val="0"/>
        <w:overflowPunct w:val="0"/>
        <w:spacing w:before="0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4660">
        <w:rPr>
          <w:rFonts w:ascii="Times New Roman" w:hAnsi="Times New Roman" w:cs="Times New Roman"/>
          <w:b w:val="0"/>
          <w:sz w:val="28"/>
          <w:szCs w:val="24"/>
        </w:rPr>
        <w:t>2.2. CITI ANABOLISKIE LĪDZEKĻI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Tostarp šādi līdzekļi: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klenbuterols</w:t>
      </w:r>
      <w:r w:rsidRPr="00DD4660">
        <w:rPr>
          <w:rFonts w:ascii="Times New Roman" w:hAnsi="Times New Roman" w:cs="Times New Roman"/>
          <w:sz w:val="28"/>
          <w:szCs w:val="24"/>
        </w:rPr>
        <w:t>, selektīvie androgēn</w:t>
      </w:r>
      <w:r w:rsidR="008B3241">
        <w:rPr>
          <w:rFonts w:ascii="Times New Roman" w:hAnsi="Times New Roman" w:cs="Times New Roman"/>
          <w:sz w:val="28"/>
          <w:szCs w:val="24"/>
        </w:rPr>
        <w:t>u</w:t>
      </w:r>
      <w:r w:rsidRPr="00DD4660">
        <w:rPr>
          <w:rFonts w:ascii="Times New Roman" w:hAnsi="Times New Roman" w:cs="Times New Roman"/>
          <w:sz w:val="28"/>
          <w:szCs w:val="24"/>
        </w:rPr>
        <w:t xml:space="preserve"> receptoru modulatori (SARM, piemēram, </w:t>
      </w:r>
      <w:r w:rsidRPr="00DD4660">
        <w:rPr>
          <w:rFonts w:ascii="Times New Roman" w:hAnsi="Times New Roman" w:cs="Times New Roman"/>
          <w:sz w:val="28"/>
          <w:szCs w:val="24"/>
        </w:rPr>
        <w:t>andarīns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LGD-4033, </w:t>
      </w:r>
      <w:r w:rsidRPr="00DD4660">
        <w:rPr>
          <w:rFonts w:ascii="Times New Roman" w:hAnsi="Times New Roman" w:cs="Times New Roman"/>
          <w:sz w:val="28"/>
          <w:szCs w:val="24"/>
        </w:rPr>
        <w:t>ostarīns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RAD140), </w:t>
      </w:r>
      <w:r w:rsidRPr="00DD4660">
        <w:rPr>
          <w:rFonts w:ascii="Times New Roman" w:hAnsi="Times New Roman" w:cs="Times New Roman"/>
          <w:sz w:val="28"/>
          <w:szCs w:val="24"/>
        </w:rPr>
        <w:t>tibolons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zeranols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zilpaterols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ind w:hanging="10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3. </w:t>
      </w:r>
      <w:r w:rsidRPr="00DD4660">
        <w:rPr>
          <w:rFonts w:ascii="Times New Roman" w:hAnsi="Times New Roman"/>
          <w:color w:val="auto"/>
          <w:sz w:val="28"/>
          <w:szCs w:val="24"/>
        </w:rPr>
        <w:t>S2. PEPTĪDHORMONI, AUGŠANAS FAKTORI</w:t>
      </w:r>
      <w:r w:rsidR="00B7178F">
        <w:rPr>
          <w:rFonts w:ascii="Times New Roman" w:hAnsi="Times New Roman"/>
          <w:color w:val="auto"/>
          <w:sz w:val="28"/>
          <w:szCs w:val="24"/>
        </w:rPr>
        <w:t>, SAISTĪTAS VIELAS</w:t>
      </w:r>
      <w:r w:rsidRPr="00DD4660">
        <w:rPr>
          <w:rFonts w:ascii="Times New Roman" w:hAnsi="Times New Roman"/>
          <w:color w:val="auto"/>
          <w:sz w:val="28"/>
          <w:szCs w:val="24"/>
        </w:rPr>
        <w:t xml:space="preserve"> UN MIMĒTI</w:t>
      </w:r>
      <w:r w:rsidR="00C81C5C">
        <w:rPr>
          <w:rFonts w:ascii="Times New Roman" w:hAnsi="Times New Roman"/>
          <w:color w:val="auto"/>
          <w:sz w:val="28"/>
          <w:szCs w:val="24"/>
        </w:rPr>
        <w:t>SKIE LĪDZEKĻI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Aizliegtas ir šādas vielas un citas vielas, kurām ir līdzīga ķīmiskā struktūra vai bioloģiskā iedarbība: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 xml:space="preserve">1. </w:t>
      </w:r>
      <w:r w:rsidRPr="00DD4660">
        <w:rPr>
          <w:rFonts w:ascii="Times New Roman" w:hAnsi="Times New Roman" w:cs="Times New Roman"/>
          <w:sz w:val="28"/>
          <w:szCs w:val="24"/>
        </w:rPr>
        <w:t>eritropoetīns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(EPO) un vielas, kas </w:t>
      </w:r>
      <w:r w:rsidR="00390050">
        <w:rPr>
          <w:rFonts w:ascii="Times New Roman" w:hAnsi="Times New Roman" w:cs="Times New Roman"/>
          <w:sz w:val="28"/>
          <w:szCs w:val="24"/>
        </w:rPr>
        <w:t>ietekmē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eritropoēzi</w:t>
      </w:r>
      <w:r w:rsidRPr="00DD4660">
        <w:rPr>
          <w:rFonts w:ascii="Times New Roman" w:hAnsi="Times New Roman" w:cs="Times New Roman"/>
          <w:sz w:val="28"/>
          <w:szCs w:val="24"/>
        </w:rPr>
        <w:t>, tostarp arī šādas vielas:</w:t>
      </w:r>
    </w:p>
    <w:p w:rsidR="00C44C44" w:rsidRPr="00DD4660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 xml:space="preserve">1.1. </w:t>
      </w:r>
      <w:r w:rsidRPr="00DD4660">
        <w:rPr>
          <w:rFonts w:ascii="Times New Roman" w:hAnsi="Times New Roman" w:cs="Times New Roman"/>
          <w:sz w:val="28"/>
          <w:szCs w:val="24"/>
        </w:rPr>
        <w:t>eritropoetīna</w:t>
      </w:r>
      <w:r w:rsidRPr="00DD4660">
        <w:rPr>
          <w:rFonts w:ascii="Times New Roman" w:hAnsi="Times New Roman" w:cs="Times New Roman"/>
          <w:sz w:val="28"/>
          <w:szCs w:val="24"/>
        </w:rPr>
        <w:t xml:space="preserve"> receptoru agonisti, piemēram,</w:t>
      </w:r>
    </w:p>
    <w:p w:rsidR="00C44C44" w:rsidRPr="00DD4660" w:rsidP="00C44C44">
      <w:pPr>
        <w:pStyle w:val="BodyText"/>
        <w:widowControl/>
        <w:tabs>
          <w:tab w:val="left" w:pos="629"/>
        </w:tabs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darbepoetīns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sz w:val="28"/>
          <w:szCs w:val="24"/>
        </w:rPr>
        <w:t>dEPO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eritropoetīns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(EPO);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vielas, kuru pamatā ir </w:t>
      </w:r>
      <w:r w:rsidRPr="00DD4660">
        <w:rPr>
          <w:rFonts w:ascii="Times New Roman" w:hAnsi="Times New Roman" w:cs="Times New Roman"/>
          <w:sz w:val="28"/>
          <w:szCs w:val="24"/>
        </w:rPr>
        <w:t>eritropoetīns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[EPO-</w:t>
      </w:r>
      <w:r w:rsidRPr="00DD4660">
        <w:rPr>
          <w:rFonts w:ascii="Times New Roman" w:hAnsi="Times New Roman" w:cs="Times New Roman"/>
          <w:sz w:val="28"/>
          <w:szCs w:val="24"/>
        </w:rPr>
        <w:t>Fc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metoksipolietilēna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glikolepoetīns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beta (CERA)];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EPO </w:t>
      </w:r>
      <w:r w:rsidRPr="00DD4660">
        <w:rPr>
          <w:rFonts w:ascii="Times New Roman" w:hAnsi="Times New Roman" w:cs="Times New Roman"/>
          <w:sz w:val="28"/>
          <w:szCs w:val="24"/>
        </w:rPr>
        <w:t>mimēti</w:t>
      </w:r>
      <w:r w:rsidR="00C81C5C">
        <w:rPr>
          <w:rFonts w:ascii="Times New Roman" w:hAnsi="Times New Roman" w:cs="Times New Roman"/>
          <w:sz w:val="28"/>
          <w:szCs w:val="24"/>
        </w:rPr>
        <w:t>skie</w:t>
      </w:r>
      <w:r w:rsidR="00C81C5C">
        <w:rPr>
          <w:rFonts w:ascii="Times New Roman" w:hAnsi="Times New Roman" w:cs="Times New Roman"/>
          <w:sz w:val="28"/>
          <w:szCs w:val="24"/>
        </w:rPr>
        <w:t xml:space="preserve"> līdzekļi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vielas, </w:t>
      </w:r>
      <w:r w:rsidR="003025FE">
        <w:rPr>
          <w:rFonts w:ascii="Times New Roman" w:hAnsi="Times New Roman" w:cs="Times New Roman"/>
          <w:sz w:val="28"/>
          <w:szCs w:val="24"/>
        </w:rPr>
        <w:t>kuru</w:t>
      </w:r>
      <w:r w:rsidR="00DD09B5">
        <w:rPr>
          <w:rFonts w:ascii="Times New Roman" w:hAnsi="Times New Roman" w:cs="Times New Roman"/>
          <w:sz w:val="28"/>
          <w:szCs w:val="24"/>
        </w:rPr>
        <w:t xml:space="preserve"> pamatā ir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="00390050">
        <w:rPr>
          <w:rFonts w:ascii="Times New Roman" w:hAnsi="Times New Roman" w:cs="Times New Roman"/>
          <w:sz w:val="28"/>
          <w:szCs w:val="24"/>
        </w:rPr>
        <w:t>EPO</w:t>
      </w:r>
      <w:r w:rsidRPr="00DD4660" w:rsidR="00DD09B5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mimēti</w:t>
      </w:r>
      <w:r w:rsidR="00C81C5C">
        <w:rPr>
          <w:rFonts w:ascii="Times New Roman" w:hAnsi="Times New Roman" w:cs="Times New Roman"/>
          <w:sz w:val="28"/>
          <w:szCs w:val="24"/>
        </w:rPr>
        <w:t>sk</w:t>
      </w:r>
      <w:r w:rsidR="00DD09B5">
        <w:rPr>
          <w:rFonts w:ascii="Times New Roman" w:hAnsi="Times New Roman" w:cs="Times New Roman"/>
          <w:sz w:val="28"/>
          <w:szCs w:val="24"/>
        </w:rPr>
        <w:t>ie</w:t>
      </w:r>
      <w:r w:rsidR="00C81C5C">
        <w:rPr>
          <w:rFonts w:ascii="Times New Roman" w:hAnsi="Times New Roman" w:cs="Times New Roman"/>
          <w:sz w:val="28"/>
          <w:szCs w:val="24"/>
        </w:rPr>
        <w:t xml:space="preserve"> līdzek</w:t>
      </w:r>
      <w:r w:rsidR="00DD09B5">
        <w:rPr>
          <w:rFonts w:ascii="Times New Roman" w:hAnsi="Times New Roman" w:cs="Times New Roman"/>
          <w:sz w:val="28"/>
          <w:szCs w:val="24"/>
        </w:rPr>
        <w:t>ļi</w:t>
      </w:r>
      <w:r w:rsidRPr="00DD4660">
        <w:rPr>
          <w:rFonts w:ascii="Times New Roman" w:hAnsi="Times New Roman" w:cs="Times New Roman"/>
          <w:sz w:val="28"/>
          <w:szCs w:val="24"/>
        </w:rPr>
        <w:t xml:space="preserve"> (piemēram, </w:t>
      </w:r>
      <w:r w:rsidRPr="00DD4660">
        <w:rPr>
          <w:rFonts w:ascii="Times New Roman" w:hAnsi="Times New Roman" w:cs="Times New Roman"/>
          <w:i/>
          <w:sz w:val="28"/>
          <w:szCs w:val="24"/>
        </w:rPr>
        <w:t>CNTO</w:t>
      </w:r>
      <w:r w:rsidRPr="00DD4660">
        <w:rPr>
          <w:rFonts w:ascii="Times New Roman" w:hAnsi="Times New Roman" w:cs="Times New Roman"/>
          <w:sz w:val="28"/>
          <w:szCs w:val="24"/>
        </w:rPr>
        <w:t xml:space="preserve">-530 un </w:t>
      </w:r>
      <w:r w:rsidRPr="00DD4660">
        <w:rPr>
          <w:rFonts w:ascii="Times New Roman" w:hAnsi="Times New Roman" w:cs="Times New Roman"/>
          <w:sz w:val="28"/>
          <w:szCs w:val="24"/>
        </w:rPr>
        <w:t>peginesatīds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 xml:space="preserve">1.2. </w:t>
      </w:r>
      <w:r w:rsidRPr="00DD4660">
        <w:rPr>
          <w:rFonts w:ascii="Times New Roman" w:hAnsi="Times New Roman" w:cs="Times New Roman"/>
          <w:sz w:val="28"/>
          <w:szCs w:val="24"/>
        </w:rPr>
        <w:t>hipoksijas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="00DD09B5">
        <w:rPr>
          <w:rFonts w:ascii="Times New Roman" w:hAnsi="Times New Roman" w:cs="Times New Roman"/>
          <w:sz w:val="28"/>
          <w:szCs w:val="24"/>
        </w:rPr>
        <w:t>inducētā</w:t>
      </w:r>
      <w:r w:rsidRPr="00DD4660" w:rsidR="00DD09B5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 xml:space="preserve">faktora (HIF) </w:t>
      </w:r>
      <w:r w:rsidRPr="00DD4660">
        <w:rPr>
          <w:rFonts w:ascii="Times New Roman" w:hAnsi="Times New Roman" w:cs="Times New Roman"/>
          <w:sz w:val="28"/>
          <w:szCs w:val="24"/>
        </w:rPr>
        <w:t>aktivatori</w:t>
      </w:r>
      <w:r w:rsidRPr="00DD4660">
        <w:rPr>
          <w:rFonts w:ascii="Times New Roman" w:hAnsi="Times New Roman" w:cs="Times New Roman"/>
          <w:sz w:val="28"/>
          <w:szCs w:val="24"/>
        </w:rPr>
        <w:t>, piemēram,</w:t>
      </w:r>
    </w:p>
    <w:p w:rsidR="00C44C44" w:rsidRPr="00DD4660" w:rsidP="00C44C44">
      <w:pPr>
        <w:pStyle w:val="BodyText"/>
        <w:widowControl/>
        <w:tabs>
          <w:tab w:val="left" w:pos="629"/>
        </w:tabs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argons;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kobalts;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molidustats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roksadustats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(FG-4592);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ksenons;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>1.3. GATA inhibitori, piemēram,</w:t>
      </w:r>
    </w:p>
    <w:p w:rsidR="00C44C44" w:rsidRPr="00DD4660" w:rsidP="00C44C44">
      <w:pPr>
        <w:pStyle w:val="BodyText"/>
        <w:widowControl/>
        <w:tabs>
          <w:tab w:val="left" w:pos="629"/>
        </w:tabs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K-11706;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>1.4. transformējošā augšanas faktora</w:t>
      </w:r>
      <w:r w:rsidR="000E47D0">
        <w:rPr>
          <w:rFonts w:ascii="Times New Roman" w:hAnsi="Times New Roman" w:cs="Times New Roman"/>
          <w:sz w:val="28"/>
          <w:szCs w:val="24"/>
        </w:rPr>
        <w:t xml:space="preserve"> </w:t>
      </w:r>
      <w:r w:rsidR="000E47D0">
        <w:rPr>
          <w:rFonts w:ascii="Times New Roman" w:hAnsi="Times New Roman" w:cs="Times New Roman"/>
          <w:sz w:val="28"/>
          <w:szCs w:val="24"/>
        </w:rPr>
        <w:t>bēta</w:t>
      </w:r>
      <w:r w:rsidRPr="00DD4660">
        <w:rPr>
          <w:rFonts w:ascii="Times New Roman" w:hAnsi="Times New Roman" w:cs="Times New Roman"/>
          <w:sz w:val="28"/>
          <w:szCs w:val="24"/>
        </w:rPr>
        <w:t xml:space="preserve"> (TGF-β) inhibitori, piemēram,</w:t>
      </w:r>
    </w:p>
    <w:p w:rsidR="00C44C44" w:rsidRPr="00AD0462" w:rsidP="00C44C44">
      <w:pPr>
        <w:pStyle w:val="BodyText"/>
        <w:widowControl/>
        <w:tabs>
          <w:tab w:val="left" w:pos="629"/>
        </w:tabs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D0462">
        <w:rPr>
          <w:rFonts w:ascii="Times New Roman" w:hAnsi="Times New Roman" w:cs="Times New Roman"/>
          <w:sz w:val="28"/>
          <w:szCs w:val="24"/>
        </w:rPr>
        <w:t>luspatercept</w:t>
      </w:r>
      <w:r w:rsidRPr="00AD0462" w:rsidR="000E47D0">
        <w:rPr>
          <w:rFonts w:ascii="Times New Roman" w:hAnsi="Times New Roman" w:cs="Times New Roman"/>
          <w:sz w:val="28"/>
          <w:szCs w:val="24"/>
        </w:rPr>
        <w:t>s</w:t>
      </w:r>
      <w:r w:rsidRPr="00AD0462">
        <w:rPr>
          <w:rFonts w:ascii="Times New Roman" w:hAnsi="Times New Roman" w:cs="Times New Roman"/>
          <w:sz w:val="28"/>
          <w:szCs w:val="24"/>
        </w:rPr>
        <w:t>;</w:t>
      </w:r>
    </w:p>
    <w:p w:rsidR="00C44C44" w:rsidRPr="00AD0462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D0462">
        <w:rPr>
          <w:rFonts w:ascii="Times New Roman" w:hAnsi="Times New Roman" w:cs="Times New Roman"/>
          <w:sz w:val="28"/>
          <w:szCs w:val="24"/>
        </w:rPr>
        <w:t>sotatercept</w:t>
      </w:r>
      <w:r w:rsidRPr="00AD0462" w:rsidR="000E47D0">
        <w:rPr>
          <w:rFonts w:ascii="Times New Roman" w:hAnsi="Times New Roman" w:cs="Times New Roman"/>
          <w:sz w:val="28"/>
          <w:szCs w:val="24"/>
        </w:rPr>
        <w:t>s</w:t>
      </w:r>
      <w:r w:rsidRPr="00AD0462">
        <w:rPr>
          <w:rFonts w:ascii="Times New Roman" w:hAnsi="Times New Roman" w:cs="Times New Roman"/>
          <w:sz w:val="28"/>
          <w:szCs w:val="24"/>
        </w:rPr>
        <w:t>;</w:t>
      </w:r>
    </w:p>
    <w:p w:rsidR="00531929" w:rsidRPr="00531929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531929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531929">
        <w:rPr>
          <w:rFonts w:ascii="Times New Roman" w:hAnsi="Times New Roman" w:cs="Times New Roman"/>
          <w:sz w:val="28"/>
          <w:szCs w:val="24"/>
        </w:rPr>
        <w:t>3.1.5.</w:t>
      </w:r>
      <w:r w:rsidRPr="00DD4660">
        <w:rPr>
          <w:rFonts w:ascii="Times New Roman" w:hAnsi="Times New Roman" w:cs="Times New Roman"/>
          <w:sz w:val="28"/>
          <w:szCs w:val="24"/>
        </w:rPr>
        <w:t xml:space="preserve"> iedzimto </w:t>
      </w:r>
      <w:r w:rsidRPr="00DD4660">
        <w:rPr>
          <w:rFonts w:ascii="Times New Roman" w:hAnsi="Times New Roman" w:cs="Times New Roman"/>
          <w:sz w:val="28"/>
          <w:szCs w:val="24"/>
        </w:rPr>
        <w:t>labotājreceptoru</w:t>
      </w:r>
      <w:r w:rsidRPr="00DD4660">
        <w:rPr>
          <w:rFonts w:ascii="Times New Roman" w:hAnsi="Times New Roman" w:cs="Times New Roman"/>
          <w:sz w:val="28"/>
          <w:szCs w:val="24"/>
        </w:rPr>
        <w:t xml:space="preserve"> agonisti, piemēram,</w:t>
      </w:r>
    </w:p>
    <w:p w:rsidR="00C44C44" w:rsidRPr="00DD4660" w:rsidP="00C44C44">
      <w:pPr>
        <w:pStyle w:val="BodyText"/>
        <w:widowControl/>
        <w:tabs>
          <w:tab w:val="left" w:pos="629"/>
        </w:tabs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asialo</w:t>
      </w:r>
      <w:r w:rsidRPr="00DD4660">
        <w:rPr>
          <w:rFonts w:ascii="Times New Roman" w:hAnsi="Times New Roman" w:cs="Times New Roman"/>
          <w:sz w:val="28"/>
          <w:szCs w:val="24"/>
        </w:rPr>
        <w:t xml:space="preserve"> EPO;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karbamilēts</w:t>
      </w:r>
      <w:r w:rsidRPr="00DD4660">
        <w:rPr>
          <w:rFonts w:ascii="Times New Roman" w:hAnsi="Times New Roman" w:cs="Times New Roman"/>
          <w:sz w:val="28"/>
          <w:szCs w:val="24"/>
        </w:rPr>
        <w:t xml:space="preserve"> EPO (</w:t>
      </w:r>
      <w:r w:rsidRPr="00DD4660">
        <w:rPr>
          <w:rFonts w:ascii="Times New Roman" w:hAnsi="Times New Roman" w:cs="Times New Roman"/>
          <w:i/>
          <w:sz w:val="28"/>
          <w:szCs w:val="24"/>
        </w:rPr>
        <w:t>CEPO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2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 xml:space="preserve">2. </w:t>
      </w:r>
      <w:r w:rsidRPr="00DD4660">
        <w:rPr>
          <w:rFonts w:ascii="Times New Roman" w:hAnsi="Times New Roman" w:cs="Times New Roman"/>
          <w:sz w:val="28"/>
          <w:szCs w:val="24"/>
        </w:rPr>
        <w:t>peptīdhormoni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hormonu modulatori;</w:t>
      </w: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 xml:space="preserve">2.1. </w:t>
      </w:r>
      <w:r w:rsidRPr="00DD4660">
        <w:rPr>
          <w:rFonts w:ascii="Times New Roman" w:hAnsi="Times New Roman" w:cs="Times New Roman"/>
          <w:sz w:val="28"/>
          <w:szCs w:val="24"/>
        </w:rPr>
        <w:t>horiongonadotropīns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i/>
          <w:sz w:val="28"/>
          <w:szCs w:val="24"/>
        </w:rPr>
        <w:t>CG</w:t>
      </w:r>
      <w:r w:rsidRPr="00DD4660">
        <w:rPr>
          <w:rFonts w:ascii="Times New Roman" w:hAnsi="Times New Roman" w:cs="Times New Roman"/>
          <w:sz w:val="28"/>
          <w:szCs w:val="24"/>
        </w:rPr>
        <w:t xml:space="preserve">) un </w:t>
      </w:r>
      <w:r w:rsidRPr="00DD4660">
        <w:rPr>
          <w:rFonts w:ascii="Times New Roman" w:hAnsi="Times New Roman" w:cs="Times New Roman"/>
          <w:sz w:val="28"/>
          <w:szCs w:val="24"/>
        </w:rPr>
        <w:t>luteinizējošais</w:t>
      </w:r>
      <w:r w:rsidRPr="00DD4660">
        <w:rPr>
          <w:rFonts w:ascii="Times New Roman" w:hAnsi="Times New Roman" w:cs="Times New Roman"/>
          <w:sz w:val="28"/>
          <w:szCs w:val="24"/>
        </w:rPr>
        <w:t xml:space="preserve"> hormons (LH) un to </w:t>
      </w:r>
      <w:r w:rsidRPr="00DD4660">
        <w:rPr>
          <w:rFonts w:ascii="Times New Roman" w:hAnsi="Times New Roman" w:cs="Times New Roman"/>
          <w:sz w:val="28"/>
          <w:szCs w:val="24"/>
        </w:rPr>
        <w:t>atbrīvotājfaktori</w:t>
      </w:r>
      <w:r w:rsidRPr="00DD4660">
        <w:rPr>
          <w:rFonts w:ascii="Times New Roman" w:hAnsi="Times New Roman" w:cs="Times New Roman"/>
          <w:sz w:val="28"/>
          <w:szCs w:val="24"/>
        </w:rPr>
        <w:t xml:space="preserve"> (piemēram, </w:t>
      </w:r>
      <w:r w:rsidRPr="00DD4660">
        <w:rPr>
          <w:rFonts w:ascii="Times New Roman" w:hAnsi="Times New Roman" w:cs="Times New Roman"/>
          <w:sz w:val="28"/>
          <w:szCs w:val="24"/>
        </w:rPr>
        <w:t>buserelīns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deslorelīns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gonadorelīns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goserelīns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leiprorelīns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nafarelīns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triptorelīns</w:t>
      </w:r>
      <w:r w:rsidRPr="00DD4660">
        <w:rPr>
          <w:rFonts w:ascii="Times New Roman" w:hAnsi="Times New Roman" w:cs="Times New Roman"/>
          <w:sz w:val="28"/>
          <w:szCs w:val="24"/>
        </w:rPr>
        <w:t>) vīriešiem;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00073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 w:rsidR="00C44C44">
        <w:rPr>
          <w:rFonts w:ascii="Times New Roman" w:hAnsi="Times New Roman" w:cs="Times New Roman"/>
          <w:sz w:val="28"/>
          <w:szCs w:val="24"/>
        </w:rPr>
        <w:t xml:space="preserve">2.2. </w:t>
      </w:r>
      <w:r w:rsidRPr="00DD4660" w:rsidR="00C44C44">
        <w:rPr>
          <w:rFonts w:ascii="Times New Roman" w:hAnsi="Times New Roman" w:cs="Times New Roman"/>
          <w:sz w:val="28"/>
          <w:szCs w:val="24"/>
        </w:rPr>
        <w:t>kortikotropīni</w:t>
      </w:r>
      <w:r w:rsidRPr="00DD4660" w:rsidR="00C44C44">
        <w:rPr>
          <w:rFonts w:ascii="Times New Roman" w:hAnsi="Times New Roman" w:cs="Times New Roman"/>
          <w:sz w:val="28"/>
          <w:szCs w:val="24"/>
        </w:rPr>
        <w:t xml:space="preserve"> un to </w:t>
      </w:r>
      <w:r w:rsidRPr="00DD4660" w:rsidR="00C44C44">
        <w:rPr>
          <w:rFonts w:ascii="Times New Roman" w:hAnsi="Times New Roman" w:cs="Times New Roman"/>
          <w:sz w:val="28"/>
          <w:szCs w:val="24"/>
        </w:rPr>
        <w:t>atbrīvotājfaktori</w:t>
      </w:r>
      <w:r w:rsidRPr="00DD4660" w:rsidR="00C44C44">
        <w:rPr>
          <w:rFonts w:ascii="Times New Roman" w:hAnsi="Times New Roman" w:cs="Times New Roman"/>
          <w:sz w:val="28"/>
          <w:szCs w:val="24"/>
        </w:rPr>
        <w:t xml:space="preserve">, piemēram, </w:t>
      </w:r>
    </w:p>
    <w:p w:rsidR="00C44C44" w:rsidRPr="00DD4660" w:rsidP="00200073">
      <w:pPr>
        <w:pStyle w:val="BodyText"/>
        <w:widowControl/>
        <w:tabs>
          <w:tab w:val="left" w:pos="709"/>
        </w:tabs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kortikorelīns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>2.3. augšanas hormons (</w:t>
      </w:r>
      <w:r w:rsidRPr="00DD4660">
        <w:rPr>
          <w:rFonts w:ascii="Times New Roman" w:hAnsi="Times New Roman" w:cs="Times New Roman"/>
          <w:i/>
          <w:sz w:val="28"/>
          <w:szCs w:val="24"/>
        </w:rPr>
        <w:t>GH</w:t>
      </w:r>
      <w:r w:rsidRPr="00DD4660">
        <w:rPr>
          <w:rFonts w:ascii="Times New Roman" w:hAnsi="Times New Roman" w:cs="Times New Roman"/>
          <w:sz w:val="28"/>
          <w:szCs w:val="24"/>
        </w:rPr>
        <w:t xml:space="preserve">), tā fragmenti un </w:t>
      </w:r>
      <w:r w:rsidRPr="00DD4660">
        <w:rPr>
          <w:rFonts w:ascii="Times New Roman" w:hAnsi="Times New Roman" w:cs="Times New Roman"/>
          <w:sz w:val="28"/>
          <w:szCs w:val="24"/>
        </w:rPr>
        <w:t>atbrīvotājfaktori</w:t>
      </w:r>
      <w:r w:rsidRPr="00DD4660">
        <w:rPr>
          <w:rFonts w:ascii="Times New Roman" w:hAnsi="Times New Roman" w:cs="Times New Roman"/>
          <w:sz w:val="28"/>
          <w:szCs w:val="24"/>
        </w:rPr>
        <w:t>, tostarp arī: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augšanas hormona fragmenti, piemēram, AOD-9604 un </w:t>
      </w:r>
      <w:r w:rsidRPr="00DD4660">
        <w:rPr>
          <w:rFonts w:ascii="Times New Roman" w:hAnsi="Times New Roman" w:cs="Times New Roman"/>
          <w:sz w:val="28"/>
          <w:szCs w:val="24"/>
        </w:rPr>
        <w:t>hGH</w:t>
      </w:r>
      <w:r w:rsidRPr="00DD4660">
        <w:rPr>
          <w:rFonts w:ascii="Times New Roman" w:hAnsi="Times New Roman" w:cs="Times New Roman"/>
          <w:sz w:val="28"/>
          <w:szCs w:val="24"/>
        </w:rPr>
        <w:t> 176-191;</w:t>
      </w:r>
    </w:p>
    <w:p w:rsidR="00C44C44" w:rsidRPr="00DD4660" w:rsidP="00C44C44">
      <w:pPr>
        <w:pStyle w:val="BodyText"/>
        <w:widowControl/>
        <w:kinsoku w:val="0"/>
        <w:overflowPunct w:val="0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augšanas hormona </w:t>
      </w:r>
      <w:r w:rsidRPr="00DD4660">
        <w:rPr>
          <w:rFonts w:ascii="Times New Roman" w:hAnsi="Times New Roman" w:cs="Times New Roman"/>
          <w:sz w:val="28"/>
          <w:szCs w:val="24"/>
        </w:rPr>
        <w:t>atbrīvotājhormons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i/>
          <w:sz w:val="28"/>
          <w:szCs w:val="24"/>
        </w:rPr>
        <w:t>GHRH</w:t>
      </w:r>
      <w:r w:rsidRPr="00DD4660">
        <w:rPr>
          <w:rFonts w:ascii="Times New Roman" w:hAnsi="Times New Roman" w:cs="Times New Roman"/>
          <w:sz w:val="28"/>
          <w:szCs w:val="24"/>
        </w:rPr>
        <w:t>) un tā analogi, piemēram,</w:t>
      </w:r>
    </w:p>
    <w:p w:rsidR="00C44C44" w:rsidRPr="00DD4660" w:rsidP="00B949BD">
      <w:pPr>
        <w:pStyle w:val="BodyText"/>
        <w:widowControl/>
        <w:kinsoku w:val="0"/>
        <w:overflowPunct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CJC-1293, CJC-1295, </w:t>
      </w:r>
      <w:r w:rsidRPr="00DD4660">
        <w:rPr>
          <w:rFonts w:ascii="Times New Roman" w:hAnsi="Times New Roman" w:cs="Times New Roman"/>
          <w:sz w:val="28"/>
          <w:szCs w:val="24"/>
        </w:rPr>
        <w:t>sermorelīns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tesamorelīns</w:t>
      </w:r>
      <w:r w:rsidRPr="00DD4660">
        <w:rPr>
          <w:rFonts w:ascii="Times New Roman" w:hAnsi="Times New Roman" w:cs="Times New Roman"/>
          <w:sz w:val="28"/>
          <w:szCs w:val="24"/>
        </w:rPr>
        <w:t>; augšanas hormona sekrēcijas stimulatori (</w:t>
      </w:r>
      <w:r w:rsidRPr="00DD4660">
        <w:rPr>
          <w:rFonts w:ascii="Times New Roman" w:hAnsi="Times New Roman" w:cs="Times New Roman"/>
          <w:i/>
          <w:sz w:val="28"/>
          <w:szCs w:val="24"/>
        </w:rPr>
        <w:t>GHS</w:t>
      </w:r>
      <w:r w:rsidRPr="00DD4660">
        <w:rPr>
          <w:rFonts w:ascii="Times New Roman" w:hAnsi="Times New Roman" w:cs="Times New Roman"/>
          <w:sz w:val="28"/>
          <w:szCs w:val="24"/>
        </w:rPr>
        <w:t xml:space="preserve">), piemēram, </w:t>
      </w:r>
      <w:r w:rsidRPr="00DD4660">
        <w:rPr>
          <w:rFonts w:ascii="Times New Roman" w:hAnsi="Times New Roman" w:cs="Times New Roman"/>
          <w:sz w:val="28"/>
          <w:szCs w:val="24"/>
        </w:rPr>
        <w:t>grelīns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grelīna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mimēti</w:t>
      </w:r>
      <w:r w:rsidR="00C81C5C">
        <w:rPr>
          <w:rFonts w:ascii="Times New Roman" w:hAnsi="Times New Roman" w:cs="Times New Roman"/>
          <w:sz w:val="28"/>
          <w:szCs w:val="24"/>
        </w:rPr>
        <w:t>skie</w:t>
      </w:r>
      <w:r w:rsidR="00C81C5C">
        <w:rPr>
          <w:rFonts w:ascii="Times New Roman" w:hAnsi="Times New Roman" w:cs="Times New Roman"/>
          <w:sz w:val="28"/>
          <w:szCs w:val="24"/>
        </w:rPr>
        <w:t xml:space="preserve"> līdzekļi</w:t>
      </w:r>
      <w:r w:rsidRPr="00DD4660">
        <w:rPr>
          <w:rFonts w:ascii="Times New Roman" w:hAnsi="Times New Roman" w:cs="Times New Roman"/>
          <w:sz w:val="28"/>
          <w:szCs w:val="24"/>
        </w:rPr>
        <w:t>, piemēram,</w:t>
      </w:r>
      <w:r w:rsidR="00B949BD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anamorelīns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ipamorelīns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tabimorelīns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; augšanas hormona </w:t>
      </w:r>
      <w:r w:rsidRPr="00DD4660">
        <w:rPr>
          <w:rFonts w:ascii="Times New Roman" w:hAnsi="Times New Roman" w:cs="Times New Roman"/>
          <w:sz w:val="28"/>
          <w:szCs w:val="24"/>
        </w:rPr>
        <w:t>atbrīvotājpeptīdi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i/>
          <w:sz w:val="28"/>
          <w:szCs w:val="24"/>
        </w:rPr>
        <w:t>GHRP</w:t>
      </w:r>
      <w:r w:rsidRPr="00DD4660">
        <w:rPr>
          <w:rFonts w:ascii="Times New Roman" w:hAnsi="Times New Roman" w:cs="Times New Roman"/>
          <w:sz w:val="28"/>
          <w:szCs w:val="24"/>
        </w:rPr>
        <w:t>), piem</w:t>
      </w:r>
      <w:r w:rsidRPr="00DD4660" w:rsidR="007D5222">
        <w:rPr>
          <w:rFonts w:ascii="Times New Roman" w:hAnsi="Times New Roman" w:cs="Times New Roman"/>
          <w:sz w:val="28"/>
          <w:szCs w:val="24"/>
        </w:rPr>
        <w:t>ēram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aleksamorelīns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i/>
          <w:sz w:val="28"/>
          <w:szCs w:val="24"/>
        </w:rPr>
        <w:t>GHRP</w:t>
      </w:r>
      <w:r w:rsidRPr="00DD4660">
        <w:rPr>
          <w:rFonts w:ascii="Times New Roman" w:hAnsi="Times New Roman" w:cs="Times New Roman"/>
          <w:sz w:val="28"/>
          <w:szCs w:val="24"/>
        </w:rPr>
        <w:t xml:space="preserve">-1, </w:t>
      </w:r>
      <w:r w:rsidRPr="00DD4660">
        <w:rPr>
          <w:rFonts w:ascii="Times New Roman" w:hAnsi="Times New Roman" w:cs="Times New Roman"/>
          <w:i/>
          <w:sz w:val="28"/>
          <w:szCs w:val="24"/>
        </w:rPr>
        <w:t>GHRP</w:t>
      </w:r>
      <w:r w:rsidRPr="00DD4660">
        <w:rPr>
          <w:rFonts w:ascii="Times New Roman" w:hAnsi="Times New Roman" w:cs="Times New Roman"/>
          <w:sz w:val="28"/>
          <w:szCs w:val="24"/>
        </w:rPr>
        <w:t>-2 (</w:t>
      </w:r>
      <w:r w:rsidRPr="00DD4660">
        <w:rPr>
          <w:rFonts w:ascii="Times New Roman" w:hAnsi="Times New Roman" w:cs="Times New Roman"/>
          <w:sz w:val="28"/>
          <w:szCs w:val="24"/>
        </w:rPr>
        <w:t>pralmorelīns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), </w:t>
      </w:r>
      <w:r w:rsidRPr="00DD4660">
        <w:rPr>
          <w:rFonts w:ascii="Times New Roman" w:hAnsi="Times New Roman" w:cs="Times New Roman"/>
          <w:i/>
          <w:sz w:val="28"/>
          <w:szCs w:val="24"/>
        </w:rPr>
        <w:t>GHRP</w:t>
      </w:r>
      <w:r w:rsidRPr="00DD4660">
        <w:rPr>
          <w:rFonts w:ascii="Times New Roman" w:hAnsi="Times New Roman" w:cs="Times New Roman"/>
          <w:sz w:val="28"/>
          <w:szCs w:val="24"/>
        </w:rPr>
        <w:t xml:space="preserve">-3, </w:t>
      </w:r>
      <w:r w:rsidRPr="00DD4660">
        <w:rPr>
          <w:rFonts w:ascii="Times New Roman" w:hAnsi="Times New Roman" w:cs="Times New Roman"/>
          <w:i/>
          <w:sz w:val="28"/>
          <w:szCs w:val="24"/>
        </w:rPr>
        <w:t>GHRP</w:t>
      </w:r>
      <w:r w:rsidRPr="00DD4660">
        <w:rPr>
          <w:rFonts w:ascii="Times New Roman" w:hAnsi="Times New Roman" w:cs="Times New Roman"/>
          <w:sz w:val="28"/>
          <w:szCs w:val="24"/>
        </w:rPr>
        <w:t xml:space="preserve">-4, </w:t>
      </w:r>
      <w:r w:rsidRPr="00DD4660">
        <w:rPr>
          <w:rFonts w:ascii="Times New Roman" w:hAnsi="Times New Roman" w:cs="Times New Roman"/>
          <w:i/>
          <w:sz w:val="28"/>
          <w:szCs w:val="24"/>
        </w:rPr>
        <w:t>GHRP</w:t>
      </w:r>
      <w:r w:rsidRPr="00DD4660">
        <w:rPr>
          <w:rFonts w:ascii="Times New Roman" w:hAnsi="Times New Roman" w:cs="Times New Roman"/>
          <w:sz w:val="28"/>
          <w:szCs w:val="24"/>
        </w:rPr>
        <w:t xml:space="preserve">-5, </w:t>
      </w:r>
      <w:r w:rsidRPr="00DD4660">
        <w:rPr>
          <w:rFonts w:ascii="Times New Roman" w:hAnsi="Times New Roman" w:cs="Times New Roman"/>
          <w:i/>
          <w:sz w:val="28"/>
          <w:szCs w:val="24"/>
        </w:rPr>
        <w:t>GHRP</w:t>
      </w:r>
      <w:r w:rsidRPr="00DD4660">
        <w:rPr>
          <w:rFonts w:ascii="Times New Roman" w:hAnsi="Times New Roman" w:cs="Times New Roman"/>
          <w:sz w:val="28"/>
          <w:szCs w:val="24"/>
        </w:rPr>
        <w:t xml:space="preserve">-6 un </w:t>
      </w:r>
      <w:r w:rsidRPr="00DD4660">
        <w:rPr>
          <w:rFonts w:ascii="Times New Roman" w:hAnsi="Times New Roman" w:cs="Times New Roman"/>
          <w:sz w:val="28"/>
          <w:szCs w:val="24"/>
        </w:rPr>
        <w:t>heksarelīns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6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3.</w:t>
      </w:r>
      <w:r w:rsidRPr="00DD4660">
        <w:rPr>
          <w:rFonts w:ascii="Times New Roman" w:hAnsi="Times New Roman" w:cs="Times New Roman"/>
          <w:sz w:val="28"/>
          <w:szCs w:val="24"/>
        </w:rPr>
        <w:t>3. augšanas faktori un augšanas faktoru modulatori, tostarp arī:</w:t>
      </w:r>
    </w:p>
    <w:p w:rsidR="00C44C44" w:rsidRPr="00DD4660" w:rsidP="00B949BD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fibroblastu</w:t>
      </w:r>
      <w:r w:rsidRPr="00DD4660">
        <w:rPr>
          <w:rFonts w:ascii="Times New Roman" w:hAnsi="Times New Roman" w:cs="Times New Roman"/>
          <w:sz w:val="28"/>
          <w:szCs w:val="24"/>
        </w:rPr>
        <w:t xml:space="preserve"> augšanas faktori (</w:t>
      </w:r>
      <w:r w:rsidRPr="00DD4660">
        <w:rPr>
          <w:rFonts w:ascii="Times New Roman" w:hAnsi="Times New Roman" w:cs="Times New Roman"/>
          <w:i/>
          <w:sz w:val="28"/>
          <w:szCs w:val="24"/>
        </w:rPr>
        <w:t>FGF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B949BD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hepatocītu</w:t>
      </w:r>
      <w:r w:rsidRPr="00DD4660">
        <w:rPr>
          <w:rFonts w:ascii="Times New Roman" w:hAnsi="Times New Roman" w:cs="Times New Roman"/>
          <w:sz w:val="28"/>
          <w:szCs w:val="24"/>
        </w:rPr>
        <w:t xml:space="preserve"> augšanas faktors (</w:t>
      </w:r>
      <w:r w:rsidRPr="00DD4660">
        <w:rPr>
          <w:rFonts w:ascii="Times New Roman" w:hAnsi="Times New Roman" w:cs="Times New Roman"/>
          <w:i/>
          <w:sz w:val="28"/>
          <w:szCs w:val="24"/>
        </w:rPr>
        <w:t>HGF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B949BD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insulīnam līdzīgais augšanas faktors-1 (</w:t>
      </w:r>
      <w:r w:rsidRPr="00DD4660">
        <w:rPr>
          <w:rFonts w:ascii="Times New Roman" w:hAnsi="Times New Roman" w:cs="Times New Roman"/>
          <w:i/>
          <w:sz w:val="28"/>
          <w:szCs w:val="24"/>
        </w:rPr>
        <w:t>IGF</w:t>
      </w:r>
      <w:r w:rsidRPr="00DD4660">
        <w:rPr>
          <w:rFonts w:ascii="Times New Roman" w:hAnsi="Times New Roman" w:cs="Times New Roman"/>
          <w:sz w:val="28"/>
          <w:szCs w:val="24"/>
        </w:rPr>
        <w:t>-1) un tā analogi;</w:t>
      </w:r>
    </w:p>
    <w:p w:rsidR="00C44C44" w:rsidRPr="00DD4660" w:rsidP="00B949BD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mehāniskie augšanas faktori (</w:t>
      </w:r>
      <w:r w:rsidRPr="00DD4660">
        <w:rPr>
          <w:rFonts w:ascii="Times New Roman" w:hAnsi="Times New Roman" w:cs="Times New Roman"/>
          <w:i/>
          <w:sz w:val="28"/>
          <w:szCs w:val="24"/>
        </w:rPr>
        <w:t>MGF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B949BD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trombocītu atvasinājumu augšanas faktors (</w:t>
      </w:r>
      <w:r w:rsidRPr="00DD4660">
        <w:rPr>
          <w:rFonts w:ascii="Times New Roman" w:hAnsi="Times New Roman" w:cs="Times New Roman"/>
          <w:i/>
          <w:sz w:val="28"/>
          <w:szCs w:val="24"/>
        </w:rPr>
        <w:t>PDGF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B949BD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timozīns</w:t>
      </w:r>
      <w:r w:rsidRPr="00DD4660">
        <w:rPr>
          <w:rFonts w:ascii="Times New Roman" w:hAnsi="Times New Roman" w:cs="Times New Roman"/>
          <w:sz w:val="28"/>
          <w:szCs w:val="24"/>
        </w:rPr>
        <w:t>-β4 un tā atvasinājumi, piemēram, TB-500;</w:t>
      </w:r>
    </w:p>
    <w:p w:rsidR="00C44C44" w:rsidRPr="00DD4660" w:rsidP="00B949BD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vaskulāri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endoteliālais</w:t>
      </w:r>
      <w:r w:rsidRPr="00DD4660">
        <w:rPr>
          <w:rFonts w:ascii="Times New Roman" w:hAnsi="Times New Roman" w:cs="Times New Roman"/>
          <w:sz w:val="28"/>
          <w:szCs w:val="24"/>
        </w:rPr>
        <w:t xml:space="preserve"> augšanas faktors (</w:t>
      </w:r>
      <w:r w:rsidRPr="00DD4660">
        <w:rPr>
          <w:rFonts w:ascii="Times New Roman" w:hAnsi="Times New Roman" w:cs="Times New Roman"/>
          <w:i/>
          <w:sz w:val="28"/>
          <w:szCs w:val="24"/>
        </w:rPr>
        <w:t>VEGF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citi augšanas faktori vai augšanas faktoru modulatori, kas ietekmē muskuļu, cīpslu vai saišu proteīnu sintēzi, </w:t>
      </w:r>
      <w:r w:rsidR="00E959A0">
        <w:rPr>
          <w:rFonts w:ascii="Times New Roman" w:hAnsi="Times New Roman" w:cs="Times New Roman"/>
          <w:sz w:val="28"/>
          <w:szCs w:val="24"/>
        </w:rPr>
        <w:t>degradāciju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vaskularizāciju</w:t>
      </w:r>
      <w:r w:rsidRPr="00DD4660">
        <w:rPr>
          <w:rFonts w:ascii="Times New Roman" w:hAnsi="Times New Roman" w:cs="Times New Roman"/>
          <w:sz w:val="28"/>
          <w:szCs w:val="24"/>
        </w:rPr>
        <w:t>, enerģijas izmantošanu, reģenerācijas spējas vai šķiedru</w:t>
      </w:r>
      <w:r w:rsidR="00CA5719">
        <w:rPr>
          <w:rFonts w:ascii="Times New Roman" w:hAnsi="Times New Roman" w:cs="Times New Roman"/>
          <w:sz w:val="28"/>
          <w:szCs w:val="24"/>
        </w:rPr>
        <w:t xml:space="preserve"> tipa pārveidi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4. </w:t>
      </w:r>
      <w:r w:rsidR="005F3640">
        <w:rPr>
          <w:rFonts w:ascii="Times New Roman" w:hAnsi="Times New Roman"/>
          <w:color w:val="auto"/>
          <w:sz w:val="28"/>
          <w:szCs w:val="24"/>
        </w:rPr>
        <w:t>S3. BĒ</w:t>
      </w:r>
      <w:r w:rsidRPr="00DD4660">
        <w:rPr>
          <w:rFonts w:ascii="Times New Roman" w:hAnsi="Times New Roman"/>
          <w:color w:val="auto"/>
          <w:sz w:val="28"/>
          <w:szCs w:val="24"/>
        </w:rPr>
        <w:t>TA-2 AGONISTI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Ir aizliegti vi</w:t>
      </w:r>
      <w:r w:rsidR="008918B5">
        <w:rPr>
          <w:rFonts w:ascii="Times New Roman" w:hAnsi="Times New Roman" w:cs="Times New Roman"/>
          <w:sz w:val="28"/>
          <w:szCs w:val="24"/>
        </w:rPr>
        <w:t>si selektīvie un neselektīvie bē</w:t>
      </w:r>
      <w:r w:rsidRPr="00DD4660">
        <w:rPr>
          <w:rFonts w:ascii="Times New Roman" w:hAnsi="Times New Roman" w:cs="Times New Roman"/>
          <w:sz w:val="28"/>
          <w:szCs w:val="24"/>
        </w:rPr>
        <w:t>ta-2 agonisti, tostarp visi optiskie izomēri.</w:t>
      </w:r>
      <w:r w:rsidRPr="00DD4660" w:rsidR="00990E7D">
        <w:rPr>
          <w:rFonts w:ascii="Times New Roman" w:hAnsi="Times New Roman" w:cs="Times New Roman"/>
          <w:sz w:val="28"/>
          <w:szCs w:val="24"/>
          <w:vertAlign w:val="superscript"/>
        </w:rPr>
        <w:t>3,4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Tostarp ir aizliegti arī šādi līdzekļi: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fenoterols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formoterols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higenamīns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indakaterols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olodaterols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prokaterols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reproterols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salbutamols;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salmeterols;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terbutalīns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tulobuterols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vilanterols</w:t>
      </w:r>
      <w:r w:rsidRPr="00DD4660" w:rsidR="00824871">
        <w:rPr>
          <w:rFonts w:ascii="Times New Roman" w:hAnsi="Times New Roman" w:cs="Times New Roman"/>
          <w:sz w:val="28"/>
          <w:szCs w:val="24"/>
        </w:rPr>
        <w:t>.</w:t>
      </w:r>
      <w:r w:rsidR="001D4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4C44" w:rsidRPr="00DD4660" w:rsidP="00C44C44">
      <w:pPr>
        <w:jc w:val="both"/>
        <w:rPr>
          <w:sz w:val="28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ind w:hanging="11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5. </w:t>
      </w:r>
      <w:r w:rsidRPr="00DD4660">
        <w:rPr>
          <w:rFonts w:ascii="Times New Roman" w:hAnsi="Times New Roman"/>
          <w:color w:val="auto"/>
          <w:sz w:val="28"/>
          <w:szCs w:val="24"/>
        </w:rPr>
        <w:t>S4. HORMONI UN VIELMAIŅAS MODULATORI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Ir aizliegti šādi hormoni un vielmaiņas modulatori: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1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 xml:space="preserve">1. </w:t>
      </w:r>
      <w:r w:rsidRPr="00DD4660">
        <w:rPr>
          <w:rFonts w:ascii="Times New Roman" w:hAnsi="Times New Roman" w:cs="Times New Roman"/>
          <w:sz w:val="28"/>
          <w:szCs w:val="24"/>
        </w:rPr>
        <w:t>aromatāzes</w:t>
      </w:r>
      <w:r w:rsidRPr="00DD4660">
        <w:rPr>
          <w:rFonts w:ascii="Times New Roman" w:hAnsi="Times New Roman" w:cs="Times New Roman"/>
          <w:sz w:val="28"/>
          <w:szCs w:val="24"/>
        </w:rPr>
        <w:t xml:space="preserve"> inhibitori, tostarp arī šādi:</w:t>
      </w:r>
    </w:p>
    <w:p w:rsidR="00C44C44" w:rsidRPr="00DD4660" w:rsidP="00C44C44">
      <w:pPr>
        <w:pStyle w:val="BodyText"/>
        <w:widowControl/>
        <w:tabs>
          <w:tab w:val="left" w:pos="321"/>
        </w:tabs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4-androstēn-3,6,17-trions</w:t>
      </w:r>
      <w:r w:rsidR="00FB253D">
        <w:rPr>
          <w:rFonts w:ascii="Times New Roman" w:hAnsi="Times New Roman" w:cs="Times New Roman"/>
          <w:sz w:val="28"/>
          <w:szCs w:val="24"/>
        </w:rPr>
        <w:t xml:space="preserve"> (</w:t>
      </w:r>
      <w:r w:rsidRPr="00683104" w:rsidR="00FB253D">
        <w:rPr>
          <w:rFonts w:ascii="Times New Roman" w:hAnsi="Times New Roman" w:cs="Times New Roman"/>
          <w:sz w:val="28"/>
          <w:szCs w:val="24"/>
        </w:rPr>
        <w:t>6-oxo</w:t>
      </w:r>
      <w:r w:rsidR="00FB253D">
        <w:rPr>
          <w:rFonts w:ascii="Times New Roman" w:hAnsi="Times New Roman" w:cs="Times New Roman"/>
          <w:sz w:val="28"/>
          <w:szCs w:val="24"/>
        </w:rPr>
        <w:t>)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tabs>
          <w:tab w:val="left" w:pos="321"/>
        </w:tabs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aminoglutetimīds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anastrozols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androsta-1,4,6-triēn-3,17-dions (</w:t>
      </w:r>
      <w:r w:rsidRPr="00DD4660">
        <w:rPr>
          <w:rFonts w:ascii="Times New Roman" w:hAnsi="Times New Roman" w:cs="Times New Roman"/>
          <w:sz w:val="28"/>
          <w:szCs w:val="24"/>
        </w:rPr>
        <w:t>androstatriēndions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androsta-3,5-diēn-7,17-dions (</w:t>
      </w:r>
      <w:r w:rsidRPr="00DD4660">
        <w:rPr>
          <w:rFonts w:ascii="Times New Roman" w:hAnsi="Times New Roman" w:cs="Times New Roman"/>
          <w:sz w:val="28"/>
          <w:szCs w:val="24"/>
        </w:rPr>
        <w:t>arimistāns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eksemestāns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formestāns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letrozols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testolaktons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>2. selektīvie estrogēnu receptoru modulatori (</w:t>
      </w:r>
      <w:r w:rsidRPr="00DD4660">
        <w:rPr>
          <w:rFonts w:ascii="Times New Roman" w:hAnsi="Times New Roman" w:cs="Times New Roman"/>
          <w:i/>
          <w:sz w:val="28"/>
          <w:szCs w:val="24"/>
        </w:rPr>
        <w:t>SERM</w:t>
      </w:r>
      <w:r w:rsidRPr="00DD4660">
        <w:rPr>
          <w:rFonts w:ascii="Times New Roman" w:hAnsi="Times New Roman" w:cs="Times New Roman"/>
          <w:sz w:val="28"/>
          <w:szCs w:val="24"/>
        </w:rPr>
        <w:t>), tostarp arī šādi: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raloksifēns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tamoksifēns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toremifēns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 xml:space="preserve">3. citas </w:t>
      </w:r>
      <w:r w:rsidR="006E0346">
        <w:rPr>
          <w:rFonts w:ascii="Times New Roman" w:hAnsi="Times New Roman" w:cs="Times New Roman"/>
          <w:sz w:val="28"/>
          <w:szCs w:val="24"/>
        </w:rPr>
        <w:t>antiestrogēniskas</w:t>
      </w:r>
      <w:r w:rsidR="006E0346">
        <w:rPr>
          <w:rFonts w:ascii="Times New Roman" w:hAnsi="Times New Roman" w:cs="Times New Roman"/>
          <w:sz w:val="28"/>
          <w:szCs w:val="24"/>
        </w:rPr>
        <w:t xml:space="preserve"> vielas</w:t>
      </w:r>
      <w:r w:rsidRPr="00DD4660">
        <w:rPr>
          <w:rFonts w:ascii="Times New Roman" w:hAnsi="Times New Roman" w:cs="Times New Roman"/>
          <w:sz w:val="28"/>
          <w:szCs w:val="24"/>
        </w:rPr>
        <w:t>, tostarp arī šādas: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klomifēns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ciklofenils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fulvestrants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44F6A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 w:rsidR="00C44C44">
        <w:rPr>
          <w:rFonts w:ascii="Times New Roman" w:hAnsi="Times New Roman" w:cs="Times New Roman"/>
          <w:sz w:val="28"/>
          <w:szCs w:val="24"/>
        </w:rPr>
        <w:t xml:space="preserve">4. </w:t>
      </w:r>
      <w:r w:rsidRPr="00DD4660" w:rsidR="00C44C44">
        <w:rPr>
          <w:rFonts w:ascii="Times New Roman" w:hAnsi="Times New Roman" w:cs="Times New Roman"/>
          <w:sz w:val="28"/>
          <w:szCs w:val="24"/>
        </w:rPr>
        <w:t>miostatīna</w:t>
      </w:r>
      <w:r w:rsidRPr="00DD4660" w:rsidR="00C44C44">
        <w:rPr>
          <w:rFonts w:ascii="Times New Roman" w:hAnsi="Times New Roman" w:cs="Times New Roman"/>
          <w:sz w:val="28"/>
          <w:szCs w:val="24"/>
        </w:rPr>
        <w:t xml:space="preserve"> funkciju(-</w:t>
      </w:r>
      <w:r w:rsidRPr="00DD4660" w:rsidR="00C44C44">
        <w:rPr>
          <w:rFonts w:ascii="Times New Roman" w:hAnsi="Times New Roman" w:cs="Times New Roman"/>
          <w:sz w:val="28"/>
          <w:szCs w:val="24"/>
        </w:rPr>
        <w:t>as</w:t>
      </w:r>
      <w:r w:rsidRPr="00DD4660" w:rsidR="00C44C44">
        <w:rPr>
          <w:rFonts w:ascii="Times New Roman" w:hAnsi="Times New Roman" w:cs="Times New Roman"/>
          <w:sz w:val="28"/>
          <w:szCs w:val="24"/>
        </w:rPr>
        <w:t xml:space="preserve">) modificējoši līdzekļi, tostarp arī šādi: </w:t>
      </w:r>
    </w:p>
    <w:p w:rsidR="00C44C44" w:rsidRPr="00DD4660" w:rsidP="00744F6A">
      <w:pPr>
        <w:pStyle w:val="BodyText"/>
        <w:widowControl/>
        <w:tabs>
          <w:tab w:val="left" w:pos="320"/>
        </w:tabs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miostatīna</w:t>
      </w:r>
      <w:r w:rsidRPr="00DD4660">
        <w:rPr>
          <w:rFonts w:ascii="Times New Roman" w:hAnsi="Times New Roman" w:cs="Times New Roman"/>
          <w:sz w:val="28"/>
          <w:szCs w:val="24"/>
        </w:rPr>
        <w:t xml:space="preserve"> inhibitor</w:t>
      </w:r>
      <w:r w:rsidRPr="00DD4660" w:rsidR="00FC39F5">
        <w:rPr>
          <w:rFonts w:ascii="Times New Roman" w:hAnsi="Times New Roman" w:cs="Times New Roman"/>
          <w:sz w:val="28"/>
          <w:szCs w:val="24"/>
        </w:rPr>
        <w:t>i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>5. vielmaiņas modulatori:</w:t>
      </w: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 xml:space="preserve">5.1. AMP aktivētās </w:t>
      </w:r>
      <w:r w:rsidRPr="00DD4660">
        <w:rPr>
          <w:rFonts w:ascii="Times New Roman" w:hAnsi="Times New Roman" w:cs="Times New Roman"/>
          <w:sz w:val="28"/>
          <w:szCs w:val="24"/>
        </w:rPr>
        <w:t>proteīnkināzes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aktivatori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i/>
          <w:sz w:val="28"/>
          <w:szCs w:val="24"/>
        </w:rPr>
        <w:t>AMPK</w:t>
      </w:r>
      <w:r w:rsidRPr="00DD4660">
        <w:rPr>
          <w:rFonts w:ascii="Times New Roman" w:hAnsi="Times New Roman" w:cs="Times New Roman"/>
          <w:sz w:val="28"/>
          <w:szCs w:val="24"/>
        </w:rPr>
        <w:t xml:space="preserve">), piemēram, </w:t>
      </w:r>
      <w:r w:rsidRPr="00DD4660">
        <w:rPr>
          <w:rFonts w:ascii="Times New Roman" w:hAnsi="Times New Roman" w:cs="Times New Roman"/>
          <w:i/>
          <w:sz w:val="28"/>
          <w:szCs w:val="24"/>
        </w:rPr>
        <w:t>AICAR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SR9009</w:t>
      </w:r>
      <w:r w:rsidRPr="00DD4660" w:rsidR="007D5222">
        <w:rPr>
          <w:rFonts w:ascii="Times New Roman" w:hAnsi="Times New Roman" w:cs="Times New Roman"/>
          <w:sz w:val="28"/>
          <w:szCs w:val="24"/>
        </w:rPr>
        <w:t>;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 w:rsidR="00664E42">
        <w:rPr>
          <w:rFonts w:ascii="Times New Roman" w:hAnsi="Times New Roman" w:cs="Times New Roman"/>
          <w:sz w:val="28"/>
          <w:szCs w:val="24"/>
        </w:rPr>
        <w:t>peroksisom</w:t>
      </w:r>
      <w:r w:rsidR="00664E42">
        <w:rPr>
          <w:rFonts w:ascii="Times New Roman" w:hAnsi="Times New Roman" w:cs="Times New Roman"/>
          <w:sz w:val="28"/>
          <w:szCs w:val="24"/>
        </w:rPr>
        <w:t>u</w:t>
      </w:r>
      <w:r w:rsidRPr="00DD4660" w:rsidR="00664E42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proliferācijas</w:t>
      </w:r>
      <w:r w:rsidRPr="00DD4660">
        <w:rPr>
          <w:rFonts w:ascii="Times New Roman" w:hAnsi="Times New Roman" w:cs="Times New Roman"/>
          <w:sz w:val="28"/>
          <w:szCs w:val="24"/>
        </w:rPr>
        <w:t xml:space="preserve"> aktivētā receptor</w:t>
      </w:r>
      <w:r w:rsidR="00221A35">
        <w:rPr>
          <w:rFonts w:ascii="Times New Roman" w:hAnsi="Times New Roman" w:cs="Times New Roman"/>
          <w:sz w:val="28"/>
          <w:szCs w:val="24"/>
        </w:rPr>
        <w:t>a δ (</w:t>
      </w:r>
      <w:r w:rsidR="00221A35">
        <w:rPr>
          <w:rFonts w:ascii="Times New Roman" w:hAnsi="Times New Roman" w:cs="Times New Roman"/>
          <w:sz w:val="28"/>
          <w:szCs w:val="24"/>
        </w:rPr>
        <w:t>PPARδ</w:t>
      </w:r>
      <w:r w:rsidR="00221A35">
        <w:rPr>
          <w:rFonts w:ascii="Times New Roman" w:hAnsi="Times New Roman" w:cs="Times New Roman"/>
          <w:sz w:val="28"/>
          <w:szCs w:val="24"/>
        </w:rPr>
        <w:t xml:space="preserve">) agonisti, piemēram, </w:t>
      </w:r>
      <w:r w:rsidRPr="00DD4660">
        <w:rPr>
          <w:rFonts w:ascii="Times New Roman" w:hAnsi="Times New Roman" w:cs="Times New Roman"/>
          <w:sz w:val="28"/>
          <w:szCs w:val="24"/>
        </w:rPr>
        <w:t>2-(2-metil-4-((4-metil-2-(4-(trifluormetil)fenil)tiazol-5-il)metiltio)fenoksi) etiķskābe (GW1516, GW501516);</w:t>
      </w: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 xml:space="preserve">5.2. insulīni un insulīna </w:t>
      </w:r>
      <w:r w:rsidRPr="00DD4660">
        <w:rPr>
          <w:rFonts w:ascii="Times New Roman" w:hAnsi="Times New Roman" w:cs="Times New Roman"/>
          <w:sz w:val="28"/>
          <w:szCs w:val="24"/>
        </w:rPr>
        <w:t>mimēti</w:t>
      </w:r>
      <w:r w:rsidR="00C81C5C">
        <w:rPr>
          <w:rFonts w:ascii="Times New Roman" w:hAnsi="Times New Roman" w:cs="Times New Roman"/>
          <w:sz w:val="28"/>
          <w:szCs w:val="24"/>
        </w:rPr>
        <w:t>skie</w:t>
      </w:r>
      <w:r w:rsidR="00C81C5C">
        <w:rPr>
          <w:rFonts w:ascii="Times New Roman" w:hAnsi="Times New Roman" w:cs="Times New Roman"/>
          <w:sz w:val="28"/>
          <w:szCs w:val="24"/>
        </w:rPr>
        <w:t xml:space="preserve"> līdzekļi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 xml:space="preserve">5.3. </w:t>
      </w:r>
      <w:r w:rsidRPr="00DD4660">
        <w:rPr>
          <w:rFonts w:ascii="Times New Roman" w:hAnsi="Times New Roman" w:cs="Times New Roman"/>
          <w:sz w:val="28"/>
          <w:szCs w:val="24"/>
        </w:rPr>
        <w:t>meldonijs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tabs>
          <w:tab w:val="left" w:pos="709"/>
        </w:tabs>
        <w:kinsoku w:val="0"/>
        <w:overflowPunct w:val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5.</w:t>
      </w:r>
      <w:r w:rsidRPr="00DD4660">
        <w:rPr>
          <w:rFonts w:ascii="Times New Roman" w:hAnsi="Times New Roman" w:cs="Times New Roman"/>
          <w:sz w:val="28"/>
          <w:szCs w:val="24"/>
        </w:rPr>
        <w:t xml:space="preserve">5.4. </w:t>
      </w:r>
      <w:r w:rsidRPr="00DD4660">
        <w:rPr>
          <w:rFonts w:ascii="Times New Roman" w:hAnsi="Times New Roman" w:cs="Times New Roman"/>
          <w:sz w:val="28"/>
          <w:szCs w:val="24"/>
        </w:rPr>
        <w:t>trimetazidīns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jc w:val="both"/>
        <w:rPr>
          <w:sz w:val="28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6. </w:t>
      </w:r>
      <w:r w:rsidRPr="00DD4660">
        <w:rPr>
          <w:rFonts w:ascii="Times New Roman" w:hAnsi="Times New Roman"/>
          <w:color w:val="auto"/>
          <w:sz w:val="28"/>
          <w:szCs w:val="24"/>
        </w:rPr>
        <w:t xml:space="preserve">S5. DIURĒTISKIE LĪDZEKĻI UN CITI </w:t>
      </w:r>
      <w:r w:rsidRPr="00DD4660" w:rsidR="00FB253D">
        <w:rPr>
          <w:rFonts w:ascii="Times New Roman" w:hAnsi="Times New Roman"/>
          <w:color w:val="auto"/>
          <w:sz w:val="28"/>
          <w:szCs w:val="24"/>
        </w:rPr>
        <w:t>MASKĒ</w:t>
      </w:r>
      <w:r w:rsidR="00FB253D">
        <w:rPr>
          <w:rFonts w:ascii="Times New Roman" w:hAnsi="Times New Roman"/>
          <w:color w:val="auto"/>
          <w:sz w:val="28"/>
          <w:szCs w:val="24"/>
        </w:rPr>
        <w:t xml:space="preserve">JOŠIE </w:t>
      </w:r>
      <w:r w:rsidRPr="00DD4660" w:rsidR="00FB253D">
        <w:rPr>
          <w:rFonts w:ascii="Times New Roman" w:hAnsi="Times New Roman"/>
          <w:color w:val="auto"/>
          <w:sz w:val="28"/>
          <w:szCs w:val="24"/>
        </w:rPr>
        <w:t xml:space="preserve">LĪDZEKĻI </w:t>
      </w:r>
      <w:r w:rsidRPr="00DD4660">
        <w:rPr>
          <w:rFonts w:ascii="Times New Roman" w:hAnsi="Times New Roman"/>
          <w:color w:val="auto"/>
          <w:sz w:val="28"/>
          <w:szCs w:val="24"/>
          <w:vertAlign w:val="superscript"/>
        </w:rPr>
        <w:t>5,</w:t>
      </w:r>
      <w:r w:rsidRPr="00DD4660" w:rsidR="00FE7244">
        <w:rPr>
          <w:rFonts w:ascii="Times New Roman" w:hAnsi="Times New Roman"/>
          <w:color w:val="auto"/>
          <w:sz w:val="28"/>
          <w:szCs w:val="24"/>
          <w:vertAlign w:val="superscript"/>
        </w:rPr>
        <w:t>6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Ir aizliegti šādi diurētiskie un maskē</w:t>
      </w:r>
      <w:r w:rsidR="00FB253D">
        <w:rPr>
          <w:rFonts w:ascii="Times New Roman" w:hAnsi="Times New Roman" w:cs="Times New Roman"/>
          <w:sz w:val="28"/>
          <w:szCs w:val="24"/>
        </w:rPr>
        <w:t xml:space="preserve">jošie </w:t>
      </w:r>
      <w:r w:rsidRPr="00DD4660">
        <w:rPr>
          <w:rFonts w:ascii="Times New Roman" w:hAnsi="Times New Roman" w:cs="Times New Roman"/>
          <w:sz w:val="28"/>
          <w:szCs w:val="24"/>
        </w:rPr>
        <w:t>līdzekļi, kā arī citas vielas, kurām ir līdzīga ķīmiskā struktūra vai bioloģiskā iedarbība.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Tostarp ir aizliegti arī šādi līdzekļi:</w:t>
      </w:r>
    </w:p>
    <w:p w:rsidR="00C44C44" w:rsidRPr="00DD4660" w:rsidP="00431630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desmopresīns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probenecīds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plazmas tilpuma palielinātāji (piemēram, intravenozi ievadīts albumīns, </w:t>
      </w:r>
      <w:r w:rsidRPr="00DD4660">
        <w:rPr>
          <w:rFonts w:ascii="Times New Roman" w:hAnsi="Times New Roman" w:cs="Times New Roman"/>
          <w:sz w:val="28"/>
          <w:szCs w:val="24"/>
        </w:rPr>
        <w:t>dekstrāns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hidroksietilciete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mannīts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acetazolamīds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amilorīds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bumetanīds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kanrenons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hlortalidons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etakrīnskābe</w:t>
      </w:r>
      <w:r w:rsidRPr="00DD4660">
        <w:rPr>
          <w:rFonts w:ascii="Times New Roman" w:hAnsi="Times New Roman" w:cs="Times New Roman"/>
          <w:sz w:val="28"/>
          <w:szCs w:val="24"/>
        </w:rPr>
        <w:t xml:space="preserve">, furosemīds, </w:t>
      </w:r>
      <w:r w:rsidRPr="00DD4660">
        <w:rPr>
          <w:rFonts w:ascii="Times New Roman" w:hAnsi="Times New Roman" w:cs="Times New Roman"/>
          <w:sz w:val="28"/>
          <w:szCs w:val="24"/>
        </w:rPr>
        <w:t>indapamīds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metolazons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spironolaktons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tiazīdi</w:t>
      </w:r>
      <w:r w:rsidRPr="00DD4660">
        <w:rPr>
          <w:rFonts w:ascii="Times New Roman" w:hAnsi="Times New Roman" w:cs="Times New Roman"/>
          <w:sz w:val="28"/>
          <w:szCs w:val="24"/>
        </w:rPr>
        <w:t xml:space="preserve"> (piemēram, </w:t>
      </w:r>
      <w:r w:rsidRPr="00DD4660">
        <w:rPr>
          <w:rFonts w:ascii="Times New Roman" w:hAnsi="Times New Roman" w:cs="Times New Roman"/>
          <w:sz w:val="28"/>
          <w:szCs w:val="24"/>
        </w:rPr>
        <w:t>bendroflumetiazīds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hlortiazīds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hidrohlortiazīds</w:t>
      </w:r>
      <w:r w:rsidRPr="00DD4660">
        <w:rPr>
          <w:rFonts w:ascii="Times New Roman" w:hAnsi="Times New Roman" w:cs="Times New Roman"/>
          <w:sz w:val="28"/>
          <w:szCs w:val="24"/>
        </w:rPr>
        <w:t xml:space="preserve">), </w:t>
      </w:r>
      <w:r w:rsidRPr="00DD4660">
        <w:rPr>
          <w:rFonts w:ascii="Times New Roman" w:hAnsi="Times New Roman" w:cs="Times New Roman"/>
          <w:sz w:val="28"/>
          <w:szCs w:val="24"/>
        </w:rPr>
        <w:t>triamterēns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vaptāni</w:t>
      </w:r>
      <w:r w:rsidRPr="00DD4660">
        <w:rPr>
          <w:rFonts w:ascii="Times New Roman" w:hAnsi="Times New Roman" w:cs="Times New Roman"/>
          <w:sz w:val="28"/>
          <w:szCs w:val="24"/>
        </w:rPr>
        <w:t xml:space="preserve"> (piemēram, </w:t>
      </w:r>
      <w:r w:rsidRPr="00DD4660">
        <w:rPr>
          <w:rFonts w:ascii="Times New Roman" w:hAnsi="Times New Roman" w:cs="Times New Roman"/>
          <w:sz w:val="28"/>
          <w:szCs w:val="24"/>
        </w:rPr>
        <w:t>tolvaptāns</w:t>
      </w:r>
      <w:r w:rsidRPr="00DD4660">
        <w:rPr>
          <w:rFonts w:ascii="Times New Roman" w:hAnsi="Times New Roman" w:cs="Times New Roman"/>
          <w:sz w:val="28"/>
          <w:szCs w:val="24"/>
        </w:rPr>
        <w:t>)</w:t>
      </w:r>
      <w:r w:rsidR="00DC0786">
        <w:rPr>
          <w:rFonts w:ascii="Times New Roman" w:hAnsi="Times New Roman" w:cs="Times New Roman"/>
          <w:sz w:val="28"/>
          <w:szCs w:val="24"/>
        </w:rPr>
        <w:t>.</w:t>
      </w:r>
      <w:r w:rsidR="00221A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4C44" w:rsidRPr="00DD4660" w:rsidP="00C44C44">
      <w:pPr>
        <w:pStyle w:val="Heading1"/>
        <w:kinsoku w:val="0"/>
        <w:overflowPunct w:val="0"/>
        <w:spacing w:before="0" w:line="240" w:lineRule="auto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</w:p>
    <w:p w:rsidR="00C44C44" w:rsidRPr="00DD4660" w:rsidP="00C44C44">
      <w:pPr>
        <w:pStyle w:val="Heading1"/>
        <w:kinsoku w:val="0"/>
        <w:overflowPunct w:val="0"/>
        <w:spacing w:before="0" w:line="240" w:lineRule="auto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7. </w:t>
      </w:r>
      <w:r w:rsidRPr="00DD4660">
        <w:rPr>
          <w:rFonts w:ascii="Times New Roman" w:hAnsi="Times New Roman"/>
          <w:color w:val="auto"/>
          <w:sz w:val="28"/>
          <w:szCs w:val="24"/>
        </w:rPr>
        <w:t>AIZLIEGTĀS METODES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ind w:hanging="11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7.1. </w:t>
      </w:r>
      <w:r w:rsidRPr="00DD4660">
        <w:rPr>
          <w:rFonts w:ascii="Times New Roman" w:hAnsi="Times New Roman"/>
          <w:color w:val="auto"/>
          <w:sz w:val="28"/>
          <w:szCs w:val="24"/>
        </w:rPr>
        <w:t>M1. MANIPULĀCIJAS AR ASINĪM UN ASINS KOMPONENTIEM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Ir aizliegtas šādas metodes:</w:t>
      </w:r>
    </w:p>
    <w:p w:rsidR="00C44C44" w:rsidRPr="00DD4660" w:rsidP="00C44C44">
      <w:pPr>
        <w:pStyle w:val="BodyText"/>
        <w:widowControl/>
        <w:tabs>
          <w:tab w:val="left" w:pos="321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284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7.1.</w:t>
      </w:r>
      <w:r w:rsidRPr="00DD4660">
        <w:rPr>
          <w:rFonts w:ascii="Times New Roman" w:hAnsi="Times New Roman" w:cs="Times New Roman"/>
          <w:sz w:val="28"/>
          <w:szCs w:val="24"/>
        </w:rPr>
        <w:t xml:space="preserve">1. jebkādas cilmes un daudzuma </w:t>
      </w:r>
      <w:r w:rsidRPr="00DD4660">
        <w:rPr>
          <w:rFonts w:ascii="Times New Roman" w:hAnsi="Times New Roman" w:cs="Times New Roman"/>
          <w:sz w:val="28"/>
          <w:szCs w:val="24"/>
        </w:rPr>
        <w:t>autologu</w:t>
      </w:r>
      <w:r w:rsidRPr="00DD4660">
        <w:rPr>
          <w:rFonts w:ascii="Times New Roman" w:hAnsi="Times New Roman" w:cs="Times New Roman"/>
          <w:sz w:val="28"/>
          <w:szCs w:val="24"/>
        </w:rPr>
        <w:t>,</w:t>
      </w:r>
      <w:r w:rsidR="00CB1BC4">
        <w:rPr>
          <w:rFonts w:ascii="Times New Roman" w:hAnsi="Times New Roman" w:cs="Times New Roman"/>
          <w:sz w:val="28"/>
          <w:szCs w:val="24"/>
        </w:rPr>
        <w:t xml:space="preserve"> </w:t>
      </w:r>
      <w:r w:rsidR="00CB1BC4">
        <w:rPr>
          <w:rFonts w:ascii="Times New Roman" w:hAnsi="Times New Roman" w:cs="Times New Roman"/>
          <w:sz w:val="28"/>
          <w:szCs w:val="24"/>
        </w:rPr>
        <w:t>alogēn</w:t>
      </w:r>
      <w:r w:rsidR="005A6A2C">
        <w:rPr>
          <w:rFonts w:ascii="Times New Roman" w:hAnsi="Times New Roman" w:cs="Times New Roman"/>
          <w:sz w:val="28"/>
          <w:szCs w:val="24"/>
        </w:rPr>
        <w:t>u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="00D517A1">
        <w:rPr>
          <w:rFonts w:ascii="Times New Roman" w:hAnsi="Times New Roman" w:cs="Times New Roman"/>
          <w:sz w:val="28"/>
          <w:szCs w:val="24"/>
        </w:rPr>
        <w:t>(</w:t>
      </w:r>
      <w:r w:rsidRPr="00DD4660">
        <w:rPr>
          <w:rFonts w:ascii="Times New Roman" w:hAnsi="Times New Roman" w:cs="Times New Roman"/>
          <w:sz w:val="28"/>
          <w:szCs w:val="24"/>
        </w:rPr>
        <w:t>homolog</w:t>
      </w:r>
      <w:r w:rsidR="005A6A2C">
        <w:rPr>
          <w:rFonts w:ascii="Times New Roman" w:hAnsi="Times New Roman" w:cs="Times New Roman"/>
          <w:sz w:val="28"/>
          <w:szCs w:val="24"/>
        </w:rPr>
        <w:t>u</w:t>
      </w:r>
      <w:r w:rsidR="00D517A1">
        <w:rPr>
          <w:rFonts w:ascii="Times New Roman" w:hAnsi="Times New Roman" w:cs="Times New Roman"/>
          <w:sz w:val="28"/>
          <w:szCs w:val="24"/>
        </w:rPr>
        <w:t>)</w:t>
      </w:r>
      <w:r w:rsidRPr="00DD4660">
        <w:rPr>
          <w:rFonts w:ascii="Times New Roman" w:hAnsi="Times New Roman" w:cs="Times New Roman"/>
          <w:sz w:val="28"/>
          <w:szCs w:val="24"/>
        </w:rPr>
        <w:t xml:space="preserve"> vai </w:t>
      </w:r>
      <w:r w:rsidRPr="00DD4660">
        <w:rPr>
          <w:rFonts w:ascii="Times New Roman" w:hAnsi="Times New Roman" w:cs="Times New Roman"/>
          <w:sz w:val="28"/>
          <w:szCs w:val="24"/>
        </w:rPr>
        <w:t>heterolog</w:t>
      </w:r>
      <w:r w:rsidR="005A6A2C">
        <w:rPr>
          <w:rFonts w:ascii="Times New Roman" w:hAnsi="Times New Roman" w:cs="Times New Roman"/>
          <w:sz w:val="28"/>
          <w:szCs w:val="24"/>
        </w:rPr>
        <w:t>u</w:t>
      </w:r>
      <w:r w:rsidRPr="00DD4660">
        <w:rPr>
          <w:rFonts w:ascii="Times New Roman" w:hAnsi="Times New Roman" w:cs="Times New Roman"/>
          <w:sz w:val="28"/>
          <w:szCs w:val="24"/>
        </w:rPr>
        <w:t xml:space="preserve"> asins vai eritrocītu preparātu vai </w:t>
      </w:r>
      <w:r w:rsidR="00FB253D">
        <w:rPr>
          <w:rFonts w:ascii="Times New Roman" w:hAnsi="Times New Roman" w:cs="Times New Roman"/>
          <w:sz w:val="28"/>
          <w:szCs w:val="24"/>
        </w:rPr>
        <w:t>eritrocītu</w:t>
      </w:r>
      <w:r w:rsidRPr="00DD4660">
        <w:rPr>
          <w:rFonts w:ascii="Times New Roman" w:hAnsi="Times New Roman" w:cs="Times New Roman"/>
          <w:sz w:val="28"/>
          <w:szCs w:val="24"/>
        </w:rPr>
        <w:t xml:space="preserve"> pagatavojumu </w:t>
      </w:r>
      <w:r w:rsidRPr="00DD4660">
        <w:rPr>
          <w:rFonts w:ascii="Times New Roman" w:hAnsi="Times New Roman" w:cs="Times New Roman"/>
          <w:i/>
          <w:sz w:val="28"/>
          <w:szCs w:val="24"/>
        </w:rPr>
        <w:t>ievadīšana</w:t>
      </w:r>
      <w:r w:rsidRPr="00DD4660">
        <w:rPr>
          <w:rFonts w:ascii="Times New Roman" w:hAnsi="Times New Roman" w:cs="Times New Roman"/>
          <w:sz w:val="28"/>
          <w:szCs w:val="24"/>
        </w:rPr>
        <w:t xml:space="preserve"> vai </w:t>
      </w:r>
      <w:r w:rsidRPr="00CB0C1E">
        <w:rPr>
          <w:rFonts w:ascii="Times New Roman" w:hAnsi="Times New Roman" w:cs="Times New Roman"/>
          <w:sz w:val="28"/>
          <w:szCs w:val="24"/>
        </w:rPr>
        <w:t>atpakaļievadīšana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tabs>
          <w:tab w:val="left" w:pos="284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284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7.1.</w:t>
      </w:r>
      <w:r w:rsidRPr="00DD4660">
        <w:rPr>
          <w:rFonts w:ascii="Times New Roman" w:hAnsi="Times New Roman" w:cs="Times New Roman"/>
          <w:sz w:val="28"/>
          <w:szCs w:val="24"/>
        </w:rPr>
        <w:t xml:space="preserve">2. skābekļa </w:t>
      </w:r>
      <w:r w:rsidR="000D17A9">
        <w:rPr>
          <w:rFonts w:ascii="Times New Roman" w:hAnsi="Times New Roman" w:cs="Times New Roman"/>
          <w:sz w:val="28"/>
          <w:szCs w:val="24"/>
        </w:rPr>
        <w:t>piesaistes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pārneses</w:t>
      </w:r>
      <w:r w:rsidRPr="00DD4660">
        <w:rPr>
          <w:rFonts w:ascii="Times New Roman" w:hAnsi="Times New Roman" w:cs="Times New Roman"/>
          <w:sz w:val="28"/>
          <w:szCs w:val="24"/>
        </w:rPr>
        <w:t xml:space="preserve"> vai piegādes mākslīga veicināšana.</w:t>
      </w:r>
    </w:p>
    <w:p w:rsidR="00C44C44" w:rsidRPr="00DD4660" w:rsidP="00C44C44">
      <w:pPr>
        <w:pStyle w:val="BodyText"/>
        <w:widowControl/>
        <w:tabs>
          <w:tab w:val="left" w:pos="284"/>
        </w:tabs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Tostarp ir aizliegtas arī šādas metodes:</w:t>
      </w:r>
    </w:p>
    <w:p w:rsidR="00C44C44" w:rsidRPr="00DD4660" w:rsidP="00C44C44">
      <w:pPr>
        <w:pStyle w:val="BodyText"/>
        <w:widowControl/>
        <w:tabs>
          <w:tab w:val="left" w:pos="284"/>
        </w:tabs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perfluorsavienojumu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efaproksirāla</w:t>
      </w:r>
      <w:r w:rsidRPr="00DD4660">
        <w:rPr>
          <w:rFonts w:ascii="Times New Roman" w:hAnsi="Times New Roman" w:cs="Times New Roman"/>
          <w:sz w:val="28"/>
          <w:szCs w:val="24"/>
        </w:rPr>
        <w:t xml:space="preserve"> (RSR13) un modificēta hemoglobīna preparātu (piemēram, hemoglobīnu saturošu asins aizvietotāju vai</w:t>
      </w:r>
      <w:r w:rsidR="00481DF4">
        <w:rPr>
          <w:rFonts w:ascii="Times New Roman" w:hAnsi="Times New Roman" w:cs="Times New Roman"/>
          <w:sz w:val="28"/>
          <w:szCs w:val="24"/>
        </w:rPr>
        <w:t xml:space="preserve"> </w:t>
      </w:r>
      <w:r w:rsidR="00481DF4">
        <w:rPr>
          <w:rFonts w:ascii="Times New Roman" w:hAnsi="Times New Roman" w:cs="Times New Roman"/>
          <w:sz w:val="28"/>
          <w:szCs w:val="24"/>
        </w:rPr>
        <w:t>mikrokapsulēta</w:t>
      </w:r>
      <w:r w:rsidRPr="00DD4660">
        <w:rPr>
          <w:rFonts w:ascii="Times New Roman" w:hAnsi="Times New Roman" w:cs="Times New Roman"/>
          <w:sz w:val="28"/>
          <w:szCs w:val="24"/>
        </w:rPr>
        <w:t xml:space="preserve"> hemoglobīn</w:t>
      </w:r>
      <w:r w:rsidR="00481DF4">
        <w:rPr>
          <w:rFonts w:ascii="Times New Roman" w:hAnsi="Times New Roman" w:cs="Times New Roman"/>
          <w:sz w:val="28"/>
          <w:szCs w:val="24"/>
        </w:rPr>
        <w:t>a</w:t>
      </w:r>
      <w:r w:rsidRPr="00DD4660">
        <w:rPr>
          <w:rFonts w:ascii="Times New Roman" w:hAnsi="Times New Roman" w:cs="Times New Roman"/>
          <w:sz w:val="28"/>
          <w:szCs w:val="24"/>
        </w:rPr>
        <w:t xml:space="preserve">) lietošana, izņemot </w:t>
      </w:r>
      <w:r w:rsidR="00177A53">
        <w:rPr>
          <w:rFonts w:ascii="Times New Roman" w:hAnsi="Times New Roman" w:cs="Times New Roman"/>
          <w:sz w:val="28"/>
          <w:szCs w:val="24"/>
        </w:rPr>
        <w:t>papildu skābekli inhalācijās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tabs>
          <w:tab w:val="left" w:pos="284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284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7.1.</w:t>
      </w:r>
      <w:r w:rsidRPr="00DD4660">
        <w:rPr>
          <w:rFonts w:ascii="Times New Roman" w:hAnsi="Times New Roman" w:cs="Times New Roman"/>
          <w:sz w:val="28"/>
          <w:szCs w:val="24"/>
        </w:rPr>
        <w:t xml:space="preserve">3. jebkādas </w:t>
      </w:r>
      <w:r w:rsidRPr="00DD4660">
        <w:rPr>
          <w:rFonts w:ascii="Times New Roman" w:hAnsi="Times New Roman" w:cs="Times New Roman"/>
          <w:sz w:val="28"/>
          <w:szCs w:val="24"/>
        </w:rPr>
        <w:t>intravaskulāras</w:t>
      </w:r>
      <w:r w:rsidRPr="00DD4660">
        <w:rPr>
          <w:rFonts w:ascii="Times New Roman" w:hAnsi="Times New Roman" w:cs="Times New Roman"/>
          <w:sz w:val="28"/>
          <w:szCs w:val="24"/>
        </w:rPr>
        <w:t xml:space="preserve"> manipulācijas ar asinīm vai asins komponentiem, izmantojot fizikālas vai ķīmiskas metodes.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ind w:hanging="11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7.2. </w:t>
      </w:r>
      <w:r w:rsidRPr="00DD4660">
        <w:rPr>
          <w:rFonts w:ascii="Times New Roman" w:hAnsi="Times New Roman"/>
          <w:color w:val="auto"/>
          <w:sz w:val="28"/>
          <w:szCs w:val="24"/>
        </w:rPr>
        <w:t>M2. ĶĪMISKAS UN FIZIKĀLAS MANIPULĀCIJAS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Ir aizliegtas šādas metodes: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2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7.2.</w:t>
      </w:r>
      <w:r w:rsidRPr="00DD4660">
        <w:rPr>
          <w:rFonts w:ascii="Times New Roman" w:hAnsi="Times New Roman" w:cs="Times New Roman"/>
          <w:sz w:val="28"/>
          <w:szCs w:val="24"/>
        </w:rPr>
        <w:t>1.</w:t>
      </w:r>
      <w:r w:rsidRPr="00DD4660">
        <w:rPr>
          <w:rFonts w:ascii="Times New Roman" w:hAnsi="Times New Roman" w:cs="Times New Roman"/>
          <w:i/>
          <w:sz w:val="28"/>
          <w:szCs w:val="24"/>
        </w:rPr>
        <w:t xml:space="preserve"> falsifikācija</w:t>
      </w:r>
      <w:r w:rsidRPr="00DD4660">
        <w:rPr>
          <w:rFonts w:ascii="Times New Roman" w:hAnsi="Times New Roman" w:cs="Times New Roman"/>
          <w:sz w:val="28"/>
          <w:szCs w:val="24"/>
        </w:rPr>
        <w:t xml:space="preserve"> vai </w:t>
      </w:r>
      <w:r w:rsidRPr="00DD4660">
        <w:rPr>
          <w:rFonts w:ascii="Times New Roman" w:hAnsi="Times New Roman" w:cs="Times New Roman"/>
          <w:i/>
          <w:sz w:val="28"/>
          <w:szCs w:val="24"/>
        </w:rPr>
        <w:t>falsifikācijas mēģinājums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lai mainītu </w:t>
      </w:r>
      <w:r w:rsidRPr="00DD4660">
        <w:rPr>
          <w:rFonts w:ascii="Times New Roman" w:hAnsi="Times New Roman" w:cs="Times New Roman"/>
          <w:i/>
          <w:sz w:val="28"/>
          <w:szCs w:val="24"/>
        </w:rPr>
        <w:t>dopinga kontroles</w:t>
      </w:r>
      <w:r w:rsidRPr="00DD4660">
        <w:rPr>
          <w:rFonts w:ascii="Times New Roman" w:hAnsi="Times New Roman" w:cs="Times New Roman"/>
          <w:sz w:val="28"/>
          <w:szCs w:val="24"/>
        </w:rPr>
        <w:t xml:space="preserve"> laikā savākto </w:t>
      </w:r>
      <w:r w:rsidRPr="00DD4660">
        <w:rPr>
          <w:rFonts w:ascii="Times New Roman" w:hAnsi="Times New Roman" w:cs="Times New Roman"/>
          <w:i/>
          <w:sz w:val="28"/>
          <w:szCs w:val="24"/>
        </w:rPr>
        <w:t>paraugu</w:t>
      </w:r>
      <w:r w:rsidRPr="00DD4660">
        <w:rPr>
          <w:rFonts w:ascii="Times New Roman" w:hAnsi="Times New Roman" w:cs="Times New Roman"/>
          <w:sz w:val="28"/>
          <w:szCs w:val="24"/>
        </w:rPr>
        <w:t xml:space="preserve"> sākotnējo stāvokli un derīgumu.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Tostarp ir aizliegtas arī šādas darbības:</w:t>
      </w:r>
    </w:p>
    <w:p w:rsidR="00C44C44" w:rsidRPr="00DD4660" w:rsidP="00C44C44">
      <w:pPr>
        <w:pStyle w:val="BodyText"/>
        <w:widowControl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urīna aizvietošana un/vai viltošana (piemēram, </w:t>
      </w:r>
      <w:r w:rsidRPr="00DD4660">
        <w:rPr>
          <w:rFonts w:ascii="Times New Roman" w:hAnsi="Times New Roman" w:cs="Times New Roman"/>
          <w:sz w:val="28"/>
          <w:szCs w:val="24"/>
        </w:rPr>
        <w:t>proteāzes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2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7.2.</w:t>
      </w:r>
      <w:r w:rsidRPr="00DD4660">
        <w:rPr>
          <w:rFonts w:ascii="Times New Roman" w:hAnsi="Times New Roman" w:cs="Times New Roman"/>
          <w:sz w:val="28"/>
          <w:szCs w:val="24"/>
        </w:rPr>
        <w:t>2. ir aizliegtas tāda vielas daudzuma intravenozās infūzijas un/vai injekcijas, kas pārsniedz 100 ml 12 stundu laikā, izņemot, ja tās likumīgi saņemtas, ārstējoties slimnīcā, veicot ķirurģiskas procedūras vai izdarot klīniskos izmeklējumos diagnosticēšanas nolūkā.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7.3. </w:t>
      </w:r>
      <w:r w:rsidRPr="00DD4660">
        <w:rPr>
          <w:rFonts w:ascii="Times New Roman" w:hAnsi="Times New Roman"/>
          <w:color w:val="auto"/>
          <w:sz w:val="28"/>
          <w:szCs w:val="24"/>
        </w:rPr>
        <w:t>M3. GĒNU DOPINGS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Ir aizliegts šāds gēnu dopings, kas var uzlabot sportisko sniegumu:</w:t>
      </w:r>
    </w:p>
    <w:p w:rsidR="00C44C44" w:rsidRPr="00DD4660" w:rsidP="00C44C44">
      <w:pPr>
        <w:pStyle w:val="BodyText"/>
        <w:widowControl/>
        <w:tabs>
          <w:tab w:val="left" w:pos="322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DD4660">
      <w:pPr>
        <w:pStyle w:val="BodyText"/>
        <w:widowControl/>
        <w:tabs>
          <w:tab w:val="left" w:pos="322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</w:rPr>
        <w:t>7.3.</w:t>
      </w:r>
      <w:r w:rsidRPr="00DD4660">
        <w:rPr>
          <w:rFonts w:ascii="Times New Roman" w:hAnsi="Times New Roman" w:cs="Times New Roman"/>
          <w:sz w:val="28"/>
        </w:rPr>
        <w:t>1. nukleīnskābju polimēru vai nukleīnskābju</w:t>
      </w:r>
      <w:r w:rsidRPr="007F6FB7" w:rsidR="00C53BB8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analogu izmantošana;</w:t>
      </w:r>
    </w:p>
    <w:p w:rsidR="00C44C44" w:rsidRPr="00DD4660" w:rsidP="00C44C44">
      <w:pPr>
        <w:pStyle w:val="BodyText"/>
        <w:widowControl/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1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7.3.</w:t>
      </w:r>
      <w:r w:rsidRPr="00DD4660">
        <w:rPr>
          <w:rFonts w:ascii="Times New Roman" w:hAnsi="Times New Roman" w:cs="Times New Roman"/>
          <w:sz w:val="28"/>
          <w:szCs w:val="24"/>
        </w:rPr>
        <w:t xml:space="preserve">2. gēnu rediģēšanas </w:t>
      </w:r>
      <w:r w:rsidR="000E47D0">
        <w:rPr>
          <w:rFonts w:ascii="Times New Roman" w:hAnsi="Times New Roman" w:cs="Times New Roman"/>
          <w:sz w:val="28"/>
          <w:szCs w:val="24"/>
        </w:rPr>
        <w:t>faktoru</w:t>
      </w:r>
      <w:r w:rsidRPr="00DD4660" w:rsidR="000E47D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 xml:space="preserve">lietošana, lai mainītu genoma sekvenci, un/vai gēna ekspresijas </w:t>
      </w:r>
      <w:r w:rsidRPr="00DD4660" w:rsidR="00247622">
        <w:rPr>
          <w:rFonts w:ascii="Times New Roman" w:hAnsi="Times New Roman" w:cs="Times New Roman"/>
          <w:sz w:val="28"/>
          <w:szCs w:val="24"/>
        </w:rPr>
        <w:t>transkripci</w:t>
      </w:r>
      <w:r w:rsidR="00247622">
        <w:rPr>
          <w:rFonts w:ascii="Times New Roman" w:hAnsi="Times New Roman" w:cs="Times New Roman"/>
          <w:sz w:val="28"/>
          <w:szCs w:val="24"/>
        </w:rPr>
        <w:t>onāla</w:t>
      </w:r>
      <w:r w:rsidRPr="00DD4660">
        <w:rPr>
          <w:rFonts w:ascii="Times New Roman" w:hAnsi="Times New Roman" w:cs="Times New Roman"/>
          <w:sz w:val="28"/>
          <w:szCs w:val="24"/>
        </w:rPr>
        <w:t xml:space="preserve">, vai </w:t>
      </w:r>
      <w:r w:rsidRPr="00DD4660">
        <w:rPr>
          <w:rFonts w:ascii="Times New Roman" w:hAnsi="Times New Roman" w:cs="Times New Roman"/>
          <w:sz w:val="28"/>
          <w:szCs w:val="24"/>
        </w:rPr>
        <w:t>epiģenētiska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 w:rsidR="00247622">
        <w:rPr>
          <w:rFonts w:ascii="Times New Roman" w:hAnsi="Times New Roman" w:cs="Times New Roman"/>
          <w:sz w:val="28"/>
          <w:szCs w:val="24"/>
        </w:rPr>
        <w:t>regul</w:t>
      </w:r>
      <w:r w:rsidR="00247622">
        <w:rPr>
          <w:rFonts w:ascii="Times New Roman" w:hAnsi="Times New Roman" w:cs="Times New Roman"/>
          <w:sz w:val="28"/>
          <w:szCs w:val="24"/>
        </w:rPr>
        <w:t>ācija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tabs>
          <w:tab w:val="left" w:pos="326"/>
        </w:tabs>
        <w:kinsoku w:val="0"/>
        <w:overflowPunct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7.3.</w:t>
      </w:r>
      <w:r w:rsidRPr="00DD4660">
        <w:rPr>
          <w:rFonts w:ascii="Times New Roman" w:hAnsi="Times New Roman" w:cs="Times New Roman"/>
          <w:sz w:val="28"/>
          <w:szCs w:val="24"/>
        </w:rPr>
        <w:t>3. normālu vai ģenētiski modificētu šūnu izmantošana.</w:t>
      </w:r>
    </w:p>
    <w:p w:rsidR="009D0B10" w:rsidP="009D0B10">
      <w:pPr>
        <w:rPr>
          <w:sz w:val="28"/>
        </w:rPr>
      </w:pPr>
    </w:p>
    <w:p w:rsidR="00C44C44" w:rsidRPr="00DD4660" w:rsidP="009D0B10">
      <w:pPr>
        <w:rPr>
          <w:sz w:val="28"/>
        </w:rPr>
      </w:pPr>
      <w:r w:rsidRPr="00DD4660">
        <w:rPr>
          <w:sz w:val="28"/>
        </w:rPr>
        <w:t xml:space="preserve">8. </w:t>
      </w:r>
      <w:r w:rsidRPr="00DD4660">
        <w:rPr>
          <w:sz w:val="28"/>
        </w:rPr>
        <w:t>S6. STIMULĒJOŠIE LĪDZEKĻI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Ir aizliegta jebkādu stimulējošo līdzekļu, </w:t>
      </w:r>
      <w:r w:rsidR="000C69D7">
        <w:rPr>
          <w:rFonts w:ascii="Times New Roman" w:hAnsi="Times New Roman" w:cs="Times New Roman"/>
          <w:sz w:val="28"/>
          <w:szCs w:val="24"/>
        </w:rPr>
        <w:t>ieskaitot to</w:t>
      </w:r>
      <w:r w:rsidRPr="00DD4660">
        <w:rPr>
          <w:rFonts w:ascii="Times New Roman" w:hAnsi="Times New Roman" w:cs="Times New Roman"/>
          <w:sz w:val="28"/>
          <w:szCs w:val="24"/>
        </w:rPr>
        <w:t xml:space="preserve"> optisko izomēru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(piemēram, atbilstošā gadījumā </w:t>
      </w:r>
      <w:r w:rsidRPr="00DD4660">
        <w:rPr>
          <w:rFonts w:ascii="Times New Roman" w:hAnsi="Times New Roman" w:cs="Times New Roman"/>
          <w:i/>
          <w:sz w:val="28"/>
          <w:szCs w:val="24"/>
        </w:rPr>
        <w:t>d-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i/>
          <w:sz w:val="28"/>
          <w:szCs w:val="24"/>
        </w:rPr>
        <w:t>l-</w:t>
      </w:r>
      <w:r w:rsidRPr="00DD4660">
        <w:rPr>
          <w:rFonts w:ascii="Times New Roman" w:hAnsi="Times New Roman" w:cs="Times New Roman"/>
          <w:sz w:val="28"/>
          <w:szCs w:val="24"/>
        </w:rPr>
        <w:t>), lietošana.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Stimulējošie līdzekļi ir šādi:</w:t>
      </w:r>
    </w:p>
    <w:p w:rsidR="00EA413C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8.1.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 w:rsidR="00DF16F6">
        <w:rPr>
          <w:rFonts w:ascii="Times New Roman" w:hAnsi="Times New Roman" w:cs="Times New Roman"/>
          <w:sz w:val="28"/>
          <w:szCs w:val="24"/>
        </w:rPr>
        <w:t>ne</w:t>
      </w:r>
      <w:r w:rsidR="006E5408">
        <w:rPr>
          <w:rFonts w:ascii="Times New Roman" w:hAnsi="Times New Roman" w:cs="Times New Roman"/>
          <w:sz w:val="28"/>
          <w:szCs w:val="24"/>
        </w:rPr>
        <w:t>īpaši</w:t>
      </w:r>
      <w:r w:rsidRPr="00DD4660" w:rsidR="00DF16F6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stimulējošie līdzekļi: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adrafinils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amfepramons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amfetamīns;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amfetaminils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amifenazols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benfluorekss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benzilpiperazīns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bromantāns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klobenzorekss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kokaīns;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kropropamīds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krotetamīds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fenkamīns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fenetilīns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fenfluramīns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fenproporekss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fonturacetāms</w:t>
      </w:r>
      <w:r w:rsidRPr="00DD4660">
        <w:rPr>
          <w:rFonts w:ascii="Times New Roman" w:hAnsi="Times New Roman" w:cs="Times New Roman"/>
          <w:sz w:val="28"/>
          <w:szCs w:val="24"/>
        </w:rPr>
        <w:t xml:space="preserve"> [4-fenilpiracetāms (</w:t>
      </w:r>
      <w:r w:rsidRPr="00DD4660">
        <w:rPr>
          <w:rFonts w:ascii="Times New Roman" w:hAnsi="Times New Roman" w:cs="Times New Roman"/>
          <w:sz w:val="28"/>
          <w:szCs w:val="24"/>
        </w:rPr>
        <w:t>karfedons</w:t>
      </w:r>
      <w:r w:rsidRPr="00DD4660">
        <w:rPr>
          <w:rFonts w:ascii="Times New Roman" w:hAnsi="Times New Roman" w:cs="Times New Roman"/>
          <w:sz w:val="28"/>
          <w:szCs w:val="24"/>
        </w:rPr>
        <w:t>)];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furfenorekss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lisdeksamfetamīns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mefenorekss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mefentermīns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mezokarbs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(d-)</w:t>
      </w:r>
      <w:r w:rsidRPr="00DD4660">
        <w:rPr>
          <w:rFonts w:ascii="Times New Roman" w:hAnsi="Times New Roman" w:cs="Times New Roman"/>
          <w:sz w:val="28"/>
          <w:szCs w:val="24"/>
        </w:rPr>
        <w:t>metamfetamīns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p-</w:t>
      </w:r>
      <w:r w:rsidRPr="00DD4660">
        <w:rPr>
          <w:rFonts w:ascii="Times New Roman" w:hAnsi="Times New Roman" w:cs="Times New Roman"/>
          <w:sz w:val="28"/>
          <w:szCs w:val="24"/>
        </w:rPr>
        <w:t>metilamfetamīns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modafinils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norfenfluramīns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fendimetrazīns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fentermīns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prenilamīns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prolintāns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Stimulējošie līdzekļi, kas nav tieši norādīti šajā sarakstā, ir </w:t>
      </w:r>
      <w:r w:rsidR="00DF16F6">
        <w:rPr>
          <w:rFonts w:ascii="Times New Roman" w:hAnsi="Times New Roman" w:cs="Times New Roman"/>
          <w:i/>
          <w:sz w:val="28"/>
          <w:szCs w:val="24"/>
        </w:rPr>
        <w:t>īpa</w:t>
      </w:r>
      <w:r w:rsidR="00F6287B">
        <w:rPr>
          <w:rFonts w:ascii="Times New Roman" w:hAnsi="Times New Roman" w:cs="Times New Roman"/>
          <w:i/>
          <w:sz w:val="28"/>
          <w:szCs w:val="24"/>
        </w:rPr>
        <w:t>šās</w:t>
      </w:r>
      <w:r w:rsidRPr="00DD4660" w:rsidR="00DF16F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6287B">
        <w:rPr>
          <w:rFonts w:ascii="Times New Roman" w:hAnsi="Times New Roman" w:cs="Times New Roman"/>
          <w:i/>
          <w:sz w:val="28"/>
          <w:szCs w:val="24"/>
        </w:rPr>
        <w:t>vielas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DC0B5B">
      <w:pPr>
        <w:pStyle w:val="Heading3"/>
        <w:widowControl/>
        <w:kinsoku w:val="0"/>
        <w:overflowPunct w:val="0"/>
        <w:spacing w:before="0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4660">
        <w:rPr>
          <w:rFonts w:ascii="Times New Roman" w:hAnsi="Times New Roman" w:cs="Times New Roman"/>
          <w:b w:val="0"/>
          <w:sz w:val="28"/>
          <w:szCs w:val="24"/>
        </w:rPr>
        <w:t>8.2.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E5408">
        <w:rPr>
          <w:rFonts w:ascii="Times New Roman" w:hAnsi="Times New Roman" w:cs="Times New Roman"/>
          <w:b w:val="0"/>
          <w:sz w:val="28"/>
          <w:szCs w:val="24"/>
        </w:rPr>
        <w:t>īpaši</w:t>
      </w:r>
      <w:r w:rsidRPr="00DD4660" w:rsidR="00DF16F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>stimulējošie līdzekļi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>piemēr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>am</w:t>
      </w:r>
      <w:r w:rsidRPr="00DD4660"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1,3-dimetilbutilamīns;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4-metilheksān-2-amīns (</w:t>
      </w:r>
      <w:r w:rsidRPr="00DD4660">
        <w:rPr>
          <w:rFonts w:ascii="Times New Roman" w:hAnsi="Times New Roman" w:cs="Times New Roman"/>
          <w:sz w:val="28"/>
          <w:szCs w:val="24"/>
        </w:rPr>
        <w:t>metilheksanamīns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benzfetamīns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katīns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6</w:t>
      </w:r>
      <w:r w:rsidRPr="00DD4660" w:rsidR="00DC0B5B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8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katinons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tā analogi, piemēram, </w:t>
      </w:r>
      <w:r w:rsidRPr="00DD4660">
        <w:rPr>
          <w:rFonts w:ascii="Times New Roman" w:hAnsi="Times New Roman" w:cs="Times New Roman"/>
          <w:sz w:val="28"/>
          <w:szCs w:val="24"/>
        </w:rPr>
        <w:t>mefedrons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metedrons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α-</w:t>
      </w:r>
      <w:r w:rsidRPr="00DD4660">
        <w:rPr>
          <w:rFonts w:ascii="Times New Roman" w:hAnsi="Times New Roman" w:cs="Times New Roman"/>
          <w:sz w:val="28"/>
          <w:szCs w:val="24"/>
        </w:rPr>
        <w:t>pirolidinovalerofenons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dimetilamfetamīns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efedrīns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6</w:t>
      </w:r>
      <w:r w:rsidRPr="00DD4660" w:rsidR="00DC0B5B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9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epinefrīns</w:t>
      </w:r>
      <w:r w:rsidRPr="00DD4660" w:rsidR="00DC0B5B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DD4660">
        <w:rPr>
          <w:rFonts w:ascii="Times New Roman" w:hAnsi="Times New Roman" w:cs="Times New Roman"/>
          <w:sz w:val="28"/>
          <w:szCs w:val="24"/>
        </w:rPr>
        <w:t xml:space="preserve"> (adrenalīns);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etamivāns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etilamfetamīns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etilefrīns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famprofazons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fenbutrazāts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fenkamfamīns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heptaminols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hidroksiamfetamīns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sz w:val="28"/>
          <w:szCs w:val="24"/>
        </w:rPr>
        <w:t>parahidroksiamfetamīns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izometeptēns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levmetamfetamīns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meklofenoksāts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metilēndioksimetamfetamīns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metilefedrīns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6</w:t>
      </w:r>
      <w:r w:rsidRPr="00DD4660" w:rsidR="00DC0B5B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9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metilfenidāts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niketamīds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norfenefrīns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oktopamīns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oksilofrīns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sz w:val="28"/>
          <w:szCs w:val="24"/>
        </w:rPr>
        <w:t>metilsinefrīns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pemolīns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pentetrazols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fenetilamīns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tā atvasinājumi;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fenmetrazīns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fenprometamīns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propilheksedrīns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pseidoefedrīns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6</w:t>
      </w:r>
      <w:r w:rsidRPr="00DD4660" w:rsidR="00DC0B5B">
        <w:rPr>
          <w:rFonts w:ascii="Times New Roman" w:hAnsi="Times New Roman" w:cs="Times New Roman"/>
          <w:sz w:val="28"/>
          <w:szCs w:val="24"/>
          <w:vertAlign w:val="superscript"/>
        </w:rPr>
        <w:t>,1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selegilīns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sibutramīns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strihnīns;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tenamfetamīns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</w:t>
      </w:r>
      <w:r w:rsidRPr="00DD4660">
        <w:rPr>
          <w:rFonts w:ascii="Times New Roman" w:hAnsi="Times New Roman" w:cs="Times New Roman"/>
          <w:sz w:val="28"/>
          <w:szCs w:val="24"/>
        </w:rPr>
        <w:t>metilēndioksiamfetamīns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tuaminoheptāns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un citas vielas, kurām ir līdzīga ķīmiskā struktūra vai bioloģiskā iedarbība</w:t>
      </w:r>
      <w:r w:rsidRPr="00DD4660" w:rsidR="00DC0B5B">
        <w:rPr>
          <w:rFonts w:ascii="Times New Roman" w:hAnsi="Times New Roman" w:cs="Times New Roman"/>
          <w:sz w:val="28"/>
          <w:szCs w:val="24"/>
        </w:rPr>
        <w:t>.</w:t>
      </w:r>
      <w:r w:rsidR="00B20E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0729" w:rsidP="00090729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090729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/>
          <w:sz w:val="28"/>
          <w:szCs w:val="24"/>
        </w:rPr>
        <w:t xml:space="preserve">9. </w:t>
      </w:r>
      <w:r w:rsidRPr="00DD4660">
        <w:rPr>
          <w:rFonts w:ascii="Times New Roman" w:hAnsi="Times New Roman"/>
          <w:sz w:val="28"/>
          <w:szCs w:val="24"/>
        </w:rPr>
        <w:t>S7. NARKOTISKĀS VIELAS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Ir aizliegtas šādas narkotiskās vielas: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buprenorfīns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dekstromoramīds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diamorf</w:t>
      </w:r>
      <w:r w:rsidR="006E5408">
        <w:rPr>
          <w:rFonts w:ascii="Times New Roman" w:hAnsi="Times New Roman" w:cs="Times New Roman"/>
          <w:sz w:val="28"/>
          <w:szCs w:val="24"/>
        </w:rPr>
        <w:t>īn</w:t>
      </w:r>
      <w:r w:rsidRPr="00DD4660">
        <w:rPr>
          <w:rFonts w:ascii="Times New Roman" w:hAnsi="Times New Roman" w:cs="Times New Roman"/>
          <w:sz w:val="28"/>
          <w:szCs w:val="24"/>
        </w:rPr>
        <w:t>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(heroīns);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fentanils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tā atvasinājumi;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hidromorfons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 w:hanging="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metadons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morfijs;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nikomorfijs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oksikodons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oksimorfons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pentazocīns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petidīns.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10. </w:t>
      </w:r>
      <w:r w:rsidRPr="00DD4660">
        <w:rPr>
          <w:rFonts w:ascii="Times New Roman" w:hAnsi="Times New Roman"/>
          <w:color w:val="auto"/>
          <w:sz w:val="28"/>
          <w:szCs w:val="24"/>
        </w:rPr>
        <w:t>S8. KANABINOĪDI</w:t>
      </w:r>
      <w:r w:rsidRPr="00DD4660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DD4660">
        <w:rPr>
          <w:rFonts w:ascii="Times New Roman" w:hAnsi="Times New Roman"/>
          <w:color w:val="auto"/>
          <w:sz w:val="28"/>
          <w:szCs w:val="24"/>
          <w:vertAlign w:val="superscript"/>
        </w:rPr>
        <w:t>1</w:t>
      </w:r>
      <w:r w:rsidRPr="00DD4660" w:rsidR="00FE7244">
        <w:rPr>
          <w:rFonts w:ascii="Times New Roman" w:hAnsi="Times New Roman"/>
          <w:color w:val="auto"/>
          <w:sz w:val="28"/>
          <w:szCs w:val="24"/>
          <w:vertAlign w:val="superscript"/>
        </w:rPr>
        <w:t>2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Ir aizliegti šādi </w:t>
      </w:r>
      <w:r w:rsidRPr="00DD4660">
        <w:rPr>
          <w:rFonts w:ascii="Times New Roman" w:hAnsi="Times New Roman" w:cs="Times New Roman"/>
          <w:sz w:val="28"/>
          <w:szCs w:val="24"/>
        </w:rPr>
        <w:t>kanabinoīdi</w:t>
      </w:r>
      <w:r w:rsidRPr="00DD4660">
        <w:rPr>
          <w:rFonts w:ascii="Times New Roman" w:hAnsi="Times New Roman" w:cs="Times New Roman"/>
          <w:sz w:val="28"/>
          <w:szCs w:val="24"/>
        </w:rPr>
        <w:t>: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dabīgie </w:t>
      </w:r>
      <w:r w:rsidRPr="00DD4660">
        <w:rPr>
          <w:rFonts w:ascii="Times New Roman" w:hAnsi="Times New Roman" w:cs="Times New Roman"/>
          <w:sz w:val="28"/>
          <w:szCs w:val="24"/>
        </w:rPr>
        <w:t>kanabinoīdi</w:t>
      </w:r>
      <w:r w:rsidRPr="00DD4660">
        <w:rPr>
          <w:rFonts w:ascii="Times New Roman" w:hAnsi="Times New Roman" w:cs="Times New Roman"/>
          <w:sz w:val="28"/>
          <w:szCs w:val="24"/>
        </w:rPr>
        <w:t>, piemēram, kanabiss, hašišs un marihuāna;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sintētiskie </w:t>
      </w:r>
      <w:r w:rsidRPr="00DD4660">
        <w:rPr>
          <w:rFonts w:ascii="Times New Roman" w:hAnsi="Times New Roman" w:cs="Times New Roman"/>
          <w:sz w:val="28"/>
          <w:szCs w:val="24"/>
        </w:rPr>
        <w:t>kanabinoīdi</w:t>
      </w:r>
      <w:r w:rsidRPr="00DD4660">
        <w:rPr>
          <w:rFonts w:ascii="Times New Roman" w:hAnsi="Times New Roman" w:cs="Times New Roman"/>
          <w:sz w:val="28"/>
          <w:szCs w:val="24"/>
        </w:rPr>
        <w:t xml:space="preserve">, piemēram, </w:t>
      </w:r>
      <w:r w:rsidRPr="003C1025" w:rsidR="006E5408">
        <w:rPr>
          <w:rFonts w:ascii="Symbol" w:hAnsi="Symbol"/>
          <w:color w:val="231F20"/>
          <w:sz w:val="24"/>
        </w:rPr>
        <w:sym w:font="Symbol" w:char="F044"/>
      </w:r>
      <w:r w:rsidR="001D54D4">
        <w:rPr>
          <w:rFonts w:ascii="Times New Roman" w:hAnsi="Times New Roman" w:cs="Times New Roman"/>
          <w:sz w:val="28"/>
          <w:szCs w:val="24"/>
        </w:rPr>
        <w:t>9-</w:t>
      </w:r>
      <w:r w:rsidRPr="00DD4660">
        <w:rPr>
          <w:rFonts w:ascii="Times New Roman" w:hAnsi="Times New Roman" w:cs="Times New Roman"/>
          <w:sz w:val="28"/>
          <w:szCs w:val="24"/>
        </w:rPr>
        <w:t>tet</w:t>
      </w:r>
      <w:r w:rsidR="001D4E53">
        <w:rPr>
          <w:rFonts w:ascii="Times New Roman" w:hAnsi="Times New Roman" w:cs="Times New Roman"/>
          <w:sz w:val="28"/>
          <w:szCs w:val="24"/>
        </w:rPr>
        <w:t>rahidrokanabinols (</w:t>
      </w:r>
      <w:r w:rsidRPr="00E10986" w:rsidR="001D4E53">
        <w:rPr>
          <w:rFonts w:ascii="Times New Roman" w:hAnsi="Times New Roman" w:cs="Times New Roman"/>
          <w:i/>
          <w:sz w:val="28"/>
          <w:szCs w:val="24"/>
        </w:rPr>
        <w:t>THC</w:t>
      </w:r>
      <w:r w:rsidR="001D4E53">
        <w:rPr>
          <w:rFonts w:ascii="Times New Roman" w:hAnsi="Times New Roman" w:cs="Times New Roman"/>
          <w:sz w:val="28"/>
          <w:szCs w:val="24"/>
        </w:rPr>
        <w:t xml:space="preserve">) un citi </w:t>
      </w:r>
      <w:r w:rsidR="001D4E53">
        <w:rPr>
          <w:rFonts w:ascii="Times New Roman" w:hAnsi="Times New Roman" w:cs="Times New Roman"/>
          <w:sz w:val="28"/>
          <w:szCs w:val="24"/>
        </w:rPr>
        <w:t>kanabimimētiskie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="001D4E53">
        <w:rPr>
          <w:rFonts w:ascii="Times New Roman" w:hAnsi="Times New Roman" w:cs="Times New Roman"/>
          <w:sz w:val="28"/>
          <w:szCs w:val="24"/>
        </w:rPr>
        <w:t>līdzekļi</w:t>
      </w:r>
      <w:r w:rsidRPr="00DD4660" w:rsidR="008428C2">
        <w:rPr>
          <w:rFonts w:ascii="Times New Roman" w:hAnsi="Times New Roman" w:cs="Times New Roman"/>
          <w:sz w:val="28"/>
          <w:szCs w:val="24"/>
        </w:rPr>
        <w:t>.</w:t>
      </w:r>
      <w:r w:rsidR="001D4E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11. </w:t>
      </w:r>
      <w:r w:rsidRPr="00DD4660">
        <w:rPr>
          <w:rFonts w:ascii="Times New Roman" w:hAnsi="Times New Roman"/>
          <w:color w:val="auto"/>
          <w:sz w:val="28"/>
          <w:szCs w:val="24"/>
        </w:rPr>
        <w:t>S9. GLIKOKORTIKOĪDI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Aizliegti ir visi glikokortikoīdi, ja tie organismā tiek ievadīti perorāli, intravenozi, intramuskulāri vai rektāli.</w:t>
      </w:r>
    </w:p>
    <w:p w:rsidR="00F72067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Aizliegti ir</w:t>
      </w:r>
      <w:r w:rsidR="00EB29C8">
        <w:rPr>
          <w:rFonts w:ascii="Times New Roman" w:hAnsi="Times New Roman" w:cs="Times New Roman"/>
          <w:sz w:val="28"/>
          <w:szCs w:val="24"/>
        </w:rPr>
        <w:t xml:space="preserve"> tostarp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="00EB29C8">
        <w:rPr>
          <w:rFonts w:ascii="Times New Roman" w:hAnsi="Times New Roman" w:cs="Times New Roman"/>
          <w:sz w:val="28"/>
          <w:szCs w:val="24"/>
        </w:rPr>
        <w:t>bet ne tikai</w:t>
      </w:r>
      <w:r w:rsidRPr="00DD4660">
        <w:rPr>
          <w:rFonts w:ascii="Times New Roman" w:hAnsi="Times New Roman" w:cs="Times New Roman"/>
          <w:sz w:val="28"/>
          <w:szCs w:val="24"/>
        </w:rPr>
        <w:t>, šādi glikokortikoīdi: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betametazons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budesonīds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kortizons;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deflazakorts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deksametazons;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flutikazons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hidrokortizons;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metilprednizolons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prednizolons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prednizons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C44C44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triamcinolons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E00926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Heading2"/>
        <w:kinsoku w:val="0"/>
        <w:overflowPunct w:val="0"/>
        <w:spacing w:before="0"/>
        <w:contextualSpacing/>
        <w:jc w:val="both"/>
        <w:rPr>
          <w:rFonts w:ascii="Times New Roman" w:hAnsi="Times New Roman"/>
          <w:color w:val="auto"/>
          <w:sz w:val="28"/>
          <w:szCs w:val="24"/>
        </w:rPr>
      </w:pPr>
      <w:r w:rsidRPr="00DD4660">
        <w:rPr>
          <w:rFonts w:ascii="Times New Roman" w:hAnsi="Times New Roman"/>
          <w:color w:val="auto"/>
          <w:sz w:val="28"/>
          <w:szCs w:val="24"/>
        </w:rPr>
        <w:t xml:space="preserve">12. </w:t>
      </w:r>
      <w:r w:rsidRPr="00DD4660">
        <w:rPr>
          <w:rFonts w:ascii="Times New Roman" w:hAnsi="Times New Roman"/>
          <w:color w:val="auto"/>
          <w:sz w:val="28"/>
          <w:szCs w:val="24"/>
        </w:rPr>
        <w:t>P1. B</w:t>
      </w:r>
      <w:r w:rsidR="008C7D74">
        <w:rPr>
          <w:rFonts w:ascii="Times New Roman" w:hAnsi="Times New Roman"/>
          <w:color w:val="auto"/>
          <w:sz w:val="28"/>
          <w:szCs w:val="24"/>
        </w:rPr>
        <w:t>Ē</w:t>
      </w:r>
      <w:r w:rsidRPr="00DD4660">
        <w:rPr>
          <w:rFonts w:ascii="Times New Roman" w:hAnsi="Times New Roman"/>
          <w:color w:val="auto"/>
          <w:sz w:val="28"/>
          <w:szCs w:val="24"/>
        </w:rPr>
        <w:t>TA BLOKATORI</w:t>
      </w:r>
    </w:p>
    <w:p w:rsidR="00C44C44" w:rsidRPr="00DD4660" w:rsidP="00C44C44">
      <w:pPr>
        <w:pStyle w:val="BodyText"/>
        <w:widowControl/>
        <w:kinsoku w:val="0"/>
        <w:overflowPunct w:val="0"/>
        <w:ind w:left="0" w:firstLine="57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 xml:space="preserve">Turpmāk minētajos sporta veidos </w:t>
      </w:r>
      <w:r w:rsidRPr="00DD4660">
        <w:rPr>
          <w:rFonts w:ascii="Times New Roman" w:hAnsi="Times New Roman" w:cs="Times New Roman"/>
          <w:sz w:val="28"/>
          <w:szCs w:val="24"/>
        </w:rPr>
        <w:t>b</w:t>
      </w:r>
      <w:r w:rsidR="003E4337">
        <w:rPr>
          <w:rFonts w:ascii="Times New Roman" w:hAnsi="Times New Roman" w:cs="Times New Roman"/>
          <w:sz w:val="28"/>
          <w:szCs w:val="24"/>
        </w:rPr>
        <w:t>ē</w:t>
      </w:r>
      <w:r w:rsidRPr="00DD4660">
        <w:rPr>
          <w:rFonts w:ascii="Times New Roman" w:hAnsi="Times New Roman" w:cs="Times New Roman"/>
          <w:sz w:val="28"/>
          <w:szCs w:val="24"/>
        </w:rPr>
        <w:t>ta</w:t>
      </w:r>
      <w:r w:rsidRPr="00DD4660">
        <w:rPr>
          <w:rFonts w:ascii="Times New Roman" w:hAnsi="Times New Roman" w:cs="Times New Roman"/>
          <w:sz w:val="28"/>
          <w:szCs w:val="24"/>
        </w:rPr>
        <w:t xml:space="preserve"> blokatoru lietošana ir aizliegta tikai </w:t>
      </w:r>
      <w:r w:rsidRPr="00DD4660">
        <w:rPr>
          <w:rFonts w:ascii="Times New Roman" w:hAnsi="Times New Roman" w:cs="Times New Roman"/>
          <w:i/>
          <w:sz w:val="28"/>
          <w:szCs w:val="24"/>
        </w:rPr>
        <w:t>sacensību laikā</w:t>
      </w:r>
      <w:r w:rsidRPr="00DD4660">
        <w:rPr>
          <w:rFonts w:ascii="Times New Roman" w:hAnsi="Times New Roman" w:cs="Times New Roman"/>
          <w:sz w:val="28"/>
          <w:szCs w:val="24"/>
        </w:rPr>
        <w:t xml:space="preserve">, bet ar zvaigznīti atzīmētajos sporta veidos tā ir aizliegta arī </w:t>
      </w:r>
      <w:r w:rsidRPr="00DD4660">
        <w:rPr>
          <w:rFonts w:ascii="Times New Roman" w:hAnsi="Times New Roman" w:cs="Times New Roman"/>
          <w:i/>
          <w:sz w:val="28"/>
          <w:szCs w:val="24"/>
        </w:rPr>
        <w:t>ārpus sacensību laikā</w:t>
      </w:r>
      <w:r w:rsidR="00885627">
        <w:rPr>
          <w:rFonts w:ascii="Times New Roman" w:hAnsi="Times New Roman" w:cs="Times New Roman"/>
          <w:i/>
          <w:sz w:val="28"/>
          <w:szCs w:val="24"/>
        </w:rPr>
        <w:t>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Loka šaušana (</w:t>
      </w:r>
      <w:r w:rsidRPr="00DB767B">
        <w:rPr>
          <w:rFonts w:ascii="Times New Roman" w:hAnsi="Times New Roman" w:cs="Times New Roman"/>
          <w:i/>
          <w:sz w:val="28"/>
          <w:szCs w:val="24"/>
        </w:rPr>
        <w:t>WA</w:t>
      </w:r>
      <w:r w:rsidRPr="00DD4660">
        <w:rPr>
          <w:rFonts w:ascii="Times New Roman" w:hAnsi="Times New Roman" w:cs="Times New Roman"/>
          <w:sz w:val="28"/>
          <w:szCs w:val="24"/>
        </w:rPr>
        <w:t>)*</w:t>
      </w:r>
      <w:r w:rsidR="00885627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Autosports (</w:t>
      </w:r>
      <w:r w:rsidRPr="00DB767B">
        <w:rPr>
          <w:rFonts w:ascii="Times New Roman" w:hAnsi="Times New Roman" w:cs="Times New Roman"/>
          <w:i/>
          <w:sz w:val="28"/>
          <w:szCs w:val="24"/>
        </w:rPr>
        <w:t>FIA</w:t>
      </w:r>
      <w:r w:rsidRPr="00DD4660">
        <w:rPr>
          <w:rFonts w:ascii="Times New Roman" w:hAnsi="Times New Roman" w:cs="Times New Roman"/>
          <w:sz w:val="28"/>
          <w:szCs w:val="24"/>
        </w:rPr>
        <w:t>)</w:t>
      </w:r>
      <w:r w:rsidR="00885627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Biljards (visās disciplīnās) (</w:t>
      </w:r>
      <w:r w:rsidRPr="00DB767B">
        <w:rPr>
          <w:rFonts w:ascii="Times New Roman" w:hAnsi="Times New Roman" w:cs="Times New Roman"/>
          <w:i/>
          <w:sz w:val="28"/>
          <w:szCs w:val="24"/>
        </w:rPr>
        <w:t>WCBS</w:t>
      </w:r>
      <w:r w:rsidRPr="00DD4660">
        <w:rPr>
          <w:rFonts w:ascii="Times New Roman" w:hAnsi="Times New Roman" w:cs="Times New Roman"/>
          <w:sz w:val="28"/>
          <w:szCs w:val="24"/>
        </w:rPr>
        <w:t>)</w:t>
      </w:r>
      <w:r w:rsidR="00885627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Šautriņu mešana (</w:t>
      </w:r>
      <w:r w:rsidRPr="00DB767B">
        <w:rPr>
          <w:rFonts w:ascii="Times New Roman" w:hAnsi="Times New Roman" w:cs="Times New Roman"/>
          <w:i/>
          <w:sz w:val="28"/>
          <w:szCs w:val="24"/>
        </w:rPr>
        <w:t>WDF</w:t>
      </w:r>
      <w:r w:rsidRPr="00DD4660">
        <w:rPr>
          <w:rFonts w:ascii="Times New Roman" w:hAnsi="Times New Roman" w:cs="Times New Roman"/>
          <w:sz w:val="28"/>
          <w:szCs w:val="24"/>
        </w:rPr>
        <w:t>)</w:t>
      </w:r>
      <w:r w:rsidR="00885627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Golfs (</w:t>
      </w:r>
      <w:r w:rsidRPr="00DB767B">
        <w:rPr>
          <w:rFonts w:ascii="Times New Roman" w:hAnsi="Times New Roman" w:cs="Times New Roman"/>
          <w:i/>
          <w:sz w:val="28"/>
          <w:szCs w:val="24"/>
        </w:rPr>
        <w:t>IGF</w:t>
      </w:r>
      <w:r w:rsidRPr="00DD4660">
        <w:rPr>
          <w:rFonts w:ascii="Times New Roman" w:hAnsi="Times New Roman" w:cs="Times New Roman"/>
          <w:sz w:val="28"/>
          <w:szCs w:val="24"/>
        </w:rPr>
        <w:t>)</w:t>
      </w:r>
      <w:r w:rsidR="00885627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Šaušana (</w:t>
      </w:r>
      <w:r w:rsidRPr="00DB767B">
        <w:rPr>
          <w:rFonts w:ascii="Times New Roman" w:hAnsi="Times New Roman" w:cs="Times New Roman"/>
          <w:i/>
          <w:sz w:val="28"/>
          <w:szCs w:val="24"/>
        </w:rPr>
        <w:t>ISSF, IPC</w:t>
      </w:r>
      <w:r w:rsidRPr="00DD4660">
        <w:rPr>
          <w:rFonts w:ascii="Times New Roman" w:hAnsi="Times New Roman" w:cs="Times New Roman"/>
          <w:sz w:val="28"/>
          <w:szCs w:val="24"/>
        </w:rPr>
        <w:t>)*</w:t>
      </w:r>
      <w:r w:rsidR="00885627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Slēpošana/snovbords (</w:t>
      </w:r>
      <w:r w:rsidRPr="00DB767B">
        <w:rPr>
          <w:rFonts w:ascii="Times New Roman" w:hAnsi="Times New Roman" w:cs="Times New Roman"/>
          <w:i/>
          <w:sz w:val="28"/>
          <w:szCs w:val="24"/>
        </w:rPr>
        <w:t>FIS</w:t>
      </w:r>
      <w:r w:rsidRPr="00DD4660">
        <w:rPr>
          <w:rFonts w:ascii="Times New Roman" w:hAnsi="Times New Roman" w:cs="Times New Roman"/>
          <w:sz w:val="28"/>
          <w:szCs w:val="24"/>
        </w:rPr>
        <w:t xml:space="preserve">) tramplīnlēkšanā, frīstaila </w:t>
      </w:r>
      <w:r w:rsidR="004A6085">
        <w:rPr>
          <w:rFonts w:ascii="Times New Roman" w:hAnsi="Times New Roman" w:cs="Times New Roman"/>
          <w:sz w:val="28"/>
          <w:szCs w:val="24"/>
        </w:rPr>
        <w:t>slēpošanas akrobātikas</w:t>
      </w:r>
      <w:r w:rsidR="005264DC">
        <w:rPr>
          <w:rFonts w:ascii="Times New Roman" w:hAnsi="Times New Roman" w:cs="Times New Roman"/>
          <w:sz w:val="28"/>
          <w:szCs w:val="24"/>
        </w:rPr>
        <w:t>/</w:t>
      </w:r>
      <w:r w:rsidR="00DB7FCC">
        <w:rPr>
          <w:rFonts w:ascii="Times New Roman" w:hAnsi="Times New Roman" w:cs="Times New Roman"/>
          <w:sz w:val="28"/>
          <w:szCs w:val="24"/>
        </w:rPr>
        <w:t>frīstaila slēpošanas rampas disciplīnās</w:t>
      </w:r>
      <w:r w:rsidR="00645915">
        <w:rPr>
          <w:rFonts w:ascii="Times New Roman" w:hAnsi="Times New Roman" w:cs="Times New Roman"/>
          <w:sz w:val="28"/>
          <w:szCs w:val="24"/>
        </w:rPr>
        <w:t xml:space="preserve"> un</w:t>
      </w:r>
      <w:r w:rsidRPr="00DD4660">
        <w:rPr>
          <w:rFonts w:ascii="Times New Roman" w:hAnsi="Times New Roman" w:cs="Times New Roman"/>
          <w:sz w:val="28"/>
          <w:szCs w:val="24"/>
        </w:rPr>
        <w:t xml:space="preserve"> s</w:t>
      </w:r>
      <w:r w:rsidR="00645915">
        <w:rPr>
          <w:rFonts w:ascii="Times New Roman" w:hAnsi="Times New Roman" w:cs="Times New Roman"/>
          <w:sz w:val="28"/>
          <w:szCs w:val="24"/>
        </w:rPr>
        <w:t>novborda rampas/</w:t>
      </w:r>
      <w:r w:rsidR="005964CD">
        <w:rPr>
          <w:rFonts w:ascii="Times New Roman" w:hAnsi="Times New Roman" w:cs="Times New Roman"/>
          <w:sz w:val="28"/>
          <w:szCs w:val="24"/>
        </w:rPr>
        <w:t>snovborda lielā tramplīna disciplīnās</w:t>
      </w:r>
      <w:r w:rsidR="00885627">
        <w:rPr>
          <w:rFonts w:ascii="Times New Roman" w:hAnsi="Times New Roman" w:cs="Times New Roman"/>
          <w:sz w:val="28"/>
          <w:szCs w:val="24"/>
        </w:rPr>
        <w:t>;</w:t>
      </w:r>
    </w:p>
    <w:p w:rsidR="00C44C44" w:rsidRPr="00DD4660" w:rsidP="00FE72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Zemūdens sporta veidi (</w:t>
      </w:r>
      <w:r w:rsidRPr="00DB767B">
        <w:rPr>
          <w:rFonts w:ascii="Times New Roman" w:hAnsi="Times New Roman" w:cs="Times New Roman"/>
          <w:i/>
          <w:sz w:val="28"/>
          <w:szCs w:val="24"/>
        </w:rPr>
        <w:t>CMAS</w:t>
      </w:r>
      <w:r w:rsidRPr="00DD4660">
        <w:rPr>
          <w:rFonts w:ascii="Times New Roman" w:hAnsi="Times New Roman" w:cs="Times New Roman"/>
          <w:sz w:val="28"/>
          <w:szCs w:val="24"/>
        </w:rPr>
        <w:t xml:space="preserve">) – pastāvīga svara </w:t>
      </w:r>
      <w:r w:rsidRPr="00DD4660">
        <w:rPr>
          <w:rFonts w:ascii="Times New Roman" w:hAnsi="Times New Roman" w:cs="Times New Roman"/>
          <w:sz w:val="28"/>
          <w:szCs w:val="24"/>
        </w:rPr>
        <w:t>apnoja</w:t>
      </w:r>
      <w:r w:rsidRPr="00DD4660">
        <w:rPr>
          <w:rFonts w:ascii="Times New Roman" w:hAnsi="Times New Roman" w:cs="Times New Roman"/>
          <w:sz w:val="28"/>
          <w:szCs w:val="24"/>
        </w:rPr>
        <w:t xml:space="preserve"> ar vai bez pleznām, dinamiskā </w:t>
      </w:r>
      <w:r w:rsidRPr="00DD4660">
        <w:rPr>
          <w:rFonts w:ascii="Times New Roman" w:hAnsi="Times New Roman" w:cs="Times New Roman"/>
          <w:sz w:val="28"/>
          <w:szCs w:val="24"/>
        </w:rPr>
        <w:t>apnoja</w:t>
      </w:r>
      <w:r w:rsidRPr="00DD4660">
        <w:rPr>
          <w:rFonts w:ascii="Times New Roman" w:hAnsi="Times New Roman" w:cs="Times New Roman"/>
          <w:sz w:val="28"/>
          <w:szCs w:val="24"/>
        </w:rPr>
        <w:t xml:space="preserve"> ar vai bez pleznām, </w:t>
      </w:r>
      <w:r w:rsidRPr="00DD4660">
        <w:rPr>
          <w:rFonts w:ascii="Times New Roman" w:hAnsi="Times New Roman" w:cs="Times New Roman"/>
          <w:sz w:val="28"/>
          <w:szCs w:val="24"/>
        </w:rPr>
        <w:t>frīdaivings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i/>
          <w:sz w:val="28"/>
          <w:szCs w:val="24"/>
        </w:rPr>
        <w:t>Jump</w:t>
      </w:r>
      <w:r w:rsidRPr="00DD466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i/>
          <w:sz w:val="28"/>
          <w:szCs w:val="24"/>
        </w:rPr>
        <w:t>Blue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apnoja</w:t>
      </w:r>
      <w:r w:rsidRPr="00DD4660">
        <w:rPr>
          <w:rFonts w:ascii="Times New Roman" w:hAnsi="Times New Roman" w:cs="Times New Roman"/>
          <w:sz w:val="28"/>
          <w:szCs w:val="24"/>
        </w:rPr>
        <w:t xml:space="preserve">, zemūdens medības, statiskā </w:t>
      </w:r>
      <w:r w:rsidRPr="00DD4660">
        <w:rPr>
          <w:rFonts w:ascii="Times New Roman" w:hAnsi="Times New Roman" w:cs="Times New Roman"/>
          <w:sz w:val="28"/>
          <w:szCs w:val="24"/>
        </w:rPr>
        <w:t>apnoja</w:t>
      </w:r>
      <w:r w:rsidRPr="00DD4660">
        <w:rPr>
          <w:rFonts w:ascii="Times New Roman" w:hAnsi="Times New Roman" w:cs="Times New Roman"/>
          <w:sz w:val="28"/>
          <w:szCs w:val="24"/>
        </w:rPr>
        <w:t xml:space="preserve">, zemūdens šaušana un mainīga svara </w:t>
      </w:r>
      <w:r w:rsidRPr="00DD4660">
        <w:rPr>
          <w:rFonts w:ascii="Times New Roman" w:hAnsi="Times New Roman" w:cs="Times New Roman"/>
          <w:sz w:val="28"/>
          <w:szCs w:val="24"/>
        </w:rPr>
        <w:t>apnoja</w:t>
      </w:r>
      <w:r w:rsidR="00C07996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* </w:t>
      </w:r>
      <w:r w:rsidRPr="00DD4660">
        <w:rPr>
          <w:rFonts w:ascii="Times New Roman" w:hAnsi="Times New Roman" w:cs="Times New Roman"/>
          <w:sz w:val="28"/>
          <w:szCs w:val="24"/>
        </w:rPr>
        <w:t>B</w:t>
      </w:r>
      <w:r w:rsidR="004A6085">
        <w:rPr>
          <w:rFonts w:ascii="Times New Roman" w:hAnsi="Times New Roman" w:cs="Times New Roman"/>
          <w:sz w:val="28"/>
          <w:szCs w:val="24"/>
        </w:rPr>
        <w:t>ē</w:t>
      </w:r>
      <w:r w:rsidRPr="00DD4660">
        <w:rPr>
          <w:rFonts w:ascii="Times New Roman" w:hAnsi="Times New Roman" w:cs="Times New Roman"/>
          <w:sz w:val="28"/>
          <w:szCs w:val="24"/>
        </w:rPr>
        <w:t>ta</w:t>
      </w:r>
      <w:r w:rsidRPr="00DD4660">
        <w:rPr>
          <w:rFonts w:ascii="Times New Roman" w:hAnsi="Times New Roman" w:cs="Times New Roman"/>
          <w:sz w:val="28"/>
          <w:szCs w:val="24"/>
        </w:rPr>
        <w:t xml:space="preserve"> blokatoru lietošana ir aizliegta arī </w:t>
      </w:r>
      <w:r w:rsidRPr="00DD4660">
        <w:rPr>
          <w:rFonts w:ascii="Times New Roman" w:hAnsi="Times New Roman" w:cs="Times New Roman"/>
          <w:i/>
          <w:sz w:val="28"/>
          <w:szCs w:val="24"/>
        </w:rPr>
        <w:t>ārpus sacensību laikā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</w:t>
      </w:r>
      <w:r w:rsidR="004A6085">
        <w:rPr>
          <w:rFonts w:ascii="Times New Roman" w:hAnsi="Times New Roman" w:cs="Times New Roman"/>
          <w:sz w:val="28"/>
          <w:szCs w:val="24"/>
        </w:rPr>
        <w:t>ē</w:t>
      </w:r>
      <w:r w:rsidRPr="00DD4660">
        <w:rPr>
          <w:rFonts w:ascii="Times New Roman" w:hAnsi="Times New Roman" w:cs="Times New Roman"/>
          <w:sz w:val="28"/>
          <w:szCs w:val="24"/>
        </w:rPr>
        <w:t>ta</w:t>
      </w:r>
      <w:r w:rsidRPr="00DD4660">
        <w:rPr>
          <w:rFonts w:ascii="Times New Roman" w:hAnsi="Times New Roman" w:cs="Times New Roman"/>
          <w:sz w:val="28"/>
          <w:szCs w:val="24"/>
        </w:rPr>
        <w:t xml:space="preserve"> blokatoru piemēri: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E7244" w:rsidRPr="00DD4660" w:rsidP="00FE7244">
      <w:pPr>
        <w:pStyle w:val="BodyText"/>
        <w:widowControl/>
        <w:tabs>
          <w:tab w:val="left" w:pos="1824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acebutolols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alprenolols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atenolols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betaksolols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bisoprolols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bunolols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645915" w:rsidRPr="00DD4660" w:rsidP="00645915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karteolols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645915" w:rsidRPr="00DD4660" w:rsidP="00645915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karvedilols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celiprolols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esmolols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4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labetalols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levobunolols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meti</w:t>
      </w:r>
      <w:r w:rsidRPr="00DD4660">
        <w:rPr>
          <w:rFonts w:ascii="Times New Roman" w:hAnsi="Times New Roman" w:cs="Times New Roman"/>
          <w:sz w:val="28"/>
          <w:szCs w:val="24"/>
        </w:rPr>
        <w:t>pranolols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metoprolols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nadolols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oksprenolols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pindolols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propranolols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sotalols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FE7244" w:rsidRPr="00DD4660" w:rsidP="00FE7244">
      <w:pPr>
        <w:pStyle w:val="BodyText"/>
        <w:widowControl/>
        <w:tabs>
          <w:tab w:val="left" w:pos="1823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timolols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F72067" w:rsidP="00BA484E">
      <w:pPr>
        <w:rPr>
          <w:sz w:val="28"/>
        </w:rPr>
      </w:pPr>
    </w:p>
    <w:p w:rsidR="00F72067" w:rsidP="00BA484E">
      <w:pPr>
        <w:rPr>
          <w:sz w:val="28"/>
        </w:rPr>
      </w:pPr>
    </w:p>
    <w:p w:rsidR="00C44C44" w:rsidRPr="00DD4660" w:rsidP="00BA484E">
      <w:pPr>
        <w:rPr>
          <w:sz w:val="28"/>
        </w:rPr>
      </w:pPr>
      <w:r w:rsidRPr="00DD4660">
        <w:rPr>
          <w:sz w:val="28"/>
        </w:rPr>
        <w:t xml:space="preserve">Piezīmes: </w:t>
      </w:r>
    </w:p>
    <w:p w:rsidR="00C44C44" w:rsidRPr="00DD4660" w:rsidP="00C44C44">
      <w:pPr>
        <w:pStyle w:val="BodyText"/>
        <w:widowControl/>
        <w:tabs>
          <w:tab w:val="left" w:pos="360"/>
        </w:tabs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>
        <w:rPr>
          <w:rFonts w:ascii="Times New Roman" w:hAnsi="Times New Roman" w:cs="Times New Roman"/>
          <w:sz w:val="28"/>
          <w:szCs w:val="24"/>
        </w:rPr>
        <w:t> “</w:t>
      </w:r>
      <w:r w:rsidRPr="00DD4660" w:rsidR="00C61DD3">
        <w:rPr>
          <w:rFonts w:ascii="Times New Roman" w:hAnsi="Times New Roman" w:cs="Times New Roman"/>
          <w:sz w:val="28"/>
          <w:szCs w:val="24"/>
        </w:rPr>
        <w:t>E</w:t>
      </w:r>
      <w:r w:rsidRPr="00DD4660">
        <w:rPr>
          <w:rFonts w:ascii="Times New Roman" w:hAnsi="Times New Roman" w:cs="Times New Roman"/>
          <w:sz w:val="28"/>
          <w:szCs w:val="24"/>
        </w:rPr>
        <w:t>ksogēna” viela ir viela, ko organisms parasti nevar izstrādāt dabiskā veidā;</w:t>
      </w:r>
    </w:p>
    <w:p w:rsidR="00C44C44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DD4660">
        <w:rPr>
          <w:rFonts w:ascii="Times New Roman" w:hAnsi="Times New Roman" w:cs="Times New Roman"/>
          <w:sz w:val="28"/>
          <w:szCs w:val="24"/>
        </w:rPr>
        <w:t xml:space="preserve"> “</w:t>
      </w:r>
      <w:r w:rsidRPr="00DD4660" w:rsidR="00C61DD3">
        <w:rPr>
          <w:rFonts w:ascii="Times New Roman" w:hAnsi="Times New Roman" w:cs="Times New Roman"/>
          <w:sz w:val="28"/>
          <w:szCs w:val="24"/>
        </w:rPr>
        <w:t>E</w:t>
      </w:r>
      <w:r w:rsidRPr="00DD4660">
        <w:rPr>
          <w:rFonts w:ascii="Times New Roman" w:hAnsi="Times New Roman" w:cs="Times New Roman"/>
          <w:sz w:val="28"/>
          <w:szCs w:val="24"/>
        </w:rPr>
        <w:t>ndogēna</w:t>
      </w:r>
      <w:r w:rsidRPr="00DD4660">
        <w:rPr>
          <w:rFonts w:ascii="Times New Roman" w:hAnsi="Times New Roman" w:cs="Times New Roman"/>
          <w:sz w:val="28"/>
          <w:szCs w:val="24"/>
        </w:rPr>
        <w:t>” viela ir viela, kas organismā parasti veidojas dabiski.</w:t>
      </w:r>
    </w:p>
    <w:p w:rsidR="00824871" w:rsidRPr="00DD4660" w:rsidP="00621978">
      <w:pPr>
        <w:pStyle w:val="BodyText"/>
        <w:widowControl/>
        <w:numPr>
          <w:ilvl w:val="0"/>
          <w:numId w:val="11"/>
        </w:numPr>
        <w:kinsoku w:val="0"/>
        <w:overflowPunct w:val="0"/>
        <w:ind w:left="270" w:hanging="27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I</w:t>
      </w:r>
      <w:r w:rsidRPr="00DD4660">
        <w:rPr>
          <w:rFonts w:ascii="Times New Roman" w:hAnsi="Times New Roman" w:cs="Times New Roman"/>
          <w:sz w:val="28"/>
          <w:szCs w:val="24"/>
        </w:rPr>
        <w:t>zņemot</w:t>
      </w:r>
      <w:r w:rsidRPr="00DD4660" w:rsidR="00FE7244">
        <w:rPr>
          <w:rFonts w:ascii="Times New Roman" w:hAnsi="Times New Roman" w:cs="Times New Roman"/>
          <w:sz w:val="28"/>
          <w:szCs w:val="24"/>
        </w:rPr>
        <w:t>:</w:t>
      </w:r>
    </w:p>
    <w:p w:rsidR="00824871" w:rsidRPr="00DD4660" w:rsidP="00621978">
      <w:pPr>
        <w:pStyle w:val="BodyText"/>
        <w:widowControl/>
        <w:numPr>
          <w:ilvl w:val="0"/>
          <w:numId w:val="12"/>
        </w:numPr>
        <w:kinsoku w:val="0"/>
        <w:overflowPunct w:val="0"/>
        <w:ind w:left="720" w:hanging="45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salbutamolu inhalāciju veidā (ne vairāk kā 1600 </w:t>
      </w:r>
      <w:r w:rsidRPr="00DD4660">
        <w:rPr>
          <w:rFonts w:ascii="Times New Roman" w:hAnsi="Times New Roman" w:cs="Times New Roman"/>
          <w:sz w:val="28"/>
          <w:szCs w:val="24"/>
        </w:rPr>
        <w:t>mikrogrami</w:t>
      </w:r>
      <w:r w:rsidRPr="00DD4660">
        <w:rPr>
          <w:rFonts w:ascii="Times New Roman" w:hAnsi="Times New Roman" w:cs="Times New Roman"/>
          <w:sz w:val="28"/>
          <w:szCs w:val="24"/>
        </w:rPr>
        <w:t xml:space="preserve"> 24 stundu laikā, kas sadalīti vairākās devās, </w:t>
      </w:r>
      <w:r w:rsidR="00645915">
        <w:rPr>
          <w:rFonts w:ascii="Times New Roman" w:hAnsi="Times New Roman" w:cs="Times New Roman"/>
          <w:sz w:val="28"/>
          <w:szCs w:val="24"/>
        </w:rPr>
        <w:t>nepārsniedzot 800 </w:t>
      </w:r>
      <w:r w:rsidR="00645915">
        <w:rPr>
          <w:rFonts w:ascii="Times New Roman" w:hAnsi="Times New Roman" w:cs="Times New Roman"/>
          <w:sz w:val="28"/>
          <w:szCs w:val="24"/>
        </w:rPr>
        <w:t>mikrogramus</w:t>
      </w:r>
      <w:r w:rsidRPr="00DD4660">
        <w:rPr>
          <w:rFonts w:ascii="Times New Roman" w:hAnsi="Times New Roman" w:cs="Times New Roman"/>
          <w:sz w:val="28"/>
          <w:szCs w:val="24"/>
        </w:rPr>
        <w:t xml:space="preserve"> 12 stundu laikā, sākot no jebkuras devas);</w:t>
      </w:r>
    </w:p>
    <w:p w:rsidR="00824871" w:rsidRPr="00DD4660" w:rsidP="00621978">
      <w:pPr>
        <w:pStyle w:val="BodyText"/>
        <w:widowControl/>
        <w:numPr>
          <w:ilvl w:val="0"/>
          <w:numId w:val="12"/>
        </w:numPr>
        <w:kinsoku w:val="0"/>
        <w:overflowPunct w:val="0"/>
        <w:ind w:left="720" w:hanging="45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formoterolu</w:t>
      </w:r>
      <w:r w:rsidRPr="00DD4660">
        <w:rPr>
          <w:rFonts w:ascii="Times New Roman" w:hAnsi="Times New Roman" w:cs="Times New Roman"/>
          <w:sz w:val="28"/>
          <w:szCs w:val="24"/>
        </w:rPr>
        <w:t xml:space="preserve"> inhalāciju veidā (maksimālā saņemtā deva 54 </w:t>
      </w:r>
      <w:r w:rsidRPr="00DD4660">
        <w:rPr>
          <w:rFonts w:ascii="Times New Roman" w:hAnsi="Times New Roman" w:cs="Times New Roman"/>
          <w:sz w:val="28"/>
          <w:szCs w:val="24"/>
        </w:rPr>
        <w:t>mikrogrami</w:t>
      </w:r>
      <w:r w:rsidRPr="00DD4660">
        <w:rPr>
          <w:rFonts w:ascii="Times New Roman" w:hAnsi="Times New Roman" w:cs="Times New Roman"/>
          <w:sz w:val="28"/>
          <w:szCs w:val="24"/>
        </w:rPr>
        <w:t xml:space="preserve"> 24 stundu laikā);</w:t>
      </w:r>
    </w:p>
    <w:p w:rsidR="00824871" w:rsidRPr="00DD4660" w:rsidP="00621978">
      <w:pPr>
        <w:pStyle w:val="BodyText"/>
        <w:widowControl/>
        <w:numPr>
          <w:ilvl w:val="0"/>
          <w:numId w:val="12"/>
        </w:numPr>
        <w:kinsoku w:val="0"/>
        <w:overflowPunct w:val="0"/>
        <w:ind w:left="720" w:hanging="45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salmeterolu inhalāciju veidā (maksimālā saņemtā deva 200 </w:t>
      </w:r>
      <w:r w:rsidRPr="00DD4660">
        <w:rPr>
          <w:rFonts w:ascii="Times New Roman" w:hAnsi="Times New Roman" w:cs="Times New Roman"/>
          <w:sz w:val="28"/>
          <w:szCs w:val="24"/>
        </w:rPr>
        <w:t>mikrogrami</w:t>
      </w:r>
      <w:r w:rsidRPr="00DD4660">
        <w:rPr>
          <w:rFonts w:ascii="Times New Roman" w:hAnsi="Times New Roman" w:cs="Times New Roman"/>
          <w:sz w:val="28"/>
          <w:szCs w:val="24"/>
        </w:rPr>
        <w:t xml:space="preserve"> 24 stundu laikā).</w:t>
      </w:r>
    </w:p>
    <w:p w:rsidR="00824871" w:rsidRPr="00DD4660" w:rsidP="00824871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24871" w:rsidRPr="00DD4660" w:rsidP="00824871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4</w:t>
      </w:r>
      <w:r w:rsidRPr="00DD4660">
        <w:rPr>
          <w:rFonts w:ascii="Times New Roman" w:hAnsi="Times New Roman" w:cs="Times New Roman"/>
          <w:sz w:val="28"/>
          <w:szCs w:val="24"/>
        </w:rPr>
        <w:t xml:space="preserve"> Ja salbutamola koncentrācija urīnā pārsniedz 1000 </w:t>
      </w:r>
      <w:r w:rsidRPr="00DD4660">
        <w:rPr>
          <w:rFonts w:ascii="Times New Roman" w:hAnsi="Times New Roman" w:cs="Times New Roman"/>
          <w:sz w:val="28"/>
          <w:szCs w:val="24"/>
        </w:rPr>
        <w:t>ng</w:t>
      </w:r>
      <w:r w:rsidRPr="00DD4660">
        <w:rPr>
          <w:rFonts w:ascii="Times New Roman" w:hAnsi="Times New Roman" w:cs="Times New Roman"/>
          <w:sz w:val="28"/>
          <w:szCs w:val="24"/>
        </w:rPr>
        <w:t xml:space="preserve">/ml vai </w:t>
      </w:r>
      <w:r w:rsidRPr="00DD4660">
        <w:rPr>
          <w:rFonts w:ascii="Times New Roman" w:hAnsi="Times New Roman" w:cs="Times New Roman"/>
          <w:sz w:val="28"/>
          <w:szCs w:val="24"/>
        </w:rPr>
        <w:t>formoterola</w:t>
      </w:r>
      <w:r w:rsidRPr="00DD4660">
        <w:rPr>
          <w:rFonts w:ascii="Times New Roman" w:hAnsi="Times New Roman" w:cs="Times New Roman"/>
          <w:sz w:val="28"/>
          <w:szCs w:val="24"/>
        </w:rPr>
        <w:t xml:space="preserve"> koncentrācija urīnā pārsniedz 40 </w:t>
      </w:r>
      <w:r w:rsidRPr="00DD4660">
        <w:rPr>
          <w:rFonts w:ascii="Times New Roman" w:hAnsi="Times New Roman" w:cs="Times New Roman"/>
          <w:sz w:val="28"/>
          <w:szCs w:val="24"/>
        </w:rPr>
        <w:t>ng</w:t>
      </w:r>
      <w:r w:rsidRPr="00DD4660">
        <w:rPr>
          <w:rFonts w:ascii="Times New Roman" w:hAnsi="Times New Roman" w:cs="Times New Roman"/>
          <w:sz w:val="28"/>
          <w:szCs w:val="24"/>
        </w:rPr>
        <w:t xml:space="preserve">/ml, nevar uzskatīt, ka viela ir lietota terapeitiskos nolūkos, un to uzskata par nelabvēlīgu analīžu rezultātu, ja vien sportists, veicot kontrolētu </w:t>
      </w:r>
      <w:r w:rsidRPr="00DD4660" w:rsidR="00662B9B">
        <w:rPr>
          <w:rFonts w:ascii="Times New Roman" w:hAnsi="Times New Roman" w:cs="Times New Roman"/>
          <w:sz w:val="28"/>
          <w:szCs w:val="24"/>
        </w:rPr>
        <w:t>farmakokinēti</w:t>
      </w:r>
      <w:r w:rsidR="00662B9B">
        <w:rPr>
          <w:rFonts w:ascii="Times New Roman" w:hAnsi="Times New Roman" w:cs="Times New Roman"/>
          <w:sz w:val="28"/>
          <w:szCs w:val="24"/>
        </w:rPr>
        <w:t>kas</w:t>
      </w:r>
      <w:r w:rsidRPr="00DD4660" w:rsidR="00662B9B">
        <w:rPr>
          <w:rFonts w:ascii="Times New Roman" w:hAnsi="Times New Roman" w:cs="Times New Roman"/>
          <w:sz w:val="28"/>
          <w:szCs w:val="24"/>
        </w:rPr>
        <w:t xml:space="preserve"> </w:t>
      </w:r>
      <w:r w:rsidR="00662B9B">
        <w:rPr>
          <w:rFonts w:ascii="Times New Roman" w:hAnsi="Times New Roman" w:cs="Times New Roman"/>
          <w:sz w:val="28"/>
          <w:szCs w:val="24"/>
        </w:rPr>
        <w:t>pētījumu</w:t>
      </w:r>
      <w:r w:rsidRPr="00DD4660">
        <w:rPr>
          <w:rFonts w:ascii="Times New Roman" w:hAnsi="Times New Roman" w:cs="Times New Roman"/>
          <w:sz w:val="28"/>
          <w:szCs w:val="24"/>
        </w:rPr>
        <w:t>, nepierāda, ka šo novirzi analīzes rezultātos ir radījusi terapeitiskas devas lietošana inhalāciju veidā, nepārsniedzot iepriekš norādīto maksimālo devu.</w:t>
      </w:r>
    </w:p>
    <w:p w:rsidR="00824871" w:rsidRPr="00DD4660" w:rsidP="00C44C44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E7244" w:rsidRPr="00DD4660" w:rsidP="007D5222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5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 w:rsidR="00C61DD3">
        <w:rPr>
          <w:rFonts w:ascii="Times New Roman" w:hAnsi="Times New Roman" w:cs="Times New Roman"/>
          <w:sz w:val="28"/>
          <w:szCs w:val="24"/>
        </w:rPr>
        <w:t>I</w:t>
      </w:r>
      <w:r w:rsidRPr="00DD4660">
        <w:rPr>
          <w:rFonts w:ascii="Times New Roman" w:hAnsi="Times New Roman" w:cs="Times New Roman"/>
          <w:sz w:val="28"/>
          <w:szCs w:val="24"/>
        </w:rPr>
        <w:t>zņemot</w:t>
      </w:r>
      <w:r w:rsidRPr="00DD4660">
        <w:rPr>
          <w:rFonts w:ascii="Times New Roman" w:hAnsi="Times New Roman" w:cs="Times New Roman"/>
          <w:sz w:val="28"/>
          <w:szCs w:val="24"/>
        </w:rPr>
        <w:t>: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5222" w:rsidRPr="00DD4660" w:rsidP="00FE7244">
      <w:pPr>
        <w:pStyle w:val="BodyText"/>
        <w:widowControl/>
        <w:numPr>
          <w:ilvl w:val="0"/>
          <w:numId w:val="9"/>
        </w:numPr>
        <w:kinsoku w:val="0"/>
        <w:overflowPunct w:val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drospirenonu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pamabromu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lietošanai</w:t>
      </w:r>
      <w:r w:rsidR="008F2BBA">
        <w:rPr>
          <w:rFonts w:ascii="Times New Roman" w:hAnsi="Times New Roman" w:cs="Times New Roman"/>
          <w:sz w:val="28"/>
          <w:szCs w:val="24"/>
        </w:rPr>
        <w:t xml:space="preserve"> acu zāļu formās</w:t>
      </w:r>
      <w:r w:rsidRPr="00DD4660">
        <w:rPr>
          <w:rFonts w:ascii="Times New Roman" w:hAnsi="Times New Roman" w:cs="Times New Roman"/>
          <w:sz w:val="28"/>
          <w:szCs w:val="24"/>
        </w:rPr>
        <w:t xml:space="preserve"> paredzētus oglekļa </w:t>
      </w:r>
      <w:r w:rsidRPr="00DD4660">
        <w:rPr>
          <w:rFonts w:ascii="Times New Roman" w:hAnsi="Times New Roman" w:cs="Times New Roman"/>
          <w:sz w:val="28"/>
          <w:szCs w:val="24"/>
        </w:rPr>
        <w:t>anhidrāzes</w:t>
      </w:r>
      <w:r w:rsidRPr="00DD4660">
        <w:rPr>
          <w:rFonts w:ascii="Times New Roman" w:hAnsi="Times New Roman" w:cs="Times New Roman"/>
          <w:sz w:val="28"/>
          <w:szCs w:val="24"/>
        </w:rPr>
        <w:t xml:space="preserve"> inhibitorus (piemēram, </w:t>
      </w:r>
      <w:r w:rsidRPr="00DD4660">
        <w:rPr>
          <w:rFonts w:ascii="Times New Roman" w:hAnsi="Times New Roman" w:cs="Times New Roman"/>
          <w:sz w:val="28"/>
          <w:szCs w:val="24"/>
        </w:rPr>
        <w:t>dorzolamīdu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brinzolamīdu</w:t>
      </w:r>
      <w:r w:rsidRPr="00DD4660">
        <w:rPr>
          <w:rFonts w:ascii="Times New Roman" w:hAnsi="Times New Roman" w:cs="Times New Roman"/>
          <w:sz w:val="28"/>
          <w:szCs w:val="24"/>
        </w:rPr>
        <w:t>);</w:t>
      </w:r>
    </w:p>
    <w:p w:rsidR="007D5222" w:rsidRPr="00DD4660" w:rsidP="00FE7244">
      <w:pPr>
        <w:pStyle w:val="BodyText"/>
        <w:widowControl/>
        <w:numPr>
          <w:ilvl w:val="0"/>
          <w:numId w:val="9"/>
        </w:numPr>
        <w:kinsoku w:val="0"/>
        <w:overflowPunct w:val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z</w:t>
      </w:r>
      <w:r w:rsidRPr="00DD4660">
        <w:rPr>
          <w:rFonts w:ascii="Times New Roman" w:hAnsi="Times New Roman" w:cs="Times New Roman"/>
          <w:sz w:val="28"/>
          <w:szCs w:val="24"/>
        </w:rPr>
        <w:t xml:space="preserve">obārstniecības anestēzijai paredzētu </w:t>
      </w:r>
      <w:r w:rsidRPr="00DD4660">
        <w:rPr>
          <w:rFonts w:ascii="Times New Roman" w:hAnsi="Times New Roman" w:cs="Times New Roman"/>
          <w:sz w:val="28"/>
          <w:szCs w:val="24"/>
        </w:rPr>
        <w:t>feliprezīnu</w:t>
      </w:r>
      <w:r w:rsidRPr="00DD4660">
        <w:rPr>
          <w:rFonts w:ascii="Times New Roman" w:hAnsi="Times New Roman" w:cs="Times New Roman"/>
          <w:sz w:val="28"/>
          <w:szCs w:val="24"/>
        </w:rPr>
        <w:t>, ko ievada lokāli.</w:t>
      </w:r>
    </w:p>
    <w:p w:rsidR="007D5222" w:rsidRPr="00DD4660" w:rsidP="007D5222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D5222" w:rsidRPr="00DD4660" w:rsidP="007D5222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6</w:t>
      </w:r>
      <w:r w:rsidRPr="00DD4660">
        <w:rPr>
          <w:rFonts w:ascii="Times New Roman" w:hAnsi="Times New Roman" w:cs="Times New Roman"/>
          <w:sz w:val="28"/>
          <w:szCs w:val="24"/>
        </w:rPr>
        <w:t xml:space="preserve"> Ja </w:t>
      </w:r>
      <w:r w:rsidRPr="00DD4660">
        <w:rPr>
          <w:rFonts w:ascii="Times New Roman" w:hAnsi="Times New Roman" w:cs="Times New Roman"/>
          <w:i/>
          <w:sz w:val="28"/>
          <w:szCs w:val="24"/>
        </w:rPr>
        <w:t>sportista paraugā</w:t>
      </w:r>
      <w:r w:rsidRPr="00DD4660">
        <w:rPr>
          <w:rFonts w:ascii="Times New Roman" w:hAnsi="Times New Roman" w:cs="Times New Roman"/>
          <w:sz w:val="28"/>
          <w:szCs w:val="24"/>
        </w:rPr>
        <w:t xml:space="preserve"> jebkurā laikā vai </w:t>
      </w:r>
      <w:r w:rsidRPr="00DD4660">
        <w:rPr>
          <w:rFonts w:ascii="Times New Roman" w:hAnsi="Times New Roman" w:cs="Times New Roman"/>
          <w:i/>
          <w:sz w:val="28"/>
          <w:szCs w:val="24"/>
        </w:rPr>
        <w:t>sacensību laikā</w:t>
      </w:r>
      <w:r w:rsidRPr="00DD4660">
        <w:rPr>
          <w:rFonts w:ascii="Times New Roman" w:hAnsi="Times New Roman" w:cs="Times New Roman"/>
          <w:sz w:val="28"/>
          <w:szCs w:val="24"/>
        </w:rPr>
        <w:t xml:space="preserve"> konstatē kādu no šīm vielām, kam ir noteikta robežvērtība – </w:t>
      </w:r>
      <w:r w:rsidRPr="00DD4660">
        <w:rPr>
          <w:rFonts w:ascii="Times New Roman" w:hAnsi="Times New Roman" w:cs="Times New Roman"/>
          <w:sz w:val="28"/>
          <w:szCs w:val="24"/>
        </w:rPr>
        <w:t>formoterolu</w:t>
      </w:r>
      <w:r w:rsidRPr="00DD4660">
        <w:rPr>
          <w:rFonts w:ascii="Times New Roman" w:hAnsi="Times New Roman" w:cs="Times New Roman"/>
          <w:sz w:val="28"/>
          <w:szCs w:val="24"/>
        </w:rPr>
        <w:t xml:space="preserve">, salbutamolu, </w:t>
      </w:r>
      <w:r w:rsidRPr="00DD4660">
        <w:rPr>
          <w:rFonts w:ascii="Times New Roman" w:hAnsi="Times New Roman" w:cs="Times New Roman"/>
          <w:sz w:val="28"/>
          <w:szCs w:val="24"/>
        </w:rPr>
        <w:t>katīnu</w:t>
      </w:r>
      <w:r w:rsidRPr="00DD4660">
        <w:rPr>
          <w:rFonts w:ascii="Times New Roman" w:hAnsi="Times New Roman" w:cs="Times New Roman"/>
          <w:sz w:val="28"/>
          <w:szCs w:val="24"/>
        </w:rPr>
        <w:t xml:space="preserve">, efedrīnu, </w:t>
      </w:r>
      <w:r w:rsidRPr="00DD4660">
        <w:rPr>
          <w:rFonts w:ascii="Times New Roman" w:hAnsi="Times New Roman" w:cs="Times New Roman"/>
          <w:sz w:val="28"/>
          <w:szCs w:val="24"/>
        </w:rPr>
        <w:t>metilefedrīnu</w:t>
      </w:r>
      <w:r w:rsidRPr="00DD4660">
        <w:rPr>
          <w:rFonts w:ascii="Times New Roman" w:hAnsi="Times New Roman" w:cs="Times New Roman"/>
          <w:sz w:val="28"/>
          <w:szCs w:val="24"/>
        </w:rPr>
        <w:t xml:space="preserve"> vai </w:t>
      </w:r>
      <w:r w:rsidRPr="00DD4660">
        <w:rPr>
          <w:rFonts w:ascii="Times New Roman" w:hAnsi="Times New Roman" w:cs="Times New Roman"/>
          <w:sz w:val="28"/>
          <w:szCs w:val="24"/>
        </w:rPr>
        <w:t>pseidoefedrīnu</w:t>
      </w:r>
      <w:r w:rsidRPr="00DD4660">
        <w:rPr>
          <w:rFonts w:ascii="Times New Roman" w:hAnsi="Times New Roman" w:cs="Times New Roman"/>
          <w:sz w:val="28"/>
          <w:szCs w:val="24"/>
        </w:rPr>
        <w:t xml:space="preserve"> – un </w:t>
      </w:r>
      <w:r w:rsidR="00645915">
        <w:rPr>
          <w:rFonts w:ascii="Times New Roman" w:hAnsi="Times New Roman" w:cs="Times New Roman"/>
          <w:sz w:val="28"/>
          <w:szCs w:val="24"/>
        </w:rPr>
        <w:t>tā ir</w:t>
      </w:r>
      <w:r w:rsidRPr="00DD4660">
        <w:rPr>
          <w:rFonts w:ascii="Times New Roman" w:hAnsi="Times New Roman" w:cs="Times New Roman"/>
          <w:sz w:val="28"/>
          <w:szCs w:val="24"/>
        </w:rPr>
        <w:t xml:space="preserve"> lietota kopā ar kādu diurētisku vai citu </w:t>
      </w:r>
      <w:r w:rsidR="00645915">
        <w:rPr>
          <w:rFonts w:ascii="Times New Roman" w:hAnsi="Times New Roman" w:cs="Times New Roman"/>
          <w:sz w:val="28"/>
          <w:szCs w:val="24"/>
        </w:rPr>
        <w:t xml:space="preserve">maskēšanas </w:t>
      </w:r>
      <w:r w:rsidRPr="00DD4660">
        <w:rPr>
          <w:rFonts w:ascii="Times New Roman" w:hAnsi="Times New Roman" w:cs="Times New Roman"/>
          <w:sz w:val="28"/>
          <w:szCs w:val="24"/>
        </w:rPr>
        <w:t xml:space="preserve">līdzekli, tad to uzskata par </w:t>
      </w:r>
      <w:r w:rsidRPr="00DD4660">
        <w:rPr>
          <w:rFonts w:ascii="Times New Roman" w:hAnsi="Times New Roman" w:cs="Times New Roman"/>
          <w:i/>
          <w:sz w:val="28"/>
          <w:szCs w:val="24"/>
        </w:rPr>
        <w:t>nelabvēlīgu analīžu rezultātu</w:t>
      </w:r>
      <w:r w:rsidRPr="00DD4660">
        <w:rPr>
          <w:rFonts w:ascii="Times New Roman" w:hAnsi="Times New Roman" w:cs="Times New Roman"/>
          <w:sz w:val="28"/>
          <w:szCs w:val="24"/>
        </w:rPr>
        <w:t xml:space="preserve">, ja vien šis </w:t>
      </w:r>
      <w:r w:rsidRPr="00DD4660">
        <w:rPr>
          <w:rFonts w:ascii="Times New Roman" w:hAnsi="Times New Roman" w:cs="Times New Roman"/>
          <w:i/>
          <w:sz w:val="28"/>
          <w:szCs w:val="24"/>
        </w:rPr>
        <w:t>sportists</w:t>
      </w:r>
      <w:r w:rsidRPr="00DD4660">
        <w:rPr>
          <w:rFonts w:ascii="Times New Roman" w:hAnsi="Times New Roman" w:cs="Times New Roman"/>
          <w:sz w:val="28"/>
          <w:szCs w:val="24"/>
        </w:rPr>
        <w:t xml:space="preserve"> papildus attiec</w:t>
      </w:r>
      <w:r w:rsidR="00645915">
        <w:rPr>
          <w:rFonts w:ascii="Times New Roman" w:hAnsi="Times New Roman" w:cs="Times New Roman"/>
          <w:sz w:val="28"/>
          <w:szCs w:val="24"/>
        </w:rPr>
        <w:t xml:space="preserve">īgā diurētiskā vai cita maskēšanas </w:t>
      </w:r>
      <w:r w:rsidRPr="00DD4660">
        <w:rPr>
          <w:rFonts w:ascii="Times New Roman" w:hAnsi="Times New Roman" w:cs="Times New Roman"/>
          <w:sz w:val="28"/>
          <w:szCs w:val="24"/>
        </w:rPr>
        <w:t xml:space="preserve">līdzekļa lietošanas atļaujai nav saņēmis apstiprinātu attiecīgās vielas </w:t>
      </w:r>
      <w:r w:rsidRPr="00DD4660">
        <w:rPr>
          <w:rFonts w:ascii="Times New Roman" w:hAnsi="Times New Roman" w:cs="Times New Roman"/>
          <w:i/>
          <w:sz w:val="28"/>
          <w:szCs w:val="24"/>
        </w:rPr>
        <w:t>terapeitiskā</w:t>
      </w:r>
      <w:r w:rsidR="00645915">
        <w:rPr>
          <w:rFonts w:ascii="Times New Roman" w:hAnsi="Times New Roman" w:cs="Times New Roman"/>
          <w:i/>
          <w:sz w:val="28"/>
          <w:szCs w:val="24"/>
        </w:rPr>
        <w:t>s</w:t>
      </w:r>
      <w:r w:rsidRPr="00DD466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D4660" w:rsidR="000561CF">
        <w:rPr>
          <w:rFonts w:ascii="Times New Roman" w:hAnsi="Times New Roman" w:cs="Times New Roman"/>
          <w:i/>
          <w:sz w:val="28"/>
          <w:szCs w:val="24"/>
        </w:rPr>
        <w:t>lieto</w:t>
      </w:r>
      <w:r w:rsidR="000561CF">
        <w:rPr>
          <w:rFonts w:ascii="Times New Roman" w:hAnsi="Times New Roman" w:cs="Times New Roman"/>
          <w:i/>
          <w:sz w:val="28"/>
          <w:szCs w:val="24"/>
        </w:rPr>
        <w:t>juma</w:t>
      </w:r>
      <w:r w:rsidRPr="00DD4660" w:rsidR="000561C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561CF">
        <w:rPr>
          <w:rFonts w:ascii="Times New Roman" w:hAnsi="Times New Roman" w:cs="Times New Roman"/>
          <w:i/>
          <w:sz w:val="28"/>
          <w:szCs w:val="24"/>
        </w:rPr>
        <w:t>izņ</w:t>
      </w:r>
      <w:r w:rsidR="00EF47CF">
        <w:rPr>
          <w:rFonts w:ascii="Times New Roman" w:hAnsi="Times New Roman" w:cs="Times New Roman"/>
          <w:i/>
          <w:sz w:val="28"/>
          <w:szCs w:val="24"/>
        </w:rPr>
        <w:t>ēmumu</w:t>
      </w:r>
      <w:r w:rsidR="000561C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D4660">
        <w:rPr>
          <w:rFonts w:ascii="Times New Roman" w:hAnsi="Times New Roman" w:cs="Times New Roman"/>
          <w:sz w:val="28"/>
          <w:szCs w:val="24"/>
        </w:rPr>
        <w:t>(</w:t>
      </w:r>
      <w:r w:rsidRPr="00874ADE">
        <w:rPr>
          <w:rFonts w:ascii="Times New Roman" w:hAnsi="Times New Roman" w:cs="Times New Roman"/>
          <w:sz w:val="28"/>
          <w:szCs w:val="24"/>
        </w:rPr>
        <w:t>TL</w:t>
      </w:r>
      <w:r w:rsidRPr="00874ADE" w:rsidR="000561CF">
        <w:rPr>
          <w:rFonts w:ascii="Times New Roman" w:hAnsi="Times New Roman" w:cs="Times New Roman"/>
          <w:sz w:val="28"/>
          <w:szCs w:val="24"/>
        </w:rPr>
        <w:t>I</w:t>
      </w:r>
      <w:r w:rsidRPr="00DD4660">
        <w:rPr>
          <w:rFonts w:ascii="Times New Roman" w:hAnsi="Times New Roman" w:cs="Times New Roman"/>
          <w:sz w:val="28"/>
          <w:szCs w:val="24"/>
        </w:rPr>
        <w:t>).</w:t>
      </w:r>
      <w:r w:rsidRPr="00DD4660" w:rsidR="00DC0B5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0B5B" w:rsidRPr="00DD4660" w:rsidP="007D5222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B5B" w:rsidRPr="00DD4660" w:rsidP="00DC0B5B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 w:rsidR="00C61DD3">
        <w:rPr>
          <w:rFonts w:ascii="Times New Roman" w:hAnsi="Times New Roman" w:cs="Times New Roman"/>
          <w:sz w:val="28"/>
          <w:szCs w:val="24"/>
        </w:rPr>
        <w:t>I</w:t>
      </w:r>
      <w:r w:rsidRPr="00DD4660">
        <w:rPr>
          <w:rFonts w:ascii="Times New Roman" w:hAnsi="Times New Roman" w:cs="Times New Roman"/>
          <w:sz w:val="28"/>
          <w:szCs w:val="24"/>
        </w:rPr>
        <w:t>zņemot</w:t>
      </w:r>
      <w:r w:rsidR="009B1BF2">
        <w:rPr>
          <w:rFonts w:ascii="Times New Roman" w:hAnsi="Times New Roman" w:cs="Times New Roman"/>
          <w:sz w:val="28"/>
          <w:szCs w:val="24"/>
        </w:rPr>
        <w:t>:</w:t>
      </w:r>
    </w:p>
    <w:p w:rsidR="00DC0B5B" w:rsidRPr="00DD4660" w:rsidP="00FE7244">
      <w:pPr>
        <w:pStyle w:val="BodyText"/>
        <w:widowControl/>
        <w:numPr>
          <w:ilvl w:val="0"/>
          <w:numId w:val="10"/>
        </w:numPr>
        <w:kinsoku w:val="0"/>
        <w:overflowPunct w:val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klonidīnu</w:t>
      </w:r>
      <w:r w:rsidRPr="00DD4660">
        <w:rPr>
          <w:rFonts w:ascii="Times New Roman" w:hAnsi="Times New Roman" w:cs="Times New Roman"/>
          <w:sz w:val="28"/>
          <w:szCs w:val="24"/>
        </w:rPr>
        <w:t>;</w:t>
      </w:r>
    </w:p>
    <w:p w:rsidR="00DC0B5B" w:rsidRPr="00DD4660" w:rsidP="00FE7244">
      <w:pPr>
        <w:pStyle w:val="BodyText"/>
        <w:widowControl/>
        <w:numPr>
          <w:ilvl w:val="0"/>
          <w:numId w:val="10"/>
        </w:numPr>
        <w:kinsoku w:val="0"/>
        <w:overflowPunct w:val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</w:rPr>
        <w:t>lokālai/lietošanai</w:t>
      </w:r>
      <w:r w:rsidR="00B118A4">
        <w:rPr>
          <w:rFonts w:ascii="Times New Roman" w:hAnsi="Times New Roman" w:cs="Times New Roman"/>
          <w:sz w:val="28"/>
          <w:szCs w:val="24"/>
        </w:rPr>
        <w:t xml:space="preserve"> acu zāļu formās</w:t>
      </w:r>
      <w:r w:rsidRPr="00DD4660">
        <w:rPr>
          <w:rFonts w:ascii="Times New Roman" w:hAnsi="Times New Roman" w:cs="Times New Roman"/>
          <w:sz w:val="28"/>
          <w:szCs w:val="24"/>
        </w:rPr>
        <w:t xml:space="preserve"> paredzētus </w:t>
      </w:r>
      <w:r w:rsidRPr="00DD4660">
        <w:rPr>
          <w:rFonts w:ascii="Times New Roman" w:hAnsi="Times New Roman" w:cs="Times New Roman"/>
          <w:sz w:val="28"/>
          <w:szCs w:val="24"/>
        </w:rPr>
        <w:t>imidazola</w:t>
      </w:r>
      <w:r w:rsidRPr="00DD4660">
        <w:rPr>
          <w:rFonts w:ascii="Times New Roman" w:hAnsi="Times New Roman" w:cs="Times New Roman"/>
          <w:sz w:val="28"/>
          <w:szCs w:val="24"/>
        </w:rPr>
        <w:t xml:space="preserve"> atvasinājumus un tos stimulējošos līdzekļus, kas iekļauti 2018. gada Uzraudzības programmā</w:t>
      </w:r>
      <w:r w:rsidRPr="00DD4660" w:rsidR="008428C2">
        <w:rPr>
          <w:rFonts w:ascii="Times New Roman" w:hAnsi="Times New Roman" w:cs="Times New Roman"/>
          <w:sz w:val="28"/>
          <w:szCs w:val="24"/>
        </w:rPr>
        <w:t xml:space="preserve">: </w:t>
      </w:r>
      <w:r w:rsidRPr="00DD4660" w:rsidR="008428C2">
        <w:rPr>
          <w:rFonts w:ascii="Times New Roman" w:hAnsi="Times New Roman" w:cs="Times New Roman"/>
          <w:sz w:val="28"/>
          <w:szCs w:val="24"/>
        </w:rPr>
        <w:t>b</w:t>
      </w:r>
      <w:r w:rsidRPr="00DD4660">
        <w:rPr>
          <w:rFonts w:ascii="Times New Roman" w:hAnsi="Times New Roman" w:cs="Times New Roman"/>
          <w:sz w:val="28"/>
          <w:szCs w:val="24"/>
        </w:rPr>
        <w:t>upropions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kofeīns, nikotīns, </w:t>
      </w:r>
      <w:r w:rsidRPr="00DD4660">
        <w:rPr>
          <w:rFonts w:ascii="Times New Roman" w:hAnsi="Times New Roman" w:cs="Times New Roman"/>
          <w:sz w:val="28"/>
          <w:szCs w:val="24"/>
        </w:rPr>
        <w:t>fenilefrīns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fenilpropanolamīns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, </w:t>
      </w:r>
      <w:r w:rsidRPr="00DD4660">
        <w:rPr>
          <w:rFonts w:ascii="Times New Roman" w:hAnsi="Times New Roman" w:cs="Times New Roman"/>
          <w:sz w:val="28"/>
          <w:szCs w:val="24"/>
        </w:rPr>
        <w:t>pipradrols</w:t>
      </w:r>
      <w:r w:rsidRPr="00DD4660">
        <w:rPr>
          <w:rFonts w:ascii="Times New Roman" w:hAnsi="Times New Roman" w:cs="Times New Roman"/>
          <w:sz w:val="28"/>
          <w:szCs w:val="24"/>
        </w:rPr>
        <w:t xml:space="preserve"> un </w:t>
      </w:r>
      <w:r w:rsidRPr="00DD4660">
        <w:rPr>
          <w:rFonts w:ascii="Times New Roman" w:hAnsi="Times New Roman" w:cs="Times New Roman"/>
          <w:sz w:val="28"/>
          <w:szCs w:val="24"/>
        </w:rPr>
        <w:t>sinefrīns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– šīs vielas ir iekļautas 2018. gada Uzraudzības programmā un netiek uzskatītas par </w:t>
      </w:r>
      <w:r w:rsidRPr="00DD4660">
        <w:rPr>
          <w:rFonts w:ascii="Times New Roman" w:hAnsi="Times New Roman" w:cs="Times New Roman"/>
          <w:i/>
          <w:sz w:val="28"/>
          <w:szCs w:val="24"/>
        </w:rPr>
        <w:t>aizliegtām vielām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</w:p>
    <w:p w:rsidR="00DC0B5B" w:rsidRPr="00DD4660" w:rsidP="00DC0B5B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8</w:t>
      </w:r>
      <w:r w:rsidRPr="00DD4660">
        <w:rPr>
          <w:rFonts w:ascii="Times New Roman" w:hAnsi="Times New Roman" w:cs="Times New Roman"/>
          <w:sz w:val="28"/>
          <w:szCs w:val="24"/>
        </w:rPr>
        <w:t> </w:t>
      </w:r>
      <w:r w:rsidRPr="00DD4660">
        <w:rPr>
          <w:rFonts w:ascii="Times New Roman" w:hAnsi="Times New Roman" w:cs="Times New Roman"/>
          <w:sz w:val="28"/>
          <w:szCs w:val="24"/>
        </w:rPr>
        <w:t>Katīns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– tā lietošana ir aizliegta, ja tā koncentrācija urīnā pārsniedz 5 </w:t>
      </w:r>
      <w:r w:rsidRPr="00DD4660">
        <w:rPr>
          <w:rFonts w:ascii="Times New Roman" w:hAnsi="Times New Roman" w:cs="Times New Roman"/>
          <w:sz w:val="28"/>
          <w:szCs w:val="24"/>
        </w:rPr>
        <w:t>mikrogramus</w:t>
      </w:r>
      <w:r w:rsidRPr="00DD4660">
        <w:rPr>
          <w:rFonts w:ascii="Times New Roman" w:hAnsi="Times New Roman" w:cs="Times New Roman"/>
          <w:sz w:val="28"/>
          <w:szCs w:val="24"/>
        </w:rPr>
        <w:t xml:space="preserve"> mililitrā.</w:t>
      </w:r>
    </w:p>
    <w:p w:rsidR="00DC0B5B" w:rsidRPr="00DD4660" w:rsidP="00DC0B5B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9</w:t>
      </w:r>
      <w:r w:rsidRPr="00DD4660">
        <w:rPr>
          <w:rFonts w:ascii="Times New Roman" w:hAnsi="Times New Roman" w:cs="Times New Roman"/>
          <w:sz w:val="28"/>
          <w:szCs w:val="24"/>
        </w:rPr>
        <w:t xml:space="preserve"> Efedrīns un </w:t>
      </w:r>
      <w:r w:rsidRPr="00DD4660">
        <w:rPr>
          <w:rFonts w:ascii="Times New Roman" w:hAnsi="Times New Roman" w:cs="Times New Roman"/>
          <w:sz w:val="28"/>
          <w:szCs w:val="24"/>
        </w:rPr>
        <w:t>metilefedrīns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– tā lietošana ir aizliegta, ja tā koncentrācija urīnā pārsniedz 10 </w:t>
      </w:r>
      <w:r w:rsidRPr="00DD4660">
        <w:rPr>
          <w:rFonts w:ascii="Times New Roman" w:hAnsi="Times New Roman" w:cs="Times New Roman"/>
          <w:sz w:val="28"/>
          <w:szCs w:val="24"/>
        </w:rPr>
        <w:t>mikrogramus</w:t>
      </w:r>
      <w:r w:rsidRPr="00DD4660">
        <w:rPr>
          <w:rFonts w:ascii="Times New Roman" w:hAnsi="Times New Roman" w:cs="Times New Roman"/>
          <w:sz w:val="28"/>
          <w:szCs w:val="24"/>
        </w:rPr>
        <w:t xml:space="preserve"> mililitrā.</w:t>
      </w:r>
    </w:p>
    <w:p w:rsidR="00DC0B5B" w:rsidRPr="00DD4660" w:rsidP="00DC0B5B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DD4660">
        <w:rPr>
          <w:rFonts w:ascii="Times New Roman" w:hAnsi="Times New Roman" w:cs="Times New Roman"/>
          <w:sz w:val="28"/>
          <w:szCs w:val="24"/>
        </w:rPr>
        <w:t> </w:t>
      </w:r>
      <w:r w:rsidRPr="00DD4660">
        <w:rPr>
          <w:rFonts w:ascii="Times New Roman" w:hAnsi="Times New Roman" w:cs="Times New Roman"/>
          <w:sz w:val="28"/>
          <w:szCs w:val="24"/>
        </w:rPr>
        <w:t>Epinefrīns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(adrenalīns) – to nav aizliegts lietot lokāli, piemēram, nazāli vai </w:t>
      </w:r>
      <w:r w:rsidRPr="00DD4660">
        <w:rPr>
          <w:rFonts w:ascii="Times New Roman" w:hAnsi="Times New Roman" w:cs="Times New Roman"/>
          <w:sz w:val="28"/>
          <w:szCs w:val="24"/>
        </w:rPr>
        <w:t>oftalmoloģiski</w:t>
      </w:r>
      <w:r w:rsidRPr="00DD4660">
        <w:rPr>
          <w:rFonts w:ascii="Times New Roman" w:hAnsi="Times New Roman" w:cs="Times New Roman"/>
          <w:sz w:val="28"/>
          <w:szCs w:val="24"/>
        </w:rPr>
        <w:t>, vai kopā ar vietējās anestēzijas līdzekļiem.</w:t>
      </w:r>
    </w:p>
    <w:p w:rsidR="00796A2A" w:rsidRPr="00DD4660" w:rsidP="00DC0B5B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>
        <w:rPr>
          <w:rFonts w:ascii="Times New Roman" w:hAnsi="Times New Roman" w:cs="Times New Roman"/>
          <w:sz w:val="28"/>
          <w:szCs w:val="24"/>
        </w:rPr>
        <w:t> </w:t>
      </w:r>
      <w:r w:rsidRPr="00DD4660">
        <w:rPr>
          <w:rFonts w:ascii="Times New Roman" w:hAnsi="Times New Roman" w:cs="Times New Roman"/>
          <w:sz w:val="28"/>
          <w:szCs w:val="24"/>
        </w:rPr>
        <w:t>Pseidoefedrīns</w:t>
      </w:r>
      <w:r w:rsidRPr="00DD4660">
        <w:rPr>
          <w:rFonts w:ascii="Times New Roman" w:hAnsi="Times New Roman" w:cs="Times New Roman"/>
          <w:sz w:val="28"/>
          <w:szCs w:val="24"/>
        </w:rPr>
        <w:t xml:space="preserve"> – tā lietošana ir aizliegta, ja tā koncentrācija urīnā pārsniedz 150 </w:t>
      </w:r>
      <w:r w:rsidRPr="00DD4660">
        <w:rPr>
          <w:rFonts w:ascii="Times New Roman" w:hAnsi="Times New Roman" w:cs="Times New Roman"/>
          <w:sz w:val="28"/>
          <w:szCs w:val="24"/>
        </w:rPr>
        <w:t>mikrogramus</w:t>
      </w:r>
      <w:r w:rsidRPr="00DD4660">
        <w:rPr>
          <w:rFonts w:ascii="Times New Roman" w:hAnsi="Times New Roman" w:cs="Times New Roman"/>
          <w:sz w:val="28"/>
          <w:szCs w:val="24"/>
        </w:rPr>
        <w:t xml:space="preserve"> mililitrā.</w:t>
      </w:r>
    </w:p>
    <w:p w:rsidR="0062120E" w:rsidP="00394571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466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DD4660" w:rsidR="00FE7244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DD4660">
        <w:rPr>
          <w:rFonts w:ascii="Times New Roman" w:hAnsi="Times New Roman" w:cs="Times New Roman"/>
          <w:sz w:val="28"/>
          <w:szCs w:val="24"/>
        </w:rPr>
        <w:t xml:space="preserve"> </w:t>
      </w:r>
      <w:r w:rsidRPr="00DD4660" w:rsidR="00C61DD3">
        <w:rPr>
          <w:rFonts w:ascii="Times New Roman" w:hAnsi="Times New Roman" w:cs="Times New Roman"/>
          <w:sz w:val="28"/>
          <w:szCs w:val="24"/>
        </w:rPr>
        <w:t>I</w:t>
      </w:r>
      <w:r w:rsidRPr="00DD4660">
        <w:rPr>
          <w:rFonts w:ascii="Times New Roman" w:hAnsi="Times New Roman" w:cs="Times New Roman"/>
          <w:sz w:val="28"/>
          <w:szCs w:val="24"/>
        </w:rPr>
        <w:t xml:space="preserve">zņemot </w:t>
      </w:r>
      <w:r w:rsidRPr="00DD4660">
        <w:rPr>
          <w:rFonts w:ascii="Times New Roman" w:hAnsi="Times New Roman" w:cs="Times New Roman"/>
          <w:sz w:val="28"/>
          <w:szCs w:val="24"/>
        </w:rPr>
        <w:t>kanabidiolu</w:t>
      </w:r>
      <w:r w:rsidRPr="00DD4660">
        <w:rPr>
          <w:rFonts w:ascii="Times New Roman" w:hAnsi="Times New Roman" w:cs="Times New Roman"/>
          <w:sz w:val="28"/>
          <w:szCs w:val="24"/>
        </w:rPr>
        <w:t>.</w:t>
      </w:r>
      <w:r w:rsidRPr="00DD4660">
        <w:rPr>
          <w:rFonts w:ascii="Times New Roman" w:hAnsi="Times New Roman" w:cs="Times New Roman"/>
          <w:sz w:val="28"/>
          <w:szCs w:val="24"/>
        </w:rPr>
        <w:t>”</w:t>
      </w:r>
      <w:r w:rsidR="00913F38">
        <w:rPr>
          <w:rFonts w:ascii="Times New Roman" w:hAnsi="Times New Roman" w:cs="Times New Roman"/>
          <w:sz w:val="28"/>
          <w:szCs w:val="24"/>
        </w:rPr>
        <w:t>.</w:t>
      </w:r>
    </w:p>
    <w:p w:rsidR="0027132D" w:rsidP="00394571">
      <w:pPr>
        <w:pStyle w:val="BodyText"/>
        <w:widowControl/>
        <w:kinsoku w:val="0"/>
        <w:overflowPunct w:val="0"/>
        <w:ind w:left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75B48" w:rsidRPr="00DD4660" w:rsidP="00D75B48">
      <w:pPr>
        <w:pStyle w:val="BodyText"/>
        <w:kinsoku w:val="0"/>
        <w:overflowPunct w:val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Aizstāt 2. pielikuma 7. punktā vārdus un skaitļus “</w:t>
      </w:r>
      <w:r w:rsidRPr="0027132D">
        <w:rPr>
          <w:rFonts w:ascii="Times New Roman" w:hAnsi="Times New Roman" w:cs="Times New Roman"/>
          <w:sz w:val="28"/>
          <w:szCs w:val="24"/>
        </w:rPr>
        <w:t>Valsts sporta medicīnas centrs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27132D">
        <w:rPr>
          <w:rFonts w:ascii="Times New Roman" w:hAnsi="Times New Roman" w:cs="Times New Roman"/>
          <w:sz w:val="28"/>
          <w:szCs w:val="24"/>
        </w:rPr>
        <w:t>Raiņa bulvāris 27, Rīga, LV-1050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27132D">
        <w:rPr>
          <w:rFonts w:ascii="Times New Roman" w:hAnsi="Times New Roman" w:cs="Times New Roman"/>
          <w:sz w:val="28"/>
          <w:szCs w:val="24"/>
        </w:rPr>
        <w:t>Tālr. 67226164, mob. tālr. 29296236, fakss 67226164, e-pasts: info@antidopings.lv</w:t>
      </w:r>
      <w:r>
        <w:rPr>
          <w:rFonts w:ascii="Times New Roman" w:hAnsi="Times New Roman" w:cs="Times New Roman"/>
          <w:sz w:val="28"/>
          <w:szCs w:val="24"/>
        </w:rPr>
        <w:t>” ar vārdiem un skaitļiem “</w:t>
      </w:r>
      <w:r w:rsidRPr="0027132D">
        <w:rPr>
          <w:rFonts w:ascii="Times New Roman" w:hAnsi="Times New Roman" w:cs="Times New Roman"/>
          <w:sz w:val="28"/>
          <w:szCs w:val="24"/>
        </w:rPr>
        <w:t>Aizpildīta anketa jāiesniedz Valsts sporta medicīnas centra Antidopinga nodaļ</w:t>
      </w:r>
      <w:r w:rsidR="00CF16CD">
        <w:rPr>
          <w:rFonts w:ascii="Times New Roman" w:hAnsi="Times New Roman" w:cs="Times New Roman"/>
          <w:sz w:val="28"/>
          <w:szCs w:val="24"/>
        </w:rPr>
        <w:t xml:space="preserve">ā personīgi vai nosūtot to uz elektronisko </w:t>
      </w:r>
      <w:r w:rsidRPr="0027132D">
        <w:rPr>
          <w:rFonts w:ascii="Times New Roman" w:hAnsi="Times New Roman" w:cs="Times New Roman"/>
          <w:sz w:val="28"/>
          <w:szCs w:val="24"/>
        </w:rPr>
        <w:t xml:space="preserve">pastu Valsts sporta medicīnas centra Antidopinga nodaļas ekspertam terapeitiskās lietošanas un medikamentu jautājumos. </w:t>
      </w:r>
      <w:r>
        <w:rPr>
          <w:rFonts w:ascii="Times New Roman" w:hAnsi="Times New Roman" w:cs="Times New Roman"/>
          <w:sz w:val="28"/>
          <w:szCs w:val="24"/>
        </w:rPr>
        <w:t xml:space="preserve">Adrese: </w:t>
      </w:r>
      <w:r w:rsidRPr="0027132D">
        <w:rPr>
          <w:rFonts w:ascii="Times New Roman" w:hAnsi="Times New Roman" w:cs="Times New Roman"/>
          <w:sz w:val="28"/>
          <w:szCs w:val="24"/>
        </w:rPr>
        <w:t>Valsts sporta medicīnas centrs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27132D">
        <w:rPr>
          <w:rFonts w:ascii="Times New Roman" w:hAnsi="Times New Roman" w:cs="Times New Roman"/>
          <w:sz w:val="28"/>
          <w:szCs w:val="24"/>
        </w:rPr>
        <w:t>Raiņa bulvāris 27, Rīga, LV-1050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27132D">
        <w:rPr>
          <w:rFonts w:ascii="Times New Roman" w:hAnsi="Times New Roman" w:cs="Times New Roman"/>
          <w:sz w:val="28"/>
          <w:szCs w:val="24"/>
        </w:rPr>
        <w:t>Tālr. 67226164</w:t>
      </w:r>
      <w:r>
        <w:rPr>
          <w:rFonts w:ascii="Times New Roman" w:hAnsi="Times New Roman" w:cs="Times New Roman"/>
          <w:sz w:val="28"/>
          <w:szCs w:val="24"/>
        </w:rPr>
        <w:t>”.</w:t>
      </w:r>
    </w:p>
    <w:p w:rsidR="0062120E" w:rsidRPr="00DD4660" w:rsidP="006723B2">
      <w:pPr>
        <w:jc w:val="both"/>
        <w:rPr>
          <w:sz w:val="28"/>
        </w:rPr>
      </w:pPr>
    </w:p>
    <w:p w:rsidR="0062120E" w:rsidRPr="00DD4660" w:rsidP="006723B2">
      <w:pPr>
        <w:jc w:val="both"/>
        <w:rPr>
          <w:sz w:val="28"/>
        </w:rPr>
      </w:pPr>
    </w:p>
    <w:p w:rsidR="00215D5B" w:rsidP="00363129">
      <w:pPr>
        <w:tabs>
          <w:tab w:val="right" w:pos="8931"/>
        </w:tabs>
        <w:rPr>
          <w:sz w:val="28"/>
          <w:szCs w:val="28"/>
        </w:rPr>
      </w:pPr>
      <w:r w:rsidRPr="00A40B81">
        <w:rPr>
          <w:sz w:val="28"/>
          <w:szCs w:val="28"/>
        </w:rPr>
        <w:t>Ministru prezidents</w:t>
      </w:r>
    </w:p>
    <w:p w:rsidR="00363129" w:rsidP="00363129">
      <w:pPr>
        <w:tabs>
          <w:tab w:val="right" w:pos="8931"/>
        </w:tabs>
        <w:rPr>
          <w:sz w:val="28"/>
          <w:szCs w:val="28"/>
        </w:rPr>
      </w:pPr>
      <w:r>
        <w:rPr>
          <w:sz w:val="28"/>
          <w:szCs w:val="28"/>
          <w:lang w:bidi="gu-IN"/>
        </w:rPr>
        <w:t>veselības ministra pienākumu izpildītājs</w:t>
      </w:r>
      <w:r w:rsidRPr="00A40B81">
        <w:rPr>
          <w:sz w:val="28"/>
          <w:szCs w:val="28"/>
        </w:rPr>
        <w:tab/>
      </w:r>
      <w:bookmarkStart w:id="1" w:name="_Hlk503862611"/>
      <w:r w:rsidRPr="00A40B81">
        <w:rPr>
          <w:sz w:val="28"/>
          <w:szCs w:val="28"/>
        </w:rPr>
        <w:t xml:space="preserve">         Māris Kučinskis</w:t>
      </w:r>
      <w:bookmarkEnd w:id="1"/>
    </w:p>
    <w:p w:rsidR="00363129" w:rsidP="00363129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363129" w:rsidP="00363129">
      <w:pPr>
        <w:autoSpaceDE w:val="0"/>
        <w:autoSpaceDN w:val="0"/>
        <w:adjustRightInd w:val="0"/>
        <w:rPr>
          <w:sz w:val="28"/>
          <w:szCs w:val="28"/>
          <w:lang w:bidi="gu-IN"/>
        </w:rPr>
      </w:pPr>
      <w:bookmarkStart w:id="2" w:name="_Hlk503867656"/>
      <w:r>
        <w:rPr>
          <w:sz w:val="28"/>
          <w:szCs w:val="28"/>
          <w:lang w:bidi="gu-IN"/>
        </w:rPr>
        <w:t>Ministru prezidents,</w:t>
      </w:r>
    </w:p>
    <w:p w:rsidR="00363129" w:rsidP="00363129">
      <w:pPr>
        <w:autoSpaceDE w:val="0"/>
        <w:autoSpaceDN w:val="0"/>
        <w:adjustRightInd w:val="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veselības ministra pienākumu izpildītājs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  <w:t xml:space="preserve">         Māris Kučinskis</w:t>
      </w:r>
      <w:bookmarkEnd w:id="2"/>
    </w:p>
    <w:p w:rsidR="00363129" w:rsidP="00363129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363129" w:rsidP="00363129">
      <w:pPr>
        <w:autoSpaceDE w:val="0"/>
        <w:autoSpaceDN w:val="0"/>
        <w:adjustRightInd w:val="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Iesniedzējs: Ministru prezidents,</w:t>
      </w:r>
    </w:p>
    <w:p w:rsidR="00363129" w:rsidP="00363129">
      <w:pPr>
        <w:autoSpaceDE w:val="0"/>
        <w:autoSpaceDN w:val="0"/>
        <w:adjustRightInd w:val="0"/>
        <w:spacing w:after="12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veselības ministra pienākumu izpildītājs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  <w:t xml:space="preserve">         Māris Kučinskis</w:t>
      </w:r>
    </w:p>
    <w:p w:rsidR="00363129" w:rsidP="00363129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BA484E" w:rsidRPr="00E025CE" w:rsidP="00E025CE">
      <w:pPr>
        <w:autoSpaceDE w:val="0"/>
        <w:autoSpaceDN w:val="0"/>
        <w:adjustRightInd w:val="0"/>
        <w:spacing w:after="240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Vīza: Valsts sekretārs</w:t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ab/>
        <w:t xml:space="preserve">  Aivars Lapiņš</w:t>
      </w:r>
      <w:r w:rsidRPr="00DD4660" w:rsidR="0062120E">
        <w:rPr>
          <w:sz w:val="28"/>
        </w:rPr>
        <w:t xml:space="preserve">     </w:t>
      </w:r>
      <w:r w:rsidRPr="00DD4660" w:rsidR="002C63B2">
        <w:rPr>
          <w:sz w:val="28"/>
        </w:rPr>
        <w:t xml:space="preserve">      </w:t>
      </w:r>
      <w:r w:rsidRPr="00DD4660" w:rsidR="0062120E">
        <w:rPr>
          <w:sz w:val="28"/>
        </w:rPr>
        <w:t xml:space="preserve"> </w:t>
      </w:r>
    </w:p>
    <w:sectPr w:rsidSect="008052F9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F24B71" w:rsidP="00810423">
    <w:pPr>
      <w:jc w:val="both"/>
      <w:rPr>
        <w:sz w:val="20"/>
      </w:rPr>
    </w:pPr>
    <w:r w:rsidRPr="00F24B71">
      <w:rPr>
        <w:sz w:val="20"/>
      </w:rPr>
      <w:t>VMnot_</w:t>
    </w:r>
    <w:r w:rsidR="00CB16F2">
      <w:rPr>
        <w:sz w:val="20"/>
      </w:rPr>
      <w:t>22</w:t>
    </w:r>
    <w:r w:rsidRPr="00F24B71">
      <w:rPr>
        <w:sz w:val="20"/>
      </w:rPr>
      <w:t>0</w:t>
    </w:r>
    <w:r>
      <w:rPr>
        <w:sz w:val="20"/>
      </w:rPr>
      <w:t>3</w:t>
    </w:r>
    <w:r w:rsidRPr="00F24B71">
      <w:rPr>
        <w:sz w:val="20"/>
      </w:rPr>
      <w:t xml:space="preserve">18_MK820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F24B71" w:rsidP="002003BC">
    <w:pPr>
      <w:jc w:val="both"/>
      <w:rPr>
        <w:sz w:val="20"/>
      </w:rPr>
    </w:pPr>
    <w:r w:rsidRPr="00F24B71">
      <w:rPr>
        <w:sz w:val="20"/>
      </w:rPr>
      <w:t>VMnot_</w:t>
    </w:r>
    <w:r w:rsidR="00CB16F2">
      <w:rPr>
        <w:sz w:val="20"/>
      </w:rPr>
      <w:t>22</w:t>
    </w:r>
    <w:r>
      <w:rPr>
        <w:sz w:val="20"/>
      </w:rPr>
      <w:t>03</w:t>
    </w:r>
    <w:r w:rsidRPr="00F24B71">
      <w:rPr>
        <w:sz w:val="20"/>
      </w:rPr>
      <w:t xml:space="preserve">18_MK820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6F2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405"/>
    <w:multiLevelType w:val="multilevel"/>
    <w:tmpl w:val="00000888"/>
    <w:lvl w:ilvl="0">
      <w:start w:val="0"/>
      <w:numFmt w:val="bullet"/>
      <w:lvlText w:val="•"/>
      <w:lvlJc w:val="left"/>
      <w:pPr>
        <w:ind w:left="320" w:hanging="200"/>
      </w:pPr>
      <w:rPr>
        <w:rFonts w:ascii="Arial Unicode MS" w:eastAsia="Arial Unicode MS"/>
        <w:b w:val="0"/>
        <w:color w:val="0072BC"/>
        <w:w w:val="156"/>
        <w:sz w:val="18"/>
      </w:rPr>
    </w:lvl>
    <w:lvl w:ilvl="1">
      <w:start w:val="0"/>
      <w:numFmt w:val="bullet"/>
      <w:lvlText w:val="•"/>
      <w:lvlJc w:val="left"/>
      <w:pPr>
        <w:ind w:left="804" w:hanging="200"/>
      </w:pPr>
    </w:lvl>
    <w:lvl w:ilvl="2">
      <w:start w:val="0"/>
      <w:numFmt w:val="bullet"/>
      <w:lvlText w:val="•"/>
      <w:lvlJc w:val="left"/>
      <w:pPr>
        <w:ind w:left="1288" w:hanging="200"/>
      </w:pPr>
    </w:lvl>
    <w:lvl w:ilvl="3">
      <w:start w:val="0"/>
      <w:numFmt w:val="bullet"/>
      <w:lvlText w:val="•"/>
      <w:lvlJc w:val="left"/>
      <w:pPr>
        <w:ind w:left="1772" w:hanging="200"/>
      </w:pPr>
    </w:lvl>
    <w:lvl w:ilvl="4">
      <w:start w:val="0"/>
      <w:numFmt w:val="bullet"/>
      <w:lvlText w:val="•"/>
      <w:lvlJc w:val="left"/>
      <w:pPr>
        <w:ind w:left="2256" w:hanging="200"/>
      </w:pPr>
    </w:lvl>
    <w:lvl w:ilvl="5">
      <w:start w:val="0"/>
      <w:numFmt w:val="bullet"/>
      <w:lvlText w:val="•"/>
      <w:lvlJc w:val="left"/>
      <w:pPr>
        <w:ind w:left="2740" w:hanging="200"/>
      </w:pPr>
    </w:lvl>
    <w:lvl w:ilvl="6">
      <w:start w:val="0"/>
      <w:numFmt w:val="bullet"/>
      <w:lvlText w:val="•"/>
      <w:lvlJc w:val="left"/>
      <w:pPr>
        <w:ind w:left="3224" w:hanging="200"/>
      </w:pPr>
    </w:lvl>
    <w:lvl w:ilvl="7">
      <w:start w:val="0"/>
      <w:numFmt w:val="bullet"/>
      <w:lvlText w:val="•"/>
      <w:lvlJc w:val="left"/>
      <w:pPr>
        <w:ind w:left="3708" w:hanging="200"/>
      </w:pPr>
    </w:lvl>
    <w:lvl w:ilvl="8">
      <w:start w:val="0"/>
      <w:numFmt w:val="bullet"/>
      <w:lvlText w:val="•"/>
      <w:lvlJc w:val="left"/>
      <w:pPr>
        <w:ind w:left="4192" w:hanging="200"/>
      </w:pPr>
    </w:lvl>
  </w:abstractNum>
  <w:abstractNum w:abstractNumId="1" w15:restartNumberingAfterBreak="1">
    <w:nsid w:val="0CE6140D"/>
    <w:multiLevelType w:val="hybridMultilevel"/>
    <w:tmpl w:val="BB0C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354784"/>
    <w:multiLevelType w:val="hybridMultilevel"/>
    <w:tmpl w:val="E6C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CBC2247"/>
    <w:multiLevelType w:val="hybridMultilevel"/>
    <w:tmpl w:val="7F16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427BB5"/>
    <w:multiLevelType w:val="hybridMultilevel"/>
    <w:tmpl w:val="403CC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9123041"/>
    <w:multiLevelType w:val="hybridMultilevel"/>
    <w:tmpl w:val="C39841E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2173CA6"/>
    <w:multiLevelType w:val="hybridMultilevel"/>
    <w:tmpl w:val="F0E049F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479A1E19"/>
    <w:multiLevelType w:val="hybridMultilevel"/>
    <w:tmpl w:val="5B320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2333259"/>
    <w:multiLevelType w:val="hybridMultilevel"/>
    <w:tmpl w:val="1A6A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4EE0096"/>
    <w:multiLevelType w:val="hybridMultilevel"/>
    <w:tmpl w:val="DF0A348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4FE569E"/>
    <w:multiLevelType w:val="hybridMultilevel"/>
    <w:tmpl w:val="BB400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E371E7C"/>
    <w:multiLevelType w:val="hybridMultilevel"/>
    <w:tmpl w:val="92CE80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3976728"/>
    <w:multiLevelType w:val="hybridMultilevel"/>
    <w:tmpl w:val="6AA225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6585EA8"/>
    <w:multiLevelType w:val="hybridMultilevel"/>
    <w:tmpl w:val="3DBE00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1">
    <w:nsid w:val="7AAD1AFF"/>
    <w:multiLevelType w:val="hybridMultilevel"/>
    <w:tmpl w:val="5E684B8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2"/>
    <w:rsid w:val="00010120"/>
    <w:rsid w:val="0001405F"/>
    <w:rsid w:val="000149B3"/>
    <w:rsid w:val="00020EEA"/>
    <w:rsid w:val="00023A61"/>
    <w:rsid w:val="00031772"/>
    <w:rsid w:val="00032B21"/>
    <w:rsid w:val="0003415F"/>
    <w:rsid w:val="000364B8"/>
    <w:rsid w:val="000403FE"/>
    <w:rsid w:val="00044599"/>
    <w:rsid w:val="000471CF"/>
    <w:rsid w:val="0005418A"/>
    <w:rsid w:val="00055CED"/>
    <w:rsid w:val="000561CF"/>
    <w:rsid w:val="000576E5"/>
    <w:rsid w:val="00060127"/>
    <w:rsid w:val="000651CB"/>
    <w:rsid w:val="0006618A"/>
    <w:rsid w:val="00074B8C"/>
    <w:rsid w:val="000800EF"/>
    <w:rsid w:val="00081347"/>
    <w:rsid w:val="00085354"/>
    <w:rsid w:val="0008747B"/>
    <w:rsid w:val="00090729"/>
    <w:rsid w:val="0009165F"/>
    <w:rsid w:val="000918CC"/>
    <w:rsid w:val="000942AF"/>
    <w:rsid w:val="0009725A"/>
    <w:rsid w:val="000A4262"/>
    <w:rsid w:val="000A6B39"/>
    <w:rsid w:val="000C69D7"/>
    <w:rsid w:val="000C70D9"/>
    <w:rsid w:val="000D17A9"/>
    <w:rsid w:val="000D299F"/>
    <w:rsid w:val="000D6E73"/>
    <w:rsid w:val="000E47D0"/>
    <w:rsid w:val="000F2536"/>
    <w:rsid w:val="00105716"/>
    <w:rsid w:val="00111C48"/>
    <w:rsid w:val="00112DCC"/>
    <w:rsid w:val="00114F66"/>
    <w:rsid w:val="0012534E"/>
    <w:rsid w:val="00127CEF"/>
    <w:rsid w:val="001319D0"/>
    <w:rsid w:val="00134A64"/>
    <w:rsid w:val="0014167B"/>
    <w:rsid w:val="00144049"/>
    <w:rsid w:val="001522E5"/>
    <w:rsid w:val="00152A86"/>
    <w:rsid w:val="001562E7"/>
    <w:rsid w:val="001579B5"/>
    <w:rsid w:val="0017382E"/>
    <w:rsid w:val="00177A53"/>
    <w:rsid w:val="00185AAE"/>
    <w:rsid w:val="00193E01"/>
    <w:rsid w:val="00196067"/>
    <w:rsid w:val="001B10BD"/>
    <w:rsid w:val="001B6EC9"/>
    <w:rsid w:val="001C4F28"/>
    <w:rsid w:val="001C758E"/>
    <w:rsid w:val="001D0196"/>
    <w:rsid w:val="001D0816"/>
    <w:rsid w:val="001D1721"/>
    <w:rsid w:val="001D19EE"/>
    <w:rsid w:val="001D4C72"/>
    <w:rsid w:val="001D4E53"/>
    <w:rsid w:val="001D54D4"/>
    <w:rsid w:val="00200073"/>
    <w:rsid w:val="002003BC"/>
    <w:rsid w:val="002014C3"/>
    <w:rsid w:val="00213373"/>
    <w:rsid w:val="00215D5B"/>
    <w:rsid w:val="00216EF0"/>
    <w:rsid w:val="00217D36"/>
    <w:rsid w:val="00221A35"/>
    <w:rsid w:val="00224B9B"/>
    <w:rsid w:val="00224FB8"/>
    <w:rsid w:val="00237590"/>
    <w:rsid w:val="00245629"/>
    <w:rsid w:val="00247622"/>
    <w:rsid w:val="0025406B"/>
    <w:rsid w:val="00254BBD"/>
    <w:rsid w:val="00266444"/>
    <w:rsid w:val="0026799E"/>
    <w:rsid w:val="0027132D"/>
    <w:rsid w:val="0028686A"/>
    <w:rsid w:val="0029019F"/>
    <w:rsid w:val="0029444B"/>
    <w:rsid w:val="00294865"/>
    <w:rsid w:val="002A0CE8"/>
    <w:rsid w:val="002B37A8"/>
    <w:rsid w:val="002B4673"/>
    <w:rsid w:val="002B6EC7"/>
    <w:rsid w:val="002C4776"/>
    <w:rsid w:val="002C63B2"/>
    <w:rsid w:val="002C6549"/>
    <w:rsid w:val="002D1BEB"/>
    <w:rsid w:val="002D64A6"/>
    <w:rsid w:val="002E2919"/>
    <w:rsid w:val="002E40D6"/>
    <w:rsid w:val="002F0CFD"/>
    <w:rsid w:val="002F7897"/>
    <w:rsid w:val="0030211D"/>
    <w:rsid w:val="003025FE"/>
    <w:rsid w:val="00307C8C"/>
    <w:rsid w:val="00333409"/>
    <w:rsid w:val="00335B8A"/>
    <w:rsid w:val="00340342"/>
    <w:rsid w:val="00342355"/>
    <w:rsid w:val="003462AB"/>
    <w:rsid w:val="0035415A"/>
    <w:rsid w:val="0036125B"/>
    <w:rsid w:val="00363129"/>
    <w:rsid w:val="003647C9"/>
    <w:rsid w:val="00373F2B"/>
    <w:rsid w:val="00376AAA"/>
    <w:rsid w:val="003818D8"/>
    <w:rsid w:val="003858BC"/>
    <w:rsid w:val="00390050"/>
    <w:rsid w:val="00390860"/>
    <w:rsid w:val="00394571"/>
    <w:rsid w:val="0039541F"/>
    <w:rsid w:val="00395F4C"/>
    <w:rsid w:val="003B02B8"/>
    <w:rsid w:val="003B1852"/>
    <w:rsid w:val="003B2845"/>
    <w:rsid w:val="003B3357"/>
    <w:rsid w:val="003C0C94"/>
    <w:rsid w:val="003C1025"/>
    <w:rsid w:val="003C1DDE"/>
    <w:rsid w:val="003D1F60"/>
    <w:rsid w:val="003D24BF"/>
    <w:rsid w:val="003D3D48"/>
    <w:rsid w:val="003D6A5F"/>
    <w:rsid w:val="003E0684"/>
    <w:rsid w:val="003E4337"/>
    <w:rsid w:val="003E68DD"/>
    <w:rsid w:val="003E781E"/>
    <w:rsid w:val="003F6DCD"/>
    <w:rsid w:val="00403768"/>
    <w:rsid w:val="00411ADD"/>
    <w:rsid w:val="00413B2B"/>
    <w:rsid w:val="00416540"/>
    <w:rsid w:val="00424882"/>
    <w:rsid w:val="0042530C"/>
    <w:rsid w:val="00431630"/>
    <w:rsid w:val="0045181F"/>
    <w:rsid w:val="00453A8D"/>
    <w:rsid w:val="00454EBF"/>
    <w:rsid w:val="00464183"/>
    <w:rsid w:val="00470EE5"/>
    <w:rsid w:val="00472DD2"/>
    <w:rsid w:val="004817FA"/>
    <w:rsid w:val="00481DF4"/>
    <w:rsid w:val="00486374"/>
    <w:rsid w:val="00491780"/>
    <w:rsid w:val="00494443"/>
    <w:rsid w:val="00495040"/>
    <w:rsid w:val="0049583F"/>
    <w:rsid w:val="004A0DC6"/>
    <w:rsid w:val="004A6085"/>
    <w:rsid w:val="004B3826"/>
    <w:rsid w:val="004C114C"/>
    <w:rsid w:val="004C247D"/>
    <w:rsid w:val="004C2A9E"/>
    <w:rsid w:val="004C3815"/>
    <w:rsid w:val="004C5613"/>
    <w:rsid w:val="004D1146"/>
    <w:rsid w:val="004D171B"/>
    <w:rsid w:val="004F2F4C"/>
    <w:rsid w:val="00510108"/>
    <w:rsid w:val="00511FC6"/>
    <w:rsid w:val="00512634"/>
    <w:rsid w:val="005175E2"/>
    <w:rsid w:val="00521286"/>
    <w:rsid w:val="00522AB7"/>
    <w:rsid w:val="00523168"/>
    <w:rsid w:val="005264DC"/>
    <w:rsid w:val="00527659"/>
    <w:rsid w:val="00531929"/>
    <w:rsid w:val="00536189"/>
    <w:rsid w:val="0055271A"/>
    <w:rsid w:val="005550C3"/>
    <w:rsid w:val="005610BE"/>
    <w:rsid w:val="00577DC8"/>
    <w:rsid w:val="0058141E"/>
    <w:rsid w:val="00584FBE"/>
    <w:rsid w:val="00585F09"/>
    <w:rsid w:val="00593067"/>
    <w:rsid w:val="005964CD"/>
    <w:rsid w:val="005A3590"/>
    <w:rsid w:val="005A4B3E"/>
    <w:rsid w:val="005A6A2C"/>
    <w:rsid w:val="005B5816"/>
    <w:rsid w:val="005C3E11"/>
    <w:rsid w:val="005E126A"/>
    <w:rsid w:val="005E268B"/>
    <w:rsid w:val="005F1814"/>
    <w:rsid w:val="005F3640"/>
    <w:rsid w:val="006014A9"/>
    <w:rsid w:val="006144EA"/>
    <w:rsid w:val="0061733B"/>
    <w:rsid w:val="0062120E"/>
    <w:rsid w:val="00621978"/>
    <w:rsid w:val="00624BAA"/>
    <w:rsid w:val="00625CCA"/>
    <w:rsid w:val="00626908"/>
    <w:rsid w:val="00627E5A"/>
    <w:rsid w:val="00627F95"/>
    <w:rsid w:val="006317E0"/>
    <w:rsid w:val="006320FD"/>
    <w:rsid w:val="006363CB"/>
    <w:rsid w:val="00636960"/>
    <w:rsid w:val="00645915"/>
    <w:rsid w:val="00646376"/>
    <w:rsid w:val="00662B9B"/>
    <w:rsid w:val="00664E42"/>
    <w:rsid w:val="00667562"/>
    <w:rsid w:val="00672051"/>
    <w:rsid w:val="006723B2"/>
    <w:rsid w:val="00673B5A"/>
    <w:rsid w:val="006812AA"/>
    <w:rsid w:val="006824A4"/>
    <w:rsid w:val="00683104"/>
    <w:rsid w:val="00686245"/>
    <w:rsid w:val="0069408B"/>
    <w:rsid w:val="006967C7"/>
    <w:rsid w:val="006971EE"/>
    <w:rsid w:val="006A2906"/>
    <w:rsid w:val="006A2E3F"/>
    <w:rsid w:val="006B0F26"/>
    <w:rsid w:val="006B183E"/>
    <w:rsid w:val="006B3EEF"/>
    <w:rsid w:val="006B6AE3"/>
    <w:rsid w:val="006C0E1B"/>
    <w:rsid w:val="006C379A"/>
    <w:rsid w:val="006C3E48"/>
    <w:rsid w:val="006C5D7C"/>
    <w:rsid w:val="006D43D7"/>
    <w:rsid w:val="006E0045"/>
    <w:rsid w:val="006E009F"/>
    <w:rsid w:val="006E0346"/>
    <w:rsid w:val="006E5408"/>
    <w:rsid w:val="006F3020"/>
    <w:rsid w:val="00717863"/>
    <w:rsid w:val="00717B56"/>
    <w:rsid w:val="0072058B"/>
    <w:rsid w:val="007234E7"/>
    <w:rsid w:val="007274E4"/>
    <w:rsid w:val="00730E77"/>
    <w:rsid w:val="007333AD"/>
    <w:rsid w:val="007345BE"/>
    <w:rsid w:val="00743EDA"/>
    <w:rsid w:val="00744F6A"/>
    <w:rsid w:val="0075383B"/>
    <w:rsid w:val="00756D3D"/>
    <w:rsid w:val="0075734C"/>
    <w:rsid w:val="00765063"/>
    <w:rsid w:val="00765C74"/>
    <w:rsid w:val="00770A16"/>
    <w:rsid w:val="0077322A"/>
    <w:rsid w:val="0077741D"/>
    <w:rsid w:val="0078626C"/>
    <w:rsid w:val="00791208"/>
    <w:rsid w:val="007954A2"/>
    <w:rsid w:val="00796A2A"/>
    <w:rsid w:val="007A2EBE"/>
    <w:rsid w:val="007A5D69"/>
    <w:rsid w:val="007C3318"/>
    <w:rsid w:val="007D5222"/>
    <w:rsid w:val="007E6CB9"/>
    <w:rsid w:val="007F23AA"/>
    <w:rsid w:val="007F55A0"/>
    <w:rsid w:val="007F6FB7"/>
    <w:rsid w:val="008052F9"/>
    <w:rsid w:val="00810423"/>
    <w:rsid w:val="00810B8C"/>
    <w:rsid w:val="00812F28"/>
    <w:rsid w:val="0081547E"/>
    <w:rsid w:val="00815D2B"/>
    <w:rsid w:val="00817D6D"/>
    <w:rsid w:val="00824871"/>
    <w:rsid w:val="00834984"/>
    <w:rsid w:val="008360A8"/>
    <w:rsid w:val="008428C2"/>
    <w:rsid w:val="00850734"/>
    <w:rsid w:val="00850777"/>
    <w:rsid w:val="008576C9"/>
    <w:rsid w:val="008676DE"/>
    <w:rsid w:val="00874ADE"/>
    <w:rsid w:val="008843A6"/>
    <w:rsid w:val="00885627"/>
    <w:rsid w:val="008918B5"/>
    <w:rsid w:val="008A33C9"/>
    <w:rsid w:val="008A4CF1"/>
    <w:rsid w:val="008B2CB6"/>
    <w:rsid w:val="008B3241"/>
    <w:rsid w:val="008C1732"/>
    <w:rsid w:val="008C3C04"/>
    <w:rsid w:val="008C7D74"/>
    <w:rsid w:val="008D3BE2"/>
    <w:rsid w:val="008E008C"/>
    <w:rsid w:val="008F1B6D"/>
    <w:rsid w:val="008F2BBA"/>
    <w:rsid w:val="008F55DC"/>
    <w:rsid w:val="00900442"/>
    <w:rsid w:val="0090796E"/>
    <w:rsid w:val="0091039F"/>
    <w:rsid w:val="00912D7E"/>
    <w:rsid w:val="00913F38"/>
    <w:rsid w:val="00924EB7"/>
    <w:rsid w:val="0092598E"/>
    <w:rsid w:val="0093173A"/>
    <w:rsid w:val="0093503D"/>
    <w:rsid w:val="00937D54"/>
    <w:rsid w:val="00943D01"/>
    <w:rsid w:val="00947831"/>
    <w:rsid w:val="0095080A"/>
    <w:rsid w:val="00950D96"/>
    <w:rsid w:val="009513AB"/>
    <w:rsid w:val="009552C7"/>
    <w:rsid w:val="00963C4B"/>
    <w:rsid w:val="0096696F"/>
    <w:rsid w:val="00966E1B"/>
    <w:rsid w:val="00967BCD"/>
    <w:rsid w:val="009703D2"/>
    <w:rsid w:val="00990A45"/>
    <w:rsid w:val="00990E7D"/>
    <w:rsid w:val="00994479"/>
    <w:rsid w:val="00994762"/>
    <w:rsid w:val="00995727"/>
    <w:rsid w:val="00995822"/>
    <w:rsid w:val="0099677D"/>
    <w:rsid w:val="009A004A"/>
    <w:rsid w:val="009A11E1"/>
    <w:rsid w:val="009A4704"/>
    <w:rsid w:val="009A686E"/>
    <w:rsid w:val="009B1BF2"/>
    <w:rsid w:val="009B4A4A"/>
    <w:rsid w:val="009D0B10"/>
    <w:rsid w:val="009E1819"/>
    <w:rsid w:val="009F1B06"/>
    <w:rsid w:val="009F1EFE"/>
    <w:rsid w:val="009F479C"/>
    <w:rsid w:val="00A01FFB"/>
    <w:rsid w:val="00A0375A"/>
    <w:rsid w:val="00A07BA2"/>
    <w:rsid w:val="00A1093B"/>
    <w:rsid w:val="00A10D9B"/>
    <w:rsid w:val="00A12835"/>
    <w:rsid w:val="00A16F72"/>
    <w:rsid w:val="00A17DA7"/>
    <w:rsid w:val="00A3213B"/>
    <w:rsid w:val="00A32142"/>
    <w:rsid w:val="00A40B81"/>
    <w:rsid w:val="00A40E26"/>
    <w:rsid w:val="00A44A7A"/>
    <w:rsid w:val="00A5102F"/>
    <w:rsid w:val="00A55512"/>
    <w:rsid w:val="00A72FA3"/>
    <w:rsid w:val="00A75013"/>
    <w:rsid w:val="00A763CD"/>
    <w:rsid w:val="00A76DD2"/>
    <w:rsid w:val="00A7752F"/>
    <w:rsid w:val="00A80230"/>
    <w:rsid w:val="00A8299D"/>
    <w:rsid w:val="00A86A80"/>
    <w:rsid w:val="00A925A4"/>
    <w:rsid w:val="00A9313A"/>
    <w:rsid w:val="00AA6DAB"/>
    <w:rsid w:val="00AB732A"/>
    <w:rsid w:val="00AB77B8"/>
    <w:rsid w:val="00AC1E16"/>
    <w:rsid w:val="00AC4DA5"/>
    <w:rsid w:val="00AC7682"/>
    <w:rsid w:val="00AD0462"/>
    <w:rsid w:val="00AE077A"/>
    <w:rsid w:val="00AF2DD8"/>
    <w:rsid w:val="00AF430C"/>
    <w:rsid w:val="00AF5B57"/>
    <w:rsid w:val="00B10D61"/>
    <w:rsid w:val="00B118A4"/>
    <w:rsid w:val="00B16B76"/>
    <w:rsid w:val="00B20E10"/>
    <w:rsid w:val="00B249C4"/>
    <w:rsid w:val="00B255CE"/>
    <w:rsid w:val="00B2644A"/>
    <w:rsid w:val="00B42302"/>
    <w:rsid w:val="00B609BC"/>
    <w:rsid w:val="00B61712"/>
    <w:rsid w:val="00B7144A"/>
    <w:rsid w:val="00B7178F"/>
    <w:rsid w:val="00B77708"/>
    <w:rsid w:val="00B919C5"/>
    <w:rsid w:val="00B91EE9"/>
    <w:rsid w:val="00B93E93"/>
    <w:rsid w:val="00B949BD"/>
    <w:rsid w:val="00B95CB7"/>
    <w:rsid w:val="00B9642E"/>
    <w:rsid w:val="00BA2372"/>
    <w:rsid w:val="00BA484E"/>
    <w:rsid w:val="00BA523D"/>
    <w:rsid w:val="00BB5658"/>
    <w:rsid w:val="00BC20C6"/>
    <w:rsid w:val="00BD552A"/>
    <w:rsid w:val="00BF4815"/>
    <w:rsid w:val="00C07996"/>
    <w:rsid w:val="00C110B8"/>
    <w:rsid w:val="00C20076"/>
    <w:rsid w:val="00C23F49"/>
    <w:rsid w:val="00C33011"/>
    <w:rsid w:val="00C34866"/>
    <w:rsid w:val="00C360FA"/>
    <w:rsid w:val="00C4301B"/>
    <w:rsid w:val="00C44C44"/>
    <w:rsid w:val="00C46DB4"/>
    <w:rsid w:val="00C502E5"/>
    <w:rsid w:val="00C53BB8"/>
    <w:rsid w:val="00C5767E"/>
    <w:rsid w:val="00C61DD3"/>
    <w:rsid w:val="00C62563"/>
    <w:rsid w:val="00C65E89"/>
    <w:rsid w:val="00C66C2C"/>
    <w:rsid w:val="00C709AD"/>
    <w:rsid w:val="00C71860"/>
    <w:rsid w:val="00C73098"/>
    <w:rsid w:val="00C81C5C"/>
    <w:rsid w:val="00C834D1"/>
    <w:rsid w:val="00CA5719"/>
    <w:rsid w:val="00CB0C1E"/>
    <w:rsid w:val="00CB16F2"/>
    <w:rsid w:val="00CB1BC4"/>
    <w:rsid w:val="00CB300F"/>
    <w:rsid w:val="00CB3A11"/>
    <w:rsid w:val="00CB5E8B"/>
    <w:rsid w:val="00CC3EC1"/>
    <w:rsid w:val="00CC7A3B"/>
    <w:rsid w:val="00CD34FF"/>
    <w:rsid w:val="00CE0ABF"/>
    <w:rsid w:val="00CE0BAB"/>
    <w:rsid w:val="00CE130D"/>
    <w:rsid w:val="00CE3CE6"/>
    <w:rsid w:val="00CE6F3E"/>
    <w:rsid w:val="00CF16CD"/>
    <w:rsid w:val="00CF39AF"/>
    <w:rsid w:val="00D12EE4"/>
    <w:rsid w:val="00D243A6"/>
    <w:rsid w:val="00D345A3"/>
    <w:rsid w:val="00D363B8"/>
    <w:rsid w:val="00D441F5"/>
    <w:rsid w:val="00D462D2"/>
    <w:rsid w:val="00D512C0"/>
    <w:rsid w:val="00D517A1"/>
    <w:rsid w:val="00D5694F"/>
    <w:rsid w:val="00D635C9"/>
    <w:rsid w:val="00D65A51"/>
    <w:rsid w:val="00D7153F"/>
    <w:rsid w:val="00D74DE3"/>
    <w:rsid w:val="00D75B48"/>
    <w:rsid w:val="00D87E73"/>
    <w:rsid w:val="00D90295"/>
    <w:rsid w:val="00D91358"/>
    <w:rsid w:val="00D964D5"/>
    <w:rsid w:val="00DB0DDC"/>
    <w:rsid w:val="00DB767B"/>
    <w:rsid w:val="00DB7FCC"/>
    <w:rsid w:val="00DC0786"/>
    <w:rsid w:val="00DC0B5B"/>
    <w:rsid w:val="00DC304A"/>
    <w:rsid w:val="00DC326D"/>
    <w:rsid w:val="00DC3539"/>
    <w:rsid w:val="00DD09B5"/>
    <w:rsid w:val="00DD4660"/>
    <w:rsid w:val="00DE7E56"/>
    <w:rsid w:val="00DF16F6"/>
    <w:rsid w:val="00DF17F6"/>
    <w:rsid w:val="00DF385F"/>
    <w:rsid w:val="00DF3B64"/>
    <w:rsid w:val="00E00926"/>
    <w:rsid w:val="00E00CE3"/>
    <w:rsid w:val="00E025CE"/>
    <w:rsid w:val="00E06C70"/>
    <w:rsid w:val="00E10986"/>
    <w:rsid w:val="00E164EB"/>
    <w:rsid w:val="00E37326"/>
    <w:rsid w:val="00E42A86"/>
    <w:rsid w:val="00E47B2F"/>
    <w:rsid w:val="00E47DC8"/>
    <w:rsid w:val="00E600BD"/>
    <w:rsid w:val="00E66E84"/>
    <w:rsid w:val="00E72F09"/>
    <w:rsid w:val="00E73273"/>
    <w:rsid w:val="00E915F8"/>
    <w:rsid w:val="00E91F30"/>
    <w:rsid w:val="00E959A0"/>
    <w:rsid w:val="00EA2587"/>
    <w:rsid w:val="00EA413C"/>
    <w:rsid w:val="00EA77CD"/>
    <w:rsid w:val="00EB2410"/>
    <w:rsid w:val="00EB29C8"/>
    <w:rsid w:val="00EC06CF"/>
    <w:rsid w:val="00EC29AD"/>
    <w:rsid w:val="00EC5DB9"/>
    <w:rsid w:val="00ED1B67"/>
    <w:rsid w:val="00ED73D9"/>
    <w:rsid w:val="00ED7938"/>
    <w:rsid w:val="00EF3E04"/>
    <w:rsid w:val="00EF47CF"/>
    <w:rsid w:val="00F0296A"/>
    <w:rsid w:val="00F23AC6"/>
    <w:rsid w:val="00F24B71"/>
    <w:rsid w:val="00F254CA"/>
    <w:rsid w:val="00F360D0"/>
    <w:rsid w:val="00F439F5"/>
    <w:rsid w:val="00F60B83"/>
    <w:rsid w:val="00F6287B"/>
    <w:rsid w:val="00F6567F"/>
    <w:rsid w:val="00F704BD"/>
    <w:rsid w:val="00F70DB6"/>
    <w:rsid w:val="00F72067"/>
    <w:rsid w:val="00F779DF"/>
    <w:rsid w:val="00F82A61"/>
    <w:rsid w:val="00F846D0"/>
    <w:rsid w:val="00F904CB"/>
    <w:rsid w:val="00F941F4"/>
    <w:rsid w:val="00F9440F"/>
    <w:rsid w:val="00FB253D"/>
    <w:rsid w:val="00FC39F5"/>
    <w:rsid w:val="00FC774C"/>
    <w:rsid w:val="00FD72B8"/>
    <w:rsid w:val="00FE3126"/>
    <w:rsid w:val="00FE3372"/>
    <w:rsid w:val="00FE7244"/>
    <w:rsid w:val="00FF4091"/>
    <w:rsid w:val="00FF5796"/>
    <w:rsid w:val="00FF780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356CE04-F064-41F2-95B2-08F6CCB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C44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C44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44C44"/>
    <w:pPr>
      <w:widowControl w:val="0"/>
      <w:autoSpaceDE w:val="0"/>
      <w:autoSpaceDN w:val="0"/>
      <w:adjustRightInd w:val="0"/>
      <w:spacing w:before="100"/>
      <w:ind w:left="322" w:hanging="204"/>
      <w:outlineLvl w:val="2"/>
    </w:pPr>
    <w:rPr>
      <w:rFonts w:ascii="Trebuchet MS" w:eastAsia="Times New Roman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8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F9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0A4262"/>
    <w:rPr>
      <w:b/>
      <w:bCs/>
    </w:rPr>
  </w:style>
  <w:style w:type="paragraph" w:customStyle="1" w:styleId="Char">
    <w:name w:val="Char"/>
    <w:basedOn w:val="Normal"/>
    <w:uiPriority w:val="99"/>
    <w:rsid w:val="000A426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vhtml1">
    <w:name w:val="tv_html1"/>
    <w:basedOn w:val="Normal"/>
    <w:uiPriority w:val="99"/>
    <w:rsid w:val="00585F09"/>
    <w:pPr>
      <w:spacing w:before="100" w:beforeAutospacing="1" w:after="100" w:afterAutospacing="1" w:line="36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vhtml2">
    <w:name w:val="tv_html2"/>
    <w:basedOn w:val="DefaultParagraphFont"/>
    <w:uiPriority w:val="99"/>
    <w:rsid w:val="00585F09"/>
    <w:rPr>
      <w:rFonts w:ascii="Verdana" w:hAnsi="Verdana" w:cs="Verdana"/>
      <w:sz w:val="18"/>
      <w:szCs w:val="18"/>
    </w:rPr>
  </w:style>
  <w:style w:type="paragraph" w:customStyle="1" w:styleId="tv2161">
    <w:name w:val="tv2161"/>
    <w:basedOn w:val="Normal"/>
    <w:uiPriority w:val="99"/>
    <w:rsid w:val="00585F09"/>
    <w:pPr>
      <w:spacing w:before="240" w:line="360" w:lineRule="auto"/>
      <w:ind w:firstLine="300"/>
      <w:jc w:val="right"/>
    </w:pPr>
    <w:rPr>
      <w:rFonts w:ascii="Verdana" w:eastAsia="Times New Roman" w:hAnsi="Verdana" w:cs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2E2919"/>
    <w:pPr>
      <w:ind w:left="720"/>
    </w:pPr>
  </w:style>
  <w:style w:type="character" w:customStyle="1" w:styleId="apple-converted-space">
    <w:name w:val="apple-converted-space"/>
    <w:basedOn w:val="DefaultParagraphFont"/>
    <w:rsid w:val="00994479"/>
  </w:style>
  <w:style w:type="paragraph" w:styleId="NoSpacing">
    <w:name w:val="No Spacing"/>
    <w:uiPriority w:val="1"/>
    <w:qFormat/>
    <w:rsid w:val="00F704BD"/>
    <w:rPr>
      <w:rFonts w:ascii="Times New Roman" w:hAnsi="Times New Roman"/>
      <w:sz w:val="24"/>
      <w:szCs w:val="24"/>
    </w:rPr>
  </w:style>
  <w:style w:type="character" w:customStyle="1" w:styleId="t3">
    <w:name w:val="t3"/>
    <w:basedOn w:val="DefaultParagraphFont"/>
    <w:rsid w:val="00F704BD"/>
  </w:style>
  <w:style w:type="character" w:customStyle="1" w:styleId="fwn">
    <w:name w:val="fwn"/>
    <w:basedOn w:val="DefaultParagraphFont"/>
    <w:rsid w:val="00F704BD"/>
  </w:style>
  <w:style w:type="paragraph" w:customStyle="1" w:styleId="labojumupamats">
    <w:name w:val="labojumu_pamats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html">
    <w:name w:val="tv_html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213">
    <w:name w:val="tv213"/>
    <w:basedOn w:val="Normal"/>
    <w:rsid w:val="00B91EE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4C44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C44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44C44"/>
    <w:rPr>
      <w:rFonts w:ascii="Trebuchet MS" w:eastAsia="Times New Roman" w:hAnsi="Trebuchet MS" w:cs="Trebuchet MS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44C44"/>
    <w:pPr>
      <w:widowControl w:val="0"/>
      <w:autoSpaceDE w:val="0"/>
      <w:autoSpaceDN w:val="0"/>
      <w:adjustRightInd w:val="0"/>
      <w:ind w:left="1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44C44"/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E464-D819-45C7-A390-D351C01F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1931</Words>
  <Characters>16413</Characters>
  <Application>Microsoft Office Word</Application>
  <DocSecurity>0</DocSecurity>
  <Lines>136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19.oktobra noteikumos Nr.820 „Dopinga kontroles kārtība”</vt:lpstr>
    </vt:vector>
  </TitlesOfParts>
  <Company>Veselības Ministrija</Company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Nr.820 „Dopinga kontroles kārtība”</dc:title>
  <dc:subject>Ministru kabineta noteikumu projekts</dc:subject>
  <dc:creator>Vieda Lūsa</dc:creator>
  <dc:description>vieda.lusa@vm.gov.lv, 67876099</dc:description>
  <cp:lastModifiedBy>Jekaterina Dobrijana</cp:lastModifiedBy>
  <cp:revision>133</cp:revision>
  <cp:lastPrinted>2018-03-19T13:51:00Z</cp:lastPrinted>
  <dcterms:created xsi:type="dcterms:W3CDTF">2018-03-09T14:04:00Z</dcterms:created>
  <dcterms:modified xsi:type="dcterms:W3CDTF">2018-03-22T13:49:00Z</dcterms:modified>
</cp:coreProperties>
</file>