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FFF6" w14:textId="77777777" w:rsidR="00894C55" w:rsidRPr="008009CF" w:rsidRDefault="00153CA5" w:rsidP="0015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  <w:r w:rsidR="00B40EDE" w:rsidRPr="00B40ED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8009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Grozījums Ministru kabineta </w:t>
      </w:r>
      <w:r w:rsidR="00D119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2011.</w:t>
      </w:r>
      <w:r w:rsidR="006C41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119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27.</w:t>
      </w:r>
      <w:r w:rsidR="006C41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119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decembra noteikumos Nr.</w:t>
      </w:r>
      <w:r w:rsidR="006C41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119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1019 </w:t>
      </w:r>
      <w:r w:rsidR="00B40EDE" w:rsidRPr="00B40ED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"</w:t>
      </w:r>
      <w:r w:rsidR="00D119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kadastrālās uzmērīšanas noteikumi</w:t>
      </w:r>
      <w:r w:rsidRPr="008009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"" </w:t>
      </w:r>
      <w:r w:rsidR="00894C55" w:rsidRPr="008009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07475869" w14:textId="77777777" w:rsidR="00E5323B" w:rsidRPr="008009CF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8A1069" w:rsidRPr="008009CF" w14:paraId="3A64941D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77807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A1069" w:rsidRPr="008009CF" w14:paraId="7C191E50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2E1C5" w14:textId="77777777" w:rsidR="00E5323B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161E" w14:textId="77777777" w:rsidR="00E5323B" w:rsidRPr="008009CF" w:rsidRDefault="00AC4179" w:rsidP="00811005">
            <w:pPr>
              <w:spacing w:after="0" w:line="240" w:lineRule="auto"/>
              <w:ind w:firstLine="57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>Netiek aizpildīts saskaņā ar Ministru kabineta 2009.</w:t>
            </w:r>
            <w:r w:rsidR="006C41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>gada 15.</w:t>
            </w:r>
            <w:r w:rsidR="006C41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>decembra instrukcijas Nr.</w:t>
            </w:r>
            <w:r w:rsidR="006C41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 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>Tiesību akta projekta sākotnējās ietekmes izvērtēšanas kārtība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5.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1 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>punktu.</w:t>
            </w:r>
          </w:p>
        </w:tc>
      </w:tr>
    </w:tbl>
    <w:p w14:paraId="6AACE3B7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A1069" w:rsidRPr="008009CF" w14:paraId="367C389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C437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A1069" w:rsidRPr="008009CF" w14:paraId="0A177D5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2CA32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D0DB" w14:textId="77777777" w:rsidR="00E5323B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04298" w14:textId="77777777" w:rsidR="00E5323B" w:rsidRPr="008009CF" w:rsidRDefault="00596DC5" w:rsidP="00941189">
            <w:pPr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</w:t>
            </w:r>
            <w:r w:rsidR="00F62038"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ības ministrija </w:t>
            </w:r>
            <w:r w:rsidR="006C41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656472"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sagatavojusi</w:t>
            </w:r>
            <w:r w:rsidR="00941189"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noteikumu projektu</w:t>
            </w:r>
            <w:r w:rsidR="00656472"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C4193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6C419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Grozījums </w:t>
            </w:r>
            <w:r w:rsidR="006C419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</w:t>
            </w:r>
            <w:r w:rsidR="006C41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  <w:r w:rsidR="006C419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6C41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 decembra noteikumos</w:t>
            </w:r>
            <w:r w:rsidR="006C419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="006C41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1019</w:t>
            </w:r>
            <w:r w:rsidR="006C419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4193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6C41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kadastrālās uzmērīšanas noteikumi</w:t>
            </w:r>
            <w:r w:rsidR="006C4193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""</w:t>
            </w:r>
            <w:r w:rsidR="006C419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F62038"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savas iniciatīvas, lai savstarpēji saskaņotu Ministru kabineta noteikumos lietoto terminoloģiju.</w:t>
            </w:r>
          </w:p>
        </w:tc>
      </w:tr>
      <w:tr w:rsidR="008A1069" w:rsidRPr="008009CF" w14:paraId="7DEA5C2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F3377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6280F" w14:textId="77777777" w:rsidR="00E5323B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B9A65" w14:textId="77777777" w:rsidR="00E5323B" w:rsidRPr="008009CF" w:rsidRDefault="00DA7E20" w:rsidP="00DA0408">
            <w:pPr>
              <w:spacing w:after="6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Valsts sekretāru </w:t>
            </w:r>
            <w:r w:rsidR="005F6B63" w:rsidRPr="008009CF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DA0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6B63" w:rsidRPr="008009CF">
              <w:rPr>
                <w:rFonts w:ascii="Times New Roman" w:hAnsi="Times New Roman" w:cs="Times New Roman"/>
                <w:sz w:val="24"/>
                <w:szCs w:val="24"/>
              </w:rPr>
              <w:t>gada 16.</w:t>
            </w:r>
            <w:r w:rsidR="00DA0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6B63"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novembra 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sanāksmē </w:t>
            </w:r>
            <w:r w:rsidR="00EC2491"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izsludināts </w:t>
            </w:r>
            <w:r w:rsidR="005F6B63"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ministrijas sagatavotais 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2011.</w:t>
            </w:r>
            <w:r w:rsidR="00DA0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DA0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 noteikumos Nr.</w:t>
            </w:r>
            <w:r w:rsidR="00DA0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879 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>Ģeodēziskās atskaites sistēmas un topogrāfisko karšu sistēmas noteikumi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""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(VSS-1199</w:t>
            </w:r>
            <w:r w:rsidR="00DA0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 – Noteikumu pr</w:t>
            </w:r>
            <w:r w:rsidR="00DA0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ojekts)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DA0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kurā, </w:t>
            </w:r>
            <w:r w:rsidR="007C0DEE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starpā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</w:t>
            </w:r>
            <w:r w:rsidR="00DA0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ēts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svītrot no 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2011.</w:t>
            </w:r>
            <w:r w:rsidR="00DA0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DA0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 noteikumiem Nr.</w:t>
            </w:r>
            <w:r w:rsidR="00DA04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879 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>Ģeodēziskās atskaites sistēmas un topogrāfisko karšu sistēmas noteikumi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Noteikumi Nr.</w:t>
            </w:r>
            <w:r w:rsidR="006F33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879)</w:t>
            </w:r>
            <w:r w:rsidR="00BB1DFB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normu</w:t>
            </w:r>
            <w:r w:rsidR="006F33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>reālā laika globālās pozicionēšanas metodes validāciju</w:t>
            </w:r>
            <w:r w:rsidR="00656472"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 apvidū</w:t>
            </w:r>
            <w:r w:rsidR="006F3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472"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saglabājot tikai pastāvīgo bāzes staciju ģeodēzisko koordinātu </w:t>
            </w:r>
            <w:proofErr w:type="spellStart"/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kamerālu</w:t>
            </w:r>
            <w:proofErr w:type="spellEnd"/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pārbaudi.</w:t>
            </w:r>
          </w:p>
          <w:p w14:paraId="66EEF173" w14:textId="77777777" w:rsidR="00941189" w:rsidRPr="008009CF" w:rsidRDefault="009F6C32" w:rsidP="008043F4">
            <w:pPr>
              <w:spacing w:after="6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s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askaņošanas procesā Aizsardzības ministrija ir konstatējusi</w:t>
            </w:r>
            <w:r w:rsidR="00656472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iepriekš neparedzētu problēmu,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</w:t>
            </w:r>
            <w:r w:rsid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F33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  <w:r w:rsidR="006F33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</w:t>
            </w:r>
            <w:r w:rsidR="00EC2491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="006F33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1019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kadastrālās uzmērīšanas noteikumi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6F33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noteikumus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izstrādājusi Tieslietu ministrija</w:t>
            </w:r>
            <w:r w:rsidR="00636A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 – Noteikumi Nr.</w:t>
            </w:r>
            <w:r w:rsidR="00636A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1019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</w:t>
            </w:r>
            <w:r w:rsid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C2491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 w:rsidR="00636A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="00000A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tiek </w:t>
            </w:r>
            <w:r w:rsidR="007C0DEE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lietots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0DEE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termins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“valid</w:t>
            </w:r>
            <w:r w:rsidR="004655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</w:t>
            </w:r>
            <w:r w:rsidR="00685D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3605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attiecībā uz minētajām </w:t>
            </w:r>
            <w:r w:rsidR="009C3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globālās pozicionēšanas bāzes staciju sistēmām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7B1C408" w14:textId="77777777" w:rsidR="00DA7E20" w:rsidRPr="00D1192A" w:rsidRDefault="00B95B74" w:rsidP="008043F4">
            <w:pPr>
              <w:spacing w:after="6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Attiecīgi </w:t>
            </w:r>
            <w:r w:rsidR="00941189" w:rsidRP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Nr.</w:t>
            </w:r>
            <w:r w:rsidR="00AE3A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1192A" w:rsidRP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1019</w:t>
            </w:r>
            <w:r w:rsidR="00C9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41189" w:rsidRP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1192A" w:rsidRP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  <w:r w:rsidR="00941189" w:rsidRP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  <w:r w:rsidR="00C90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41189" w:rsidRP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</w:t>
            </w:r>
            <w:r w:rsidR="00E22048" w:rsidRP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41189" w:rsidRP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22048" w:rsidRP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</w:t>
            </w:r>
            <w:r w:rsidR="00941189" w:rsidRPr="00D11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 w:rsidR="00D1192A" w:rsidRPr="00D1192A">
              <w:rPr>
                <w:rFonts w:ascii="Times New Roman" w:hAnsi="Times New Roman" w:cs="Times New Roman"/>
                <w:sz w:val="24"/>
                <w:szCs w:val="24"/>
              </w:rPr>
              <w:t>zemes kadastrālās uzmērīšanas vajadzībām</w:t>
            </w:r>
            <w:r w:rsidR="00C907C6">
              <w:rPr>
                <w:rFonts w:ascii="Times New Roman" w:hAnsi="Times New Roman" w:cs="Times New Roman"/>
                <w:sz w:val="24"/>
                <w:szCs w:val="24"/>
              </w:rPr>
              <w:t xml:space="preserve"> mērnieks</w:t>
            </w:r>
            <w:r w:rsidR="00D1192A" w:rsidRPr="00D1192A">
              <w:rPr>
                <w:rFonts w:ascii="Times New Roman" w:hAnsi="Times New Roman" w:cs="Times New Roman"/>
                <w:sz w:val="24"/>
                <w:szCs w:val="24"/>
              </w:rPr>
              <w:t xml:space="preserve">, ja nepieciešams, izveido uzmērīšanas tīklu, kas balstās uz vietējo ģeodēzisko tīklu vai pastāvīgo globālās pozicionēšanas bāzes staciju vai to sistēmu, izņemot </w:t>
            </w:r>
            <w:proofErr w:type="spellStart"/>
            <w:r w:rsidR="00D1192A" w:rsidRPr="00D1192A">
              <w:rPr>
                <w:rFonts w:ascii="Times New Roman" w:hAnsi="Times New Roman" w:cs="Times New Roman"/>
                <w:sz w:val="24"/>
                <w:szCs w:val="24"/>
              </w:rPr>
              <w:t>LatPos</w:t>
            </w:r>
            <w:proofErr w:type="spellEnd"/>
            <w:r w:rsidR="00D1192A" w:rsidRPr="00D1192A">
              <w:rPr>
                <w:rFonts w:ascii="Times New Roman" w:hAnsi="Times New Roman" w:cs="Times New Roman"/>
                <w:sz w:val="24"/>
                <w:szCs w:val="24"/>
              </w:rPr>
              <w:t>, kura ir validēta normatīvajos aktos noteiktajā kārtībā, ja tiek nodrošināta šo noteikumu 146.</w:t>
            </w:r>
            <w:r w:rsidR="00B77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192A" w:rsidRPr="00D1192A">
              <w:rPr>
                <w:rFonts w:ascii="Times New Roman" w:hAnsi="Times New Roman" w:cs="Times New Roman"/>
                <w:sz w:val="24"/>
                <w:szCs w:val="24"/>
              </w:rPr>
              <w:t xml:space="preserve">punktā </w:t>
            </w:r>
            <w:r w:rsidR="00D1192A" w:rsidRPr="00D11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minētā precizitāte attiecībā pret valsts ģeodēzisko tīklu vai </w:t>
            </w:r>
            <w:proofErr w:type="spellStart"/>
            <w:r w:rsidR="00D1192A" w:rsidRPr="00D1192A">
              <w:rPr>
                <w:rFonts w:ascii="Times New Roman" w:hAnsi="Times New Roman" w:cs="Times New Roman"/>
                <w:sz w:val="24"/>
                <w:szCs w:val="24"/>
              </w:rPr>
              <w:t>LatPos</w:t>
            </w:r>
            <w:proofErr w:type="spellEnd"/>
            <w:r w:rsidR="00D1192A" w:rsidRPr="00D11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A5F63" w14:textId="77777777" w:rsidR="00DA7E20" w:rsidRPr="008009CF" w:rsidRDefault="005F6B63" w:rsidP="009C2E0E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</w:t>
            </w:r>
            <w:r w:rsidR="009F6C32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projektu </w:t>
            </w:r>
            <w:r w:rsidR="00713B16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pl</w:t>
            </w:r>
            <w:r w:rsidR="00E85C15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ānots </w:t>
            </w:r>
            <w:r w:rsidR="00E22048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aizstāt </w:t>
            </w:r>
            <w:r w:rsidR="00E85C15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 Nr.</w:t>
            </w:r>
            <w:r w:rsidR="00B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85C15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879 lietoto </w:t>
            </w:r>
            <w:r w:rsidR="00713B16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terminu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validācija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B77D2D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, vietā liekot</w:t>
            </w:r>
            <w:r w:rsidR="00C3694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terminu 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C3694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pārbaude</w:t>
            </w:r>
            <w:r w:rsidR="00B40EDE" w:rsidRPr="00B40ED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B77D2D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="009C2E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BD2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atzinumu sniedzēji (t.</w:t>
            </w:r>
            <w:r w:rsidR="00B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D2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sk. Tieslietu ministrija)</w:t>
            </w:r>
            <w:r w:rsidR="00E22048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D2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atbalst</w:t>
            </w:r>
            <w:r w:rsidR="00D10B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ījuši</w:t>
            </w:r>
            <w:r w:rsidR="00BD2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projekta tālāko virzību bez iebildumiem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Aizsardz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ības ministrija</w:t>
            </w:r>
            <w:r w:rsidR="00D10B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vienlaikus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7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sagatavojusi noteikumu projektu</w:t>
            </w:r>
            <w:r w:rsidR="0009703C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(tehniskos grozījumus)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savstarpēji </w:t>
            </w:r>
            <w:r w:rsidR="0009703C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saskaņotu </w:t>
            </w:r>
            <w:r w:rsidR="00EC2491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09703C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 lietot</w:t>
            </w:r>
            <w:r w:rsidR="006708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 terminus.</w:t>
            </w:r>
          </w:p>
        </w:tc>
      </w:tr>
      <w:tr w:rsidR="008A1069" w:rsidRPr="008009CF" w14:paraId="741BC8A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E9332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1BA35" w14:textId="77777777" w:rsidR="00E5323B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16350" w14:textId="77777777" w:rsidR="00E5323B" w:rsidRPr="008009CF" w:rsidRDefault="00AC4179" w:rsidP="00AC4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Latvijas Ģeotelpiskās informācijas aģentūra.</w:t>
            </w:r>
          </w:p>
        </w:tc>
      </w:tr>
      <w:tr w:rsidR="008A1069" w:rsidRPr="008009CF" w14:paraId="2344757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DB1A4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4CDE7" w14:textId="77777777" w:rsidR="00E5323B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BCAEA" w14:textId="77777777" w:rsidR="00E5323B" w:rsidRPr="008009CF" w:rsidRDefault="006402B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45B036A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1F6A0E2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C14B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B1BC1" w:rsidRPr="008009CF" w14:paraId="3BE87A7A" w14:textId="77777777" w:rsidTr="001B1B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831B" w14:textId="77777777" w:rsidR="001B1BC1" w:rsidRPr="008009CF" w:rsidRDefault="001B1BC1" w:rsidP="001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0AF61BA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484644F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4FA61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43776" w:rsidRPr="008009CF" w14:paraId="3A5FAE66" w14:textId="77777777" w:rsidTr="00D43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07685" w14:textId="77777777" w:rsidR="00D43776" w:rsidRPr="008009CF" w:rsidRDefault="00D43776" w:rsidP="00D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3B24FFB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719D30A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30A40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B1BC1" w:rsidRPr="008009CF" w14:paraId="590EE7D1" w14:textId="77777777" w:rsidTr="001B1B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97F2" w14:textId="77777777" w:rsidR="001B1BC1" w:rsidRPr="008009CF" w:rsidRDefault="001B1BC1" w:rsidP="001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BE03304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6F83118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DE1E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43776" w:rsidRPr="008009CF" w14:paraId="78CCEAE6" w14:textId="77777777" w:rsidTr="00D43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4E9E0" w14:textId="77777777" w:rsidR="00D43776" w:rsidRPr="008009CF" w:rsidRDefault="00D43776" w:rsidP="0080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85C600E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6DBA7FB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DE582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04897" w:rsidRPr="008009CF" w14:paraId="70903496" w14:textId="77777777" w:rsidTr="008048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B6D8" w14:textId="77777777" w:rsidR="00804897" w:rsidRPr="008009CF" w:rsidRDefault="00804897" w:rsidP="0080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73E6091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5764A7E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B811A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43776" w:rsidRPr="008009CF" w14:paraId="074E443F" w14:textId="77777777" w:rsidTr="00D43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9FA25" w14:textId="77777777" w:rsidR="00D43776" w:rsidRPr="008009CF" w:rsidRDefault="00D43776" w:rsidP="00D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09CE074" w14:textId="77777777" w:rsidR="00C25B49" w:rsidRPr="008009CF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BAB7D" w14:textId="77777777" w:rsidR="00D43776" w:rsidRPr="008009CF" w:rsidRDefault="00B24F69" w:rsidP="00D4377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5DDA">
        <w:rPr>
          <w:rFonts w:ascii="Times New Roman" w:hAnsi="Times New Roman" w:cs="Times New Roman"/>
          <w:sz w:val="24"/>
          <w:szCs w:val="24"/>
        </w:rPr>
        <w:t>izsardzības ministrs</w:t>
      </w:r>
      <w:r w:rsidR="00825DDA">
        <w:rPr>
          <w:rFonts w:ascii="Times New Roman" w:hAnsi="Times New Roman" w:cs="Times New Roman"/>
          <w:sz w:val="24"/>
          <w:szCs w:val="24"/>
        </w:rPr>
        <w:tab/>
      </w:r>
      <w:r w:rsidR="00825DDA">
        <w:rPr>
          <w:rFonts w:ascii="Times New Roman" w:hAnsi="Times New Roman" w:cs="Times New Roman"/>
          <w:sz w:val="24"/>
          <w:szCs w:val="24"/>
        </w:rPr>
        <w:tab/>
        <w:t xml:space="preserve">                    R.</w:t>
      </w:r>
      <w:r w:rsidR="00D43776" w:rsidRPr="008009CF">
        <w:rPr>
          <w:rFonts w:ascii="Times New Roman" w:hAnsi="Times New Roman" w:cs="Times New Roman"/>
          <w:sz w:val="24"/>
          <w:szCs w:val="24"/>
        </w:rPr>
        <w:t xml:space="preserve"> Bergmanis</w:t>
      </w:r>
    </w:p>
    <w:p w14:paraId="40CEC316" w14:textId="77777777" w:rsidR="00894C55" w:rsidRPr="008009CF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1EF364" w14:textId="77777777" w:rsidR="00894C55" w:rsidRPr="008009CF" w:rsidRDefault="00825DDA" w:rsidP="0082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sekretāra </w:t>
      </w:r>
      <w:proofErr w:type="spellStart"/>
      <w:r>
        <w:rPr>
          <w:rFonts w:ascii="Times New Roman" w:hAnsi="Times New Roman" w:cs="Times New Roman"/>
          <w:sz w:val="24"/>
          <w:szCs w:val="24"/>
        </w:rPr>
        <w:t>p.i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E.Palma-Jansone</w:t>
      </w:r>
    </w:p>
    <w:p w14:paraId="596C1958" w14:textId="77777777" w:rsidR="00894C55" w:rsidRPr="008009CF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1532E4" w14:textId="77777777" w:rsidR="00894C55" w:rsidRPr="008009CF" w:rsidRDefault="00894C55" w:rsidP="001B1BC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E1A35" w14:textId="77777777" w:rsidR="00AF2BDC" w:rsidRPr="00DF4D99" w:rsidRDefault="00B77D2D" w:rsidP="00AF2BDC">
      <w:pPr>
        <w:pStyle w:val="tv213"/>
        <w:spacing w:before="0" w:beforeAutospacing="0" w:after="0" w:afterAutospacing="0"/>
        <w:jc w:val="both"/>
        <w:rPr>
          <w:rStyle w:val="lbldescriptioncl"/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I. </w:t>
      </w:r>
      <w:r w:rsidR="00AF2BDC" w:rsidRPr="00DF4D99">
        <w:rPr>
          <w:sz w:val="20"/>
          <w:szCs w:val="20"/>
        </w:rPr>
        <w:t>Liepiņš</w:t>
      </w:r>
      <w:r>
        <w:rPr>
          <w:sz w:val="20"/>
          <w:szCs w:val="20"/>
        </w:rPr>
        <w:t>,</w:t>
      </w:r>
      <w:r w:rsidR="00AF2BDC" w:rsidRPr="00DF4D99">
        <w:rPr>
          <w:sz w:val="20"/>
          <w:szCs w:val="20"/>
        </w:rPr>
        <w:t xml:space="preserve"> </w:t>
      </w:r>
      <w:r w:rsidR="00AF2BDC" w:rsidRPr="00DF4D99">
        <w:rPr>
          <w:rStyle w:val="lbldescriptioncl"/>
          <w:sz w:val="20"/>
          <w:szCs w:val="20"/>
        </w:rPr>
        <w:t>26165678</w:t>
      </w:r>
    </w:p>
    <w:p w14:paraId="72506B19" w14:textId="77777777" w:rsidR="00AF2BDC" w:rsidRPr="00DF4D99" w:rsidRDefault="00AF2BDC" w:rsidP="00AF2BDC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DF4D99">
        <w:rPr>
          <w:sz w:val="20"/>
          <w:szCs w:val="20"/>
        </w:rPr>
        <w:t>ivars.liepins@lgia.gov.lv</w:t>
      </w:r>
      <w:proofErr w:type="spellEnd"/>
      <w:r w:rsidRPr="00DF4D99">
        <w:rPr>
          <w:sz w:val="20"/>
          <w:szCs w:val="20"/>
        </w:rPr>
        <w:t>.</w:t>
      </w:r>
      <w:r w:rsidRPr="00DF4D99">
        <w:rPr>
          <w:rStyle w:val="lbldescriptioncl"/>
          <w:sz w:val="20"/>
          <w:szCs w:val="20"/>
        </w:rPr>
        <w:t xml:space="preserve"> </w:t>
      </w:r>
    </w:p>
    <w:p w14:paraId="12298410" w14:textId="77777777" w:rsidR="00894C55" w:rsidRPr="008009CF" w:rsidRDefault="00894C55" w:rsidP="00AF2BD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C55" w:rsidRPr="008009CF" w:rsidSect="00AC4179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B7DC2" w14:textId="77777777" w:rsidR="003C5766" w:rsidRDefault="003C5766" w:rsidP="00894C55">
      <w:pPr>
        <w:spacing w:after="0" w:line="240" w:lineRule="auto"/>
      </w:pPr>
      <w:r>
        <w:separator/>
      </w:r>
    </w:p>
  </w:endnote>
  <w:endnote w:type="continuationSeparator" w:id="0">
    <w:p w14:paraId="0DAE7BFA" w14:textId="77777777" w:rsidR="003C5766" w:rsidRDefault="003C576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F7D6" w14:textId="77777777" w:rsidR="00894C55" w:rsidRPr="006402BD" w:rsidRDefault="00C444C3" w:rsidP="006402B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="00C4138A">
      <w:rPr>
        <w:rFonts w:ascii="Times New Roman" w:hAnsi="Times New Roman" w:cs="Times New Roman"/>
        <w:sz w:val="20"/>
        <w:szCs w:val="20"/>
      </w:rPr>
      <w:t>not_25</w:t>
    </w:r>
    <w:r w:rsidR="00094F9D">
      <w:rPr>
        <w:rFonts w:ascii="Times New Roman" w:hAnsi="Times New Roman" w:cs="Times New Roman"/>
        <w:sz w:val="20"/>
        <w:szCs w:val="20"/>
      </w:rPr>
      <w:t>0118</w:t>
    </w:r>
    <w:r w:rsidR="00D1192A">
      <w:rPr>
        <w:rFonts w:ascii="Times New Roman" w:hAnsi="Times New Roman" w:cs="Times New Roman"/>
        <w:sz w:val="20"/>
        <w:szCs w:val="20"/>
      </w:rPr>
      <w:t>_Groz_1019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FEAA" w14:textId="77777777" w:rsidR="009A2654" w:rsidRPr="009A2654" w:rsidRDefault="006402B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C444C3"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D1192A">
      <w:rPr>
        <w:rFonts w:ascii="Times New Roman" w:hAnsi="Times New Roman" w:cs="Times New Roman"/>
        <w:sz w:val="20"/>
        <w:szCs w:val="20"/>
      </w:rPr>
      <w:t>2</w:t>
    </w:r>
    <w:r w:rsidR="00B40EDE">
      <w:rPr>
        <w:rFonts w:ascii="Times New Roman" w:hAnsi="Times New Roman" w:cs="Times New Roman"/>
        <w:sz w:val="20"/>
        <w:szCs w:val="20"/>
      </w:rPr>
      <w:t>5</w:t>
    </w:r>
    <w:r w:rsidR="00094F9D">
      <w:rPr>
        <w:rFonts w:ascii="Times New Roman" w:hAnsi="Times New Roman" w:cs="Times New Roman"/>
        <w:sz w:val="20"/>
        <w:szCs w:val="20"/>
      </w:rPr>
      <w:t>0118</w:t>
    </w:r>
    <w:r w:rsidR="009A2654">
      <w:rPr>
        <w:rFonts w:ascii="Times New Roman" w:hAnsi="Times New Roman" w:cs="Times New Roman"/>
        <w:sz w:val="20"/>
        <w:szCs w:val="20"/>
      </w:rPr>
      <w:t>_</w:t>
    </w:r>
    <w:r w:rsidR="00D1192A">
      <w:rPr>
        <w:rFonts w:ascii="Times New Roman" w:hAnsi="Times New Roman" w:cs="Times New Roman"/>
        <w:sz w:val="20"/>
        <w:szCs w:val="20"/>
      </w:rPr>
      <w:t>Groz_1019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1DF4" w14:textId="77777777" w:rsidR="003C5766" w:rsidRDefault="003C5766" w:rsidP="00894C55">
      <w:pPr>
        <w:spacing w:after="0" w:line="240" w:lineRule="auto"/>
      </w:pPr>
      <w:r>
        <w:separator/>
      </w:r>
    </w:p>
  </w:footnote>
  <w:footnote w:type="continuationSeparator" w:id="0">
    <w:p w14:paraId="679078B4" w14:textId="77777777" w:rsidR="003C5766" w:rsidRDefault="003C576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4047724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825DDA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ADC"/>
    <w:rsid w:val="00007009"/>
    <w:rsid w:val="0000756E"/>
    <w:rsid w:val="00094F9D"/>
    <w:rsid w:val="0009703C"/>
    <w:rsid w:val="001006C6"/>
    <w:rsid w:val="00125CD7"/>
    <w:rsid w:val="00127AAD"/>
    <w:rsid w:val="00143E22"/>
    <w:rsid w:val="00153CA5"/>
    <w:rsid w:val="0017339B"/>
    <w:rsid w:val="001A6436"/>
    <w:rsid w:val="001B1BC1"/>
    <w:rsid w:val="001D3196"/>
    <w:rsid w:val="00243426"/>
    <w:rsid w:val="002C647B"/>
    <w:rsid w:val="002E1C05"/>
    <w:rsid w:val="002F304B"/>
    <w:rsid w:val="00325D2B"/>
    <w:rsid w:val="003605CC"/>
    <w:rsid w:val="0037209D"/>
    <w:rsid w:val="003B0BF9"/>
    <w:rsid w:val="003C5766"/>
    <w:rsid w:val="003E0791"/>
    <w:rsid w:val="003F28AC"/>
    <w:rsid w:val="00427FE5"/>
    <w:rsid w:val="004454FE"/>
    <w:rsid w:val="00456E40"/>
    <w:rsid w:val="0046556A"/>
    <w:rsid w:val="00471F27"/>
    <w:rsid w:val="00473DEA"/>
    <w:rsid w:val="00480FF5"/>
    <w:rsid w:val="004A0C24"/>
    <w:rsid w:val="004E19B2"/>
    <w:rsid w:val="004F5EB7"/>
    <w:rsid w:val="0050178F"/>
    <w:rsid w:val="00596DC5"/>
    <w:rsid w:val="005E54DB"/>
    <w:rsid w:val="005F6B63"/>
    <w:rsid w:val="005F7F5F"/>
    <w:rsid w:val="00617D8D"/>
    <w:rsid w:val="00636AD4"/>
    <w:rsid w:val="006402BD"/>
    <w:rsid w:val="00655F2C"/>
    <w:rsid w:val="00656472"/>
    <w:rsid w:val="0067082E"/>
    <w:rsid w:val="00685D94"/>
    <w:rsid w:val="006C4193"/>
    <w:rsid w:val="006E1081"/>
    <w:rsid w:val="006F33D7"/>
    <w:rsid w:val="00713B16"/>
    <w:rsid w:val="0072006F"/>
    <w:rsid w:val="00720585"/>
    <w:rsid w:val="00745E09"/>
    <w:rsid w:val="00773AF6"/>
    <w:rsid w:val="00795F71"/>
    <w:rsid w:val="007A711A"/>
    <w:rsid w:val="007B2A05"/>
    <w:rsid w:val="007C0DEE"/>
    <w:rsid w:val="007E01F1"/>
    <w:rsid w:val="007E5F7A"/>
    <w:rsid w:val="007E73AB"/>
    <w:rsid w:val="008009CF"/>
    <w:rsid w:val="008043F4"/>
    <w:rsid w:val="00804897"/>
    <w:rsid w:val="00811005"/>
    <w:rsid w:val="00816C11"/>
    <w:rsid w:val="00825DDA"/>
    <w:rsid w:val="00841F65"/>
    <w:rsid w:val="00894C55"/>
    <w:rsid w:val="008A1069"/>
    <w:rsid w:val="00941189"/>
    <w:rsid w:val="009A2654"/>
    <w:rsid w:val="009A7EE2"/>
    <w:rsid w:val="009C2E0E"/>
    <w:rsid w:val="009C3275"/>
    <w:rsid w:val="009D07C4"/>
    <w:rsid w:val="009F6C32"/>
    <w:rsid w:val="00A10FC3"/>
    <w:rsid w:val="00A6073E"/>
    <w:rsid w:val="00AC4179"/>
    <w:rsid w:val="00AE3AC4"/>
    <w:rsid w:val="00AE5567"/>
    <w:rsid w:val="00AF1239"/>
    <w:rsid w:val="00AF2BDC"/>
    <w:rsid w:val="00B16480"/>
    <w:rsid w:val="00B2165C"/>
    <w:rsid w:val="00B24F69"/>
    <w:rsid w:val="00B250DF"/>
    <w:rsid w:val="00B34454"/>
    <w:rsid w:val="00B40EDE"/>
    <w:rsid w:val="00B5246D"/>
    <w:rsid w:val="00B77D2D"/>
    <w:rsid w:val="00B95B74"/>
    <w:rsid w:val="00BA20AA"/>
    <w:rsid w:val="00BB1DFB"/>
    <w:rsid w:val="00BC35B5"/>
    <w:rsid w:val="00BD261F"/>
    <w:rsid w:val="00BD4425"/>
    <w:rsid w:val="00BD49B9"/>
    <w:rsid w:val="00C25B49"/>
    <w:rsid w:val="00C36943"/>
    <w:rsid w:val="00C4138A"/>
    <w:rsid w:val="00C444C3"/>
    <w:rsid w:val="00C53966"/>
    <w:rsid w:val="00C76120"/>
    <w:rsid w:val="00C907C6"/>
    <w:rsid w:val="00CC0D2D"/>
    <w:rsid w:val="00CE5657"/>
    <w:rsid w:val="00D10B4F"/>
    <w:rsid w:val="00D1192A"/>
    <w:rsid w:val="00D133F8"/>
    <w:rsid w:val="00D14A3E"/>
    <w:rsid w:val="00D43776"/>
    <w:rsid w:val="00D92CBC"/>
    <w:rsid w:val="00DA0408"/>
    <w:rsid w:val="00DA7E20"/>
    <w:rsid w:val="00DF4D99"/>
    <w:rsid w:val="00E117F3"/>
    <w:rsid w:val="00E12851"/>
    <w:rsid w:val="00E22048"/>
    <w:rsid w:val="00E342B6"/>
    <w:rsid w:val="00E3716B"/>
    <w:rsid w:val="00E37BF6"/>
    <w:rsid w:val="00E5323B"/>
    <w:rsid w:val="00E85C15"/>
    <w:rsid w:val="00E8749E"/>
    <w:rsid w:val="00E90C01"/>
    <w:rsid w:val="00EA486E"/>
    <w:rsid w:val="00EB2A05"/>
    <w:rsid w:val="00EC2491"/>
    <w:rsid w:val="00F57B0C"/>
    <w:rsid w:val="00F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A4DA4E1"/>
  <w15:docId w15:val="{447B6313-13BF-4486-8F93-AA97C41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A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bldescriptioncl">
    <w:name w:val="lbldescriptioncl"/>
    <w:basedOn w:val="DefaultParagraphFont"/>
    <w:rsid w:val="00AF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Irēna Kalna</cp:lastModifiedBy>
  <cp:revision>4</cp:revision>
  <dcterms:created xsi:type="dcterms:W3CDTF">2018-03-02T10:03:00Z</dcterms:created>
  <dcterms:modified xsi:type="dcterms:W3CDTF">2018-03-09T09:37:00Z</dcterms:modified>
</cp:coreProperties>
</file>