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6C1236" w:rsidRPr="00EC5A2F" w:rsidP="006C1236" w14:paraId="55582A35" w14:textId="21374939">
      <w:pPr>
        <w:spacing w:after="0"/>
        <w:jc w:val="center"/>
      </w:pPr>
      <w:r w:rsidRPr="00EC5A2F">
        <w:rPr>
          <w:rFonts w:eastAsia="Times New Roman"/>
          <w:b/>
          <w:bCs/>
        </w:rPr>
        <w:t>Ministru kabineta rīkojuma projekta „</w:t>
      </w:r>
      <w:r w:rsidRPr="00EC5A2F">
        <w:rPr>
          <w:b/>
        </w:rPr>
        <w:t>Par civilā eksperta dalības laika pagarināšanu Eiropas Drošības un sadarbības organizācijas speciālajā novērošanas misijā Ukrainā”</w:t>
      </w:r>
    </w:p>
    <w:p w:rsidR="006C1236" w:rsidP="006C1236" w14:paraId="32581A0F" w14:textId="77777777">
      <w:pPr>
        <w:spacing w:after="0" w:line="240" w:lineRule="auto"/>
        <w:jc w:val="center"/>
        <w:rPr>
          <w:b/>
        </w:rPr>
      </w:pPr>
      <w:r w:rsidRPr="00EC5A2F">
        <w:rPr>
          <w:b/>
        </w:rPr>
        <w:t xml:space="preserve"> sākotnējās ietekmes novērtējuma ziņojums (anotācija)</w:t>
      </w:r>
    </w:p>
    <w:p w:rsidR="006C1236" w:rsidP="006C1236" w14:paraId="78EC6D04" w14:textId="77777777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256"/>
        <w:gridCol w:w="5805"/>
      </w:tblGrid>
      <w:tr w14:paraId="417A704C" w14:textId="77777777" w:rsidTr="004708FF">
        <w:tblPrEx>
          <w:tblW w:w="0" w:type="auto"/>
          <w:tblLook w:val="04A0"/>
        </w:tblPrEx>
        <w:tc>
          <w:tcPr>
            <w:tcW w:w="9061" w:type="dxa"/>
            <w:gridSpan w:val="2"/>
          </w:tcPr>
          <w:p w:rsidR="006C1236" w:rsidP="004708FF" w14:paraId="211F1BCE" w14:textId="7777777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14:paraId="42264AB7" w14:textId="77777777" w:rsidTr="004708FF">
        <w:tblPrEx>
          <w:tblW w:w="0" w:type="auto"/>
          <w:tblLook w:val="04A0"/>
        </w:tblPrEx>
        <w:tc>
          <w:tcPr>
            <w:tcW w:w="3256" w:type="dxa"/>
          </w:tcPr>
          <w:p w:rsidR="006C1236" w:rsidRPr="007C3359" w:rsidP="004708FF" w14:paraId="1132F1DF" w14:textId="785E1B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C3359">
              <w:rPr>
                <w:bCs/>
              </w:rPr>
              <w:t>Mē</w:t>
            </w:r>
            <w:r w:rsidRPr="007C3359" w:rsidR="00BE5582">
              <w:rPr>
                <w:bCs/>
              </w:rPr>
              <w:t>r</w:t>
            </w:r>
            <w:r w:rsidRPr="007C3359">
              <w:rPr>
                <w:bCs/>
              </w:rPr>
              <w:t>ķis, risinājums un projekta spēkā stāšanās laiks (500 zīmes bez atstarpēm)</w:t>
            </w:r>
          </w:p>
        </w:tc>
        <w:tc>
          <w:tcPr>
            <w:tcW w:w="5805" w:type="dxa"/>
          </w:tcPr>
          <w:p w:rsidR="006C1236" w:rsidRPr="007C3359" w:rsidP="004708FF" w14:paraId="6A75BED1" w14:textId="2530986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C3359">
              <w:rPr>
                <w:bCs/>
              </w:rPr>
              <w:t>Netiek aizpildīts, jo anotācijas I sadaļas 2.</w:t>
            </w:r>
            <w:r w:rsidRPr="007C3359" w:rsidR="00BE5582">
              <w:rPr>
                <w:bCs/>
              </w:rPr>
              <w:t> </w:t>
            </w:r>
            <w:r w:rsidRPr="007C3359">
              <w:rPr>
                <w:bCs/>
              </w:rPr>
              <w:t>punkts nepārsniedz divas lapaspuses.</w:t>
            </w:r>
          </w:p>
        </w:tc>
      </w:tr>
    </w:tbl>
    <w:p w:rsidR="006C1236" w:rsidRPr="008202D6" w:rsidP="006C1236" w14:paraId="520D32CF" w14:textId="77777777">
      <w:pPr>
        <w:spacing w:after="0" w:line="240" w:lineRule="auto"/>
        <w:ind w:firstLine="300"/>
        <w:jc w:val="center"/>
        <w:rPr>
          <w:rFonts w:eastAsia="Times New Roman"/>
          <w:iCs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7"/>
        <w:gridCol w:w="2892"/>
        <w:gridCol w:w="5953"/>
      </w:tblGrid>
      <w:tr w14:paraId="1940F197" w14:textId="77777777" w:rsidTr="004708FF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236" w:rsidRPr="00EC5A2F" w:rsidP="006C1236" w14:paraId="5F63115B" w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C5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  <w:p w:rsidR="006C1236" w:rsidRPr="00EC5A2F" w:rsidP="004708FF" w14:paraId="769DA7F2" w14:textId="77777777">
            <w:pPr>
              <w:pStyle w:val="ListParagraph"/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14:paraId="69E4B9B8" w14:textId="77777777" w:rsidTr="004708F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236" w:rsidRPr="00EC5A2F" w:rsidP="004708FF" w14:paraId="6B80FF4D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C5A2F">
              <w:rPr>
                <w:rFonts w:eastAsia="Times New Roman"/>
              </w:rPr>
              <w:t>1.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236" w:rsidRPr="00EC5A2F" w:rsidP="004708FF" w14:paraId="4ECF17D2" w14:textId="77777777">
            <w:pPr>
              <w:spacing w:after="0" w:line="240" w:lineRule="auto"/>
              <w:rPr>
                <w:rFonts w:eastAsia="Times New Roman"/>
              </w:rPr>
            </w:pPr>
            <w:r w:rsidRPr="00EC5A2F">
              <w:rPr>
                <w:rFonts w:eastAsia="Times New Roman"/>
              </w:rPr>
              <w:t>Pamatojums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236" w:rsidRPr="00935398" w:rsidP="004708FF" w14:paraId="79D1AE06" w14:textId="4D48B3DA">
            <w:pPr>
              <w:spacing w:after="120" w:line="240" w:lineRule="auto"/>
              <w:jc w:val="both"/>
              <w:rPr>
                <w:rFonts w:eastAsia="Times New Roman"/>
              </w:rPr>
            </w:pPr>
            <w:r w:rsidRPr="00935398">
              <w:rPr>
                <w:rFonts w:eastAsia="Times New Roman"/>
              </w:rPr>
              <w:t>Starptautiskās palīdzības likuma 12.</w:t>
            </w:r>
            <w:r w:rsidR="00B7306E">
              <w:rPr>
                <w:rFonts w:eastAsia="Times New Roman"/>
              </w:rPr>
              <w:t> </w:t>
            </w:r>
            <w:r w:rsidRPr="00935398">
              <w:rPr>
                <w:rFonts w:eastAsia="Times New Roman"/>
              </w:rPr>
              <w:t>panta otrā daļa</w:t>
            </w:r>
            <w:r w:rsidR="00B7306E">
              <w:rPr>
                <w:rFonts w:eastAsia="Times New Roman"/>
              </w:rPr>
              <w:t xml:space="preserve"> </w:t>
            </w:r>
            <w:r w:rsidRPr="00935398">
              <w:rPr>
                <w:rFonts w:eastAsia="Times New Roman"/>
              </w:rPr>
              <w:t>nosaka, ka lēmumu par civilā eksperta piedalīšanos starptautiskajā misijā pieņem Ministru kabinets.</w:t>
            </w:r>
          </w:p>
          <w:p w:rsidR="006C1236" w:rsidRPr="00935398" w:rsidP="004708FF" w14:paraId="7C0E1B1B" w14:textId="79289C37">
            <w:pPr>
              <w:spacing w:after="120" w:line="240" w:lineRule="auto"/>
              <w:jc w:val="both"/>
            </w:pPr>
            <w:r w:rsidRPr="00935398">
              <w:rPr>
                <w:rFonts w:eastAsia="Times New Roman"/>
              </w:rPr>
              <w:t>Ministru kabineta 2009.</w:t>
            </w:r>
            <w:r w:rsidR="00B7306E">
              <w:rPr>
                <w:rFonts w:eastAsia="Times New Roman"/>
              </w:rPr>
              <w:t> </w:t>
            </w:r>
            <w:r w:rsidRPr="00935398">
              <w:rPr>
                <w:rFonts w:eastAsia="Times New Roman"/>
              </w:rPr>
              <w:t>gada 13.</w:t>
            </w:r>
            <w:r w:rsidR="00B7306E">
              <w:rPr>
                <w:rFonts w:eastAsia="Times New Roman"/>
              </w:rPr>
              <w:t> </w:t>
            </w:r>
            <w:r w:rsidRPr="00935398">
              <w:rPr>
                <w:rFonts w:eastAsia="Times New Roman"/>
              </w:rPr>
              <w:t xml:space="preserve">janvāra </w:t>
            </w:r>
            <w:r w:rsidRPr="00935398">
              <w:t>noteikumu Nr.</w:t>
            </w:r>
            <w:r w:rsidR="00B7306E">
              <w:t> </w:t>
            </w:r>
            <w:r w:rsidRPr="00935398">
              <w:t>35 „Kārtība, kādā civilo ekspertu nosūta dalībai starptautiskajā misijā, un dalības finansēšanas kārtība” 8.</w:t>
            </w:r>
            <w:r w:rsidR="00B7306E">
              <w:t> </w:t>
            </w:r>
            <w:r w:rsidRPr="00935398">
              <w:t>punkts</w:t>
            </w:r>
            <w:r w:rsidR="00B7306E">
              <w:t xml:space="preserve"> </w:t>
            </w:r>
            <w:r w:rsidRPr="00935398">
              <w:t xml:space="preserve">nosaka, ka, ņemot vērā civilā eksperta un izvirzošās institūcijas lūgumu, Ministru kabinets ar atsevišķu rīkojumu var pagarināt civilā eksperta dalības laiku starptautiskajā misijā. </w:t>
            </w:r>
          </w:p>
          <w:p w:rsidR="006C1236" w:rsidRPr="00935398" w:rsidP="004708FF" w14:paraId="4432CF9F" w14:textId="0CCD981F">
            <w:pPr>
              <w:spacing w:after="120" w:line="240" w:lineRule="auto"/>
              <w:jc w:val="both"/>
            </w:pPr>
            <w:r w:rsidRPr="00935398">
              <w:t>Ministru kabineta 2014.</w:t>
            </w:r>
            <w:r w:rsidR="00B7306E">
              <w:t> </w:t>
            </w:r>
            <w:r w:rsidRPr="00935398">
              <w:t>gada 25.</w:t>
            </w:r>
            <w:r w:rsidR="00B7306E">
              <w:t> </w:t>
            </w:r>
            <w:r w:rsidRPr="00935398">
              <w:t>marta sēdes protokollēmuma Nr.</w:t>
            </w:r>
            <w:r w:rsidR="00B7306E">
              <w:t> </w:t>
            </w:r>
            <w:r w:rsidRPr="00935398">
              <w:t>18 36</w:t>
            </w:r>
            <w:r>
              <w:t>.</w:t>
            </w:r>
            <w:r w:rsidR="00B7306E">
              <w:t> </w:t>
            </w:r>
            <w:r w:rsidRPr="00935398">
              <w:t>§ 3. un 4.</w:t>
            </w:r>
            <w:r w:rsidR="00B7306E">
              <w:t> </w:t>
            </w:r>
            <w:r w:rsidRPr="00935398">
              <w:t>punkts.</w:t>
            </w:r>
          </w:p>
          <w:p w:rsidR="006C1236" w:rsidRPr="00263C96" w:rsidP="004708FF" w14:paraId="6C53E77E" w14:textId="2CA8CC88">
            <w:pPr>
              <w:spacing w:after="120" w:line="240" w:lineRule="auto"/>
              <w:jc w:val="both"/>
              <w:rPr>
                <w:rFonts w:eastAsia="Times New Roman"/>
                <w:b/>
              </w:rPr>
            </w:pPr>
            <w:r w:rsidRPr="00263C96">
              <w:rPr>
                <w:b/>
              </w:rPr>
              <w:t>Eiropas Drošības un sadarbības organizācijas (EDSO) speciālās novērošanas misijas Ukrainā Cilvēkre</w:t>
            </w:r>
            <w:r>
              <w:rPr>
                <w:b/>
              </w:rPr>
              <w:t>sursu departamenta 2018.</w:t>
            </w:r>
            <w:r w:rsidR="00B7306E">
              <w:rPr>
                <w:b/>
              </w:rPr>
              <w:t> </w:t>
            </w:r>
            <w:r>
              <w:rPr>
                <w:b/>
              </w:rPr>
              <w:t>gada 13</w:t>
            </w:r>
            <w:r w:rsidRPr="00263C96">
              <w:rPr>
                <w:b/>
              </w:rPr>
              <w:t>.</w:t>
            </w:r>
            <w:r w:rsidR="00B7306E">
              <w:rPr>
                <w:b/>
              </w:rPr>
              <w:t> </w:t>
            </w:r>
            <w:r w:rsidRPr="00263C96">
              <w:rPr>
                <w:b/>
              </w:rPr>
              <w:t>marta</w:t>
            </w:r>
            <w:r>
              <w:rPr>
                <w:b/>
              </w:rPr>
              <w:t xml:space="preserve"> lūgums pagarināt </w:t>
            </w:r>
            <w:r w:rsidRPr="00263C96">
              <w:rPr>
                <w:b/>
              </w:rPr>
              <w:t xml:space="preserve">civilā eksperta Māra </w:t>
            </w:r>
            <w:r w:rsidRPr="00263C96">
              <w:rPr>
                <w:b/>
              </w:rPr>
              <w:t>B</w:t>
            </w:r>
            <w:r>
              <w:rPr>
                <w:b/>
              </w:rPr>
              <w:t>ružas</w:t>
            </w:r>
            <w:r>
              <w:rPr>
                <w:b/>
              </w:rPr>
              <w:t xml:space="preserve"> darbības termiņu līdz </w:t>
            </w:r>
            <w:r w:rsidRPr="00263C96">
              <w:rPr>
                <w:b/>
              </w:rPr>
              <w:t>2019.</w:t>
            </w:r>
            <w:r w:rsidR="00B7306E">
              <w:rPr>
                <w:b/>
              </w:rPr>
              <w:t> </w:t>
            </w:r>
            <w:r w:rsidRPr="00263C96">
              <w:rPr>
                <w:b/>
              </w:rPr>
              <w:t>gada 31.</w:t>
            </w:r>
            <w:r w:rsidR="00B7306E">
              <w:rPr>
                <w:b/>
              </w:rPr>
              <w:t> </w:t>
            </w:r>
            <w:r w:rsidRPr="00263C96">
              <w:rPr>
                <w:b/>
              </w:rPr>
              <w:t>martam.</w:t>
            </w:r>
          </w:p>
        </w:tc>
      </w:tr>
      <w:tr w14:paraId="5466B81B" w14:textId="77777777" w:rsidTr="004708F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236" w:rsidRPr="00EC5A2F" w:rsidP="004708FF" w14:paraId="06B5A5E2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C5A2F">
              <w:rPr>
                <w:rFonts w:eastAsia="Times New Roman"/>
              </w:rPr>
              <w:t>2.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236" w:rsidP="004708FF" w14:paraId="01A98102" w14:textId="77777777">
            <w:pPr>
              <w:spacing w:after="0" w:line="240" w:lineRule="auto"/>
              <w:rPr>
                <w:rFonts w:eastAsia="Times New Roman"/>
              </w:rPr>
            </w:pPr>
            <w:r w:rsidRPr="00EC5A2F">
              <w:rPr>
                <w:rFonts w:eastAsia="Times New Roman"/>
              </w:rPr>
              <w:t>Pašreizējā situācija un problēmas, kuru risināšanai tiesību akta projekts izstrādāts, tiesiskā regulējuma mērķis un būtība</w:t>
            </w:r>
          </w:p>
          <w:p w:rsidR="006C1236" w:rsidRPr="00532BF6" w:rsidP="004708FF" w14:paraId="5EC6DC27" w14:textId="77777777">
            <w:pPr>
              <w:rPr>
                <w:rFonts w:eastAsia="Times New Roman"/>
              </w:rPr>
            </w:pPr>
          </w:p>
          <w:p w:rsidR="006C1236" w:rsidRPr="00532BF6" w:rsidP="004708FF" w14:paraId="0DF8A761" w14:textId="77777777">
            <w:pPr>
              <w:rPr>
                <w:rFonts w:eastAsia="Times New Roman"/>
              </w:rPr>
            </w:pPr>
          </w:p>
          <w:p w:rsidR="006C1236" w:rsidRPr="00532BF6" w:rsidP="004708FF" w14:paraId="1739DFB3" w14:textId="77777777">
            <w:pPr>
              <w:rPr>
                <w:rFonts w:eastAsia="Times New Roman"/>
              </w:rPr>
            </w:pPr>
          </w:p>
          <w:p w:rsidR="006C1236" w:rsidRPr="00532BF6" w:rsidP="004708FF" w14:paraId="224796FE" w14:textId="77777777">
            <w:pPr>
              <w:rPr>
                <w:rFonts w:eastAsia="Times New Roman"/>
              </w:rPr>
            </w:pPr>
          </w:p>
          <w:p w:rsidR="006C1236" w:rsidRPr="00532BF6" w:rsidP="004708FF" w14:paraId="2F785442" w14:textId="77777777">
            <w:pPr>
              <w:rPr>
                <w:rFonts w:eastAsia="Times New Roman"/>
              </w:rPr>
            </w:pPr>
          </w:p>
          <w:p w:rsidR="006C1236" w:rsidRPr="00532BF6" w:rsidP="004708FF" w14:paraId="3645347B" w14:textId="77777777">
            <w:pPr>
              <w:rPr>
                <w:rFonts w:eastAsia="Times New Roman"/>
              </w:rPr>
            </w:pPr>
          </w:p>
          <w:p w:rsidR="006C1236" w:rsidRPr="00532BF6" w:rsidP="004708FF" w14:paraId="17FB179F" w14:textId="77777777">
            <w:pPr>
              <w:rPr>
                <w:rFonts w:eastAsia="Times New Roman"/>
              </w:rPr>
            </w:pPr>
          </w:p>
          <w:p w:rsidR="006C1236" w:rsidRPr="00532BF6" w:rsidP="004708FF" w14:paraId="16C5E670" w14:textId="77777777">
            <w:pPr>
              <w:tabs>
                <w:tab w:val="left" w:pos="187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ab/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236" w:rsidP="004708FF" w14:paraId="41260897" w14:textId="4098C0E0">
            <w:pPr>
              <w:pStyle w:val="naiskr"/>
              <w:spacing w:before="120" w:after="120"/>
              <w:jc w:val="both"/>
            </w:pPr>
            <w:r>
              <w:t>EDSO Pastāvīgā padome 2014.</w:t>
            </w:r>
            <w:r w:rsidR="00B7306E">
              <w:t> </w:t>
            </w:r>
            <w:r>
              <w:t>gada 21.</w:t>
            </w:r>
            <w:r w:rsidR="00B7306E">
              <w:t> </w:t>
            </w:r>
            <w:r>
              <w:t xml:space="preserve">martā pieņēma lēmumu </w:t>
            </w:r>
            <w:r w:rsidRPr="0030533C">
              <w:t>Nr.</w:t>
            </w:r>
            <w:r w:rsidR="00B7306E">
              <w:t> </w:t>
            </w:r>
            <w:r w:rsidRPr="0030533C">
              <w:t xml:space="preserve">1117 par EDSO speciālās novērošanas misijas Ukrainā </w:t>
            </w:r>
            <w:r w:rsidR="00B7306E">
              <w:t xml:space="preserve">darbības </w:t>
            </w:r>
            <w:r w:rsidRPr="0030533C">
              <w:t>izvēršanu</w:t>
            </w:r>
            <w:r>
              <w:t xml:space="preserve"> uz seš</w:t>
            </w:r>
            <w:r w:rsidR="00B7306E">
              <w:t>iem</w:t>
            </w:r>
            <w:r>
              <w:t xml:space="preserve"> mēneš</w:t>
            </w:r>
            <w:r w:rsidR="00B7306E">
              <w:t xml:space="preserve">iem </w:t>
            </w:r>
            <w:r>
              <w:t>(</w:t>
            </w:r>
            <w:r w:rsidR="00B7306E">
              <w:t xml:space="preserve">termiņš – </w:t>
            </w:r>
            <w:r>
              <w:t>līdz 2014.</w:t>
            </w:r>
            <w:r w:rsidR="00B7306E">
              <w:t> </w:t>
            </w:r>
            <w:r>
              <w:t>gada 21.</w:t>
            </w:r>
            <w:r w:rsidR="00B7306E">
              <w:t> </w:t>
            </w:r>
            <w:r>
              <w:t>septembrim) ar iespēju to pagarināt, kam būtu nepieciešams jauns EDSO Pastāvīgās padomes lēmums.</w:t>
            </w:r>
          </w:p>
          <w:p w:rsidR="006C1236" w:rsidP="004708FF" w14:paraId="6B2461A5" w14:textId="7DC10E6F">
            <w:pPr>
              <w:pStyle w:val="naiskr"/>
              <w:spacing w:before="120" w:after="120"/>
              <w:jc w:val="both"/>
            </w:pPr>
            <w:r>
              <w:t>Ministru kabineta (</w:t>
            </w:r>
            <w:r w:rsidR="00B7306E">
              <w:t xml:space="preserve">turpmāk – </w:t>
            </w:r>
            <w:r>
              <w:t>MK) 2014.</w:t>
            </w:r>
            <w:r w:rsidR="00B7306E">
              <w:t> </w:t>
            </w:r>
            <w:r>
              <w:t>gada 25.</w:t>
            </w:r>
            <w:r w:rsidR="00B7306E">
              <w:t> </w:t>
            </w:r>
            <w:r>
              <w:t xml:space="preserve">marta sēdē tika pieņemts ārlietu ministra iesniegtais informatīvais ziņojums „Par Latvijas civilo ekspertu dalību Eiropas Drošības un sadarbības organizācijas speciālajā novērošanas misijā Ukrainā”, kā arī konceptuāli atbalstīta </w:t>
            </w:r>
            <w:r w:rsidRPr="00AB5BDE">
              <w:t>līdz 10 civilo</w:t>
            </w:r>
            <w:r>
              <w:t xml:space="preserve"> ekspertu nosūtīšana dalībai EDSO speciālajā novērošanas misijā Ukrainā, nosakot, ka </w:t>
            </w:r>
            <w:r w:rsidR="00B7306E">
              <w:t xml:space="preserve">ministrijai, kas nosūta </w:t>
            </w:r>
            <w:r>
              <w:t>civilo</w:t>
            </w:r>
            <w:r w:rsidR="00B7306E">
              <w:t>s</w:t>
            </w:r>
            <w:r>
              <w:t xml:space="preserve"> ekspertu</w:t>
            </w:r>
            <w:r w:rsidR="00B7306E">
              <w:t>s,</w:t>
            </w:r>
            <w:r>
              <w:t xml:space="preserve"> saskaņā ar Starptautiskās palīdzības likuma 12.</w:t>
            </w:r>
            <w:r w:rsidR="00B7306E">
              <w:t> </w:t>
            </w:r>
            <w:r>
              <w:t>panta otr</w:t>
            </w:r>
            <w:r w:rsidR="00B7306E">
              <w:t>o</w:t>
            </w:r>
            <w:r>
              <w:t xml:space="preserve"> daļ</w:t>
            </w:r>
            <w:r w:rsidR="00B7306E">
              <w:t>u</w:t>
            </w:r>
            <w:r>
              <w:t xml:space="preserve"> ir jāiesniedz Ministru kabinetā rīkojuma projekts par attiecīgo civilo ekspertu nosūtīšanu </w:t>
            </w:r>
            <w:r w:rsidR="003635BF">
              <w:t xml:space="preserve">uz </w:t>
            </w:r>
            <w:r>
              <w:t>minēt</w:t>
            </w:r>
            <w:r w:rsidR="003635BF">
              <w:t>o</w:t>
            </w:r>
            <w:r>
              <w:t xml:space="preserve"> EDSO misij</w:t>
            </w:r>
            <w:r w:rsidR="003635BF">
              <w:t>u</w:t>
            </w:r>
            <w:r>
              <w:t xml:space="preserve"> (prot.</w:t>
            </w:r>
            <w:r w:rsidR="00B7306E">
              <w:t xml:space="preserve"> </w:t>
            </w:r>
            <w:r>
              <w:t>Nr.</w:t>
            </w:r>
            <w:r w:rsidR="003635BF">
              <w:t> </w:t>
            </w:r>
            <w:r>
              <w:t xml:space="preserve">18, </w:t>
            </w:r>
            <w:bookmarkStart w:id="0" w:name="36"/>
            <w:r>
              <w:t>36.</w:t>
            </w:r>
            <w:r w:rsidR="003635BF">
              <w:t> </w:t>
            </w:r>
            <w:r>
              <w:t>§</w:t>
            </w:r>
            <w:bookmarkEnd w:id="0"/>
            <w:r>
              <w:t>).</w:t>
            </w:r>
          </w:p>
          <w:p w:rsidR="008F408A" w:rsidP="008F408A" w14:paraId="72FBBA56" w14:textId="77777777">
            <w:pPr>
              <w:widowControl/>
              <w:spacing w:after="0" w:line="240" w:lineRule="auto"/>
            </w:pPr>
            <w:r>
              <w:t xml:space="preserve">Ministru kabineta 2017. gada 21. februāra sēdes protokola Nr. 9 41. §, ar kuru konceptuāli atbalstīta līdz 15 civilo ekspertu nosūtīšana dalībai EDSO speciālajā novērošanas misijā Ukrainā. </w:t>
            </w:r>
          </w:p>
          <w:p w:rsidR="006C1236" w:rsidP="004708FF" w14:paraId="6DC2DA25" w14:textId="77777777">
            <w:pPr>
              <w:pStyle w:val="naiskr"/>
              <w:spacing w:before="120" w:after="120"/>
              <w:jc w:val="both"/>
            </w:pPr>
            <w:r w:rsidRPr="00EC5A2F">
              <w:t xml:space="preserve">Šobrīd minētajā EDSO misijā piedalās </w:t>
            </w:r>
            <w:r>
              <w:t>astoņi</w:t>
            </w:r>
            <w:r w:rsidRPr="00EC5A2F">
              <w:t xml:space="preserve"> civilie eksperti no Latvijas. </w:t>
            </w:r>
          </w:p>
          <w:p w:rsidR="006C1236" w:rsidP="004708FF" w14:paraId="6737AA29" w14:textId="0C49FABE">
            <w:pPr>
              <w:pStyle w:val="naiskr"/>
              <w:spacing w:before="120" w:after="120"/>
              <w:jc w:val="both"/>
            </w:pPr>
            <w:r w:rsidRPr="00064D54">
              <w:t xml:space="preserve">EDSO </w:t>
            </w:r>
            <w:r>
              <w:t>Pastāvīgā padome 2016.</w:t>
            </w:r>
            <w:r w:rsidR="003635BF">
              <w:t> </w:t>
            </w:r>
            <w:r>
              <w:t>gada 18.</w:t>
            </w:r>
            <w:r w:rsidR="003635BF">
              <w:t> </w:t>
            </w:r>
            <w:r>
              <w:t>februārī pieņēma lēmumu Nr.</w:t>
            </w:r>
            <w:r w:rsidR="003635BF">
              <w:t> </w:t>
            </w:r>
            <w:r w:rsidRPr="00064D54">
              <w:t>11</w:t>
            </w:r>
            <w:r>
              <w:t>99</w:t>
            </w:r>
            <w:r w:rsidRPr="00064D54">
              <w:t xml:space="preserve"> par EDSO speciālās novērošanas misijas Ukrainā darbības pagarināšanu uz </w:t>
            </w:r>
            <w:r>
              <w:t>laiku</w:t>
            </w:r>
            <w:r w:rsidRPr="00064D54">
              <w:t xml:space="preserve"> līdz </w:t>
            </w:r>
            <w:r>
              <w:t>2017.</w:t>
            </w:r>
            <w:r w:rsidR="003635BF">
              <w:t> </w:t>
            </w:r>
            <w:r>
              <w:t>gada 31.</w:t>
            </w:r>
            <w:r w:rsidR="003635BF">
              <w:t> </w:t>
            </w:r>
            <w:r>
              <w:t>martam</w:t>
            </w:r>
            <w:r w:rsidRPr="00064D54">
              <w:t xml:space="preserve">. </w:t>
            </w:r>
          </w:p>
          <w:p w:rsidR="006C1236" w:rsidRPr="00EC5A2F" w:rsidP="004708FF" w14:paraId="5D87D650" w14:textId="5D33BBB9">
            <w:pPr>
              <w:pStyle w:val="naiskr"/>
              <w:spacing w:before="0" w:after="120"/>
              <w:jc w:val="both"/>
            </w:pPr>
            <w:r>
              <w:t xml:space="preserve">Ar </w:t>
            </w:r>
            <w:r w:rsidRPr="00EC5A2F">
              <w:t>MK 2015.</w:t>
            </w:r>
            <w:r w:rsidR="003635BF">
              <w:t> </w:t>
            </w:r>
            <w:r w:rsidRPr="00EC5A2F">
              <w:t>gada 4.</w:t>
            </w:r>
            <w:r w:rsidR="003635BF">
              <w:t> </w:t>
            </w:r>
            <w:r>
              <w:t xml:space="preserve">jūnija </w:t>
            </w:r>
            <w:r w:rsidRPr="00EC5A2F">
              <w:t>rīkojum</w:t>
            </w:r>
            <w:r>
              <w:t>u</w:t>
            </w:r>
            <w:r w:rsidRPr="00EC5A2F">
              <w:t xml:space="preserve"> Nr.</w:t>
            </w:r>
            <w:r w:rsidR="003635BF">
              <w:t> </w:t>
            </w:r>
            <w:r>
              <w:t>293 dalībai</w:t>
            </w:r>
            <w:r w:rsidRPr="00EC5A2F">
              <w:t xml:space="preserve"> </w:t>
            </w:r>
            <w:r>
              <w:t xml:space="preserve">EDSO </w:t>
            </w:r>
            <w:r w:rsidRPr="00EC5A2F">
              <w:t>speciālajā novērošanas misijā Ukrainā</w:t>
            </w:r>
            <w:r>
              <w:t xml:space="preserve"> uz laiku no </w:t>
            </w:r>
            <w:r w:rsidRPr="00EC5A2F">
              <w:t>2015.</w:t>
            </w:r>
            <w:r w:rsidR="003635BF">
              <w:t> </w:t>
            </w:r>
            <w:r w:rsidRPr="00EC5A2F">
              <w:t xml:space="preserve">gada </w:t>
            </w:r>
            <w:r>
              <w:t>7.</w:t>
            </w:r>
            <w:r w:rsidR="003635BF">
              <w:t> </w:t>
            </w:r>
            <w:r>
              <w:t>jūnija līdz 2016.</w:t>
            </w:r>
            <w:r w:rsidR="003635BF">
              <w:t> </w:t>
            </w:r>
            <w:r>
              <w:t>gada 31.</w:t>
            </w:r>
            <w:r w:rsidR="003635BF">
              <w:t> </w:t>
            </w:r>
            <w:r>
              <w:t>martam</w:t>
            </w:r>
            <w:r w:rsidRPr="00EC5A2F">
              <w:t xml:space="preserve"> </w:t>
            </w:r>
            <w:r>
              <w:t xml:space="preserve">tika nosūtīts </w:t>
            </w:r>
            <w:r w:rsidRPr="00EC5A2F">
              <w:t>civil</w:t>
            </w:r>
            <w:r>
              <w:t>ais</w:t>
            </w:r>
            <w:r w:rsidRPr="00EC5A2F">
              <w:t xml:space="preserve"> ekspert</w:t>
            </w:r>
            <w:r>
              <w:t>s</w:t>
            </w:r>
            <w:r w:rsidRPr="00EC5A2F">
              <w:t xml:space="preserve"> </w:t>
            </w:r>
            <w:r>
              <w:t xml:space="preserve">Māris </w:t>
            </w:r>
            <w:r>
              <w:t>Bruža</w:t>
            </w:r>
            <w:r>
              <w:t>.</w:t>
            </w:r>
          </w:p>
          <w:p w:rsidR="006C1236" w:rsidP="004708FF" w14:paraId="3F3598B9" w14:textId="0D25108F">
            <w:pPr>
              <w:pStyle w:val="naiskr"/>
              <w:spacing w:before="0" w:after="120"/>
              <w:jc w:val="both"/>
            </w:pPr>
            <w:r w:rsidRPr="00003880">
              <w:t>Ar MK 2016.</w:t>
            </w:r>
            <w:r w:rsidR="003635BF">
              <w:t> </w:t>
            </w:r>
            <w:r w:rsidRPr="00003880">
              <w:t>gada 29.</w:t>
            </w:r>
            <w:r w:rsidR="003635BF">
              <w:t> </w:t>
            </w:r>
            <w:r w:rsidRPr="00003880">
              <w:t>marta rīkojumu Nr.</w:t>
            </w:r>
            <w:r w:rsidR="003635BF">
              <w:t> </w:t>
            </w:r>
            <w:r w:rsidRPr="00003880">
              <w:t xml:space="preserve">231 dalībai EDSO speciālajā novērošanas misijā Ukrainā tiek pagarināts civilā eksperta Māra </w:t>
            </w:r>
            <w:r w:rsidRPr="00003880">
              <w:t>Bružas</w:t>
            </w:r>
            <w:r w:rsidRPr="00003880">
              <w:t xml:space="preserve"> darb</w:t>
            </w:r>
            <w:r>
              <w:t>ības laiks misijā</w:t>
            </w:r>
            <w:r w:rsidRPr="00003880">
              <w:t xml:space="preserve"> līdz 2017.</w:t>
            </w:r>
            <w:r w:rsidR="003635BF">
              <w:t> </w:t>
            </w:r>
            <w:r w:rsidRPr="00003880">
              <w:t>gada 31.</w:t>
            </w:r>
            <w:r w:rsidR="003635BF">
              <w:t> </w:t>
            </w:r>
            <w:r w:rsidRPr="00003880">
              <w:t>martam.</w:t>
            </w:r>
          </w:p>
          <w:p w:rsidR="006C1236" w:rsidP="003635BF" w14:paraId="0630CCFF" w14:textId="298E8F06">
            <w:pPr>
              <w:pStyle w:val="naiskr"/>
              <w:spacing w:before="0" w:after="120"/>
              <w:jc w:val="both"/>
            </w:pPr>
            <w:r w:rsidRPr="00334B3B">
              <w:t>Ar MK 2017.</w:t>
            </w:r>
            <w:r w:rsidR="003635BF">
              <w:t> </w:t>
            </w:r>
            <w:r w:rsidRPr="00334B3B">
              <w:t>gada 28.</w:t>
            </w:r>
            <w:r w:rsidR="003635BF">
              <w:t> </w:t>
            </w:r>
            <w:r w:rsidRPr="00334B3B">
              <w:t>marta rīkojumu Nr.</w:t>
            </w:r>
            <w:r w:rsidR="003635BF">
              <w:t> </w:t>
            </w:r>
            <w:r w:rsidRPr="00334B3B">
              <w:t xml:space="preserve">139 dalībai EDSO speciālajā novērošanas misijā Ukrainā tiek pagarināts civilā eksperta Māra </w:t>
            </w:r>
            <w:r w:rsidRPr="00334B3B">
              <w:t>Bružas</w:t>
            </w:r>
            <w:r w:rsidRPr="00334B3B">
              <w:t xml:space="preserve"> darbības laiks misijā līdz 2018.</w:t>
            </w:r>
            <w:r w:rsidR="003635BF">
              <w:t> </w:t>
            </w:r>
            <w:r w:rsidRPr="00334B3B">
              <w:t>gada 31.</w:t>
            </w:r>
            <w:r w:rsidR="003635BF">
              <w:t> </w:t>
            </w:r>
            <w:r w:rsidRPr="00334B3B">
              <w:t>martam.</w:t>
            </w:r>
          </w:p>
          <w:p w:rsidR="006C1236" w:rsidRPr="007C3359" w:rsidP="004708FF" w14:paraId="193519AC" w14:textId="42445860">
            <w:pPr>
              <w:pStyle w:val="naiskr"/>
              <w:spacing w:before="120" w:after="120"/>
              <w:jc w:val="both"/>
              <w:rPr>
                <w:b/>
              </w:rPr>
            </w:pPr>
            <w:r>
              <w:t xml:space="preserve">Aizsardzības ministrija lūdz pagarināt </w:t>
            </w:r>
            <w:r w:rsidRPr="007C3359">
              <w:rPr>
                <w:b/>
              </w:rPr>
              <w:t xml:space="preserve">civilā eksperta Māra </w:t>
            </w:r>
            <w:r w:rsidRPr="007C3359">
              <w:rPr>
                <w:b/>
              </w:rPr>
              <w:t>Bružas</w:t>
            </w:r>
            <w:r w:rsidRPr="007C3359">
              <w:rPr>
                <w:b/>
              </w:rPr>
              <w:t xml:space="preserve"> dalības EDSO misijā Ukrainā laiku līdz 2019.</w:t>
            </w:r>
            <w:r w:rsidRPr="007C3359" w:rsidR="003635BF">
              <w:rPr>
                <w:b/>
              </w:rPr>
              <w:t> </w:t>
            </w:r>
            <w:r w:rsidRPr="007C3359">
              <w:rPr>
                <w:b/>
              </w:rPr>
              <w:t>gada 31.</w:t>
            </w:r>
            <w:r w:rsidRPr="007C3359" w:rsidR="003635BF">
              <w:rPr>
                <w:b/>
              </w:rPr>
              <w:t> </w:t>
            </w:r>
            <w:r w:rsidRPr="007C3359">
              <w:rPr>
                <w:b/>
              </w:rPr>
              <w:t xml:space="preserve">martam, kā arī, lai nodrošinātu dalības nepārtrauktību, noteikt, ka civilā eksperta Māra </w:t>
            </w:r>
            <w:r w:rsidRPr="007C3359">
              <w:rPr>
                <w:b/>
              </w:rPr>
              <w:t>Bružas</w:t>
            </w:r>
            <w:r w:rsidRPr="007C3359">
              <w:rPr>
                <w:b/>
              </w:rPr>
              <w:t xml:space="preserve"> dalība EDSO misijā Ukrainā </w:t>
            </w:r>
            <w:r w:rsidR="003635BF">
              <w:rPr>
                <w:b/>
              </w:rPr>
              <w:t xml:space="preserve">tiek pagarināta, sākot ar </w:t>
            </w:r>
            <w:r w:rsidRPr="007C3359">
              <w:rPr>
                <w:b/>
              </w:rPr>
              <w:t>2018.</w:t>
            </w:r>
            <w:r w:rsidRPr="007C3359" w:rsidR="003635BF">
              <w:rPr>
                <w:b/>
              </w:rPr>
              <w:t> </w:t>
            </w:r>
            <w:r w:rsidRPr="007C3359">
              <w:rPr>
                <w:b/>
              </w:rPr>
              <w:t>gada 1.</w:t>
            </w:r>
            <w:r w:rsidRPr="007C3359" w:rsidR="003635BF">
              <w:rPr>
                <w:b/>
              </w:rPr>
              <w:t> </w:t>
            </w:r>
            <w:r w:rsidRPr="007C3359">
              <w:rPr>
                <w:b/>
              </w:rPr>
              <w:t>aprīli.</w:t>
            </w:r>
          </w:p>
          <w:p w:rsidR="006C1236" w:rsidRPr="00D9073A" w:rsidP="004708FF" w14:paraId="25269674" w14:textId="3664E950">
            <w:pPr>
              <w:spacing w:after="0" w:line="240" w:lineRule="auto"/>
              <w:jc w:val="both"/>
            </w:pPr>
            <w:r w:rsidRPr="00EC5A2F">
              <w:t xml:space="preserve">Ekspertam, kas darbojas EDSO speciālajā novērošanas misijā Ukrainā, EDSO izmaksās dienas naudu </w:t>
            </w:r>
            <w:r w:rsidRPr="00EC5A2F">
              <w:rPr>
                <w:i/>
              </w:rPr>
              <w:t>(</w:t>
            </w:r>
            <w:r w:rsidRPr="00EC5A2F">
              <w:rPr>
                <w:i/>
              </w:rPr>
              <w:t>board</w:t>
            </w:r>
            <w:r w:rsidRPr="00EC5A2F">
              <w:rPr>
                <w:i/>
              </w:rPr>
              <w:t xml:space="preserve"> </w:t>
            </w:r>
            <w:r w:rsidRPr="00EC5A2F">
              <w:rPr>
                <w:i/>
              </w:rPr>
              <w:t>and</w:t>
            </w:r>
            <w:r w:rsidRPr="00EC5A2F">
              <w:rPr>
                <w:i/>
              </w:rPr>
              <w:t xml:space="preserve"> </w:t>
            </w:r>
            <w:r w:rsidRPr="00EC5A2F">
              <w:rPr>
                <w:i/>
              </w:rPr>
              <w:t>lodging</w:t>
            </w:r>
            <w:r w:rsidRPr="00EC5A2F">
              <w:rPr>
                <w:i/>
              </w:rPr>
              <w:t xml:space="preserve"> </w:t>
            </w:r>
            <w:r w:rsidRPr="00EC5A2F">
              <w:rPr>
                <w:i/>
              </w:rPr>
              <w:t>allowance</w:t>
            </w:r>
            <w:r w:rsidRPr="00EC5A2F">
              <w:t>) 125</w:t>
            </w:r>
            <w:r w:rsidR="003635BF">
              <w:t> </w:t>
            </w:r>
            <w:r w:rsidRPr="007C3359">
              <w:rPr>
                <w:i/>
              </w:rPr>
              <w:t>euro</w:t>
            </w:r>
            <w:r w:rsidRPr="00EC5A2F">
              <w:t xml:space="preserve"> apmērā, no kuras ekspert</w:t>
            </w:r>
            <w:r>
              <w:t>am būs jā</w:t>
            </w:r>
            <w:r w:rsidRPr="00EC5A2F">
              <w:t>sedz uzturēšanās izdevum</w:t>
            </w:r>
            <w:r w:rsidR="003635BF">
              <w:t>i</w:t>
            </w:r>
            <w:r w:rsidRPr="00EC5A2F">
              <w:t xml:space="preserve">. Dalības starptautiskajā misijā </w:t>
            </w:r>
            <w:r w:rsidR="003635BF">
              <w:t xml:space="preserve">laikā </w:t>
            </w:r>
            <w:r w:rsidRPr="00EC5A2F">
              <w:t>ekspertam tiks saglabāts noteiktais atalgojums.</w:t>
            </w:r>
            <w:r>
              <w:t xml:space="preserve"> </w:t>
            </w:r>
          </w:p>
        </w:tc>
      </w:tr>
      <w:tr w14:paraId="7C311963" w14:textId="77777777" w:rsidTr="004708F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236" w:rsidRPr="00EC5A2F" w:rsidP="004708FF" w14:paraId="03B1C718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C5A2F">
              <w:rPr>
                <w:rFonts w:eastAsia="Times New Roman"/>
              </w:rPr>
              <w:t>3.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236" w:rsidRPr="00EC5A2F" w:rsidP="004708FF" w14:paraId="562F8AAE" w14:textId="77777777">
            <w:pPr>
              <w:spacing w:after="0" w:line="240" w:lineRule="auto"/>
              <w:rPr>
                <w:rFonts w:eastAsia="Times New Roman"/>
              </w:rPr>
            </w:pPr>
            <w:r w:rsidRPr="00EC5A2F">
              <w:rPr>
                <w:rFonts w:eastAsia="Times New Roman"/>
              </w:rPr>
              <w:t>Projekta izstrādē iesaistītās institūcijas</w:t>
            </w:r>
            <w:r>
              <w:rPr>
                <w:rFonts w:eastAsia="Times New Roman"/>
              </w:rPr>
              <w:t xml:space="preserve"> un publiskas personas kapitālsabiedrības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236" w:rsidRPr="00EC5A2F" w:rsidP="004708FF" w14:paraId="78E8206E" w14:textId="77777777">
            <w:pPr>
              <w:spacing w:after="0" w:line="240" w:lineRule="auto"/>
              <w:rPr>
                <w:rFonts w:eastAsia="Times New Roman"/>
              </w:rPr>
            </w:pPr>
            <w:r w:rsidRPr="00EC5A2F">
              <w:rPr>
                <w:rFonts w:eastAsia="Times New Roman"/>
              </w:rPr>
              <w:t>Aizsardzības ministrija</w:t>
            </w:r>
          </w:p>
        </w:tc>
      </w:tr>
      <w:tr w14:paraId="50A133B5" w14:textId="77777777" w:rsidTr="004708F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236" w:rsidRPr="00EC5A2F" w:rsidP="004708FF" w14:paraId="02A7EDDE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C5A2F">
              <w:rPr>
                <w:rFonts w:eastAsia="Times New Roman"/>
              </w:rPr>
              <w:t>4.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236" w:rsidRPr="00EC5A2F" w:rsidP="004708FF" w14:paraId="7F5D1DB5" w14:textId="77777777">
            <w:pPr>
              <w:spacing w:after="0" w:line="240" w:lineRule="auto"/>
              <w:rPr>
                <w:rFonts w:eastAsia="Times New Roman"/>
              </w:rPr>
            </w:pPr>
            <w:r w:rsidRPr="00EC5A2F">
              <w:rPr>
                <w:rFonts w:eastAsia="Times New Roman"/>
              </w:rPr>
              <w:t>Cita informācija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236" w:rsidRPr="00EC5A2F" w:rsidP="004708FF" w14:paraId="3249B493" w14:textId="77777777">
            <w:pPr>
              <w:pStyle w:val="naisf"/>
              <w:spacing w:before="0" w:after="120"/>
              <w:ind w:firstLine="0"/>
              <w:rPr>
                <w:iCs/>
              </w:rPr>
            </w:pPr>
            <w:r w:rsidRPr="00EC5A2F">
              <w:rPr>
                <w:iCs/>
              </w:rPr>
              <w:t xml:space="preserve">Atalgojums un veselības apdrošināšanas izmaksas tiks segtas no </w:t>
            </w:r>
            <w:r w:rsidRPr="00EC5A2F">
              <w:t>Aizsardzības ministrijai piešķirtajiem valsts budžeta līdzekļiem.</w:t>
            </w:r>
          </w:p>
        </w:tc>
      </w:tr>
    </w:tbl>
    <w:p w:rsidR="006C1236" w:rsidRPr="00EC5A2F" w:rsidP="006C1236" w14:paraId="53498B75" w14:textId="77777777">
      <w:pPr>
        <w:spacing w:after="0" w:line="240" w:lineRule="auto"/>
        <w:jc w:val="center"/>
        <w:rPr>
          <w:rFonts w:eastAsia="Times New Roman"/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6"/>
        <w:gridCol w:w="2883"/>
        <w:gridCol w:w="5963"/>
      </w:tblGrid>
      <w:tr w14:paraId="5E94EBF8" w14:textId="77777777" w:rsidTr="004708FF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236" w:rsidRPr="00EC5A2F" w:rsidP="004708FF" w14:paraId="4777E623" w14:textId="77777777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</w:rPr>
            </w:pPr>
          </w:p>
          <w:p w:rsidR="006C1236" w:rsidRPr="00EC5A2F" w:rsidP="004708FF" w14:paraId="5DC4B65D" w14:textId="77777777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</w:rPr>
            </w:pPr>
            <w:r w:rsidRPr="00EC5A2F">
              <w:rPr>
                <w:rFonts w:eastAsia="Times New Roman"/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14:paraId="058793E1" w14:textId="77777777" w:rsidTr="004708F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65"/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236" w:rsidRPr="00EC5A2F" w:rsidP="004708FF" w14:paraId="122D6F4D" w14:textId="77777777">
            <w:pPr>
              <w:spacing w:after="0" w:line="240" w:lineRule="auto"/>
              <w:rPr>
                <w:rFonts w:eastAsia="Times New Roman"/>
              </w:rPr>
            </w:pPr>
            <w:r w:rsidRPr="00EC5A2F">
              <w:rPr>
                <w:rFonts w:eastAsia="Times New Roman"/>
              </w:rPr>
              <w:t>1.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236" w:rsidRPr="00EC5A2F" w:rsidP="004708FF" w14:paraId="74138728" w14:textId="77777777">
            <w:pPr>
              <w:spacing w:after="0" w:line="240" w:lineRule="auto"/>
              <w:rPr>
                <w:rFonts w:eastAsia="Times New Roman"/>
              </w:rPr>
            </w:pPr>
            <w:r w:rsidRPr="00EC5A2F">
              <w:rPr>
                <w:rFonts w:eastAsia="Times New Roman"/>
              </w:rPr>
              <w:t>Sabiedrības mērķgrupas, kuras tiesiskais regulējums ietekmē vai varētu ietekmēt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236" w:rsidRPr="00EC5A2F" w:rsidP="004708FF" w14:paraId="2C34ED7D" w14:textId="77777777">
            <w:pPr>
              <w:spacing w:after="0" w:line="240" w:lineRule="auto"/>
              <w:rPr>
                <w:rFonts w:eastAsia="Times New Roman"/>
              </w:rPr>
            </w:pPr>
            <w:r w:rsidRPr="00EC5A2F">
              <w:rPr>
                <w:rFonts w:eastAsia="Times New Roman"/>
              </w:rPr>
              <w:t xml:space="preserve">Rīkojuma projekts attiecas uz konkrēto civilo ekspertu </w:t>
            </w:r>
            <w:r>
              <w:rPr>
                <w:rFonts w:eastAsia="Times New Roman"/>
              </w:rPr>
              <w:t xml:space="preserve">Māri </w:t>
            </w:r>
            <w:r>
              <w:rPr>
                <w:rFonts w:eastAsia="Times New Roman"/>
              </w:rPr>
              <w:t>Bružu</w:t>
            </w:r>
            <w:r w:rsidRPr="00EC5A2F">
              <w:rPr>
                <w:rFonts w:eastAsia="Times New Roman"/>
              </w:rPr>
              <w:t>.</w:t>
            </w:r>
          </w:p>
        </w:tc>
      </w:tr>
      <w:tr w14:paraId="060D2F11" w14:textId="77777777" w:rsidTr="004708F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10"/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236" w:rsidRPr="00EC5A2F" w:rsidP="004708FF" w14:paraId="3D40CC72" w14:textId="77777777">
            <w:pPr>
              <w:spacing w:after="0" w:line="240" w:lineRule="auto"/>
              <w:rPr>
                <w:rFonts w:eastAsia="Times New Roman"/>
              </w:rPr>
            </w:pPr>
            <w:r w:rsidRPr="00EC5A2F">
              <w:rPr>
                <w:rFonts w:eastAsia="Times New Roman"/>
              </w:rPr>
              <w:t>2.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236" w:rsidRPr="00EC5A2F" w:rsidP="004708FF" w14:paraId="79F0039B" w14:textId="77777777">
            <w:pPr>
              <w:spacing w:after="0" w:line="240" w:lineRule="auto"/>
              <w:rPr>
                <w:rFonts w:eastAsia="Times New Roman"/>
              </w:rPr>
            </w:pPr>
            <w:r w:rsidRPr="00EC5A2F">
              <w:rPr>
                <w:rFonts w:eastAsia="Times New Roman"/>
              </w:rPr>
              <w:t>Tiesiskā regulējuma ietekme uz tautsaimniecību un administratīvo slogu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236" w:rsidRPr="00EC5A2F" w:rsidP="004708FF" w14:paraId="07C75B7B" w14:textId="41DA920A">
            <w:pPr>
              <w:spacing w:after="0" w:line="240" w:lineRule="auto"/>
              <w:rPr>
                <w:rFonts w:eastAsia="Times New Roman"/>
              </w:rPr>
            </w:pPr>
            <w:r w:rsidRPr="00EC5A2F">
              <w:rPr>
                <w:rFonts w:eastAsia="Times New Roman"/>
              </w:rPr>
              <w:t>Projekts šo jomu neskar</w:t>
            </w:r>
            <w:r w:rsidR="003635BF">
              <w:rPr>
                <w:rFonts w:eastAsia="Times New Roman"/>
              </w:rPr>
              <w:t>.</w:t>
            </w:r>
          </w:p>
        </w:tc>
      </w:tr>
      <w:tr w14:paraId="37E961D7" w14:textId="77777777" w:rsidTr="004708F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10"/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236" w:rsidRPr="00EC5A2F" w:rsidP="004708FF" w14:paraId="42D34730" w14:textId="77777777">
            <w:pPr>
              <w:spacing w:after="0" w:line="240" w:lineRule="auto"/>
              <w:rPr>
                <w:rFonts w:eastAsia="Times New Roman"/>
              </w:rPr>
            </w:pPr>
            <w:r w:rsidRPr="00EC5A2F">
              <w:rPr>
                <w:rFonts w:eastAsia="Times New Roman"/>
              </w:rPr>
              <w:t>3.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236" w:rsidRPr="00EC5A2F" w:rsidP="004708FF" w14:paraId="3E5ED621" w14:textId="77777777">
            <w:pPr>
              <w:spacing w:after="0" w:line="240" w:lineRule="auto"/>
              <w:rPr>
                <w:rFonts w:eastAsia="Times New Roman"/>
              </w:rPr>
            </w:pPr>
            <w:r w:rsidRPr="00EC5A2F">
              <w:rPr>
                <w:rFonts w:eastAsia="Times New Roman"/>
              </w:rPr>
              <w:t>Administratīvo izmaksu monetārs novērtējums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236" w:rsidRPr="00EC5A2F" w:rsidP="004708FF" w14:paraId="574973B9" w14:textId="3751D6B2">
            <w:pPr>
              <w:spacing w:after="0" w:line="240" w:lineRule="auto"/>
              <w:rPr>
                <w:rFonts w:eastAsia="Times New Roman"/>
              </w:rPr>
            </w:pPr>
            <w:r w:rsidRPr="00EC5A2F">
              <w:rPr>
                <w:rFonts w:eastAsia="Times New Roman"/>
              </w:rPr>
              <w:t>Projekts šo jomu neskar</w:t>
            </w:r>
            <w:r w:rsidR="003635BF">
              <w:rPr>
                <w:rFonts w:eastAsia="Times New Roman"/>
              </w:rPr>
              <w:t>.</w:t>
            </w:r>
          </w:p>
        </w:tc>
      </w:tr>
      <w:tr w14:paraId="41E924DF" w14:textId="77777777" w:rsidTr="004708F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10"/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236" w:rsidRPr="00EC5A2F" w:rsidP="004708FF" w14:paraId="0F5B4296" w14:textId="777777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236" w:rsidRPr="00EC5A2F" w:rsidP="004708FF" w14:paraId="3B1620ED" w14:textId="777777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Atbilstības izmaksu monetārs novērtējums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236" w:rsidRPr="00EC5A2F" w:rsidP="004708FF" w14:paraId="5AF9F2EC" w14:textId="77777777">
            <w:pPr>
              <w:spacing w:after="0" w:line="240" w:lineRule="auto"/>
              <w:rPr>
                <w:rFonts w:eastAsia="Times New Roman"/>
              </w:rPr>
            </w:pPr>
            <w:r w:rsidRPr="00EC5A2F">
              <w:rPr>
                <w:rFonts w:eastAsia="Times New Roman"/>
              </w:rPr>
              <w:t>Projekts šo jomu neskar</w:t>
            </w:r>
            <w:r>
              <w:rPr>
                <w:rFonts w:eastAsia="Times New Roman"/>
              </w:rPr>
              <w:t>.</w:t>
            </w:r>
          </w:p>
        </w:tc>
      </w:tr>
      <w:tr w14:paraId="23AFE0F3" w14:textId="77777777" w:rsidTr="004708F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345"/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236" w:rsidRPr="00EC5A2F" w:rsidP="004708FF" w14:paraId="28385063" w14:textId="7777777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EC5A2F">
              <w:rPr>
                <w:rFonts w:eastAsia="Times New Roman"/>
              </w:rPr>
              <w:t>.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236" w:rsidRPr="00EC5A2F" w:rsidP="004708FF" w14:paraId="1370A37C" w14:textId="77777777">
            <w:pPr>
              <w:spacing w:after="0" w:line="240" w:lineRule="auto"/>
              <w:rPr>
                <w:rFonts w:eastAsia="Times New Roman"/>
              </w:rPr>
            </w:pPr>
            <w:r w:rsidRPr="00EC5A2F">
              <w:rPr>
                <w:rFonts w:eastAsia="Times New Roman"/>
              </w:rPr>
              <w:t>Cita informācija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236" w:rsidRPr="00EC5A2F" w:rsidP="004708FF" w14:paraId="633C8464" w14:textId="77777777">
            <w:pPr>
              <w:spacing w:after="0" w:line="240" w:lineRule="auto"/>
              <w:rPr>
                <w:rFonts w:eastAsia="Times New Roman"/>
              </w:rPr>
            </w:pPr>
            <w:r w:rsidRPr="00EC5A2F">
              <w:rPr>
                <w:rFonts w:eastAsia="Times New Roman"/>
              </w:rPr>
              <w:t>Nav</w:t>
            </w:r>
          </w:p>
        </w:tc>
      </w:tr>
    </w:tbl>
    <w:p w:rsidR="006C1236" w:rsidP="006C1236" w14:paraId="2D557DFB" w14:textId="77777777">
      <w:pPr>
        <w:tabs>
          <w:tab w:val="left" w:pos="6521"/>
        </w:tabs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061"/>
      </w:tblGrid>
      <w:tr w14:paraId="6E9E0414" w14:textId="77777777" w:rsidTr="004708FF">
        <w:tblPrEx>
          <w:tblW w:w="0" w:type="auto"/>
          <w:tblLook w:val="04A0"/>
        </w:tblPrEx>
        <w:tc>
          <w:tcPr>
            <w:tcW w:w="9061" w:type="dxa"/>
          </w:tcPr>
          <w:p w:rsidR="006C1236" w:rsidRPr="008202D6" w:rsidP="004708FF" w14:paraId="43CEC666" w14:textId="77777777">
            <w:pPr>
              <w:pStyle w:val="ListParagraph"/>
              <w:tabs>
                <w:tab w:val="left" w:pos="6521"/>
              </w:tabs>
              <w:spacing w:after="0" w:line="240" w:lineRule="auto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14:paraId="4D3B2672" w14:textId="77777777" w:rsidTr="004708FF">
        <w:tblPrEx>
          <w:tblW w:w="0" w:type="auto"/>
          <w:tblLook w:val="04A0"/>
        </w:tblPrEx>
        <w:tc>
          <w:tcPr>
            <w:tcW w:w="9061" w:type="dxa"/>
          </w:tcPr>
          <w:p w:rsidR="006C1236" w:rsidP="004708FF" w14:paraId="3F0F68FA" w14:textId="17BA8C9D">
            <w:pPr>
              <w:tabs>
                <w:tab w:val="left" w:pos="652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Projekts šo jomu neskar</w:t>
            </w:r>
            <w:r w:rsidR="003635BF">
              <w:rPr>
                <w:sz w:val="24"/>
                <w:szCs w:val="24"/>
              </w:rPr>
              <w:t>.</w:t>
            </w:r>
          </w:p>
        </w:tc>
      </w:tr>
    </w:tbl>
    <w:p w:rsidR="006C1236" w:rsidP="006C1236" w14:paraId="713EC545" w14:textId="77777777">
      <w:pPr>
        <w:tabs>
          <w:tab w:val="left" w:pos="6521"/>
        </w:tabs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061"/>
      </w:tblGrid>
      <w:tr w14:paraId="21BD6449" w14:textId="77777777" w:rsidTr="004708FF">
        <w:tblPrEx>
          <w:tblW w:w="0" w:type="auto"/>
          <w:tblLook w:val="04A0"/>
        </w:tblPrEx>
        <w:tc>
          <w:tcPr>
            <w:tcW w:w="9061" w:type="dxa"/>
          </w:tcPr>
          <w:p w:rsidR="006C1236" w:rsidP="004708FF" w14:paraId="1022CA73" w14:textId="77777777">
            <w:pPr>
              <w:tabs>
                <w:tab w:val="left" w:pos="652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 Tiesību akta projekta ietekme uz spēkā esošo tiesību normu sistēmu</w:t>
            </w:r>
          </w:p>
        </w:tc>
      </w:tr>
      <w:tr w14:paraId="66D26623" w14:textId="77777777" w:rsidTr="004708FF">
        <w:tblPrEx>
          <w:tblW w:w="0" w:type="auto"/>
          <w:tblLook w:val="04A0"/>
        </w:tblPrEx>
        <w:tc>
          <w:tcPr>
            <w:tcW w:w="9061" w:type="dxa"/>
          </w:tcPr>
          <w:p w:rsidR="006C1236" w:rsidP="004708FF" w14:paraId="79BD1B6F" w14:textId="10CE8D70">
            <w:pPr>
              <w:tabs>
                <w:tab w:val="left" w:pos="652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Projekts šo jomu neskar</w:t>
            </w:r>
            <w:r w:rsidR="003635BF">
              <w:rPr>
                <w:sz w:val="24"/>
                <w:szCs w:val="24"/>
              </w:rPr>
              <w:t>.</w:t>
            </w:r>
          </w:p>
        </w:tc>
      </w:tr>
    </w:tbl>
    <w:p w:rsidR="006C1236" w:rsidP="006C1236" w14:paraId="30A52D73" w14:textId="77777777">
      <w:pPr>
        <w:tabs>
          <w:tab w:val="left" w:pos="6521"/>
        </w:tabs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061"/>
      </w:tblGrid>
      <w:tr w14:paraId="2036B64F" w14:textId="77777777" w:rsidTr="004708FF">
        <w:tblPrEx>
          <w:tblW w:w="0" w:type="auto"/>
          <w:tblLook w:val="04A0"/>
        </w:tblPrEx>
        <w:tc>
          <w:tcPr>
            <w:tcW w:w="9061" w:type="dxa"/>
          </w:tcPr>
          <w:p w:rsidR="006C1236" w:rsidRPr="008202D6" w:rsidP="004708FF" w14:paraId="4BCD5B5C" w14:textId="77777777">
            <w:pPr>
              <w:pStyle w:val="ListParagraph"/>
              <w:tabs>
                <w:tab w:val="left" w:pos="6521"/>
              </w:tabs>
              <w:spacing w:after="0" w:line="240" w:lineRule="auto"/>
              <w:ind w:left="10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14:paraId="14395094" w14:textId="77777777" w:rsidTr="004708FF">
        <w:tblPrEx>
          <w:tblW w:w="0" w:type="auto"/>
          <w:tblLook w:val="04A0"/>
        </w:tblPrEx>
        <w:tc>
          <w:tcPr>
            <w:tcW w:w="9061" w:type="dxa"/>
          </w:tcPr>
          <w:p w:rsidR="006C1236" w:rsidP="004708FF" w14:paraId="6DFCBF07" w14:textId="3B312A4D">
            <w:pPr>
              <w:tabs>
                <w:tab w:val="left" w:pos="652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Projekts šo jomu neskar</w:t>
            </w:r>
            <w:r w:rsidR="003635BF">
              <w:rPr>
                <w:sz w:val="24"/>
                <w:szCs w:val="24"/>
              </w:rPr>
              <w:t>.</w:t>
            </w:r>
          </w:p>
        </w:tc>
      </w:tr>
    </w:tbl>
    <w:p w:rsidR="006C1236" w:rsidP="006C1236" w14:paraId="75D4F9EE" w14:textId="77777777">
      <w:pPr>
        <w:tabs>
          <w:tab w:val="left" w:pos="6521"/>
        </w:tabs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061"/>
      </w:tblGrid>
      <w:tr w14:paraId="3B4AB805" w14:textId="77777777" w:rsidTr="004708FF">
        <w:tblPrEx>
          <w:tblW w:w="0" w:type="auto"/>
          <w:tblLook w:val="04A0"/>
        </w:tblPrEx>
        <w:tc>
          <w:tcPr>
            <w:tcW w:w="9061" w:type="dxa"/>
          </w:tcPr>
          <w:p w:rsidR="006C1236" w:rsidRPr="008202D6" w:rsidP="004708FF" w14:paraId="06851A33" w14:textId="77777777">
            <w:pPr>
              <w:pStyle w:val="ListParagraph"/>
              <w:tabs>
                <w:tab w:val="left" w:pos="6521"/>
              </w:tabs>
              <w:spacing w:after="0" w:line="240" w:lineRule="auto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 Tiesību akta projekta ietekme uz valsts budžetu un pašvaldību budžetiem</w:t>
            </w:r>
          </w:p>
        </w:tc>
      </w:tr>
      <w:tr w14:paraId="746B9EE6" w14:textId="77777777" w:rsidTr="004708FF">
        <w:tblPrEx>
          <w:tblW w:w="0" w:type="auto"/>
          <w:tblLook w:val="04A0"/>
        </w:tblPrEx>
        <w:tc>
          <w:tcPr>
            <w:tcW w:w="9061" w:type="dxa"/>
          </w:tcPr>
          <w:p w:rsidR="006C1236" w:rsidP="004708FF" w14:paraId="3C827913" w14:textId="1797A7D2">
            <w:pPr>
              <w:tabs>
                <w:tab w:val="left" w:pos="652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Projekts šo jomu neskar</w:t>
            </w:r>
            <w:r w:rsidR="003635BF">
              <w:rPr>
                <w:sz w:val="24"/>
                <w:szCs w:val="24"/>
              </w:rPr>
              <w:t>.</w:t>
            </w:r>
          </w:p>
        </w:tc>
      </w:tr>
    </w:tbl>
    <w:p w:rsidR="006C1236" w:rsidP="006C1236" w14:paraId="5FBBC4F4" w14:textId="77777777">
      <w:pPr>
        <w:tabs>
          <w:tab w:val="left" w:pos="6521"/>
        </w:tabs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562"/>
        <w:gridCol w:w="2694"/>
        <w:gridCol w:w="5805"/>
      </w:tblGrid>
      <w:tr w14:paraId="5BC0FA62" w14:textId="77777777" w:rsidTr="004708FF">
        <w:tblPrEx>
          <w:tblW w:w="0" w:type="auto"/>
          <w:tblLook w:val="04A0"/>
        </w:tblPrEx>
        <w:tc>
          <w:tcPr>
            <w:tcW w:w="9061" w:type="dxa"/>
            <w:gridSpan w:val="3"/>
          </w:tcPr>
          <w:p w:rsidR="006C1236" w:rsidP="004708FF" w14:paraId="417FB7F5" w14:textId="77777777">
            <w:pPr>
              <w:tabs>
                <w:tab w:val="left" w:pos="652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14:paraId="534EDD11" w14:textId="77777777" w:rsidTr="004708FF">
        <w:tblPrEx>
          <w:tblW w:w="0" w:type="auto"/>
          <w:tblLook w:val="04A0"/>
        </w:tblPrEx>
        <w:tc>
          <w:tcPr>
            <w:tcW w:w="562" w:type="dxa"/>
          </w:tcPr>
          <w:p w:rsidR="006C1236" w:rsidP="004708FF" w14:paraId="15526D47" w14:textId="77777777">
            <w:pPr>
              <w:tabs>
                <w:tab w:val="left" w:pos="652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6C1236" w:rsidP="004708FF" w14:paraId="1636F0F2" w14:textId="77777777">
            <w:pPr>
              <w:tabs>
                <w:tab w:val="left" w:pos="6521"/>
              </w:tabs>
              <w:spacing w:after="0" w:line="240" w:lineRule="auto"/>
              <w:rPr>
                <w:sz w:val="24"/>
                <w:szCs w:val="24"/>
              </w:rPr>
            </w:pPr>
            <w:r w:rsidRPr="00EC5A2F">
              <w:rPr>
                <w:sz w:val="24"/>
                <w:szCs w:val="24"/>
              </w:rPr>
              <w:t>Projekta izpildē iesaistītās institūcijas</w:t>
            </w:r>
          </w:p>
        </w:tc>
        <w:tc>
          <w:tcPr>
            <w:tcW w:w="5805" w:type="dxa"/>
          </w:tcPr>
          <w:p w:rsidR="006C1236" w:rsidP="004708FF" w14:paraId="54C63793" w14:textId="77777777">
            <w:pPr>
              <w:tabs>
                <w:tab w:val="left" w:pos="6521"/>
              </w:tabs>
              <w:spacing w:after="0" w:line="240" w:lineRule="auto"/>
              <w:rPr>
                <w:sz w:val="24"/>
                <w:szCs w:val="24"/>
              </w:rPr>
            </w:pPr>
            <w:r w:rsidRPr="00EC5A2F">
              <w:rPr>
                <w:sz w:val="24"/>
                <w:szCs w:val="24"/>
              </w:rPr>
              <w:t>Aizsardzības ministrija</w:t>
            </w:r>
          </w:p>
        </w:tc>
      </w:tr>
      <w:tr w14:paraId="7F932BFF" w14:textId="77777777" w:rsidTr="004708FF">
        <w:tblPrEx>
          <w:tblW w:w="0" w:type="auto"/>
          <w:tblLook w:val="04A0"/>
        </w:tblPrEx>
        <w:tc>
          <w:tcPr>
            <w:tcW w:w="562" w:type="dxa"/>
          </w:tcPr>
          <w:p w:rsidR="006C1236" w:rsidP="004708FF" w14:paraId="1383A6C7" w14:textId="77777777">
            <w:pPr>
              <w:tabs>
                <w:tab w:val="left" w:pos="652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6C1236" w:rsidRPr="00EC5A2F" w:rsidP="004708FF" w14:paraId="3CA1CC5A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EC5A2F">
              <w:rPr>
                <w:sz w:val="24"/>
                <w:szCs w:val="24"/>
              </w:rPr>
              <w:t>Projekta izpildes ietekme uz pārvaldes funkcijām un institucionālo struktūru.</w:t>
            </w:r>
          </w:p>
          <w:p w:rsidR="006C1236" w:rsidRPr="00EC5A2F" w:rsidP="004708FF" w14:paraId="26296B0B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EC5A2F">
              <w:rPr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  <w:p w:rsidR="006C1236" w:rsidP="004708FF" w14:paraId="1DFC5060" w14:textId="77777777">
            <w:pPr>
              <w:tabs>
                <w:tab w:val="left" w:pos="652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:rsidR="006C1236" w:rsidP="004708FF" w14:paraId="73A4425F" w14:textId="501A51AC">
            <w:pPr>
              <w:tabs>
                <w:tab w:val="left" w:pos="6521"/>
              </w:tabs>
              <w:spacing w:after="0" w:line="240" w:lineRule="auto"/>
              <w:rPr>
                <w:sz w:val="24"/>
                <w:szCs w:val="24"/>
              </w:rPr>
            </w:pPr>
            <w:r w:rsidRPr="00EC5A2F">
              <w:rPr>
                <w:sz w:val="24"/>
                <w:szCs w:val="24"/>
              </w:rPr>
              <w:t>Projekts šo jomu neskar</w:t>
            </w:r>
            <w:r w:rsidR="003635BF">
              <w:rPr>
                <w:sz w:val="24"/>
                <w:szCs w:val="24"/>
              </w:rPr>
              <w:t>.</w:t>
            </w:r>
          </w:p>
        </w:tc>
      </w:tr>
      <w:tr w14:paraId="1755B761" w14:textId="77777777" w:rsidTr="004708FF">
        <w:tblPrEx>
          <w:tblW w:w="0" w:type="auto"/>
          <w:tblLook w:val="04A0"/>
        </w:tblPrEx>
        <w:tc>
          <w:tcPr>
            <w:tcW w:w="562" w:type="dxa"/>
          </w:tcPr>
          <w:p w:rsidR="006C1236" w:rsidP="004708FF" w14:paraId="4C0BCEA5" w14:textId="77777777">
            <w:pPr>
              <w:tabs>
                <w:tab w:val="left" w:pos="652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6C1236" w:rsidP="004708FF" w14:paraId="7C037744" w14:textId="77777777">
            <w:pPr>
              <w:tabs>
                <w:tab w:val="left" w:pos="6521"/>
              </w:tabs>
              <w:spacing w:after="0" w:line="240" w:lineRule="auto"/>
              <w:rPr>
                <w:sz w:val="24"/>
                <w:szCs w:val="24"/>
              </w:rPr>
            </w:pPr>
            <w:r w:rsidRPr="00EC5A2F">
              <w:rPr>
                <w:sz w:val="24"/>
                <w:szCs w:val="24"/>
              </w:rPr>
              <w:t>Cita informācija</w:t>
            </w:r>
          </w:p>
        </w:tc>
        <w:tc>
          <w:tcPr>
            <w:tcW w:w="5805" w:type="dxa"/>
          </w:tcPr>
          <w:p w:rsidR="006C1236" w:rsidP="004708FF" w14:paraId="2C03580D" w14:textId="77777777">
            <w:pPr>
              <w:tabs>
                <w:tab w:val="left" w:pos="652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</w:t>
            </w:r>
          </w:p>
        </w:tc>
      </w:tr>
    </w:tbl>
    <w:p w:rsidR="006C1236" w:rsidP="006C1236" w14:paraId="4E68B0BF" w14:textId="77777777">
      <w:pPr>
        <w:tabs>
          <w:tab w:val="left" w:pos="6521"/>
        </w:tabs>
        <w:spacing w:after="0" w:line="240" w:lineRule="auto"/>
      </w:pPr>
    </w:p>
    <w:p w:rsidR="006C1236" w:rsidP="006C1236" w14:paraId="2151652F" w14:textId="3A1B53E4">
      <w:pPr>
        <w:tabs>
          <w:tab w:val="left" w:pos="6521"/>
        </w:tabs>
        <w:spacing w:after="0" w:line="240" w:lineRule="auto"/>
      </w:pPr>
    </w:p>
    <w:p w:rsidR="006C1236" w:rsidRPr="00EC5A2F" w:rsidP="006C1236" w14:paraId="4AA36EBA" w14:textId="77777777">
      <w:pPr>
        <w:spacing w:after="0" w:line="240" w:lineRule="auto"/>
      </w:pPr>
    </w:p>
    <w:p w:rsidR="006C1236" w:rsidRPr="00EC5A2F" w:rsidP="006C1236" w14:paraId="7ADBA750" w14:textId="77777777">
      <w:pPr>
        <w:tabs>
          <w:tab w:val="left" w:pos="6521"/>
        </w:tabs>
        <w:spacing w:after="0" w:line="240" w:lineRule="auto"/>
      </w:pPr>
      <w:r w:rsidRPr="00EC5A2F">
        <w:t>Aizsardzības ministrs</w:t>
      </w:r>
      <w:r w:rsidRPr="00EC5A2F">
        <w:tab/>
        <w:t>R.</w:t>
      </w:r>
      <w:r>
        <w:t> </w:t>
      </w:r>
      <w:r w:rsidRPr="00EC5A2F">
        <w:t>Bergmanis</w:t>
      </w:r>
    </w:p>
    <w:p w:rsidR="006C1236" w:rsidRPr="00EC5A2F" w:rsidP="006C1236" w14:paraId="57AEAEC8" w14:textId="77777777">
      <w:pPr>
        <w:tabs>
          <w:tab w:val="left" w:pos="6521"/>
        </w:tabs>
        <w:spacing w:after="0" w:line="240" w:lineRule="auto"/>
      </w:pPr>
    </w:p>
    <w:p w:rsidR="006C1236" w:rsidRPr="00EC5A2F" w:rsidP="006C1236" w14:paraId="63741F46" w14:textId="77777777">
      <w:pPr>
        <w:tabs>
          <w:tab w:val="left" w:pos="6521"/>
        </w:tabs>
        <w:spacing w:after="0" w:line="240" w:lineRule="auto"/>
      </w:pPr>
    </w:p>
    <w:p w:rsidR="006C1236" w:rsidRPr="00EC5A2F" w:rsidP="006C1236" w14:paraId="78E09A7E" w14:textId="1B5B5B0E">
      <w:pPr>
        <w:tabs>
          <w:tab w:val="left" w:pos="6521"/>
        </w:tabs>
        <w:spacing w:after="0" w:line="240" w:lineRule="auto"/>
      </w:pPr>
      <w:r w:rsidRPr="00EC5A2F">
        <w:t>Valsts sekretār</w:t>
      </w:r>
      <w:r w:rsidR="009C559B">
        <w:t>s</w:t>
      </w:r>
      <w:r w:rsidRPr="00EC5A2F">
        <w:t xml:space="preserve"> </w:t>
      </w:r>
      <w:r w:rsidRPr="00EC5A2F">
        <w:tab/>
      </w:r>
      <w:r w:rsidR="009C559B">
        <w:t>J</w:t>
      </w:r>
      <w:r w:rsidRPr="00EC5A2F">
        <w:t>.</w:t>
      </w:r>
      <w:r w:rsidR="009C559B">
        <w:t xml:space="preserve"> Garisons</w:t>
      </w:r>
      <w:bookmarkStart w:id="1" w:name="_GoBack"/>
      <w:bookmarkEnd w:id="1"/>
    </w:p>
    <w:p w:rsidR="00A339EF" w:rsidP="00A339EF" w14:paraId="08B37565" w14:textId="77777777">
      <w:pPr>
        <w:spacing w:after="0" w:line="240" w:lineRule="auto"/>
      </w:pPr>
    </w:p>
    <w:p w:rsidR="000C6EB8" w:rsidP="00A339EF" w14:paraId="08B37566" w14:textId="77777777">
      <w:pPr>
        <w:tabs>
          <w:tab w:val="left" w:pos="6804"/>
        </w:tabs>
        <w:spacing w:after="0" w:line="240" w:lineRule="auto"/>
      </w:pPr>
    </w:p>
    <w:p w:rsidR="00831C01" w:rsidRPr="006C787C" w:rsidP="00831C01" w14:paraId="08B37568" w14:textId="77777777">
      <w:pPr>
        <w:tabs>
          <w:tab w:val="left" w:pos="6804"/>
        </w:tabs>
        <w:spacing w:before="720" w:after="0" w:line="240" w:lineRule="auto"/>
        <w:rPr>
          <w:sz w:val="16"/>
          <w:szCs w:val="16"/>
        </w:rPr>
      </w:pPr>
      <w:r w:rsidRPr="006C787C">
        <w:rPr>
          <w:noProof/>
          <w:sz w:val="16"/>
          <w:szCs w:val="16"/>
        </w:rPr>
        <w:t>Edvards Seliška</w:t>
      </w:r>
      <w:r w:rsidRPr="006C787C">
        <w:rPr>
          <w:sz w:val="16"/>
          <w:szCs w:val="16"/>
        </w:rPr>
        <w:t xml:space="preserve">, </w:t>
      </w:r>
      <w:r w:rsidRPr="006C787C">
        <w:rPr>
          <w:noProof/>
          <w:sz w:val="16"/>
          <w:szCs w:val="16"/>
        </w:rPr>
        <w:t>67335028</w:t>
      </w:r>
    </w:p>
    <w:p w:rsidR="00A650A4" w:rsidRPr="00A339EF" w:rsidP="00A339EF" w14:paraId="08B37569" w14:textId="77777777">
      <w:pPr>
        <w:tabs>
          <w:tab w:val="left" w:pos="6804"/>
        </w:tabs>
        <w:spacing w:after="0" w:line="240" w:lineRule="auto"/>
        <w:rPr>
          <w:sz w:val="16"/>
          <w:szCs w:val="16"/>
        </w:rPr>
      </w:pPr>
      <w:r w:rsidRPr="006C787C">
        <w:rPr>
          <w:noProof/>
          <w:sz w:val="16"/>
          <w:szCs w:val="16"/>
        </w:rPr>
        <w:t>edvards.seliska@mod.gov.lv</w:t>
      </w:r>
    </w:p>
    <w:sectPr w:rsidSect="00330D43">
      <w:footerReference w:type="default" r:id="rId4"/>
      <w:headerReference w:type="first" r:id="rId5"/>
      <w:footerReference w:type="first" r:id="rId6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68873805"/>
      <w:docPartObj>
        <w:docPartGallery w:val="Page Numbers (Bottom of Page)"/>
        <w:docPartUnique/>
      </w:docPartObj>
    </w:sdtPr>
    <w:sdtContent>
      <w:sdt>
        <w:sdtPr>
          <w:id w:val="1634817968"/>
          <w:docPartObj>
            <w:docPartGallery w:val="Page Numbers (Top of Page)"/>
            <w:docPartUnique/>
          </w:docPartObj>
        </w:sdtPr>
        <w:sdtContent>
          <w:p w:rsidR="00A339EF" w:rsidP="00A339EF" w14:paraId="08B3756A" w14:textId="24814373">
            <w:pPr>
              <w:spacing w:after="0" w:line="240" w:lineRule="auto"/>
              <w:jc w:val="center"/>
              <w:rPr>
                <w:rFonts w:ascii="TimesNewRomanPS-ItalicMT" w:hAnsi="TimesNewRomanPS-ItalicMT"/>
                <w:iCs/>
                <w:sz w:val="20"/>
                <w:szCs w:val="20"/>
              </w:rPr>
            </w:pPr>
          </w:p>
          <w:p w:rsidR="007106C2" w:rsidRPr="00A339EF" w:rsidP="007106C2" w14:paraId="4219164C" w14:textId="47A93FAC">
            <w:pPr>
              <w:spacing w:after="0" w:line="240" w:lineRule="auto"/>
              <w:rPr>
                <w:rFonts w:ascii="TimesNewRomanPS-ItalicMT" w:hAnsi="TimesNewRomanPS-ItalicMT"/>
                <w:iCs/>
                <w:sz w:val="20"/>
                <w:szCs w:val="20"/>
              </w:rPr>
            </w:pPr>
            <w:r w:rsidRPr="007106C2">
              <w:rPr>
                <w:rFonts w:ascii="TimesNewRomanPS-ItalicMT" w:hAnsi="TimesNewRomanPS-ItalicMT"/>
                <w:iCs/>
                <w:sz w:val="20"/>
                <w:szCs w:val="20"/>
              </w:rPr>
              <w:t>AIManot_100418_EDSO_misija_Ukraina</w:t>
            </w:r>
          </w:p>
          <w:p w:rsidR="00A339EF" w:rsidRPr="00A339EF" w:rsidP="00A339EF" w14:paraId="08B3756B" w14:textId="56C70FB9">
            <w:pPr>
              <w:pStyle w:val="Footer"/>
              <w:jc w:val="right"/>
            </w:pPr>
            <w:r w:rsidRPr="00A339EF">
              <w:rPr>
                <w:bCs/>
              </w:rPr>
              <w:fldChar w:fldCharType="begin"/>
            </w:r>
            <w:r w:rsidRPr="00A339EF">
              <w:rPr>
                <w:bCs/>
              </w:rPr>
              <w:instrText xml:space="preserve"> PAGE </w:instrText>
            </w:r>
            <w:r w:rsidRPr="00A339EF">
              <w:rPr>
                <w:bCs/>
              </w:rPr>
              <w:fldChar w:fldCharType="separate"/>
            </w:r>
            <w:r w:rsidRPr="00A339EF">
              <w:rPr>
                <w:bCs/>
              </w:rPr>
              <w:t>3</w:t>
            </w:r>
            <w:r w:rsidRPr="00A339EF">
              <w:rPr>
                <w:bCs/>
              </w:rPr>
              <w:fldChar w:fldCharType="end"/>
            </w:r>
            <w:r w:rsidRPr="00A339EF">
              <w:t xml:space="preserve"> - </w:t>
            </w:r>
            <w:r w:rsidRPr="00A339EF">
              <w:rPr>
                <w:bCs/>
              </w:rPr>
              <w:fldChar w:fldCharType="begin"/>
            </w:r>
            <w:r w:rsidRPr="00A339EF">
              <w:rPr>
                <w:bCs/>
              </w:rPr>
              <w:instrText xml:space="preserve"> NUMPAGES  </w:instrText>
            </w:r>
            <w:r w:rsidRPr="00A339EF">
              <w:rPr>
                <w:bCs/>
              </w:rPr>
              <w:fldChar w:fldCharType="separate"/>
            </w:r>
            <w:r w:rsidRPr="00A339EF">
              <w:rPr>
                <w:bCs/>
              </w:rPr>
              <w:t>3</w:t>
            </w:r>
            <w:r w:rsidRPr="00A339EF">
              <w:rPr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6612" w:rsidP="00A339EF" w14:paraId="08B37571" w14:textId="2799AB24">
    <w:pPr>
      <w:spacing w:after="0" w:line="240" w:lineRule="auto"/>
      <w:jc w:val="center"/>
      <w:rPr>
        <w:rFonts w:ascii="TimesNewRomanPS-ItalicMT" w:hAnsi="TimesNewRomanPS-ItalicMT"/>
        <w:iCs/>
        <w:sz w:val="20"/>
        <w:szCs w:val="20"/>
      </w:rPr>
    </w:pPr>
    <w:r w:rsidRPr="002D7FAB">
      <w:rPr>
        <w:rFonts w:ascii="TimesNewRomanPS-ItalicMT" w:hAnsi="TimesNewRomanPS-ItalicMT"/>
        <w:iCs/>
        <w:sz w:val="20"/>
        <w:szCs w:val="20"/>
      </w:rPr>
      <w:t>DOKUMENTS IR ELEKTRONISKI PARAKSTĪTS AR DROŠU ELEKTRONISKO PARAKSTU UN SATUR LAIKA ZĪMOGU</w:t>
    </w:r>
  </w:p>
  <w:p w:rsidR="007106C2" w:rsidRPr="00A339EF" w:rsidP="007106C2" w14:paraId="4D474F15" w14:textId="673B457E">
    <w:pPr>
      <w:spacing w:after="0" w:line="240" w:lineRule="auto"/>
      <w:rPr>
        <w:rFonts w:ascii="TimesNewRomanPS-ItalicMT" w:hAnsi="TimesNewRomanPS-ItalicMT"/>
        <w:iCs/>
        <w:sz w:val="20"/>
        <w:szCs w:val="20"/>
      </w:rPr>
    </w:pPr>
    <w:r w:rsidRPr="007106C2">
      <w:rPr>
        <w:rFonts w:ascii="TimesNewRomanPS-ItalicMT" w:hAnsi="TimesNewRomanPS-ItalicMT"/>
        <w:iCs/>
        <w:sz w:val="20"/>
        <w:szCs w:val="20"/>
      </w:rPr>
      <w:t>AIManot_100418_EDSO_misija_Ukraina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4AF3" w:rsidRPr="008669E5" w:rsidP="008D4AF3" w14:paraId="08B37570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683A54C5"/>
    <w:multiLevelType w:val="hybridMultilevel"/>
    <w:tmpl w:val="0848FE6A"/>
    <w:lvl w:ilvl="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01"/>
    <w:rsid w:val="00003880"/>
    <w:rsid w:val="00006384"/>
    <w:rsid w:val="0002064A"/>
    <w:rsid w:val="00030349"/>
    <w:rsid w:val="000473E9"/>
    <w:rsid w:val="00064D54"/>
    <w:rsid w:val="000B5336"/>
    <w:rsid w:val="000C6EB8"/>
    <w:rsid w:val="00124173"/>
    <w:rsid w:val="001268C6"/>
    <w:rsid w:val="001C02FA"/>
    <w:rsid w:val="001D06AC"/>
    <w:rsid w:val="001D79E4"/>
    <w:rsid w:val="00263C96"/>
    <w:rsid w:val="00265D4A"/>
    <w:rsid w:val="00275B9E"/>
    <w:rsid w:val="00290B9D"/>
    <w:rsid w:val="002B3077"/>
    <w:rsid w:val="002D7FAB"/>
    <w:rsid w:val="002E1474"/>
    <w:rsid w:val="002E5B36"/>
    <w:rsid w:val="002E75AE"/>
    <w:rsid w:val="0030533C"/>
    <w:rsid w:val="00330D43"/>
    <w:rsid w:val="00334B3B"/>
    <w:rsid w:val="003635BF"/>
    <w:rsid w:val="003D6612"/>
    <w:rsid w:val="004033F4"/>
    <w:rsid w:val="004708FF"/>
    <w:rsid w:val="004B29B1"/>
    <w:rsid w:val="004F08C0"/>
    <w:rsid w:val="00532BF6"/>
    <w:rsid w:val="00535564"/>
    <w:rsid w:val="005B495A"/>
    <w:rsid w:val="0064477B"/>
    <w:rsid w:val="00663C3A"/>
    <w:rsid w:val="006A1794"/>
    <w:rsid w:val="006C1236"/>
    <w:rsid w:val="006C1639"/>
    <w:rsid w:val="006C787C"/>
    <w:rsid w:val="007106C2"/>
    <w:rsid w:val="00760DE7"/>
    <w:rsid w:val="007A56F2"/>
    <w:rsid w:val="007B3BA5"/>
    <w:rsid w:val="007B48EC"/>
    <w:rsid w:val="007B7238"/>
    <w:rsid w:val="007C3359"/>
    <w:rsid w:val="007E4D1F"/>
    <w:rsid w:val="00815277"/>
    <w:rsid w:val="008202D6"/>
    <w:rsid w:val="00831C01"/>
    <w:rsid w:val="008669E5"/>
    <w:rsid w:val="00876C21"/>
    <w:rsid w:val="008D4AF3"/>
    <w:rsid w:val="008F408A"/>
    <w:rsid w:val="00935398"/>
    <w:rsid w:val="00954D5A"/>
    <w:rsid w:val="0099125D"/>
    <w:rsid w:val="009A40B4"/>
    <w:rsid w:val="009C559B"/>
    <w:rsid w:val="00A03A13"/>
    <w:rsid w:val="00A339EF"/>
    <w:rsid w:val="00A650A4"/>
    <w:rsid w:val="00A844DB"/>
    <w:rsid w:val="00AB5BDE"/>
    <w:rsid w:val="00AD76C6"/>
    <w:rsid w:val="00AF0E90"/>
    <w:rsid w:val="00B7306E"/>
    <w:rsid w:val="00B8372C"/>
    <w:rsid w:val="00BB112A"/>
    <w:rsid w:val="00BE5582"/>
    <w:rsid w:val="00C47F57"/>
    <w:rsid w:val="00C56EDF"/>
    <w:rsid w:val="00C732CE"/>
    <w:rsid w:val="00CA407F"/>
    <w:rsid w:val="00D21FA6"/>
    <w:rsid w:val="00D53AC1"/>
    <w:rsid w:val="00D55B4B"/>
    <w:rsid w:val="00D82F0A"/>
    <w:rsid w:val="00D9073A"/>
    <w:rsid w:val="00DD3458"/>
    <w:rsid w:val="00E365CE"/>
    <w:rsid w:val="00EC2EA7"/>
    <w:rsid w:val="00EC5A2F"/>
    <w:rsid w:val="00EF676E"/>
    <w:rsid w:val="00F0003C"/>
    <w:rsid w:val="00F25DA3"/>
    <w:rsid w:val="00F60586"/>
    <w:rsid w:val="00FB2E50"/>
    <w:rsid w:val="00FF0EE8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82B2C58-274C-49A3-A4AD-DD2AF398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0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customStyle="1" w:styleId="naiskr">
    <w:name w:val="naiskr"/>
    <w:basedOn w:val="Normal"/>
    <w:rsid w:val="006C1236"/>
    <w:pPr>
      <w:widowControl/>
      <w:spacing w:before="75" w:after="75" w:line="240" w:lineRule="auto"/>
    </w:pPr>
    <w:rPr>
      <w:rFonts w:eastAsia="Times New Roman"/>
    </w:rPr>
  </w:style>
  <w:style w:type="paragraph" w:customStyle="1" w:styleId="naisf">
    <w:name w:val="naisf"/>
    <w:basedOn w:val="Normal"/>
    <w:rsid w:val="006C1236"/>
    <w:pPr>
      <w:widowControl/>
      <w:spacing w:before="75" w:after="75" w:line="240" w:lineRule="auto"/>
      <w:ind w:firstLine="375"/>
      <w:jc w:val="both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6C1236"/>
    <w:pPr>
      <w:widowControl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6C123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63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5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5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5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3619</Words>
  <Characters>2064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Ingus Tonnis</dc:creator>
  <cp:lastModifiedBy>Edvards Seliška</cp:lastModifiedBy>
  <cp:revision>9</cp:revision>
  <cp:lastPrinted>2014-12-29T13:45:00Z</cp:lastPrinted>
  <dcterms:created xsi:type="dcterms:W3CDTF">2018-04-10T13:37:00Z</dcterms:created>
  <dcterms:modified xsi:type="dcterms:W3CDTF">2018-04-12T12:37:00Z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