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A08" w:rsidRPr="00706FBD" w:rsidRDefault="00EF2A08" w:rsidP="00EF2A08">
      <w:pPr>
        <w:pStyle w:val="naislab"/>
        <w:spacing w:before="0" w:after="0"/>
        <w:jc w:val="center"/>
        <w:rPr>
          <w:b/>
          <w:sz w:val="28"/>
          <w:szCs w:val="28"/>
        </w:rPr>
      </w:pPr>
      <w:r w:rsidRPr="00706FBD">
        <w:rPr>
          <w:b/>
          <w:bCs/>
          <w:sz w:val="28"/>
        </w:rPr>
        <w:t>Ministru kabineta noteikumu projekta “</w:t>
      </w:r>
      <w:r w:rsidRPr="00706FBD">
        <w:rPr>
          <w:b/>
          <w:sz w:val="28"/>
          <w:szCs w:val="28"/>
        </w:rPr>
        <w:t xml:space="preserve">Grozījumi Ministru kabineta 2010.gada 16.marta noteikumos Nr.262 “Noteikumi par elektroenerģijas ražošanu, izmantojot atjaunojamos energoresursus, un cenu noteikšanas kārtību”” </w:t>
      </w:r>
      <w:r w:rsidRPr="00706FBD">
        <w:rPr>
          <w:b/>
          <w:bCs/>
          <w:sz w:val="28"/>
        </w:rPr>
        <w:t>sākotnējās ietekmes novērtējuma ziņojums (anotācija)</w:t>
      </w:r>
    </w:p>
    <w:p w:rsidR="00E5323B" w:rsidRPr="00706FBD"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36CE7" w:rsidRPr="00706FB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06FBD" w:rsidRDefault="00E5323B" w:rsidP="00E5323B">
            <w:pPr>
              <w:spacing w:after="0" w:line="240" w:lineRule="auto"/>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Tiesību akta projekta anotācijas kopsavilkums</w:t>
            </w:r>
          </w:p>
        </w:tc>
      </w:tr>
      <w:tr w:rsidR="00036CE7" w:rsidRPr="00706FB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706FBD" w:rsidRDefault="008D7B7F" w:rsidP="002A3AFF">
            <w:pPr>
              <w:spacing w:after="0" w:line="240" w:lineRule="auto"/>
              <w:jc w:val="both"/>
              <w:rPr>
                <w:rFonts w:ascii="Times New Roman" w:eastAsia="Calibri" w:hAnsi="Times New Roman"/>
                <w:sz w:val="24"/>
                <w:szCs w:val="28"/>
              </w:rPr>
            </w:pPr>
            <w:r w:rsidRPr="00706FBD">
              <w:rPr>
                <w:rFonts w:ascii="Times New Roman" w:eastAsia="Calibri" w:hAnsi="Times New Roman"/>
                <w:sz w:val="24"/>
                <w:szCs w:val="28"/>
              </w:rPr>
              <w:t>Noteikumu projekta mērķis ir veicināt valsts atbalsta, ko sedz visi elektroenerģijas gala pat</w:t>
            </w:r>
            <w:r w:rsidR="0076439A" w:rsidRPr="00706FBD">
              <w:rPr>
                <w:rFonts w:ascii="Times New Roman" w:eastAsia="Calibri" w:hAnsi="Times New Roman"/>
                <w:sz w:val="24"/>
                <w:szCs w:val="28"/>
              </w:rPr>
              <w:t>ērētāji, efektīvāku izlietojumu un</w:t>
            </w:r>
            <w:r w:rsidRPr="00706FBD">
              <w:rPr>
                <w:rFonts w:ascii="Times New Roman" w:eastAsia="Calibri" w:hAnsi="Times New Roman"/>
                <w:sz w:val="24"/>
                <w:szCs w:val="28"/>
              </w:rPr>
              <w:t xml:space="preserve"> izmaksu prognozējamību, ko var nodrošināt, ieviešot stingrāku elektrostaciju kontroles mehānismu un nosakot papildu darbības nosacījumus atbalsta saņemšanai. </w:t>
            </w:r>
            <w:r w:rsidR="00555157" w:rsidRPr="00555157">
              <w:rPr>
                <w:rFonts w:ascii="Times New Roman" w:eastAsia="Calibri" w:hAnsi="Times New Roman"/>
                <w:sz w:val="24"/>
                <w:szCs w:val="28"/>
              </w:rPr>
              <w:t>Noteikumu projekts st</w:t>
            </w:r>
            <w:r w:rsidR="001C10D8">
              <w:rPr>
                <w:rFonts w:ascii="Times New Roman" w:eastAsia="Calibri" w:hAnsi="Times New Roman"/>
                <w:sz w:val="24"/>
                <w:szCs w:val="28"/>
              </w:rPr>
              <w:t>ājas spēkā nākamajā dienā pēc tā</w:t>
            </w:r>
            <w:bookmarkStart w:id="0" w:name="_GoBack"/>
            <w:bookmarkEnd w:id="0"/>
            <w:r w:rsidR="00555157" w:rsidRPr="00555157">
              <w:rPr>
                <w:rFonts w:ascii="Times New Roman" w:eastAsia="Calibri" w:hAnsi="Times New Roman"/>
                <w:sz w:val="24"/>
                <w:szCs w:val="28"/>
              </w:rPr>
              <w:t xml:space="preserve"> izsludināšanas.</w:t>
            </w:r>
            <w:r w:rsidRPr="00706FBD">
              <w:rPr>
                <w:rFonts w:ascii="Times New Roman" w:eastAsia="Calibri" w:hAnsi="Times New Roman"/>
                <w:sz w:val="24"/>
                <w:szCs w:val="28"/>
              </w:rPr>
              <w:t xml:space="preserve"> Atsevišķām noteikumu projektā iekļautajām normām noteikts pārejas periods.</w:t>
            </w:r>
          </w:p>
        </w:tc>
      </w:tr>
    </w:tbl>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36CE7" w:rsidRPr="00706FB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6FBD" w:rsidRDefault="00E5323B" w:rsidP="00E5323B">
            <w:pPr>
              <w:spacing w:after="0" w:line="240" w:lineRule="auto"/>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 Tiesību akta projekta izstrādes nepieciešamība</w:t>
            </w:r>
          </w:p>
        </w:tc>
      </w:tr>
      <w:tr w:rsidR="00036CE7" w:rsidRPr="00706FBD" w:rsidTr="002A3A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706FBD" w:rsidRDefault="002A3AFF" w:rsidP="002A3AFF">
            <w:p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Ministru kabineta noteikumu projekts “Grozījumi Ministru kabineta 2010.gada 16.marta noteikumos Nr.262 “Noteikumi par elektroenerģijas ražošanu, izmantojot atjaunojamos energoresursus, un cenu noteikšanas kārtību”” (turpmāk – Noteikumu projekts) izstrādāts pēc ministru prezidenta biedra, ekonomikas ministra iniciatīvas. </w:t>
            </w:r>
          </w:p>
        </w:tc>
      </w:tr>
      <w:tr w:rsidR="00036CE7" w:rsidRPr="00706FBD" w:rsidTr="002A3A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pStyle w:val="ListParagraph"/>
              <w:tabs>
                <w:tab w:val="left" w:pos="928"/>
              </w:tabs>
              <w:spacing w:after="0" w:line="240" w:lineRule="auto"/>
              <w:ind w:left="119"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Ekonomikas ministrija (turpmāk – EM), īstenojot enerģētikas politiku, iekļauj tajā arī plašāku atjaunojamās enerģijas veicināšanas politiku, ievērojot ES enerģētikas politikas virzību uz vides aizsardzību un klimata pārmaiņu radītās ietekmes mazināšanu. 2005.gadā 8.jūnijā spēkā stājās šobrīd spēkā esošais Elektroenerģijas tirgus likums (turpmāk – ETL), ar ko atjaunojamos energoresursus (turpmāk – AER) izmantojošu elektrostaciju  un koģenerācijas staciju, kas elektroenerģiju ražo augsti efektīvā koģenerācijā, atbalstam Latvijā ieviests </w:t>
            </w:r>
            <w:r w:rsidRPr="00706FBD">
              <w:rPr>
                <w:rFonts w:ascii="Times New Roman" w:eastAsia="Times New Roman" w:hAnsi="Times New Roman" w:cs="Times New Roman"/>
                <w:b/>
                <w:sz w:val="24"/>
                <w:szCs w:val="24"/>
                <w:lang w:eastAsia="lv-LV"/>
              </w:rPr>
              <w:t>valsts atbalsta mehānisms - elektroenerģijas obligātais iepirkums un garantētā maksa par elektrostacijā uzstādīto elektrisko jaudu (turpmāk – OI mehānisms)</w:t>
            </w:r>
            <w:r w:rsidRPr="00706FBD">
              <w:rPr>
                <w:rFonts w:ascii="Times New Roman" w:eastAsia="Times New Roman" w:hAnsi="Times New Roman" w:cs="Times New Roman"/>
                <w:sz w:val="24"/>
                <w:szCs w:val="24"/>
                <w:lang w:eastAsia="lv-LV"/>
              </w:rPr>
              <w:t>. Enerģētikas jomu regulējošajos tiesību aktos ietvertas arī prasības, kas izriet no Direktīvas 2009/28/EK</w:t>
            </w:r>
            <w:r w:rsidRPr="00706FBD">
              <w:rPr>
                <w:rStyle w:val="FootnoteReference"/>
                <w:rFonts w:ascii="Times New Roman" w:eastAsia="Times New Roman" w:hAnsi="Times New Roman" w:cs="Times New Roman"/>
                <w:sz w:val="24"/>
                <w:szCs w:val="24"/>
                <w:lang w:eastAsia="lv-LV"/>
              </w:rPr>
              <w:footnoteReference w:id="1"/>
            </w:r>
            <w:r w:rsidRPr="00706FBD">
              <w:rPr>
                <w:rFonts w:ascii="Times New Roman" w:eastAsia="Times New Roman" w:hAnsi="Times New Roman" w:cs="Times New Roman"/>
                <w:sz w:val="24"/>
                <w:szCs w:val="24"/>
                <w:lang w:eastAsia="lv-LV"/>
              </w:rPr>
              <w:t xml:space="preserve"> un Direktīvas 2004/8/EK</w:t>
            </w:r>
            <w:r w:rsidRPr="00706FBD">
              <w:rPr>
                <w:rStyle w:val="FootnoteReference"/>
                <w:rFonts w:ascii="Times New Roman" w:eastAsia="Times New Roman" w:hAnsi="Times New Roman" w:cs="Times New Roman"/>
                <w:sz w:val="24"/>
                <w:szCs w:val="24"/>
                <w:lang w:eastAsia="lv-LV"/>
              </w:rPr>
              <w:footnoteReference w:id="2"/>
            </w:r>
            <w:r w:rsidRPr="00706FBD">
              <w:rPr>
                <w:rFonts w:ascii="Times New Roman" w:eastAsia="Times New Roman" w:hAnsi="Times New Roman" w:cs="Times New Roman"/>
                <w:sz w:val="24"/>
                <w:szCs w:val="24"/>
                <w:lang w:eastAsia="lv-LV"/>
              </w:rPr>
              <w:t xml:space="preserve">. Latvijai saskaņā ar Direktīvas </w:t>
            </w:r>
            <w:r w:rsidRPr="00706FBD">
              <w:rPr>
                <w:rFonts w:ascii="Times New Roman" w:eastAsia="Times New Roman" w:hAnsi="Times New Roman" w:cs="Times New Roman"/>
                <w:sz w:val="24"/>
                <w:szCs w:val="24"/>
                <w:lang w:eastAsia="lv-LV"/>
              </w:rPr>
              <w:lastRenderedPageBreak/>
              <w:t xml:space="preserve">2009/28/EK 3.panta 1.punktu ir noteikts juridiski saistošs mērķis līdz 2020.gadam enerģijas bruto </w:t>
            </w:r>
            <w:proofErr w:type="spellStart"/>
            <w:r w:rsidRPr="00706FBD">
              <w:rPr>
                <w:rFonts w:ascii="Times New Roman" w:eastAsia="Times New Roman" w:hAnsi="Times New Roman" w:cs="Times New Roman"/>
                <w:sz w:val="24"/>
                <w:szCs w:val="24"/>
                <w:lang w:eastAsia="lv-LV"/>
              </w:rPr>
              <w:t>galapatēriņā</w:t>
            </w:r>
            <w:proofErr w:type="spellEnd"/>
            <w:r w:rsidRPr="00706FBD">
              <w:rPr>
                <w:rFonts w:ascii="Times New Roman" w:eastAsia="Times New Roman" w:hAnsi="Times New Roman" w:cs="Times New Roman"/>
                <w:sz w:val="24"/>
                <w:szCs w:val="24"/>
                <w:lang w:eastAsia="lv-LV"/>
              </w:rPr>
              <w:t xml:space="preserve"> sasniegt no AER saražotas enerģijas īpatsvaru līdz 40%, visām ES dalībvalstīm 2020.gadā kopīgi sasniedzot 20% tādas enerģijas īpatsvaru kopējā enerģijas </w:t>
            </w:r>
            <w:proofErr w:type="spellStart"/>
            <w:r w:rsidRPr="00706FBD">
              <w:rPr>
                <w:rFonts w:ascii="Times New Roman" w:eastAsia="Times New Roman" w:hAnsi="Times New Roman" w:cs="Times New Roman"/>
                <w:sz w:val="24"/>
                <w:szCs w:val="24"/>
                <w:lang w:eastAsia="lv-LV"/>
              </w:rPr>
              <w:t>galapatēriņā</w:t>
            </w:r>
            <w:proofErr w:type="spellEnd"/>
            <w:r w:rsidRPr="00706FBD">
              <w:rPr>
                <w:rFonts w:ascii="Times New Roman" w:eastAsia="Times New Roman" w:hAnsi="Times New Roman" w:cs="Times New Roman"/>
                <w:sz w:val="24"/>
                <w:szCs w:val="24"/>
                <w:lang w:eastAsia="lv-LV"/>
              </w:rPr>
              <w:t>, kas ražota no AER. Tāpat Direktīva 2004/8/EK ietver normas attiecībā uz augsti efektīvu koģenerāciju un primārās enerģijas ietaupījuma panākšanu jaunajām koģenerācijas stacijām. Minēto ES tiesību aktu prasības tika ietvertas OI mehānisma regulējumā – ETL, un visos attiecīgajos ETL pakārtotajos normatīvajos tiesību aktos:</w:t>
            </w:r>
          </w:p>
          <w:p w:rsidR="002A3AFF" w:rsidRPr="00706FBD" w:rsidRDefault="002A3AFF" w:rsidP="002A3AFF">
            <w:pPr>
              <w:pStyle w:val="ListParagraph"/>
              <w:numPr>
                <w:ilvl w:val="0"/>
                <w:numId w:val="1"/>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Ministru kabineta (turpmāk – MK) noteikumi par elektroenerģijas ražošanu un cenu noteikšanu, ražojot elektroenerģiju koģenerācijā – MK noteikumi Nr.921</w:t>
            </w:r>
            <w:r w:rsidRPr="00706FBD">
              <w:rPr>
                <w:rFonts w:ascii="Times New Roman" w:eastAsia="Times New Roman" w:hAnsi="Times New Roman" w:cs="Times New Roman"/>
                <w:sz w:val="24"/>
                <w:szCs w:val="24"/>
                <w:vertAlign w:val="superscript"/>
                <w:lang w:eastAsia="lv-LV"/>
              </w:rPr>
              <w:footnoteReference w:id="3"/>
            </w:r>
            <w:r w:rsidRPr="00706FBD">
              <w:rPr>
                <w:rFonts w:ascii="Times New Roman" w:eastAsia="Times New Roman" w:hAnsi="Times New Roman" w:cs="Times New Roman"/>
                <w:sz w:val="24"/>
                <w:szCs w:val="24"/>
                <w:lang w:eastAsia="lv-LV"/>
              </w:rPr>
              <w:t xml:space="preserve"> un šobrīd spēkā esošie MK noteikumi Nr.221</w:t>
            </w:r>
            <w:r w:rsidRPr="00706FBD">
              <w:rPr>
                <w:rFonts w:ascii="Times New Roman" w:eastAsia="Times New Roman" w:hAnsi="Times New Roman" w:cs="Times New Roman"/>
                <w:sz w:val="24"/>
                <w:szCs w:val="24"/>
                <w:vertAlign w:val="superscript"/>
                <w:lang w:eastAsia="lv-LV"/>
              </w:rPr>
              <w:footnoteReference w:id="4"/>
            </w:r>
            <w:r w:rsidRPr="00706FBD">
              <w:rPr>
                <w:rFonts w:ascii="Times New Roman" w:eastAsia="Times New Roman" w:hAnsi="Times New Roman" w:cs="Times New Roman"/>
                <w:sz w:val="24"/>
                <w:szCs w:val="24"/>
                <w:lang w:eastAsia="lv-LV"/>
              </w:rPr>
              <w:t>;</w:t>
            </w:r>
          </w:p>
          <w:p w:rsidR="002A3AFF" w:rsidRPr="00706FBD" w:rsidRDefault="002A3AFF" w:rsidP="002A3AFF">
            <w:pPr>
              <w:pStyle w:val="ListParagraph"/>
              <w:numPr>
                <w:ilvl w:val="0"/>
                <w:numId w:val="1"/>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Ministru kabineta noteikumos par elektroenerģijas ražošanu,</w:t>
            </w:r>
            <w:r w:rsidRPr="00706FBD">
              <w:t xml:space="preserve"> </w:t>
            </w:r>
            <w:r w:rsidRPr="00706FBD">
              <w:rPr>
                <w:rFonts w:ascii="Times New Roman" w:eastAsia="Times New Roman" w:hAnsi="Times New Roman" w:cs="Times New Roman"/>
                <w:sz w:val="24"/>
                <w:szCs w:val="24"/>
                <w:lang w:eastAsia="lv-LV"/>
              </w:rPr>
              <w:t>izmantojot atjaunojamos energoresursus, un cenu noteikšanas kārtību -</w:t>
            </w:r>
            <w:r w:rsidRPr="00706FBD">
              <w:t xml:space="preserve"> </w:t>
            </w:r>
            <w:r w:rsidRPr="00706FBD">
              <w:rPr>
                <w:rFonts w:ascii="Times New Roman" w:eastAsia="Times New Roman" w:hAnsi="Times New Roman" w:cs="Times New Roman"/>
                <w:sz w:val="24"/>
                <w:szCs w:val="24"/>
                <w:lang w:eastAsia="lv-LV"/>
              </w:rPr>
              <w:t>MK noteikumi Nr.503</w:t>
            </w:r>
            <w:r w:rsidRPr="00706FBD">
              <w:rPr>
                <w:rStyle w:val="FootnoteReference"/>
                <w:rFonts w:ascii="Times New Roman" w:eastAsia="Times New Roman" w:hAnsi="Times New Roman" w:cs="Times New Roman"/>
                <w:sz w:val="24"/>
                <w:szCs w:val="24"/>
                <w:lang w:eastAsia="lv-LV"/>
              </w:rPr>
              <w:footnoteReference w:id="5"/>
            </w:r>
            <w:r w:rsidRPr="00706FBD">
              <w:rPr>
                <w:rFonts w:ascii="Times New Roman" w:eastAsia="Times New Roman" w:hAnsi="Times New Roman" w:cs="Times New Roman"/>
                <w:sz w:val="24"/>
                <w:szCs w:val="24"/>
                <w:lang w:eastAsia="lv-LV"/>
              </w:rPr>
              <w:t>, kurus aizstāja MK noteikumi Nr.198</w:t>
            </w:r>
            <w:r w:rsidRPr="00706FBD">
              <w:rPr>
                <w:rStyle w:val="FootnoteReference"/>
                <w:rFonts w:ascii="Times New Roman" w:eastAsia="Times New Roman" w:hAnsi="Times New Roman" w:cs="Times New Roman"/>
                <w:sz w:val="24"/>
                <w:szCs w:val="24"/>
                <w:lang w:eastAsia="lv-LV"/>
              </w:rPr>
              <w:footnoteReference w:id="6"/>
            </w:r>
            <w:r w:rsidRPr="00706FBD">
              <w:rPr>
                <w:rFonts w:ascii="Times New Roman" w:eastAsia="Times New Roman" w:hAnsi="Times New Roman" w:cs="Times New Roman"/>
                <w:sz w:val="24"/>
                <w:szCs w:val="24"/>
                <w:lang w:eastAsia="lv-LV"/>
              </w:rPr>
              <w:t xml:space="preserve"> un šobrīd spēkā esošie MK noteikumi Nr.262</w:t>
            </w:r>
            <w:r w:rsidRPr="00706FBD">
              <w:rPr>
                <w:rStyle w:val="FootnoteReference"/>
                <w:rFonts w:ascii="Times New Roman" w:eastAsia="Times New Roman" w:hAnsi="Times New Roman" w:cs="Times New Roman"/>
                <w:sz w:val="24"/>
                <w:szCs w:val="24"/>
                <w:lang w:eastAsia="lv-LV"/>
              </w:rPr>
              <w:footnoteReference w:id="7"/>
            </w:r>
            <w:r w:rsidRPr="00706FBD">
              <w:rPr>
                <w:rFonts w:ascii="Times New Roman" w:eastAsia="Times New Roman" w:hAnsi="Times New Roman" w:cs="Times New Roman"/>
                <w:sz w:val="24"/>
                <w:szCs w:val="24"/>
                <w:lang w:eastAsia="lv-LV"/>
              </w:rPr>
              <w:t>.</w:t>
            </w:r>
          </w:p>
          <w:p w:rsidR="002A3AFF" w:rsidRPr="00706FBD" w:rsidRDefault="002A3AFF" w:rsidP="002A3AFF">
            <w:pPr>
              <w:spacing w:before="120" w:after="120"/>
              <w:jc w:val="both"/>
              <w:rPr>
                <w:rFonts w:ascii="Times New Roman" w:hAnsi="Times New Roman" w:cs="Times New Roman"/>
                <w:sz w:val="24"/>
              </w:rPr>
            </w:pPr>
            <w:r w:rsidRPr="00706FBD">
              <w:rPr>
                <w:rFonts w:ascii="Times New Roman" w:hAnsi="Times New Roman" w:cs="Times New Roman"/>
                <w:sz w:val="24"/>
              </w:rPr>
              <w:t>Eiropas Komisija (turpmāk – EK) 2017. gada 24. aprīlī pieņēma lēmumu valsts atbalsta lietā SA.43140 (2015/NN) “Atbalsts elektroenerģijas ražotājiem” (turpmāk – EK lēmums), secinot, ka Latvijā esošā atbalsta shēma elektroenerģijas obligātā iepirkuma un garantētās maksas par uzstādīto jaudu veidā atbilst Eiropas Savienības iekšējā tirgus prasībām.</w:t>
            </w:r>
          </w:p>
          <w:p w:rsidR="002A3AFF" w:rsidRPr="00706FBD" w:rsidRDefault="002A3AFF" w:rsidP="002A3AFF">
            <w:pPr>
              <w:spacing w:before="120" w:after="120"/>
              <w:jc w:val="both"/>
              <w:rPr>
                <w:rFonts w:ascii="Times New Roman" w:hAnsi="Times New Roman" w:cs="Times New Roman"/>
                <w:sz w:val="24"/>
              </w:rPr>
            </w:pPr>
            <w:r w:rsidRPr="00706FBD">
              <w:rPr>
                <w:rFonts w:ascii="Times New Roman" w:hAnsi="Times New Roman" w:cs="Times New Roman"/>
                <w:sz w:val="24"/>
              </w:rPr>
              <w:t xml:space="preserve">Ekonomikas ministrija atbilstoši normatīvajiem aktiem ir pieņēmusi administratīvos aktus, ar kuriem komersantiem ir piešķirtas tiesības pārdot saražoto elektroenerģiju obligātā iepirkuma ietvaros vai  saņemt garantēto maksu par uzstādīto elektrisko jaudu. Komersanti, izmantojot Ekonomikas ministrijas piešķirtās tiesības, ir noslēguši līgumus ar </w:t>
            </w:r>
            <w:r w:rsidRPr="00706FBD">
              <w:rPr>
                <w:rFonts w:ascii="Times New Roman" w:eastAsia="Times New Roman" w:hAnsi="Times New Roman" w:cs="Times New Roman"/>
                <w:sz w:val="24"/>
                <w:szCs w:val="24"/>
                <w:lang w:eastAsia="lv-LV"/>
              </w:rPr>
              <w:t xml:space="preserve">AS „Enerģijas publiskais tirgotājs” (turpmāk – publiskais </w:t>
            </w:r>
            <w:r w:rsidRPr="00706FBD">
              <w:rPr>
                <w:rFonts w:ascii="Times New Roman" w:eastAsia="Times New Roman" w:hAnsi="Times New Roman" w:cs="Times New Roman"/>
                <w:sz w:val="24"/>
                <w:szCs w:val="24"/>
                <w:lang w:eastAsia="lv-LV"/>
              </w:rPr>
              <w:lastRenderedPageBreak/>
              <w:t>tirgotājs) par elektroenerģijas pārdošanu obligātā iepirkuma ietvaros vai par garantētās maksas par elektrostacijā uzstādīto jaudu saņemšanu</w:t>
            </w:r>
            <w:r w:rsidRPr="00706FBD">
              <w:rPr>
                <w:rFonts w:ascii="Times New Roman" w:hAnsi="Times New Roman" w:cs="Times New Roman"/>
                <w:sz w:val="24"/>
              </w:rPr>
              <w:t xml:space="preserve">. </w:t>
            </w:r>
          </w:p>
          <w:p w:rsidR="002A3AFF" w:rsidRPr="00706FBD" w:rsidRDefault="002A3AFF" w:rsidP="002A3AFF">
            <w:pPr>
              <w:spacing w:before="120" w:after="120"/>
              <w:jc w:val="both"/>
              <w:rPr>
                <w:rFonts w:ascii="Times New Roman" w:hAnsi="Times New Roman" w:cs="Times New Roman"/>
                <w:sz w:val="24"/>
              </w:rPr>
            </w:pPr>
            <w:r w:rsidRPr="00706FBD">
              <w:rPr>
                <w:rFonts w:ascii="Times New Roman" w:hAnsi="Times New Roman" w:cs="Times New Roman"/>
                <w:sz w:val="24"/>
              </w:rPr>
              <w:t>Satversmes tiesa ir atzinusi, ka īpašuma tiesības ietver arī līgumu tiesības ar ekonomisku vērtību (</w:t>
            </w:r>
            <w:r w:rsidRPr="00706FBD">
              <w:rPr>
                <w:rFonts w:ascii="Times New Roman" w:hAnsi="Times New Roman" w:cs="Times New Roman"/>
                <w:i/>
                <w:sz w:val="24"/>
              </w:rPr>
              <w:t>sk. Satversmes tiesas 2010.gada 20.aprīļa lēmuma par tiesvedības izbeigšanu lietā Nr. 2009-100-03 8.2. punktu</w:t>
            </w:r>
            <w:r w:rsidRPr="00706FBD">
              <w:rPr>
                <w:rFonts w:ascii="Times New Roman" w:hAnsi="Times New Roman" w:cs="Times New Roman"/>
                <w:sz w:val="24"/>
              </w:rPr>
              <w:t>). Par īpašumu var tikt uzskatīti ļoti dažādi prasījumi, proti, tādi prasījumi, kuru izpildi varētu pieprasīt, ja pastāv skaidrs tiesisks pamats. Arī nākotnes ienākumi uzskatāmi par īpašumu tad, ja tie jau ir nopelnīti vai pastāv prasība, kuru var apmierināt (</w:t>
            </w:r>
            <w:r w:rsidRPr="00706FBD">
              <w:rPr>
                <w:rFonts w:ascii="Times New Roman" w:hAnsi="Times New Roman" w:cs="Times New Roman"/>
                <w:i/>
                <w:sz w:val="24"/>
              </w:rPr>
              <w:t>sk. Satversmes tiesas 2010.gada 27.oktobra sprieduma lietā Nr.2010-12-03 7.punktu un 2011.gada 3.novembra sprieduma lietā Nr.2011-05-01 15.2.punktu</w:t>
            </w:r>
            <w:r w:rsidRPr="00706FBD">
              <w:rPr>
                <w:rFonts w:ascii="Times New Roman" w:hAnsi="Times New Roman" w:cs="Times New Roman"/>
                <w:sz w:val="24"/>
              </w:rPr>
              <w:t>). Ekonomikas ministrijas izdotie administratīvie akti un ar publisko tirgotāju noslēgtie līgumi piešķir komersantiem tiesības pārdot saražoto elektroenerģiju par paaugstinātu cenu vai arī tiesības saņemt garantēto maksu par uzstādīto elektrisko jaudu. Šādām līgumiskām tiesībām piemīt ekonomiska vērtība, un komersantiem ir prasījuma tiesības uz to realizāciju.</w:t>
            </w:r>
          </w:p>
          <w:p w:rsidR="002A3AFF" w:rsidRPr="00706FBD" w:rsidRDefault="002A3AFF" w:rsidP="002A3AFF">
            <w:pPr>
              <w:spacing w:after="0" w:line="240" w:lineRule="auto"/>
              <w:ind w:right="115"/>
              <w:jc w:val="both"/>
              <w:rPr>
                <w:rFonts w:ascii="Times New Roman" w:hAnsi="Times New Roman" w:cs="Times New Roman"/>
                <w:sz w:val="24"/>
                <w:shd w:val="clear" w:color="auto" w:fill="FFFFFF"/>
              </w:rPr>
            </w:pPr>
            <w:r w:rsidRPr="00706FBD">
              <w:rPr>
                <w:rFonts w:ascii="Times New Roman" w:hAnsi="Times New Roman" w:cs="Times New Roman"/>
                <w:sz w:val="24"/>
                <w:shd w:val="clear" w:color="auto" w:fill="FFFFFF"/>
              </w:rPr>
              <w:t>Tiesības uz īpašumu demokrātiskā tiesiskā valstī nav absolūtas. Pirmkārt, tiesības uz īpašumu sevī ietver arī īpašnieka sociālo pienākumu pret sabiedrību - īpašumu nedrīkst izmantot pretēji sabiedrības interesēm. Otrkārt, tiesības uz īpašumu var ierobežot saskaņā ar likumu. Līdz ar to tiesības uz īpašumu var ierobežot, ja vien ierobežojumi ir noteikti ar likumu leģitīma mērķa labad un ir samērīgi ar šo mērķi (</w:t>
            </w:r>
            <w:r w:rsidRPr="00706FBD">
              <w:rPr>
                <w:rFonts w:ascii="Times New Roman" w:hAnsi="Times New Roman" w:cs="Times New Roman"/>
                <w:i/>
                <w:iCs/>
                <w:sz w:val="24"/>
                <w:shd w:val="clear" w:color="auto" w:fill="FFFFFF"/>
              </w:rPr>
              <w:t>sk., piemēram, Satversmes tiesas 2007.gada 26.aprīļa sprieduma lietā Nr. 2006-38-03 12.punktu un 2014.gada 10.oktobra sprieduma lietā Nr.2014-04-03 7.2.punktu</w:t>
            </w:r>
            <w:r w:rsidRPr="00706FBD">
              <w:rPr>
                <w:rFonts w:ascii="Times New Roman" w:hAnsi="Times New Roman" w:cs="Times New Roman"/>
                <w:sz w:val="24"/>
                <w:shd w:val="clear" w:color="auto" w:fill="FFFFFF"/>
              </w:rPr>
              <w:t>).</w:t>
            </w:r>
          </w:p>
          <w:p w:rsidR="002A3AFF" w:rsidRPr="00706FBD" w:rsidRDefault="002A3AFF" w:rsidP="002A3AFF">
            <w:p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hAnsi="Times New Roman" w:cs="Times New Roman"/>
                <w:sz w:val="24"/>
                <w:shd w:val="clear" w:color="auto" w:fill="FFFFFF"/>
              </w:rPr>
              <w:t>Ņemot vērā minēto, tiesības pārdot elektroenerģiju obligātā iepirkuma ietvaros ir uzskatāmas par tiesībām uz īpašumu.</w:t>
            </w:r>
          </w:p>
          <w:p w:rsidR="002A3AFF" w:rsidRPr="00706FBD" w:rsidRDefault="002A3AFF" w:rsidP="002A3AFF">
            <w:pPr>
              <w:pStyle w:val="ListParagraph"/>
              <w:numPr>
                <w:ilvl w:val="0"/>
                <w:numId w:val="2"/>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Ministru prezidenta biedra, ekonomikas ministra 2017.gada 30.oktobra ziņojumā “</w:t>
            </w:r>
            <w:r w:rsidRPr="00706FBD">
              <w:rPr>
                <w:rFonts w:ascii="Times New Roman" w:eastAsia="Times New Roman" w:hAnsi="Times New Roman" w:cs="Times New Roman"/>
                <w:i/>
                <w:sz w:val="24"/>
                <w:szCs w:val="24"/>
                <w:lang w:eastAsia="lv-LV"/>
              </w:rPr>
              <w:t xml:space="preserve">Par </w:t>
            </w:r>
            <w:proofErr w:type="spellStart"/>
            <w:r w:rsidRPr="00706FBD">
              <w:rPr>
                <w:rFonts w:ascii="Times New Roman" w:eastAsia="Times New Roman" w:hAnsi="Times New Roman" w:cs="Times New Roman"/>
                <w:i/>
                <w:sz w:val="24"/>
                <w:szCs w:val="24"/>
                <w:lang w:eastAsia="lv-LV"/>
              </w:rPr>
              <w:t>izvērtējuma</w:t>
            </w:r>
            <w:proofErr w:type="spellEnd"/>
            <w:r w:rsidRPr="00706FBD">
              <w:rPr>
                <w:rFonts w:ascii="Times New Roman" w:eastAsia="Times New Roman" w:hAnsi="Times New Roman" w:cs="Times New Roman"/>
                <w:i/>
                <w:sz w:val="24"/>
                <w:szCs w:val="24"/>
                <w:lang w:eastAsia="lv-LV"/>
              </w:rPr>
              <w:t xml:space="preserve"> rezultātiem, plānoto rīcību un nepieciešamajām izmaiņām normatīvajos aktos, saistībā ar masu medijos izskanējušajām bažām, ka vairāki uzņēmumi varētu būt krāpušies ar atļaujām elektroenerģijas ražošanai obligātajā iepirkumā</w:t>
            </w:r>
            <w:r w:rsidRPr="00706FBD">
              <w:rPr>
                <w:rFonts w:ascii="Times New Roman" w:eastAsia="Times New Roman" w:hAnsi="Times New Roman" w:cs="Times New Roman"/>
                <w:sz w:val="24"/>
                <w:szCs w:val="24"/>
                <w:lang w:eastAsia="lv-LV"/>
              </w:rPr>
              <w:t xml:space="preserve">” (turpmāk – Ziņojums ministru </w:t>
            </w:r>
            <w:r w:rsidRPr="00706FBD">
              <w:rPr>
                <w:rFonts w:ascii="Times New Roman" w:eastAsia="Times New Roman" w:hAnsi="Times New Roman" w:cs="Times New Roman"/>
                <w:sz w:val="24"/>
                <w:szCs w:val="24"/>
                <w:lang w:eastAsia="lv-LV"/>
              </w:rPr>
              <w:lastRenderedPageBreak/>
              <w:t>prezidentam)</w:t>
            </w:r>
            <w:r w:rsidRPr="00706FBD">
              <w:rPr>
                <w:rStyle w:val="FootnoteReference"/>
                <w:rFonts w:ascii="Times New Roman" w:eastAsia="Times New Roman" w:hAnsi="Times New Roman" w:cs="Times New Roman"/>
                <w:sz w:val="24"/>
                <w:szCs w:val="24"/>
                <w:lang w:eastAsia="lv-LV"/>
              </w:rPr>
              <w:footnoteReference w:id="8"/>
            </w:r>
            <w:r w:rsidRPr="00706FBD">
              <w:rPr>
                <w:rFonts w:ascii="Times New Roman" w:eastAsia="Times New Roman" w:hAnsi="Times New Roman" w:cs="Times New Roman"/>
                <w:sz w:val="24"/>
                <w:szCs w:val="24"/>
                <w:lang w:eastAsia="lv-LV"/>
              </w:rPr>
              <w:t xml:space="preserve"> ministru prezidentam secināts, ka pašreizējais tiesiskais regulējums liedz iespēju veikt efektīvu elektrostaciju atbilstības normatīvo aktu prasībām kontroli, kā arī nodrošināt veikto pārkāpumu operatīvu novēršanu vai atbilstošu sankciju piemērošanu. Ņemot vērā, ka komersanti OI mehānisma ietvaros saņem valsts atbalstu, kura izmaksas sedz visi elektroenerģijas galapatērētāji un kas ietekmē tautsaimniecības konkurētspēju, lai nodrošinātu maksimāli izmaksu efektīvu valsts atbalsta piešķiršanu, nepieciešams veikt grozījumus gan MK noteikumos Nr.221, gan MK noteikumos Nr.262. Ar grozījumiem MK noteikumos Nr.262 tiek papildināts pārkāpumu uzskaitījums, par ko Ekonomikas ministrija var brīdināt komersantu, kā arī saīsināti MK noteikumos Nr.262 paredzētie termiņi, kuros komersantiem jānovērš konstatētie pārkāpumi. Veicot minētos grozījumus, tiks novērsta plānotā atbalsta sniegšana tiem komersantiem, kuri neievēro normatīvo aktu prasības. Tāpat grozījumi MK noteikumos Nr.262 paredz Ekonomikas ministrijas pienākumu atcelt lēmumu, ar ko piešķirtas tiesības pārdot elektroenerģiju obligātā iepirkuma ietvaros, bez brīdinājuma, ja konstatēti būtiski pārkāpumi, kā arī tiek nodrošināts, ka  Noteikumu projekts paredz  īsākus termiņus, kuros Ekonomikas ministrijai ir tiesības brīdināt komersantu par kontroles grupas plānoto pārbaudi un paredz iespēju pārbaudi veikt bez brīdinājuma, kā arī nosaka, ka komersantam ir jānodrošina kontroles grupai</w:t>
            </w:r>
            <w:r w:rsidRPr="00706FBD">
              <w:t xml:space="preserve"> </w:t>
            </w:r>
            <w:r w:rsidRPr="00706FBD">
              <w:rPr>
                <w:rFonts w:ascii="Times New Roman" w:eastAsia="Times New Roman" w:hAnsi="Times New Roman" w:cs="Times New Roman"/>
                <w:sz w:val="24"/>
                <w:szCs w:val="24"/>
                <w:lang w:eastAsia="lv-LV"/>
              </w:rPr>
              <w:t>iespēja veikt elektrostacijas pārbaude noteiktajā pārbaudes laikā, lai Ekonomikas ministrijas kontroles grupa, veicot klātienes pārbaudes elektrostacijās, konstatētu patieso situāciju un būtiskus pārkāpumus elektrostacijās, ja tādi ir.</w:t>
            </w:r>
            <w:r w:rsidRPr="00706FBD">
              <w:rPr>
                <w:rFonts w:ascii="Times New Roman" w:eastAsia="Times New Roman" w:hAnsi="Times New Roman" w:cs="Times New Roman"/>
                <w:sz w:val="24"/>
                <w:szCs w:val="24"/>
                <w:lang w:eastAsia="lv-LV"/>
              </w:rPr>
              <w:br/>
              <w:t xml:space="preserve">Jau pašreiz spēkā esošajā Noteikumu Nr.262 redakcijā ir paredzēta obligātā iepirkuma tiesību atcelšana, ja noteiktā periodā netiek novērsti konkrēti pārkāpumi. Ar noteikumu projektu tiek noteikti papildu gadījumi, kad Ekonomikas ministrija var lemt par lēmuma, ar kuru piešķirtas </w:t>
            </w:r>
            <w:r w:rsidRPr="00706FBD">
              <w:rPr>
                <w:rFonts w:ascii="Times New Roman" w:eastAsia="Times New Roman" w:hAnsi="Times New Roman" w:cs="Times New Roman"/>
                <w:sz w:val="24"/>
                <w:szCs w:val="24"/>
                <w:lang w:eastAsia="lv-LV"/>
              </w:rPr>
              <w:lastRenderedPageBreak/>
              <w:t>elektroenerģijas obligātā iepirkuma tiesības, atcelšanu.</w:t>
            </w:r>
          </w:p>
          <w:p w:rsidR="002A3AFF" w:rsidRPr="00706FBD" w:rsidRDefault="002A3AFF" w:rsidP="002A3AFF">
            <w:pPr>
              <w:pStyle w:val="ListParagraph"/>
              <w:numPr>
                <w:ilvl w:val="0"/>
                <w:numId w:val="2"/>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Vairāk kā 200 elektrostacijām, kuras obligātā iepirkuma tiesības izmanto jau ilgāk par 5 gadiem, pārkompensācija tika izvērtēta 2017.gadā, attiecīgi piemērojot pārkompensācijas novēršanas koeficientu turpmākā atbalsta apmēra samazināšanai. 2018.gadā šāda izvērtēšana ir attiecināma uz vēl 60 elektrostacijām. Jau esošā pārkompensācijas novēršanas mehānisma ietvaros, piemērojot elektroenerģijas iepirkuma cenas samazinājumu, lai sasniegtu kopējo kapitālieguldījumu iekšējās peļņas normu 9% apmērā, komersantam turpinot elektroenerģiju pārdot obligātā iepirkuma ietvaros, tas joprojām līdz atbalsta perioda beigām turpina saņemt valsts atbalstu, bet par samazinātu elektroenerģijas iepirkuma cenu, tādā veidā pakāpeniski palielinot savu peļņas normu līdz 9%. Līdz ar to, atņemot komersantam obligātā iepirkuma tiesības pirms iepriekš noteiktā atbalsta perioda beigām, kurā šī peļņas norma sasniegtu 9%, un attiecīgi pilnā mērā atceļot turpmāko atbalstu, elektrostacijas netiek pārkompensēta. Līdz ar to, atņemot komersantiem tiesības valsts atbalsta saņemšanai,  neveidosies situācijas, kurās būs nepieciešams atgūt komersantiem izmaksāto valsts atbalstu, jo pārkompensācija būs jau novērsta uz tiesību atņemšanas brīdi, piemērojot samazinātu elektroenerģijas iepirkuma cenu. Pārkompensācijas novēršanas mehānisms ir saskaņots ar Eiropas </w:t>
            </w:r>
            <w:proofErr w:type="spellStart"/>
            <w:r w:rsidRPr="00706FBD">
              <w:rPr>
                <w:rFonts w:ascii="Times New Roman" w:eastAsia="Times New Roman" w:hAnsi="Times New Roman" w:cs="Times New Roman"/>
                <w:sz w:val="24"/>
                <w:szCs w:val="24"/>
                <w:lang w:eastAsia="lv-LV"/>
              </w:rPr>
              <w:t>KomisijuLai</w:t>
            </w:r>
            <w:proofErr w:type="spellEnd"/>
            <w:r w:rsidRPr="00706FBD">
              <w:rPr>
                <w:rFonts w:ascii="Times New Roman" w:eastAsia="Times New Roman" w:hAnsi="Times New Roman" w:cs="Times New Roman"/>
                <w:sz w:val="24"/>
                <w:szCs w:val="24"/>
                <w:lang w:eastAsia="lv-LV"/>
              </w:rPr>
              <w:t xml:space="preserve"> Ekonomikas ministrija, veicot kontroles funkciju, varētu pārliecināties, ka gada pārskatos par elektrostaciju darbību sniegtā informācija ir precīza, atbilst patiesajai situācijai un elektrostacija izpilda tai noteiktās prasības,  nepieciešams noteikt stingrākas prasības komersantu veiktajai elektroenerģijas, siltumenerģijas un to pašpatēriņa, kā arī kurināmā uzskaitei, papildus nosakot arī to, ka par šāda rakstura pārkāpumiem Ekonomikas ministrija ir tiesīga izteikt komersantam brīdinājumu.</w:t>
            </w:r>
          </w:p>
          <w:p w:rsidR="002A3AFF" w:rsidRPr="00706FBD" w:rsidRDefault="002A3AFF" w:rsidP="002A3AFF">
            <w:pPr>
              <w:pStyle w:val="ListParagraph"/>
              <w:numPr>
                <w:ilvl w:val="0"/>
                <w:numId w:val="2"/>
              </w:numPr>
              <w:spacing w:after="0" w:line="240" w:lineRule="auto"/>
              <w:ind w:left="263" w:right="115" w:hanging="10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Kontroles grupas veiktajās pārbaudēs, ir secinājusi, ka netiek veikta pietiekama precīza saražotās elektroenerģijas, siltumenerģijas un patērētā kurināmā uzskaite. Lai būtu iespējams pārliecināties, ka elektrostacijās tiek ievērotas MK noteikumos Nr.262 noteiktās prasības ar </w:t>
            </w:r>
            <w:r w:rsidRPr="00706FBD">
              <w:rPr>
                <w:rFonts w:ascii="Times New Roman" w:eastAsia="Times New Roman" w:hAnsi="Times New Roman" w:cs="Times New Roman"/>
                <w:sz w:val="24"/>
                <w:szCs w:val="24"/>
                <w:lang w:eastAsia="lv-LV"/>
              </w:rPr>
              <w:lastRenderedPageBreak/>
              <w:t>Noteikumu projektu nosakāmas papildu prasības uzskaites veikšanai.</w:t>
            </w:r>
          </w:p>
          <w:p w:rsidR="002A3AFF" w:rsidRPr="00706FBD" w:rsidRDefault="002A3AFF" w:rsidP="002A3AFF">
            <w:pPr>
              <w:pStyle w:val="ListParagraph"/>
              <w:numPr>
                <w:ilvl w:val="0"/>
                <w:numId w:val="2"/>
              </w:numPr>
              <w:spacing w:after="0" w:line="240" w:lineRule="auto"/>
              <w:ind w:left="259" w:right="115" w:hanging="101"/>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Ekonomikas ministrija, īstenojot kontroles funkciju, ir secinājusi, ka atsevišķi komersanti, kas OI mehānisma ietvaros saņem valsts atbalstu, regulāri neievēro MK noteikumu Nr.262 prasības, par to saņemot brīdinājumus. Lai veicinātu MK noteikumu Nr.262 prasību ievērošanu un noteiktu sekas prasību neizpildes gadījumos,  nodrošinot valsts atbalsta efektīvu izlietojumu, jāierobežo pieļaujamo saņemto brīdinājumu skaits par dažādu MK noteikumu Nr.262 prasību pārkāpšanu.</w:t>
            </w:r>
          </w:p>
          <w:p w:rsidR="002A3AFF" w:rsidRPr="00706FBD" w:rsidRDefault="002A3AFF" w:rsidP="002A3AFF">
            <w:pPr>
              <w:pStyle w:val="ListParagraph"/>
              <w:numPr>
                <w:ilvl w:val="0"/>
                <w:numId w:val="2"/>
              </w:numPr>
              <w:spacing w:after="0" w:line="240" w:lineRule="auto"/>
              <w:ind w:left="260" w:right="115" w:hanging="283"/>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Noteikumu projektā ietverto normu leģitīmais mērķis ir nodrošināt efektīvu kontroli pār valsts atbalsta saņemšanu, kā arī nodrošināt tiesisko attiecību stabilitāti.  Ekonomikas ministrija ir konstatējusi, ka atsevišķos gadījumos komersanti ir izmantojuši pastāvošā tiesiskā regulējuma nepilnības. Tāpat Ekonomikas ministrija konstatē, ka tiesiskajā regulējumā ietvertie termiņi, kādos komersantiem jānovērš Ekonomikas ministrijas konstatētās neatbilstības normatīvajiem aktiem, piemēram, ja komersants nav veicis nodokļu nomaksu savlaicīgi vai gadījumos, ja komersanta stacija neatbilst noteikumu prasībām, neļauj sasniegt tiesiskā regulējuma mērķi – laicīgi un sākotnēji deklarētajā apjomā nodrošinot elektrostaciju atbilstību normatīvo aktu prasībām. Ar grozījumiem netiek skartas komersantu tiesības pārdot elektroenerģiju obligātā iepirkuma ietvaros, bet noteikti papildu kontroles mehānismi normatīvā aktā ietvertā mērķa sasniegšanai.</w:t>
            </w:r>
          </w:p>
          <w:p w:rsidR="002A3AFF" w:rsidRPr="00706FBD" w:rsidRDefault="002A3AFF" w:rsidP="002A3AFF">
            <w:pPr>
              <w:pStyle w:val="ListParagraph"/>
              <w:numPr>
                <w:ilvl w:val="0"/>
                <w:numId w:val="2"/>
              </w:numPr>
              <w:spacing w:after="0" w:line="240" w:lineRule="auto"/>
              <w:ind w:left="260" w:right="115" w:hanging="283"/>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Enerģētikas politikas plānošanā tika ņemti vērā sagaidāmie Latvijā ieviestā valsts atbalsta mehānisma – OI mehānisma, rezultāti, cita starpā tādu iekārtu, kas izmanto fosilos energoresursus, nomaiņa ar iekārtām, kas izmanto AER. Ekonomikas ministrija ir secinājusi, ka liela daļa komersantu, kas ir saņēmuši tiesības uz valsts atbalstu OI mehānisma ietvaros, uzsāk elektroenerģijas ražošanu ar daudz mazākām jaudām nekā norādīts iesniegumā, uz kura pamata piešķirtas tiesības pārdot elektroenerģiju obligātā iepirkuma ietvaros. Lai valsts varētu plānot izmaksas no budžeta obligātā iepirkuma komponentes segšanai, tās mērķu enerģētikā sasniegšanu, kā arī, lai nodrošinātu, ka komersantiem noteiktais elektroenerģijas obligātā iepirkuma apjoms nepārsniedz apjomu, uz kuru komersanta elektrostacija varēja pretendēt ar attiecīgo elektrostacijas jaudu atbilstoši MK </w:t>
            </w:r>
            <w:r w:rsidRPr="00706FBD">
              <w:rPr>
                <w:rFonts w:ascii="Times New Roman" w:eastAsia="Times New Roman" w:hAnsi="Times New Roman" w:cs="Times New Roman"/>
                <w:sz w:val="24"/>
                <w:szCs w:val="24"/>
                <w:lang w:eastAsia="lv-LV"/>
              </w:rPr>
              <w:lastRenderedPageBreak/>
              <w:t xml:space="preserve">noteikumu Nr.262 5.punktā noteiktajai kārtībai, Noteikumu projekts paredz, ka Ekonomikas ministrija pieņem lēmumu, ar kuru tiek samazināts elektroenerģijas daudzums, kuru var pārdot obligātā iepirkuma ietvaros, atbilstoši elektrostacijas faktiski uzstādītajai jaudai un ievērojot MK noteikumu Nr.262 5.punktā minētos jaudu izmantošanas laikus katram elektrostacijas veidam. Noteikumu projekts paredz ieviest pārejas periodu attiecībā uz šīs normas piemērošanu līdz 2018.gada beigām, lai nodrošinātu iespēju sasniegt sākotnēji plānoto elektrostacijas jaudu, vienlaikus saglabājot noteikto elektroenerģijas iepirkuma apjomu. Tā kā MK noteikumu Nr.262 5.punktā ir noteikts, uz kādu maksimālo elektroenerģijas obligātā iepirkuma apjomu komersanti saskaņā ar plānoto elektrostacijas elektrisko jaudu varēja pretendēt, ar Noteikumu projektu paredzētās prasības ir pamatotas un lietderīgas. </w:t>
            </w:r>
          </w:p>
          <w:p w:rsidR="002A3AFF" w:rsidRPr="00706FBD" w:rsidRDefault="002A3AFF" w:rsidP="002A3AFF">
            <w:pPr>
              <w:pStyle w:val="ListParagraph"/>
              <w:numPr>
                <w:ilvl w:val="0"/>
                <w:numId w:val="2"/>
              </w:numPr>
              <w:spacing w:after="0" w:line="240" w:lineRule="auto"/>
              <w:ind w:left="260" w:right="115" w:hanging="283"/>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Pašreizējais MK noteikumu Nr.262 regulējums attiecībā uz elektrostacijā saražotās elektroenerģijas izmantošanu elektrostacijas vajadzībām atšķiras no MK noteikumu Nr.221 regulējuma, kas nosaka, ka publiskais tirgotājs no komersanta iepērk tikai saražotās elektroenerģijas pārpalikumu, kas atlicis pēc elektroenerģijas izlietošanas koģenerācijas elektrostacijas vajadzībām un koģenerācijas elektrostacijas darbības nodrošināšanai.  Ņemot vērā, ka arī tām elektrostacijām, kas elektroenerģiju ražo saskaņā ar MK noteikumos Nr.262 ietvertajām prasībām, elektroenerģijas pašpatēriņa nodrošināšana ir tehnoloģiski iespējama, bet komersanti ir ieinteresēti visu saražoto elektroenerģiju pārdot obligātā iepirkuma ietvaros, lai novērstu situācijas, ka valsts atbalsts tiek sniegts arī par pašā elektrostacijā patērēto elektroenerģiju (ņemot vērā starpību, kas veidojas no obligātā iepirkuma ietvaros pārdotās elektroenerģijas cenas un no tās elektroenerģijas cenas, kas iegādāta no elektroenerģijas tirgotāja elektrostacijas vajadzībām), tādējādi paaugstinot kopējās valsts atbalsta izmaksas, ko sedz visi elektroenerģijas gala lietotāji, arī MK noteikumos Nr.262 nosakāma līdzīgi norma, kas attiektos uz visa veida elektrostacijām. </w:t>
            </w:r>
          </w:p>
          <w:p w:rsidR="002A3AFF" w:rsidRPr="00706FBD" w:rsidRDefault="002A3AFF" w:rsidP="002A3AFF">
            <w:pPr>
              <w:pStyle w:val="ListParagraph"/>
              <w:numPr>
                <w:ilvl w:val="0"/>
                <w:numId w:val="2"/>
              </w:numPr>
              <w:spacing w:after="0" w:line="240" w:lineRule="auto"/>
              <w:ind w:left="260" w:right="115" w:hanging="283"/>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Pašreizējais MK noteikumu Nr.262 regulējums tikai attiecībā uz komersantiem, kuri kvalificējās tiesību saņemšanai pārdot elektroenerģiju obligātā iepirkuma ietvaros 2010.gadā organizētajā konkursā par tiesību iegūšanu pārdot biogāzes vai </w:t>
            </w:r>
            <w:r w:rsidRPr="00706FBD">
              <w:rPr>
                <w:rFonts w:ascii="Times New Roman" w:eastAsia="Times New Roman" w:hAnsi="Times New Roman" w:cs="Times New Roman"/>
                <w:sz w:val="24"/>
                <w:szCs w:val="24"/>
                <w:lang w:eastAsia="lv-LV"/>
              </w:rPr>
              <w:lastRenderedPageBreak/>
              <w:t xml:space="preserve">biomasas elektrostacijā saražoto elektroenerģiju obligātā iepirkuma ietvaros,  nosaka prasību efektīvai saražotās siltumenerģijas izmantošanai. Ņemot vērā, ka līdz ar koģenerācijas procesā saražoto elektroenerģiju, par kuru komersanti saņem valsts atbalstu, tiek saražota arī siltumenerģija un to, ka nepieciešams nodrošināt efektīvu resursu izmantošanu un attiecīgi efektīvu valsts atbalsta izmantošanu, nosakāms, ka visām biomasas un biogāzes stacijām, kas elektroenerģiju ražo, izmantojot koģenerācijas tehnoloģijas, jānodrošina efektīva siltumenerģijas izmantošana, šai normai nosakot pārejas periodu līdz 2019.gada 1.jūlijam, līdz kuram ražotājiem būtu objektīvi iespējams uzsākt efektīvu siltumenerģijas izmantošanu, ja tas iepriekš nav darīts.  </w:t>
            </w:r>
          </w:p>
          <w:p w:rsidR="002A3AFF" w:rsidRPr="00706FBD" w:rsidRDefault="002A3AFF" w:rsidP="002A3AFF">
            <w:pPr>
              <w:pStyle w:val="ListParagraph"/>
              <w:numPr>
                <w:ilvl w:val="0"/>
                <w:numId w:val="2"/>
              </w:numPr>
              <w:spacing w:after="0" w:line="240" w:lineRule="auto"/>
              <w:ind w:left="260" w:right="115" w:hanging="283"/>
              <w:jc w:val="both"/>
              <w:rPr>
                <w:rFonts w:ascii="Times New Roman" w:eastAsia="Times New Roman" w:hAnsi="Times New Roman" w:cs="Times New Roman"/>
                <w:sz w:val="24"/>
                <w:szCs w:val="24"/>
                <w:lang w:eastAsia="lv-LV"/>
              </w:rPr>
            </w:pPr>
            <w:r w:rsidRPr="00706FBD">
              <w:rPr>
                <w:rFonts w:ascii="Times New Roman" w:hAnsi="Times New Roman" w:cs="Times New Roman"/>
                <w:sz w:val="24"/>
              </w:rPr>
              <w:t>Satversmes tiesa ir secinājusi, ka, mainot tiesisko regulējumu, valsts iestādēm savā darbībā jābūt konsekventām attiecībā uz to izdotajiem normatīvajiem tiesību aktiem un jāievēro tiesiskā paļāvība, kas personām varētu rasties saskaņā ar konkrētu tiesību normu. Tiesiskās paļāvības princips cita starpā prasa aizsargāt paļāvību, kas personai radusies uz noteiktu tās tiesību saglabāšanu vai īstenošanu, un ietver valsts pienākumu pildīt saistības, ko tā uzņēmusies pret personām. Pretējā gadījumā tiktu mazināta personu uzticība valstij un tiesībām. Taču, lai nodrošinātu valsts spēju reaģēt uz mainīgajiem dzīves apstākļiem, šis princips neizslēdz valsts iespēju grozīt pastāvošo tiesisko regulējumu. Tiesiskās paļāvības princips arī prasa, lai valsts, mainot normatīvo regulējumu, ievērotu saprātīgu līdzsvaru starp personas paļāvību un tām sabiedrības interesēm, kuru nodrošināšanas labad regulējums tiek mainīts (sk. Satversmes tiesas 2002.gada 19.marta sprieduma lietā Nr.2001-12-01 secinājumu daļas 3.2.punktu un 2014.gada 19.marta sprieduma lietā Nr.2013-13-01 7.1.punktu).</w:t>
            </w:r>
          </w:p>
          <w:p w:rsidR="002A3AFF" w:rsidRPr="00706FBD" w:rsidRDefault="002A3AFF" w:rsidP="002A3AFF">
            <w:pPr>
              <w:pStyle w:val="ListParagraph"/>
              <w:spacing w:after="0" w:line="240" w:lineRule="auto"/>
              <w:ind w:left="260" w:right="115"/>
              <w:jc w:val="both"/>
              <w:rPr>
                <w:rFonts w:ascii="Times New Roman" w:hAnsi="Times New Roman" w:cs="Times New Roman"/>
                <w:sz w:val="24"/>
              </w:rPr>
            </w:pPr>
            <w:r w:rsidRPr="00706FBD">
              <w:rPr>
                <w:rFonts w:ascii="Times New Roman" w:hAnsi="Times New Roman" w:cs="Times New Roman"/>
                <w:sz w:val="24"/>
              </w:rPr>
              <w:t>Tiesiskās paļāvības princips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(sk. Satversmes tiesas 2010. gada 6. decembra sprieduma lietā Nr. 2010-25-01 4. punktu).</w:t>
            </w:r>
          </w:p>
          <w:p w:rsidR="002A3AFF" w:rsidRPr="00706FBD" w:rsidRDefault="002A3AFF" w:rsidP="002A3AFF">
            <w:pPr>
              <w:pStyle w:val="ListParagraph"/>
              <w:spacing w:after="0" w:line="240" w:lineRule="auto"/>
              <w:ind w:left="260" w:right="115"/>
              <w:jc w:val="both"/>
              <w:rPr>
                <w:rFonts w:ascii="Times New Roman" w:hAnsi="Times New Roman" w:cs="Times New Roman"/>
                <w:sz w:val="24"/>
              </w:rPr>
            </w:pPr>
            <w:r w:rsidRPr="00706FBD">
              <w:rPr>
                <w:rFonts w:ascii="Times New Roman" w:hAnsi="Times New Roman" w:cs="Times New Roman"/>
                <w:sz w:val="24"/>
              </w:rPr>
              <w:lastRenderedPageBreak/>
              <w:t xml:space="preserve">Ikviena </w:t>
            </w:r>
            <w:proofErr w:type="spellStart"/>
            <w:r w:rsidRPr="00706FBD">
              <w:rPr>
                <w:rFonts w:ascii="Times New Roman" w:hAnsi="Times New Roman" w:cs="Times New Roman"/>
                <w:sz w:val="24"/>
              </w:rPr>
              <w:t>pamattiesību</w:t>
            </w:r>
            <w:proofErr w:type="spellEnd"/>
            <w:r w:rsidRPr="00706FBD">
              <w:rPr>
                <w:rFonts w:ascii="Times New Roman" w:hAnsi="Times New Roman" w:cs="Times New Roman"/>
                <w:sz w:val="24"/>
              </w:rPr>
              <w:t xml:space="preserve"> ierobežojuma pamatā ir jābūt apstākļiem un argumentiem, kādēļ tas vajadzīgs, proti, ierobežojumam jābūt noteiktam svarīgu interešu – leģitīma mērķa – labad (sk. Satversmes tiesas 2005. gada 22. decembra sprieduma lietā Nr. 2005-19-01 9. punktu). Pienākums norādīt leģitīmo mērķi Satversmes tiesas procesā vispirms ir institūcijai, kas izdevusi apstrīdēto aktu (sk. Satversmes tiesas 2011. gada 25. oktobra sprieduma lietā Nr. 2011-01-01 13.2. punktu).</w:t>
            </w:r>
          </w:p>
          <w:p w:rsidR="002A3AFF" w:rsidRPr="00706FBD" w:rsidRDefault="002A3AFF" w:rsidP="002A3AFF">
            <w:pPr>
              <w:pStyle w:val="ListParagraph"/>
              <w:spacing w:after="0" w:line="240" w:lineRule="auto"/>
              <w:ind w:left="260" w:right="115"/>
              <w:jc w:val="both"/>
              <w:rPr>
                <w:rFonts w:ascii="Times New Roman" w:hAnsi="Times New Roman" w:cs="Times New Roman"/>
                <w:sz w:val="24"/>
              </w:rPr>
            </w:pPr>
            <w:r w:rsidRPr="00706FBD">
              <w:rPr>
                <w:rFonts w:ascii="Times New Roman" w:hAnsi="Times New Roman" w:cs="Times New Roman"/>
                <w:sz w:val="24"/>
              </w:rPr>
              <w:t>10. Ņemot vērā grozījumus Elektroenerģijas tirgus likuma 29. un 29.</w:t>
            </w:r>
            <w:r w:rsidRPr="00706FBD">
              <w:rPr>
                <w:rFonts w:ascii="Times New Roman" w:hAnsi="Times New Roman" w:cs="Times New Roman"/>
                <w:sz w:val="24"/>
                <w:vertAlign w:val="superscript"/>
              </w:rPr>
              <w:t>1</w:t>
            </w:r>
            <w:r w:rsidRPr="00706FBD">
              <w:rPr>
                <w:rFonts w:ascii="Times New Roman" w:hAnsi="Times New Roman" w:cs="Times New Roman"/>
                <w:sz w:val="24"/>
              </w:rPr>
              <w:t xml:space="preserve"> pantā, kas izdarīti 2016.gada 19.maijā pieņemto likumu “Grozījumi Elektroenerģijas tirgus likumā”, precizējams deleģējums Ministru kabinetam, uz kura pamata izdoti Noteikumi Nr.262 un attiecīgās normas.</w:t>
            </w:r>
          </w:p>
          <w:p w:rsidR="002A3AFF" w:rsidRPr="00706FBD" w:rsidRDefault="002A3AFF" w:rsidP="002A3AFF">
            <w:pPr>
              <w:pStyle w:val="ListParagraph"/>
              <w:spacing w:line="240" w:lineRule="auto"/>
              <w:ind w:left="260" w:right="115"/>
              <w:jc w:val="both"/>
              <w:rPr>
                <w:rFonts w:ascii="Times New Roman" w:hAnsi="Times New Roman" w:cs="Times New Roman"/>
                <w:sz w:val="24"/>
              </w:rPr>
            </w:pPr>
            <w:r w:rsidRPr="00706FBD">
              <w:rPr>
                <w:rFonts w:ascii="Times New Roman" w:hAnsi="Times New Roman" w:cs="Times New Roman"/>
                <w:sz w:val="24"/>
              </w:rPr>
              <w:t>10. Elektroenerģijas tirgus likuma 29.panta ceturtā daļa noteic, ka obligātā iepirkuma un tā uzraudzības kārtību nosaka Ministru kabinets. Šie nosacījumi nav šauri traktējami un liecina, ka likumdevējs, pieņemot attiecīgo deleģējumu, Ministru kabinetam to ir noteicis ar plašām pilnvarām, t.sk. deleģējis noteikt obligātā iepirkuma uzraudzības kārtību, kas sevī ietver arī elektrostaciju kontroles mehānismu un administratīvo aktu izdošanu, kā arī lēmumu pieņemšanu, ar kuru tiek atceltas komersantam piešķirtās tiesības pārdot no atjaunojamiem energoresursiem saražoto elektroenerģiju obligātā iepirkuma ietvaros, kas ir daļa no uzraudzības procesa. Arī Satversmes tiesa ir secinājusi, ka Elektroenerģijas tirgus pilnvarojumā ietvertais jēdziens “kārtība” norāda uz to, ka Ministru kabinetam ir tiesības noteikumos regulēt attiecīgā jautājuma procesuālo raksturu, proti, izstrādāt noteiktu procedūru.</w:t>
            </w:r>
          </w:p>
          <w:p w:rsidR="002A3AFF" w:rsidRPr="00706FBD" w:rsidRDefault="002A3AFF" w:rsidP="002A3AFF">
            <w:pPr>
              <w:pStyle w:val="ListParagraph"/>
              <w:ind w:left="260" w:right="115"/>
              <w:jc w:val="both"/>
              <w:rPr>
                <w:rFonts w:ascii="Times New Roman" w:hAnsi="Times New Roman" w:cs="Times New Roman"/>
                <w:sz w:val="24"/>
              </w:rPr>
            </w:pPr>
            <w:r w:rsidRPr="00706FBD">
              <w:rPr>
                <w:rFonts w:ascii="Times New Roman" w:hAnsi="Times New Roman" w:cs="Times New Roman"/>
                <w:sz w:val="24"/>
              </w:rPr>
              <w:t>Publiskais tirgotājs un sistēmas operators ir Noteikumu projekta 5.punktā paredzētajā Noteikumu Nr.262 59.</w:t>
            </w:r>
            <w:r w:rsidRPr="00706FBD">
              <w:rPr>
                <w:rFonts w:ascii="Times New Roman" w:hAnsi="Times New Roman" w:cs="Times New Roman"/>
                <w:sz w:val="24"/>
                <w:vertAlign w:val="superscript"/>
              </w:rPr>
              <w:t>2</w:t>
            </w:r>
            <w:r w:rsidRPr="00706FBD">
              <w:rPr>
                <w:rFonts w:ascii="Times New Roman" w:hAnsi="Times New Roman" w:cs="Times New Roman"/>
                <w:sz w:val="24"/>
              </w:rPr>
              <w:t xml:space="preserve"> punktā un citos līdzīgos punktos noteiktā lēmuma izpildītāji - tirgotājs veic elektroenerģijas obligātā iepirkuma administrēšanu, savukārt sistēmas operators veic tīklā nodotās un no tīkla saņemtās elektroenerģijas uzskaiti un šo informāciju sniedz publiskajam tirgotājam norēķiniem par elektroenerģijas obligāto iepirkumu. Ņemot vērā minēto, tirgotājam un sistēmas operatoram attiecīgais administratīvais akts ir nepieciešams pilnā apmērā savu normatīvajos aktos noteikto funkciju veikšanai un tās uzskatāmas par trešajām personām Administratīvā procesa likuma 71.panta pirmās </w:t>
            </w:r>
            <w:r w:rsidRPr="00706FBD">
              <w:rPr>
                <w:rFonts w:ascii="Times New Roman" w:hAnsi="Times New Roman" w:cs="Times New Roman"/>
                <w:sz w:val="24"/>
              </w:rPr>
              <w:lastRenderedPageBreak/>
              <w:t>daļas nozīmē, līdz ar to Ekonomikas ministrijas pieņemtie lēmumi par ražotājiem piešķirto tiesību pārdot saražoto elektroenerģiju obligātā iepirkuma ievaros tiek paziņoti arī publiskajam tirgotājam un sistēmas operatoram.</w:t>
            </w:r>
          </w:p>
          <w:p w:rsidR="002A3AFF" w:rsidRPr="00706FBD" w:rsidRDefault="002A3AFF" w:rsidP="002A3AFF">
            <w:pPr>
              <w:pStyle w:val="ListParagraph"/>
              <w:ind w:left="260" w:right="115"/>
              <w:jc w:val="both"/>
              <w:rPr>
                <w:rFonts w:ascii="Times New Roman" w:hAnsi="Times New Roman" w:cs="Times New Roman"/>
                <w:sz w:val="24"/>
              </w:rPr>
            </w:pPr>
            <w:r w:rsidRPr="00706FBD">
              <w:rPr>
                <w:rFonts w:ascii="Times New Roman" w:hAnsi="Times New Roman" w:cs="Times New Roman"/>
                <w:sz w:val="24"/>
              </w:rPr>
              <w:t xml:space="preserve">Uzraudzības kārtības mērķis ir nodrošināt, ka elektrostacijas, kas saņem valsts atbalstu, ko sedz visi elektroenerģijas galapatērētāji, darbojas atbilstoši tām piešķirtajām tiesībām un normatīvo aktu prasībām. Šajā kontekstā kontroles grupa ir nepieciešama, lai  nodrošināt pastāvīgu iespēju ministrijai, piesaistot ekspertus, veikt elektrostaciju klātienes pārbaudes. </w:t>
            </w:r>
          </w:p>
          <w:p w:rsidR="002A3AFF" w:rsidRPr="00706FBD" w:rsidRDefault="002A3AFF" w:rsidP="002A3AFF">
            <w:pPr>
              <w:spacing w:after="0" w:line="240" w:lineRule="auto"/>
              <w:ind w:right="115"/>
              <w:jc w:val="both"/>
              <w:rPr>
                <w:rFonts w:ascii="Times New Roman" w:eastAsia="Times New Roman" w:hAnsi="Times New Roman" w:cs="Times New Roman"/>
                <w:b/>
                <w:sz w:val="24"/>
                <w:szCs w:val="24"/>
                <w:lang w:eastAsia="lv-LV"/>
              </w:rPr>
            </w:pPr>
            <w:r w:rsidRPr="00706FBD">
              <w:rPr>
                <w:rFonts w:ascii="Times New Roman" w:hAnsi="Times New Roman" w:cs="Times New Roman"/>
                <w:sz w:val="24"/>
              </w:rPr>
              <w:t>Tādējādi var secināt, ka noteikumu projekts ir veidots, ievērojot likumdevēja gribu un Ministru kabinetam piešķirto uzraudzības organizēšanas tvērumu, deleģējumu ietverot Elektroenerģijas tirgus likuma 29.panta ceturtajā daļā.</w:t>
            </w:r>
          </w:p>
          <w:p w:rsidR="002A3AFF" w:rsidRPr="00706FBD" w:rsidRDefault="002A3AFF" w:rsidP="002A3AFF">
            <w:pPr>
              <w:spacing w:after="0" w:line="240" w:lineRule="auto"/>
              <w:ind w:right="115"/>
              <w:jc w:val="both"/>
              <w:rPr>
                <w:rFonts w:ascii="Times New Roman" w:eastAsia="Times New Roman" w:hAnsi="Times New Roman" w:cs="Times New Roman"/>
                <w:b/>
                <w:sz w:val="24"/>
                <w:szCs w:val="24"/>
                <w:lang w:eastAsia="lv-LV"/>
              </w:rPr>
            </w:pPr>
            <w:r w:rsidRPr="00706FBD">
              <w:rPr>
                <w:rFonts w:ascii="Times New Roman" w:eastAsia="Times New Roman" w:hAnsi="Times New Roman" w:cs="Times New Roman"/>
                <w:b/>
                <w:sz w:val="24"/>
                <w:szCs w:val="24"/>
                <w:lang w:eastAsia="lv-LV"/>
              </w:rPr>
              <w:t>Ņemot vērā minēto, noteikumu projekta mērķis ir veicināt valsts atbalsta, ko sedz visi elektroenerģijas gala patērētāji, efektīvāku izlietojumu, izmaksu prognozējamību, ko var nodrošināt, ieviešot stingrāku elektrostaciju kontroles mehānismu un nosakot papildu darbības nosacījumus atbalsta saņemšanai.</w:t>
            </w:r>
          </w:p>
          <w:p w:rsidR="002A3AFF" w:rsidRPr="00706FBD" w:rsidRDefault="002A3AFF" w:rsidP="002A3AFF">
            <w:pPr>
              <w:spacing w:after="0" w:line="240" w:lineRule="auto"/>
              <w:ind w:right="115"/>
              <w:jc w:val="both"/>
              <w:rPr>
                <w:rFonts w:ascii="Times New Roman" w:eastAsia="Times New Roman" w:hAnsi="Times New Roman" w:cs="Times New Roman"/>
                <w:sz w:val="24"/>
                <w:szCs w:val="24"/>
                <w:lang w:eastAsia="lv-LV"/>
              </w:rPr>
            </w:pPr>
          </w:p>
          <w:p w:rsidR="002A3AFF" w:rsidRPr="00706FBD" w:rsidRDefault="002A3AFF" w:rsidP="002A3AFF">
            <w:pPr>
              <w:spacing w:after="0" w:line="240" w:lineRule="auto"/>
              <w:ind w:right="115"/>
              <w:jc w:val="both"/>
              <w:rPr>
                <w:rFonts w:ascii="Times New Roman" w:eastAsia="Times New Roman" w:hAnsi="Times New Roman" w:cs="Times New Roman"/>
                <w:b/>
                <w:sz w:val="24"/>
                <w:szCs w:val="24"/>
                <w:lang w:eastAsia="lv-LV"/>
              </w:rPr>
            </w:pPr>
            <w:r w:rsidRPr="00706FBD">
              <w:rPr>
                <w:rFonts w:ascii="Times New Roman" w:eastAsia="Times New Roman" w:hAnsi="Times New Roman" w:cs="Times New Roman"/>
                <w:b/>
                <w:sz w:val="24"/>
                <w:szCs w:val="24"/>
                <w:lang w:eastAsia="lv-LV"/>
              </w:rPr>
              <w:t>Lai sasniegtu minēto mērķi, ar noteikumu projektu tiek paredzēti šādi risinājumi:</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Lai nodrošinātu, ka Noteikumi Nr.262 atbilstu Elektroenerģijas tirgus likuma deleģējumam, ar noteikumu projektu tiek svītrotas normas, kas nosaka un regulē kārtību par garantēto maksu, kas izriet no izslēgtā Elektroenerģijas tirgus likuma 29.</w:t>
            </w:r>
            <w:r w:rsidRPr="00706FBD">
              <w:rPr>
                <w:rFonts w:ascii="Times New Roman" w:eastAsia="Times New Roman" w:hAnsi="Times New Roman" w:cs="Times New Roman"/>
                <w:sz w:val="24"/>
                <w:szCs w:val="24"/>
                <w:vertAlign w:val="superscript"/>
                <w:lang w:eastAsia="lv-LV"/>
              </w:rPr>
              <w:t>1</w:t>
            </w:r>
            <w:r w:rsidRPr="00706FBD">
              <w:rPr>
                <w:rFonts w:ascii="Times New Roman" w:eastAsia="Times New Roman" w:hAnsi="Times New Roman" w:cs="Times New Roman"/>
                <w:sz w:val="24"/>
                <w:szCs w:val="24"/>
                <w:lang w:eastAsia="lv-LV"/>
              </w:rPr>
              <w:t xml:space="preserve"> panta deleģējuma. Tāpat svītrotas normas, kas saistītas ar elektroenerģijas daļu, kas galalietotāju kopējā patēriņa ir obligāti nosedzama ar elektroenerģiju, kas ražota, izmantojot atjaunojamos energoresursus, kas izriet no izslēgtā Elektroenerģijas tirgus likuma 29.panta otrās daļas deleģējuma. Ar svītrotajām normām saistītas normas Noteikumos Nr.262 saglabātas, ņemot vērā, ka tās izriet no Elektroenerģijas tirgus likuma 29.panta ceturtās daļas. </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Lai nodrošinātu precīzu saražotās elektroenerģijas, siltumenerģijas un kurināmā uzskaiti un attiecīgi nodrošinātu iespēju gūt skaidru pārliecību par elektrostacijas darbības atbilstību MK noteikumu Nr.262 prasībām, ar </w:t>
            </w:r>
            <w:r w:rsidRPr="00706FBD">
              <w:rPr>
                <w:rFonts w:ascii="Times New Roman" w:eastAsia="Times New Roman" w:hAnsi="Times New Roman" w:cs="Times New Roman"/>
                <w:sz w:val="24"/>
                <w:szCs w:val="24"/>
                <w:lang w:eastAsia="lv-LV"/>
              </w:rPr>
              <w:lastRenderedPageBreak/>
              <w:t>noteikumu projektu tiek noteikts, ka attiecīgā uzskaite par saražoto elektroenerģiju un siltumenerģiju veicama vismaz reizi dienā un par izmantoto kurināmo uzskaite veicama reizi mēnesī un šie dati uzglabājami vismaz piecus gadus, kā arī elektrostacijā izvietojamas elektroenerģijas, siltumenerģijas un kurināmā padeves pieslēgumu shēmas.</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Lai novērstu situācijas, ka valsts atbalsts tiek sniegts par elektrostacijā patērēto elektroenerģiju, tādējādi paaugstinot kopējās valsts atbalsta izmaksas, ko sedz visi elektroenerģijas gala lietotāji, tā pat kā MK noteikumos Nr.221 nosakāms, ka publiskais tirgotājs no komersanta iepērk tikai saražotās elektroenerģijas pārpalikumu, kas atlicis pēc elektroenerģijas izlietošanas elektrostacijas vajadzībām un elektrostacijas darbības nodrošināšanai. Ņemot vērā, ka elektroenerģijas pašpatēriņa nodrošināšanai var būt nepieciešama elektrostaciju tehnoloģiska pielāgošana, šādai prasībai nosakāms pārejas periods un tā tiek piemērota ar 2019.gada 1.jūliju.</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Lai varētu nodrošināt pirktās elektroenerģijas apjoma precīzu kontroli un attiecīgi to, ka viss elektrostacijas darbībai un vajadzībām nepieciešamās elektroenerģijas apjoms tiek izmantots no elektrostacijā saražotās elektroenerģijas (izņemot, ja elektrostacija attiecīgajā brīdī nevar saražot nepieciešamo apjomu) un attiecīgi OI ietvaros tiek pārdots tikai pāri palikušais elektroenerģijas apjoms, ar noteikumu projektu paredzēts noteikt, ka elektrostacija elektroenerģiju var pirkt tikai izmantojot pieslēgumu sistēmas operatora tīklam, savukārt, ja elektrostacijai ir vairāki </w:t>
            </w:r>
            <w:proofErr w:type="spellStart"/>
            <w:r w:rsidRPr="00706FBD">
              <w:rPr>
                <w:rFonts w:ascii="Times New Roman" w:eastAsia="Times New Roman" w:hAnsi="Times New Roman" w:cs="Times New Roman"/>
                <w:sz w:val="24"/>
                <w:szCs w:val="24"/>
                <w:lang w:eastAsia="lv-LV"/>
              </w:rPr>
              <w:t>pieslēgumi</w:t>
            </w:r>
            <w:proofErr w:type="spellEnd"/>
            <w:r w:rsidRPr="00706FBD">
              <w:rPr>
                <w:rFonts w:ascii="Times New Roman" w:eastAsia="Times New Roman" w:hAnsi="Times New Roman" w:cs="Times New Roman"/>
                <w:sz w:val="24"/>
                <w:szCs w:val="24"/>
                <w:lang w:eastAsia="lv-LV"/>
              </w:rPr>
              <w:t xml:space="preserve">, aprēķinot </w:t>
            </w:r>
            <w:proofErr w:type="spellStart"/>
            <w:r w:rsidRPr="00706FBD">
              <w:rPr>
                <w:rFonts w:ascii="Times New Roman" w:eastAsia="Times New Roman" w:hAnsi="Times New Roman" w:cs="Times New Roman"/>
                <w:sz w:val="24"/>
                <w:szCs w:val="24"/>
                <w:lang w:eastAsia="lv-LV"/>
              </w:rPr>
              <w:t>ikstundas</w:t>
            </w:r>
            <w:proofErr w:type="spellEnd"/>
            <w:r w:rsidRPr="00706FBD">
              <w:rPr>
                <w:rFonts w:ascii="Times New Roman" w:eastAsia="Times New Roman" w:hAnsi="Times New Roman" w:cs="Times New Roman"/>
                <w:sz w:val="24"/>
                <w:szCs w:val="24"/>
                <w:lang w:eastAsia="lv-LV"/>
              </w:rPr>
              <w:t xml:space="preserve"> tīklā elektroenerģijas daudzumu, kas atlicis pēc izlietošanas elektrostacijas vajadzībām, sistēmas operators no attiecīgajā stundā tīklā nodotā elektroenerģijas daudzuma atņem pirkto elektroenerģiju, kas iepirkta, izmantojot citu pieslēgumu. Ar noteikumu projektu noteikts, ka elektrostacijā saražotās elektroenerģijas atlikumu, kas atlicis pēc elektroenerģijas izlietošanas elektrostacijas darbības nodrošināšanai, </w:t>
            </w:r>
            <w:r w:rsidRPr="00706FBD">
              <w:rPr>
                <w:rFonts w:ascii="Times New Roman" w:eastAsia="Times New Roman" w:hAnsi="Times New Roman" w:cs="Times New Roman"/>
                <w:iCs/>
                <w:sz w:val="24"/>
                <w:szCs w:val="24"/>
                <w:lang w:eastAsia="lv-LV"/>
              </w:rPr>
              <w:t xml:space="preserve">iepērk atbilstoši elektrostacijas principiālajai elektriskā pieslēguma shēmai. Elektrostacijas principiālā elektriskā pieslēguma shēma ir grafiskas dokuments, kurā ar vispārpieņemtiem elementu apzīmējumiem </w:t>
            </w:r>
            <w:r w:rsidRPr="00706FBD">
              <w:rPr>
                <w:rFonts w:ascii="Times New Roman" w:eastAsia="Times New Roman" w:hAnsi="Times New Roman" w:cs="Times New Roman"/>
                <w:iCs/>
                <w:sz w:val="24"/>
                <w:szCs w:val="24"/>
                <w:lang w:eastAsia="lv-LV"/>
              </w:rPr>
              <w:lastRenderedPageBreak/>
              <w:t>(piemēram, ģenerators, turbīna, automātikas ierīces, kondensators u.c.) un burtciparu kodiem attēlota elektrostacijas uzbūve. Principiālās shēmas nolūks ir iespējami skaidri parādīt elektrostacijas darbības principu un piederības robežas</w:t>
            </w:r>
            <w:r w:rsidRPr="00706FBD">
              <w:rPr>
                <w:rFonts w:ascii="Times New Roman" w:eastAsia="Times New Roman" w:hAnsi="Times New Roman" w:cs="Times New Roman"/>
                <w:i/>
                <w:iCs/>
                <w:sz w:val="24"/>
                <w:szCs w:val="24"/>
                <w:lang w:eastAsia="lv-LV"/>
              </w:rPr>
              <w:t>.</w:t>
            </w:r>
            <w:r w:rsidRPr="00706FBD">
              <w:rPr>
                <w:rFonts w:ascii="Times New Roman" w:eastAsia="Times New Roman" w:hAnsi="Times New Roman" w:cs="Times New Roman"/>
                <w:iCs/>
                <w:sz w:val="24"/>
                <w:szCs w:val="24"/>
                <w:lang w:eastAsia="lv-LV"/>
              </w:rPr>
              <w:t xml:space="preserve"> </w:t>
            </w:r>
            <w:r w:rsidRPr="00706FBD">
              <w:rPr>
                <w:rFonts w:ascii="Times New Roman" w:eastAsia="Times New Roman" w:hAnsi="Times New Roman" w:cs="Times New Roman"/>
                <w:sz w:val="24"/>
                <w:szCs w:val="24"/>
                <w:lang w:eastAsia="lv-LV"/>
              </w:rPr>
              <w:t xml:space="preserve">Tāpat komersantam saskaņā ar izrakstīto rēķinu jānorēķinās par elektroenerģiju un sistēmas pakalpojumiem, kā arī obligātā iepirkuma komponentēm par visu elektroenerģijas apjomu, kas norēķinu periodā ir saņemts no elektrotīkla par visiem sistēmas </w:t>
            </w:r>
            <w:proofErr w:type="spellStart"/>
            <w:r w:rsidRPr="00706FBD">
              <w:rPr>
                <w:rFonts w:ascii="Times New Roman" w:eastAsia="Times New Roman" w:hAnsi="Times New Roman" w:cs="Times New Roman"/>
                <w:sz w:val="24"/>
                <w:szCs w:val="24"/>
                <w:lang w:eastAsia="lv-LV"/>
              </w:rPr>
              <w:t>pieslēgumiem</w:t>
            </w:r>
            <w:proofErr w:type="spellEnd"/>
            <w:r w:rsidRPr="00706FBD">
              <w:rPr>
                <w:rFonts w:ascii="Times New Roman" w:eastAsia="Times New Roman" w:hAnsi="Times New Roman" w:cs="Times New Roman"/>
                <w:sz w:val="24"/>
                <w:szCs w:val="24"/>
                <w:lang w:eastAsia="lv-LV"/>
              </w:rPr>
              <w:t xml:space="preserve">. Ņemot vērā, ka ar minētās prasības izpildi var būt saistīta nepieciešamība veikt izmaiņas elektrostaciju </w:t>
            </w:r>
            <w:proofErr w:type="spellStart"/>
            <w:r w:rsidRPr="00706FBD">
              <w:rPr>
                <w:rFonts w:ascii="Times New Roman" w:eastAsia="Times New Roman" w:hAnsi="Times New Roman" w:cs="Times New Roman"/>
                <w:sz w:val="24"/>
                <w:szCs w:val="24"/>
                <w:lang w:eastAsia="lv-LV"/>
              </w:rPr>
              <w:t>pieslēgumā</w:t>
            </w:r>
            <w:proofErr w:type="spellEnd"/>
            <w:r w:rsidRPr="00706FBD">
              <w:rPr>
                <w:rFonts w:ascii="Times New Roman" w:eastAsia="Times New Roman" w:hAnsi="Times New Roman" w:cs="Times New Roman"/>
                <w:sz w:val="24"/>
                <w:szCs w:val="24"/>
                <w:lang w:eastAsia="lv-LV"/>
              </w:rPr>
              <w:t xml:space="preserve"> sistēmas operatoram, kā arī tīklā nodotās un no tīkla saņemtās elektroenerģijas uzskaitē, ko veic sistēmas operators, šai normai tiek noteikts pārejas periods un tā tiek piemērota ar 2019.gada 1.jūliju. </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Lai nodrošinātu efektīvu resursu izmantošanu un attiecīgi efektīvu valsts atbalsta izmantošanu, nosakāms, ka pēc pārejas perioda beigām no 2019.gada 1.jūlija visām biomasas un biogāzes elektrostacijām jānodrošina efektīva siltumenerģijas izmantošana, vienlaikus paplašinot MK noteikumu Nr.262 ietvaros izmantoto un to 5.pielikumā minēto efektīvi izmantotas siltumenerģijas definīciju, pieļaujot, ka par efektīvu izmantotu siltumenerģiju uzskata arī noteiktos, ar Noteikumu projektu definētos, veidos izmantotu siltumenerģiju, kas nav pārdota siltumenerģijas lietotājam. Gadījumā, ja komersants nav uzsācis efektīvu siltumenerģijas izmantošanu, tam sākotnēji tiek izteikts brīdinājums, bet ja atkārtoti pēc 6 mēnešiem tiek konstatēts, ka joprojām siltumenerģija noteiktā apmērā netiek izmantota efektīvi, tad elektroenerģija obligātā iepirkuma ietvaros tiek iepirkta par samazinātu cenu.</w:t>
            </w:r>
            <w:r w:rsidRPr="00706FBD">
              <w:rPr>
                <w:rFonts w:ascii="Times New Roman" w:eastAsia="Times New Roman" w:hAnsi="Times New Roman" w:cs="Times New Roman"/>
                <w:sz w:val="24"/>
                <w:szCs w:val="24"/>
                <w:lang w:eastAsia="lv-LV"/>
              </w:rPr>
              <w:br/>
              <w:t>Biomasas un biogāzes elektrostacija Noteikumu Nr.262  izpratnē ir koģenerācijas stacija analoģiski Noteikumos Nr.221 iekļautajai koģenerācijas elektrostacijas definīcijai un Enerģētikas likuma 9.</w:t>
            </w:r>
            <w:r w:rsidRPr="00706FBD">
              <w:rPr>
                <w:rFonts w:ascii="Times New Roman" w:eastAsia="Times New Roman" w:hAnsi="Times New Roman" w:cs="Times New Roman"/>
                <w:sz w:val="24"/>
                <w:szCs w:val="24"/>
                <w:vertAlign w:val="superscript"/>
                <w:lang w:eastAsia="lv-LV"/>
              </w:rPr>
              <w:t xml:space="preserve">1 </w:t>
            </w:r>
            <w:r w:rsidRPr="00706FBD">
              <w:rPr>
                <w:rFonts w:ascii="Times New Roman" w:eastAsia="Times New Roman" w:hAnsi="Times New Roman" w:cs="Times New Roman"/>
                <w:sz w:val="24"/>
                <w:szCs w:val="24"/>
                <w:lang w:eastAsia="lv-LV"/>
              </w:rPr>
              <w:t xml:space="preserve">panta nosacījumiem attiecībā uz koģenerācijas staciju. Koģenerācijas stacija sastāv no vienas vai vairākām koģenerācijas iekārtām, kuru darbības nodrošināšanai tiek izmantotas </w:t>
            </w:r>
            <w:proofErr w:type="spellStart"/>
            <w:r w:rsidRPr="00706FBD">
              <w:rPr>
                <w:rFonts w:ascii="Times New Roman" w:eastAsia="Times New Roman" w:hAnsi="Times New Roman" w:cs="Times New Roman"/>
                <w:sz w:val="24"/>
                <w:szCs w:val="24"/>
                <w:lang w:eastAsia="lv-LV"/>
              </w:rPr>
              <w:t>palīgiekārtas</w:t>
            </w:r>
            <w:proofErr w:type="spellEnd"/>
            <w:r w:rsidRPr="00706FBD">
              <w:rPr>
                <w:rFonts w:ascii="Times New Roman" w:eastAsia="Times New Roman" w:hAnsi="Times New Roman" w:cs="Times New Roman"/>
                <w:sz w:val="24"/>
                <w:szCs w:val="24"/>
                <w:lang w:eastAsia="lv-LV"/>
              </w:rPr>
              <w:t xml:space="preserve"> un ražošanā izmantojamo energoresursu padeves, </w:t>
            </w:r>
            <w:proofErr w:type="spellStart"/>
            <w:r w:rsidRPr="00706FBD">
              <w:rPr>
                <w:rFonts w:ascii="Times New Roman" w:eastAsia="Times New Roman" w:hAnsi="Times New Roman" w:cs="Times New Roman"/>
                <w:sz w:val="24"/>
                <w:szCs w:val="24"/>
                <w:lang w:eastAsia="lv-LV"/>
              </w:rPr>
              <w:t>dūmgāzu</w:t>
            </w:r>
            <w:proofErr w:type="spellEnd"/>
            <w:r w:rsidRPr="00706FBD">
              <w:rPr>
                <w:rFonts w:ascii="Times New Roman" w:eastAsia="Times New Roman" w:hAnsi="Times New Roman" w:cs="Times New Roman"/>
                <w:sz w:val="24"/>
                <w:szCs w:val="24"/>
                <w:lang w:eastAsia="lv-LV"/>
              </w:rPr>
              <w:t xml:space="preserve"> aizvadīšanas, saražotās elektroenerģijas un siltumenerģijas nodošanas </w:t>
            </w:r>
            <w:r w:rsidRPr="00706FBD">
              <w:rPr>
                <w:rFonts w:ascii="Times New Roman" w:eastAsia="Times New Roman" w:hAnsi="Times New Roman" w:cs="Times New Roman"/>
                <w:sz w:val="24"/>
                <w:szCs w:val="24"/>
                <w:lang w:eastAsia="lv-LV"/>
              </w:rPr>
              <w:lastRenderedPageBreak/>
              <w:t>infrastruktūra un cita infrastruktūra. Koģenerācijas stacijā neieskaita infrastruktūru, kas nepieciešama kurināmā sagatavošanai. Attiecīgi par efektīvi izlietotu siltumenerģiju var uzskatīt arī tādu, kas izmantota kurināmā sagatavošanas procesā.</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Lai nodrošinātu, ka elektroenerģijas apjoms, ko komersants var pārdot OI ietvaros būtu atbilstošs elektrostacijā faktiski uzstādītajai jaudai un nepārsniegtu MK noteikumu Nr.262 5.punktā noteikto jaudu izmantošanas laiku katram elektrostacijas veidam, tas reizi gadā pārskatāms. Gadījumā, ja lielums, kas iegūts komersantam noteikto kalendārā gada elektroenerģijas obligātā iepirkuma apjomu dalot ar kalendāra gada beigās līgumā ar publisko tirgotāju norādīto elektrostacijas elektrisko jaudu, attiecīgajam elektrostacijas veidam pārsniedz MK noteikumu Nr.262 5.punktā noteikto jaudu izmantošanas laiku, Ekonomikas ministrija līdz attiecīgā gada 1.aprīlim izdod lēmumu, ar kuru nosaka jaunu elektroenerģijas obligātā iepirkuma apjomu kalendārajā gadā. Šo apjomu iegūst, līgumā ar publisko tirgotāju norādīto elektrostacijas elektrisko jaudu reizinot ar MK noteikumu Nr.262 5.punktā noteikto jaudu izmantošanas laiku attiecīgajam elektrostacijas veidam. Lai nodrošinātu pēc iespējas paredzamākas nākotnes valsts atbalsta, ko sedz visi elektroenerģijas gala patērētāji, izmaksas, elektroenerģijas apjoms, ko komersants var pārdot OI ietvaros ir samazināms, bet nākotnē nav palielināms, ja palielinās uzstādītā elektriskā jauda. Jāņem vērā, ka pašreizējais regulējums nenosaka, ka maksimālais obligātā iepirkuma ietvaros pārdotais elektroenerģijas apjoms būtu samazināms atbilstoši elektrostacijā faktiski uzstādītajai jaudai, kā arī pašreizējais regulējums pieļauj sākotnēji uzstādīt mazāku elektrisko jaudu un pakāpeniski palielināt to. Tāpat obligātā iepirkuma apjoms attiecas uz kalendāro gadu. Komersanti, kas attiecīgajā gadā uzsākuši ražošanu, ir rēķinājušies ar attiecīgo obligātā iepirkuma apjomu. Tāpēc ir nosakāms, ka elektriskā jauda, kas noteikta līgumā ar publisko tirgotāju ir fiksējama uz kalendārā gada beigām un, ja uz komersantu attiecas samazināts obligātā iepirkuma apjoms, tas piemērojams nākamajā kalendārajā gadā.  </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Lai nodrošinātu precīzas informācijas norādīšanu elektrostaciju darbības gada </w:t>
            </w:r>
            <w:r w:rsidRPr="00706FBD">
              <w:rPr>
                <w:rFonts w:ascii="Times New Roman" w:eastAsia="Times New Roman" w:hAnsi="Times New Roman" w:cs="Times New Roman"/>
                <w:sz w:val="24"/>
                <w:szCs w:val="24"/>
                <w:lang w:eastAsia="lv-LV"/>
              </w:rPr>
              <w:lastRenderedPageBreak/>
              <w:t xml:space="preserve">pārskatos un sniegtu iespēju pārliecināties par ar Noteikumu projektu noteikto papildu prasību izpildi, paplašināts elektrostaciju loks, kuru gada pārskatus jāapliecina akreditētam auditoram (līdz ar papildu prasību par efektīvas siltumenerģijas izmantošanu un pašpatēriņa nodrošināšanu) un precizēta informācija, ko apliecina sadales sistēmas operators un neatkarīgs akreditēts auditors. </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Ar noteikumu projektu noteikts, ka akreditēts auditors papildus datu apliecinājumam par efektīvi izlietoto siltumenerģiju, apliecina arī datus par biomasas vai biogāzes elektrostacijā saražoto elektroenerģiju un siltumenerģiju, patērēto elektroenerģiju, patērēto kurināmo un izmantoto tehnoloģiju un kopējo uzstādīto elektrisko un siltuma jaudu, kā arī sagatavo ziņojumu, kurā iekļauj detalizētu informāciju par elektrostacijas gada pārskatā sniegtās informācijas atbilstību un pamatotību, kā arī veiktajām darbībām un pārbaudītajiem dokumentiem, lai par to pārliecinātos. Minētās prasības apliecināt datus un sagatavot ziņojumu ir noteiktas 2013.gada 14.jūnija vadlīnijās “Vadlīnijas Latvijas Nacionālajam akreditācijas birojam, veicot inspekcijas institūciju, kuras inspektori pārbaudīs pārdoto lietderīgo vai efektīvi izlietoto siltumenerģiju, akreditāciju saskaņā ar standartu LVS EN ISO/IEC 17020:2012 „Atbilstības novērtēšana. Prasības dažāda veida institūcijām, kas veic inspekciju””. Taču ar noteikumu projektu tiek paredzēts, ka arī gada pārskata veidlapā auditors veic atzīmi par atsevišķi norādīto datu atbilstību, kā arī izdara slēdzienu, vai visi norādītie dati ir atbilstoši faktiskajai situācijai un nav pamata to apšaubīšanai vai arī gada pārskatā ir konstatētas neatbilstības. Lai nodrošinātu vienkāršāku un operatīvāku informācijas apkopošanu par elektrostaciju darbību iepriekšējā gadā, Noteikumu projektā noteikts, ka gada pārskatu sadaļa ar datiem par elektrostacijā patērēto kurināmo un saražoto enerģiju Ekonomikas ministrijā jāiesniedz Ekonomikas ministrijas elektroniskajā sistēmā, kas paredzēta elektrostaciju gada pārskatu iesniegšanai. Savukārt pārskatus par 2017.gadu komersanti iesniedz saskaņā ar šo noteikumu redakciju, kas bija spēkā līdz 2017.gada 31.decembrim</w:t>
            </w:r>
            <w:r w:rsidRPr="00706FBD" w:rsidDel="007F2FD3">
              <w:rPr>
                <w:rFonts w:ascii="Times New Roman" w:eastAsia="Times New Roman" w:hAnsi="Times New Roman" w:cs="Times New Roman"/>
                <w:sz w:val="24"/>
                <w:szCs w:val="24"/>
                <w:lang w:eastAsia="lv-LV"/>
              </w:rPr>
              <w:t xml:space="preserve"> </w:t>
            </w:r>
            <w:r w:rsidRPr="00706FBD">
              <w:rPr>
                <w:rFonts w:ascii="Times New Roman" w:eastAsia="Times New Roman" w:hAnsi="Times New Roman" w:cs="Times New Roman"/>
                <w:sz w:val="24"/>
                <w:szCs w:val="24"/>
                <w:lang w:eastAsia="lv-LV"/>
              </w:rPr>
              <w:t xml:space="preserve">Lai Ekonomikas ministrija pēc iespējas labāk varētu pārliecināties par elektrostacijas atbilstību MK </w:t>
            </w:r>
            <w:r w:rsidRPr="00706FBD">
              <w:rPr>
                <w:rFonts w:ascii="Times New Roman" w:eastAsia="Times New Roman" w:hAnsi="Times New Roman" w:cs="Times New Roman"/>
                <w:sz w:val="24"/>
                <w:szCs w:val="24"/>
                <w:lang w:eastAsia="lv-LV"/>
              </w:rPr>
              <w:lastRenderedPageBreak/>
              <w:t xml:space="preserve">noteikumu Nr.262 prasībām, t.sk., siltumenerģijas efektīvu izmantošanu, saražotās elektroenerģijas, siltumenerģijas un patērētā kurināmā precīzu uzskaiti, kā arī, lai Ekonomikas ministrija būtu informēta par elektrostacijā veiktajām izmaiņām un to iemesliem, MK noteikumi Nr.262 papildināts ar katru gadu iesniedzamajam elektrostacijas darbības gada pārskatam pievienojamiem dokumentiem. Jāņem vērā, ka lielākā daļa no dokumentiem jau ir pieejami komersantam līdz šī noteikumu projekta spēkā stāšanās brīdim, bet to pievienošana gada pārskatam ļaus Ekonomikas ministrijai laicīgāk, jau pirms kontroles grupas pārbaudes, identificēt iespējamās elektrostacijas neatbilstības MK noteikumu Nr.262 prasībām. Savukārt vēl papildus iesniedzamie dokumenti saistīti ar pārskatā norādīto datu ieguves un pārskata gadā elektrostacijā veikto izmaiņu aprakstu, kā arī elektroenerģijas, siltumenerģijas un patērētā kurināmā uzskaites mēraparātu, kuriem ir jābūt uzstādītiem arī līdz šī noteikumu projekta spēkā stāšanās brīdim, uzskaitījumu un identifikāciju. Ņemot vērā, ka ar Noteikumu projektu veiktās izmaiņas gada pārskata formā un pievienojamajos dokumentos nav saistītas ar tādu prasību izpildi, kas ražotājam nebūtu zināmas pirms pārskata gada sākuma, jaunās gada pārskata formas un pievienojamo dokumentu iesniegšanas prasības ir attiecināmas līdz ar noteikumu projekta spēkā stāšanos. Pārejas periods līdz 2019.gada 1.jūlijam attiecas uz stacijām, kurām līdz šim nebija jāievēro efektīvas siltumenerģijas izmantošanas nosacījums. </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Lai nodrošinātu MK noteikumu Nr.262 un citos normatīvajos aktos ietverto tiesību normu, kas nosaka prasības elektrostaciju darbībai, ievērošanu, Noteikumu projektā paredzēts, ka komersants tiek brīdināts par pārkāpumiem saistībā ar komersanta vai elektrostaciju darbību, kā arī paredz īsākus termiņus pārkāpumu novēršanai. Ar Noteikumu projektu noteikts, ka brīdinājumi par obligātā iepirkuma tiesību atcelšanu izsakāmi par gada pārskatiem nepievienotiem pielikumiem, par elektroenerģijas pašpatēriņa nenodrošināšanu atbilstoši normatīvo aktu prasībām, par MK noteikumu Nr.262 prasībām neatbilstošas informācijas sniegšanu gada pārskatos, kā arī par </w:t>
            </w:r>
            <w:r w:rsidRPr="00706FBD">
              <w:rPr>
                <w:rFonts w:ascii="Times New Roman" w:eastAsia="Times New Roman" w:hAnsi="Times New Roman" w:cs="Times New Roman"/>
                <w:sz w:val="24"/>
                <w:szCs w:val="24"/>
                <w:lang w:eastAsia="lv-LV"/>
              </w:rPr>
              <w:lastRenderedPageBreak/>
              <w:t>kontroles grupas pārbaudēs konstatētajām neatbilstībām, tostarp par pārkāpumiem, kas uzskatāmi par būtiskiem. Šajā kontekstā par būtiskiem pārkāpumiem uzskatāmi tādi, kas tiešā vai netiešā veidā var ietekmēt komersantam izmaksātā atbalsta apjomu. Brīdinājums par obligātā iepirkuma cenas samazinājumu izsakāms, ja elektrostacijā netiek nodrošināta efektīva siltumenerģijas izmantošana.</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Ar noteikumu projektu būtiski tiek samazināti termiņi konstatēto neatbilstību novēršanai, piemēram, konstatējot nodokļu vai nodevu parādu esamību, šo parādu nomaksa ir jāveic 3 mēneša laikā.</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Lai konstatētu faktisko situāciju par komersantu, kas saņem valsts atbalstu OI mehānisma ietvaros, nodokļu, nodevu vai citu obligāto maksājumu valsts budžetā nomaksu, ar noteikumu projekts precizēts 60.</w:t>
            </w:r>
            <w:r w:rsidRPr="00706FBD">
              <w:rPr>
                <w:rFonts w:ascii="Times New Roman" w:eastAsia="Times New Roman" w:hAnsi="Times New Roman" w:cs="Times New Roman"/>
                <w:sz w:val="24"/>
                <w:szCs w:val="24"/>
                <w:vertAlign w:val="superscript"/>
                <w:lang w:eastAsia="lv-LV"/>
              </w:rPr>
              <w:t>2</w:t>
            </w:r>
            <w:r w:rsidRPr="00706FBD">
              <w:rPr>
                <w:rFonts w:ascii="Times New Roman" w:eastAsia="Times New Roman" w:hAnsi="Times New Roman" w:cs="Times New Roman"/>
                <w:sz w:val="24"/>
                <w:szCs w:val="24"/>
                <w:lang w:eastAsia="lv-LV"/>
              </w:rPr>
              <w:t xml:space="preserve"> punktu, nosakot, ka Ekonomikas ministrija reizi pusgadā pārliecinās par nodokļu nomaksu un izsaka brīdinājumu, ja parāds ir lielāks par 150 </w:t>
            </w:r>
            <w:proofErr w:type="spellStart"/>
            <w:r w:rsidRPr="00706FBD">
              <w:rPr>
                <w:rFonts w:ascii="Times New Roman" w:eastAsia="Times New Roman" w:hAnsi="Times New Roman" w:cs="Times New Roman"/>
                <w:i/>
                <w:sz w:val="24"/>
                <w:szCs w:val="24"/>
                <w:lang w:eastAsia="lv-LV"/>
              </w:rPr>
              <w:t>euro</w:t>
            </w:r>
            <w:proofErr w:type="spellEnd"/>
            <w:r w:rsidRPr="00706FBD">
              <w:rPr>
                <w:rFonts w:ascii="Times New Roman" w:eastAsia="Times New Roman" w:hAnsi="Times New Roman" w:cs="Times New Roman"/>
                <w:sz w:val="24"/>
                <w:szCs w:val="24"/>
                <w:lang w:eastAsia="lv-LV"/>
              </w:rPr>
              <w:t>, attiecīgi ar noteikumu projektu paredzēts svītrot MK Noteikumu Nr.262 60.</w:t>
            </w:r>
            <w:r w:rsidRPr="00706FBD">
              <w:rPr>
                <w:rFonts w:ascii="Times New Roman" w:eastAsia="Times New Roman" w:hAnsi="Times New Roman" w:cs="Times New Roman"/>
                <w:sz w:val="24"/>
                <w:szCs w:val="24"/>
                <w:vertAlign w:val="superscript"/>
                <w:lang w:eastAsia="lv-LV"/>
              </w:rPr>
              <w:t xml:space="preserve">2 </w:t>
            </w:r>
            <w:r w:rsidRPr="00706FBD">
              <w:rPr>
                <w:rFonts w:ascii="Times New Roman" w:eastAsia="Times New Roman" w:hAnsi="Times New Roman" w:cs="Times New Roman"/>
                <w:sz w:val="24"/>
                <w:szCs w:val="24"/>
                <w:lang w:eastAsia="lv-LV"/>
              </w:rPr>
              <w:t>2.apakšpunktu, kas noteica nodokļu nomaksas pārbaudi par iepriekšējo gada pārskata periodu. Lai Ekonomikas ministrija varētu izteikt brīdinājumu par faktisko situāciju par būvniecības un ēku ekspluatācijas normu neievērošanu svītrots 60.</w:t>
            </w:r>
            <w:r w:rsidRPr="00706FBD">
              <w:rPr>
                <w:rFonts w:ascii="Times New Roman" w:eastAsia="Times New Roman" w:hAnsi="Times New Roman" w:cs="Times New Roman"/>
                <w:sz w:val="24"/>
                <w:szCs w:val="24"/>
                <w:vertAlign w:val="superscript"/>
                <w:lang w:eastAsia="lv-LV"/>
              </w:rPr>
              <w:t xml:space="preserve">2 </w:t>
            </w:r>
            <w:r w:rsidRPr="00706FBD">
              <w:rPr>
                <w:rFonts w:ascii="Times New Roman" w:eastAsia="Times New Roman" w:hAnsi="Times New Roman" w:cs="Times New Roman"/>
                <w:sz w:val="24"/>
                <w:szCs w:val="24"/>
                <w:lang w:eastAsia="lv-LV"/>
              </w:rPr>
              <w:t>1.apakšpunkts un noteikumu projekts papildināts ar 60.</w:t>
            </w:r>
            <w:r w:rsidRPr="00706FBD">
              <w:rPr>
                <w:rFonts w:ascii="Times New Roman" w:eastAsia="Times New Roman" w:hAnsi="Times New Roman" w:cs="Times New Roman"/>
                <w:sz w:val="24"/>
                <w:szCs w:val="24"/>
                <w:vertAlign w:val="superscript"/>
                <w:lang w:eastAsia="lv-LV"/>
              </w:rPr>
              <w:t>9</w:t>
            </w:r>
            <w:r w:rsidRPr="00706FBD">
              <w:rPr>
                <w:rFonts w:ascii="Times New Roman" w:eastAsia="Times New Roman" w:hAnsi="Times New Roman" w:cs="Times New Roman"/>
                <w:sz w:val="24"/>
                <w:szCs w:val="24"/>
                <w:lang w:eastAsia="lv-LV"/>
              </w:rPr>
              <w:t xml:space="preserve"> punktu.</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Lai padarītu efektīvāku kontroles mehānismu, precizēti nosacījumi attiecībā uz kontroles grupu, ko izveido Ekonomikas ministrija elektrostaciju kontrolei, saīsināti termiņi, kādos komersants tiek brīdināts par plānoto pārbaudi, noteikti komersanta pienākumi, sadarboties ar Ekonomikas ministriju un kontroles grupu, un noteikts, ka kontroles grupa var veikt elektrostaciju pārbaudi bez iepriekšēja brīdinājuma. Tāpat, lai novērstu negodprātīgu komersantu izvairīšanos no elektrostaciju kontroles, nosakāms, ka, ja kontroles grupai divas reizes pēc kārtas nav nodrošināta iespēja veikt elektrostacijas pārbaudi, Ekonomikas ministrija atceļ lēmumu, ar kuru piešķirtas tiesības pārdot elektroenerģiju OI ietvaros.</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Lai novērstu ilgstošu atkārtotu MK noteikumu Nr.262 prasību neievērošanu, noteikts, ka 5 gadu periodā komersantam var tikt izteikti trīs brīdinājumi. Ja komersants turpina MK </w:t>
            </w:r>
            <w:r w:rsidRPr="00706FBD">
              <w:rPr>
                <w:rFonts w:ascii="Times New Roman" w:eastAsia="Times New Roman" w:hAnsi="Times New Roman" w:cs="Times New Roman"/>
                <w:sz w:val="24"/>
                <w:szCs w:val="24"/>
                <w:lang w:eastAsia="lv-LV"/>
              </w:rPr>
              <w:lastRenderedPageBreak/>
              <w:t>noteikumos Nr.262 noteikto prasību neievērošanu (izņemot gada pārskatu novēlotu iesniegšanu un nodokļu parādu esamību), komersantam ir atņemamas tiesības pārdot elektroenerģiju OI ietvaros vai saņemt garantētu maksu par elektrostacijā uzstādīto jaudu.</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Lai novērstu iespējamu valsts atbalsta neefektīvu izlietojumu, nosakāms, ka par būtiskiem pārkāpumiem lēmums par tiesībām pārdot elektroenerģiju OI ietvaros ir atceļamas bez brīdinājuma. Šādi pārkāpumi ir neatbilstoša izmantotā tehnoloģijas veida vai kurināmā izmantošana.</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Ja komersants nekavējoties pēc brīdinājuma saņemšanas nevar novērst attiecīgo pārkāpumu un nodrošināt elektrostacijas darbības atbilstību normatīvo aktu prasībām termiņā, par kuru komersantam jāiesniedz pārskats Ekonomikas ministrijā, un attiecīgi novērst valsts atbalsta izmaksu elektrostacijām, kuras neatbilst normatīvo aktu prasībām, noteikumu projekts paredz, ka komersants pēc brīdinājuma saņemšanas var informēt Ekonomikas ministriju un publisko tirgotāju par elektrostacijas neatbilstību normatīvo aktu prasībām. Attiecīgi periodā līdz komersants informē par elektrostacijas atbilstības atjaunošanu tiek apturēta valsts atbalsta OI ietvaros izmaksa komersantam. </w:t>
            </w:r>
          </w:p>
          <w:p w:rsidR="002A3AFF" w:rsidRPr="00706FBD" w:rsidRDefault="002A3AFF" w:rsidP="002A3AFF">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t xml:space="preserve">Ņemot vērā nepieciešamību veikt visu elektrostaciju pārbaudi, lai pārliecinātos par to atbilstību MK noteikumos Nr.262 iekļautajām prasībām, ar noteikumu projektu šāds uzdevums tiek dots publiskajam tirgotājam, piesaistot neatkarīgus ekspertus. Pēc veiktajiem </w:t>
            </w:r>
            <w:proofErr w:type="spellStart"/>
            <w:r w:rsidRPr="00706FBD">
              <w:rPr>
                <w:rFonts w:ascii="Times New Roman" w:eastAsia="Times New Roman" w:hAnsi="Times New Roman" w:cs="Times New Roman"/>
                <w:sz w:val="24"/>
                <w:szCs w:val="24"/>
                <w:lang w:eastAsia="lv-LV"/>
              </w:rPr>
              <w:t>apsekojumiem</w:t>
            </w:r>
            <w:proofErr w:type="spellEnd"/>
            <w:r w:rsidRPr="00706FBD">
              <w:rPr>
                <w:rFonts w:ascii="Times New Roman" w:eastAsia="Times New Roman" w:hAnsi="Times New Roman" w:cs="Times New Roman"/>
                <w:sz w:val="24"/>
                <w:szCs w:val="24"/>
                <w:lang w:eastAsia="lv-LV"/>
              </w:rPr>
              <w:t xml:space="preserve"> un pārbaudēm publiskajam tirgotājam reizi pusgadā Ekonomikas ministrijā ir jāiesniedz detalizēts ziņojums par šo pārbaužu laikā konstatēto. Savukārt šo pārbaužu rezultātā radušās izmaksas ir iekļaujamas obligātā iepirkuma un jaudas komponenšu aprēķinā. Publiskā tirgotāja veicamās pārbaudes ir vienreizējs pasākums un tās nedublējas ar pārbaudēm, ko var realizēt ministrijas kontroles grupa, kas pārbaudes var veikt pēc nepieciešamības un atkārtoti visā atbalsta periodā, tostarp, pamatojoties uz publiskā tirgotāja veikto pārbaužu rezultātiem.</w:t>
            </w:r>
          </w:p>
          <w:p w:rsidR="002A3AFF" w:rsidRPr="00706FBD" w:rsidRDefault="002A3AFF" w:rsidP="002A3AFF">
            <w:pPr>
              <w:spacing w:after="0" w:line="240" w:lineRule="auto"/>
              <w:ind w:left="142" w:right="115"/>
              <w:jc w:val="both"/>
              <w:rPr>
                <w:rFonts w:ascii="Times New Roman" w:eastAsia="Times New Roman" w:hAnsi="Times New Roman" w:cs="Times New Roman"/>
                <w:sz w:val="24"/>
                <w:szCs w:val="24"/>
                <w:lang w:eastAsia="lv-LV"/>
              </w:rPr>
            </w:pPr>
          </w:p>
          <w:p w:rsidR="002A3AFF" w:rsidRPr="00706FBD" w:rsidRDefault="002A3AFF" w:rsidP="002A3AFF">
            <w:pPr>
              <w:spacing w:line="240" w:lineRule="auto"/>
              <w:ind w:firstLine="539"/>
              <w:jc w:val="both"/>
              <w:rPr>
                <w:rFonts w:ascii="Times New Roman" w:hAnsi="Times New Roman" w:cs="Times New Roman"/>
                <w:sz w:val="24"/>
                <w:szCs w:val="24"/>
              </w:rPr>
            </w:pPr>
            <w:r w:rsidRPr="00706FBD">
              <w:rPr>
                <w:rFonts w:ascii="Times New Roman" w:eastAsia="Times New Roman" w:hAnsi="Times New Roman" w:cs="Times New Roman"/>
                <w:sz w:val="24"/>
                <w:szCs w:val="24"/>
                <w:lang w:eastAsia="lv-LV"/>
              </w:rPr>
              <w:t xml:space="preserve">Tāpat ar noteikumu projektu tiek tehniski precizēta MK noteikumu Nr.262 10.pielikuma 2.tabula </w:t>
            </w:r>
            <w:r w:rsidRPr="00706FBD">
              <w:rPr>
                <w:rFonts w:ascii="Times New Roman" w:eastAsia="Times New Roman" w:hAnsi="Times New Roman" w:cs="Times New Roman"/>
                <w:sz w:val="24"/>
                <w:szCs w:val="24"/>
                <w:lang w:eastAsia="lv-LV"/>
              </w:rPr>
              <w:lastRenderedPageBreak/>
              <w:t>“Elektrostacijas personāla izmaksu par pilnu darba slodzi līmeņatzīmes”. Attiecīgā tabula MK noteikumos Nr.262 ir iekļauta ar Ministru kabineta 2016.gada 5.jūlija noteikumiem Nr.444 “Grozījumi Ministru kabineta 2010. gada 16. marta noteikumos Nr. 262 "Noteikumi par elektroenerģijas ražošanu, izmantojot atjaunojamos energoresursus, un cenu noteikšanas kārtību”” (turpmāk – MK noteikumi Nr.444), kuri stājās spēkā 2017.gada 1.maijā.</w:t>
            </w:r>
            <w:r w:rsidRPr="00706FBD">
              <w:rPr>
                <w:rFonts w:ascii="Times New Roman" w:hAnsi="Times New Roman" w:cs="Times New Roman"/>
                <w:sz w:val="24"/>
                <w:szCs w:val="24"/>
              </w:rPr>
              <w:t xml:space="preserve"> MK noteikumu Nr.444 sākotnējās ietekmes novērtējuma ziņojuma (anotācijas) I sadaļas 2.punktā ir norādīts, ka kopējās kapitālieguldījumu iekšējās peļņas normas un cenas diferencēšanas koeficienta pārkompensācijas novēršanai aprēķina metodika un </w:t>
            </w:r>
            <w:proofErr w:type="spellStart"/>
            <w:r w:rsidRPr="00706FBD">
              <w:rPr>
                <w:rFonts w:ascii="Times New Roman" w:hAnsi="Times New Roman" w:cs="Times New Roman"/>
                <w:sz w:val="24"/>
                <w:szCs w:val="24"/>
              </w:rPr>
              <w:t>līmeņatzīmju</w:t>
            </w:r>
            <w:proofErr w:type="spellEnd"/>
            <w:r w:rsidRPr="00706FBD">
              <w:rPr>
                <w:rFonts w:ascii="Times New Roman" w:hAnsi="Times New Roman" w:cs="Times New Roman"/>
                <w:sz w:val="24"/>
                <w:szCs w:val="24"/>
              </w:rPr>
              <w:t xml:space="preserve"> vērtības noteiktas Ekonomikas ministrijas veiktajā iepirkumā „Priekšlikumu izstrāde metodiskajām vadlīnijām iekšējās peļņas normas aprēķināšanai pārkompensācijas novēršanai komersantiem, kas ir saņēmuši tiesības pārdot elektroenerģiju obligātā iepirkuma vai garantētās maksas ietvaros”, kuru uz līguma pamata izpildīja sabiedrība ar ierobežotu atbildību “Prudentia </w:t>
            </w:r>
            <w:proofErr w:type="spellStart"/>
            <w:r w:rsidRPr="00706FBD">
              <w:rPr>
                <w:rFonts w:ascii="Times New Roman" w:hAnsi="Times New Roman" w:cs="Times New Roman"/>
                <w:sz w:val="24"/>
                <w:szCs w:val="24"/>
              </w:rPr>
              <w:t>Energy</w:t>
            </w:r>
            <w:proofErr w:type="spellEnd"/>
            <w:r w:rsidRPr="00706FBD">
              <w:rPr>
                <w:rFonts w:ascii="Times New Roman" w:hAnsi="Times New Roman" w:cs="Times New Roman"/>
                <w:sz w:val="24"/>
                <w:szCs w:val="24"/>
              </w:rPr>
              <w:t xml:space="preserve"> </w:t>
            </w:r>
            <w:proofErr w:type="spellStart"/>
            <w:r w:rsidRPr="00706FBD">
              <w:rPr>
                <w:rFonts w:ascii="Times New Roman" w:hAnsi="Times New Roman" w:cs="Times New Roman"/>
                <w:sz w:val="24"/>
                <w:szCs w:val="24"/>
              </w:rPr>
              <w:t>Markets</w:t>
            </w:r>
            <w:proofErr w:type="spellEnd"/>
            <w:r w:rsidRPr="00706FBD">
              <w:rPr>
                <w:rFonts w:ascii="Times New Roman" w:hAnsi="Times New Roman" w:cs="Times New Roman"/>
                <w:sz w:val="24"/>
                <w:szCs w:val="24"/>
              </w:rPr>
              <w:t>” un kurš būs pieejams Ekonomikas ministrijas tīmekļa vietnē. Iepriekš minētā iepirkuma gala nodevums ir publicēts Ekonomikas ministrijas tīmekļa vietnē</w:t>
            </w:r>
            <w:r w:rsidRPr="00706FBD">
              <w:rPr>
                <w:rStyle w:val="FootnoteReference"/>
                <w:rFonts w:ascii="Times New Roman" w:hAnsi="Times New Roman" w:cs="Times New Roman"/>
                <w:sz w:val="24"/>
                <w:szCs w:val="24"/>
              </w:rPr>
              <w:footnoteReference w:id="9"/>
            </w:r>
            <w:r w:rsidRPr="00706FBD">
              <w:rPr>
                <w:rFonts w:ascii="Times New Roman" w:hAnsi="Times New Roman" w:cs="Times New Roman"/>
                <w:sz w:val="24"/>
                <w:szCs w:val="24"/>
              </w:rPr>
              <w:t xml:space="preserve">. Minētā iepirkuma, kas publicēts arī Ekonomikas ministrijas tīmekļa vietnē, 1.pielikumā ir noteiktas visām elektrostacijām piemērojamās līmeņatzīmes, tai skaitā ir iekļauta 1.tabula, kurā norādītas elektrostacijas personāla izmaksu līmeņatzīmes vienai slodzei sadalījumā pa gadiem, katram gadam laika posmā no 2007.gada līdz 2040.gadam. Salīdzinot MK noteikumu Nr.262 10.pielikuma 2.tabulā pa gadiem norādītās elektrostacijas personāla izmaksu </w:t>
            </w:r>
            <w:proofErr w:type="spellStart"/>
            <w:r w:rsidRPr="00706FBD">
              <w:rPr>
                <w:rFonts w:ascii="Times New Roman" w:hAnsi="Times New Roman" w:cs="Times New Roman"/>
                <w:sz w:val="24"/>
                <w:szCs w:val="24"/>
              </w:rPr>
              <w:t>līmeņatzīmju</w:t>
            </w:r>
            <w:proofErr w:type="spellEnd"/>
            <w:r w:rsidRPr="00706FBD">
              <w:rPr>
                <w:rFonts w:ascii="Times New Roman" w:hAnsi="Times New Roman" w:cs="Times New Roman"/>
                <w:sz w:val="24"/>
                <w:szCs w:val="24"/>
              </w:rPr>
              <w:t xml:space="preserve"> vienai slodzei vērtības ar pētījumā norādītajām, konstatējams, ka sadalījumā pa gadiem tās ir vienādas, taču ar MK noteikumiem Nr.444 ir pieļauta tehniska kļūda un nav ievietotas vērtības 2029. un 2030.gadam - attiecīgi 1719 un 1750. Labojot šo kļūdu, nemainās normatīvā akta regulējums pēc būtības. MK noteikumu Nr.262 10.pielikuma 2.tabulā gan gadi, gan attiecīgās līmeņatzīmes ir secīgi norādītas. Līdz ar to attiecīgo gadu un </w:t>
            </w:r>
            <w:proofErr w:type="spellStart"/>
            <w:r w:rsidRPr="00706FBD">
              <w:rPr>
                <w:rFonts w:ascii="Times New Roman" w:hAnsi="Times New Roman" w:cs="Times New Roman"/>
                <w:sz w:val="24"/>
                <w:szCs w:val="24"/>
              </w:rPr>
              <w:t>līmeņatzīmju</w:t>
            </w:r>
            <w:proofErr w:type="spellEnd"/>
            <w:r w:rsidRPr="00706FBD">
              <w:rPr>
                <w:rFonts w:ascii="Times New Roman" w:hAnsi="Times New Roman" w:cs="Times New Roman"/>
                <w:sz w:val="24"/>
                <w:szCs w:val="24"/>
              </w:rPr>
              <w:t xml:space="preserve"> iztrūkums ir acīmredzams. Tāpat jāņem vērā, ka MK noteikumu Nr.262 10.pielikuma 2.tabula ir pilnībā pārņemta no sabiedrības ar ierobežotu atbildību “Prudentia </w:t>
            </w:r>
            <w:proofErr w:type="spellStart"/>
            <w:r w:rsidRPr="00706FBD">
              <w:rPr>
                <w:rFonts w:ascii="Times New Roman" w:hAnsi="Times New Roman" w:cs="Times New Roman"/>
                <w:sz w:val="24"/>
                <w:szCs w:val="24"/>
              </w:rPr>
              <w:t>Energy</w:t>
            </w:r>
            <w:proofErr w:type="spellEnd"/>
            <w:r w:rsidRPr="00706FBD">
              <w:rPr>
                <w:rFonts w:ascii="Times New Roman" w:hAnsi="Times New Roman" w:cs="Times New Roman"/>
                <w:sz w:val="24"/>
                <w:szCs w:val="24"/>
              </w:rPr>
              <w:t xml:space="preserve"> </w:t>
            </w:r>
            <w:proofErr w:type="spellStart"/>
            <w:r w:rsidRPr="00706FBD">
              <w:rPr>
                <w:rFonts w:ascii="Times New Roman" w:hAnsi="Times New Roman" w:cs="Times New Roman"/>
                <w:sz w:val="24"/>
                <w:szCs w:val="24"/>
              </w:rPr>
              <w:t>Markets</w:t>
            </w:r>
            <w:proofErr w:type="spellEnd"/>
            <w:r w:rsidRPr="00706FBD">
              <w:rPr>
                <w:rFonts w:ascii="Times New Roman" w:hAnsi="Times New Roman" w:cs="Times New Roman"/>
                <w:sz w:val="24"/>
                <w:szCs w:val="24"/>
              </w:rPr>
              <w:t>” veiktā pētījuma.</w:t>
            </w:r>
          </w:p>
          <w:p w:rsidR="002A3AFF" w:rsidRPr="00706FBD" w:rsidRDefault="002A3AFF" w:rsidP="002A3AFF">
            <w:pPr>
              <w:spacing w:line="240" w:lineRule="auto"/>
              <w:ind w:firstLine="539"/>
              <w:jc w:val="both"/>
              <w:rPr>
                <w:rFonts w:ascii="Times New Roman" w:hAnsi="Times New Roman" w:cs="Times New Roman"/>
                <w:sz w:val="24"/>
                <w:szCs w:val="24"/>
              </w:rPr>
            </w:pPr>
          </w:p>
          <w:p w:rsidR="002A3AFF" w:rsidRPr="00706FBD" w:rsidRDefault="002A3AFF" w:rsidP="002A3AFF">
            <w:pPr>
              <w:spacing w:line="240" w:lineRule="auto"/>
              <w:jc w:val="both"/>
              <w:rPr>
                <w:rFonts w:ascii="Times New Roman" w:eastAsia="Times New Roman" w:hAnsi="Times New Roman" w:cs="Times New Roman"/>
                <w:sz w:val="24"/>
                <w:szCs w:val="24"/>
                <w:lang w:eastAsia="lv-LV"/>
              </w:rPr>
            </w:pPr>
            <w:r w:rsidRPr="00706FBD">
              <w:rPr>
                <w:rFonts w:ascii="Times New Roman" w:eastAsia="Times New Roman" w:hAnsi="Times New Roman" w:cs="Times New Roman"/>
                <w:sz w:val="24"/>
                <w:szCs w:val="24"/>
                <w:lang w:eastAsia="lv-LV"/>
              </w:rPr>
              <w:lastRenderedPageBreak/>
              <w:t xml:space="preserve">Noteikumi Nr.262 ir valsts atbalsta programma, kas apstiprināta ar EK lēmumu. Priekšnosacījums, lai EK saskaņotu valsts sniegto atbalstu elektroenerģijas ražotājiem, bija pārkompensācijas mehānisma ieviešana. Tā pat EK lēmums par valsts atbalsta saskaņošanu nesatur jautājumus, kas saistīti ar elektrostaciju kontroli un nosacījumiem elektrostaciju darbībai, kas iekļauti jau pašreizējā regulējumā. Ņemot vērā minēto un to, ka noteikumu projekta ietvertie nosacījumi vērsti uz pastiprinātu elektrostaciju kontroli un papildu darbības nosacījumu noteikšanu elektrostacijām, kā arī neparedz palielināt valsts atbalsta apmēru, noteikumu projektam nav ietekmes uz EK lēmumu par valsts atbalstu elektroenerģijas ražotājiem.  </w:t>
            </w:r>
          </w:p>
        </w:tc>
      </w:tr>
      <w:tr w:rsidR="00036CE7" w:rsidRPr="00706FBD" w:rsidTr="002A3A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sz w:val="24"/>
                <w:szCs w:val="24"/>
                <w:lang w:eastAsia="lv-LV"/>
              </w:rPr>
              <w:t>Projekts šo jomu neskar.</w:t>
            </w:r>
          </w:p>
        </w:tc>
      </w:tr>
      <w:tr w:rsidR="00036CE7" w:rsidRPr="00706FBD" w:rsidTr="002A3A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bl>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36CE7" w:rsidRPr="00706FB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6FBD" w:rsidRDefault="00E5323B" w:rsidP="00E5323B">
            <w:pPr>
              <w:spacing w:after="0" w:line="240" w:lineRule="auto"/>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36CE7" w:rsidRPr="00706FB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Sabiedrības </w:t>
            </w:r>
            <w:proofErr w:type="spellStart"/>
            <w:r w:rsidRPr="00706FBD">
              <w:rPr>
                <w:rFonts w:ascii="Times New Roman" w:eastAsia="Times New Roman" w:hAnsi="Times New Roman" w:cs="Times New Roman"/>
                <w:iCs/>
                <w:sz w:val="24"/>
                <w:szCs w:val="24"/>
                <w:lang w:eastAsia="lv-LV"/>
              </w:rPr>
              <w:t>mērķgrupas</w:t>
            </w:r>
            <w:proofErr w:type="spellEnd"/>
            <w:r w:rsidRPr="00706FBD">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jc w:val="both"/>
              <w:rPr>
                <w:rFonts w:ascii="Times New Roman" w:hAnsi="Times New Roman" w:cs="Times New Roman"/>
                <w:sz w:val="24"/>
              </w:rPr>
            </w:pPr>
            <w:r w:rsidRPr="00706FBD">
              <w:rPr>
                <w:rFonts w:ascii="Times New Roman" w:hAnsi="Times New Roman"/>
                <w:sz w:val="24"/>
              </w:rPr>
              <w:t xml:space="preserve">Komersanti, kas ieguvuši tiesības pārdot no atjaunojamiem energoresursu saražoto elektroenerģiju obligātā iepirkuma ietvaros </w:t>
            </w:r>
            <w:r w:rsidRPr="00706FBD">
              <w:rPr>
                <w:rFonts w:ascii="Times New Roman" w:hAnsi="Times New Roman" w:cs="Times New Roman"/>
                <w:sz w:val="24"/>
              </w:rPr>
              <w:t>vai saņemt garantēto maksu par elektrostacijā uzstādīto elektrisko jaudu.</w:t>
            </w:r>
          </w:p>
          <w:p w:rsidR="002A3AFF" w:rsidRPr="00706FBD" w:rsidRDefault="002A3AFF" w:rsidP="002A3AFF">
            <w:pPr>
              <w:spacing w:after="0" w:line="240" w:lineRule="auto"/>
              <w:jc w:val="both"/>
              <w:rPr>
                <w:rFonts w:ascii="Times New Roman" w:hAnsi="Times New Roman" w:cs="Times New Roman"/>
                <w:sz w:val="24"/>
              </w:rPr>
            </w:pPr>
          </w:p>
          <w:p w:rsidR="002A3AFF" w:rsidRPr="00706FBD" w:rsidRDefault="002A3AFF" w:rsidP="002A3AFF">
            <w:pPr>
              <w:spacing w:after="0" w:line="240" w:lineRule="auto"/>
              <w:jc w:val="both"/>
              <w:rPr>
                <w:rFonts w:ascii="Times New Roman" w:hAnsi="Times New Roman" w:cs="Times New Roman"/>
                <w:sz w:val="24"/>
              </w:rPr>
            </w:pPr>
            <w:r w:rsidRPr="00706FBD">
              <w:rPr>
                <w:rFonts w:ascii="Times New Roman" w:hAnsi="Times New Roman" w:cs="Times New Roman"/>
                <w:sz w:val="24"/>
              </w:rPr>
              <w:t>Neatkarīgi akreditēti auditori, kas apstiprina komersantu iesniegtos elektrostaciju gada pārskatus.</w:t>
            </w:r>
          </w:p>
          <w:p w:rsidR="002A3AFF" w:rsidRPr="00706FBD" w:rsidRDefault="002A3AFF" w:rsidP="002A3AFF">
            <w:pPr>
              <w:spacing w:after="0" w:line="240" w:lineRule="auto"/>
              <w:jc w:val="both"/>
              <w:rPr>
                <w:rFonts w:ascii="Times New Roman" w:hAnsi="Times New Roman" w:cs="Times New Roman"/>
                <w:sz w:val="24"/>
              </w:rPr>
            </w:pPr>
          </w:p>
          <w:p w:rsidR="00E5323B"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hAnsi="Times New Roman" w:cs="Times New Roman"/>
                <w:sz w:val="24"/>
              </w:rPr>
              <w:t>Elektroenerģijas tirgus likuma 33.pantā noteiktais publiskais tirgotājs.</w:t>
            </w:r>
          </w:p>
        </w:tc>
      </w:tr>
      <w:tr w:rsidR="00036CE7" w:rsidRPr="00706FB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706FBD" w:rsidRDefault="002A3AFF" w:rsidP="002A3AFF">
            <w:pPr>
              <w:spacing w:after="0" w:line="240" w:lineRule="auto"/>
              <w:jc w:val="both"/>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sz w:val="24"/>
                <w:szCs w:val="24"/>
                <w:lang w:eastAsia="lv-LV"/>
              </w:rPr>
              <w:t>Noteikumu projekts paredz palielināt kopā ar elektrostacijas gada pārskatu iesniedzamo dokumentu skaitu, taču tas nerada būtisku administratīvo slogu, jo lielākā daļa no dokumentiem jau ir pieejami komersantam līdz šī noteikumu projekta spēkā stāšanās brīdim, bet to pievienošana gada pārskatam ļaus Ekonomikas ministrijai  identificēt iespējamās elektrostacijas neatbilstības MK noteikumu Nr.262 prasībām. Savukārt vēl papildus iesniedzamie dokumenti saistīti ar pārskatā norādīto datu ieguves un pārskata gadā elektrostacijā veikto izmaiņu aprakstu, kā arī elektroenerģijas, siltumenerģijas un patērētā kurināmā uzskaites mēraparātu, kuriem ir jābūt uzstādītiem arī līdz šī noteikumu projekta spēkā stāšanās brīdim, uzskaitījumu un identifikāciju.</w:t>
            </w:r>
          </w:p>
        </w:tc>
      </w:tr>
      <w:tr w:rsidR="00036CE7" w:rsidRPr="00706FB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06FBD" w:rsidRDefault="002A3AFF"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sz w:val="24"/>
                <w:szCs w:val="24"/>
                <w:lang w:eastAsia="lv-LV"/>
              </w:rPr>
              <w:t xml:space="preserve">Nav attiecināms, jo ar noteikumu projektu radītās administratīvās izmaksas (naudas izteiksmē) gada laikā nepārsniedz 2000 </w:t>
            </w:r>
            <w:proofErr w:type="spellStart"/>
            <w:r w:rsidRPr="00706FBD">
              <w:rPr>
                <w:rFonts w:ascii="Times New Roman" w:eastAsia="Times New Roman" w:hAnsi="Times New Roman" w:cs="Times New Roman"/>
                <w:sz w:val="24"/>
                <w:szCs w:val="24"/>
                <w:lang w:eastAsia="lv-LV"/>
              </w:rPr>
              <w:t>euro</w:t>
            </w:r>
            <w:proofErr w:type="spellEnd"/>
            <w:r w:rsidRPr="00706FBD">
              <w:rPr>
                <w:rFonts w:ascii="Times New Roman" w:eastAsia="Times New Roman" w:hAnsi="Times New Roman" w:cs="Times New Roman"/>
                <w:sz w:val="24"/>
                <w:szCs w:val="24"/>
                <w:lang w:eastAsia="lv-LV"/>
              </w:rPr>
              <w:t>.</w:t>
            </w:r>
          </w:p>
        </w:tc>
      </w:tr>
      <w:tr w:rsidR="00036CE7" w:rsidRPr="00706FB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06FBD" w:rsidRDefault="002A3AFF"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sz w:val="24"/>
                <w:szCs w:val="24"/>
                <w:lang w:eastAsia="lv-LV"/>
              </w:rPr>
              <w:t>Nav</w:t>
            </w:r>
          </w:p>
        </w:tc>
      </w:tr>
      <w:tr w:rsidR="00036CE7" w:rsidRPr="00706FB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06FBD" w:rsidRDefault="002A3AFF"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bl>
    <w:p w:rsidR="002A3AFF"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36CE7" w:rsidRPr="00706FBD" w:rsidTr="002265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RDefault="002A3AFF" w:rsidP="0022656D">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III. Tiesību akta projekta ietekme uz valsts budžetu un pašvaldību budžetiem</w:t>
            </w:r>
          </w:p>
        </w:tc>
      </w:tr>
      <w:tr w:rsidR="00036CE7" w:rsidRPr="00706FBD" w:rsidTr="002265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RDefault="002A3AFF" w:rsidP="0022656D">
            <w:pPr>
              <w:spacing w:after="0" w:line="240" w:lineRule="auto"/>
              <w:jc w:val="center"/>
              <w:rPr>
                <w:rFonts w:ascii="Times New Roman" w:eastAsia="Times New Roman" w:hAnsi="Times New Roman" w:cs="Times New Roman"/>
                <w:bCs/>
                <w:iCs/>
                <w:sz w:val="24"/>
                <w:szCs w:val="24"/>
                <w:lang w:eastAsia="lv-LV"/>
              </w:rPr>
            </w:pPr>
            <w:r w:rsidRPr="00706FBD">
              <w:rPr>
                <w:rFonts w:ascii="Times New Roman" w:eastAsia="Times New Roman" w:hAnsi="Times New Roman" w:cs="Times New Roman"/>
                <w:bCs/>
                <w:iCs/>
                <w:sz w:val="24"/>
                <w:szCs w:val="24"/>
                <w:lang w:eastAsia="lv-LV"/>
              </w:rPr>
              <w:t>Projekts šo jomu neskar</w:t>
            </w:r>
          </w:p>
        </w:tc>
      </w:tr>
    </w:tbl>
    <w:p w:rsidR="002A3AFF" w:rsidRPr="00706FBD" w:rsidRDefault="002A3AF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36CE7" w:rsidRPr="00706FBD" w:rsidTr="002265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RDefault="002A3AFF" w:rsidP="0022656D">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IV. Tiesību akta projekta ietekme uz spēkā esošo tiesību normu sistēmu</w:t>
            </w:r>
          </w:p>
        </w:tc>
      </w:tr>
      <w:tr w:rsidR="00036CE7" w:rsidRPr="00706FBD" w:rsidTr="002265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RDefault="002A3AFF" w:rsidP="0022656D">
            <w:pPr>
              <w:spacing w:after="0" w:line="240" w:lineRule="auto"/>
              <w:jc w:val="center"/>
              <w:rPr>
                <w:rFonts w:ascii="Times New Roman" w:eastAsia="Times New Roman" w:hAnsi="Times New Roman" w:cs="Times New Roman"/>
                <w:bCs/>
                <w:iCs/>
                <w:sz w:val="24"/>
                <w:szCs w:val="24"/>
                <w:lang w:eastAsia="lv-LV"/>
              </w:rPr>
            </w:pPr>
            <w:r w:rsidRPr="00706FBD">
              <w:rPr>
                <w:rFonts w:ascii="Times New Roman" w:eastAsia="Times New Roman" w:hAnsi="Times New Roman" w:cs="Times New Roman"/>
                <w:bCs/>
                <w:iCs/>
                <w:sz w:val="24"/>
                <w:szCs w:val="24"/>
                <w:lang w:eastAsia="lv-LV"/>
              </w:rPr>
              <w:t>Projekts šo jomu neskar</w:t>
            </w:r>
          </w:p>
        </w:tc>
      </w:tr>
    </w:tbl>
    <w:p w:rsidR="002A3AFF" w:rsidRPr="00706FBD" w:rsidRDefault="002A3AF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36CE7" w:rsidRPr="00706FBD" w:rsidTr="002265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RDefault="002A3AFF" w:rsidP="0022656D">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36CE7" w:rsidRPr="00706FBD" w:rsidTr="002265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RDefault="002A3AFF" w:rsidP="0022656D">
            <w:pPr>
              <w:spacing w:after="0" w:line="240" w:lineRule="auto"/>
              <w:jc w:val="center"/>
              <w:rPr>
                <w:rFonts w:ascii="Times New Roman" w:eastAsia="Times New Roman" w:hAnsi="Times New Roman" w:cs="Times New Roman"/>
                <w:bCs/>
                <w:iCs/>
                <w:sz w:val="24"/>
                <w:szCs w:val="24"/>
                <w:lang w:eastAsia="lv-LV"/>
              </w:rPr>
            </w:pPr>
            <w:r w:rsidRPr="00706FBD">
              <w:rPr>
                <w:rFonts w:ascii="Times New Roman" w:eastAsia="Times New Roman" w:hAnsi="Times New Roman" w:cs="Times New Roman"/>
                <w:bCs/>
                <w:iCs/>
                <w:sz w:val="24"/>
                <w:szCs w:val="24"/>
                <w:lang w:eastAsia="lv-LV"/>
              </w:rPr>
              <w:t>Projekts šo jomu neskar</w:t>
            </w:r>
          </w:p>
        </w:tc>
      </w:tr>
    </w:tbl>
    <w:p w:rsidR="002A3AFF" w:rsidRPr="00706FBD" w:rsidRDefault="002A3AF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3"/>
        <w:gridCol w:w="2811"/>
        <w:gridCol w:w="5921"/>
      </w:tblGrid>
      <w:tr w:rsidR="00706FBD" w:rsidRPr="00706FBD" w:rsidTr="002265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6FBD" w:rsidRPr="00706FBD" w:rsidRDefault="00706FBD" w:rsidP="0022656D">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VI. Sabiedrības līdzdalība un komunikācijas aktivitātes</w:t>
            </w:r>
          </w:p>
        </w:tc>
      </w:tr>
      <w:tr w:rsidR="00706FBD" w:rsidRPr="00706FBD" w:rsidTr="00706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r w:rsidR="00706FBD" w:rsidRPr="00706FBD" w:rsidTr="00706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r w:rsidR="00706FBD" w:rsidRPr="00706FBD" w:rsidTr="00706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r w:rsidR="00706FBD" w:rsidRPr="00706FBD" w:rsidTr="00706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RDefault="00706FBD" w:rsidP="00706FB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RDefault="00706FBD" w:rsidP="00706FB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06FBD" w:rsidRPr="00706FBD" w:rsidRDefault="00706FBD" w:rsidP="00633ADE">
            <w:pPr>
              <w:spacing w:after="0" w:line="240" w:lineRule="auto"/>
              <w:jc w:val="both"/>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sz w:val="24"/>
                <w:szCs w:val="24"/>
                <w:lang w:eastAsia="lv-LV"/>
              </w:rPr>
              <w:t>Par plānotajām izmaiņām Ministru kabineta noteikumos sniegta informācija 2017.gada 30.oktobra Ziņojums ministru prezidentam)</w:t>
            </w:r>
            <w:r w:rsidRPr="00706FBD">
              <w:rPr>
                <w:rStyle w:val="FootnoteReference"/>
                <w:rFonts w:ascii="Times New Roman" w:eastAsia="Times New Roman" w:hAnsi="Times New Roman" w:cs="Times New Roman"/>
                <w:sz w:val="24"/>
                <w:szCs w:val="24"/>
                <w:lang w:eastAsia="lv-LV"/>
              </w:rPr>
              <w:footnoteReference w:id="10"/>
            </w:r>
            <w:r w:rsidRPr="00706FBD">
              <w:rPr>
                <w:rFonts w:ascii="Times New Roman" w:eastAsia="Times New Roman" w:hAnsi="Times New Roman" w:cs="Times New Roman"/>
                <w:sz w:val="24"/>
                <w:szCs w:val="24"/>
                <w:lang w:eastAsia="lv-LV"/>
              </w:rPr>
              <w:t xml:space="preserve">, kas publicētas arī Ekonomikas ministrijas interneta vietnē: </w:t>
            </w:r>
            <w:hyperlink r:id="rId8" w:history="1">
              <w:r w:rsidRPr="00706FBD">
                <w:rPr>
                  <w:rStyle w:val="Hyperlink"/>
                  <w:rFonts w:ascii="Times New Roman" w:eastAsia="Times New Roman" w:hAnsi="Times New Roman" w:cs="Times New Roman"/>
                  <w:color w:val="auto"/>
                  <w:sz w:val="24"/>
                  <w:szCs w:val="24"/>
                  <w:lang w:eastAsia="lv-LV"/>
                </w:rPr>
                <w:t>https://em.gov.lv/lv/nozares_politika/atjaunojama_energija_</w:t>
              </w:r>
              <w:r w:rsidRPr="00706FBD">
                <w:rPr>
                  <w:rStyle w:val="Hyperlink"/>
                  <w:rFonts w:ascii="Times New Roman" w:eastAsia="Times New Roman" w:hAnsi="Times New Roman" w:cs="Times New Roman"/>
                  <w:color w:val="auto"/>
                  <w:sz w:val="24"/>
                  <w:szCs w:val="24"/>
                  <w:lang w:eastAsia="lv-LV"/>
                </w:rPr>
                <w:br/>
              </w:r>
              <w:proofErr w:type="spellStart"/>
              <w:r w:rsidRPr="00706FBD">
                <w:rPr>
                  <w:rStyle w:val="Hyperlink"/>
                  <w:rFonts w:ascii="Times New Roman" w:eastAsia="Times New Roman" w:hAnsi="Times New Roman" w:cs="Times New Roman"/>
                  <w:color w:val="auto"/>
                  <w:sz w:val="24"/>
                  <w:szCs w:val="24"/>
                  <w:lang w:eastAsia="lv-LV"/>
                </w:rPr>
                <w:t>un_kogeneracija</w:t>
              </w:r>
              <w:proofErr w:type="spellEnd"/>
              <w:r w:rsidRPr="00706FBD">
                <w:rPr>
                  <w:rStyle w:val="Hyperlink"/>
                  <w:rFonts w:ascii="Times New Roman" w:eastAsia="Times New Roman" w:hAnsi="Times New Roman" w:cs="Times New Roman"/>
                  <w:color w:val="auto"/>
                  <w:sz w:val="24"/>
                  <w:szCs w:val="24"/>
                  <w:lang w:eastAsia="lv-LV"/>
                </w:rPr>
                <w:t>/</w:t>
              </w:r>
              <w:proofErr w:type="spellStart"/>
              <w:r w:rsidRPr="00706FBD">
                <w:rPr>
                  <w:rStyle w:val="Hyperlink"/>
                  <w:rFonts w:ascii="Times New Roman" w:eastAsia="Times New Roman" w:hAnsi="Times New Roman" w:cs="Times New Roman"/>
                  <w:color w:val="auto"/>
                  <w:sz w:val="24"/>
                  <w:szCs w:val="24"/>
                  <w:lang w:eastAsia="lv-LV"/>
                </w:rPr>
                <w:t>aktualais_par_oik</w:t>
              </w:r>
              <w:proofErr w:type="spellEnd"/>
              <w:r w:rsidRPr="00706FBD">
                <w:rPr>
                  <w:rStyle w:val="Hyperlink"/>
                  <w:rFonts w:ascii="Times New Roman" w:eastAsia="Times New Roman" w:hAnsi="Times New Roman" w:cs="Times New Roman"/>
                  <w:color w:val="auto"/>
                  <w:sz w:val="24"/>
                  <w:szCs w:val="24"/>
                  <w:lang w:eastAsia="lv-LV"/>
                </w:rPr>
                <w:t>/</w:t>
              </w:r>
            </w:hyperlink>
          </w:p>
        </w:tc>
      </w:tr>
    </w:tbl>
    <w:p w:rsidR="00706FBD"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06FBD" w:rsidRPr="00706FBD" w:rsidTr="002265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6FBD" w:rsidRPr="00706FBD" w:rsidRDefault="00706FBD" w:rsidP="0022656D">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06FBD" w:rsidRPr="00706FBD" w:rsidTr="002265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sz w:val="24"/>
                <w:szCs w:val="24"/>
                <w:lang w:eastAsia="lv-LV"/>
              </w:rPr>
              <w:t>Ekonomikas ministrija</w:t>
            </w:r>
          </w:p>
        </w:tc>
      </w:tr>
      <w:tr w:rsidR="00706FBD" w:rsidRPr="00706FBD" w:rsidTr="002265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Projekta izpildes ietekme uz pārvaldes funkcijām un institucionālo struktūru.</w:t>
            </w:r>
            <w:r w:rsidRPr="00706FBD">
              <w:rPr>
                <w:rFonts w:ascii="Times New Roman" w:eastAsia="Times New Roman" w:hAnsi="Times New Roman" w:cs="Times New Roman"/>
                <w:iCs/>
                <w:sz w:val="24"/>
                <w:szCs w:val="24"/>
                <w:lang w:eastAsia="lv-LV"/>
              </w:rPr>
              <w:br/>
            </w:r>
            <w:r w:rsidRPr="00706FBD">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sz w:val="24"/>
                <w:szCs w:val="24"/>
                <w:lang w:eastAsia="lv-LV"/>
              </w:rPr>
              <w:lastRenderedPageBreak/>
              <w:t>Noteikumu projekts neparedz pārvaldes funkciju paplašināšanu un jaunu valsts institūciju veidošanu</w:t>
            </w:r>
          </w:p>
        </w:tc>
      </w:tr>
      <w:tr w:rsidR="00706FBD" w:rsidRPr="00706FBD" w:rsidTr="002265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bl>
    <w:p w:rsidR="00C25B49" w:rsidRPr="00C75927" w:rsidRDefault="00E5323B" w:rsidP="00894C55">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p w:rsidR="00036CE7" w:rsidRPr="00706FBD" w:rsidRDefault="00036CE7" w:rsidP="00036CE7">
      <w:pPr>
        <w:rPr>
          <w:rFonts w:ascii="Times New Roman" w:hAnsi="Times New Roman" w:cs="Times New Roman"/>
          <w:bCs/>
          <w:sz w:val="28"/>
          <w:szCs w:val="28"/>
        </w:rPr>
      </w:pPr>
    </w:p>
    <w:p w:rsidR="00036CE7" w:rsidRPr="00706FBD" w:rsidRDefault="00036CE7" w:rsidP="00036CE7">
      <w:pPr>
        <w:rPr>
          <w:rFonts w:ascii="Times New Roman" w:hAnsi="Times New Roman" w:cs="Times New Roman"/>
          <w:bCs/>
          <w:sz w:val="28"/>
          <w:szCs w:val="28"/>
        </w:rPr>
      </w:pPr>
      <w:r w:rsidRPr="00706FBD">
        <w:rPr>
          <w:rFonts w:ascii="Times New Roman" w:hAnsi="Times New Roman" w:cs="Times New Roman"/>
          <w:bCs/>
          <w:sz w:val="28"/>
          <w:szCs w:val="28"/>
        </w:rPr>
        <w:t>Ministru prezidenta biedrs,</w:t>
      </w:r>
      <w:r w:rsidRPr="00706FBD">
        <w:rPr>
          <w:rFonts w:ascii="Times New Roman" w:hAnsi="Times New Roman" w:cs="Times New Roman"/>
          <w:bCs/>
          <w:sz w:val="28"/>
          <w:szCs w:val="28"/>
        </w:rPr>
        <w:br/>
        <w:t>ekonomikas ministrs</w:t>
      </w:r>
      <w:r w:rsidRPr="00706FBD">
        <w:rPr>
          <w:rFonts w:ascii="Times New Roman" w:hAnsi="Times New Roman" w:cs="Times New Roman"/>
          <w:bCs/>
          <w:sz w:val="28"/>
          <w:szCs w:val="28"/>
        </w:rPr>
        <w:tab/>
      </w:r>
      <w:r w:rsidRPr="00706FBD">
        <w:rPr>
          <w:rFonts w:ascii="Times New Roman" w:hAnsi="Times New Roman" w:cs="Times New Roman"/>
          <w:bCs/>
          <w:sz w:val="28"/>
          <w:szCs w:val="28"/>
        </w:rPr>
        <w:tab/>
      </w:r>
      <w:r w:rsidRPr="00706FBD">
        <w:rPr>
          <w:rFonts w:ascii="Times New Roman" w:hAnsi="Times New Roman" w:cs="Times New Roman"/>
          <w:bCs/>
          <w:sz w:val="28"/>
          <w:szCs w:val="28"/>
        </w:rPr>
        <w:tab/>
      </w:r>
      <w:r w:rsidRPr="00706FBD">
        <w:rPr>
          <w:rFonts w:ascii="Times New Roman" w:hAnsi="Times New Roman" w:cs="Times New Roman"/>
          <w:bCs/>
          <w:sz w:val="28"/>
          <w:szCs w:val="28"/>
        </w:rPr>
        <w:tab/>
      </w:r>
      <w:r w:rsidRPr="00706FBD">
        <w:rPr>
          <w:rFonts w:ascii="Times New Roman" w:hAnsi="Times New Roman" w:cs="Times New Roman"/>
          <w:bCs/>
          <w:sz w:val="28"/>
          <w:szCs w:val="28"/>
        </w:rPr>
        <w:tab/>
      </w:r>
      <w:r w:rsidRPr="00706FBD">
        <w:rPr>
          <w:rFonts w:ascii="Times New Roman" w:hAnsi="Times New Roman" w:cs="Times New Roman"/>
          <w:bCs/>
          <w:sz w:val="28"/>
          <w:szCs w:val="28"/>
        </w:rPr>
        <w:tab/>
      </w:r>
      <w:r w:rsidRPr="00706FBD">
        <w:rPr>
          <w:rFonts w:ascii="Times New Roman" w:hAnsi="Times New Roman" w:cs="Times New Roman"/>
          <w:bCs/>
          <w:sz w:val="28"/>
          <w:szCs w:val="28"/>
        </w:rPr>
        <w:tab/>
      </w:r>
      <w:proofErr w:type="spellStart"/>
      <w:r w:rsidRPr="00706FBD">
        <w:rPr>
          <w:rFonts w:ascii="Times New Roman" w:hAnsi="Times New Roman" w:cs="Times New Roman"/>
          <w:bCs/>
          <w:sz w:val="28"/>
          <w:szCs w:val="28"/>
        </w:rPr>
        <w:t>A.Ašeradens</w:t>
      </w:r>
      <w:proofErr w:type="spellEnd"/>
    </w:p>
    <w:p w:rsidR="00036CE7" w:rsidRPr="00706FBD" w:rsidRDefault="00036CE7" w:rsidP="00036CE7">
      <w:pPr>
        <w:pStyle w:val="naisf"/>
        <w:spacing w:before="0" w:beforeAutospacing="0" w:after="0" w:afterAutospacing="0"/>
        <w:rPr>
          <w:bCs/>
          <w:color w:val="000000"/>
          <w:sz w:val="28"/>
          <w:szCs w:val="28"/>
        </w:rPr>
      </w:pPr>
    </w:p>
    <w:p w:rsidR="00036CE7" w:rsidRPr="00706FBD" w:rsidRDefault="00036CE7" w:rsidP="00036CE7">
      <w:pPr>
        <w:pStyle w:val="naisf"/>
        <w:spacing w:before="0" w:beforeAutospacing="0" w:after="0" w:afterAutospacing="0"/>
        <w:rPr>
          <w:b/>
          <w:bCs/>
          <w:color w:val="000000"/>
          <w:sz w:val="28"/>
          <w:szCs w:val="28"/>
        </w:rPr>
      </w:pPr>
      <w:r w:rsidRPr="00706FBD">
        <w:rPr>
          <w:bCs/>
          <w:color w:val="000000"/>
          <w:sz w:val="28"/>
          <w:szCs w:val="28"/>
        </w:rPr>
        <w:t>Vīza:</w:t>
      </w:r>
    </w:p>
    <w:p w:rsidR="00036CE7" w:rsidRPr="00706FBD" w:rsidRDefault="00036CE7" w:rsidP="00036CE7">
      <w:pPr>
        <w:jc w:val="both"/>
        <w:rPr>
          <w:rFonts w:ascii="Times New Roman" w:hAnsi="Times New Roman" w:cs="Times New Roman"/>
          <w:color w:val="000000"/>
          <w:sz w:val="28"/>
          <w:szCs w:val="28"/>
        </w:rPr>
      </w:pPr>
      <w:r w:rsidRPr="00706FBD">
        <w:rPr>
          <w:rFonts w:ascii="Times New Roman" w:hAnsi="Times New Roman" w:cs="Times New Roman"/>
          <w:color w:val="000000"/>
          <w:sz w:val="28"/>
          <w:szCs w:val="28"/>
        </w:rPr>
        <w:t>Valsts sekretārs</w:t>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proofErr w:type="spellStart"/>
      <w:r w:rsidRPr="00706FBD">
        <w:rPr>
          <w:rFonts w:ascii="Times New Roman" w:hAnsi="Times New Roman" w:cs="Times New Roman"/>
          <w:color w:val="000000"/>
          <w:sz w:val="28"/>
          <w:szCs w:val="28"/>
        </w:rPr>
        <w:t>J.Stinka</w:t>
      </w:r>
      <w:proofErr w:type="spellEnd"/>
    </w:p>
    <w:p w:rsidR="00894C55" w:rsidRPr="00706FBD" w:rsidRDefault="00894C55" w:rsidP="00036CE7">
      <w:pPr>
        <w:spacing w:after="0" w:line="240" w:lineRule="auto"/>
        <w:rPr>
          <w:rFonts w:ascii="Times New Roman" w:hAnsi="Times New Roman" w:cs="Times New Roman"/>
          <w:sz w:val="24"/>
          <w:szCs w:val="28"/>
        </w:rPr>
      </w:pPr>
    </w:p>
    <w:sectPr w:rsidR="00894C55" w:rsidRPr="00706FBD"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94C55" w:rsidRDefault="00854834">
    <w:pPr>
      <w:pStyle w:val="Footer"/>
      <w:rPr>
        <w:rFonts w:ascii="Times New Roman" w:hAnsi="Times New Roman" w:cs="Times New Roman"/>
        <w:sz w:val="20"/>
        <w:szCs w:val="20"/>
      </w:rPr>
    </w:pPr>
    <w:r>
      <w:rPr>
        <w:rFonts w:ascii="Times New Roman" w:hAnsi="Times New Roman" w:cs="Times New Roman"/>
        <w:sz w:val="20"/>
        <w:szCs w:val="20"/>
      </w:rPr>
      <w:t>EManot_150318</w:t>
    </w:r>
    <w:r w:rsidR="009A2654">
      <w:rPr>
        <w:rFonts w:ascii="Times New Roman" w:hAnsi="Times New Roman" w:cs="Times New Roman"/>
        <w:sz w:val="20"/>
        <w:szCs w:val="20"/>
      </w:rPr>
      <w:t>_</w:t>
    </w:r>
    <w:r>
      <w:rPr>
        <w:rFonts w:ascii="Times New Roman" w:hAnsi="Times New Roman" w:cs="Times New Roman"/>
        <w:sz w:val="20"/>
        <w:szCs w:val="20"/>
      </w:rPr>
      <w:t>MK 262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854834">
    <w:pPr>
      <w:pStyle w:val="Footer"/>
      <w:rPr>
        <w:rFonts w:ascii="Times New Roman" w:hAnsi="Times New Roman" w:cs="Times New Roman"/>
        <w:sz w:val="20"/>
        <w:szCs w:val="20"/>
      </w:rPr>
    </w:pPr>
    <w:r>
      <w:rPr>
        <w:rFonts w:ascii="Times New Roman" w:hAnsi="Times New Roman" w:cs="Times New Roman"/>
        <w:sz w:val="20"/>
        <w:szCs w:val="20"/>
      </w:rPr>
      <w:t>EManot_150318</w:t>
    </w:r>
    <w:r w:rsidR="009A2654">
      <w:rPr>
        <w:rFonts w:ascii="Times New Roman" w:hAnsi="Times New Roman" w:cs="Times New Roman"/>
        <w:sz w:val="20"/>
        <w:szCs w:val="20"/>
      </w:rPr>
      <w:t>_</w:t>
    </w:r>
    <w:r w:rsidR="00302F2A">
      <w:rPr>
        <w:rFonts w:ascii="Times New Roman" w:hAnsi="Times New Roman" w:cs="Times New Roman"/>
        <w:sz w:val="20"/>
        <w:szCs w:val="20"/>
      </w:rPr>
      <w:t>MK262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 w:id="1">
    <w:p w:rsidR="002A3AFF" w:rsidRDefault="002A3AFF" w:rsidP="009B29B2">
      <w:pPr>
        <w:pStyle w:val="FootnoteText"/>
      </w:pPr>
      <w:r>
        <w:rPr>
          <w:rStyle w:val="FootnoteReference"/>
        </w:rPr>
        <w:footnoteRef/>
      </w:r>
      <w:r>
        <w:t xml:space="preserve"> Eiropas Parlamenta un Padomes direktīva 2009/28/EK (2009. gada 23. aprīlis) par atjaunojamo energoresursu</w:t>
      </w:r>
    </w:p>
    <w:p w:rsidR="002A3AFF" w:rsidRDefault="002A3AFF" w:rsidP="009B29B2">
      <w:pPr>
        <w:pStyle w:val="FootnoteText"/>
      </w:pPr>
      <w:r>
        <w:t>izmantošanas veicināšanu un ar ko groza un sekojoši atceļ Direktīvas 2001/77/EK un 2003/30/EK. Publicēts:</w:t>
      </w:r>
    </w:p>
    <w:p w:rsidR="002A3AFF" w:rsidRDefault="002A3AFF" w:rsidP="009B29B2">
      <w:pPr>
        <w:pStyle w:val="FootnoteText"/>
      </w:pPr>
      <w:r>
        <w:t>Oficiālais Vēstnesis, L 140, 05.06.2009, 16.-62.lpp.</w:t>
      </w:r>
    </w:p>
  </w:footnote>
  <w:footnote w:id="2">
    <w:p w:rsidR="002A3AFF" w:rsidRDefault="002A3AFF">
      <w:pPr>
        <w:pStyle w:val="FootnoteText"/>
      </w:pPr>
      <w:r>
        <w:rPr>
          <w:rStyle w:val="FootnoteReference"/>
        </w:rPr>
        <w:footnoteRef/>
      </w:r>
      <w:r>
        <w:t xml:space="preserve"> Eiropas Parlamenta un Padomes direktīvas 2004/8/EK (2004. gada 11. februāris) par tādas koģenerācijas veicināšanu, kas balstīta uz lietderīgā siltuma pieprasījumu iekšējā enerģijas tirgū, un ar kuru groza Direktīvu 92/42/EEK. Publicēts: Oficiālais Vēstnesis, L 52, 21.02.2004, 50.-60.lpp.</w:t>
      </w:r>
    </w:p>
  </w:footnote>
  <w:footnote w:id="3">
    <w:p w:rsidR="002A3AFF" w:rsidRDefault="002A3AFF" w:rsidP="00637279">
      <w:pPr>
        <w:pStyle w:val="FootnoteText"/>
        <w:jc w:val="both"/>
      </w:pPr>
      <w:r>
        <w:rPr>
          <w:rStyle w:val="FootnoteReference"/>
        </w:rPr>
        <w:footnoteRef/>
      </w:r>
      <w:r>
        <w:t xml:space="preserve"> </w:t>
      </w:r>
      <w:r w:rsidRPr="00E225B5">
        <w:t>Ministru kabineta</w:t>
      </w:r>
      <w:r>
        <w:t xml:space="preserve"> 2006.gada 6.novembra noteikumi</w:t>
      </w:r>
      <w:r w:rsidRPr="00E225B5">
        <w:t xml:space="preserve"> Nr.921 “Noteikumi par elektroenerģijas ražošanu koģenerācijā”</w:t>
      </w:r>
    </w:p>
  </w:footnote>
  <w:footnote w:id="4">
    <w:p w:rsidR="002A3AFF" w:rsidRDefault="002A3AFF" w:rsidP="00637279">
      <w:pPr>
        <w:pStyle w:val="FootnoteText"/>
        <w:jc w:val="both"/>
      </w:pPr>
      <w:r>
        <w:rPr>
          <w:rStyle w:val="FootnoteReference"/>
        </w:rPr>
        <w:footnoteRef/>
      </w:r>
      <w:r>
        <w:t xml:space="preserve"> </w:t>
      </w:r>
      <w:r w:rsidRPr="00AE70C1">
        <w:t xml:space="preserve">Ministru kabineta </w:t>
      </w:r>
      <w:r>
        <w:t>2009.gada 10.marta noteikumi</w:t>
      </w:r>
      <w:r w:rsidRPr="00AE70C1">
        <w:t xml:space="preserve"> Nr.221 “Noteikumi par elektroenerģijas ražošanu un cenu noteikšanu, ražojot elektroenerģiju koģenerācijā”</w:t>
      </w:r>
    </w:p>
  </w:footnote>
  <w:footnote w:id="5">
    <w:p w:rsidR="002A3AFF" w:rsidRDefault="002A3AFF" w:rsidP="00637279">
      <w:pPr>
        <w:pStyle w:val="FootnoteText"/>
        <w:jc w:val="both"/>
      </w:pPr>
      <w:r>
        <w:rPr>
          <w:rStyle w:val="FootnoteReference"/>
        </w:rPr>
        <w:footnoteRef/>
      </w:r>
      <w:r>
        <w:t xml:space="preserve"> </w:t>
      </w:r>
      <w:r w:rsidRPr="00E225B5">
        <w:t>Ministru kabineta 2007.gada 24.jūlij</w:t>
      </w:r>
      <w:r>
        <w:t>a noteikumi Nr.503 “</w:t>
      </w:r>
      <w:r w:rsidRPr="00E225B5">
        <w:t>Noteikumi par elektroenerģijas ražošanu, izmanto</w:t>
      </w:r>
      <w:r>
        <w:t>jot atjaunojamos energoresursus”</w:t>
      </w:r>
    </w:p>
  </w:footnote>
  <w:footnote w:id="6">
    <w:p w:rsidR="002A3AFF" w:rsidRDefault="002A3AFF" w:rsidP="00637279">
      <w:pPr>
        <w:pStyle w:val="FootnoteText"/>
        <w:jc w:val="both"/>
      </w:pPr>
      <w:r>
        <w:rPr>
          <w:rStyle w:val="FootnoteReference"/>
        </w:rPr>
        <w:footnoteRef/>
      </w:r>
      <w:r>
        <w:t xml:space="preserve"> </w:t>
      </w:r>
      <w:r w:rsidRPr="00E225B5">
        <w:t xml:space="preserve">Ministru kabineta </w:t>
      </w:r>
      <w:r>
        <w:t>2009.gada 24.februāra noteikumi</w:t>
      </w:r>
      <w:r w:rsidRPr="00E225B5">
        <w:t xml:space="preserve"> Nr.198 </w:t>
      </w:r>
      <w:r>
        <w:t>“</w:t>
      </w:r>
      <w:r w:rsidRPr="00E225B5">
        <w:t>Noteikumi par elektroenerģijas ražošanu, izmantojot atjaunojamos energoresursus, un cenu notei</w:t>
      </w:r>
      <w:r>
        <w:t>kšanas kārtību”</w:t>
      </w:r>
    </w:p>
  </w:footnote>
  <w:footnote w:id="7">
    <w:p w:rsidR="002A3AFF" w:rsidRDefault="002A3AFF" w:rsidP="00637279">
      <w:pPr>
        <w:pStyle w:val="FootnoteText"/>
        <w:jc w:val="both"/>
      </w:pPr>
      <w:r>
        <w:rPr>
          <w:rStyle w:val="FootnoteReference"/>
        </w:rPr>
        <w:footnoteRef/>
      </w:r>
      <w:r>
        <w:t xml:space="preserve"> </w:t>
      </w:r>
      <w:r w:rsidRPr="004A1E63">
        <w:t>M</w:t>
      </w:r>
      <w:r>
        <w:t>inistru kabineta 2010.gada 16.</w:t>
      </w:r>
      <w:r w:rsidRPr="004A1E63">
        <w:t>marta noteikumi Nr.262 „Noteikumi par elektroenerģijas ražošanu</w:t>
      </w:r>
      <w:r w:rsidRPr="004A1E63">
        <w:rPr>
          <w:rFonts w:asciiTheme="minorHAnsi" w:eastAsiaTheme="minorHAnsi" w:hAnsiTheme="minorHAnsi" w:cstheme="minorBidi"/>
          <w:sz w:val="22"/>
          <w:szCs w:val="22"/>
          <w:lang w:eastAsia="en-US"/>
        </w:rPr>
        <w:t xml:space="preserve"> </w:t>
      </w:r>
      <w:r w:rsidRPr="004A1E63">
        <w:t>izmantojot atjaunojamos energoresursu</w:t>
      </w:r>
      <w:r>
        <w:t>s, un cenu noteikšanas kārtību”</w:t>
      </w:r>
    </w:p>
  </w:footnote>
  <w:footnote w:id="8">
    <w:p w:rsidR="002A3AFF" w:rsidRDefault="002A3AFF" w:rsidP="00AE70C1">
      <w:pPr>
        <w:pStyle w:val="FootnoteText"/>
        <w:jc w:val="both"/>
      </w:pPr>
      <w:r>
        <w:rPr>
          <w:rStyle w:val="FootnoteReference"/>
        </w:rPr>
        <w:footnoteRef/>
      </w:r>
      <w:r>
        <w:t xml:space="preserve"> E</w:t>
      </w:r>
      <w:r w:rsidRPr="00AE70C1">
        <w:t xml:space="preserve">konomika ministra 2017.gada 30.oktobra ziņojumā “Par </w:t>
      </w:r>
      <w:proofErr w:type="spellStart"/>
      <w:r w:rsidRPr="00AE70C1">
        <w:t>izvērtējuma</w:t>
      </w:r>
      <w:proofErr w:type="spellEnd"/>
      <w:r w:rsidRPr="00AE70C1">
        <w:t xml:space="preserve"> rezultātiem, plānoto rīcību un nepieciešamajām izmaiņām normatīvajos aktos, saistībā ar masu medijos izskanējušajām bažām, ka vairāki uzņēmumi varētu būt krāpušies ar atļaujām elektroenerģijas ražošanai obligātajā iepirkumā”</w:t>
      </w:r>
      <w:r>
        <w:t xml:space="preserve">, </w:t>
      </w:r>
      <w:hyperlink r:id="rId1" w:history="1">
        <w:r w:rsidRPr="00F47FDD">
          <w:rPr>
            <w:rStyle w:val="Hyperlink"/>
          </w:rPr>
          <w:t>https://em.gov.lv/files/attachments/OIK_Zinojums_31.10.pdf</w:t>
        </w:r>
      </w:hyperlink>
      <w:r>
        <w:t xml:space="preserve"> </w:t>
      </w:r>
    </w:p>
  </w:footnote>
  <w:footnote w:id="9">
    <w:p w:rsidR="002A3AFF" w:rsidRPr="00D95E44" w:rsidRDefault="002A3AFF" w:rsidP="006F4525">
      <w:pPr>
        <w:pStyle w:val="FootnoteText"/>
      </w:pPr>
      <w:r>
        <w:rPr>
          <w:rStyle w:val="FootnoteReference"/>
        </w:rPr>
        <w:footnoteRef/>
      </w:r>
      <w:r>
        <w:t xml:space="preserve"> </w:t>
      </w:r>
      <w:hyperlink r:id="rId2" w:history="1">
        <w:r w:rsidRPr="00751A38">
          <w:rPr>
            <w:rStyle w:val="Hyperlink"/>
          </w:rPr>
          <w:t>https://www.em.gov.lv/files/energetika/irr20_05%202016.pdf</w:t>
        </w:r>
      </w:hyperlink>
      <w:r>
        <w:t xml:space="preserve"> </w:t>
      </w:r>
    </w:p>
  </w:footnote>
  <w:footnote w:id="10">
    <w:p w:rsidR="00706FBD" w:rsidRDefault="00706FBD" w:rsidP="002A3AFF">
      <w:pPr>
        <w:pStyle w:val="FootnoteText"/>
        <w:jc w:val="both"/>
      </w:pPr>
      <w:r>
        <w:rPr>
          <w:rStyle w:val="FootnoteReference"/>
        </w:rPr>
        <w:footnoteRef/>
      </w:r>
      <w:r>
        <w:t xml:space="preserve"> E</w:t>
      </w:r>
      <w:r w:rsidRPr="00AE70C1">
        <w:t xml:space="preserve">konomika ministra 2017.gada 30.oktobra ziņojumā “Par </w:t>
      </w:r>
      <w:proofErr w:type="spellStart"/>
      <w:r w:rsidRPr="00AE70C1">
        <w:t>izvērtējuma</w:t>
      </w:r>
      <w:proofErr w:type="spellEnd"/>
      <w:r w:rsidRPr="00AE70C1">
        <w:t xml:space="preserve"> rezultātiem, plānoto rīcību un nepieciešamajām izmaiņām normatīvajos aktos, saistībā ar masu medijos izskanējušajām bažām, ka vairāki uzņēmumi varētu būt krāpušies ar atļaujām elektroenerģijas ražošanai obligātajā iepirkumā”</w:t>
      </w:r>
      <w:r>
        <w:t xml:space="preserve">, </w:t>
      </w:r>
      <w:hyperlink r:id="rId3" w:history="1">
        <w:r w:rsidRPr="00F47FDD">
          <w:rPr>
            <w:rStyle w:val="Hyperlink"/>
          </w:rPr>
          <w:t>https://em.gov.lv/files/attachments/OIK_Zinojums_31.10.pdf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C10D8">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7A8"/>
    <w:multiLevelType w:val="hybridMultilevel"/>
    <w:tmpl w:val="5B4855EE"/>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A71A98"/>
    <w:multiLevelType w:val="hybridMultilevel"/>
    <w:tmpl w:val="3B6282EE"/>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B45AB9"/>
    <w:multiLevelType w:val="hybridMultilevel"/>
    <w:tmpl w:val="DAA8F4FA"/>
    <w:lvl w:ilvl="0" w:tplc="C33C84B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6CE7"/>
    <w:rsid w:val="000520B8"/>
    <w:rsid w:val="001C10D8"/>
    <w:rsid w:val="0022175A"/>
    <w:rsid w:val="002275D4"/>
    <w:rsid w:val="00243426"/>
    <w:rsid w:val="002A3AFF"/>
    <w:rsid w:val="002E1C05"/>
    <w:rsid w:val="00302F2A"/>
    <w:rsid w:val="003B0BF9"/>
    <w:rsid w:val="003E0791"/>
    <w:rsid w:val="003E1503"/>
    <w:rsid w:val="003F28AC"/>
    <w:rsid w:val="00427084"/>
    <w:rsid w:val="00427232"/>
    <w:rsid w:val="004454FE"/>
    <w:rsid w:val="00456E40"/>
    <w:rsid w:val="00471F27"/>
    <w:rsid w:val="00477113"/>
    <w:rsid w:val="0050178F"/>
    <w:rsid w:val="00555157"/>
    <w:rsid w:val="00607A3A"/>
    <w:rsid w:val="00633ADE"/>
    <w:rsid w:val="00655F2C"/>
    <w:rsid w:val="006E1081"/>
    <w:rsid w:val="007055BF"/>
    <w:rsid w:val="00706FBD"/>
    <w:rsid w:val="00720585"/>
    <w:rsid w:val="0076439A"/>
    <w:rsid w:val="00773AF6"/>
    <w:rsid w:val="00795F71"/>
    <w:rsid w:val="007E5F7A"/>
    <w:rsid w:val="007E73AB"/>
    <w:rsid w:val="00816C11"/>
    <w:rsid w:val="00854834"/>
    <w:rsid w:val="00894C55"/>
    <w:rsid w:val="008D7B7F"/>
    <w:rsid w:val="009A2654"/>
    <w:rsid w:val="00A10FC3"/>
    <w:rsid w:val="00A6073E"/>
    <w:rsid w:val="00A77913"/>
    <w:rsid w:val="00AE5567"/>
    <w:rsid w:val="00AF1239"/>
    <w:rsid w:val="00B16480"/>
    <w:rsid w:val="00B2165C"/>
    <w:rsid w:val="00BA20AA"/>
    <w:rsid w:val="00BD4425"/>
    <w:rsid w:val="00C25B49"/>
    <w:rsid w:val="00C30AFE"/>
    <w:rsid w:val="00C75927"/>
    <w:rsid w:val="00CC0D2D"/>
    <w:rsid w:val="00CE5657"/>
    <w:rsid w:val="00D133F8"/>
    <w:rsid w:val="00D14A3E"/>
    <w:rsid w:val="00E3716B"/>
    <w:rsid w:val="00E5323B"/>
    <w:rsid w:val="00E8749E"/>
    <w:rsid w:val="00E90C01"/>
    <w:rsid w:val="00E96D3D"/>
    <w:rsid w:val="00EA486E"/>
    <w:rsid w:val="00EF2A08"/>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70160A"/>
  <w15:docId w15:val="{65812104-3B16-471C-A980-F3F9B306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2A3AF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2A3AFF"/>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
    <w:rsid w:val="002A3AFF"/>
    <w:rPr>
      <w:vertAlign w:val="superscript"/>
    </w:rPr>
  </w:style>
  <w:style w:type="paragraph" w:styleId="ListParagraph">
    <w:name w:val="List Paragraph"/>
    <w:basedOn w:val="Normal"/>
    <w:uiPriority w:val="34"/>
    <w:qFormat/>
    <w:rsid w:val="002A3AFF"/>
    <w:pPr>
      <w:ind w:left="720"/>
      <w:contextualSpacing/>
    </w:pPr>
  </w:style>
  <w:style w:type="character" w:styleId="CommentReference">
    <w:name w:val="annotation reference"/>
    <w:basedOn w:val="DefaultParagraphFont"/>
    <w:uiPriority w:val="99"/>
    <w:semiHidden/>
    <w:unhideWhenUsed/>
    <w:rsid w:val="002A3AFF"/>
    <w:rPr>
      <w:sz w:val="16"/>
      <w:szCs w:val="16"/>
    </w:rPr>
  </w:style>
  <w:style w:type="paragraph" w:styleId="CommentText">
    <w:name w:val="annotation text"/>
    <w:basedOn w:val="Normal"/>
    <w:link w:val="CommentTextChar"/>
    <w:uiPriority w:val="99"/>
    <w:semiHidden/>
    <w:unhideWhenUsed/>
    <w:rsid w:val="002A3AFF"/>
    <w:pPr>
      <w:spacing w:line="240" w:lineRule="auto"/>
    </w:pPr>
    <w:rPr>
      <w:sz w:val="20"/>
      <w:szCs w:val="20"/>
    </w:rPr>
  </w:style>
  <w:style w:type="character" w:customStyle="1" w:styleId="CommentTextChar">
    <w:name w:val="Comment Text Char"/>
    <w:basedOn w:val="DefaultParagraphFont"/>
    <w:link w:val="CommentText"/>
    <w:uiPriority w:val="99"/>
    <w:semiHidden/>
    <w:rsid w:val="002A3AFF"/>
    <w:rPr>
      <w:sz w:val="20"/>
      <w:szCs w:val="20"/>
    </w:rPr>
  </w:style>
  <w:style w:type="paragraph" w:styleId="CommentSubject">
    <w:name w:val="annotation subject"/>
    <w:basedOn w:val="CommentText"/>
    <w:next w:val="CommentText"/>
    <w:link w:val="CommentSubjectChar"/>
    <w:uiPriority w:val="99"/>
    <w:semiHidden/>
    <w:unhideWhenUsed/>
    <w:rsid w:val="002A3AFF"/>
    <w:rPr>
      <w:b/>
      <w:bCs/>
    </w:rPr>
  </w:style>
  <w:style w:type="character" w:customStyle="1" w:styleId="CommentSubjectChar">
    <w:name w:val="Comment Subject Char"/>
    <w:basedOn w:val="CommentTextChar"/>
    <w:link w:val="CommentSubject"/>
    <w:uiPriority w:val="99"/>
    <w:semiHidden/>
    <w:rsid w:val="002A3AFF"/>
    <w:rPr>
      <w:b/>
      <w:bCs/>
      <w:sz w:val="20"/>
      <w:szCs w:val="20"/>
    </w:rPr>
  </w:style>
  <w:style w:type="paragraph" w:customStyle="1" w:styleId="naisf">
    <w:name w:val="naisf"/>
    <w:basedOn w:val="Normal"/>
    <w:link w:val="naisfChar"/>
    <w:rsid w:val="00036CE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036CE7"/>
    <w:rPr>
      <w:rFonts w:ascii="Times New Roman" w:eastAsia="Times New Roman" w:hAnsi="Times New Roman" w:cs="Times New Roman"/>
      <w:sz w:val="24"/>
      <w:szCs w:val="24"/>
      <w:lang w:eastAsia="lv-LV"/>
    </w:rPr>
  </w:style>
  <w:style w:type="paragraph" w:customStyle="1" w:styleId="naislab">
    <w:name w:val="naislab"/>
    <w:basedOn w:val="Normal"/>
    <w:rsid w:val="00EF2A08"/>
    <w:pPr>
      <w:spacing w:before="63" w:after="63"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0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nozares_politika/atjaunojama_energija_un_kogeneracija/aktualais_par_oi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m.gov.lv/files/attachments/OIK_Zinojums_31.10.pdf" TargetMode="External"/><Relationship Id="rId2" Type="http://schemas.openxmlformats.org/officeDocument/2006/relationships/hyperlink" Target="https://www.em.gov.lv/files/energetika/irr20_05%202016.pdf" TargetMode="External"/><Relationship Id="rId1" Type="http://schemas.openxmlformats.org/officeDocument/2006/relationships/hyperlink" Target="https://em.gov.lv/files/attachments/OIK_Zinojums_3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10DC-0D6E-4702-871A-8780E4FA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5246</Words>
  <Characters>38402</Characters>
  <Application>Microsoft Office Word</Application>
  <DocSecurity>0</DocSecurity>
  <Lines>1037</Lines>
  <Paragraphs>145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Līga Dreijalte</cp:lastModifiedBy>
  <cp:revision>7</cp:revision>
  <dcterms:created xsi:type="dcterms:W3CDTF">2018-03-20T12:27:00Z</dcterms:created>
  <dcterms:modified xsi:type="dcterms:W3CDTF">2018-03-20T13:11:00Z</dcterms:modified>
</cp:coreProperties>
</file>