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0 -->
  <w:body>
    <w:p w:rsidR="00644812" w:rsidRPr="00130F81" w:rsidP="00644812" w14:paraId="6FFE6D1B" w14:textId="33FFCF7F">
      <w:pPr>
        <w:shd w:val="clear" w:color="auto" w:fill="FFFFFF"/>
        <w:spacing w:after="0" w:line="240" w:lineRule="auto"/>
        <w:jc w:val="center"/>
        <w:rPr>
          <w:rFonts w:ascii="Times New Roman" w:eastAsia="Times New Roman" w:hAnsi="Times New Roman" w:cs="Times New Roman"/>
          <w:b/>
          <w:bCs/>
          <w:sz w:val="28"/>
          <w:szCs w:val="24"/>
          <w:lang w:eastAsia="lv-LV"/>
        </w:rPr>
      </w:pPr>
      <w:r w:rsidRPr="00130F81">
        <w:rPr>
          <w:rFonts w:ascii="Times New Roman" w:eastAsia="Times New Roman" w:hAnsi="Times New Roman" w:cs="Times New Roman"/>
          <w:b/>
          <w:bCs/>
          <w:sz w:val="28"/>
          <w:szCs w:val="24"/>
          <w:lang w:eastAsia="lv-LV"/>
        </w:rPr>
        <w:t>Ministru kabineta noteikumu projekta “Gr</w:t>
      </w:r>
      <w:r w:rsidR="00E11CFF">
        <w:rPr>
          <w:rFonts w:ascii="Times New Roman" w:eastAsia="Times New Roman" w:hAnsi="Times New Roman" w:cs="Times New Roman"/>
          <w:b/>
          <w:bCs/>
          <w:sz w:val="28"/>
          <w:szCs w:val="24"/>
          <w:lang w:eastAsia="lv-LV"/>
        </w:rPr>
        <w:t>ozījum</w:t>
      </w:r>
      <w:r w:rsidR="003915B9">
        <w:rPr>
          <w:rFonts w:ascii="Times New Roman" w:eastAsia="Times New Roman" w:hAnsi="Times New Roman" w:cs="Times New Roman"/>
          <w:b/>
          <w:bCs/>
          <w:sz w:val="28"/>
          <w:szCs w:val="24"/>
          <w:lang w:eastAsia="lv-LV"/>
        </w:rPr>
        <w:t>s</w:t>
      </w:r>
      <w:r w:rsidR="00E11CFF">
        <w:rPr>
          <w:rFonts w:ascii="Times New Roman" w:eastAsia="Times New Roman" w:hAnsi="Times New Roman" w:cs="Times New Roman"/>
          <w:b/>
          <w:bCs/>
          <w:sz w:val="28"/>
          <w:szCs w:val="24"/>
          <w:lang w:eastAsia="lv-LV"/>
        </w:rPr>
        <w:t xml:space="preserve"> Ministru kabineta 2009. </w:t>
      </w:r>
      <w:r w:rsidRPr="00130F81">
        <w:rPr>
          <w:rFonts w:ascii="Times New Roman" w:eastAsia="Times New Roman" w:hAnsi="Times New Roman" w:cs="Times New Roman"/>
          <w:b/>
          <w:bCs/>
          <w:sz w:val="28"/>
          <w:szCs w:val="24"/>
          <w:lang w:eastAsia="lv-LV"/>
        </w:rPr>
        <w:t>gada 10. marta noteikumos Nr.221 “Noteikumi par elektroenerģijas ražošanu un cenu noteikšanu, ražojot elektroenerģiju koģenerācijā””</w:t>
      </w:r>
      <w:r w:rsidRPr="00130F81">
        <w:rPr>
          <w:rFonts w:ascii="Times New Roman" w:eastAsia="Times New Roman" w:hAnsi="Times New Roman" w:cs="Times New Roman"/>
          <w:b/>
          <w:bCs/>
          <w:sz w:val="28"/>
          <w:szCs w:val="24"/>
          <w:lang w:eastAsia="lv-LV"/>
        </w:rPr>
        <w:br/>
        <w:t>sākotnējās ietekmes novērtējuma ziņojums (anotācija)</w:t>
      </w:r>
    </w:p>
    <w:p w:rsidR="00E5323B" w:rsidRPr="00706FBD" w:rsidP="00894C55" w14:paraId="0EAC9DAC" w14:textId="77777777">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631"/>
        <w:gridCol w:w="5424"/>
      </w:tblGrid>
      <w:tr w14:paraId="4680A9D1"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55F2C" w:rsidRPr="00706FBD" w:rsidP="00E5323B" w14:paraId="0F298284" w14:textId="77777777">
            <w:pPr>
              <w:spacing w:after="0" w:line="240" w:lineRule="auto"/>
              <w:rPr>
                <w:rFonts w:ascii="Times New Roman" w:eastAsia="Times New Roman" w:hAnsi="Times New Roman" w:cs="Times New Roman"/>
                <w:b/>
                <w:bCs/>
                <w:iCs/>
                <w:sz w:val="24"/>
                <w:szCs w:val="24"/>
                <w:lang w:eastAsia="lv-LV"/>
              </w:rPr>
            </w:pPr>
            <w:r w:rsidRPr="00706FBD">
              <w:rPr>
                <w:rFonts w:ascii="Times New Roman" w:eastAsia="Times New Roman" w:hAnsi="Times New Roman" w:cs="Times New Roman"/>
                <w:b/>
                <w:bCs/>
                <w:iCs/>
                <w:sz w:val="24"/>
                <w:szCs w:val="24"/>
                <w:lang w:eastAsia="lv-LV"/>
              </w:rPr>
              <w:t>Tiesību akta projekta anotācijas kopsavilkums</w:t>
            </w:r>
          </w:p>
        </w:tc>
      </w:tr>
      <w:tr w14:paraId="76E42751"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E5323B" w:rsidRPr="00646324" w:rsidP="00E5323B" w14:paraId="50FF82AD" w14:textId="77777777">
            <w:pPr>
              <w:spacing w:after="0" w:line="240" w:lineRule="auto"/>
              <w:rPr>
                <w:rFonts w:ascii="Times New Roman" w:eastAsia="Times New Roman" w:hAnsi="Times New Roman" w:cs="Times New Roman"/>
                <w:iCs/>
                <w:sz w:val="24"/>
                <w:szCs w:val="24"/>
                <w:highlight w:val="yellow"/>
                <w:lang w:eastAsia="lv-LV"/>
              </w:rPr>
            </w:pPr>
            <w:r w:rsidRPr="000F6345">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rsidR="008A712C" w:rsidRPr="00FB3173" w:rsidP="00FB3173" w14:paraId="7545192F" w14:textId="77C7FD98">
            <w:pPr>
              <w:pStyle w:val="Default"/>
              <w:spacing w:before="120"/>
              <w:jc w:val="both"/>
              <w:rPr>
                <w:rFonts w:ascii="Times New Roman" w:hAnsi="Times New Roman" w:cs="Times New Roman"/>
              </w:rPr>
            </w:pPr>
            <w:r w:rsidRPr="00EE200F">
              <w:rPr>
                <w:rFonts w:ascii="Times New Roman" w:hAnsi="Times New Roman" w:cs="Times New Roman"/>
                <w:iCs/>
              </w:rPr>
              <w:t>Mini</w:t>
            </w:r>
            <w:r w:rsidR="00343495">
              <w:rPr>
                <w:rFonts w:ascii="Times New Roman" w:hAnsi="Times New Roman" w:cs="Times New Roman"/>
                <w:iCs/>
              </w:rPr>
              <w:t>stru kabineta noteikumu projekta</w:t>
            </w:r>
            <w:r w:rsidRPr="00EE200F">
              <w:rPr>
                <w:rFonts w:ascii="Times New Roman" w:hAnsi="Times New Roman" w:cs="Times New Roman"/>
                <w:iCs/>
              </w:rPr>
              <w:t xml:space="preserve"> “Grozījum</w:t>
            </w:r>
            <w:r w:rsidR="00A0513F">
              <w:rPr>
                <w:rFonts w:ascii="Times New Roman" w:hAnsi="Times New Roman" w:cs="Times New Roman"/>
                <w:iCs/>
              </w:rPr>
              <w:t>s</w:t>
            </w:r>
            <w:r w:rsidRPr="00EE200F">
              <w:rPr>
                <w:rFonts w:ascii="Times New Roman" w:hAnsi="Times New Roman" w:cs="Times New Roman"/>
                <w:iCs/>
              </w:rPr>
              <w:t xml:space="preserve"> </w:t>
            </w:r>
            <w:r w:rsidRPr="00343495">
              <w:rPr>
                <w:rFonts w:ascii="Times New Roman" w:hAnsi="Times New Roman" w:cs="Times New Roman"/>
                <w:iCs/>
              </w:rPr>
              <w:t xml:space="preserve">Ministru kabineta 2009.gada 10.marta noteikumos Nr.221 “Noteikumi par elektroenerģijas ražošanu un cenu noteikšanu, ražojot elektroenerģiju </w:t>
            </w:r>
            <w:r w:rsidRPr="0007594C">
              <w:rPr>
                <w:rFonts w:ascii="Times New Roman" w:hAnsi="Times New Roman" w:cs="Times New Roman"/>
                <w:iCs/>
              </w:rPr>
              <w:t>koģenerācijā”” (</w:t>
            </w:r>
            <w:r w:rsidRPr="0007594C">
              <w:rPr>
                <w:rFonts w:ascii="Times New Roman" w:hAnsi="Times New Roman" w:cs="Times New Roman"/>
              </w:rPr>
              <w:t>turpmāk</w:t>
            </w:r>
            <w:r w:rsidRPr="0007594C">
              <w:rPr>
                <w:rFonts w:ascii="Times New Roman" w:hAnsi="Times New Roman" w:cs="Times New Roman"/>
                <w:iCs/>
              </w:rPr>
              <w:t xml:space="preserve"> – </w:t>
            </w:r>
            <w:r w:rsidRPr="0007594C" w:rsidR="00A15180">
              <w:rPr>
                <w:rFonts w:ascii="Times New Roman" w:hAnsi="Times New Roman" w:cs="Times New Roman"/>
                <w:iCs/>
              </w:rPr>
              <w:t>N</w:t>
            </w:r>
            <w:r w:rsidRPr="0007594C">
              <w:rPr>
                <w:rFonts w:ascii="Times New Roman" w:hAnsi="Times New Roman" w:cs="Times New Roman"/>
                <w:iCs/>
              </w:rPr>
              <w:t>oteikumu projekts)</w:t>
            </w:r>
            <w:r w:rsidRPr="0007594C" w:rsidR="00C85341">
              <w:rPr>
                <w:rFonts w:ascii="Times New Roman" w:hAnsi="Times New Roman" w:cs="Times New Roman"/>
                <w:iCs/>
              </w:rPr>
              <w:t xml:space="preserve"> </w:t>
            </w:r>
            <w:r w:rsidRPr="0007594C" w:rsidR="00387CC8">
              <w:rPr>
                <w:rFonts w:ascii="Times New Roman" w:hAnsi="Times New Roman" w:cs="Times New Roman"/>
                <w:iCs/>
              </w:rPr>
              <w:t xml:space="preserve">mērķis ir </w:t>
            </w:r>
            <w:r w:rsidRPr="0007594C" w:rsidR="002A469B">
              <w:rPr>
                <w:rFonts w:ascii="Times New Roman" w:hAnsi="Times New Roman" w:cs="Times New Roman"/>
              </w:rPr>
              <w:t xml:space="preserve">nodrošināt iespēju </w:t>
            </w:r>
            <w:r w:rsidRPr="0007594C" w:rsidR="00502235">
              <w:rPr>
                <w:rFonts w:ascii="Times New Roman" w:hAnsi="Times New Roman" w:cs="Times New Roman"/>
              </w:rPr>
              <w:t xml:space="preserve">samazināt </w:t>
            </w:r>
            <w:r w:rsidRPr="0007594C" w:rsidR="00B22E0F">
              <w:rPr>
                <w:rFonts w:ascii="Times New Roman" w:hAnsi="Times New Roman" w:cs="Times New Roman"/>
              </w:rPr>
              <w:t xml:space="preserve">saskaņā ar </w:t>
            </w:r>
            <w:r w:rsidRPr="0007594C" w:rsidR="00B22E0F">
              <w:rPr>
                <w:rFonts w:ascii="Times New Roman" w:hAnsi="Times New Roman" w:cs="Times New Roman"/>
                <w:iCs/>
              </w:rPr>
              <w:t xml:space="preserve">Ministru kabineta 2009.gada 10.marta noteikumu Nr.221 “Noteikumi par elektroenerģijas ražošanu un cenu noteikšanu, ražojot elektroenerģiju koģenerācijā”” (turpmāk – Noteikumi Nr. 221) </w:t>
            </w:r>
            <w:r w:rsidRPr="0007594C" w:rsidR="00AE4611">
              <w:rPr>
                <w:rFonts w:ascii="Times New Roman" w:hAnsi="Times New Roman" w:cs="Times New Roman"/>
                <w:iCs/>
              </w:rPr>
              <w:t>IV.</w:t>
            </w:r>
            <w:r w:rsidRPr="0007594C" w:rsidR="00AE4611">
              <w:rPr>
                <w:bCs/>
                <w:vertAlign w:val="superscript"/>
              </w:rPr>
              <w:t>2</w:t>
            </w:r>
            <w:r w:rsidRPr="0007594C" w:rsidR="00832BB2">
              <w:rPr>
                <w:rFonts w:ascii="Times New Roman" w:hAnsi="Times New Roman" w:cs="Times New Roman"/>
                <w:iCs/>
              </w:rPr>
              <w:t> </w:t>
            </w:r>
            <w:r w:rsidRPr="0007594C" w:rsidR="00AE4611">
              <w:rPr>
                <w:rFonts w:ascii="Times New Roman" w:hAnsi="Times New Roman" w:cs="Times New Roman"/>
                <w:iCs/>
              </w:rPr>
              <w:t>nodaļas nosacījumiem</w:t>
            </w:r>
            <w:r w:rsidRPr="0007594C" w:rsidR="00B22E0F">
              <w:rPr>
                <w:rFonts w:ascii="Times New Roman" w:hAnsi="Times New Roman" w:cs="Times New Roman"/>
                <w:iCs/>
              </w:rPr>
              <w:t xml:space="preserve"> izmaksātā </w:t>
            </w:r>
            <w:r w:rsidRPr="0007594C" w:rsidR="00B22E0F">
              <w:rPr>
                <w:rFonts w:ascii="Times New Roman" w:hAnsi="Times New Roman" w:cs="Times New Roman"/>
              </w:rPr>
              <w:t>avansa maksājuma apmēru</w:t>
            </w:r>
            <w:r w:rsidRPr="0007594C" w:rsidR="001D7E52">
              <w:rPr>
                <w:rFonts w:ascii="Times New Roman" w:hAnsi="Times New Roman" w:cs="Times New Roman"/>
              </w:rPr>
              <w:t xml:space="preserve"> komersantam</w:t>
            </w:r>
            <w:r w:rsidRPr="0007594C" w:rsidR="00AE4611">
              <w:rPr>
                <w:rFonts w:ascii="Times New Roman" w:hAnsi="Times New Roman" w:cs="Times New Roman"/>
              </w:rPr>
              <w:t xml:space="preserve">, kas saņem garantētu maksu par koģenerācijas elektrostacijā uzstādīto elektrisko jaudu, </w:t>
            </w:r>
            <w:r w:rsidRPr="0007594C" w:rsidR="001D7E52">
              <w:rPr>
                <w:rFonts w:ascii="Times New Roman" w:hAnsi="Times New Roman" w:cs="Times New Roman"/>
              </w:rPr>
              <w:t>tādējādi samazinot arī valsts budžeta nākotnes izdevumus.</w:t>
            </w:r>
          </w:p>
        </w:tc>
      </w:tr>
    </w:tbl>
    <w:p w:rsidR="00E5323B" w:rsidRPr="00706FBD" w:rsidP="00E5323B" w14:paraId="29C54963" w14:textId="77777777">
      <w:pPr>
        <w:spacing w:after="0" w:line="240" w:lineRule="auto"/>
        <w:rPr>
          <w:rFonts w:ascii="Times New Roman" w:eastAsia="Times New Roman" w:hAnsi="Times New Roman" w:cs="Times New Roman"/>
          <w:iCs/>
          <w:sz w:val="24"/>
          <w:szCs w:val="24"/>
          <w:lang w:eastAsia="lv-LV"/>
        </w:rPr>
      </w:pPr>
      <w:r w:rsidRPr="00706FBD">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068"/>
        <w:gridCol w:w="5406"/>
      </w:tblGrid>
      <w:tr w14:paraId="74AD11CE"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706FBD" w:rsidP="00E5323B" w14:paraId="109D114B" w14:textId="77777777">
            <w:pPr>
              <w:spacing w:after="0" w:line="240" w:lineRule="auto"/>
              <w:rPr>
                <w:rFonts w:ascii="Times New Roman" w:eastAsia="Times New Roman" w:hAnsi="Times New Roman" w:cs="Times New Roman"/>
                <w:b/>
                <w:bCs/>
                <w:iCs/>
                <w:sz w:val="24"/>
                <w:szCs w:val="24"/>
                <w:lang w:eastAsia="lv-LV"/>
              </w:rPr>
            </w:pPr>
            <w:r w:rsidRPr="00706FBD">
              <w:rPr>
                <w:rFonts w:ascii="Times New Roman" w:eastAsia="Times New Roman" w:hAnsi="Times New Roman" w:cs="Times New Roman"/>
                <w:b/>
                <w:bCs/>
                <w:iCs/>
                <w:sz w:val="24"/>
                <w:szCs w:val="24"/>
                <w:lang w:eastAsia="lv-LV"/>
              </w:rPr>
              <w:t>I. Tiesību akta projekta izstrādes nepieciešamība</w:t>
            </w:r>
          </w:p>
        </w:tc>
      </w:tr>
      <w:tr w14:paraId="449FA7F4" w14:textId="77777777" w:rsidTr="002A3AFF">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706FBD" w:rsidP="00E5323B" w14:paraId="2E910871" w14:textId="77777777">
            <w:pPr>
              <w:spacing w:after="0" w:line="240" w:lineRule="auto"/>
              <w:rPr>
                <w:rFonts w:ascii="Times New Roman" w:eastAsia="Times New Roman" w:hAnsi="Times New Roman" w:cs="Times New Roman"/>
                <w:iCs/>
                <w:sz w:val="24"/>
                <w:szCs w:val="24"/>
                <w:lang w:eastAsia="lv-LV"/>
              </w:rPr>
            </w:pPr>
            <w:r w:rsidRPr="00706FBD">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rsidR="00E5323B" w:rsidRPr="00706FBD" w:rsidP="00E5323B" w14:paraId="0CFDB397" w14:textId="77777777">
            <w:pPr>
              <w:spacing w:after="0" w:line="240" w:lineRule="auto"/>
              <w:rPr>
                <w:rFonts w:ascii="Times New Roman" w:eastAsia="Times New Roman" w:hAnsi="Times New Roman" w:cs="Times New Roman"/>
                <w:iCs/>
                <w:sz w:val="24"/>
                <w:szCs w:val="24"/>
                <w:lang w:eastAsia="lv-LV"/>
              </w:rPr>
            </w:pPr>
            <w:r w:rsidRPr="00706FBD">
              <w:rPr>
                <w:rFonts w:ascii="Times New Roman" w:eastAsia="Times New Roman" w:hAnsi="Times New Roman" w:cs="Times New Roman"/>
                <w:iCs/>
                <w:sz w:val="24"/>
                <w:szCs w:val="24"/>
                <w:lang w:eastAsia="lv-LV"/>
              </w:rPr>
              <w:t>Pamatojums</w:t>
            </w:r>
          </w:p>
        </w:tc>
        <w:tc>
          <w:tcPr>
            <w:tcW w:w="2961" w:type="pct"/>
            <w:tcBorders>
              <w:top w:val="outset" w:sz="6" w:space="0" w:color="auto"/>
              <w:left w:val="outset" w:sz="6" w:space="0" w:color="auto"/>
              <w:bottom w:val="outset" w:sz="6" w:space="0" w:color="auto"/>
              <w:right w:val="outset" w:sz="6" w:space="0" w:color="auto"/>
            </w:tcBorders>
            <w:hideMark/>
          </w:tcPr>
          <w:p w:rsidR="00E5323B" w:rsidP="006F2FC3" w14:paraId="74144C82" w14:textId="4E58B4D7">
            <w:pPr>
              <w:spacing w:before="120" w:after="0"/>
              <w:jc w:val="both"/>
              <w:rPr>
                <w:rFonts w:ascii="Times New Roman" w:hAnsi="Times New Roman" w:cs="Times New Roman"/>
                <w:iCs/>
                <w:sz w:val="24"/>
                <w:szCs w:val="24"/>
              </w:rPr>
            </w:pPr>
            <w:r w:rsidRPr="00EE200F">
              <w:rPr>
                <w:rFonts w:ascii="Times New Roman" w:eastAsia="Times New Roman" w:hAnsi="Times New Roman" w:cs="Times New Roman"/>
                <w:iCs/>
                <w:sz w:val="24"/>
                <w:szCs w:val="24"/>
                <w:lang w:eastAsia="lv-LV"/>
              </w:rPr>
              <w:t>Deklarācija par Māra Kučinska vadītā M</w:t>
            </w:r>
            <w:r w:rsidR="00C9686E">
              <w:rPr>
                <w:rFonts w:ascii="Times New Roman" w:eastAsia="Times New Roman" w:hAnsi="Times New Roman" w:cs="Times New Roman"/>
                <w:iCs/>
                <w:sz w:val="24"/>
                <w:szCs w:val="24"/>
                <w:lang w:eastAsia="lv-LV"/>
              </w:rPr>
              <w:t>inistru kabineta</w:t>
            </w:r>
            <w:r w:rsidRPr="00EE200F">
              <w:rPr>
                <w:rFonts w:ascii="Times New Roman" w:eastAsia="Times New Roman" w:hAnsi="Times New Roman" w:cs="Times New Roman"/>
                <w:iCs/>
                <w:sz w:val="24"/>
                <w:szCs w:val="24"/>
                <w:lang w:eastAsia="lv-LV"/>
              </w:rPr>
              <w:t xml:space="preserve"> iecerēto darbību paredz </w:t>
            </w:r>
            <w:r w:rsidR="00C9686E">
              <w:rPr>
                <w:rFonts w:ascii="Times New Roman" w:eastAsia="Times New Roman" w:hAnsi="Times New Roman" w:cs="Times New Roman"/>
                <w:iCs/>
                <w:sz w:val="24"/>
                <w:szCs w:val="24"/>
                <w:lang w:eastAsia="lv-LV"/>
              </w:rPr>
              <w:t xml:space="preserve">obligātā iepirkuma komponentes (turpmāk – </w:t>
            </w:r>
            <w:r>
              <w:rPr>
                <w:rFonts w:ascii="Times New Roman" w:eastAsia="Times New Roman" w:hAnsi="Times New Roman" w:cs="Times New Roman"/>
                <w:iCs/>
                <w:sz w:val="24"/>
                <w:szCs w:val="24"/>
                <w:lang w:eastAsia="lv-LV"/>
              </w:rPr>
              <w:t>OIK</w:t>
            </w:r>
            <w:r w:rsidR="00C9686E">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nepaaugstināšanu virs 26,79 </w:t>
            </w:r>
            <w:r w:rsidRPr="00EE200F">
              <w:rPr>
                <w:rFonts w:ascii="Times New Roman" w:eastAsia="Times New Roman" w:hAnsi="Times New Roman" w:cs="Times New Roman"/>
                <w:iCs/>
                <w:sz w:val="24"/>
                <w:szCs w:val="24"/>
                <w:lang w:eastAsia="lv-LV"/>
              </w:rPr>
              <w:t xml:space="preserve">EUR/MWh. </w:t>
            </w:r>
            <w:r w:rsidR="00967E0B">
              <w:rPr>
                <w:rFonts w:ascii="Times New Roman" w:eastAsia="Times New Roman" w:hAnsi="Times New Roman" w:cs="Times New Roman"/>
                <w:iCs/>
                <w:sz w:val="24"/>
                <w:szCs w:val="24"/>
                <w:lang w:eastAsia="lv-LV"/>
              </w:rPr>
              <w:t>N</w:t>
            </w:r>
            <w:r w:rsidRPr="00EE200F">
              <w:rPr>
                <w:rFonts w:ascii="Times New Roman" w:eastAsia="Times New Roman" w:hAnsi="Times New Roman" w:cs="Times New Roman"/>
                <w:iCs/>
                <w:sz w:val="24"/>
                <w:szCs w:val="24"/>
                <w:lang w:eastAsia="lv-LV"/>
              </w:rPr>
              <w:t>oteikumu projekts izstrādāts, pamatojoties uz Ministru kabineta 2017.gada 2</w:t>
            </w:r>
            <w:r w:rsidR="00027FDD">
              <w:rPr>
                <w:rFonts w:ascii="Times New Roman" w:eastAsia="Times New Roman" w:hAnsi="Times New Roman" w:cs="Times New Roman"/>
                <w:iCs/>
                <w:sz w:val="24"/>
                <w:szCs w:val="24"/>
                <w:lang w:eastAsia="lv-LV"/>
              </w:rPr>
              <w:t>2. septembra rīkojuma Nr. 530 “</w:t>
            </w:r>
            <w:r w:rsidRPr="00EE200F">
              <w:rPr>
                <w:rFonts w:ascii="Times New Roman" w:eastAsia="Times New Roman" w:hAnsi="Times New Roman" w:cs="Times New Roman"/>
                <w:iCs/>
                <w:sz w:val="24"/>
                <w:szCs w:val="24"/>
                <w:lang w:eastAsia="lv-LV"/>
              </w:rPr>
              <w:t xml:space="preserve">Par konceptuālo ziņojumu “Kompleksi risinājumi elektroenerģijas tirgus attīstībai”” </w:t>
            </w:r>
            <w:r w:rsidR="00967E0B">
              <w:rPr>
                <w:rFonts w:ascii="Times New Roman" w:eastAsia="Times New Roman" w:hAnsi="Times New Roman" w:cs="Times New Roman"/>
                <w:iCs/>
                <w:sz w:val="24"/>
                <w:szCs w:val="24"/>
                <w:lang w:eastAsia="lv-LV"/>
              </w:rPr>
              <w:t>(turpmāk </w:t>
            </w:r>
            <w:r w:rsidRPr="00EE200F">
              <w:rPr>
                <w:rFonts w:ascii="Times New Roman" w:eastAsia="Times New Roman" w:hAnsi="Times New Roman" w:cs="Times New Roman"/>
                <w:iCs/>
                <w:sz w:val="24"/>
                <w:szCs w:val="24"/>
                <w:lang w:eastAsia="lv-LV"/>
              </w:rPr>
              <w:t xml:space="preserve">– rīkojums  Nr. 530) 10.1.punktu, kurš paredz, ka </w:t>
            </w:r>
            <w:r w:rsidR="00967E0B">
              <w:rPr>
                <w:rFonts w:ascii="Times New Roman" w:eastAsia="Times New Roman" w:hAnsi="Times New Roman" w:cs="Times New Roman"/>
                <w:iCs/>
                <w:sz w:val="24"/>
                <w:szCs w:val="24"/>
                <w:lang w:eastAsia="lv-LV"/>
              </w:rPr>
              <w:t>Noteikumos</w:t>
            </w:r>
            <w:r w:rsidRPr="00EE200F">
              <w:rPr>
                <w:rFonts w:ascii="Times New Roman" w:eastAsia="Times New Roman" w:hAnsi="Times New Roman" w:cs="Times New Roman"/>
                <w:iCs/>
                <w:sz w:val="24"/>
                <w:szCs w:val="24"/>
                <w:lang w:eastAsia="lv-LV"/>
              </w:rPr>
              <w:t xml:space="preserve"> Nr. 221 tiek veikti grozījumi nolūkā noteikt kārtību, kādā komersanti, kuri saņem garantētu maksu par koģenerācijas elektrostacijā uzstādīto elektrisko jaudu un kuru uzstādītā </w:t>
            </w:r>
            <w:r w:rsidRPr="00441F39">
              <w:rPr>
                <w:rFonts w:ascii="Times New Roman" w:eastAsia="Times New Roman" w:hAnsi="Times New Roman" w:cs="Times New Roman"/>
                <w:iCs/>
                <w:sz w:val="24"/>
                <w:szCs w:val="24"/>
                <w:lang w:eastAsia="lv-LV"/>
              </w:rPr>
              <w:t>elektriskā jauda ir lielāka par 100 MW, var daļēji atteikties no atlikušajā atbalsta periodā garantētās maksas par koģenerācijas elektrostacijā uzstādīto jaudu, par to saņemot vienreizēju maksājumu.</w:t>
            </w:r>
            <w:r w:rsidRPr="00441F39" w:rsidR="00FB3173">
              <w:rPr>
                <w:rFonts w:ascii="Times New Roman" w:eastAsia="Times New Roman" w:hAnsi="Times New Roman" w:cs="Times New Roman"/>
                <w:iCs/>
                <w:sz w:val="24"/>
                <w:szCs w:val="24"/>
                <w:lang w:eastAsia="lv-LV"/>
              </w:rPr>
              <w:t xml:space="preserve"> Ar Noteikumu projektu tiek precizēti </w:t>
            </w:r>
            <w:r w:rsidRPr="00441F39" w:rsidR="00FB3173">
              <w:rPr>
                <w:rFonts w:ascii="Times New Roman" w:hAnsi="Times New Roman" w:cs="Times New Roman"/>
                <w:iCs/>
                <w:sz w:val="24"/>
                <w:szCs w:val="24"/>
              </w:rPr>
              <w:t>Noteikum</w:t>
            </w:r>
            <w:r w:rsidR="00B938DD">
              <w:rPr>
                <w:rFonts w:ascii="Times New Roman" w:hAnsi="Times New Roman" w:cs="Times New Roman"/>
                <w:iCs/>
                <w:sz w:val="24"/>
                <w:szCs w:val="24"/>
              </w:rPr>
              <w:t>u</w:t>
            </w:r>
            <w:r w:rsidRPr="00441F39" w:rsidR="00FB3173">
              <w:rPr>
                <w:rFonts w:ascii="Times New Roman" w:hAnsi="Times New Roman" w:cs="Times New Roman"/>
                <w:iCs/>
                <w:sz w:val="24"/>
                <w:szCs w:val="24"/>
              </w:rPr>
              <w:t xml:space="preserve"> Nr. 221 IV.</w:t>
            </w:r>
            <w:r w:rsidRPr="00441F39" w:rsidR="00FB3173">
              <w:rPr>
                <w:rFonts w:ascii="Times New Roman" w:hAnsi="Times New Roman" w:cs="Times New Roman"/>
                <w:bCs/>
                <w:sz w:val="24"/>
                <w:szCs w:val="24"/>
                <w:vertAlign w:val="superscript"/>
              </w:rPr>
              <w:t>2</w:t>
            </w:r>
            <w:r w:rsidRPr="00441F39" w:rsidR="00FB3173">
              <w:rPr>
                <w:rFonts w:ascii="Times New Roman" w:hAnsi="Times New Roman" w:cs="Times New Roman"/>
                <w:iCs/>
                <w:sz w:val="24"/>
                <w:szCs w:val="24"/>
              </w:rPr>
              <w:t xml:space="preserve"> nodaļas nosacījumi.</w:t>
            </w:r>
            <w:r w:rsidR="00432C2B">
              <w:rPr>
                <w:rFonts w:ascii="Times New Roman" w:hAnsi="Times New Roman" w:cs="Times New Roman"/>
                <w:iCs/>
                <w:sz w:val="24"/>
                <w:szCs w:val="24"/>
              </w:rPr>
              <w:t xml:space="preserve"> </w:t>
            </w:r>
          </w:p>
          <w:p w:rsidR="00432C2B" w:rsidRPr="00EE200F" w:rsidP="006F2FC3" w14:paraId="7BDF67D7" w14:textId="3C1E896D">
            <w:pPr>
              <w:spacing w:before="120" w:after="0"/>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Noteikumu projekts </w:t>
            </w:r>
            <w:r w:rsidR="009102C3">
              <w:rPr>
                <w:rFonts w:ascii="Times New Roman" w:eastAsia="Times New Roman" w:hAnsi="Times New Roman" w:cs="Times New Roman"/>
                <w:iCs/>
                <w:sz w:val="24"/>
                <w:szCs w:val="24"/>
                <w:lang w:eastAsia="lv-LV"/>
              </w:rPr>
              <w:t>i</w:t>
            </w:r>
            <w:r w:rsidRPr="00432C2B">
              <w:rPr>
                <w:rFonts w:ascii="Times New Roman" w:eastAsia="Times New Roman" w:hAnsi="Times New Roman" w:cs="Times New Roman"/>
                <w:iCs/>
                <w:sz w:val="24"/>
                <w:szCs w:val="24"/>
                <w:lang w:eastAsia="lv-LV"/>
              </w:rPr>
              <w:t>zstrādāts pēc ministru prezidenta biedra, ekonomikas ministra iniciatīvas.</w:t>
            </w:r>
          </w:p>
        </w:tc>
      </w:tr>
      <w:tr w14:paraId="04FF4BAE" w14:textId="77777777" w:rsidTr="00AA590A">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2A3AFF" w:rsidRPr="00706FBD" w:rsidP="002A3AFF" w14:paraId="3BFB176E" w14:textId="77777777">
            <w:pPr>
              <w:spacing w:after="0" w:line="240" w:lineRule="auto"/>
              <w:rPr>
                <w:rFonts w:ascii="Times New Roman" w:eastAsia="Times New Roman" w:hAnsi="Times New Roman" w:cs="Times New Roman"/>
                <w:iCs/>
                <w:sz w:val="24"/>
                <w:szCs w:val="24"/>
                <w:lang w:eastAsia="lv-LV"/>
              </w:rPr>
            </w:pPr>
            <w:r w:rsidRPr="00706FBD">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rsidR="002A3AFF" w:rsidRPr="00706FBD" w:rsidP="002A3AFF" w14:paraId="2ABE9DFF" w14:textId="77777777">
            <w:pPr>
              <w:spacing w:after="0" w:line="240" w:lineRule="auto"/>
              <w:rPr>
                <w:rFonts w:ascii="Times New Roman" w:eastAsia="Times New Roman" w:hAnsi="Times New Roman" w:cs="Times New Roman"/>
                <w:iCs/>
                <w:sz w:val="24"/>
                <w:szCs w:val="24"/>
                <w:lang w:eastAsia="lv-LV"/>
              </w:rPr>
            </w:pPr>
            <w:r w:rsidRPr="00706FBD">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2961" w:type="pct"/>
            <w:tcBorders>
              <w:top w:val="outset" w:sz="6" w:space="0" w:color="auto"/>
              <w:left w:val="outset" w:sz="6" w:space="0" w:color="auto"/>
              <w:bottom w:val="outset" w:sz="6" w:space="0" w:color="auto"/>
              <w:right w:val="outset" w:sz="6" w:space="0" w:color="auto"/>
            </w:tcBorders>
          </w:tcPr>
          <w:p w:rsidR="00727776" w:rsidRPr="00727776" w:rsidP="00F132E6" w14:paraId="737A35DA" w14:textId="7A8AF4F5">
            <w:pPr>
              <w:spacing w:before="120" w:after="0"/>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w:t>
            </w:r>
            <w:r w:rsidRPr="00EE200F">
              <w:rPr>
                <w:rFonts w:ascii="Times New Roman" w:eastAsia="Times New Roman" w:hAnsi="Times New Roman" w:cs="Times New Roman"/>
                <w:iCs/>
                <w:sz w:val="24"/>
                <w:szCs w:val="24"/>
                <w:lang w:eastAsia="lv-LV"/>
              </w:rPr>
              <w:t>amatojoties uz Ministru kabineta 2017.gada 22.septembra rīkojuma Nr.530 ,,Par konceptuālo ziņojumu “Kompleksi risinājumi elektroenerģijas tirgus attīstībai”” (turpmāk – rīkojums Nr.530) 10.1.punktu</w:t>
            </w:r>
            <w:r>
              <w:rPr>
                <w:rFonts w:ascii="Times New Roman" w:eastAsia="Times New Roman" w:hAnsi="Times New Roman" w:cs="Times New Roman"/>
                <w:iCs/>
                <w:sz w:val="24"/>
                <w:szCs w:val="24"/>
                <w:lang w:eastAsia="lv-LV"/>
              </w:rPr>
              <w:t>, tika pieņemti Ministru kabineta 2017.gada 3.oktobra noteikumi Nr.608 “</w:t>
            </w:r>
            <w:r w:rsidRPr="00EE200F">
              <w:rPr>
                <w:rFonts w:ascii="Times New Roman" w:eastAsia="Times New Roman" w:hAnsi="Times New Roman" w:cs="Times New Roman"/>
                <w:iCs/>
                <w:sz w:val="24"/>
                <w:szCs w:val="24"/>
                <w:lang w:eastAsia="lv-LV"/>
              </w:rPr>
              <w:t>Grozījumi Ministru kabineta 2009.gada 10.marta noteikumos Nr.</w:t>
            </w:r>
            <w:r>
              <w:rPr>
                <w:rFonts w:ascii="Times New Roman" w:eastAsia="Times New Roman" w:hAnsi="Times New Roman" w:cs="Times New Roman"/>
                <w:iCs/>
                <w:sz w:val="24"/>
                <w:szCs w:val="24"/>
                <w:lang w:eastAsia="lv-LV"/>
              </w:rPr>
              <w:t>221 “</w:t>
            </w:r>
            <w:r>
              <w:fldChar w:fldCharType="begin"/>
            </w:r>
            <w:r>
              <w:instrText xml:space="preserve"> HYPERLINK "https://likumi.lv/ta/id/189260-noteikumi-par-elektroenergijas-razosanu-un-cenu-noteiksanu-razojot-elektroenergiju-kogeneracija" \t "_blank" </w:instrText>
            </w:r>
            <w:r>
              <w:fldChar w:fldCharType="separate"/>
            </w:r>
            <w:r w:rsidRPr="00EE200F">
              <w:rPr>
                <w:rFonts w:ascii="Times New Roman" w:eastAsia="Times New Roman" w:hAnsi="Times New Roman" w:cs="Times New Roman"/>
                <w:iCs/>
                <w:sz w:val="24"/>
                <w:szCs w:val="24"/>
                <w:lang w:eastAsia="lv-LV"/>
              </w:rPr>
              <w:t>Noteikumi par elektroenerģijas ražošanu un cenu noteikšanu, ražojot elektroenerģiju koģenerācijā</w:t>
            </w:r>
            <w:r>
              <w:fldChar w:fldCharType="end"/>
            </w:r>
            <w:r>
              <w:rPr>
                <w:rFonts w:ascii="Times New Roman" w:eastAsia="Times New Roman" w:hAnsi="Times New Roman" w:cs="Times New Roman"/>
                <w:iCs/>
                <w:sz w:val="24"/>
                <w:szCs w:val="24"/>
                <w:lang w:eastAsia="lv-LV"/>
              </w:rPr>
              <w:t xml:space="preserve">”” </w:t>
            </w:r>
            <w:r w:rsidR="005335FA">
              <w:rPr>
                <w:rFonts w:ascii="Times New Roman" w:eastAsia="Times New Roman" w:hAnsi="Times New Roman" w:cs="Times New Roman"/>
                <w:iCs/>
                <w:sz w:val="24"/>
                <w:szCs w:val="24"/>
                <w:lang w:eastAsia="lv-LV"/>
              </w:rPr>
              <w:t xml:space="preserve">(turpmāk – Noteikumi Nr. 608) </w:t>
            </w:r>
            <w:r>
              <w:rPr>
                <w:rFonts w:ascii="Times New Roman" w:eastAsia="Times New Roman" w:hAnsi="Times New Roman" w:cs="Times New Roman"/>
                <w:iCs/>
                <w:sz w:val="24"/>
                <w:szCs w:val="24"/>
                <w:lang w:eastAsia="lv-LV"/>
              </w:rPr>
              <w:t xml:space="preserve">ar mērķi noteikt kārtību, </w:t>
            </w:r>
            <w:r w:rsidRPr="00EE200F">
              <w:rPr>
                <w:rFonts w:ascii="Times New Roman" w:eastAsia="Times New Roman" w:hAnsi="Times New Roman" w:cs="Times New Roman"/>
                <w:iCs/>
                <w:sz w:val="24"/>
                <w:szCs w:val="24"/>
                <w:lang w:eastAsia="lv-LV"/>
              </w:rPr>
              <w:t xml:space="preserve">kādā komersanti, kuri saņem garantētu maksu par koģenerācijas elektrostacijā uzstādīto elektrisko jaudu un kuru uzstādītā elektriskā jauda ir lielāka par 100 MW, var daļēji atteikties no atlikušajā atbalsta periodā garantētās maksas par koģenerācijas elektrostacijā uzstādīto jaudu, </w:t>
            </w:r>
            <w:r w:rsidRPr="00727776">
              <w:rPr>
                <w:rFonts w:ascii="Times New Roman" w:eastAsia="Times New Roman" w:hAnsi="Times New Roman" w:cs="Times New Roman"/>
                <w:iCs/>
                <w:sz w:val="24"/>
                <w:szCs w:val="24"/>
                <w:lang w:eastAsia="lv-LV"/>
              </w:rPr>
              <w:t>par to saņemot vienreizēju maksājumu.</w:t>
            </w:r>
          </w:p>
          <w:p w:rsidR="00727776" w:rsidP="00F132E6" w14:paraId="04CD11CC" w14:textId="20696CD0">
            <w:pPr>
              <w:spacing w:before="120" w:after="0"/>
              <w:jc w:val="both"/>
              <w:rPr>
                <w:rFonts w:ascii="Times New Roman" w:hAnsi="Times New Roman" w:cs="Times New Roman"/>
                <w:sz w:val="24"/>
                <w:szCs w:val="24"/>
              </w:rPr>
            </w:pPr>
            <w:r>
              <w:rPr>
                <w:rFonts w:ascii="Times New Roman" w:eastAsia="Times New Roman" w:hAnsi="Times New Roman" w:cs="Times New Roman"/>
                <w:iCs/>
                <w:sz w:val="24"/>
                <w:szCs w:val="24"/>
                <w:lang w:eastAsia="lv-LV"/>
              </w:rPr>
              <w:t>Noteikumu Nr. 608</w:t>
            </w:r>
            <w:r>
              <w:rPr>
                <w:rFonts w:ascii="Times New Roman" w:eastAsia="Times New Roman" w:hAnsi="Times New Roman" w:cs="Times New Roman"/>
                <w:iCs/>
                <w:sz w:val="24"/>
                <w:szCs w:val="24"/>
                <w:lang w:eastAsia="lv-LV"/>
              </w:rPr>
              <w:t xml:space="preserve"> </w:t>
            </w:r>
            <w:r w:rsidR="00966BAA">
              <w:rPr>
                <w:rFonts w:ascii="Times New Roman" w:eastAsia="Times New Roman" w:hAnsi="Times New Roman" w:cs="Times New Roman"/>
                <w:iCs/>
                <w:sz w:val="24"/>
                <w:szCs w:val="24"/>
                <w:lang w:eastAsia="lv-LV"/>
              </w:rPr>
              <w:t xml:space="preserve">pieņemšanas </w:t>
            </w:r>
            <w:r>
              <w:rPr>
                <w:rFonts w:ascii="Times New Roman" w:eastAsia="Times New Roman" w:hAnsi="Times New Roman" w:cs="Times New Roman"/>
                <w:iCs/>
                <w:sz w:val="24"/>
                <w:szCs w:val="24"/>
                <w:lang w:eastAsia="lv-LV"/>
              </w:rPr>
              <w:t>rezultātā s</w:t>
            </w:r>
            <w:r w:rsidRPr="00727776">
              <w:rPr>
                <w:rFonts w:ascii="Times New Roman" w:eastAsia="Times New Roman" w:hAnsi="Times New Roman" w:cs="Times New Roman"/>
                <w:iCs/>
                <w:sz w:val="24"/>
                <w:szCs w:val="24"/>
                <w:lang w:eastAsia="lv-LV"/>
              </w:rPr>
              <w:t xml:space="preserve">askaņā ar Noteikumu Nr.221 </w:t>
            </w:r>
            <w:r w:rsidRPr="00727776">
              <w:rPr>
                <w:rFonts w:ascii="Times New Roman" w:hAnsi="Times New Roman" w:cs="Times New Roman"/>
                <w:sz w:val="24"/>
                <w:szCs w:val="24"/>
              </w:rPr>
              <w:t>56.</w:t>
            </w:r>
            <w:r w:rsidRPr="00727776">
              <w:rPr>
                <w:rFonts w:ascii="Times New Roman" w:hAnsi="Times New Roman" w:cs="Times New Roman"/>
                <w:sz w:val="24"/>
                <w:szCs w:val="24"/>
                <w:vertAlign w:val="superscript"/>
              </w:rPr>
              <w:t>23</w:t>
            </w:r>
            <w:r w:rsidRPr="00727776">
              <w:rPr>
                <w:rFonts w:ascii="Times New Roman" w:hAnsi="Times New Roman" w:cs="Times New Roman"/>
                <w:sz w:val="24"/>
                <w:szCs w:val="24"/>
              </w:rPr>
              <w:t xml:space="preserve"> </w:t>
            </w:r>
            <w:r>
              <w:rPr>
                <w:rFonts w:ascii="Times New Roman" w:hAnsi="Times New Roman" w:cs="Times New Roman"/>
                <w:sz w:val="24"/>
                <w:szCs w:val="24"/>
              </w:rPr>
              <w:t>punktu v</w:t>
            </w:r>
            <w:r w:rsidRPr="00727776">
              <w:rPr>
                <w:rFonts w:ascii="Times New Roman" w:hAnsi="Times New Roman" w:cs="Times New Roman"/>
                <w:sz w:val="24"/>
                <w:szCs w:val="24"/>
              </w:rPr>
              <w:t>ienreizējo maksājumu veido divas daļas, par kuru apmēru lemj Ministru kabinets. Pirmā daļa nepārsniedz vienu trešdaļu no kopējā apmēra, tiek izmaksāta komersantam kā kompensācija izmaksas gadā un komersanta grāmatvedības dokumentos ir grāmatojama kā attiecīgā gada ieņēmumi. Atlikusī daļa tiek izmaksāta kā avansa maksājums un komersanta grāmatvedībā ir atzīstama kā ieņēmumi proporcionāli saistību izpildei līdz atbalsta perioda beigām.</w:t>
            </w:r>
          </w:p>
          <w:p w:rsidR="00F27486" w:rsidRPr="00D73C90" w:rsidP="00F27486" w14:paraId="2A93C518" w14:textId="77777777">
            <w:pPr>
              <w:spacing w:before="120" w:after="0"/>
              <w:jc w:val="both"/>
              <w:rPr>
                <w:rFonts w:ascii="Times New Roman" w:hAnsi="Times New Roman" w:eastAsiaTheme="minorEastAsia" w:cs="Times New Roman"/>
                <w:sz w:val="24"/>
                <w:szCs w:val="24"/>
              </w:rPr>
            </w:pPr>
            <w:r>
              <w:rPr>
                <w:rFonts w:ascii="Times New Roman" w:hAnsi="Times New Roman" w:cs="Times New Roman"/>
                <w:sz w:val="24"/>
                <w:szCs w:val="24"/>
              </w:rPr>
              <w:t xml:space="preserve">Pašreizējā situācijā Noteikumi Nr.221 neparedz, ka, balstoties uz komersanta iesniegumu, Ministru kabinets varētu pārskatīt </w:t>
            </w:r>
            <w:r w:rsidRPr="00D73C90">
              <w:rPr>
                <w:rFonts w:ascii="Times New Roman" w:hAnsi="Times New Roman" w:eastAsiaTheme="minorEastAsia" w:cs="Times New Roman"/>
                <w:sz w:val="24"/>
                <w:szCs w:val="24"/>
              </w:rPr>
              <w:t>56.</w:t>
            </w:r>
            <w:r w:rsidRPr="00A20C35">
              <w:rPr>
                <w:rFonts w:ascii="Times New Roman" w:hAnsi="Times New Roman" w:eastAsiaTheme="minorEastAsia" w:cs="Times New Roman"/>
                <w:sz w:val="24"/>
                <w:szCs w:val="24"/>
                <w:vertAlign w:val="superscript"/>
              </w:rPr>
              <w:t>23</w:t>
            </w:r>
            <w:r w:rsidRPr="00D73C90">
              <w:rPr>
                <w:rFonts w:ascii="Times New Roman" w:hAnsi="Times New Roman" w:eastAsiaTheme="minorEastAsia" w:cs="Times New Roman"/>
                <w:sz w:val="24"/>
                <w:szCs w:val="24"/>
              </w:rPr>
              <w:t xml:space="preserve"> punkt</w:t>
            </w:r>
            <w:r>
              <w:rPr>
                <w:rFonts w:ascii="Times New Roman" w:hAnsi="Times New Roman" w:eastAsiaTheme="minorEastAsia" w:cs="Times New Roman"/>
                <w:sz w:val="24"/>
                <w:szCs w:val="24"/>
              </w:rPr>
              <w:t xml:space="preserve">ā minētā avansa saistību izpildi attiecībā uz atlikušās avansa daļas izmaksu pa gadiem. </w:t>
            </w:r>
          </w:p>
          <w:p w:rsidR="00F27486" w:rsidP="00F27486" w14:paraId="01FD0237" w14:textId="57737334">
            <w:pPr>
              <w:spacing w:before="120" w:after="0"/>
              <w:jc w:val="both"/>
              <w:rPr>
                <w:rFonts w:ascii="Times New Roman" w:hAnsi="Times New Roman" w:eastAsiaTheme="minorEastAsia" w:cs="Times New Roman"/>
                <w:sz w:val="24"/>
                <w:szCs w:val="24"/>
              </w:rPr>
            </w:pPr>
            <w:r>
              <w:rPr>
                <w:rFonts w:ascii="Times New Roman" w:hAnsi="Times New Roman" w:cs="Times New Roman"/>
                <w:sz w:val="24"/>
                <w:szCs w:val="24"/>
              </w:rPr>
              <w:t>Tādējādi vienreizējā maksājuma rezultātā veiktajam avansa maksājumam ir ilgtermiņa ietekme uz valsts budžeta izdevumiem</w:t>
            </w:r>
            <w:r>
              <w:rPr>
                <w:rStyle w:val="FootnoteReference"/>
                <w:rFonts w:ascii="Times New Roman" w:hAnsi="Times New Roman" w:cs="Times New Roman"/>
                <w:sz w:val="24"/>
                <w:szCs w:val="24"/>
              </w:rPr>
              <w:footnoteReference w:id="2"/>
            </w:r>
            <w:r>
              <w:rPr>
                <w:rFonts w:ascii="Times New Roman" w:hAnsi="Times New Roman" w:cs="Times New Roman"/>
                <w:sz w:val="24"/>
                <w:szCs w:val="24"/>
              </w:rPr>
              <w:t>. Lai būtu iespējams šādu ilgtermiņa ietekmi (valsts budžeta izdevumus</w:t>
            </w:r>
            <w:r w:rsidR="005C1095">
              <w:rPr>
                <w:rFonts w:ascii="Times New Roman" w:hAnsi="Times New Roman" w:cs="Times New Roman"/>
                <w:sz w:val="24"/>
                <w:szCs w:val="24"/>
              </w:rPr>
              <w:t xml:space="preserve"> un to ietekmi uz fiskālo telpu</w:t>
            </w:r>
            <w:r>
              <w:rPr>
                <w:rFonts w:ascii="Times New Roman" w:hAnsi="Times New Roman" w:cs="Times New Roman"/>
                <w:sz w:val="24"/>
                <w:szCs w:val="24"/>
              </w:rPr>
              <w:t>) perspektīvā mazināt, Noteikumu projektā paredzēta iespēja, ka balstoties uz tā komersanta iesniegumu, kurš ir izmantojis Noteikumu Nr.221 IV</w:t>
            </w:r>
            <w:r w:rsidRPr="00C97B23">
              <w:rPr>
                <w:rFonts w:ascii="Times New Roman" w:hAnsi="Times New Roman" w:cs="Times New Roman"/>
                <w:sz w:val="24"/>
                <w:szCs w:val="24"/>
                <w:vertAlign w:val="superscript"/>
              </w:rPr>
              <w:t>2</w:t>
            </w:r>
            <w:r>
              <w:rPr>
                <w:rFonts w:ascii="Times New Roman" w:hAnsi="Times New Roman" w:cs="Times New Roman"/>
                <w:sz w:val="24"/>
                <w:szCs w:val="24"/>
              </w:rPr>
              <w:t>. nodaļā</w:t>
            </w:r>
            <w:r w:rsidR="00740634">
              <w:rPr>
                <w:rFonts w:ascii="Times New Roman" w:hAnsi="Times New Roman" w:cs="Times New Roman"/>
                <w:sz w:val="24"/>
                <w:szCs w:val="24"/>
              </w:rPr>
              <w:t xml:space="preserve"> </w:t>
            </w:r>
            <w:r w:rsidR="00B417EC">
              <w:rPr>
                <w:rFonts w:ascii="Times New Roman" w:hAnsi="Times New Roman" w:cs="Times New Roman"/>
                <w:sz w:val="24"/>
                <w:szCs w:val="24"/>
              </w:rPr>
              <w:t>noteiktās</w:t>
            </w:r>
            <w:r w:rsidR="00740634">
              <w:rPr>
                <w:rFonts w:ascii="Times New Roman" w:hAnsi="Times New Roman" w:cs="Times New Roman"/>
                <w:sz w:val="24"/>
                <w:szCs w:val="24"/>
              </w:rPr>
              <w:t xml:space="preserve"> tiesības un par kuru izmantošanu ir pieņemts administratīvais akts, </w:t>
            </w:r>
            <w:r>
              <w:rPr>
                <w:rFonts w:ascii="Times New Roman" w:hAnsi="Times New Roman" w:cs="Times New Roman"/>
                <w:sz w:val="24"/>
                <w:szCs w:val="24"/>
              </w:rPr>
              <w:t xml:space="preserve">Ministru kabinets var lemt par </w:t>
            </w:r>
            <w:r w:rsidRPr="00D73C90">
              <w:rPr>
                <w:rFonts w:ascii="Times New Roman" w:hAnsi="Times New Roman" w:eastAsiaTheme="minorEastAsia" w:cs="Times New Roman"/>
                <w:sz w:val="24"/>
                <w:szCs w:val="24"/>
              </w:rPr>
              <w:t>56.</w:t>
            </w:r>
            <w:r w:rsidRPr="00A20C35">
              <w:rPr>
                <w:rFonts w:ascii="Times New Roman" w:hAnsi="Times New Roman" w:eastAsiaTheme="minorEastAsia" w:cs="Times New Roman"/>
                <w:sz w:val="24"/>
                <w:szCs w:val="24"/>
                <w:vertAlign w:val="superscript"/>
              </w:rPr>
              <w:t>23</w:t>
            </w:r>
            <w:r w:rsidRPr="00D73C90">
              <w:rPr>
                <w:rFonts w:ascii="Times New Roman" w:hAnsi="Times New Roman" w:eastAsiaTheme="minorEastAsia" w:cs="Times New Roman"/>
                <w:sz w:val="24"/>
                <w:szCs w:val="24"/>
              </w:rPr>
              <w:t xml:space="preserve"> punkt</w:t>
            </w:r>
            <w:r>
              <w:rPr>
                <w:rFonts w:ascii="Times New Roman" w:hAnsi="Times New Roman" w:eastAsiaTheme="minorEastAsia" w:cs="Times New Roman"/>
                <w:sz w:val="24"/>
                <w:szCs w:val="24"/>
              </w:rPr>
              <w:t xml:space="preserve">ā minētā avansa saistību izpildes pārskatīšanu attiecībā uz </w:t>
            </w:r>
            <w:r>
              <w:rPr>
                <w:rFonts w:ascii="Times New Roman" w:hAnsi="Times New Roman" w:eastAsiaTheme="minorEastAsia" w:cs="Times New Roman"/>
                <w:sz w:val="24"/>
                <w:szCs w:val="24"/>
              </w:rPr>
              <w:t>atlikušās avansa daļas izmaksu pa gadiem.</w:t>
            </w:r>
            <w:r w:rsidR="00DE5B59">
              <w:rPr>
                <w:rFonts w:ascii="Times New Roman" w:hAnsi="Times New Roman" w:eastAsiaTheme="minorEastAsia" w:cs="Times New Roman"/>
                <w:sz w:val="24"/>
                <w:szCs w:val="24"/>
              </w:rPr>
              <w:t xml:space="preserve"> Šādā gadījumā Ministru kabinets lemtu par grozījumiem sākotnējā administratīvajā aktā.</w:t>
            </w:r>
          </w:p>
          <w:p w:rsidR="00FC1B88" w:rsidP="004A752B" w14:paraId="142904D4" w14:textId="2F61DEB8">
            <w:pPr>
              <w:spacing w:before="120" w:after="0"/>
              <w:jc w:val="both"/>
              <w:rPr>
                <w:rFonts w:ascii="Times New Roman" w:hAnsi="Times New Roman" w:eastAsiaTheme="minorEastAsia" w:cs="Times New Roman"/>
                <w:sz w:val="24"/>
                <w:szCs w:val="24"/>
              </w:rPr>
            </w:pPr>
            <w:r w:rsidRPr="00EC196B">
              <w:rPr>
                <w:rFonts w:ascii="Times New Roman" w:hAnsi="Times New Roman" w:eastAsiaTheme="minorEastAsia" w:cs="Times New Roman"/>
                <w:sz w:val="24"/>
                <w:szCs w:val="24"/>
              </w:rPr>
              <w:t xml:space="preserve">Šāda risinājuma īstenošana praksē </w:t>
            </w:r>
            <w:r w:rsidRPr="00EC196B" w:rsidR="0028281E">
              <w:rPr>
                <w:rFonts w:ascii="Times New Roman" w:hAnsi="Times New Roman" w:eastAsiaTheme="minorEastAsia" w:cs="Times New Roman"/>
                <w:sz w:val="24"/>
                <w:szCs w:val="24"/>
              </w:rPr>
              <w:t>līdz ar iespēju</w:t>
            </w:r>
            <w:r w:rsidRPr="00EC196B" w:rsidR="004C739A">
              <w:rPr>
                <w:rFonts w:ascii="Times New Roman" w:hAnsi="Times New Roman" w:eastAsiaTheme="minorEastAsia" w:cs="Times New Roman"/>
                <w:sz w:val="24"/>
                <w:szCs w:val="24"/>
              </w:rPr>
              <w:t xml:space="preserve"> </w:t>
            </w:r>
            <w:r w:rsidRPr="00EC196B">
              <w:rPr>
                <w:rFonts w:ascii="Times New Roman" w:hAnsi="Times New Roman" w:eastAsiaTheme="minorEastAsia" w:cs="Times New Roman"/>
                <w:sz w:val="24"/>
                <w:szCs w:val="24"/>
              </w:rPr>
              <w:t xml:space="preserve">samazināt valsts </w:t>
            </w:r>
            <w:r w:rsidRPr="001D0BEC">
              <w:rPr>
                <w:rFonts w:ascii="Times New Roman" w:hAnsi="Times New Roman" w:eastAsiaTheme="minorEastAsia" w:cs="Times New Roman"/>
                <w:sz w:val="24"/>
                <w:szCs w:val="24"/>
              </w:rPr>
              <w:t xml:space="preserve">budžeta </w:t>
            </w:r>
            <w:r w:rsidRPr="001D0BEC" w:rsidR="0028281E">
              <w:rPr>
                <w:rFonts w:ascii="Times New Roman" w:hAnsi="Times New Roman" w:eastAsiaTheme="minorEastAsia" w:cs="Times New Roman"/>
                <w:sz w:val="24"/>
                <w:szCs w:val="24"/>
              </w:rPr>
              <w:t>nākotnes</w:t>
            </w:r>
            <w:r w:rsidRPr="001D0BEC">
              <w:rPr>
                <w:rFonts w:ascii="Times New Roman" w:hAnsi="Times New Roman" w:eastAsiaTheme="minorEastAsia" w:cs="Times New Roman"/>
                <w:sz w:val="24"/>
                <w:szCs w:val="24"/>
              </w:rPr>
              <w:t xml:space="preserve"> izdevumus</w:t>
            </w:r>
            <w:r w:rsidRPr="001D0BEC" w:rsidR="00846FC3">
              <w:rPr>
                <w:rFonts w:ascii="Times New Roman" w:hAnsi="Times New Roman" w:eastAsiaTheme="minorEastAsia" w:cs="Times New Roman"/>
                <w:sz w:val="24"/>
                <w:szCs w:val="24"/>
                <w:vertAlign w:val="superscript"/>
              </w:rPr>
              <w:t>1</w:t>
            </w:r>
            <w:r w:rsidRPr="001D0BEC" w:rsidR="00810F49">
              <w:rPr>
                <w:rFonts w:ascii="Times New Roman" w:hAnsi="Times New Roman" w:eastAsiaTheme="minorEastAsia" w:cs="Times New Roman"/>
                <w:sz w:val="24"/>
                <w:szCs w:val="24"/>
                <w:vertAlign w:val="superscript"/>
              </w:rPr>
              <w:t xml:space="preserve"> </w:t>
            </w:r>
            <w:r w:rsidRPr="001D0BEC" w:rsidR="00810F49">
              <w:rPr>
                <w:rFonts w:ascii="Times New Roman" w:hAnsi="Times New Roman" w:eastAsiaTheme="minorEastAsia" w:cs="Times New Roman"/>
                <w:sz w:val="24"/>
                <w:szCs w:val="24"/>
              </w:rPr>
              <w:t xml:space="preserve">(un </w:t>
            </w:r>
            <w:r w:rsidRPr="004A752B" w:rsidR="00810F49">
              <w:rPr>
                <w:rFonts w:ascii="Times New Roman" w:hAnsi="Times New Roman" w:eastAsiaTheme="minorEastAsia" w:cs="Times New Roman"/>
                <w:sz w:val="24"/>
                <w:szCs w:val="24"/>
              </w:rPr>
              <w:t>palielināt fiskālo telpu)</w:t>
            </w:r>
            <w:r w:rsidRPr="004A752B" w:rsidR="0028281E">
              <w:rPr>
                <w:rFonts w:ascii="Times New Roman" w:hAnsi="Times New Roman" w:eastAsiaTheme="minorEastAsia" w:cs="Times New Roman"/>
                <w:sz w:val="24"/>
                <w:szCs w:val="24"/>
              </w:rPr>
              <w:t xml:space="preserve"> </w:t>
            </w:r>
            <w:r w:rsidRPr="004A752B" w:rsidR="00B13831">
              <w:rPr>
                <w:rFonts w:ascii="Times New Roman" w:hAnsi="Times New Roman" w:eastAsiaTheme="minorEastAsia" w:cs="Times New Roman"/>
                <w:sz w:val="24"/>
                <w:szCs w:val="24"/>
              </w:rPr>
              <w:t xml:space="preserve">vienlaikus </w:t>
            </w:r>
            <w:r w:rsidRPr="004A752B" w:rsidR="0028281E">
              <w:rPr>
                <w:rFonts w:ascii="Times New Roman" w:hAnsi="Times New Roman" w:eastAsiaTheme="minorEastAsia" w:cs="Times New Roman"/>
                <w:sz w:val="24"/>
                <w:szCs w:val="24"/>
              </w:rPr>
              <w:t xml:space="preserve">ļautu </w:t>
            </w:r>
            <w:r w:rsidRPr="004A752B" w:rsidR="006A0E8C">
              <w:rPr>
                <w:rFonts w:ascii="Times New Roman" w:hAnsi="Times New Roman" w:eastAsiaTheme="minorEastAsia" w:cs="Times New Roman"/>
                <w:sz w:val="24"/>
                <w:szCs w:val="24"/>
              </w:rPr>
              <w:t>attiecīgu</w:t>
            </w:r>
            <w:r w:rsidRPr="004A752B" w:rsidR="00B13831">
              <w:rPr>
                <w:rFonts w:ascii="Times New Roman" w:hAnsi="Times New Roman" w:eastAsiaTheme="minorEastAsia" w:cs="Times New Roman"/>
                <w:sz w:val="24"/>
                <w:szCs w:val="24"/>
              </w:rPr>
              <w:t xml:space="preserve"> </w:t>
            </w:r>
            <w:r w:rsidRPr="00661B2F" w:rsidR="00B13831">
              <w:rPr>
                <w:rFonts w:ascii="Times New Roman" w:hAnsi="Times New Roman" w:eastAsiaTheme="minorEastAsia" w:cs="Times New Roman"/>
                <w:sz w:val="24"/>
                <w:szCs w:val="24"/>
              </w:rPr>
              <w:t xml:space="preserve">vienreizējā avansa daļas samazinājumu ātrāk </w:t>
            </w:r>
            <w:r w:rsidRPr="00661B2F" w:rsidR="006A0E8C">
              <w:rPr>
                <w:rFonts w:ascii="Times New Roman" w:hAnsi="Times New Roman" w:eastAsiaTheme="minorEastAsia" w:cs="Times New Roman"/>
                <w:sz w:val="24"/>
                <w:szCs w:val="24"/>
              </w:rPr>
              <w:t>atzīt</w:t>
            </w:r>
            <w:r w:rsidRPr="004A752B" w:rsidR="00B13831">
              <w:rPr>
                <w:rFonts w:ascii="Times New Roman" w:hAnsi="Times New Roman" w:eastAsiaTheme="minorEastAsia" w:cs="Times New Roman"/>
                <w:sz w:val="24"/>
                <w:szCs w:val="24"/>
              </w:rPr>
              <w:t xml:space="preserve"> kā ieņēmumu</w:t>
            </w:r>
            <w:r w:rsidRPr="004A752B" w:rsidR="006A0E8C">
              <w:rPr>
                <w:rFonts w:ascii="Times New Roman" w:hAnsi="Times New Roman" w:eastAsiaTheme="minorEastAsia" w:cs="Times New Roman"/>
                <w:sz w:val="24"/>
                <w:szCs w:val="24"/>
              </w:rPr>
              <w:t>s</w:t>
            </w:r>
            <w:r w:rsidRPr="004A752B" w:rsidR="00B13831">
              <w:rPr>
                <w:rFonts w:ascii="Times New Roman" w:hAnsi="Times New Roman" w:eastAsiaTheme="minorEastAsia" w:cs="Times New Roman"/>
                <w:sz w:val="24"/>
                <w:szCs w:val="24"/>
              </w:rPr>
              <w:t xml:space="preserve"> komersanta grāmatvedībā</w:t>
            </w:r>
            <w:r w:rsidRPr="004A752B" w:rsidR="004B7077">
              <w:rPr>
                <w:rFonts w:ascii="Times New Roman" w:hAnsi="Times New Roman" w:eastAsiaTheme="minorEastAsia" w:cs="Times New Roman"/>
                <w:sz w:val="24"/>
                <w:szCs w:val="24"/>
              </w:rPr>
              <w:t>. Risinājums dotu iespēju nodrošināt AS </w:t>
            </w:r>
            <w:r w:rsidRPr="004A752B" w:rsidR="005D46A2">
              <w:rPr>
                <w:rFonts w:ascii="Times New Roman" w:hAnsi="Times New Roman" w:eastAsiaTheme="minorEastAsia" w:cs="Times New Roman"/>
                <w:sz w:val="24"/>
                <w:szCs w:val="24"/>
              </w:rPr>
              <w:t xml:space="preserve">“Latvenergo” </w:t>
            </w:r>
            <w:r w:rsidR="00661B2F">
              <w:rPr>
                <w:rFonts w:ascii="Times New Roman" w:hAnsi="Times New Roman" w:eastAsiaTheme="minorEastAsia" w:cs="Times New Roman"/>
                <w:sz w:val="24"/>
                <w:szCs w:val="24"/>
              </w:rPr>
              <w:t>papildu</w:t>
            </w:r>
            <w:r w:rsidRPr="004A752B" w:rsidR="004B7077">
              <w:rPr>
                <w:rFonts w:ascii="Times New Roman" w:hAnsi="Times New Roman" w:eastAsiaTheme="minorEastAsia" w:cs="Times New Roman"/>
                <w:sz w:val="24"/>
                <w:szCs w:val="24"/>
              </w:rPr>
              <w:t xml:space="preserve"> dividendes OIK ierobežošanai 22,68 </w:t>
            </w:r>
            <w:r w:rsidRPr="004A752B" w:rsidR="004B7077">
              <w:rPr>
                <w:rFonts w:ascii="Times New Roman" w:hAnsi="Times New Roman" w:eastAsiaTheme="minorEastAsia" w:cs="Times New Roman"/>
                <w:i/>
                <w:sz w:val="24"/>
                <w:szCs w:val="24"/>
              </w:rPr>
              <w:t>euro</w:t>
            </w:r>
            <w:r w:rsidRPr="004A752B" w:rsidR="004B7077">
              <w:rPr>
                <w:rFonts w:ascii="Times New Roman" w:hAnsi="Times New Roman" w:eastAsiaTheme="minorEastAsia" w:cs="Times New Roman"/>
                <w:sz w:val="24"/>
                <w:szCs w:val="24"/>
              </w:rPr>
              <w:t xml:space="preserve">/MWh apmērā </w:t>
            </w:r>
            <w:r w:rsidRPr="004A752B" w:rsidR="004A752B">
              <w:rPr>
                <w:rFonts w:ascii="Times New Roman" w:hAnsi="Times New Roman" w:eastAsiaTheme="minorEastAsia" w:cs="Times New Roman"/>
                <w:sz w:val="24"/>
                <w:szCs w:val="24"/>
              </w:rPr>
              <w:t>vidējā termiņā</w:t>
            </w:r>
            <w:r w:rsidR="004A752B">
              <w:rPr>
                <w:rFonts w:ascii="Times New Roman" w:hAnsi="Times New Roman" w:eastAsiaTheme="minorEastAsia" w:cs="Times New Roman"/>
                <w:sz w:val="24"/>
                <w:szCs w:val="24"/>
              </w:rPr>
              <w:t>. Savukārt bez šī risinājuma rodas problēmas ar OIK ierobežošanu 2020. gadā.</w:t>
            </w:r>
          </w:p>
          <w:p w:rsidR="002A3AFF" w:rsidRPr="00B93A25" w:rsidP="00B005F3" w14:paraId="1A81EA1E" w14:textId="29A68461">
            <w:pPr>
              <w:spacing w:before="120" w:after="0"/>
              <w:jc w:val="both"/>
              <w:rPr>
                <w:rFonts w:ascii="Times New Roman" w:hAnsi="Times New Roman" w:cs="Times New Roman"/>
                <w:sz w:val="24"/>
                <w:szCs w:val="24"/>
              </w:rPr>
            </w:pPr>
            <w:r>
              <w:rPr>
                <w:rFonts w:ascii="Times New Roman" w:hAnsi="Times New Roman" w:eastAsiaTheme="minorEastAsia" w:cs="Times New Roman"/>
                <w:sz w:val="24"/>
                <w:szCs w:val="24"/>
              </w:rPr>
              <w:t>Svarīgi</w:t>
            </w:r>
            <w:r w:rsidR="000905F2">
              <w:rPr>
                <w:rFonts w:ascii="Times New Roman" w:hAnsi="Times New Roman" w:eastAsiaTheme="minorEastAsia" w:cs="Times New Roman"/>
                <w:sz w:val="24"/>
                <w:szCs w:val="24"/>
              </w:rPr>
              <w:t xml:space="preserve"> </w:t>
            </w:r>
            <w:r w:rsidR="00CE44DD">
              <w:rPr>
                <w:rFonts w:ascii="Times New Roman" w:hAnsi="Times New Roman" w:eastAsiaTheme="minorEastAsia" w:cs="Times New Roman"/>
                <w:sz w:val="24"/>
                <w:szCs w:val="24"/>
              </w:rPr>
              <w:t>norādīt</w:t>
            </w:r>
            <w:r>
              <w:rPr>
                <w:rFonts w:ascii="Times New Roman" w:hAnsi="Times New Roman" w:eastAsiaTheme="minorEastAsia" w:cs="Times New Roman"/>
                <w:sz w:val="24"/>
                <w:szCs w:val="24"/>
              </w:rPr>
              <w:t xml:space="preserve">, ka </w:t>
            </w:r>
            <w:r w:rsidR="003F53B5">
              <w:rPr>
                <w:rFonts w:ascii="Times New Roman" w:hAnsi="Times New Roman" w:eastAsiaTheme="minorEastAsia" w:cs="Times New Roman"/>
                <w:sz w:val="24"/>
                <w:szCs w:val="24"/>
              </w:rPr>
              <w:t>Noteikumu projekta konstrukcija</w:t>
            </w:r>
            <w:r w:rsidR="002A6750">
              <w:rPr>
                <w:rFonts w:ascii="Times New Roman" w:hAnsi="Times New Roman" w:eastAsiaTheme="minorEastAsia" w:cs="Times New Roman"/>
                <w:sz w:val="24"/>
                <w:szCs w:val="24"/>
              </w:rPr>
              <w:t xml:space="preserve"> </w:t>
            </w:r>
            <w:r w:rsidR="003F53B5">
              <w:rPr>
                <w:rFonts w:ascii="Times New Roman" w:hAnsi="Times New Roman" w:eastAsiaTheme="minorEastAsia" w:cs="Times New Roman"/>
                <w:sz w:val="24"/>
                <w:szCs w:val="24"/>
              </w:rPr>
              <w:t>neietekmē</w:t>
            </w:r>
            <w:r w:rsidR="00145793">
              <w:rPr>
                <w:rFonts w:ascii="Times New Roman" w:hAnsi="Times New Roman" w:eastAsiaTheme="minorEastAsia" w:cs="Times New Roman"/>
                <w:sz w:val="24"/>
                <w:szCs w:val="24"/>
              </w:rPr>
              <w:t xml:space="preserve"> </w:t>
            </w:r>
            <w:r w:rsidR="002A6750">
              <w:rPr>
                <w:rFonts w:ascii="Times New Roman" w:hAnsi="Times New Roman" w:eastAsiaTheme="minorEastAsia" w:cs="Times New Roman"/>
                <w:sz w:val="24"/>
                <w:szCs w:val="24"/>
              </w:rPr>
              <w:t>Noteikumu Nr.221 IV.</w:t>
            </w:r>
            <w:r w:rsidRPr="000905F2" w:rsidR="002A6750">
              <w:rPr>
                <w:rFonts w:ascii="Times New Roman" w:hAnsi="Times New Roman" w:eastAsiaTheme="minorEastAsia" w:cs="Times New Roman"/>
                <w:sz w:val="24"/>
                <w:szCs w:val="24"/>
                <w:vertAlign w:val="superscript"/>
              </w:rPr>
              <w:t>2</w:t>
            </w:r>
            <w:r w:rsidR="00795042">
              <w:rPr>
                <w:rFonts w:ascii="Times New Roman" w:hAnsi="Times New Roman" w:eastAsiaTheme="minorEastAsia" w:cs="Times New Roman"/>
                <w:sz w:val="24"/>
                <w:szCs w:val="24"/>
              </w:rPr>
              <w:t> </w:t>
            </w:r>
            <w:r w:rsidR="000905F2">
              <w:rPr>
                <w:rFonts w:ascii="Times New Roman" w:hAnsi="Times New Roman" w:eastAsiaTheme="minorEastAsia" w:cs="Times New Roman"/>
                <w:sz w:val="24"/>
                <w:szCs w:val="24"/>
              </w:rPr>
              <w:t xml:space="preserve">nodaļas </w:t>
            </w:r>
            <w:r w:rsidR="00BA780A">
              <w:rPr>
                <w:rFonts w:ascii="Times New Roman" w:hAnsi="Times New Roman" w:eastAsiaTheme="minorEastAsia" w:cs="Times New Roman"/>
                <w:sz w:val="24"/>
                <w:szCs w:val="24"/>
              </w:rPr>
              <w:t>nosacījumus</w:t>
            </w:r>
            <w:r w:rsidR="00795042">
              <w:rPr>
                <w:rFonts w:ascii="Times New Roman" w:hAnsi="Times New Roman" w:eastAsiaTheme="minorEastAsia" w:cs="Times New Roman"/>
                <w:sz w:val="24"/>
                <w:szCs w:val="24"/>
              </w:rPr>
              <w:t xml:space="preserve"> </w:t>
            </w:r>
            <w:r w:rsidR="00BA780A">
              <w:rPr>
                <w:rFonts w:ascii="Times New Roman" w:hAnsi="Times New Roman" w:eastAsiaTheme="minorEastAsia" w:cs="Times New Roman"/>
                <w:sz w:val="24"/>
                <w:szCs w:val="24"/>
              </w:rPr>
              <w:t>attiecībā uz</w:t>
            </w:r>
            <w:r w:rsidR="00795042">
              <w:rPr>
                <w:rFonts w:ascii="Times New Roman" w:hAnsi="Times New Roman" w:eastAsiaTheme="minorEastAsia" w:cs="Times New Roman"/>
                <w:sz w:val="24"/>
                <w:szCs w:val="24"/>
              </w:rPr>
              <w:t xml:space="preserve"> vienreizējā maksājuma apmēru</w:t>
            </w:r>
            <w:r w:rsidR="00960383">
              <w:rPr>
                <w:rFonts w:ascii="Times New Roman" w:hAnsi="Times New Roman" w:eastAsiaTheme="minorEastAsia" w:cs="Times New Roman"/>
                <w:sz w:val="24"/>
                <w:szCs w:val="24"/>
              </w:rPr>
              <w:t xml:space="preserve"> un attiecīgi nepalielina visā atbalsta periodā izmaksājamā valsts atbalsta kopējo intensitāti komersantam, kurš ir izmantojis </w:t>
            </w:r>
            <w:r w:rsidR="00960383">
              <w:rPr>
                <w:rFonts w:ascii="Times New Roman" w:hAnsi="Times New Roman" w:cs="Times New Roman"/>
                <w:sz w:val="24"/>
                <w:szCs w:val="24"/>
              </w:rPr>
              <w:t>Noteikumu Nr.221 IV</w:t>
            </w:r>
            <w:r w:rsidRPr="00C97B23" w:rsidR="00960383">
              <w:rPr>
                <w:rFonts w:ascii="Times New Roman" w:hAnsi="Times New Roman" w:cs="Times New Roman"/>
                <w:sz w:val="24"/>
                <w:szCs w:val="24"/>
                <w:vertAlign w:val="superscript"/>
              </w:rPr>
              <w:t>2</w:t>
            </w:r>
            <w:r w:rsidR="00960383">
              <w:rPr>
                <w:rFonts w:ascii="Times New Roman" w:hAnsi="Times New Roman" w:cs="Times New Roman"/>
                <w:sz w:val="24"/>
                <w:szCs w:val="24"/>
              </w:rPr>
              <w:t>. nodaļā noteiktās tiesības</w:t>
            </w:r>
            <w:r w:rsidR="00960383">
              <w:rPr>
                <w:rFonts w:ascii="Times New Roman" w:hAnsi="Times New Roman" w:eastAsiaTheme="minorEastAsia" w:cs="Times New Roman"/>
                <w:sz w:val="24"/>
                <w:szCs w:val="24"/>
              </w:rPr>
              <w:t>.</w:t>
            </w:r>
            <w:r w:rsidR="00695FBD">
              <w:rPr>
                <w:rFonts w:ascii="Times New Roman" w:hAnsi="Times New Roman" w:eastAsiaTheme="minorEastAsia" w:cs="Times New Roman"/>
                <w:sz w:val="24"/>
                <w:szCs w:val="24"/>
              </w:rPr>
              <w:t xml:space="preserve"> </w:t>
            </w:r>
            <w:r w:rsidR="00960383">
              <w:rPr>
                <w:rFonts w:ascii="Times New Roman" w:hAnsi="Times New Roman" w:eastAsiaTheme="minorEastAsia" w:cs="Times New Roman"/>
                <w:sz w:val="24"/>
                <w:szCs w:val="24"/>
              </w:rPr>
              <w:t xml:space="preserve">Tādējādi Noteikumu projektā paredzētajām tiesībām nav ietekmes uz </w:t>
            </w:r>
            <w:r w:rsidR="00695FBD">
              <w:rPr>
                <w:rFonts w:ascii="Times New Roman" w:hAnsi="Times New Roman" w:eastAsiaTheme="minorEastAsia" w:cs="Times New Roman"/>
                <w:sz w:val="24"/>
                <w:szCs w:val="24"/>
              </w:rPr>
              <w:t xml:space="preserve">koģenerācijas elektrostacijas kopējās kapitālieguldījumu iekšējās peļņas normas </w:t>
            </w:r>
            <w:r w:rsidR="00CE44DD">
              <w:rPr>
                <w:rFonts w:ascii="Times New Roman" w:hAnsi="Times New Roman" w:eastAsiaTheme="minorEastAsia" w:cs="Times New Roman"/>
                <w:sz w:val="24"/>
                <w:szCs w:val="24"/>
              </w:rPr>
              <w:t>lielumu</w:t>
            </w:r>
            <w:r w:rsidR="00960383">
              <w:rPr>
                <w:rFonts w:ascii="Times New Roman" w:hAnsi="Times New Roman" w:eastAsiaTheme="minorEastAsia" w:cs="Times New Roman"/>
                <w:sz w:val="24"/>
                <w:szCs w:val="24"/>
              </w:rPr>
              <w:t>.</w:t>
            </w:r>
            <w:r w:rsidR="00CE44DD">
              <w:rPr>
                <w:rFonts w:ascii="Times New Roman" w:hAnsi="Times New Roman" w:eastAsiaTheme="minorEastAsia" w:cs="Times New Roman"/>
                <w:sz w:val="24"/>
                <w:szCs w:val="24"/>
              </w:rPr>
              <w:t xml:space="preserve"> </w:t>
            </w:r>
            <w:r w:rsidR="00960383">
              <w:rPr>
                <w:rFonts w:ascii="Times New Roman" w:hAnsi="Times New Roman" w:eastAsiaTheme="minorEastAsia" w:cs="Times New Roman"/>
                <w:sz w:val="24"/>
                <w:szCs w:val="24"/>
              </w:rPr>
              <w:t>Tāpat Noteikumu projektā paredzētās tiesības nemaina</w:t>
            </w:r>
            <w:r w:rsidR="00CE44DD">
              <w:rPr>
                <w:rFonts w:ascii="Times New Roman" w:hAnsi="Times New Roman" w:eastAsiaTheme="minorEastAsia" w:cs="Times New Roman"/>
                <w:sz w:val="24"/>
                <w:szCs w:val="24"/>
              </w:rPr>
              <w:t xml:space="preserve"> komersanta pienākumu nodrošināt koģenerācijas elektrostacijas darbību visā atlikušajā atbalsta periodā atbilstoši tiem nosacījumiem, kas tam ir bijuši saistoši līdz </w:t>
            </w:r>
            <w:r w:rsidR="006C1476">
              <w:rPr>
                <w:rFonts w:ascii="Times New Roman" w:hAnsi="Times New Roman" w:eastAsiaTheme="minorEastAsia" w:cs="Times New Roman"/>
                <w:sz w:val="24"/>
                <w:szCs w:val="24"/>
              </w:rPr>
              <w:t xml:space="preserve">pieteikuma iesniegšanai saskaņā ar </w:t>
            </w:r>
            <w:r w:rsidR="00CE44DD">
              <w:rPr>
                <w:rFonts w:ascii="Times New Roman" w:hAnsi="Times New Roman" w:eastAsiaTheme="minorEastAsia" w:cs="Times New Roman"/>
                <w:sz w:val="24"/>
                <w:szCs w:val="24"/>
              </w:rPr>
              <w:t xml:space="preserve">Noteikumu Nr.221 </w:t>
            </w:r>
            <w:r w:rsidR="006C1476">
              <w:rPr>
                <w:rFonts w:ascii="Times New Roman" w:hAnsi="Times New Roman" w:eastAsiaTheme="minorEastAsia" w:cs="Times New Roman"/>
                <w:sz w:val="24"/>
                <w:szCs w:val="24"/>
              </w:rPr>
              <w:t>56.</w:t>
            </w:r>
            <w:r w:rsidRPr="006C1476" w:rsidR="006C1476">
              <w:rPr>
                <w:rFonts w:ascii="Times New Roman" w:hAnsi="Times New Roman" w:eastAsiaTheme="minorEastAsia" w:cs="Times New Roman"/>
                <w:sz w:val="24"/>
                <w:szCs w:val="24"/>
                <w:vertAlign w:val="superscript"/>
              </w:rPr>
              <w:t>24</w:t>
            </w:r>
            <w:r w:rsidR="006C1476">
              <w:rPr>
                <w:rFonts w:ascii="Times New Roman" w:hAnsi="Times New Roman" w:eastAsiaTheme="minorEastAsia" w:cs="Times New Roman"/>
                <w:sz w:val="24"/>
                <w:szCs w:val="24"/>
              </w:rPr>
              <w:t> punktu.</w:t>
            </w:r>
          </w:p>
        </w:tc>
      </w:tr>
      <w:tr w14:paraId="2C2654D5" w14:textId="77777777" w:rsidTr="00AA590A">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2A3AFF" w:rsidRPr="00706FBD" w:rsidP="002A3AFF" w14:paraId="51071053" w14:textId="77777777">
            <w:pPr>
              <w:spacing w:after="0" w:line="240" w:lineRule="auto"/>
              <w:rPr>
                <w:rFonts w:ascii="Times New Roman" w:eastAsia="Times New Roman" w:hAnsi="Times New Roman" w:cs="Times New Roman"/>
                <w:iCs/>
                <w:sz w:val="24"/>
                <w:szCs w:val="24"/>
                <w:lang w:eastAsia="lv-LV"/>
              </w:rPr>
            </w:pPr>
            <w:r w:rsidRPr="00706FBD">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rsidR="002A3AFF" w:rsidRPr="00706FBD" w:rsidP="002A3AFF" w14:paraId="170A303F" w14:textId="77777777">
            <w:pPr>
              <w:spacing w:after="0" w:line="240" w:lineRule="auto"/>
              <w:rPr>
                <w:rFonts w:ascii="Times New Roman" w:eastAsia="Times New Roman" w:hAnsi="Times New Roman" w:cs="Times New Roman"/>
                <w:iCs/>
                <w:sz w:val="24"/>
                <w:szCs w:val="24"/>
                <w:lang w:eastAsia="lv-LV"/>
              </w:rPr>
            </w:pPr>
            <w:r w:rsidRPr="00706FBD">
              <w:rPr>
                <w:rFonts w:ascii="Times New Roman" w:eastAsia="Times New Roman" w:hAnsi="Times New Roman" w:cs="Times New Roman"/>
                <w:iCs/>
                <w:sz w:val="24"/>
                <w:szCs w:val="24"/>
                <w:lang w:eastAsia="lv-LV"/>
              </w:rPr>
              <w:t>Projekta izstrādē iesaistītās institūcijas un publiskas personas kapitālsabiedrības</w:t>
            </w:r>
          </w:p>
        </w:tc>
        <w:tc>
          <w:tcPr>
            <w:tcW w:w="2961" w:type="pct"/>
            <w:tcBorders>
              <w:top w:val="outset" w:sz="6" w:space="0" w:color="auto"/>
              <w:left w:val="outset" w:sz="6" w:space="0" w:color="auto"/>
              <w:bottom w:val="outset" w:sz="6" w:space="0" w:color="auto"/>
              <w:right w:val="outset" w:sz="6" w:space="0" w:color="auto"/>
            </w:tcBorders>
          </w:tcPr>
          <w:p w:rsidR="002A3AFF" w:rsidRPr="00706FBD" w:rsidP="002A3AFF" w14:paraId="7CE9B088" w14:textId="387F178E">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sz w:val="24"/>
                <w:szCs w:val="24"/>
                <w:lang w:eastAsia="lv-LV"/>
              </w:rPr>
              <w:t>Projekts šo jomu neskar</w:t>
            </w:r>
          </w:p>
        </w:tc>
      </w:tr>
      <w:tr w14:paraId="5B8F8054" w14:textId="77777777" w:rsidTr="002A3AFF">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2A3AFF" w:rsidRPr="00706FBD" w:rsidP="002A3AFF" w14:paraId="559139EE" w14:textId="77777777">
            <w:pPr>
              <w:spacing w:after="0" w:line="240" w:lineRule="auto"/>
              <w:rPr>
                <w:rFonts w:ascii="Times New Roman" w:eastAsia="Times New Roman" w:hAnsi="Times New Roman" w:cs="Times New Roman"/>
                <w:iCs/>
                <w:sz w:val="24"/>
                <w:szCs w:val="24"/>
                <w:lang w:eastAsia="lv-LV"/>
              </w:rPr>
            </w:pPr>
            <w:r w:rsidRPr="00706FBD">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rsidR="002A3AFF" w:rsidRPr="00706FBD" w:rsidP="002A3AFF" w14:paraId="3F685566" w14:textId="77777777">
            <w:pPr>
              <w:spacing w:after="0" w:line="240" w:lineRule="auto"/>
              <w:rPr>
                <w:rFonts w:ascii="Times New Roman" w:eastAsia="Times New Roman" w:hAnsi="Times New Roman" w:cs="Times New Roman"/>
                <w:iCs/>
                <w:sz w:val="24"/>
                <w:szCs w:val="24"/>
                <w:lang w:eastAsia="lv-LV"/>
              </w:rPr>
            </w:pPr>
            <w:r w:rsidRPr="00706FBD">
              <w:rPr>
                <w:rFonts w:ascii="Times New Roman" w:eastAsia="Times New Roman" w:hAnsi="Times New Roman" w:cs="Times New Roman"/>
                <w:iCs/>
                <w:sz w:val="24"/>
                <w:szCs w:val="24"/>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rsidR="002A3AFF" w:rsidRPr="00706FBD" w:rsidP="002A3AFF" w14:paraId="20A10026" w14:textId="77777777">
            <w:pPr>
              <w:spacing w:after="0" w:line="240" w:lineRule="auto"/>
              <w:rPr>
                <w:rFonts w:ascii="Times New Roman" w:eastAsia="Times New Roman" w:hAnsi="Times New Roman" w:cs="Times New Roman"/>
                <w:iCs/>
                <w:sz w:val="24"/>
                <w:szCs w:val="24"/>
                <w:lang w:eastAsia="lv-LV"/>
              </w:rPr>
            </w:pPr>
            <w:r w:rsidRPr="00706FBD">
              <w:rPr>
                <w:rFonts w:ascii="Times New Roman" w:eastAsia="Times New Roman" w:hAnsi="Times New Roman" w:cs="Times New Roman"/>
                <w:iCs/>
                <w:sz w:val="24"/>
                <w:szCs w:val="24"/>
                <w:lang w:eastAsia="lv-LV"/>
              </w:rPr>
              <w:t>Nav</w:t>
            </w:r>
          </w:p>
        </w:tc>
      </w:tr>
    </w:tbl>
    <w:p w:rsidR="00E5323B" w:rsidRPr="00706FBD" w:rsidP="00E5323B" w14:paraId="2B3AFE25" w14:textId="77777777">
      <w:pPr>
        <w:spacing w:after="0" w:line="240" w:lineRule="auto"/>
        <w:rPr>
          <w:rFonts w:ascii="Times New Roman" w:eastAsia="Times New Roman" w:hAnsi="Times New Roman" w:cs="Times New Roman"/>
          <w:iCs/>
          <w:sz w:val="24"/>
          <w:szCs w:val="24"/>
          <w:lang w:eastAsia="lv-LV"/>
        </w:rPr>
      </w:pPr>
      <w:r w:rsidRPr="00706FBD">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068"/>
        <w:gridCol w:w="5406"/>
      </w:tblGrid>
      <w:tr w14:paraId="280F8F35"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706FBD" w:rsidP="00E5323B" w14:paraId="11348CF0" w14:textId="77777777">
            <w:pPr>
              <w:spacing w:after="0" w:line="240" w:lineRule="auto"/>
              <w:rPr>
                <w:rFonts w:ascii="Times New Roman" w:eastAsia="Times New Roman" w:hAnsi="Times New Roman" w:cs="Times New Roman"/>
                <w:b/>
                <w:bCs/>
                <w:iCs/>
                <w:sz w:val="24"/>
                <w:szCs w:val="24"/>
                <w:lang w:eastAsia="lv-LV"/>
              </w:rPr>
            </w:pPr>
            <w:r w:rsidRPr="00706FBD">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14:paraId="22126D6D" w14:textId="77777777" w:rsidTr="00AA590A">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706FBD" w:rsidP="00E5323B" w14:paraId="77F5AAAF" w14:textId="77777777">
            <w:pPr>
              <w:spacing w:after="0" w:line="240" w:lineRule="auto"/>
              <w:rPr>
                <w:rFonts w:ascii="Times New Roman" w:eastAsia="Times New Roman" w:hAnsi="Times New Roman" w:cs="Times New Roman"/>
                <w:iCs/>
                <w:sz w:val="24"/>
                <w:szCs w:val="24"/>
                <w:lang w:eastAsia="lv-LV"/>
              </w:rPr>
            </w:pPr>
            <w:r w:rsidRPr="00706FBD">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706FBD" w:rsidP="00E5323B" w14:paraId="26A1F1E3" w14:textId="77777777">
            <w:pPr>
              <w:spacing w:after="0" w:line="240" w:lineRule="auto"/>
              <w:rPr>
                <w:rFonts w:ascii="Times New Roman" w:eastAsia="Times New Roman" w:hAnsi="Times New Roman" w:cs="Times New Roman"/>
                <w:iCs/>
                <w:sz w:val="24"/>
                <w:szCs w:val="24"/>
                <w:lang w:eastAsia="lv-LV"/>
              </w:rPr>
            </w:pPr>
            <w:r w:rsidRPr="00706FBD">
              <w:rPr>
                <w:rFonts w:ascii="Times New Roman" w:eastAsia="Times New Roman" w:hAnsi="Times New Roman" w:cs="Times New Roman"/>
                <w:iCs/>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tcPr>
          <w:p w:rsidR="00B31F31" w:rsidRPr="00EF32FB" w:rsidP="00E02ED7" w14:paraId="41B4B643" w14:textId="46F817DF">
            <w:pPr>
              <w:pStyle w:val="Default"/>
              <w:spacing w:before="120"/>
              <w:jc w:val="both"/>
              <w:rPr>
                <w:rFonts w:ascii="Times New Roman" w:hAnsi="Times New Roman"/>
                <w:color w:val="000000" w:themeColor="text1"/>
              </w:rPr>
            </w:pPr>
            <w:r w:rsidRPr="00EF32FB">
              <w:rPr>
                <w:rFonts w:ascii="Times New Roman" w:hAnsi="Times New Roman"/>
                <w:color w:val="000000" w:themeColor="text1"/>
              </w:rPr>
              <w:t xml:space="preserve">Ražotāji, kas </w:t>
            </w:r>
            <w:r w:rsidR="00EF32FB">
              <w:rPr>
                <w:rFonts w:ascii="Times New Roman" w:hAnsi="Times New Roman"/>
                <w:color w:val="000000" w:themeColor="text1"/>
              </w:rPr>
              <w:t xml:space="preserve">saskaņā ar Noteikumu </w:t>
            </w:r>
            <w:r w:rsidR="00870824">
              <w:rPr>
                <w:rFonts w:ascii="Times New Roman" w:hAnsi="Times New Roman"/>
                <w:color w:val="000000" w:themeColor="text1"/>
              </w:rPr>
              <w:t xml:space="preserve">Nr.221 </w:t>
            </w:r>
            <w:r w:rsidRPr="00870824" w:rsidR="00870824">
              <w:rPr>
                <w:rFonts w:ascii="Times New Roman" w:hAnsi="Times New Roman" w:cs="Times New Roman"/>
              </w:rPr>
              <w:t>56.</w:t>
            </w:r>
            <w:r w:rsidRPr="00870824" w:rsidR="00870824">
              <w:rPr>
                <w:rFonts w:ascii="Times New Roman" w:hAnsi="Times New Roman" w:cs="Times New Roman"/>
                <w:vertAlign w:val="superscript"/>
              </w:rPr>
              <w:t>22</w:t>
            </w:r>
            <w:r w:rsidRPr="00A16682" w:rsidR="00A16682">
              <w:rPr>
                <w:rFonts w:ascii="Times New Roman" w:hAnsi="Times New Roman" w:cs="Times New Roman"/>
              </w:rPr>
              <w:t> </w:t>
            </w:r>
            <w:r w:rsidR="00A16682">
              <w:rPr>
                <w:rFonts w:ascii="Times New Roman" w:hAnsi="Times New Roman" w:cs="Times New Roman"/>
              </w:rPr>
              <w:t>punktu</w:t>
            </w:r>
            <w:r w:rsidR="00552036">
              <w:rPr>
                <w:rFonts w:ascii="Times New Roman" w:hAnsi="Times New Roman" w:cs="Times New Roman"/>
              </w:rPr>
              <w:t xml:space="preserve"> </w:t>
            </w:r>
            <w:r w:rsidRPr="00EF32FB">
              <w:rPr>
                <w:rFonts w:ascii="Times New Roman" w:hAnsi="Times New Roman"/>
                <w:color w:val="000000" w:themeColor="text1"/>
              </w:rPr>
              <w:t>izmanto tiesības valsts garantētās maksas par koģenerācijas elektrostacijā uzstādīto elektrisko jaudu saistību samazināšanai, saņemot vienreizēju diskontētu maksājumu.</w:t>
            </w:r>
          </w:p>
          <w:p w:rsidR="00E5323B" w:rsidRPr="00706FBD" w:rsidP="00E02ED7" w14:paraId="2DC9641D" w14:textId="439809E0">
            <w:pPr>
              <w:spacing w:before="120" w:after="0" w:line="240" w:lineRule="auto"/>
              <w:jc w:val="both"/>
              <w:rPr>
                <w:rFonts w:ascii="Times New Roman" w:eastAsia="Times New Roman" w:hAnsi="Times New Roman" w:cs="Times New Roman"/>
                <w:iCs/>
                <w:sz w:val="24"/>
                <w:szCs w:val="24"/>
                <w:lang w:eastAsia="lv-LV"/>
              </w:rPr>
            </w:pPr>
            <w:r>
              <w:rPr>
                <w:rFonts w:ascii="Times New Roman" w:hAnsi="Times New Roman"/>
                <w:color w:val="000000" w:themeColor="text1"/>
                <w:sz w:val="24"/>
              </w:rPr>
              <w:t xml:space="preserve">Sabiedrība kopumā, </w:t>
            </w:r>
            <w:r w:rsidR="001B6BD1">
              <w:rPr>
                <w:rFonts w:ascii="Times New Roman" w:hAnsi="Times New Roman"/>
                <w:color w:val="000000" w:themeColor="text1"/>
                <w:sz w:val="24"/>
              </w:rPr>
              <w:t>ņemot vērā</w:t>
            </w:r>
            <w:r w:rsidR="008F57A9">
              <w:rPr>
                <w:rFonts w:ascii="Times New Roman" w:hAnsi="Times New Roman"/>
                <w:color w:val="000000" w:themeColor="text1"/>
                <w:sz w:val="24"/>
              </w:rPr>
              <w:t xml:space="preserve">, ka </w:t>
            </w:r>
            <w:r w:rsidR="00442953">
              <w:rPr>
                <w:rFonts w:ascii="Times New Roman" w:hAnsi="Times New Roman"/>
                <w:color w:val="000000" w:themeColor="text1"/>
                <w:sz w:val="24"/>
              </w:rPr>
              <w:t xml:space="preserve">pēc </w:t>
            </w:r>
            <w:r w:rsidR="008F57A9">
              <w:rPr>
                <w:rFonts w:ascii="Times New Roman" w:hAnsi="Times New Roman"/>
                <w:color w:val="000000" w:themeColor="text1"/>
                <w:sz w:val="24"/>
              </w:rPr>
              <w:t>Noteikumu projekta</w:t>
            </w:r>
            <w:r w:rsidR="001B6BD1">
              <w:rPr>
                <w:rFonts w:ascii="Times New Roman" w:hAnsi="Times New Roman"/>
                <w:color w:val="000000" w:themeColor="text1"/>
                <w:sz w:val="24"/>
              </w:rPr>
              <w:t xml:space="preserve"> </w:t>
            </w:r>
            <w:r w:rsidR="00442953">
              <w:rPr>
                <w:rFonts w:ascii="Times New Roman" w:hAnsi="Times New Roman"/>
                <w:color w:val="000000" w:themeColor="text1"/>
                <w:sz w:val="24"/>
              </w:rPr>
              <w:t>pieņemšanas Ministru kabinets, balstoties uz komersanta iesniegumu, varēs lemt par atlikušā avansa maksājuma samazināšanu</w:t>
            </w:r>
            <w:r w:rsidR="00DD6A59">
              <w:rPr>
                <w:rFonts w:ascii="Times New Roman" w:hAnsi="Times New Roman"/>
                <w:color w:val="000000" w:themeColor="text1"/>
                <w:sz w:val="24"/>
              </w:rPr>
              <w:t xml:space="preserve">, kas savukārt </w:t>
            </w:r>
            <w:r w:rsidR="006E496A">
              <w:rPr>
                <w:rFonts w:ascii="Times New Roman" w:hAnsi="Times New Roman"/>
                <w:color w:val="000000" w:themeColor="text1"/>
                <w:sz w:val="24"/>
              </w:rPr>
              <w:t>ietekmēs</w:t>
            </w:r>
            <w:r w:rsidR="00DD6A59">
              <w:rPr>
                <w:rFonts w:ascii="Times New Roman" w:hAnsi="Times New Roman"/>
                <w:color w:val="000000" w:themeColor="text1"/>
                <w:sz w:val="24"/>
              </w:rPr>
              <w:t xml:space="preserve"> </w:t>
            </w:r>
            <w:r w:rsidR="006E496A">
              <w:rPr>
                <w:rFonts w:ascii="Times New Roman" w:hAnsi="Times New Roman"/>
                <w:color w:val="000000" w:themeColor="text1"/>
                <w:sz w:val="24"/>
              </w:rPr>
              <w:t xml:space="preserve">tā īpatsvara samazināšanos </w:t>
            </w:r>
            <w:r w:rsidR="001B6BD1">
              <w:rPr>
                <w:rFonts w:ascii="Times New Roman" w:hAnsi="Times New Roman" w:cs="Times New Roman"/>
                <w:sz w:val="24"/>
                <w:szCs w:val="24"/>
              </w:rPr>
              <w:t>valsts budžeta izdevum</w:t>
            </w:r>
            <w:r w:rsidR="006E496A">
              <w:rPr>
                <w:rFonts w:ascii="Times New Roman" w:hAnsi="Times New Roman" w:cs="Times New Roman"/>
                <w:sz w:val="24"/>
                <w:szCs w:val="24"/>
              </w:rPr>
              <w:t>os</w:t>
            </w:r>
            <w:r w:rsidR="001B6BD1">
              <w:rPr>
                <w:rFonts w:ascii="Times New Roman" w:hAnsi="Times New Roman" w:cs="Times New Roman"/>
                <w:sz w:val="24"/>
                <w:szCs w:val="24"/>
              </w:rPr>
              <w:t xml:space="preserve"> ilgtermiņā </w:t>
            </w:r>
            <w:r w:rsidR="00EE3E89">
              <w:rPr>
                <w:rFonts w:ascii="Times New Roman" w:hAnsi="Times New Roman" w:cs="Times New Roman"/>
                <w:sz w:val="24"/>
                <w:szCs w:val="24"/>
                <w:vertAlign w:val="superscript"/>
              </w:rPr>
              <w:t>1</w:t>
            </w:r>
            <w:r w:rsidR="00ED522E">
              <w:rPr>
                <w:rFonts w:ascii="Times New Roman" w:hAnsi="Times New Roman" w:cs="Times New Roman"/>
                <w:sz w:val="24"/>
                <w:szCs w:val="24"/>
              </w:rPr>
              <w:t>.</w:t>
            </w:r>
          </w:p>
        </w:tc>
      </w:tr>
      <w:tr w14:paraId="0B6EB3FC" w14:textId="77777777" w:rsidTr="00AA590A">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706FBD" w:rsidP="00E5323B" w14:paraId="37FCAD9D" w14:textId="77777777">
            <w:pPr>
              <w:spacing w:after="0" w:line="240" w:lineRule="auto"/>
              <w:rPr>
                <w:rFonts w:ascii="Times New Roman" w:eastAsia="Times New Roman" w:hAnsi="Times New Roman" w:cs="Times New Roman"/>
                <w:iCs/>
                <w:sz w:val="24"/>
                <w:szCs w:val="24"/>
                <w:lang w:eastAsia="lv-LV"/>
              </w:rPr>
            </w:pPr>
            <w:r w:rsidRPr="00706FBD">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706FBD" w:rsidP="00E5323B" w14:paraId="739D30A8" w14:textId="77777777">
            <w:pPr>
              <w:spacing w:after="0" w:line="240" w:lineRule="auto"/>
              <w:rPr>
                <w:rFonts w:ascii="Times New Roman" w:eastAsia="Times New Roman" w:hAnsi="Times New Roman" w:cs="Times New Roman"/>
                <w:iCs/>
                <w:sz w:val="24"/>
                <w:szCs w:val="24"/>
                <w:lang w:eastAsia="lv-LV"/>
              </w:rPr>
            </w:pPr>
            <w:r w:rsidRPr="00706FBD">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tcPr>
          <w:p w:rsidR="00C428C6" w:rsidP="00E02ED7" w14:paraId="7BB11B31" w14:textId="6FB355B5">
            <w:pPr>
              <w:spacing w:before="120" w:after="0" w:line="240" w:lineRule="auto"/>
              <w:jc w:val="both"/>
              <w:rPr>
                <w:rFonts w:ascii="Times New Roman" w:eastAsia="Times New Roman" w:hAnsi="Times New Roman" w:cs="Times New Roman"/>
                <w:sz w:val="24"/>
                <w:szCs w:val="24"/>
                <w:lang w:eastAsia="lv-LV"/>
              </w:rPr>
            </w:pPr>
            <w:r w:rsidRPr="00440701">
              <w:rPr>
                <w:rFonts w:ascii="Times New Roman" w:eastAsia="Times New Roman" w:hAnsi="Times New Roman" w:cs="Times New Roman"/>
                <w:sz w:val="24"/>
                <w:szCs w:val="24"/>
                <w:lang w:eastAsia="lv-LV"/>
              </w:rPr>
              <w:t>Noteikumu projektā iekļautā risinājuma īstenošana</w:t>
            </w:r>
            <w:r w:rsidR="00F002BD">
              <w:rPr>
                <w:rFonts w:ascii="Times New Roman" w:eastAsia="Times New Roman" w:hAnsi="Times New Roman" w:cs="Times New Roman"/>
                <w:sz w:val="24"/>
                <w:szCs w:val="24"/>
                <w:lang w:eastAsia="lv-LV"/>
              </w:rPr>
              <w:t xml:space="preserve"> paredz, ka</w:t>
            </w:r>
            <w:r w:rsidRPr="00440701">
              <w:rPr>
                <w:rFonts w:ascii="Times New Roman" w:eastAsia="Times New Roman" w:hAnsi="Times New Roman" w:cs="Times New Roman"/>
                <w:sz w:val="24"/>
                <w:szCs w:val="24"/>
                <w:lang w:eastAsia="lv-LV"/>
              </w:rPr>
              <w:t xml:space="preserve"> </w:t>
            </w:r>
            <w:r w:rsidR="003A5D1E">
              <w:rPr>
                <w:rFonts w:ascii="Times New Roman" w:eastAsia="Times New Roman" w:hAnsi="Times New Roman" w:cs="Times New Roman"/>
                <w:sz w:val="24"/>
                <w:szCs w:val="24"/>
                <w:lang w:eastAsia="lv-LV"/>
              </w:rPr>
              <w:t>ar Ministru kabineta lēmumu</w:t>
            </w:r>
            <w:r w:rsidR="00F002BD">
              <w:rPr>
                <w:rFonts w:ascii="Times New Roman" w:eastAsia="Times New Roman" w:hAnsi="Times New Roman" w:cs="Times New Roman"/>
                <w:sz w:val="24"/>
                <w:szCs w:val="24"/>
                <w:lang w:eastAsia="lv-LV"/>
              </w:rPr>
              <w:t xml:space="preserve"> var</w:t>
            </w:r>
            <w:r w:rsidR="003A5D1E">
              <w:rPr>
                <w:rFonts w:ascii="Times New Roman" w:eastAsia="Times New Roman" w:hAnsi="Times New Roman" w:cs="Times New Roman"/>
                <w:sz w:val="24"/>
                <w:szCs w:val="24"/>
                <w:lang w:eastAsia="lv-LV"/>
              </w:rPr>
              <w:t xml:space="preserve"> samazināt valsts budžeta ilgtermiņa izdevumus</w:t>
            </w:r>
            <w:r w:rsidR="00EE3E89">
              <w:rPr>
                <w:rFonts w:ascii="Times New Roman" w:eastAsia="Times New Roman" w:hAnsi="Times New Roman" w:cs="Times New Roman"/>
                <w:sz w:val="24"/>
                <w:szCs w:val="24"/>
                <w:vertAlign w:val="superscript"/>
                <w:lang w:eastAsia="lv-LV"/>
              </w:rPr>
              <w:t>1</w:t>
            </w:r>
            <w:r w:rsidR="003A5D1E">
              <w:rPr>
                <w:rFonts w:ascii="Times New Roman" w:hAnsi="Times New Roman" w:cs="Times New Roman"/>
                <w:sz w:val="24"/>
                <w:szCs w:val="24"/>
              </w:rPr>
              <w:t>.</w:t>
            </w:r>
          </w:p>
          <w:p w:rsidR="003A5D1E" w:rsidRPr="003A5D1E" w:rsidP="00E02ED7" w14:paraId="424C7D46" w14:textId="08E654B9">
            <w:pPr>
              <w:spacing w:before="120" w:after="0" w:line="240" w:lineRule="auto"/>
              <w:jc w:val="both"/>
              <w:rPr>
                <w:rFonts w:ascii="Times New Roman" w:eastAsia="Times New Roman" w:hAnsi="Times New Roman" w:cs="Times New Roman"/>
                <w:sz w:val="24"/>
                <w:szCs w:val="24"/>
                <w:lang w:eastAsia="lv-LV"/>
              </w:rPr>
            </w:pPr>
            <w:r w:rsidRPr="003A5D1E">
              <w:rPr>
                <w:rFonts w:ascii="Times New Roman" w:eastAsia="Times New Roman" w:hAnsi="Times New Roman" w:cs="Times New Roman"/>
                <w:sz w:val="24"/>
                <w:szCs w:val="24"/>
                <w:lang w:eastAsia="lv-LV"/>
              </w:rPr>
              <w:t>Sabiedrības grupām un institūcijām projekta tiesiskais regulējums nemaina tiesības un pienākumus, kā arī veicamās darbības.</w:t>
            </w:r>
          </w:p>
        </w:tc>
      </w:tr>
      <w:tr w14:paraId="69311183"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706FBD" w:rsidP="00E5323B" w14:paraId="30FB7DF3" w14:textId="77777777">
            <w:pPr>
              <w:spacing w:after="0" w:line="240" w:lineRule="auto"/>
              <w:rPr>
                <w:rFonts w:ascii="Times New Roman" w:eastAsia="Times New Roman" w:hAnsi="Times New Roman" w:cs="Times New Roman"/>
                <w:iCs/>
                <w:sz w:val="24"/>
                <w:szCs w:val="24"/>
                <w:lang w:eastAsia="lv-LV"/>
              </w:rPr>
            </w:pPr>
            <w:r w:rsidRPr="00706FBD">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706FBD" w:rsidP="00E5323B" w14:paraId="3B1B9DFB" w14:textId="77777777">
            <w:pPr>
              <w:spacing w:after="0" w:line="240" w:lineRule="auto"/>
              <w:rPr>
                <w:rFonts w:ascii="Times New Roman" w:eastAsia="Times New Roman" w:hAnsi="Times New Roman" w:cs="Times New Roman"/>
                <w:iCs/>
                <w:sz w:val="24"/>
                <w:szCs w:val="24"/>
                <w:lang w:eastAsia="lv-LV"/>
              </w:rPr>
            </w:pPr>
            <w:r w:rsidRPr="00706FBD">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706FBD" w:rsidP="003D7993" w14:paraId="2D8883B2" w14:textId="77777777">
            <w:pPr>
              <w:spacing w:before="120"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sz w:val="24"/>
                <w:szCs w:val="24"/>
                <w:lang w:eastAsia="lv-LV"/>
              </w:rPr>
              <w:t xml:space="preserve">Nav attiecināms, jo ar noteikumu projektu radītās </w:t>
            </w:r>
            <w:r w:rsidRPr="00595D36">
              <w:rPr>
                <w:rFonts w:ascii="Times New Roman" w:eastAsia="Times New Roman" w:hAnsi="Times New Roman" w:cs="Times New Roman"/>
                <w:sz w:val="24"/>
                <w:szCs w:val="24"/>
                <w:lang w:eastAsia="lv-LV"/>
              </w:rPr>
              <w:t xml:space="preserve">administratīvās izmaksas (naudas izteiksmē) gada laikā </w:t>
            </w:r>
            <w:r>
              <w:rPr>
                <w:rFonts w:ascii="Times New Roman" w:eastAsia="Times New Roman" w:hAnsi="Times New Roman" w:cs="Times New Roman"/>
                <w:sz w:val="24"/>
                <w:szCs w:val="24"/>
                <w:lang w:eastAsia="lv-LV"/>
              </w:rPr>
              <w:t>nepārsniedz</w:t>
            </w:r>
            <w:r w:rsidRPr="00595D36">
              <w:rPr>
                <w:rFonts w:ascii="Times New Roman" w:eastAsia="Times New Roman" w:hAnsi="Times New Roman" w:cs="Times New Roman"/>
                <w:sz w:val="24"/>
                <w:szCs w:val="24"/>
                <w:lang w:eastAsia="lv-LV"/>
              </w:rPr>
              <w:t xml:space="preserve"> 2000 </w:t>
            </w:r>
            <w:r w:rsidRPr="00B31F31">
              <w:rPr>
                <w:rFonts w:ascii="Times New Roman" w:eastAsia="Times New Roman" w:hAnsi="Times New Roman" w:cs="Times New Roman"/>
                <w:i/>
                <w:sz w:val="24"/>
                <w:szCs w:val="24"/>
                <w:lang w:eastAsia="lv-LV"/>
              </w:rPr>
              <w:t>euro</w:t>
            </w:r>
            <w:r w:rsidRPr="00595D36">
              <w:rPr>
                <w:rFonts w:ascii="Times New Roman" w:eastAsia="Times New Roman" w:hAnsi="Times New Roman" w:cs="Times New Roman"/>
                <w:sz w:val="24"/>
                <w:szCs w:val="24"/>
                <w:lang w:eastAsia="lv-LV"/>
              </w:rPr>
              <w:t>.</w:t>
            </w:r>
          </w:p>
        </w:tc>
      </w:tr>
      <w:tr w14:paraId="2865B0FA"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706FBD" w:rsidP="00E5323B" w14:paraId="1A79C43B" w14:textId="77777777">
            <w:pPr>
              <w:spacing w:after="0" w:line="240" w:lineRule="auto"/>
              <w:rPr>
                <w:rFonts w:ascii="Times New Roman" w:eastAsia="Times New Roman" w:hAnsi="Times New Roman" w:cs="Times New Roman"/>
                <w:iCs/>
                <w:sz w:val="24"/>
                <w:szCs w:val="24"/>
                <w:lang w:eastAsia="lv-LV"/>
              </w:rPr>
            </w:pPr>
            <w:r w:rsidRPr="00706FBD">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706FBD" w:rsidP="00E5323B" w14:paraId="4C69C5A7" w14:textId="77777777">
            <w:pPr>
              <w:spacing w:after="0" w:line="240" w:lineRule="auto"/>
              <w:rPr>
                <w:rFonts w:ascii="Times New Roman" w:eastAsia="Times New Roman" w:hAnsi="Times New Roman" w:cs="Times New Roman"/>
                <w:iCs/>
                <w:sz w:val="24"/>
                <w:szCs w:val="24"/>
                <w:lang w:eastAsia="lv-LV"/>
              </w:rPr>
            </w:pPr>
            <w:r w:rsidRPr="00706FBD">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706FBD" w:rsidP="00E5323B" w14:paraId="10D076AE" w14:textId="012E3E9F">
            <w:pPr>
              <w:spacing w:after="0" w:line="240" w:lineRule="auto"/>
              <w:rPr>
                <w:rFonts w:ascii="Times New Roman" w:eastAsia="Times New Roman" w:hAnsi="Times New Roman" w:cs="Times New Roman"/>
                <w:iCs/>
                <w:sz w:val="24"/>
                <w:szCs w:val="24"/>
                <w:lang w:eastAsia="lv-LV"/>
              </w:rPr>
            </w:pPr>
            <w:r w:rsidRPr="00B31F31">
              <w:rPr>
                <w:rFonts w:ascii="Times New Roman" w:eastAsia="Times New Roman" w:hAnsi="Times New Roman" w:cs="Times New Roman"/>
                <w:sz w:val="24"/>
                <w:szCs w:val="24"/>
                <w:lang w:eastAsia="lv-LV"/>
              </w:rPr>
              <w:t>Projekts šo jomu neskar</w:t>
            </w:r>
          </w:p>
        </w:tc>
      </w:tr>
      <w:tr w14:paraId="2D9C8AE7"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706FBD" w:rsidP="00E5323B" w14:paraId="60433066" w14:textId="77777777">
            <w:pPr>
              <w:spacing w:after="0" w:line="240" w:lineRule="auto"/>
              <w:rPr>
                <w:rFonts w:ascii="Times New Roman" w:eastAsia="Times New Roman" w:hAnsi="Times New Roman" w:cs="Times New Roman"/>
                <w:iCs/>
                <w:sz w:val="24"/>
                <w:szCs w:val="24"/>
                <w:lang w:eastAsia="lv-LV"/>
              </w:rPr>
            </w:pPr>
            <w:r w:rsidRPr="00706FBD">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rsidR="00E5323B" w:rsidRPr="00706FBD" w:rsidP="00E5323B" w14:paraId="0CA4A122" w14:textId="77777777">
            <w:pPr>
              <w:spacing w:after="0" w:line="240" w:lineRule="auto"/>
              <w:rPr>
                <w:rFonts w:ascii="Times New Roman" w:eastAsia="Times New Roman" w:hAnsi="Times New Roman" w:cs="Times New Roman"/>
                <w:iCs/>
                <w:sz w:val="24"/>
                <w:szCs w:val="24"/>
                <w:lang w:eastAsia="lv-LV"/>
              </w:rPr>
            </w:pPr>
            <w:r w:rsidRPr="00706FBD">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706FBD" w:rsidP="00E5323B" w14:paraId="22C6544B" w14:textId="000BB679">
            <w:pPr>
              <w:spacing w:after="0" w:line="240" w:lineRule="auto"/>
              <w:rPr>
                <w:rFonts w:ascii="Times New Roman" w:eastAsia="Times New Roman" w:hAnsi="Times New Roman" w:cs="Times New Roman"/>
                <w:iCs/>
                <w:sz w:val="24"/>
                <w:szCs w:val="24"/>
                <w:lang w:eastAsia="lv-LV"/>
              </w:rPr>
            </w:pPr>
            <w:r w:rsidRPr="00706FBD">
              <w:rPr>
                <w:rFonts w:ascii="Times New Roman" w:eastAsia="Times New Roman" w:hAnsi="Times New Roman" w:cs="Times New Roman"/>
                <w:iCs/>
                <w:sz w:val="24"/>
                <w:szCs w:val="24"/>
                <w:lang w:eastAsia="lv-LV"/>
              </w:rPr>
              <w:t>Nav</w:t>
            </w:r>
          </w:p>
        </w:tc>
      </w:tr>
    </w:tbl>
    <w:p w:rsidR="002A3AFF" w:rsidRPr="00706FBD" w:rsidP="00E5323B" w14:paraId="69898899" w14:textId="77777777">
      <w:pPr>
        <w:spacing w:after="0" w:line="240" w:lineRule="auto"/>
        <w:rPr>
          <w:rFonts w:ascii="Times New Roman" w:eastAsia="Times New Roman" w:hAnsi="Times New Roman" w:cs="Times New Roman"/>
          <w:iCs/>
          <w:sz w:val="24"/>
          <w:szCs w:val="24"/>
          <w:lang w:eastAsia="lv-LV"/>
        </w:rPr>
      </w:pPr>
      <w:r w:rsidRPr="00706FBD">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055"/>
      </w:tblGrid>
      <w:tr w14:paraId="054EA1F3" w14:textId="77777777" w:rsidTr="00A7142D">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5AAF" w:rsidRPr="00706FBD" w:rsidP="00A7142D" w14:paraId="0B9C46A3" w14:textId="77777777">
            <w:pPr>
              <w:spacing w:after="0" w:line="240" w:lineRule="auto"/>
              <w:jc w:val="center"/>
              <w:rPr>
                <w:rFonts w:ascii="Times New Roman" w:eastAsia="Times New Roman" w:hAnsi="Times New Roman" w:cs="Times New Roman"/>
                <w:b/>
                <w:bCs/>
                <w:iCs/>
                <w:sz w:val="24"/>
                <w:szCs w:val="24"/>
                <w:lang w:eastAsia="lv-LV"/>
              </w:rPr>
            </w:pPr>
            <w:r w:rsidRPr="00706FBD">
              <w:rPr>
                <w:rFonts w:ascii="Times New Roman" w:eastAsia="Times New Roman" w:hAnsi="Times New Roman" w:cs="Times New Roman"/>
                <w:b/>
                <w:bCs/>
                <w:iCs/>
                <w:sz w:val="24"/>
                <w:szCs w:val="24"/>
                <w:lang w:eastAsia="lv-LV"/>
              </w:rPr>
              <w:t>III. Tiesību akta projekta ietekme uz valsts budžetu un pašvaldību budžetiem</w:t>
            </w:r>
          </w:p>
        </w:tc>
      </w:tr>
      <w:tr w14:paraId="1F9A90C0" w14:textId="77777777" w:rsidTr="00A7142D">
        <w:tblPrEx>
          <w:tblW w:w="5000" w:type="pct"/>
          <w:tblCellSpacing w:w="15" w:type="dxa"/>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A5AAF" w:rsidRPr="00706FBD" w:rsidP="00A7142D" w14:paraId="34A7ACBD" w14:textId="77777777">
            <w:pPr>
              <w:spacing w:after="0" w:line="240" w:lineRule="auto"/>
              <w:jc w:val="center"/>
              <w:rPr>
                <w:rFonts w:ascii="Times New Roman" w:eastAsia="Times New Roman" w:hAnsi="Times New Roman" w:cs="Times New Roman"/>
                <w:bCs/>
                <w:iCs/>
                <w:sz w:val="24"/>
                <w:szCs w:val="24"/>
                <w:lang w:eastAsia="lv-LV"/>
              </w:rPr>
            </w:pPr>
            <w:r w:rsidRPr="00706FBD">
              <w:rPr>
                <w:rFonts w:ascii="Times New Roman" w:eastAsia="Times New Roman" w:hAnsi="Times New Roman" w:cs="Times New Roman"/>
                <w:bCs/>
                <w:iCs/>
                <w:sz w:val="24"/>
                <w:szCs w:val="24"/>
                <w:lang w:eastAsia="lv-LV"/>
              </w:rPr>
              <w:t>Projekts šo jomu neskar</w:t>
            </w:r>
          </w:p>
        </w:tc>
      </w:tr>
    </w:tbl>
    <w:p w:rsidR="00C428C6" w:rsidRPr="00706FBD" w:rsidP="00E5323B" w14:paraId="46A70FEF" w14:textId="1E106C42">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055"/>
      </w:tblGrid>
      <w:tr w14:paraId="3342ABF8" w14:textId="77777777" w:rsidTr="0022656D">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A3AFF" w:rsidRPr="00706FBD" w:rsidP="0022656D" w14:paraId="121B1008" w14:textId="77777777">
            <w:pPr>
              <w:spacing w:after="0" w:line="240" w:lineRule="auto"/>
              <w:jc w:val="center"/>
              <w:rPr>
                <w:rFonts w:ascii="Times New Roman" w:eastAsia="Times New Roman" w:hAnsi="Times New Roman" w:cs="Times New Roman"/>
                <w:b/>
                <w:bCs/>
                <w:iCs/>
                <w:sz w:val="24"/>
                <w:szCs w:val="24"/>
                <w:lang w:eastAsia="lv-LV"/>
              </w:rPr>
            </w:pPr>
            <w:r w:rsidRPr="00706FBD">
              <w:rPr>
                <w:rFonts w:ascii="Times New Roman" w:eastAsia="Times New Roman" w:hAnsi="Times New Roman" w:cs="Times New Roman"/>
                <w:b/>
                <w:bCs/>
                <w:iCs/>
                <w:sz w:val="24"/>
                <w:szCs w:val="24"/>
                <w:lang w:eastAsia="lv-LV"/>
              </w:rPr>
              <w:t>IV. Tiesību akta projekta ietekme uz spēkā esošo tiesību normu sistēmu</w:t>
            </w:r>
          </w:p>
        </w:tc>
      </w:tr>
      <w:tr w14:paraId="72BE9B04" w14:textId="77777777" w:rsidTr="0022656D">
        <w:tblPrEx>
          <w:tblW w:w="5000" w:type="pct"/>
          <w:tblCellSpacing w:w="15" w:type="dxa"/>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72577" w:rsidRPr="00706FBD" w:rsidP="00E02ED7" w14:paraId="1FCC1141" w14:textId="5AF7459B">
            <w:pPr>
              <w:spacing w:after="0" w:line="240" w:lineRule="auto"/>
              <w:jc w:val="center"/>
              <w:rPr>
                <w:rFonts w:ascii="Times New Roman" w:eastAsia="Times New Roman" w:hAnsi="Times New Roman" w:cs="Times New Roman"/>
                <w:bCs/>
                <w:iCs/>
                <w:sz w:val="24"/>
                <w:szCs w:val="24"/>
                <w:lang w:eastAsia="lv-LV"/>
              </w:rPr>
            </w:pPr>
            <w:r w:rsidRPr="00706FBD">
              <w:rPr>
                <w:rFonts w:ascii="Times New Roman" w:eastAsia="Times New Roman" w:hAnsi="Times New Roman" w:cs="Times New Roman"/>
                <w:bCs/>
                <w:iCs/>
                <w:sz w:val="24"/>
                <w:szCs w:val="24"/>
                <w:lang w:eastAsia="lv-LV"/>
              </w:rPr>
              <w:t>Projekts šo jomu neskar</w:t>
            </w:r>
          </w:p>
        </w:tc>
      </w:tr>
    </w:tbl>
    <w:p w:rsidR="002A3AFF" w:rsidRPr="00706FBD" w:rsidP="00E5323B" w14:paraId="154DCF55" w14:textId="77777777">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47"/>
        <w:gridCol w:w="3132"/>
        <w:gridCol w:w="5376"/>
      </w:tblGrid>
      <w:tr w14:paraId="5927519B" w14:textId="77777777" w:rsidTr="0022656D">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2A3AFF" w:rsidRPr="00706FBD" w:rsidP="0022656D" w14:paraId="6517B27D" w14:textId="77777777">
            <w:pPr>
              <w:spacing w:after="0" w:line="240" w:lineRule="auto"/>
              <w:jc w:val="center"/>
              <w:rPr>
                <w:rFonts w:ascii="Times New Roman" w:eastAsia="Times New Roman" w:hAnsi="Times New Roman" w:cs="Times New Roman"/>
                <w:b/>
                <w:bCs/>
                <w:iCs/>
                <w:sz w:val="24"/>
                <w:szCs w:val="24"/>
                <w:lang w:eastAsia="lv-LV"/>
              </w:rPr>
            </w:pPr>
            <w:r w:rsidRPr="00706FBD">
              <w:rPr>
                <w:rFonts w:ascii="Times New Roman" w:eastAsia="Times New Roman" w:hAnsi="Times New Roman" w:cs="Times New Roman"/>
                <w:b/>
                <w:bCs/>
                <w:iCs/>
                <w:sz w:val="24"/>
                <w:szCs w:val="24"/>
                <w:lang w:eastAsia="lv-LV"/>
              </w:rPr>
              <w:t>V. Tiesību akta projekta atbilstība Latvijas Republikas starptautiskajām saistībām</w:t>
            </w:r>
          </w:p>
        </w:tc>
      </w:tr>
      <w:tr w14:paraId="497ACD56" w14:textId="77777777" w:rsidTr="006D1ED6">
        <w:tblPrEx>
          <w:tblW w:w="5000" w:type="pct"/>
          <w:tblCellSpacing w:w="15" w:type="dxa"/>
          <w:tblCellMar>
            <w:top w:w="30" w:type="dxa"/>
            <w:left w:w="30" w:type="dxa"/>
            <w:bottom w:w="30" w:type="dxa"/>
            <w:right w:w="30" w:type="dxa"/>
          </w:tblCellMar>
          <w:tblLook w:val="04A0"/>
        </w:tblPrEx>
        <w:trPr>
          <w:trHeight w:val="276"/>
          <w:tblCellSpacing w:w="15" w:type="dxa"/>
        </w:trPr>
        <w:tc>
          <w:tcPr>
            <w:tcW w:w="277" w:type="pct"/>
            <w:tcBorders>
              <w:top w:val="outset" w:sz="6" w:space="0" w:color="auto"/>
              <w:left w:val="outset" w:sz="6" w:space="0" w:color="auto"/>
              <w:bottom w:val="outset" w:sz="6" w:space="0" w:color="auto"/>
              <w:right w:val="outset" w:sz="6" w:space="0" w:color="auto"/>
            </w:tcBorders>
            <w:vAlign w:val="center"/>
          </w:tcPr>
          <w:p w:rsidR="006D1ED6" w:rsidRPr="00706FBD" w:rsidP="006D1ED6" w14:paraId="5913D710" w14:textId="4FD6EDF6">
            <w:pPr>
              <w:spacing w:after="0" w:line="240" w:lineRule="auto"/>
              <w:jc w:val="center"/>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1.</w:t>
            </w:r>
          </w:p>
        </w:tc>
        <w:tc>
          <w:tcPr>
            <w:tcW w:w="1713" w:type="pct"/>
            <w:tcBorders>
              <w:top w:val="outset" w:sz="6" w:space="0" w:color="auto"/>
              <w:left w:val="outset" w:sz="6" w:space="0" w:color="auto"/>
              <w:bottom w:val="outset" w:sz="6" w:space="0" w:color="auto"/>
              <w:right w:val="outset" w:sz="6" w:space="0" w:color="auto"/>
            </w:tcBorders>
          </w:tcPr>
          <w:p w:rsidR="006D1ED6" w:rsidRPr="00587EFA" w:rsidP="006D1ED6" w14:paraId="692E7061" w14:textId="7EEC40D3">
            <w:pPr>
              <w:spacing w:after="0" w:line="240" w:lineRule="auto"/>
              <w:rPr>
                <w:rFonts w:ascii="Times New Roman" w:eastAsia="Times New Roman" w:hAnsi="Times New Roman" w:cs="Times New Roman"/>
                <w:bCs/>
                <w:iCs/>
                <w:sz w:val="24"/>
                <w:szCs w:val="24"/>
                <w:lang w:eastAsia="lv-LV"/>
              </w:rPr>
            </w:pPr>
            <w:r w:rsidRPr="00587EFA">
              <w:rPr>
                <w:rFonts w:ascii="Times New Roman" w:hAnsi="Times New Roman" w:cs="Times New Roman"/>
                <w:color w:val="000000" w:themeColor="text1"/>
                <w:sz w:val="24"/>
              </w:rPr>
              <w:t>Saistības pret Eiropas Savienību</w:t>
            </w:r>
          </w:p>
        </w:tc>
        <w:tc>
          <w:tcPr>
            <w:tcW w:w="2944" w:type="pct"/>
            <w:tcBorders>
              <w:top w:val="outset" w:sz="6" w:space="0" w:color="auto"/>
              <w:left w:val="outset" w:sz="6" w:space="0" w:color="auto"/>
              <w:bottom w:val="outset" w:sz="6" w:space="0" w:color="auto"/>
              <w:right w:val="outset" w:sz="6" w:space="0" w:color="auto"/>
            </w:tcBorders>
          </w:tcPr>
          <w:p w:rsidR="006D1ED6" w:rsidRPr="006D1ED6" w:rsidP="006D1ED6" w14:paraId="54728C3C" w14:textId="0E00C178">
            <w:pPr>
              <w:spacing w:after="0" w:line="240" w:lineRule="auto"/>
              <w:jc w:val="both"/>
              <w:rPr>
                <w:rFonts w:ascii="Times New Roman" w:eastAsia="Times New Roman" w:hAnsi="Times New Roman" w:cs="Times New Roman"/>
                <w:bCs/>
                <w:iCs/>
                <w:sz w:val="24"/>
                <w:szCs w:val="24"/>
                <w:lang w:eastAsia="lv-LV"/>
              </w:rPr>
            </w:pPr>
            <w:r w:rsidRPr="006D1ED6">
              <w:rPr>
                <w:rFonts w:ascii="Times New Roman" w:hAnsi="Times New Roman" w:cs="Times New Roman"/>
                <w:sz w:val="24"/>
                <w:shd w:val="clear" w:color="auto" w:fill="FFFFFF"/>
              </w:rPr>
              <w:t>Projekts šo jomu neskar</w:t>
            </w:r>
            <w:r w:rsidRPr="006D1ED6">
              <w:rPr>
                <w:rFonts w:ascii="Times New Roman" w:hAnsi="Times New Roman" w:cs="Times New Roman"/>
                <w:sz w:val="24"/>
              </w:rPr>
              <w:t>.</w:t>
            </w:r>
          </w:p>
        </w:tc>
      </w:tr>
      <w:tr w14:paraId="4FC2623C" w14:textId="77777777" w:rsidTr="006D1ED6">
        <w:tblPrEx>
          <w:tblW w:w="5000" w:type="pct"/>
          <w:tblCellSpacing w:w="15" w:type="dxa"/>
          <w:tblCellMar>
            <w:top w:w="30" w:type="dxa"/>
            <w:left w:w="30" w:type="dxa"/>
            <w:bottom w:w="30" w:type="dxa"/>
            <w:right w:w="30" w:type="dxa"/>
          </w:tblCellMar>
          <w:tblLook w:val="04A0"/>
        </w:tblPrEx>
        <w:trPr>
          <w:trHeight w:val="276"/>
          <w:tblCellSpacing w:w="15" w:type="dxa"/>
        </w:trPr>
        <w:tc>
          <w:tcPr>
            <w:tcW w:w="277" w:type="pct"/>
            <w:tcBorders>
              <w:top w:val="outset" w:sz="6" w:space="0" w:color="auto"/>
              <w:left w:val="outset" w:sz="6" w:space="0" w:color="auto"/>
              <w:bottom w:val="outset" w:sz="6" w:space="0" w:color="auto"/>
              <w:right w:val="outset" w:sz="6" w:space="0" w:color="auto"/>
            </w:tcBorders>
            <w:vAlign w:val="center"/>
          </w:tcPr>
          <w:p w:rsidR="006D1ED6" w:rsidRPr="00706FBD" w:rsidP="006D1ED6" w14:paraId="2A466028" w14:textId="0EFB7C6D">
            <w:pPr>
              <w:spacing w:after="0" w:line="240" w:lineRule="auto"/>
              <w:jc w:val="center"/>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2.</w:t>
            </w:r>
          </w:p>
        </w:tc>
        <w:tc>
          <w:tcPr>
            <w:tcW w:w="1713" w:type="pct"/>
            <w:tcBorders>
              <w:top w:val="outset" w:sz="6" w:space="0" w:color="auto"/>
              <w:left w:val="outset" w:sz="6" w:space="0" w:color="auto"/>
              <w:bottom w:val="outset" w:sz="6" w:space="0" w:color="auto"/>
              <w:right w:val="outset" w:sz="6" w:space="0" w:color="auto"/>
            </w:tcBorders>
          </w:tcPr>
          <w:p w:rsidR="006D1ED6" w:rsidRPr="00587EFA" w:rsidP="006D1ED6" w14:paraId="68E3A556" w14:textId="487FDBC8">
            <w:pPr>
              <w:spacing w:after="0" w:line="240" w:lineRule="auto"/>
              <w:rPr>
                <w:rFonts w:ascii="Times New Roman" w:eastAsia="Times New Roman" w:hAnsi="Times New Roman" w:cs="Times New Roman"/>
                <w:bCs/>
                <w:iCs/>
                <w:sz w:val="24"/>
                <w:szCs w:val="24"/>
                <w:lang w:eastAsia="lv-LV"/>
              </w:rPr>
            </w:pPr>
            <w:r w:rsidRPr="00587EFA">
              <w:rPr>
                <w:rFonts w:ascii="Times New Roman" w:hAnsi="Times New Roman" w:cs="Times New Roman"/>
                <w:color w:val="000000" w:themeColor="text1"/>
                <w:sz w:val="24"/>
              </w:rPr>
              <w:t>Citas starptautiskās saistības</w:t>
            </w:r>
          </w:p>
        </w:tc>
        <w:tc>
          <w:tcPr>
            <w:tcW w:w="2944" w:type="pct"/>
            <w:tcBorders>
              <w:top w:val="outset" w:sz="6" w:space="0" w:color="auto"/>
              <w:left w:val="outset" w:sz="6" w:space="0" w:color="auto"/>
              <w:bottom w:val="outset" w:sz="6" w:space="0" w:color="auto"/>
              <w:right w:val="outset" w:sz="6" w:space="0" w:color="auto"/>
            </w:tcBorders>
          </w:tcPr>
          <w:p w:rsidR="006D1ED6" w:rsidRPr="006D1ED6" w:rsidP="006D1ED6" w14:paraId="004AC709" w14:textId="4E0AD50F">
            <w:pPr>
              <w:spacing w:after="0" w:line="240" w:lineRule="auto"/>
              <w:jc w:val="both"/>
              <w:rPr>
                <w:rFonts w:ascii="Times New Roman" w:eastAsia="Times New Roman" w:hAnsi="Times New Roman" w:cs="Times New Roman"/>
                <w:bCs/>
                <w:iCs/>
                <w:sz w:val="24"/>
                <w:szCs w:val="24"/>
                <w:lang w:eastAsia="lv-LV"/>
              </w:rPr>
            </w:pPr>
            <w:r w:rsidRPr="006D1ED6">
              <w:rPr>
                <w:rFonts w:ascii="Times New Roman" w:hAnsi="Times New Roman" w:cs="Times New Roman"/>
                <w:sz w:val="24"/>
                <w:shd w:val="clear" w:color="auto" w:fill="FFFFFF"/>
              </w:rPr>
              <w:t>Projekts šo jomu neskar</w:t>
            </w:r>
            <w:r w:rsidRPr="006D1ED6">
              <w:rPr>
                <w:rFonts w:ascii="Times New Roman" w:hAnsi="Times New Roman" w:cs="Times New Roman"/>
                <w:sz w:val="24"/>
              </w:rPr>
              <w:t xml:space="preserve"> </w:t>
            </w:r>
            <w:r w:rsidRPr="006D1ED6">
              <w:rPr>
                <w:rFonts w:ascii="Times New Roman" w:hAnsi="Times New Roman" w:cs="Times New Roman"/>
                <w:sz w:val="24"/>
              </w:rPr>
              <w:t>.</w:t>
            </w:r>
          </w:p>
        </w:tc>
      </w:tr>
      <w:tr w14:paraId="699769F3" w14:textId="77777777" w:rsidTr="006D1ED6">
        <w:tblPrEx>
          <w:tblW w:w="5000" w:type="pct"/>
          <w:tblCellSpacing w:w="15" w:type="dxa"/>
          <w:tblCellMar>
            <w:top w:w="30" w:type="dxa"/>
            <w:left w:w="30" w:type="dxa"/>
            <w:bottom w:w="30" w:type="dxa"/>
            <w:right w:w="30" w:type="dxa"/>
          </w:tblCellMar>
          <w:tblLook w:val="04A0"/>
        </w:tblPrEx>
        <w:trPr>
          <w:trHeight w:val="276"/>
          <w:tblCellSpacing w:w="15" w:type="dxa"/>
        </w:trPr>
        <w:tc>
          <w:tcPr>
            <w:tcW w:w="277" w:type="pct"/>
            <w:tcBorders>
              <w:top w:val="outset" w:sz="6" w:space="0" w:color="auto"/>
              <w:left w:val="outset" w:sz="6" w:space="0" w:color="auto"/>
              <w:bottom w:val="outset" w:sz="6" w:space="0" w:color="auto"/>
              <w:right w:val="outset" w:sz="6" w:space="0" w:color="auto"/>
            </w:tcBorders>
            <w:vAlign w:val="center"/>
          </w:tcPr>
          <w:p w:rsidR="006D1ED6" w:rsidRPr="00706FBD" w:rsidP="006D1ED6" w14:paraId="78397B31" w14:textId="37A737EB">
            <w:pPr>
              <w:spacing w:after="0" w:line="240" w:lineRule="auto"/>
              <w:jc w:val="center"/>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3.</w:t>
            </w:r>
          </w:p>
        </w:tc>
        <w:tc>
          <w:tcPr>
            <w:tcW w:w="1713" w:type="pct"/>
            <w:tcBorders>
              <w:top w:val="outset" w:sz="6" w:space="0" w:color="auto"/>
              <w:left w:val="outset" w:sz="6" w:space="0" w:color="auto"/>
              <w:bottom w:val="outset" w:sz="6" w:space="0" w:color="auto"/>
              <w:right w:val="outset" w:sz="6" w:space="0" w:color="auto"/>
            </w:tcBorders>
          </w:tcPr>
          <w:p w:rsidR="006D1ED6" w:rsidRPr="00587EFA" w:rsidP="006D1ED6" w14:paraId="50381038" w14:textId="6C1F6EAE">
            <w:pPr>
              <w:spacing w:after="0" w:line="240" w:lineRule="auto"/>
              <w:rPr>
                <w:rFonts w:ascii="Times New Roman" w:eastAsia="Times New Roman" w:hAnsi="Times New Roman" w:cs="Times New Roman"/>
                <w:bCs/>
                <w:iCs/>
                <w:sz w:val="24"/>
                <w:szCs w:val="24"/>
                <w:lang w:eastAsia="lv-LV"/>
              </w:rPr>
            </w:pPr>
            <w:r w:rsidRPr="00587EFA">
              <w:rPr>
                <w:rFonts w:ascii="Times New Roman" w:hAnsi="Times New Roman" w:cs="Times New Roman"/>
                <w:color w:val="000000" w:themeColor="text1"/>
                <w:sz w:val="24"/>
              </w:rPr>
              <w:t>Cita informācija</w:t>
            </w:r>
          </w:p>
        </w:tc>
        <w:tc>
          <w:tcPr>
            <w:tcW w:w="2944" w:type="pct"/>
            <w:tcBorders>
              <w:top w:val="outset" w:sz="6" w:space="0" w:color="auto"/>
              <w:left w:val="outset" w:sz="6" w:space="0" w:color="auto"/>
              <w:bottom w:val="outset" w:sz="6" w:space="0" w:color="auto"/>
              <w:right w:val="outset" w:sz="6" w:space="0" w:color="auto"/>
            </w:tcBorders>
          </w:tcPr>
          <w:p w:rsidR="006D1ED6" w:rsidRPr="006D1ED6" w:rsidP="006D1ED6" w14:paraId="11D31348" w14:textId="55DC8283">
            <w:pPr>
              <w:spacing w:after="0" w:line="240" w:lineRule="auto"/>
              <w:jc w:val="both"/>
              <w:rPr>
                <w:rFonts w:ascii="Times New Roman" w:eastAsia="Times New Roman" w:hAnsi="Times New Roman" w:cs="Times New Roman"/>
                <w:bCs/>
                <w:iCs/>
                <w:sz w:val="24"/>
                <w:szCs w:val="24"/>
                <w:lang w:eastAsia="lv-LV"/>
              </w:rPr>
            </w:pPr>
            <w:r w:rsidRPr="006D1ED6">
              <w:rPr>
                <w:rFonts w:ascii="Times New Roman" w:hAnsi="Times New Roman" w:cs="Times New Roman"/>
                <w:color w:val="000000" w:themeColor="text1"/>
                <w:sz w:val="24"/>
              </w:rPr>
              <w:t>Noteikumu projekts ievēro EK paziņojumā “Kopienas pamatnostādnes par valsts atbalstu vides aizsardzībai” (ES OV C/82, 01.04.2008.</w:t>
            </w:r>
            <w:r w:rsidR="00E54162">
              <w:rPr>
                <w:rFonts w:ascii="Times New Roman" w:hAnsi="Times New Roman" w:cs="Times New Roman"/>
                <w:color w:val="000000" w:themeColor="text1"/>
                <w:sz w:val="24"/>
              </w:rPr>
              <w:t xml:space="preserve">) </w:t>
            </w:r>
            <w:r w:rsidRPr="006D1ED6">
              <w:rPr>
                <w:rFonts w:ascii="Times New Roman" w:hAnsi="Times New Roman" w:cs="Times New Roman"/>
                <w:color w:val="000000" w:themeColor="text1"/>
                <w:sz w:val="24"/>
              </w:rPr>
              <w:t xml:space="preserve">izklāstītos nosacījumus, atbilstoši kuriem atbalstu vides jomā var uzskatīt par saderīgu ar iekšējo tirgu saskaņā ar EK līguma 87.panta 3.punkta </w:t>
            </w:r>
            <w:r w:rsidR="00E54162">
              <w:rPr>
                <w:rFonts w:ascii="Times New Roman" w:hAnsi="Times New Roman" w:cs="Times New Roman"/>
                <w:color w:val="000000" w:themeColor="text1"/>
                <w:sz w:val="24"/>
              </w:rPr>
              <w:t>c) apakšpunktam.</w:t>
            </w:r>
          </w:p>
        </w:tc>
      </w:tr>
    </w:tbl>
    <w:p w:rsidR="002A3AFF" w:rsidRPr="00706FBD" w:rsidP="00E5323B" w14:paraId="07243988" w14:textId="77777777">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068"/>
        <w:gridCol w:w="5406"/>
      </w:tblGrid>
      <w:tr w14:paraId="40828B55" w14:textId="77777777" w:rsidTr="0022656D">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706FBD" w:rsidRPr="00706FBD" w:rsidP="0022656D" w14:paraId="13BFCF5B" w14:textId="77777777">
            <w:pPr>
              <w:spacing w:after="0" w:line="240" w:lineRule="auto"/>
              <w:jc w:val="center"/>
              <w:rPr>
                <w:rFonts w:ascii="Times New Roman" w:eastAsia="Times New Roman" w:hAnsi="Times New Roman" w:cs="Times New Roman"/>
                <w:b/>
                <w:bCs/>
                <w:iCs/>
                <w:sz w:val="24"/>
                <w:szCs w:val="24"/>
                <w:lang w:eastAsia="lv-LV"/>
              </w:rPr>
            </w:pPr>
            <w:r w:rsidRPr="00706FBD">
              <w:rPr>
                <w:rFonts w:ascii="Times New Roman" w:eastAsia="Times New Roman" w:hAnsi="Times New Roman" w:cs="Times New Roman"/>
                <w:b/>
                <w:bCs/>
                <w:iCs/>
                <w:sz w:val="24"/>
                <w:szCs w:val="24"/>
                <w:lang w:eastAsia="lv-LV"/>
              </w:rPr>
              <w:t>VI. Sabiedrības līdzdalība un komunikācijas aktivitātes</w:t>
            </w:r>
          </w:p>
        </w:tc>
      </w:tr>
      <w:tr w14:paraId="3CF3C759" w14:textId="77777777" w:rsidTr="00706FBD">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706FBD" w:rsidRPr="00706FBD" w:rsidP="0022656D" w14:paraId="6B281B56" w14:textId="77777777">
            <w:pPr>
              <w:spacing w:after="0" w:line="240" w:lineRule="auto"/>
              <w:rPr>
                <w:rFonts w:ascii="Times New Roman" w:eastAsia="Times New Roman" w:hAnsi="Times New Roman" w:cs="Times New Roman"/>
                <w:iCs/>
                <w:sz w:val="24"/>
                <w:szCs w:val="24"/>
                <w:lang w:eastAsia="lv-LV"/>
              </w:rPr>
            </w:pPr>
            <w:r w:rsidRPr="00706FBD">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rsidR="00706FBD" w:rsidRPr="00706FBD" w:rsidP="0022656D" w14:paraId="7CAD9BD0" w14:textId="77777777">
            <w:pPr>
              <w:spacing w:after="0" w:line="240" w:lineRule="auto"/>
              <w:rPr>
                <w:rFonts w:ascii="Times New Roman" w:eastAsia="Times New Roman" w:hAnsi="Times New Roman" w:cs="Times New Roman"/>
                <w:iCs/>
                <w:sz w:val="24"/>
                <w:szCs w:val="24"/>
                <w:lang w:eastAsia="lv-LV"/>
              </w:rPr>
            </w:pPr>
            <w:r w:rsidRPr="00706FBD">
              <w:rPr>
                <w:rFonts w:ascii="Times New Roman" w:eastAsia="Times New Roman" w:hAnsi="Times New Roman" w:cs="Times New Roman"/>
                <w:iCs/>
                <w:sz w:val="24"/>
                <w:szCs w:val="24"/>
                <w:lang w:eastAsia="lv-LV"/>
              </w:rPr>
              <w:t>Plānotās sabiedrības līdzdalības un komunikācijas aktivitātes saistībā ar projektu</w:t>
            </w:r>
          </w:p>
        </w:tc>
        <w:tc>
          <w:tcPr>
            <w:tcW w:w="2961" w:type="pct"/>
            <w:tcBorders>
              <w:top w:val="outset" w:sz="6" w:space="0" w:color="auto"/>
              <w:left w:val="outset" w:sz="6" w:space="0" w:color="auto"/>
              <w:bottom w:val="outset" w:sz="6" w:space="0" w:color="auto"/>
              <w:right w:val="outset" w:sz="6" w:space="0" w:color="auto"/>
            </w:tcBorders>
            <w:hideMark/>
          </w:tcPr>
          <w:p w:rsidR="00707E5F" w:rsidP="004E0A04" w14:paraId="0217D16D" w14:textId="3FB72587">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2018.gada 28.februārī Ekonomikas ministrijas mājaslapā publicēts ministru prezidenta biedra, ekonomikas </w:t>
            </w:r>
            <w:r w:rsidR="00352E81">
              <w:rPr>
                <w:rFonts w:ascii="Times New Roman" w:eastAsia="Times New Roman" w:hAnsi="Times New Roman" w:cs="Times New Roman"/>
                <w:iCs/>
                <w:sz w:val="24"/>
                <w:szCs w:val="24"/>
                <w:lang w:eastAsia="lv-LV"/>
              </w:rPr>
              <w:t>ministra paziņojums, ka AS</w:t>
            </w:r>
            <w:r w:rsidRPr="00352E81" w:rsidR="00352E81">
              <w:rPr>
                <w:rFonts w:ascii="Times New Roman" w:eastAsia="Times New Roman" w:hAnsi="Times New Roman" w:cs="Times New Roman"/>
                <w:iCs/>
                <w:sz w:val="24"/>
                <w:szCs w:val="24"/>
                <w:lang w:eastAsia="lv-LV"/>
              </w:rPr>
              <w:t xml:space="preserve"> </w:t>
            </w:r>
            <w:r w:rsidR="00352E81">
              <w:rPr>
                <w:rFonts w:ascii="Times New Roman" w:eastAsia="Times New Roman" w:hAnsi="Times New Roman" w:cs="Times New Roman"/>
                <w:iCs/>
                <w:sz w:val="24"/>
                <w:szCs w:val="24"/>
                <w:lang w:eastAsia="lv-LV"/>
              </w:rPr>
              <w:t>“</w:t>
            </w:r>
            <w:r w:rsidRPr="00352E81" w:rsidR="00352E81">
              <w:rPr>
                <w:rFonts w:ascii="Times New Roman" w:eastAsia="Times New Roman" w:hAnsi="Times New Roman" w:cs="Times New Roman"/>
                <w:iCs/>
                <w:sz w:val="24"/>
                <w:szCs w:val="24"/>
                <w:lang w:eastAsia="lv-LV"/>
              </w:rPr>
              <w:t>Latvenergo</w:t>
            </w:r>
            <w:r w:rsidR="00352E81">
              <w:rPr>
                <w:rFonts w:ascii="Times New Roman" w:eastAsia="Times New Roman" w:hAnsi="Times New Roman" w:cs="Times New Roman"/>
                <w:iCs/>
                <w:sz w:val="24"/>
                <w:szCs w:val="24"/>
                <w:lang w:eastAsia="lv-LV"/>
              </w:rPr>
              <w:t>”</w:t>
            </w:r>
            <w:r w:rsidRPr="00352E81" w:rsidR="00352E81">
              <w:rPr>
                <w:rFonts w:ascii="Times New Roman" w:eastAsia="Times New Roman" w:hAnsi="Times New Roman" w:cs="Times New Roman"/>
                <w:iCs/>
                <w:sz w:val="24"/>
                <w:szCs w:val="24"/>
                <w:lang w:eastAsia="lv-LV"/>
              </w:rPr>
              <w:t xml:space="preserve"> </w:t>
            </w:r>
            <w:r w:rsidR="00352E81">
              <w:rPr>
                <w:rFonts w:ascii="Times New Roman" w:eastAsia="Times New Roman" w:hAnsi="Times New Roman" w:cs="Times New Roman"/>
                <w:iCs/>
                <w:sz w:val="24"/>
                <w:szCs w:val="24"/>
                <w:lang w:eastAsia="lv-LV"/>
              </w:rPr>
              <w:t>virspeļņa</w:t>
            </w:r>
            <w:r w:rsidRPr="00352E81" w:rsidR="00352E81">
              <w:rPr>
                <w:rFonts w:ascii="Times New Roman" w:eastAsia="Times New Roman" w:hAnsi="Times New Roman" w:cs="Times New Roman"/>
                <w:iCs/>
                <w:sz w:val="24"/>
                <w:szCs w:val="24"/>
                <w:lang w:eastAsia="lv-LV"/>
              </w:rPr>
              <w:t xml:space="preserve"> ir jānovirza elektroenerģijas </w:t>
            </w:r>
            <w:r w:rsidR="00352E81">
              <w:rPr>
                <w:rFonts w:ascii="Times New Roman" w:eastAsia="Times New Roman" w:hAnsi="Times New Roman" w:cs="Times New Roman"/>
                <w:iCs/>
                <w:sz w:val="24"/>
                <w:szCs w:val="24"/>
                <w:lang w:eastAsia="lv-LV"/>
              </w:rPr>
              <w:t>obligātās iepirkumu komponentes</w:t>
            </w:r>
            <w:r w:rsidRPr="00352E81" w:rsidR="00352E81">
              <w:rPr>
                <w:rFonts w:ascii="Times New Roman" w:eastAsia="Times New Roman" w:hAnsi="Times New Roman" w:cs="Times New Roman"/>
                <w:iCs/>
                <w:sz w:val="24"/>
                <w:szCs w:val="24"/>
                <w:lang w:eastAsia="lv-LV"/>
              </w:rPr>
              <w:t xml:space="preserve"> izmaksu segšanai</w:t>
            </w:r>
            <w:r w:rsidR="00352E81">
              <w:rPr>
                <w:rFonts w:ascii="Times New Roman" w:eastAsia="Times New Roman" w:hAnsi="Times New Roman" w:cs="Times New Roman"/>
                <w:iCs/>
                <w:sz w:val="24"/>
                <w:szCs w:val="24"/>
                <w:lang w:eastAsia="lv-LV"/>
              </w:rPr>
              <w:t>.</w:t>
            </w:r>
          </w:p>
          <w:p w:rsidR="00706FBD" w:rsidRPr="00706FBD" w:rsidP="004E0A04" w14:paraId="2B3F7838" w14:textId="3ABF9C35">
            <w:pPr>
              <w:spacing w:after="0" w:line="240" w:lineRule="auto"/>
              <w:jc w:val="both"/>
              <w:rPr>
                <w:rFonts w:ascii="Times New Roman" w:eastAsia="Times New Roman" w:hAnsi="Times New Roman" w:cs="Times New Roman"/>
                <w:iCs/>
                <w:sz w:val="24"/>
                <w:szCs w:val="24"/>
                <w:lang w:eastAsia="lv-LV"/>
              </w:rPr>
            </w:pPr>
            <w:r w:rsidRPr="004E0A04">
              <w:rPr>
                <w:rFonts w:ascii="Times New Roman" w:eastAsia="Times New Roman" w:hAnsi="Times New Roman" w:cs="Times New Roman"/>
                <w:iCs/>
                <w:sz w:val="24"/>
                <w:szCs w:val="24"/>
                <w:lang w:eastAsia="lv-LV"/>
              </w:rPr>
              <w:t xml:space="preserve">2018.gada 16.aprīlī plašsaziņas līdzekļos nonāca paziņojums, ka Koalīcijas padome ir </w:t>
            </w:r>
            <w:r w:rsidR="00707E5F">
              <w:rPr>
                <w:rFonts w:ascii="Times New Roman" w:eastAsia="Times New Roman" w:hAnsi="Times New Roman" w:cs="Times New Roman"/>
                <w:iCs/>
                <w:sz w:val="24"/>
                <w:szCs w:val="24"/>
                <w:lang w:eastAsia="lv-LV"/>
              </w:rPr>
              <w:t>vienojusies par obligātā</w:t>
            </w:r>
            <w:r w:rsidRPr="004E0A04">
              <w:rPr>
                <w:rFonts w:ascii="Times New Roman" w:eastAsia="Times New Roman" w:hAnsi="Times New Roman" w:cs="Times New Roman"/>
                <w:iCs/>
                <w:sz w:val="24"/>
                <w:szCs w:val="24"/>
                <w:lang w:eastAsia="lv-LV"/>
              </w:rPr>
              <w:t xml:space="preserve"> iepirkuma komponentes maksājumu samazināšanu, novirzot šim mērķim AS "Latvenergo" virspeļņu.</w:t>
            </w:r>
          </w:p>
        </w:tc>
      </w:tr>
      <w:tr w14:paraId="238F60E1" w14:textId="77777777" w:rsidTr="00706FBD">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706FBD" w:rsidRPr="00706FBD" w:rsidP="0022656D" w14:paraId="6F33745A" w14:textId="77777777">
            <w:pPr>
              <w:spacing w:after="0" w:line="240" w:lineRule="auto"/>
              <w:rPr>
                <w:rFonts w:ascii="Times New Roman" w:eastAsia="Times New Roman" w:hAnsi="Times New Roman" w:cs="Times New Roman"/>
                <w:iCs/>
                <w:sz w:val="24"/>
                <w:szCs w:val="24"/>
                <w:lang w:eastAsia="lv-LV"/>
              </w:rPr>
            </w:pPr>
            <w:r w:rsidRPr="00706FBD">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rsidR="00706FBD" w:rsidRPr="00706FBD" w:rsidP="0022656D" w14:paraId="2403846D" w14:textId="77777777">
            <w:pPr>
              <w:spacing w:after="0" w:line="240" w:lineRule="auto"/>
              <w:rPr>
                <w:rFonts w:ascii="Times New Roman" w:eastAsia="Times New Roman" w:hAnsi="Times New Roman" w:cs="Times New Roman"/>
                <w:iCs/>
                <w:sz w:val="24"/>
                <w:szCs w:val="24"/>
                <w:lang w:eastAsia="lv-LV"/>
              </w:rPr>
            </w:pPr>
            <w:r w:rsidRPr="00706FBD">
              <w:rPr>
                <w:rFonts w:ascii="Times New Roman" w:eastAsia="Times New Roman" w:hAnsi="Times New Roman" w:cs="Times New Roman"/>
                <w:iCs/>
                <w:sz w:val="24"/>
                <w:szCs w:val="24"/>
                <w:lang w:eastAsia="lv-LV"/>
              </w:rPr>
              <w:t>Sabiedrības līdzdalība projekta izstrādē</w:t>
            </w:r>
          </w:p>
        </w:tc>
        <w:tc>
          <w:tcPr>
            <w:tcW w:w="2961" w:type="pct"/>
            <w:tcBorders>
              <w:top w:val="outset" w:sz="6" w:space="0" w:color="auto"/>
              <w:left w:val="outset" w:sz="6" w:space="0" w:color="auto"/>
              <w:bottom w:val="outset" w:sz="6" w:space="0" w:color="auto"/>
              <w:right w:val="outset" w:sz="6" w:space="0" w:color="auto"/>
            </w:tcBorders>
            <w:hideMark/>
          </w:tcPr>
          <w:p w:rsidR="00706FBD" w:rsidRPr="00706FBD" w:rsidP="0022656D" w14:paraId="35FC1A72" w14:textId="77777777">
            <w:pPr>
              <w:spacing w:after="0" w:line="240" w:lineRule="auto"/>
              <w:rPr>
                <w:rFonts w:ascii="Times New Roman" w:eastAsia="Times New Roman" w:hAnsi="Times New Roman" w:cs="Times New Roman"/>
                <w:iCs/>
                <w:sz w:val="24"/>
                <w:szCs w:val="24"/>
                <w:lang w:eastAsia="lv-LV"/>
              </w:rPr>
            </w:pPr>
            <w:r w:rsidRPr="00706FBD">
              <w:rPr>
                <w:rFonts w:ascii="Times New Roman" w:eastAsia="Times New Roman" w:hAnsi="Times New Roman" w:cs="Times New Roman"/>
                <w:iCs/>
                <w:sz w:val="24"/>
                <w:szCs w:val="24"/>
                <w:lang w:eastAsia="lv-LV"/>
              </w:rPr>
              <w:t>Nav</w:t>
            </w:r>
          </w:p>
        </w:tc>
      </w:tr>
      <w:tr w14:paraId="17FFA6EC" w14:textId="77777777" w:rsidTr="00706FBD">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706FBD" w:rsidRPr="00706FBD" w:rsidP="0022656D" w14:paraId="4E846CEE" w14:textId="77777777">
            <w:pPr>
              <w:spacing w:after="0" w:line="240" w:lineRule="auto"/>
              <w:rPr>
                <w:rFonts w:ascii="Times New Roman" w:eastAsia="Times New Roman" w:hAnsi="Times New Roman" w:cs="Times New Roman"/>
                <w:iCs/>
                <w:sz w:val="24"/>
                <w:szCs w:val="24"/>
                <w:lang w:eastAsia="lv-LV"/>
              </w:rPr>
            </w:pPr>
            <w:r w:rsidRPr="00706FBD">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rsidR="00706FBD" w:rsidRPr="00706FBD" w:rsidP="0022656D" w14:paraId="4953D475" w14:textId="77777777">
            <w:pPr>
              <w:spacing w:after="0" w:line="240" w:lineRule="auto"/>
              <w:rPr>
                <w:rFonts w:ascii="Times New Roman" w:eastAsia="Times New Roman" w:hAnsi="Times New Roman" w:cs="Times New Roman"/>
                <w:iCs/>
                <w:sz w:val="24"/>
                <w:szCs w:val="24"/>
                <w:lang w:eastAsia="lv-LV"/>
              </w:rPr>
            </w:pPr>
            <w:r w:rsidRPr="00706FBD">
              <w:rPr>
                <w:rFonts w:ascii="Times New Roman" w:eastAsia="Times New Roman" w:hAnsi="Times New Roman" w:cs="Times New Roman"/>
                <w:iCs/>
                <w:sz w:val="24"/>
                <w:szCs w:val="24"/>
                <w:lang w:eastAsia="lv-LV"/>
              </w:rPr>
              <w:t>Sabiedrības līdzdalības rezultāti</w:t>
            </w:r>
          </w:p>
        </w:tc>
        <w:tc>
          <w:tcPr>
            <w:tcW w:w="2961" w:type="pct"/>
            <w:tcBorders>
              <w:top w:val="outset" w:sz="6" w:space="0" w:color="auto"/>
              <w:left w:val="outset" w:sz="6" w:space="0" w:color="auto"/>
              <w:bottom w:val="outset" w:sz="6" w:space="0" w:color="auto"/>
              <w:right w:val="outset" w:sz="6" w:space="0" w:color="auto"/>
            </w:tcBorders>
            <w:hideMark/>
          </w:tcPr>
          <w:p w:rsidR="00706FBD" w:rsidRPr="00706FBD" w:rsidP="0022656D" w14:paraId="300A58DB" w14:textId="77777777">
            <w:pPr>
              <w:spacing w:after="0" w:line="240" w:lineRule="auto"/>
              <w:rPr>
                <w:rFonts w:ascii="Times New Roman" w:eastAsia="Times New Roman" w:hAnsi="Times New Roman" w:cs="Times New Roman"/>
                <w:iCs/>
                <w:sz w:val="24"/>
                <w:szCs w:val="24"/>
                <w:lang w:eastAsia="lv-LV"/>
              </w:rPr>
            </w:pPr>
            <w:r w:rsidRPr="00706FBD">
              <w:rPr>
                <w:rFonts w:ascii="Times New Roman" w:eastAsia="Times New Roman" w:hAnsi="Times New Roman" w:cs="Times New Roman"/>
                <w:iCs/>
                <w:sz w:val="24"/>
                <w:szCs w:val="24"/>
                <w:lang w:eastAsia="lv-LV"/>
              </w:rPr>
              <w:t>Nav</w:t>
            </w:r>
          </w:p>
        </w:tc>
      </w:tr>
      <w:tr w14:paraId="7A0E4950" w14:textId="77777777" w:rsidTr="00706FBD">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706FBD" w:rsidRPr="00706FBD" w:rsidP="00706FBD" w14:paraId="45B36BA6" w14:textId="77777777">
            <w:pPr>
              <w:spacing w:after="0" w:line="240" w:lineRule="auto"/>
              <w:rPr>
                <w:rFonts w:ascii="Times New Roman" w:eastAsia="Times New Roman" w:hAnsi="Times New Roman" w:cs="Times New Roman"/>
                <w:iCs/>
                <w:sz w:val="24"/>
                <w:szCs w:val="24"/>
                <w:lang w:eastAsia="lv-LV"/>
              </w:rPr>
            </w:pPr>
            <w:r w:rsidRPr="00706FBD">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rsidR="00706FBD" w:rsidRPr="00706FBD" w:rsidP="00706FBD" w14:paraId="0F3596D3" w14:textId="77777777">
            <w:pPr>
              <w:spacing w:after="0" w:line="240" w:lineRule="auto"/>
              <w:rPr>
                <w:rFonts w:ascii="Times New Roman" w:eastAsia="Times New Roman" w:hAnsi="Times New Roman" w:cs="Times New Roman"/>
                <w:iCs/>
                <w:sz w:val="24"/>
                <w:szCs w:val="24"/>
                <w:lang w:eastAsia="lv-LV"/>
              </w:rPr>
            </w:pPr>
            <w:r w:rsidRPr="00706FBD">
              <w:rPr>
                <w:rFonts w:ascii="Times New Roman" w:eastAsia="Times New Roman" w:hAnsi="Times New Roman" w:cs="Times New Roman"/>
                <w:iCs/>
                <w:sz w:val="24"/>
                <w:szCs w:val="24"/>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rsidR="00706FBD" w:rsidRPr="00706FBD" w:rsidP="00633ADE" w14:paraId="15E7D620" w14:textId="22AC0E32">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rsidR="00706FBD" w:rsidRPr="00706FBD" w:rsidP="00E5323B" w14:paraId="111F6B0A" w14:textId="77777777">
      <w:pPr>
        <w:spacing w:after="0" w:line="240" w:lineRule="auto"/>
        <w:rPr>
          <w:rFonts w:ascii="Times New Roman" w:eastAsia="Times New Roman" w:hAnsi="Times New Roman" w:cs="Times New Roman"/>
          <w:iCs/>
          <w:sz w:val="24"/>
          <w:szCs w:val="24"/>
          <w:lang w:eastAsia="lv-LV"/>
        </w:rPr>
      </w:pPr>
      <w:r w:rsidRPr="00706FBD">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068"/>
        <w:gridCol w:w="5406"/>
      </w:tblGrid>
      <w:tr w14:paraId="0638AE09" w14:textId="77777777" w:rsidTr="0022656D">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706FBD" w:rsidRPr="00706FBD" w:rsidP="0022656D" w14:paraId="7D5A248A" w14:textId="77777777">
            <w:pPr>
              <w:spacing w:after="0" w:line="240" w:lineRule="auto"/>
              <w:jc w:val="center"/>
              <w:rPr>
                <w:rFonts w:ascii="Times New Roman" w:eastAsia="Times New Roman" w:hAnsi="Times New Roman" w:cs="Times New Roman"/>
                <w:b/>
                <w:bCs/>
                <w:iCs/>
                <w:sz w:val="24"/>
                <w:szCs w:val="24"/>
                <w:lang w:eastAsia="lv-LV"/>
              </w:rPr>
            </w:pPr>
            <w:r w:rsidRPr="00706FBD">
              <w:rPr>
                <w:rFonts w:ascii="Times New Roman" w:eastAsia="Times New Roman" w:hAnsi="Times New Roman" w:cs="Times New Roman"/>
                <w:b/>
                <w:bCs/>
                <w:iCs/>
                <w:sz w:val="24"/>
                <w:szCs w:val="24"/>
                <w:lang w:eastAsia="lv-LV"/>
              </w:rPr>
              <w:t>VII. Tiesību akta projekta izpildes nodrošināšana un tās ietekme uz institūcijām</w:t>
            </w:r>
          </w:p>
        </w:tc>
      </w:tr>
      <w:tr w14:paraId="0C5793EA" w14:textId="77777777" w:rsidTr="0022656D">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706FBD" w:rsidRPr="00706FBD" w:rsidP="0022656D" w14:paraId="477931F6" w14:textId="77777777">
            <w:pPr>
              <w:spacing w:after="0" w:line="240" w:lineRule="auto"/>
              <w:rPr>
                <w:rFonts w:ascii="Times New Roman" w:eastAsia="Times New Roman" w:hAnsi="Times New Roman" w:cs="Times New Roman"/>
                <w:iCs/>
                <w:sz w:val="24"/>
                <w:szCs w:val="24"/>
                <w:lang w:eastAsia="lv-LV"/>
              </w:rPr>
            </w:pPr>
            <w:r w:rsidRPr="00706FBD">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706FBD" w:rsidRPr="00706FBD" w:rsidP="0022656D" w14:paraId="0F7E8808" w14:textId="77777777">
            <w:pPr>
              <w:spacing w:after="0" w:line="240" w:lineRule="auto"/>
              <w:rPr>
                <w:rFonts w:ascii="Times New Roman" w:eastAsia="Times New Roman" w:hAnsi="Times New Roman" w:cs="Times New Roman"/>
                <w:iCs/>
                <w:sz w:val="24"/>
                <w:szCs w:val="24"/>
                <w:lang w:eastAsia="lv-LV"/>
              </w:rPr>
            </w:pPr>
            <w:r w:rsidRPr="00706FBD">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rsidR="00706FBD" w:rsidRPr="00706FBD" w:rsidP="0022656D" w14:paraId="04355056" w14:textId="77777777">
            <w:pPr>
              <w:spacing w:after="0" w:line="240" w:lineRule="auto"/>
              <w:rPr>
                <w:rFonts w:ascii="Times New Roman" w:eastAsia="Times New Roman" w:hAnsi="Times New Roman" w:cs="Times New Roman"/>
                <w:iCs/>
                <w:sz w:val="24"/>
                <w:szCs w:val="24"/>
                <w:lang w:eastAsia="lv-LV"/>
              </w:rPr>
            </w:pPr>
            <w:r w:rsidRPr="00706FBD">
              <w:rPr>
                <w:rFonts w:ascii="Times New Roman" w:eastAsia="Times New Roman" w:hAnsi="Times New Roman" w:cs="Times New Roman"/>
                <w:sz w:val="24"/>
                <w:szCs w:val="24"/>
                <w:lang w:eastAsia="lv-LV"/>
              </w:rPr>
              <w:t>Ekonomikas ministrija</w:t>
            </w:r>
          </w:p>
        </w:tc>
      </w:tr>
      <w:tr w14:paraId="6B44494C" w14:textId="77777777" w:rsidTr="0022656D">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706FBD" w:rsidRPr="00706FBD" w:rsidP="0022656D" w14:paraId="16D232FB" w14:textId="77777777">
            <w:pPr>
              <w:spacing w:after="0" w:line="240" w:lineRule="auto"/>
              <w:rPr>
                <w:rFonts w:ascii="Times New Roman" w:eastAsia="Times New Roman" w:hAnsi="Times New Roman" w:cs="Times New Roman"/>
                <w:iCs/>
                <w:sz w:val="24"/>
                <w:szCs w:val="24"/>
                <w:lang w:eastAsia="lv-LV"/>
              </w:rPr>
            </w:pPr>
            <w:r w:rsidRPr="00706FBD">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706FBD" w:rsidRPr="00706FBD" w:rsidP="0022656D" w14:paraId="18FA78CA" w14:textId="77777777">
            <w:pPr>
              <w:spacing w:after="0" w:line="240" w:lineRule="auto"/>
              <w:rPr>
                <w:rFonts w:ascii="Times New Roman" w:eastAsia="Times New Roman" w:hAnsi="Times New Roman" w:cs="Times New Roman"/>
                <w:iCs/>
                <w:sz w:val="24"/>
                <w:szCs w:val="24"/>
                <w:lang w:eastAsia="lv-LV"/>
              </w:rPr>
            </w:pPr>
            <w:r w:rsidRPr="00706FBD">
              <w:rPr>
                <w:rFonts w:ascii="Times New Roman" w:eastAsia="Times New Roman" w:hAnsi="Times New Roman" w:cs="Times New Roman"/>
                <w:iCs/>
                <w:sz w:val="24"/>
                <w:szCs w:val="24"/>
                <w:lang w:eastAsia="lv-LV"/>
              </w:rPr>
              <w:t>Projekta izpildes ietekme uz pārvaldes funkcijām un institucionālo struktūru.</w:t>
            </w:r>
            <w:r w:rsidRPr="00706FBD">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rsidR="00706FBD" w:rsidRPr="00706FBD" w:rsidP="009528EA" w14:paraId="5BF89A4C" w14:textId="77777777">
            <w:pPr>
              <w:spacing w:after="0" w:line="240" w:lineRule="auto"/>
              <w:rPr>
                <w:rFonts w:ascii="Times New Roman" w:eastAsia="Times New Roman" w:hAnsi="Times New Roman" w:cs="Times New Roman"/>
                <w:iCs/>
                <w:sz w:val="24"/>
                <w:szCs w:val="24"/>
                <w:lang w:eastAsia="lv-LV"/>
              </w:rPr>
            </w:pPr>
            <w:r w:rsidRPr="00706FBD">
              <w:rPr>
                <w:rFonts w:ascii="Times New Roman" w:eastAsia="Times New Roman" w:hAnsi="Times New Roman" w:cs="Times New Roman"/>
                <w:sz w:val="24"/>
                <w:szCs w:val="24"/>
                <w:lang w:eastAsia="lv-LV"/>
              </w:rPr>
              <w:t>Noteikumu projekts neparedz pārvaldes funkciju paplašināšanu un jaunu valsts institūciju veidošanu</w:t>
            </w:r>
          </w:p>
        </w:tc>
      </w:tr>
      <w:tr w14:paraId="6EFEF8C7" w14:textId="77777777" w:rsidTr="0022656D">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706FBD" w:rsidRPr="00706FBD" w:rsidP="0022656D" w14:paraId="35BCD3D5" w14:textId="77777777">
            <w:pPr>
              <w:spacing w:after="0" w:line="240" w:lineRule="auto"/>
              <w:rPr>
                <w:rFonts w:ascii="Times New Roman" w:eastAsia="Times New Roman" w:hAnsi="Times New Roman" w:cs="Times New Roman"/>
                <w:iCs/>
                <w:sz w:val="24"/>
                <w:szCs w:val="24"/>
                <w:lang w:eastAsia="lv-LV"/>
              </w:rPr>
            </w:pPr>
            <w:r w:rsidRPr="00706FBD">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706FBD" w:rsidRPr="00706FBD" w:rsidP="0022656D" w14:paraId="28176986" w14:textId="77777777">
            <w:pPr>
              <w:spacing w:after="0" w:line="240" w:lineRule="auto"/>
              <w:rPr>
                <w:rFonts w:ascii="Times New Roman" w:eastAsia="Times New Roman" w:hAnsi="Times New Roman" w:cs="Times New Roman"/>
                <w:iCs/>
                <w:sz w:val="24"/>
                <w:szCs w:val="24"/>
                <w:lang w:eastAsia="lv-LV"/>
              </w:rPr>
            </w:pPr>
            <w:r w:rsidRPr="00706FBD">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706FBD" w:rsidRPr="00706FBD" w:rsidP="0022656D" w14:paraId="2537F6AC" w14:textId="77777777">
            <w:pPr>
              <w:spacing w:after="0" w:line="240" w:lineRule="auto"/>
              <w:rPr>
                <w:rFonts w:ascii="Times New Roman" w:eastAsia="Times New Roman" w:hAnsi="Times New Roman" w:cs="Times New Roman"/>
                <w:iCs/>
                <w:sz w:val="24"/>
                <w:szCs w:val="24"/>
                <w:lang w:eastAsia="lv-LV"/>
              </w:rPr>
            </w:pPr>
            <w:r w:rsidRPr="00706FBD">
              <w:rPr>
                <w:rFonts w:ascii="Times New Roman" w:eastAsia="Times New Roman" w:hAnsi="Times New Roman" w:cs="Times New Roman"/>
                <w:iCs/>
                <w:sz w:val="24"/>
                <w:szCs w:val="24"/>
                <w:lang w:eastAsia="lv-LV"/>
              </w:rPr>
              <w:t>Nav</w:t>
            </w:r>
          </w:p>
        </w:tc>
      </w:tr>
    </w:tbl>
    <w:p w:rsidR="00C25B49" w:rsidRPr="00C75927" w:rsidP="00894C55" w14:paraId="469AD165" w14:textId="77777777">
      <w:pPr>
        <w:spacing w:after="0" w:line="240" w:lineRule="auto"/>
        <w:rPr>
          <w:rFonts w:ascii="Times New Roman" w:eastAsia="Times New Roman" w:hAnsi="Times New Roman" w:cs="Times New Roman"/>
          <w:iCs/>
          <w:sz w:val="24"/>
          <w:szCs w:val="24"/>
          <w:lang w:eastAsia="lv-LV"/>
        </w:rPr>
      </w:pPr>
      <w:r w:rsidRPr="00706FBD">
        <w:rPr>
          <w:rFonts w:ascii="Times New Roman" w:eastAsia="Times New Roman" w:hAnsi="Times New Roman" w:cs="Times New Roman"/>
          <w:iCs/>
          <w:sz w:val="24"/>
          <w:szCs w:val="24"/>
          <w:lang w:eastAsia="lv-LV"/>
        </w:rPr>
        <w:t xml:space="preserve">  </w:t>
      </w:r>
    </w:p>
    <w:p w:rsidR="00036CE7" w:rsidRPr="00706FBD" w:rsidP="00036CE7" w14:paraId="3C5FE722" w14:textId="77777777">
      <w:pPr>
        <w:rPr>
          <w:rFonts w:ascii="Times New Roman" w:hAnsi="Times New Roman" w:cs="Times New Roman"/>
          <w:bCs/>
          <w:sz w:val="28"/>
          <w:szCs w:val="28"/>
        </w:rPr>
      </w:pPr>
    </w:p>
    <w:p w:rsidR="00036CE7" w:rsidRPr="00706FBD" w:rsidP="001E60BB" w14:paraId="4632DC37" w14:textId="551F9CA9">
      <w:pPr>
        <w:tabs>
          <w:tab w:val="center" w:pos="9071"/>
        </w:tabs>
        <w:rPr>
          <w:rFonts w:ascii="Times New Roman" w:hAnsi="Times New Roman" w:cs="Times New Roman"/>
          <w:bCs/>
          <w:sz w:val="28"/>
          <w:szCs w:val="28"/>
        </w:rPr>
      </w:pPr>
      <w:r w:rsidRPr="00706FBD">
        <w:rPr>
          <w:rFonts w:ascii="Times New Roman" w:hAnsi="Times New Roman" w:cs="Times New Roman"/>
          <w:bCs/>
          <w:sz w:val="28"/>
          <w:szCs w:val="28"/>
        </w:rPr>
        <w:t>Ministru prezident</w:t>
      </w:r>
      <w:r w:rsidR="00B678A0">
        <w:rPr>
          <w:rFonts w:ascii="Times New Roman" w:hAnsi="Times New Roman" w:cs="Times New Roman"/>
          <w:bCs/>
          <w:sz w:val="28"/>
          <w:szCs w:val="28"/>
        </w:rPr>
        <w:t>a biedrs,</w:t>
      </w:r>
      <w:r w:rsidR="00B678A0">
        <w:rPr>
          <w:rFonts w:ascii="Times New Roman" w:hAnsi="Times New Roman" w:cs="Times New Roman"/>
          <w:bCs/>
          <w:sz w:val="28"/>
          <w:szCs w:val="28"/>
        </w:rPr>
        <w:br/>
        <w:t>ekonomikas ministrs</w:t>
      </w:r>
      <w:r w:rsidR="00B678A0">
        <w:rPr>
          <w:rFonts w:ascii="Times New Roman" w:hAnsi="Times New Roman" w:cs="Times New Roman"/>
          <w:bCs/>
          <w:sz w:val="28"/>
          <w:szCs w:val="28"/>
        </w:rPr>
        <w:tab/>
        <w:t xml:space="preserve">Arvils </w:t>
      </w:r>
      <w:r w:rsidRPr="00706FBD">
        <w:rPr>
          <w:rFonts w:ascii="Times New Roman" w:hAnsi="Times New Roman" w:cs="Times New Roman"/>
          <w:bCs/>
          <w:sz w:val="28"/>
          <w:szCs w:val="28"/>
        </w:rPr>
        <w:t>Ašeradens</w:t>
      </w:r>
    </w:p>
    <w:p w:rsidR="00036CE7" w:rsidRPr="00706FBD" w:rsidP="00036CE7" w14:paraId="28371428" w14:textId="77777777">
      <w:pPr>
        <w:pStyle w:val="naisf"/>
        <w:spacing w:before="0" w:beforeAutospacing="0" w:after="0" w:afterAutospacing="0"/>
        <w:rPr>
          <w:bCs/>
          <w:color w:val="000000"/>
          <w:sz w:val="28"/>
          <w:szCs w:val="28"/>
        </w:rPr>
      </w:pPr>
    </w:p>
    <w:p w:rsidR="00036CE7" w:rsidRPr="00706FBD" w:rsidP="00036CE7" w14:paraId="640D04C4" w14:textId="77777777">
      <w:pPr>
        <w:pStyle w:val="naisf"/>
        <w:spacing w:before="0" w:beforeAutospacing="0" w:after="0" w:afterAutospacing="0"/>
        <w:rPr>
          <w:b/>
          <w:bCs/>
          <w:color w:val="000000"/>
          <w:sz w:val="28"/>
          <w:szCs w:val="28"/>
        </w:rPr>
      </w:pPr>
      <w:r w:rsidRPr="00706FBD">
        <w:rPr>
          <w:bCs/>
          <w:color w:val="000000"/>
          <w:sz w:val="28"/>
          <w:szCs w:val="28"/>
        </w:rPr>
        <w:t>Vīza:</w:t>
      </w:r>
    </w:p>
    <w:p w:rsidR="00036CE7" w:rsidRPr="00706FBD" w:rsidP="001E60BB" w14:paraId="627CC2EB" w14:textId="389F4F68">
      <w:pPr>
        <w:tabs>
          <w:tab w:val="center" w:pos="9071"/>
        </w:tabs>
        <w:jc w:val="both"/>
        <w:rPr>
          <w:rFonts w:ascii="Times New Roman" w:hAnsi="Times New Roman" w:cs="Times New Roman"/>
          <w:color w:val="000000"/>
          <w:sz w:val="28"/>
          <w:szCs w:val="28"/>
        </w:rPr>
      </w:pPr>
      <w:r>
        <w:rPr>
          <w:rFonts w:ascii="Times New Roman" w:hAnsi="Times New Roman" w:cs="Times New Roman"/>
          <w:color w:val="000000"/>
          <w:sz w:val="28"/>
          <w:szCs w:val="28"/>
        </w:rPr>
        <w:t>Valsts sekretārs</w:t>
      </w:r>
      <w:r>
        <w:rPr>
          <w:rFonts w:ascii="Times New Roman" w:hAnsi="Times New Roman" w:cs="Times New Roman"/>
          <w:color w:val="000000"/>
          <w:sz w:val="28"/>
          <w:szCs w:val="28"/>
        </w:rPr>
        <w:tab/>
      </w:r>
      <w:r w:rsidR="00B678A0">
        <w:rPr>
          <w:rFonts w:ascii="Times New Roman" w:hAnsi="Times New Roman" w:cs="Times New Roman"/>
          <w:color w:val="000000"/>
          <w:sz w:val="28"/>
          <w:szCs w:val="28"/>
        </w:rPr>
        <w:t xml:space="preserve">Ēriks </w:t>
      </w:r>
      <w:bookmarkStart w:id="0" w:name="_GoBack"/>
      <w:bookmarkEnd w:id="0"/>
      <w:r w:rsidR="001D40DF">
        <w:rPr>
          <w:rFonts w:ascii="Times New Roman" w:hAnsi="Times New Roman" w:cs="Times New Roman"/>
          <w:color w:val="000000"/>
          <w:sz w:val="28"/>
          <w:szCs w:val="28"/>
        </w:rPr>
        <w:t>Eglītis</w:t>
      </w:r>
    </w:p>
    <w:p w:rsidR="00894C55" w:rsidRPr="00706FBD" w:rsidP="00036CE7" w14:paraId="674EAAE7" w14:textId="77777777">
      <w:pPr>
        <w:spacing w:after="0" w:line="240" w:lineRule="auto"/>
        <w:rPr>
          <w:rFonts w:ascii="Times New Roman" w:hAnsi="Times New Roman" w:cs="Times New Roman"/>
          <w:sz w:val="24"/>
          <w:szCs w:val="28"/>
        </w:rPr>
      </w:pPr>
    </w:p>
    <w:sectPr w:rsidSect="009A2654">
      <w:headerReference w:type="default" r:id="rId6"/>
      <w:footerReference w:type="default" r:id="rId7"/>
      <w:footerReference w:type="first" r:id="rId8"/>
      <w:pgSz w:w="11906" w:h="16838"/>
      <w:pgMar w:top="1418" w:right="1134"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94C55" w:rsidRPr="00141086" w:rsidP="00141086" w14:paraId="79AE6A98" w14:textId="6FE29AC5">
    <w:pPr>
      <w:pStyle w:val="Footer"/>
      <w:rPr>
        <w:rFonts w:ascii="Times New Roman" w:hAnsi="Times New Roman" w:cs="Times New Roman"/>
        <w:sz w:val="20"/>
        <w:szCs w:val="20"/>
      </w:rPr>
    </w:pPr>
    <w:r>
      <w:rPr>
        <w:rFonts w:ascii="Times New Roman" w:hAnsi="Times New Roman" w:cs="Times New Roman"/>
        <w:sz w:val="20"/>
        <w:szCs w:val="20"/>
      </w:rPr>
      <w:t>EMAnot_</w:t>
    </w:r>
    <w:r w:rsidR="00141086">
      <w:rPr>
        <w:rFonts w:ascii="Times New Roman" w:hAnsi="Times New Roman" w:cs="Times New Roman"/>
        <w:sz w:val="20"/>
        <w:szCs w:val="20"/>
      </w:rPr>
      <w:t>2</w:t>
    </w:r>
    <w:r>
      <w:rPr>
        <w:rFonts w:ascii="Times New Roman" w:hAnsi="Times New Roman" w:cs="Times New Roman"/>
        <w:sz w:val="20"/>
        <w:szCs w:val="20"/>
      </w:rPr>
      <w:t>3</w:t>
    </w:r>
    <w:r w:rsidR="00141086">
      <w:rPr>
        <w:rFonts w:ascii="Times New Roman" w:hAnsi="Times New Roman" w:cs="Times New Roman"/>
        <w:sz w:val="20"/>
        <w:szCs w:val="20"/>
      </w:rPr>
      <w:t>0418_MK 221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A2654" w:rsidRPr="00141086" w:rsidP="00141086" w14:paraId="2719712E" w14:textId="195705C1">
    <w:pPr>
      <w:pStyle w:val="Footer"/>
      <w:rPr>
        <w:rFonts w:ascii="Times New Roman" w:hAnsi="Times New Roman" w:cs="Times New Roman"/>
        <w:sz w:val="20"/>
        <w:szCs w:val="20"/>
      </w:rPr>
    </w:pPr>
    <w:r>
      <w:rPr>
        <w:rFonts w:ascii="Times New Roman" w:hAnsi="Times New Roman" w:cs="Times New Roman"/>
        <w:sz w:val="20"/>
        <w:szCs w:val="20"/>
      </w:rPr>
      <w:t>EMAnot_</w:t>
    </w:r>
    <w:r w:rsidR="00141086">
      <w:rPr>
        <w:rFonts w:ascii="Times New Roman" w:hAnsi="Times New Roman" w:cs="Times New Roman"/>
        <w:sz w:val="20"/>
        <w:szCs w:val="20"/>
      </w:rPr>
      <w:t>2</w:t>
    </w:r>
    <w:r>
      <w:rPr>
        <w:rFonts w:ascii="Times New Roman" w:hAnsi="Times New Roman" w:cs="Times New Roman"/>
        <w:sz w:val="20"/>
        <w:szCs w:val="20"/>
      </w:rPr>
      <w:t>3</w:t>
    </w:r>
    <w:r w:rsidR="00141086">
      <w:rPr>
        <w:rFonts w:ascii="Times New Roman" w:hAnsi="Times New Roman" w:cs="Times New Roman"/>
        <w:sz w:val="20"/>
        <w:szCs w:val="20"/>
      </w:rPr>
      <w:t>0418_MK 221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E5F7A" w:rsidP="00894C55" w14:paraId="0C22C5D6" w14:textId="77777777">
      <w:pPr>
        <w:spacing w:after="0" w:line="240" w:lineRule="auto"/>
      </w:pPr>
      <w:r>
        <w:separator/>
      </w:r>
    </w:p>
  </w:footnote>
  <w:footnote w:type="continuationSeparator" w:id="1">
    <w:p w:rsidR="007E5F7A" w:rsidP="00894C55" w14:paraId="4CC79A5A" w14:textId="77777777">
      <w:pPr>
        <w:spacing w:after="0" w:line="240" w:lineRule="auto"/>
      </w:pPr>
      <w:r>
        <w:continuationSeparator/>
      </w:r>
    </w:p>
  </w:footnote>
  <w:footnote w:id="2">
    <w:p w:rsidR="00F27486" w:rsidRPr="006C374D" w:rsidP="00F27486" w14:paraId="624A98F2" w14:textId="77777777">
      <w:pPr>
        <w:pStyle w:val="FootnoteText"/>
        <w:rPr>
          <w:szCs w:val="24"/>
        </w:rPr>
      </w:pPr>
      <w:r w:rsidRPr="006C374D">
        <w:rPr>
          <w:rStyle w:val="FootnoteReference"/>
          <w:szCs w:val="24"/>
        </w:rPr>
        <w:footnoteRef/>
      </w:r>
      <w:r w:rsidRPr="006C374D">
        <w:rPr>
          <w:szCs w:val="24"/>
        </w:rPr>
        <w:t xml:space="preserve"> Pēc Eiropas Nacionālo Kontu Sistēmas uzskaites metodes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575598042"/>
      <w:docPartObj>
        <w:docPartGallery w:val="Page Numbers (Top of Page)"/>
        <w:docPartUnique/>
      </w:docPartObj>
    </w:sdtPr>
    <w:sdtEndPr>
      <w:rPr>
        <w:rFonts w:ascii="Times New Roman" w:hAnsi="Times New Roman" w:cs="Times New Roman"/>
        <w:noProof/>
        <w:sz w:val="24"/>
        <w:szCs w:val="20"/>
      </w:rPr>
    </w:sdtEndPr>
    <w:sdtContent>
      <w:p w:rsidR="00894C55" w:rsidRPr="00C25B49" w14:paraId="108E6EC5" w14:textId="4725D41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581582">
          <w:rPr>
            <w:rFonts w:ascii="Times New Roman" w:hAnsi="Times New Roman" w:cs="Times New Roman"/>
            <w:noProof/>
            <w:sz w:val="24"/>
            <w:szCs w:val="20"/>
          </w:rPr>
          <w:t>5</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022857A8"/>
    <w:multiLevelType w:val="hybridMultilevel"/>
    <w:tmpl w:val="5B4855EE"/>
    <w:lvl w:ilvl="0">
      <w:start w:val="1"/>
      <w:numFmt w:val="decimal"/>
      <w:lvlText w:val="%1)"/>
      <w:lvlJc w:val="left"/>
      <w:pPr>
        <w:ind w:left="502"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1">
    <w:nsid w:val="10A71A98"/>
    <w:multiLevelType w:val="hybridMultilevel"/>
    <w:tmpl w:val="3B6282EE"/>
    <w:lvl w:ilvl="0">
      <w:start w:val="1"/>
      <w:numFmt w:val="decimal"/>
      <w:lvlText w:val="%1."/>
      <w:lvlJc w:val="left"/>
      <w:pPr>
        <w:ind w:left="502"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1">
    <w:nsid w:val="11644D0B"/>
    <w:multiLevelType w:val="hybridMultilevel"/>
    <w:tmpl w:val="C9380DF0"/>
    <w:lvl w:ilvl="0">
      <w:start w:val="1"/>
      <w:numFmt w:val="bullet"/>
      <w:lvlText w:val=""/>
      <w:lvlJc w:val="left"/>
      <w:pPr>
        <w:ind w:left="786" w:hanging="360"/>
      </w:pPr>
      <w:rPr>
        <w:rFonts w:ascii="Symbol" w:hAnsi="Symbol" w:hint="default"/>
      </w:rPr>
    </w:lvl>
    <w:lvl w:ilvl="1">
      <w:start w:val="1"/>
      <w:numFmt w:val="bullet"/>
      <w:lvlText w:val="o"/>
      <w:lvlJc w:val="left"/>
      <w:pPr>
        <w:ind w:left="1353"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3" w15:restartNumberingAfterBreak="1">
    <w:nsid w:val="57B45AB9"/>
    <w:multiLevelType w:val="hybridMultilevel"/>
    <w:tmpl w:val="DAA8F4FA"/>
    <w:lvl w:ilvl="0">
      <w:start w:val="1"/>
      <w:numFmt w:val="decimal"/>
      <w:lvlText w:val="%1)"/>
      <w:lvlJc w:val="left"/>
      <w:pPr>
        <w:ind w:left="780" w:hanging="360"/>
      </w:pPr>
      <w:rPr>
        <w:rFonts w:hint="default"/>
      </w:rPr>
    </w:lvl>
    <w:lvl w:ilvl="1" w:tentative="1">
      <w:start w:val="1"/>
      <w:numFmt w:val="lowerLetter"/>
      <w:lvlText w:val="%2."/>
      <w:lvlJc w:val="left"/>
      <w:pPr>
        <w:ind w:left="1500" w:hanging="360"/>
      </w:pPr>
    </w:lvl>
    <w:lvl w:ilvl="2" w:tentative="1">
      <w:start w:val="1"/>
      <w:numFmt w:val="lowerRoman"/>
      <w:lvlText w:val="%3."/>
      <w:lvlJc w:val="right"/>
      <w:pPr>
        <w:ind w:left="2220" w:hanging="180"/>
      </w:pPr>
    </w:lvl>
    <w:lvl w:ilvl="3" w:tentative="1">
      <w:start w:val="1"/>
      <w:numFmt w:val="decimal"/>
      <w:lvlText w:val="%4."/>
      <w:lvlJc w:val="left"/>
      <w:pPr>
        <w:ind w:left="2940" w:hanging="360"/>
      </w:pPr>
    </w:lvl>
    <w:lvl w:ilvl="4" w:tentative="1">
      <w:start w:val="1"/>
      <w:numFmt w:val="lowerLetter"/>
      <w:lvlText w:val="%5."/>
      <w:lvlJc w:val="left"/>
      <w:pPr>
        <w:ind w:left="3660" w:hanging="360"/>
      </w:pPr>
    </w:lvl>
    <w:lvl w:ilvl="5" w:tentative="1">
      <w:start w:val="1"/>
      <w:numFmt w:val="lowerRoman"/>
      <w:lvlText w:val="%6."/>
      <w:lvlJc w:val="right"/>
      <w:pPr>
        <w:ind w:left="4380" w:hanging="180"/>
      </w:pPr>
    </w:lvl>
    <w:lvl w:ilvl="6" w:tentative="1">
      <w:start w:val="1"/>
      <w:numFmt w:val="decimal"/>
      <w:lvlText w:val="%7."/>
      <w:lvlJc w:val="left"/>
      <w:pPr>
        <w:ind w:left="5100" w:hanging="360"/>
      </w:pPr>
    </w:lvl>
    <w:lvl w:ilvl="7" w:tentative="1">
      <w:start w:val="1"/>
      <w:numFmt w:val="lowerLetter"/>
      <w:lvlText w:val="%8."/>
      <w:lvlJc w:val="left"/>
      <w:pPr>
        <w:ind w:left="5820" w:hanging="360"/>
      </w:pPr>
    </w:lvl>
    <w:lvl w:ilvl="8" w:tentative="1">
      <w:start w:val="1"/>
      <w:numFmt w:val="lowerRoman"/>
      <w:lvlText w:val="%9."/>
      <w:lvlJc w:val="right"/>
      <w:pPr>
        <w:ind w:left="654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cumentProtection w:edit="forms" w:enforcement="0"/>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1333F"/>
    <w:rsid w:val="00014F0C"/>
    <w:rsid w:val="0002206E"/>
    <w:rsid w:val="00027FDD"/>
    <w:rsid w:val="0003046C"/>
    <w:rsid w:val="00036CE7"/>
    <w:rsid w:val="0004137E"/>
    <w:rsid w:val="00042FFB"/>
    <w:rsid w:val="0004518B"/>
    <w:rsid w:val="000463DB"/>
    <w:rsid w:val="000520B8"/>
    <w:rsid w:val="00053B04"/>
    <w:rsid w:val="0005642D"/>
    <w:rsid w:val="00066810"/>
    <w:rsid w:val="0007594C"/>
    <w:rsid w:val="000905F2"/>
    <w:rsid w:val="000B0C2C"/>
    <w:rsid w:val="000B1A36"/>
    <w:rsid w:val="000F297A"/>
    <w:rsid w:val="000F6345"/>
    <w:rsid w:val="001238D4"/>
    <w:rsid w:val="00127F6B"/>
    <w:rsid w:val="00130F81"/>
    <w:rsid w:val="00134958"/>
    <w:rsid w:val="00141086"/>
    <w:rsid w:val="00145793"/>
    <w:rsid w:val="00146150"/>
    <w:rsid w:val="00150169"/>
    <w:rsid w:val="001A6FC0"/>
    <w:rsid w:val="001B6BD1"/>
    <w:rsid w:val="001C42D2"/>
    <w:rsid w:val="001D0BEC"/>
    <w:rsid w:val="001D40DF"/>
    <w:rsid w:val="001D7E52"/>
    <w:rsid w:val="001E51A0"/>
    <w:rsid w:val="001E60BB"/>
    <w:rsid w:val="001E6DFA"/>
    <w:rsid w:val="001F2D49"/>
    <w:rsid w:val="001F49E4"/>
    <w:rsid w:val="001F4C84"/>
    <w:rsid w:val="001F6AA4"/>
    <w:rsid w:val="00204D48"/>
    <w:rsid w:val="00206C4D"/>
    <w:rsid w:val="00213D42"/>
    <w:rsid w:val="0022175A"/>
    <w:rsid w:val="0022320C"/>
    <w:rsid w:val="0022656D"/>
    <w:rsid w:val="002275D4"/>
    <w:rsid w:val="0024130E"/>
    <w:rsid w:val="002422C6"/>
    <w:rsid w:val="002423D2"/>
    <w:rsid w:val="00243426"/>
    <w:rsid w:val="002523D6"/>
    <w:rsid w:val="002640EA"/>
    <w:rsid w:val="00265349"/>
    <w:rsid w:val="00265595"/>
    <w:rsid w:val="00276AE9"/>
    <w:rsid w:val="0028281E"/>
    <w:rsid w:val="00294C52"/>
    <w:rsid w:val="002A3AFF"/>
    <w:rsid w:val="002A469B"/>
    <w:rsid w:val="002A6750"/>
    <w:rsid w:val="002B6ADF"/>
    <w:rsid w:val="002C540D"/>
    <w:rsid w:val="002C56D2"/>
    <w:rsid w:val="002C5A01"/>
    <w:rsid w:val="002D1D53"/>
    <w:rsid w:val="002D2736"/>
    <w:rsid w:val="002D56FC"/>
    <w:rsid w:val="002E1C05"/>
    <w:rsid w:val="002F3267"/>
    <w:rsid w:val="002F41FB"/>
    <w:rsid w:val="002F6133"/>
    <w:rsid w:val="00302F2A"/>
    <w:rsid w:val="0033005D"/>
    <w:rsid w:val="00330E14"/>
    <w:rsid w:val="00335DDB"/>
    <w:rsid w:val="003406D6"/>
    <w:rsid w:val="00343495"/>
    <w:rsid w:val="00352E81"/>
    <w:rsid w:val="00361C1E"/>
    <w:rsid w:val="00362FC1"/>
    <w:rsid w:val="00370172"/>
    <w:rsid w:val="00372577"/>
    <w:rsid w:val="00375063"/>
    <w:rsid w:val="00387CC8"/>
    <w:rsid w:val="003912B5"/>
    <w:rsid w:val="003915B9"/>
    <w:rsid w:val="003A05DF"/>
    <w:rsid w:val="003A510B"/>
    <w:rsid w:val="003A5D1E"/>
    <w:rsid w:val="003B0BF9"/>
    <w:rsid w:val="003D131F"/>
    <w:rsid w:val="003D24A9"/>
    <w:rsid w:val="003D7993"/>
    <w:rsid w:val="003E0791"/>
    <w:rsid w:val="003E2CE1"/>
    <w:rsid w:val="003E3580"/>
    <w:rsid w:val="003E56D2"/>
    <w:rsid w:val="003F28AC"/>
    <w:rsid w:val="003F53B5"/>
    <w:rsid w:val="00427084"/>
    <w:rsid w:val="00427232"/>
    <w:rsid w:val="00432C2B"/>
    <w:rsid w:val="00440701"/>
    <w:rsid w:val="00441F39"/>
    <w:rsid w:val="00442953"/>
    <w:rsid w:val="004454FE"/>
    <w:rsid w:val="00446120"/>
    <w:rsid w:val="00452ACB"/>
    <w:rsid w:val="00455866"/>
    <w:rsid w:val="00456E40"/>
    <w:rsid w:val="004619F7"/>
    <w:rsid w:val="00465651"/>
    <w:rsid w:val="00471EDB"/>
    <w:rsid w:val="00471F27"/>
    <w:rsid w:val="00477113"/>
    <w:rsid w:val="004A5AAF"/>
    <w:rsid w:val="004A6E12"/>
    <w:rsid w:val="004A752B"/>
    <w:rsid w:val="004B1763"/>
    <w:rsid w:val="004B7077"/>
    <w:rsid w:val="004C739A"/>
    <w:rsid w:val="004D602F"/>
    <w:rsid w:val="004E0A04"/>
    <w:rsid w:val="004E742A"/>
    <w:rsid w:val="004F4711"/>
    <w:rsid w:val="0050178F"/>
    <w:rsid w:val="00502235"/>
    <w:rsid w:val="00503027"/>
    <w:rsid w:val="00514500"/>
    <w:rsid w:val="00517388"/>
    <w:rsid w:val="005335FA"/>
    <w:rsid w:val="00552036"/>
    <w:rsid w:val="00555157"/>
    <w:rsid w:val="00560DD8"/>
    <w:rsid w:val="00570F7E"/>
    <w:rsid w:val="00572B3B"/>
    <w:rsid w:val="00581582"/>
    <w:rsid w:val="00581BE1"/>
    <w:rsid w:val="00587EFA"/>
    <w:rsid w:val="00595D36"/>
    <w:rsid w:val="005B0026"/>
    <w:rsid w:val="005C1095"/>
    <w:rsid w:val="005D0D9F"/>
    <w:rsid w:val="005D0DC5"/>
    <w:rsid w:val="005D46A2"/>
    <w:rsid w:val="005D6E49"/>
    <w:rsid w:val="005F32E6"/>
    <w:rsid w:val="00603F38"/>
    <w:rsid w:val="0060611D"/>
    <w:rsid w:val="00607A3A"/>
    <w:rsid w:val="00613330"/>
    <w:rsid w:val="006228F0"/>
    <w:rsid w:val="00632E33"/>
    <w:rsid w:val="00633ADE"/>
    <w:rsid w:val="00640351"/>
    <w:rsid w:val="00644812"/>
    <w:rsid w:val="006450D6"/>
    <w:rsid w:val="00646324"/>
    <w:rsid w:val="00655F2C"/>
    <w:rsid w:val="00657844"/>
    <w:rsid w:val="00661B2F"/>
    <w:rsid w:val="00681179"/>
    <w:rsid w:val="00694938"/>
    <w:rsid w:val="00695600"/>
    <w:rsid w:val="00695FBD"/>
    <w:rsid w:val="006A0E8C"/>
    <w:rsid w:val="006A2CF3"/>
    <w:rsid w:val="006A2D73"/>
    <w:rsid w:val="006C1476"/>
    <w:rsid w:val="006C374D"/>
    <w:rsid w:val="006C3B10"/>
    <w:rsid w:val="006D1ED6"/>
    <w:rsid w:val="006E1081"/>
    <w:rsid w:val="006E496A"/>
    <w:rsid w:val="006E67FE"/>
    <w:rsid w:val="006F1459"/>
    <w:rsid w:val="006F2FC3"/>
    <w:rsid w:val="00701F79"/>
    <w:rsid w:val="007055BF"/>
    <w:rsid w:val="00706FBD"/>
    <w:rsid w:val="00707E5F"/>
    <w:rsid w:val="007129F7"/>
    <w:rsid w:val="00720585"/>
    <w:rsid w:val="00722068"/>
    <w:rsid w:val="00724AC0"/>
    <w:rsid w:val="00727776"/>
    <w:rsid w:val="00734CC1"/>
    <w:rsid w:val="007351B4"/>
    <w:rsid w:val="0073747C"/>
    <w:rsid w:val="00740634"/>
    <w:rsid w:val="007427C8"/>
    <w:rsid w:val="00760266"/>
    <w:rsid w:val="007629D3"/>
    <w:rsid w:val="0076439A"/>
    <w:rsid w:val="00773AF6"/>
    <w:rsid w:val="00781E63"/>
    <w:rsid w:val="00786DEC"/>
    <w:rsid w:val="00787291"/>
    <w:rsid w:val="00794CE1"/>
    <w:rsid w:val="00795042"/>
    <w:rsid w:val="00795F71"/>
    <w:rsid w:val="00797D52"/>
    <w:rsid w:val="007A4076"/>
    <w:rsid w:val="007B3478"/>
    <w:rsid w:val="007C1502"/>
    <w:rsid w:val="007C3A4A"/>
    <w:rsid w:val="007E0F98"/>
    <w:rsid w:val="007E2359"/>
    <w:rsid w:val="007E5F7A"/>
    <w:rsid w:val="007E73AB"/>
    <w:rsid w:val="00810F49"/>
    <w:rsid w:val="00811360"/>
    <w:rsid w:val="00816C11"/>
    <w:rsid w:val="008231B2"/>
    <w:rsid w:val="00832BB2"/>
    <w:rsid w:val="00836EF7"/>
    <w:rsid w:val="0083767E"/>
    <w:rsid w:val="00846FC3"/>
    <w:rsid w:val="00854834"/>
    <w:rsid w:val="00866E2A"/>
    <w:rsid w:val="00870824"/>
    <w:rsid w:val="00886A46"/>
    <w:rsid w:val="00887840"/>
    <w:rsid w:val="008924C8"/>
    <w:rsid w:val="008935CB"/>
    <w:rsid w:val="00894C55"/>
    <w:rsid w:val="008A58C8"/>
    <w:rsid w:val="008A712C"/>
    <w:rsid w:val="008B2520"/>
    <w:rsid w:val="008B2631"/>
    <w:rsid w:val="008C6AC9"/>
    <w:rsid w:val="008C7042"/>
    <w:rsid w:val="008D7B7F"/>
    <w:rsid w:val="008E2F46"/>
    <w:rsid w:val="008F57A9"/>
    <w:rsid w:val="009102C3"/>
    <w:rsid w:val="009212AA"/>
    <w:rsid w:val="00936DB6"/>
    <w:rsid w:val="00941D89"/>
    <w:rsid w:val="00946458"/>
    <w:rsid w:val="009528EA"/>
    <w:rsid w:val="00960383"/>
    <w:rsid w:val="00966BAA"/>
    <w:rsid w:val="00967E0B"/>
    <w:rsid w:val="0097217B"/>
    <w:rsid w:val="00976711"/>
    <w:rsid w:val="009949DF"/>
    <w:rsid w:val="009A2654"/>
    <w:rsid w:val="009A3491"/>
    <w:rsid w:val="009B48F2"/>
    <w:rsid w:val="009C6512"/>
    <w:rsid w:val="009D0C63"/>
    <w:rsid w:val="009E4B63"/>
    <w:rsid w:val="009E787F"/>
    <w:rsid w:val="009F29DA"/>
    <w:rsid w:val="00A0513F"/>
    <w:rsid w:val="00A10FC3"/>
    <w:rsid w:val="00A14913"/>
    <w:rsid w:val="00A15180"/>
    <w:rsid w:val="00A16682"/>
    <w:rsid w:val="00A20C35"/>
    <w:rsid w:val="00A2637A"/>
    <w:rsid w:val="00A30473"/>
    <w:rsid w:val="00A42100"/>
    <w:rsid w:val="00A44A8C"/>
    <w:rsid w:val="00A518F7"/>
    <w:rsid w:val="00A6073E"/>
    <w:rsid w:val="00A7142D"/>
    <w:rsid w:val="00A77913"/>
    <w:rsid w:val="00A94899"/>
    <w:rsid w:val="00A95827"/>
    <w:rsid w:val="00AA0E09"/>
    <w:rsid w:val="00AA590A"/>
    <w:rsid w:val="00AB6077"/>
    <w:rsid w:val="00AD7E42"/>
    <w:rsid w:val="00AE4611"/>
    <w:rsid w:val="00AE5567"/>
    <w:rsid w:val="00AE587F"/>
    <w:rsid w:val="00AF1239"/>
    <w:rsid w:val="00AF153B"/>
    <w:rsid w:val="00AF7A49"/>
    <w:rsid w:val="00B005F3"/>
    <w:rsid w:val="00B033CE"/>
    <w:rsid w:val="00B07FC1"/>
    <w:rsid w:val="00B13831"/>
    <w:rsid w:val="00B16480"/>
    <w:rsid w:val="00B2165C"/>
    <w:rsid w:val="00B22E0F"/>
    <w:rsid w:val="00B31F31"/>
    <w:rsid w:val="00B4126C"/>
    <w:rsid w:val="00B417EC"/>
    <w:rsid w:val="00B43D52"/>
    <w:rsid w:val="00B45B62"/>
    <w:rsid w:val="00B641AA"/>
    <w:rsid w:val="00B669ED"/>
    <w:rsid w:val="00B678A0"/>
    <w:rsid w:val="00B765E7"/>
    <w:rsid w:val="00B938DD"/>
    <w:rsid w:val="00B93A25"/>
    <w:rsid w:val="00B942C1"/>
    <w:rsid w:val="00BA118E"/>
    <w:rsid w:val="00BA20AA"/>
    <w:rsid w:val="00BA32F4"/>
    <w:rsid w:val="00BA780A"/>
    <w:rsid w:val="00BB67A7"/>
    <w:rsid w:val="00BC1055"/>
    <w:rsid w:val="00BD4425"/>
    <w:rsid w:val="00BE1535"/>
    <w:rsid w:val="00BF53A6"/>
    <w:rsid w:val="00C04B13"/>
    <w:rsid w:val="00C10E5E"/>
    <w:rsid w:val="00C25B49"/>
    <w:rsid w:val="00C30AFE"/>
    <w:rsid w:val="00C33ED5"/>
    <w:rsid w:val="00C428C6"/>
    <w:rsid w:val="00C458A9"/>
    <w:rsid w:val="00C467EF"/>
    <w:rsid w:val="00C67731"/>
    <w:rsid w:val="00C754A4"/>
    <w:rsid w:val="00C75927"/>
    <w:rsid w:val="00C7715B"/>
    <w:rsid w:val="00C8352A"/>
    <w:rsid w:val="00C85341"/>
    <w:rsid w:val="00C91839"/>
    <w:rsid w:val="00C9616B"/>
    <w:rsid w:val="00C9686E"/>
    <w:rsid w:val="00C97B23"/>
    <w:rsid w:val="00CA7EDA"/>
    <w:rsid w:val="00CB4018"/>
    <w:rsid w:val="00CC0845"/>
    <w:rsid w:val="00CC0D2D"/>
    <w:rsid w:val="00CC3F62"/>
    <w:rsid w:val="00CC418C"/>
    <w:rsid w:val="00CC5FE2"/>
    <w:rsid w:val="00CD5796"/>
    <w:rsid w:val="00CE0CCE"/>
    <w:rsid w:val="00CE13EC"/>
    <w:rsid w:val="00CE408F"/>
    <w:rsid w:val="00CE44DD"/>
    <w:rsid w:val="00CE5657"/>
    <w:rsid w:val="00CF1EAE"/>
    <w:rsid w:val="00CF517D"/>
    <w:rsid w:val="00D133F8"/>
    <w:rsid w:val="00D14A3E"/>
    <w:rsid w:val="00D32E25"/>
    <w:rsid w:val="00D41631"/>
    <w:rsid w:val="00D4618E"/>
    <w:rsid w:val="00D505AA"/>
    <w:rsid w:val="00D61431"/>
    <w:rsid w:val="00D73C90"/>
    <w:rsid w:val="00D920EF"/>
    <w:rsid w:val="00DD6A59"/>
    <w:rsid w:val="00DE5B59"/>
    <w:rsid w:val="00E02ED7"/>
    <w:rsid w:val="00E06436"/>
    <w:rsid w:val="00E11CFF"/>
    <w:rsid w:val="00E14A84"/>
    <w:rsid w:val="00E1733D"/>
    <w:rsid w:val="00E3716B"/>
    <w:rsid w:val="00E5323B"/>
    <w:rsid w:val="00E54162"/>
    <w:rsid w:val="00E66FD9"/>
    <w:rsid w:val="00E80C48"/>
    <w:rsid w:val="00E82AA0"/>
    <w:rsid w:val="00E8749E"/>
    <w:rsid w:val="00E90C01"/>
    <w:rsid w:val="00E96D3D"/>
    <w:rsid w:val="00EA117C"/>
    <w:rsid w:val="00EA2E4A"/>
    <w:rsid w:val="00EA486E"/>
    <w:rsid w:val="00EB34F0"/>
    <w:rsid w:val="00EC196B"/>
    <w:rsid w:val="00ED522E"/>
    <w:rsid w:val="00EE200F"/>
    <w:rsid w:val="00EE3B70"/>
    <w:rsid w:val="00EE3E89"/>
    <w:rsid w:val="00EE6417"/>
    <w:rsid w:val="00EF2A08"/>
    <w:rsid w:val="00EF32FB"/>
    <w:rsid w:val="00EF462B"/>
    <w:rsid w:val="00F002BD"/>
    <w:rsid w:val="00F01147"/>
    <w:rsid w:val="00F132E6"/>
    <w:rsid w:val="00F16D5D"/>
    <w:rsid w:val="00F20633"/>
    <w:rsid w:val="00F27486"/>
    <w:rsid w:val="00F36118"/>
    <w:rsid w:val="00F51844"/>
    <w:rsid w:val="00F5714D"/>
    <w:rsid w:val="00F57B0C"/>
    <w:rsid w:val="00F66131"/>
    <w:rsid w:val="00F66314"/>
    <w:rsid w:val="00F83494"/>
    <w:rsid w:val="00FB3173"/>
    <w:rsid w:val="00FC033A"/>
    <w:rsid w:val="00FC1B88"/>
    <w:rsid w:val="00FC7C45"/>
    <w:rsid w:val="00FD065D"/>
    <w:rsid w:val="00FD335D"/>
    <w:rsid w:val="00FE3A83"/>
    <w:rsid w:val="00FE69F2"/>
    <w:rsid w:val="00FF2B4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65812104-3B16-471C-A980-F3F9B3065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EE200F"/>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FootnoteText">
    <w:name w:val="footnote text"/>
    <w:aliases w:val="Fußn,Fußnotentext Char,Fußnotentext Char Char,Fußnotentext Char Char Char Char,Fußnotentext Char Char Char Char Char Char,Fußnotentext Char1,Fußnotentext Char1 Char Char Char,Fußnotentext Char1 Char Char Char Char,Fußnotentext Char1 Char1"/>
    <w:basedOn w:val="Normal"/>
    <w:link w:val="FootnoteTextChar"/>
    <w:rsid w:val="002A3AFF"/>
    <w:pPr>
      <w:spacing w:after="0" w:line="240" w:lineRule="auto"/>
    </w:pPr>
    <w:rPr>
      <w:rFonts w:ascii="Times New Roman" w:eastAsia="Times New Roman" w:hAnsi="Times New Roman" w:cs="Times New Roman"/>
      <w:sz w:val="20"/>
      <w:szCs w:val="20"/>
      <w:lang w:eastAsia="lv-LV"/>
    </w:rPr>
  </w:style>
  <w:style w:type="character" w:customStyle="1" w:styleId="FootnoteTextChar">
    <w:name w:val="Footnote Text Char"/>
    <w:aliases w:val="Fußnotentext Char Char Char,Fußnotentext Char Char Char Char Char,Fußnotentext Char Char1,Fußnotentext Char1 Char,Fußnotentext Char1 Char Char Char Char Char,Fußnotentext Char1 Char Char Char Char1,Fußnotentext Char1 Char1 Char"/>
    <w:basedOn w:val="DefaultParagraphFont"/>
    <w:link w:val="FootnoteText"/>
    <w:rsid w:val="002A3AFF"/>
    <w:rPr>
      <w:rFonts w:ascii="Times New Roman" w:eastAsia="Times New Roman" w:hAnsi="Times New Roman" w:cs="Times New Roman"/>
      <w:sz w:val="20"/>
      <w:szCs w:val="20"/>
      <w:lang w:eastAsia="lv-LV"/>
    </w:rPr>
  </w:style>
  <w:style w:type="character" w:styleId="FootnoteReference">
    <w:name w:val="footnote reference"/>
    <w:aliases w:val="Footnote Reference Number,Footnote Reference Superscript,SUPERS"/>
    <w:rsid w:val="002A3AFF"/>
    <w:rPr>
      <w:vertAlign w:val="superscript"/>
    </w:rPr>
  </w:style>
  <w:style w:type="paragraph" w:styleId="ListParagraph">
    <w:name w:val="List Paragraph"/>
    <w:basedOn w:val="Normal"/>
    <w:uiPriority w:val="34"/>
    <w:qFormat/>
    <w:rsid w:val="002A3AFF"/>
    <w:pPr>
      <w:ind w:left="720"/>
      <w:contextualSpacing/>
    </w:pPr>
  </w:style>
  <w:style w:type="character" w:styleId="CommentReference">
    <w:name w:val="annotation reference"/>
    <w:basedOn w:val="DefaultParagraphFont"/>
    <w:uiPriority w:val="99"/>
    <w:semiHidden/>
    <w:unhideWhenUsed/>
    <w:rsid w:val="002A3AFF"/>
    <w:rPr>
      <w:sz w:val="16"/>
      <w:szCs w:val="16"/>
    </w:rPr>
  </w:style>
  <w:style w:type="paragraph" w:styleId="CommentText">
    <w:name w:val="annotation text"/>
    <w:basedOn w:val="Normal"/>
    <w:link w:val="CommentTextChar"/>
    <w:uiPriority w:val="99"/>
    <w:semiHidden/>
    <w:unhideWhenUsed/>
    <w:rsid w:val="002A3AFF"/>
    <w:pPr>
      <w:spacing w:line="240" w:lineRule="auto"/>
    </w:pPr>
    <w:rPr>
      <w:sz w:val="20"/>
      <w:szCs w:val="20"/>
    </w:rPr>
  </w:style>
  <w:style w:type="character" w:customStyle="1" w:styleId="CommentTextChar">
    <w:name w:val="Comment Text Char"/>
    <w:basedOn w:val="DefaultParagraphFont"/>
    <w:link w:val="CommentText"/>
    <w:uiPriority w:val="99"/>
    <w:semiHidden/>
    <w:rsid w:val="002A3AFF"/>
    <w:rPr>
      <w:sz w:val="20"/>
      <w:szCs w:val="20"/>
    </w:rPr>
  </w:style>
  <w:style w:type="paragraph" w:styleId="CommentSubject">
    <w:name w:val="annotation subject"/>
    <w:basedOn w:val="CommentText"/>
    <w:next w:val="CommentText"/>
    <w:link w:val="CommentSubjectChar"/>
    <w:uiPriority w:val="99"/>
    <w:semiHidden/>
    <w:unhideWhenUsed/>
    <w:rsid w:val="002A3AFF"/>
    <w:rPr>
      <w:b/>
      <w:bCs/>
    </w:rPr>
  </w:style>
  <w:style w:type="character" w:customStyle="1" w:styleId="CommentSubjectChar">
    <w:name w:val="Comment Subject Char"/>
    <w:basedOn w:val="CommentTextChar"/>
    <w:link w:val="CommentSubject"/>
    <w:uiPriority w:val="99"/>
    <w:semiHidden/>
    <w:rsid w:val="002A3AFF"/>
    <w:rPr>
      <w:b/>
      <w:bCs/>
      <w:sz w:val="20"/>
      <w:szCs w:val="20"/>
    </w:rPr>
  </w:style>
  <w:style w:type="paragraph" w:customStyle="1" w:styleId="naisf">
    <w:name w:val="naisf"/>
    <w:basedOn w:val="Normal"/>
    <w:link w:val="naisfChar"/>
    <w:rsid w:val="00036CE7"/>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aisfChar">
    <w:name w:val="naisf Char"/>
    <w:link w:val="naisf"/>
    <w:locked/>
    <w:rsid w:val="00036CE7"/>
    <w:rPr>
      <w:rFonts w:ascii="Times New Roman" w:eastAsia="Times New Roman" w:hAnsi="Times New Roman" w:cs="Times New Roman"/>
      <w:sz w:val="24"/>
      <w:szCs w:val="24"/>
      <w:lang w:eastAsia="lv-LV"/>
    </w:rPr>
  </w:style>
  <w:style w:type="paragraph" w:customStyle="1" w:styleId="naislab">
    <w:name w:val="naislab"/>
    <w:basedOn w:val="Normal"/>
    <w:rsid w:val="00EF2A08"/>
    <w:pPr>
      <w:spacing w:before="63" w:after="63" w:line="240" w:lineRule="auto"/>
      <w:jc w:val="right"/>
    </w:pPr>
    <w:rPr>
      <w:rFonts w:ascii="Times New Roman" w:eastAsia="Times New Roman" w:hAnsi="Times New Roman" w:cs="Times New Roman"/>
      <w:sz w:val="24"/>
      <w:szCs w:val="24"/>
      <w:lang w:eastAsia="lv-LV"/>
    </w:rPr>
  </w:style>
  <w:style w:type="paragraph" w:customStyle="1" w:styleId="Default">
    <w:name w:val="Default"/>
    <w:rsid w:val="00B31F31"/>
    <w:pPr>
      <w:autoSpaceDE w:val="0"/>
      <w:autoSpaceDN w:val="0"/>
      <w:adjustRightInd w:val="0"/>
      <w:spacing w:after="0" w:line="240" w:lineRule="auto"/>
    </w:pPr>
    <w:rPr>
      <w:rFonts w:ascii="EUAlbertina" w:eastAsia="Times New Roman" w:hAnsi="EUAlbertina" w:cs="EUAlbertina"/>
      <w:color w:val="000000"/>
      <w:sz w:val="24"/>
      <w:szCs w:val="24"/>
      <w:lang w:eastAsia="lv-LV"/>
    </w:rPr>
  </w:style>
  <w:style w:type="character" w:customStyle="1" w:styleId="Heading3Char">
    <w:name w:val="Heading 3 Char"/>
    <w:basedOn w:val="DefaultParagraphFont"/>
    <w:link w:val="Heading3"/>
    <w:uiPriority w:val="9"/>
    <w:rsid w:val="00EE200F"/>
    <w:rPr>
      <w:rFonts w:ascii="Times New Roman" w:eastAsia="Times New Roman" w:hAnsi="Times New Roman" w:cs="Times New Roman"/>
      <w:b/>
      <w:bCs/>
      <w:sz w:val="27"/>
      <w:szCs w:val="27"/>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878D84-B99F-4BE8-8054-864679FDB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314</TotalTime>
  <Pages>5</Pages>
  <Words>5906</Words>
  <Characters>3367</Characters>
  <Application>Microsoft Office Word</Application>
  <DocSecurity>0</DocSecurity>
  <Lines>28</Lines>
  <Paragraphs>18</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9255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AEED</cp:lastModifiedBy>
  <cp:revision>414</cp:revision>
  <cp:lastPrinted>2018-03-27T12:25:00Z</cp:lastPrinted>
  <dcterms:created xsi:type="dcterms:W3CDTF">2018-03-27T09:14:00Z</dcterms:created>
  <dcterms:modified xsi:type="dcterms:W3CDTF">2018-04-23T12:00:00Z</dcterms:modified>
</cp:coreProperties>
</file>