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64F5C" w:rsidRPr="00C52A88" w:rsidP="00864F5C">
      <w:pPr>
        <w:spacing w:after="0"/>
        <w:jc w:val="right"/>
        <w:rPr>
          <w:rFonts w:ascii="Times New Roman" w:hAnsi="Times New Roman"/>
          <w:i/>
          <w:sz w:val="28"/>
          <w:szCs w:val="28"/>
        </w:rPr>
      </w:pPr>
      <w:r w:rsidRPr="00C52A88">
        <w:rPr>
          <w:rFonts w:ascii="Times New Roman" w:hAnsi="Times New Roman"/>
          <w:i/>
          <w:sz w:val="28"/>
          <w:szCs w:val="28"/>
        </w:rPr>
        <w:t>Atbildes vēstules projekts</w:t>
      </w:r>
    </w:p>
    <w:p w:rsidR="00864F5C" w:rsidRPr="00864F5C" w:rsidP="00864F5C">
      <w:pPr>
        <w:pStyle w:val="pamattekststabul"/>
        <w:spacing w:before="0" w:beforeAutospacing="0" w:after="0" w:afterAutospacing="0"/>
        <w:rPr>
          <w:sz w:val="28"/>
          <w:szCs w:val="28"/>
          <w:lang w:val="lv-LV"/>
        </w:rPr>
      </w:pPr>
      <w:r w:rsidRPr="00864F5C">
        <w:rPr>
          <w:sz w:val="28"/>
          <w:szCs w:val="28"/>
          <w:lang w:val="lv-LV"/>
        </w:rPr>
        <w:t xml:space="preserve">Uz </w:t>
      </w:r>
      <w:r w:rsidR="000D3C8F">
        <w:rPr>
          <w:sz w:val="28"/>
          <w:szCs w:val="28"/>
          <w:lang w:val="lv-LV"/>
        </w:rPr>
        <w:t>28</w:t>
      </w:r>
      <w:r w:rsidRPr="00864F5C">
        <w:rPr>
          <w:sz w:val="28"/>
          <w:szCs w:val="28"/>
          <w:lang w:val="lv-LV"/>
        </w:rPr>
        <w:t>.02.2018.</w:t>
      </w:r>
      <w:r w:rsidRPr="00864F5C">
        <w:rPr>
          <w:sz w:val="28"/>
          <w:szCs w:val="28"/>
        </w:rPr>
        <w:t xml:space="preserve"> </w:t>
      </w:r>
      <w:bookmarkStart w:id="0" w:name="_Hlk508696910"/>
      <w:r w:rsidR="000D3C8F">
        <w:rPr>
          <w:sz w:val="28"/>
          <w:szCs w:val="28"/>
          <w:lang w:val="lv-LV"/>
        </w:rPr>
        <w:t>Nr.142.9/8</w:t>
      </w:r>
      <w:r w:rsidRPr="00864F5C">
        <w:rPr>
          <w:sz w:val="28"/>
          <w:szCs w:val="28"/>
          <w:lang w:val="lv-LV"/>
        </w:rPr>
        <w:t>-</w:t>
      </w:r>
      <w:r w:rsidR="000D3C8F">
        <w:rPr>
          <w:sz w:val="28"/>
          <w:szCs w:val="28"/>
          <w:lang w:val="lv-LV"/>
        </w:rPr>
        <w:t>3</w:t>
      </w:r>
      <w:r w:rsidRPr="00864F5C">
        <w:rPr>
          <w:sz w:val="28"/>
          <w:szCs w:val="28"/>
          <w:lang w:val="lv-LV"/>
        </w:rPr>
        <w:t>-12/18</w:t>
      </w:r>
      <w:bookmarkEnd w:id="0"/>
    </w:p>
    <w:p w:rsidR="00864F5C" w:rsidP="00864F5C">
      <w:pPr>
        <w:keepNext/>
        <w:outlineLvl w:val="1"/>
        <w:rPr>
          <w:rFonts w:ascii="Times New Roman" w:eastAsia="Times New Roman" w:hAnsi="Times New Roman"/>
          <w:sz w:val="28"/>
          <w:szCs w:val="28"/>
        </w:rPr>
      </w:pPr>
    </w:p>
    <w:p w:rsidR="000D3C8F" w:rsidP="000D3C8F">
      <w:pPr>
        <w:spacing w:after="0"/>
        <w:jc w:val="right"/>
        <w:rPr>
          <w:rFonts w:ascii="Times New Roman" w:hAnsi="Times New Roman"/>
          <w:sz w:val="28"/>
          <w:szCs w:val="28"/>
        </w:rPr>
      </w:pPr>
      <w:r>
        <w:rPr>
          <w:rFonts w:ascii="Times New Roman" w:hAnsi="Times New Roman"/>
          <w:sz w:val="28"/>
          <w:szCs w:val="28"/>
        </w:rPr>
        <w:t xml:space="preserve">Latvijas Republikas Saeimas </w:t>
      </w:r>
    </w:p>
    <w:p w:rsidR="000D3C8F" w:rsidP="000D3C8F">
      <w:pPr>
        <w:spacing w:after="0"/>
        <w:jc w:val="right"/>
        <w:rPr>
          <w:rFonts w:ascii="Times New Roman" w:hAnsi="Times New Roman"/>
          <w:sz w:val="28"/>
          <w:szCs w:val="28"/>
        </w:rPr>
      </w:pPr>
      <w:r>
        <w:rPr>
          <w:rFonts w:ascii="Times New Roman" w:hAnsi="Times New Roman"/>
          <w:sz w:val="28"/>
          <w:szCs w:val="28"/>
        </w:rPr>
        <w:t xml:space="preserve">Tautsaimniecības, agrārās, vides </w:t>
      </w:r>
    </w:p>
    <w:p w:rsidR="00864F5C" w:rsidP="000D3C8F">
      <w:pPr>
        <w:spacing w:after="0"/>
        <w:jc w:val="right"/>
        <w:rPr>
          <w:rFonts w:ascii="Times New Roman" w:hAnsi="Times New Roman"/>
          <w:sz w:val="28"/>
          <w:szCs w:val="28"/>
        </w:rPr>
      </w:pPr>
      <w:r>
        <w:rPr>
          <w:rFonts w:ascii="Times New Roman" w:hAnsi="Times New Roman"/>
          <w:sz w:val="28"/>
          <w:szCs w:val="28"/>
        </w:rPr>
        <w:t>un reģionālās politikas komisijai</w:t>
      </w:r>
    </w:p>
    <w:p w:rsidR="00864F5C" w:rsidP="00864F5C">
      <w:pPr>
        <w:spacing w:after="0"/>
        <w:jc w:val="right"/>
        <w:rPr>
          <w:rFonts w:ascii="Times New Roman" w:hAnsi="Times New Roman"/>
          <w:sz w:val="28"/>
          <w:szCs w:val="28"/>
        </w:rPr>
      </w:pPr>
    </w:p>
    <w:p w:rsidR="00864F5C" w:rsidP="00864F5C">
      <w:pPr>
        <w:spacing w:after="0"/>
        <w:jc w:val="right"/>
        <w:rPr>
          <w:rFonts w:ascii="Times New Roman" w:hAnsi="Times New Roman"/>
          <w:sz w:val="28"/>
          <w:szCs w:val="28"/>
        </w:rPr>
      </w:pPr>
    </w:p>
    <w:p w:rsidR="00864F5C" w:rsidRPr="00412EE7" w:rsidP="00412EE7">
      <w:pPr>
        <w:pStyle w:val="pamattekststabul"/>
        <w:contextualSpacing/>
        <w:rPr>
          <w:i/>
          <w:sz w:val="28"/>
          <w:lang w:val="lv-LV"/>
        </w:rPr>
      </w:pPr>
      <w:r>
        <w:rPr>
          <w:i/>
          <w:sz w:val="28"/>
          <w:lang w:val="lv-LV"/>
        </w:rPr>
        <w:t xml:space="preserve">Par informācijas sniegšanu  </w:t>
      </w:r>
    </w:p>
    <w:p w:rsidR="00864F5C" w:rsidP="00864F5C">
      <w:pPr>
        <w:spacing w:after="0"/>
        <w:rPr>
          <w:rFonts w:ascii="Times New Roman" w:hAnsi="Times New Roman"/>
          <w:sz w:val="28"/>
          <w:szCs w:val="28"/>
        </w:rPr>
      </w:pPr>
    </w:p>
    <w:p w:rsidR="006C181F" w:rsidP="006F3A6B">
      <w:pPr>
        <w:spacing w:after="0" w:line="240" w:lineRule="auto"/>
        <w:ind w:firstLine="720"/>
        <w:jc w:val="both"/>
        <w:rPr>
          <w:rFonts w:ascii="Times New Roman" w:hAnsi="Times New Roman" w:eastAsiaTheme="minorHAnsi"/>
          <w:sz w:val="28"/>
          <w:szCs w:val="28"/>
        </w:rPr>
      </w:pPr>
      <w:r>
        <w:rPr>
          <w:rFonts w:ascii="Times New Roman" w:hAnsi="Times New Roman" w:eastAsiaTheme="minorHAnsi"/>
          <w:sz w:val="28"/>
          <w:szCs w:val="28"/>
        </w:rPr>
        <w:t>Ekonomikas ministrija ar Ministru prezidenta 2018.gada 6.marta rezolūciju Nr.</w:t>
      </w:r>
      <w:r w:rsidRPr="006F3A6B">
        <w:t xml:space="preserve"> </w:t>
      </w:r>
      <w:r w:rsidRPr="006F3A6B">
        <w:rPr>
          <w:rFonts w:ascii="Times New Roman" w:hAnsi="Times New Roman" w:eastAsiaTheme="minorHAnsi"/>
          <w:sz w:val="28"/>
          <w:szCs w:val="28"/>
        </w:rPr>
        <w:t>90/TA-417</w:t>
      </w:r>
      <w:r>
        <w:rPr>
          <w:rFonts w:ascii="Times New Roman" w:hAnsi="Times New Roman" w:eastAsiaTheme="minorHAnsi"/>
          <w:sz w:val="28"/>
          <w:szCs w:val="28"/>
        </w:rPr>
        <w:t xml:space="preserve"> saņēmusi </w:t>
      </w:r>
      <w:r w:rsidRPr="006F3A6B">
        <w:rPr>
          <w:rFonts w:ascii="Times New Roman" w:hAnsi="Times New Roman" w:eastAsiaTheme="minorHAnsi"/>
          <w:sz w:val="28"/>
          <w:szCs w:val="28"/>
        </w:rPr>
        <w:t>Latvijas Republikas Saeimas Tautsaimniecības, agrārās, vides u</w:t>
      </w:r>
      <w:r>
        <w:rPr>
          <w:rFonts w:ascii="Times New Roman" w:hAnsi="Times New Roman" w:eastAsiaTheme="minorHAnsi"/>
          <w:sz w:val="28"/>
          <w:szCs w:val="28"/>
        </w:rPr>
        <w:t>n reģionālās politikas komisijas (turpmāk – komisija) 2018.gada 28.februāra vēstuli Nr.</w:t>
      </w:r>
      <w:r w:rsidR="005673C5">
        <w:rPr>
          <w:rFonts w:ascii="Times New Roman" w:hAnsi="Times New Roman" w:eastAsiaTheme="minorHAnsi"/>
          <w:sz w:val="28"/>
          <w:szCs w:val="28"/>
        </w:rPr>
        <w:t xml:space="preserve"> </w:t>
      </w:r>
      <w:r w:rsidRPr="006F3A6B">
        <w:rPr>
          <w:rFonts w:ascii="Times New Roman" w:hAnsi="Times New Roman" w:eastAsiaTheme="minorHAnsi"/>
          <w:sz w:val="28"/>
          <w:szCs w:val="28"/>
        </w:rPr>
        <w:t>142.9/8-3-12/18</w:t>
      </w:r>
      <w:r w:rsidR="002F7C1C">
        <w:rPr>
          <w:rFonts w:ascii="Times New Roman" w:hAnsi="Times New Roman" w:eastAsiaTheme="minorHAnsi"/>
          <w:sz w:val="28"/>
          <w:szCs w:val="28"/>
        </w:rPr>
        <w:t xml:space="preserve">, kurā komisija </w:t>
      </w:r>
      <w:r>
        <w:rPr>
          <w:rFonts w:ascii="Times New Roman" w:hAnsi="Times New Roman" w:eastAsiaTheme="minorHAnsi"/>
          <w:sz w:val="28"/>
          <w:szCs w:val="28"/>
        </w:rPr>
        <w:t>aicina pagarināt ūdens patēriņa skaitītāju (turpmāk – skaitītāji) verifikācijas periodiskumu par 2 gadiem kā arī paredzēt tiesības noteikt skatītāju verifikācijas periodiskumu pašvaldībām sadarbībā ar ūdens piegādes uzņēmumiem.</w:t>
      </w:r>
    </w:p>
    <w:p w:rsidR="006C181F" w:rsidP="006F3A6B">
      <w:pPr>
        <w:spacing w:after="0" w:line="240" w:lineRule="auto"/>
        <w:ind w:firstLine="720"/>
        <w:jc w:val="both"/>
        <w:rPr>
          <w:rFonts w:ascii="Times New Roman" w:hAnsi="Times New Roman" w:eastAsiaTheme="minorHAnsi"/>
          <w:sz w:val="28"/>
          <w:szCs w:val="28"/>
        </w:rPr>
      </w:pPr>
    </w:p>
    <w:p w:rsidR="00864F5C" w:rsidP="006C181F">
      <w:pPr>
        <w:spacing w:after="0" w:line="240" w:lineRule="auto"/>
        <w:ind w:firstLine="720"/>
        <w:jc w:val="both"/>
        <w:rPr>
          <w:rFonts w:ascii="Times New Roman" w:hAnsi="Times New Roman" w:eastAsiaTheme="minorHAnsi"/>
          <w:sz w:val="28"/>
          <w:szCs w:val="28"/>
          <w:u w:val="single"/>
        </w:rPr>
      </w:pPr>
      <w:r w:rsidRPr="006C181F">
        <w:rPr>
          <w:rFonts w:ascii="Times New Roman" w:hAnsi="Times New Roman" w:eastAsiaTheme="minorHAnsi"/>
          <w:sz w:val="28"/>
          <w:szCs w:val="28"/>
          <w:u w:val="single"/>
        </w:rPr>
        <w:t xml:space="preserve">Atsaucoties uz augstāk minēto </w:t>
      </w:r>
      <w:r>
        <w:rPr>
          <w:rFonts w:ascii="Times New Roman" w:hAnsi="Times New Roman" w:eastAsiaTheme="minorHAnsi"/>
          <w:sz w:val="28"/>
          <w:szCs w:val="28"/>
          <w:u w:val="single"/>
        </w:rPr>
        <w:t>Ekonomikas ministrija sniedz šādu informāciju un pamatojumu</w:t>
      </w:r>
      <w:r w:rsidRPr="006C181F">
        <w:rPr>
          <w:rFonts w:ascii="Times New Roman" w:hAnsi="Times New Roman" w:eastAsiaTheme="minorHAnsi"/>
          <w:sz w:val="28"/>
          <w:szCs w:val="28"/>
          <w:u w:val="single"/>
        </w:rPr>
        <w:t xml:space="preserve">: </w:t>
      </w:r>
    </w:p>
    <w:p w:rsidR="006C181F" w:rsidRPr="006C181F" w:rsidP="006C181F">
      <w:pPr>
        <w:spacing w:after="0" w:line="240" w:lineRule="auto"/>
        <w:ind w:firstLine="720"/>
        <w:jc w:val="both"/>
        <w:rPr>
          <w:rFonts w:ascii="Times New Roman" w:hAnsi="Times New Roman" w:eastAsiaTheme="minorHAnsi"/>
          <w:sz w:val="28"/>
          <w:szCs w:val="28"/>
          <w:u w:val="single"/>
        </w:rPr>
      </w:pPr>
    </w:p>
    <w:p w:rsidR="00723532" w:rsidP="00723532">
      <w:pPr>
        <w:spacing w:after="0" w:line="240" w:lineRule="auto"/>
        <w:ind w:firstLine="720"/>
        <w:jc w:val="both"/>
        <w:rPr>
          <w:rFonts w:ascii="Times New Roman" w:hAnsi="Times New Roman" w:eastAsiaTheme="minorHAnsi"/>
          <w:sz w:val="28"/>
          <w:szCs w:val="28"/>
        </w:rPr>
      </w:pPr>
      <w:r>
        <w:rPr>
          <w:rFonts w:ascii="Times New Roman" w:hAnsi="Times New Roman" w:eastAsiaTheme="minorHAnsi"/>
          <w:sz w:val="28"/>
          <w:szCs w:val="28"/>
        </w:rPr>
        <w:t xml:space="preserve">[1] </w:t>
      </w:r>
      <w:r w:rsidR="006C181F">
        <w:rPr>
          <w:rFonts w:ascii="Times New Roman" w:hAnsi="Times New Roman" w:eastAsiaTheme="minorHAnsi"/>
          <w:sz w:val="28"/>
          <w:szCs w:val="28"/>
        </w:rPr>
        <w:t xml:space="preserve">Atbilstoši metroloģijas jomu reglamentējošajam normatīvajam regulējumam, skaitītāju </w:t>
      </w:r>
      <w:r w:rsidR="004A1D02">
        <w:rPr>
          <w:rFonts w:ascii="Times New Roman" w:hAnsi="Times New Roman" w:eastAsiaTheme="minorHAnsi"/>
          <w:sz w:val="28"/>
          <w:szCs w:val="28"/>
        </w:rPr>
        <w:t xml:space="preserve">4 gadu </w:t>
      </w:r>
      <w:r w:rsidR="006C181F">
        <w:rPr>
          <w:rFonts w:ascii="Times New Roman" w:hAnsi="Times New Roman" w:eastAsiaTheme="minorHAnsi"/>
          <w:sz w:val="28"/>
          <w:szCs w:val="28"/>
        </w:rPr>
        <w:t xml:space="preserve">verifikācijas periodiskums ir noteikts </w:t>
      </w:r>
      <w:r w:rsidRPr="004A1D02" w:rsidR="004A1D02">
        <w:rPr>
          <w:rFonts w:ascii="Times New Roman" w:hAnsi="Times New Roman" w:eastAsiaTheme="minorHAnsi"/>
          <w:sz w:val="28"/>
          <w:szCs w:val="28"/>
        </w:rPr>
        <w:t>Ministru kabineta 2007.gada 9.janvāra noteikumos Nr.40 “Noteikumi par valsts metroloģiskajai kontrolei pakļauto mērīšanas līdzekļu sarakstu”</w:t>
      </w:r>
      <w:r w:rsidR="00103C9B">
        <w:rPr>
          <w:rFonts w:ascii="Times New Roman" w:hAnsi="Times New Roman" w:eastAsiaTheme="minorHAnsi"/>
          <w:sz w:val="28"/>
          <w:szCs w:val="28"/>
        </w:rPr>
        <w:t xml:space="preserve"> (turpmāk – Noteikumi Nr.40). </w:t>
      </w:r>
      <w:r w:rsidRPr="00103C9B" w:rsidR="00103C9B">
        <w:rPr>
          <w:rFonts w:ascii="Times New Roman" w:hAnsi="Times New Roman" w:eastAsiaTheme="minorHAnsi"/>
          <w:sz w:val="28"/>
          <w:szCs w:val="28"/>
        </w:rPr>
        <w:t xml:space="preserve">Nosakot skaitītāju verifikācijas periodiskumu, tiek vērtēti </w:t>
      </w:r>
      <w:r w:rsidR="00103C9B">
        <w:rPr>
          <w:rFonts w:ascii="Times New Roman" w:hAnsi="Times New Roman" w:eastAsiaTheme="minorHAnsi"/>
          <w:sz w:val="28"/>
          <w:szCs w:val="28"/>
        </w:rPr>
        <w:t>to</w:t>
      </w:r>
      <w:r w:rsidRPr="00103C9B" w:rsidR="00103C9B">
        <w:rPr>
          <w:rFonts w:ascii="Times New Roman" w:hAnsi="Times New Roman" w:eastAsiaTheme="minorHAnsi"/>
          <w:sz w:val="28"/>
          <w:szCs w:val="28"/>
        </w:rPr>
        <w:t xml:space="preserve"> darbības un rādījumu precizitātes ietekmējošie faktori un to ietekmes intensitāte, proti, laika posms, kurā ietekmējošie faktori var izraisīt neprecīzu skaitītāja darbību.</w:t>
      </w:r>
      <w:r w:rsidR="00103C9B">
        <w:rPr>
          <w:rFonts w:ascii="Times New Roman" w:hAnsi="Times New Roman" w:eastAsiaTheme="minorHAnsi"/>
          <w:sz w:val="28"/>
          <w:szCs w:val="28"/>
        </w:rPr>
        <w:t xml:space="preserve"> </w:t>
      </w:r>
      <w:r w:rsidRPr="00103C9B" w:rsidR="00103C9B">
        <w:rPr>
          <w:rFonts w:ascii="Times New Roman" w:hAnsi="Times New Roman" w:eastAsiaTheme="minorHAnsi"/>
          <w:sz w:val="28"/>
          <w:szCs w:val="28"/>
        </w:rPr>
        <w:t>Tādēļ, izstrādājot Noteikumus Nr.40, kuros tika skaitītāju 4 gadu verifikācijas periodiskums, tika ņemts vērā nozares ekspertu viedoklis par skaitītāju ietekmējošiem faktoriem, tai skaitā ūdens kvalitāti valstī un tās ietekmi uz skaitītāju mērījumu precizitāti noteiktajā laika posmā, kā arī statistiskie dati par to skaitītāju vienību skaitu, kuri pēc 4 gadu atkārtotās verificēšanas veikšanas neatbilda noteiktajām prasībām. Izvērtējot minētos apsvērumus, un visām Noteikumu Nr.40 projekta izstrādē iesaistītajām pusēm vienojoties, skaitītāju 4 gadu verifikācijas periodiskums tika noteikts kā optimāls pie esošajiem apstākļiem, lai nodrošinātu skaitītāju atbilstošu lietošanu un ticamu rādījumu atspoguļošanu.</w:t>
      </w:r>
    </w:p>
    <w:p w:rsidR="00103C9B" w:rsidP="0070649D">
      <w:pPr>
        <w:spacing w:after="0" w:line="240" w:lineRule="auto"/>
        <w:ind w:firstLine="720"/>
        <w:jc w:val="both"/>
        <w:rPr>
          <w:rFonts w:ascii="Times New Roman" w:hAnsi="Times New Roman" w:eastAsiaTheme="minorHAnsi"/>
          <w:sz w:val="28"/>
          <w:szCs w:val="28"/>
        </w:rPr>
      </w:pPr>
      <w:r>
        <w:rPr>
          <w:rFonts w:ascii="Times New Roman" w:hAnsi="Times New Roman" w:eastAsiaTheme="minorHAnsi"/>
          <w:sz w:val="28"/>
          <w:szCs w:val="28"/>
        </w:rPr>
        <w:t>Saskaņā ar Ministru kabineta 2006.gada 5.decembra noteikumu Nr.981 “</w:t>
      </w:r>
      <w:r w:rsidRPr="00723532">
        <w:rPr>
          <w:rFonts w:ascii="Times New Roman" w:hAnsi="Times New Roman" w:eastAsiaTheme="minorHAnsi"/>
          <w:sz w:val="28"/>
          <w:szCs w:val="28"/>
        </w:rPr>
        <w:t>Noteikumi par mērīšanas līdzekļu atkārtoto verificēšanu, verificēšanas sertifikātiem un verificēšanas atzīmēm</w:t>
      </w:r>
      <w:r>
        <w:rPr>
          <w:rFonts w:ascii="Times New Roman" w:hAnsi="Times New Roman" w:eastAsiaTheme="minorHAnsi"/>
          <w:sz w:val="28"/>
          <w:szCs w:val="28"/>
        </w:rPr>
        <w:t xml:space="preserve">” prasībām, skaitītāju atkārtoto verifikāciju veic </w:t>
      </w:r>
      <w:r w:rsidRPr="00723532">
        <w:rPr>
          <w:rFonts w:ascii="Times New Roman" w:hAnsi="Times New Roman" w:eastAsiaTheme="minorHAnsi"/>
          <w:sz w:val="28"/>
          <w:szCs w:val="28"/>
        </w:rPr>
        <w:t>inspicēšanas institūcijas, kas akreditētas nacionālajā akreditācijas institūcijā</w:t>
      </w:r>
      <w:r w:rsidR="0070649D">
        <w:rPr>
          <w:rFonts w:ascii="Times New Roman" w:hAnsi="Times New Roman" w:eastAsiaTheme="minorHAnsi"/>
          <w:sz w:val="28"/>
          <w:szCs w:val="28"/>
        </w:rPr>
        <w:t xml:space="preserve">. </w:t>
      </w:r>
      <w:r>
        <w:rPr>
          <w:rFonts w:ascii="Times New Roman" w:hAnsi="Times New Roman" w:eastAsiaTheme="minorHAnsi"/>
          <w:sz w:val="28"/>
          <w:szCs w:val="28"/>
        </w:rPr>
        <w:t xml:space="preserve">Lai apzinātu spēkā esošā skaitītāju verifikācijas periodiskuma atbilstību šī brīža situācijai, Ekonomikas ministrija </w:t>
      </w:r>
      <w:r w:rsidR="0070649D">
        <w:rPr>
          <w:rFonts w:ascii="Times New Roman" w:hAnsi="Times New Roman" w:eastAsiaTheme="minorHAnsi"/>
          <w:sz w:val="28"/>
          <w:szCs w:val="28"/>
        </w:rPr>
        <w:t xml:space="preserve">aicināja </w:t>
      </w:r>
      <w:r w:rsidR="00913FC6">
        <w:rPr>
          <w:rFonts w:ascii="Times New Roman" w:hAnsi="Times New Roman" w:eastAsiaTheme="minorHAnsi"/>
          <w:sz w:val="28"/>
          <w:szCs w:val="28"/>
        </w:rPr>
        <w:t xml:space="preserve">inspicēšanas institūcijas </w:t>
      </w:r>
      <w:r w:rsidR="0070649D">
        <w:rPr>
          <w:rFonts w:ascii="Times New Roman" w:hAnsi="Times New Roman" w:eastAsiaTheme="minorHAnsi"/>
          <w:sz w:val="28"/>
          <w:szCs w:val="28"/>
        </w:rPr>
        <w:t xml:space="preserve">sniegt </w:t>
      </w:r>
      <w:r>
        <w:rPr>
          <w:rFonts w:ascii="Times New Roman" w:hAnsi="Times New Roman" w:eastAsiaTheme="minorHAnsi"/>
          <w:sz w:val="28"/>
          <w:szCs w:val="28"/>
        </w:rPr>
        <w:t>datus par skaitītāju atkārtotās verifikācijas rezultātiem par pēdējiem pieciem gadiem (</w:t>
      </w:r>
      <w:r w:rsidRPr="00723532">
        <w:rPr>
          <w:rFonts w:ascii="Times New Roman" w:hAnsi="Times New Roman" w:eastAsiaTheme="minorHAnsi"/>
          <w:i/>
          <w:sz w:val="28"/>
          <w:szCs w:val="28"/>
        </w:rPr>
        <w:t>skat. tabulu</w:t>
      </w:r>
      <w:r>
        <w:rPr>
          <w:rFonts w:ascii="Times New Roman" w:hAnsi="Times New Roman" w:eastAsiaTheme="minorHAnsi"/>
          <w:sz w:val="28"/>
          <w:szCs w:val="28"/>
        </w:rPr>
        <w:t xml:space="preserve">) </w:t>
      </w:r>
      <w:r w:rsidR="00913FC6">
        <w:rPr>
          <w:rFonts w:ascii="Times New Roman" w:hAnsi="Times New Roman" w:eastAsiaTheme="minorHAnsi"/>
          <w:sz w:val="28"/>
          <w:szCs w:val="28"/>
        </w:rPr>
        <w:t>kā arī sniegt informāciju par biežāk konstatētajām neatbilstībām.</w:t>
      </w:r>
    </w:p>
    <w:p w:rsidR="00913FC6" w:rsidP="00913FC6">
      <w:pPr>
        <w:spacing w:after="0" w:line="240" w:lineRule="auto"/>
        <w:jc w:val="both"/>
        <w:rPr>
          <w:rFonts w:ascii="Times New Roman" w:hAnsi="Times New Roman" w:eastAsiaTheme="minorHAnsi"/>
          <w:sz w:val="28"/>
          <w:szCs w:val="28"/>
        </w:rPr>
      </w:pPr>
    </w:p>
    <w:p w:rsidR="00913FC6" w:rsidP="00C223A8">
      <w:pPr>
        <w:spacing w:after="0" w:line="240" w:lineRule="auto"/>
        <w:jc w:val="right"/>
        <w:rPr>
          <w:rFonts w:ascii="Times New Roman" w:hAnsi="Times New Roman" w:eastAsiaTheme="minorHAnsi"/>
          <w:i/>
          <w:sz w:val="28"/>
          <w:szCs w:val="28"/>
        </w:rPr>
      </w:pPr>
      <w:r>
        <w:rPr>
          <w:rFonts w:ascii="Times New Roman" w:hAnsi="Times New Roman" w:eastAsiaTheme="minorHAnsi"/>
          <w:i/>
          <w:sz w:val="28"/>
          <w:szCs w:val="28"/>
        </w:rPr>
        <w:t>t</w:t>
      </w:r>
      <w:r w:rsidRPr="00A378E0">
        <w:rPr>
          <w:rFonts w:ascii="Times New Roman" w:hAnsi="Times New Roman" w:eastAsiaTheme="minorHAnsi"/>
          <w:i/>
          <w:sz w:val="28"/>
          <w:szCs w:val="28"/>
        </w:rPr>
        <w:t>abula</w:t>
      </w:r>
    </w:p>
    <w:tbl>
      <w:tblPr>
        <w:tblStyle w:val="TableGrid"/>
        <w:tblW w:w="0" w:type="auto"/>
        <w:tblLook w:val="04A0"/>
      </w:tblPr>
      <w:tblGrid>
        <w:gridCol w:w="2265"/>
        <w:gridCol w:w="2265"/>
        <w:gridCol w:w="2265"/>
        <w:gridCol w:w="2266"/>
      </w:tblGrid>
      <w:tr w:rsidTr="003D14AE">
        <w:tblPrEx>
          <w:tblW w:w="0" w:type="auto"/>
          <w:tblLook w:val="04A0"/>
        </w:tblPrEx>
        <w:trPr>
          <w:trHeight w:val="1066"/>
        </w:trPr>
        <w:tc>
          <w:tcPr>
            <w:tcW w:w="2265" w:type="dxa"/>
            <w:tcBorders>
              <w:tr2bl w:val="single" w:sz="4" w:space="0" w:color="auto"/>
            </w:tcBorders>
          </w:tcPr>
          <w:p w:rsidR="00A378E0" w:rsidP="00A378E0">
            <w:pPr>
              <w:spacing w:after="0" w:line="240" w:lineRule="auto"/>
              <w:rPr>
                <w:rFonts w:ascii="Times New Roman" w:hAnsi="Times New Roman" w:eastAsiaTheme="minorHAnsi"/>
                <w:sz w:val="28"/>
                <w:szCs w:val="28"/>
              </w:rPr>
            </w:pPr>
            <w:r>
              <w:rPr>
                <w:rFonts w:ascii="Times New Roman" w:hAnsi="Times New Roman" w:eastAsiaTheme="minorHAnsi"/>
                <w:sz w:val="28"/>
                <w:szCs w:val="28"/>
              </w:rPr>
              <w:t>Skaits</w:t>
            </w:r>
          </w:p>
          <w:p w:rsidR="00A378E0" w:rsidP="00A378E0">
            <w:pPr>
              <w:spacing w:after="0" w:line="240" w:lineRule="auto"/>
              <w:rPr>
                <w:rFonts w:ascii="Times New Roman" w:hAnsi="Times New Roman" w:eastAsiaTheme="minorHAnsi"/>
                <w:sz w:val="28"/>
                <w:szCs w:val="28"/>
              </w:rPr>
            </w:pPr>
          </w:p>
          <w:p w:rsidR="00A378E0" w:rsidP="00A378E0">
            <w:pPr>
              <w:spacing w:after="0" w:line="240" w:lineRule="auto"/>
              <w:jc w:val="right"/>
              <w:rPr>
                <w:rFonts w:ascii="Times New Roman" w:hAnsi="Times New Roman" w:eastAsiaTheme="minorHAnsi"/>
                <w:sz w:val="28"/>
                <w:szCs w:val="28"/>
              </w:rPr>
            </w:pPr>
            <w:r>
              <w:rPr>
                <w:rFonts w:ascii="Times New Roman" w:hAnsi="Times New Roman" w:eastAsiaTheme="minorHAnsi"/>
                <w:sz w:val="28"/>
                <w:szCs w:val="28"/>
              </w:rPr>
              <w:t>Gads</w:t>
            </w:r>
          </w:p>
        </w:tc>
        <w:tc>
          <w:tcPr>
            <w:tcW w:w="2265" w:type="dxa"/>
          </w:tcPr>
          <w:p w:rsidR="00A378E0" w:rsidP="00A378E0">
            <w:pPr>
              <w:spacing w:after="0" w:line="240" w:lineRule="auto"/>
              <w:jc w:val="center"/>
              <w:rPr>
                <w:rFonts w:ascii="Times New Roman" w:hAnsi="Times New Roman" w:eastAsiaTheme="minorHAnsi"/>
                <w:sz w:val="28"/>
                <w:szCs w:val="28"/>
              </w:rPr>
            </w:pPr>
            <w:r>
              <w:rPr>
                <w:rFonts w:ascii="Times New Roman" w:hAnsi="Times New Roman" w:eastAsiaTheme="minorHAnsi"/>
                <w:sz w:val="28"/>
                <w:szCs w:val="28"/>
              </w:rPr>
              <w:t>Verificēto skaitītāju skaits</w:t>
            </w:r>
          </w:p>
        </w:tc>
        <w:tc>
          <w:tcPr>
            <w:tcW w:w="2265" w:type="dxa"/>
          </w:tcPr>
          <w:p w:rsidR="00A378E0" w:rsidP="00A378E0">
            <w:pPr>
              <w:spacing w:after="0" w:line="240" w:lineRule="auto"/>
              <w:jc w:val="center"/>
              <w:rPr>
                <w:rFonts w:ascii="Times New Roman" w:hAnsi="Times New Roman" w:eastAsiaTheme="minorHAnsi"/>
                <w:sz w:val="28"/>
                <w:szCs w:val="28"/>
              </w:rPr>
            </w:pPr>
            <w:r>
              <w:rPr>
                <w:rFonts w:ascii="Times New Roman" w:hAnsi="Times New Roman" w:eastAsiaTheme="minorHAnsi"/>
                <w:sz w:val="28"/>
                <w:szCs w:val="28"/>
              </w:rPr>
              <w:t>Prasībām neatbilstošo</w:t>
            </w:r>
            <w:r w:rsidR="00872981">
              <w:rPr>
                <w:rFonts w:ascii="Times New Roman" w:hAnsi="Times New Roman" w:eastAsiaTheme="minorHAnsi"/>
                <w:sz w:val="28"/>
                <w:szCs w:val="28"/>
              </w:rPr>
              <w:t xml:space="preserve"> skaitītāju</w:t>
            </w:r>
            <w:r>
              <w:rPr>
                <w:rFonts w:ascii="Times New Roman" w:hAnsi="Times New Roman" w:eastAsiaTheme="minorHAnsi"/>
                <w:sz w:val="28"/>
                <w:szCs w:val="28"/>
              </w:rPr>
              <w:t xml:space="preserve"> skaits</w:t>
            </w:r>
          </w:p>
          <w:p w:rsidR="00A378E0" w:rsidP="00A378E0">
            <w:pPr>
              <w:spacing w:after="0" w:line="240" w:lineRule="auto"/>
              <w:jc w:val="center"/>
              <w:rPr>
                <w:rFonts w:ascii="Times New Roman" w:hAnsi="Times New Roman" w:eastAsiaTheme="minorHAnsi"/>
                <w:sz w:val="28"/>
                <w:szCs w:val="28"/>
              </w:rPr>
            </w:pPr>
          </w:p>
        </w:tc>
        <w:tc>
          <w:tcPr>
            <w:tcW w:w="2266" w:type="dxa"/>
          </w:tcPr>
          <w:p w:rsidR="00A378E0" w:rsidP="00A378E0">
            <w:pPr>
              <w:spacing w:after="0" w:line="240" w:lineRule="auto"/>
              <w:jc w:val="center"/>
              <w:rPr>
                <w:rFonts w:ascii="Times New Roman" w:hAnsi="Times New Roman" w:eastAsiaTheme="minorHAnsi"/>
                <w:sz w:val="28"/>
                <w:szCs w:val="28"/>
              </w:rPr>
            </w:pPr>
            <w:r>
              <w:rPr>
                <w:rFonts w:ascii="Times New Roman" w:hAnsi="Times New Roman" w:eastAsiaTheme="minorHAnsi"/>
                <w:sz w:val="28"/>
                <w:szCs w:val="28"/>
              </w:rPr>
              <w:t>Īpatsvars</w:t>
            </w:r>
          </w:p>
        </w:tc>
      </w:tr>
      <w:tr w:rsidTr="00A378E0">
        <w:tblPrEx>
          <w:tblW w:w="0" w:type="auto"/>
          <w:tblLook w:val="04A0"/>
        </w:tblPrEx>
        <w:tc>
          <w:tcPr>
            <w:tcW w:w="2265" w:type="dxa"/>
          </w:tcPr>
          <w:p w:rsidR="00A378E0" w:rsidRPr="00A378E0" w:rsidP="00A378E0">
            <w:pPr>
              <w:jc w:val="center"/>
              <w:rPr>
                <w:rFonts w:ascii="Times New Roman" w:hAnsi="Times New Roman"/>
                <w:sz w:val="28"/>
                <w:szCs w:val="28"/>
              </w:rPr>
            </w:pPr>
            <w:r w:rsidRPr="00A378E0">
              <w:rPr>
                <w:rFonts w:ascii="Times New Roman" w:hAnsi="Times New Roman"/>
                <w:sz w:val="28"/>
                <w:szCs w:val="28"/>
              </w:rPr>
              <w:t>2013</w:t>
            </w:r>
          </w:p>
        </w:tc>
        <w:tc>
          <w:tcPr>
            <w:tcW w:w="2265" w:type="dxa"/>
          </w:tcPr>
          <w:p w:rsidR="00A378E0" w:rsidRPr="00A378E0" w:rsidP="00A378E0">
            <w:pPr>
              <w:jc w:val="center"/>
              <w:rPr>
                <w:rFonts w:ascii="Times New Roman" w:hAnsi="Times New Roman"/>
                <w:sz w:val="28"/>
                <w:szCs w:val="28"/>
              </w:rPr>
            </w:pPr>
            <w:r w:rsidRPr="00A378E0">
              <w:rPr>
                <w:rFonts w:ascii="Times New Roman" w:hAnsi="Times New Roman"/>
                <w:sz w:val="28"/>
                <w:szCs w:val="28"/>
              </w:rPr>
              <w:t>168280</w:t>
            </w:r>
          </w:p>
        </w:tc>
        <w:tc>
          <w:tcPr>
            <w:tcW w:w="2265" w:type="dxa"/>
          </w:tcPr>
          <w:p w:rsidR="00A378E0" w:rsidRPr="00A378E0" w:rsidP="00A378E0">
            <w:pPr>
              <w:jc w:val="center"/>
              <w:rPr>
                <w:rFonts w:ascii="Times New Roman" w:hAnsi="Times New Roman"/>
                <w:sz w:val="28"/>
                <w:szCs w:val="28"/>
              </w:rPr>
            </w:pPr>
            <w:r w:rsidRPr="00A378E0">
              <w:rPr>
                <w:rFonts w:ascii="Times New Roman" w:hAnsi="Times New Roman"/>
                <w:sz w:val="28"/>
                <w:szCs w:val="28"/>
              </w:rPr>
              <w:t>14239</w:t>
            </w:r>
          </w:p>
        </w:tc>
        <w:tc>
          <w:tcPr>
            <w:tcW w:w="2266" w:type="dxa"/>
          </w:tcPr>
          <w:p w:rsidR="00A378E0" w:rsidRPr="00A378E0" w:rsidP="00A378E0">
            <w:pPr>
              <w:jc w:val="center"/>
              <w:rPr>
                <w:rFonts w:ascii="Times New Roman" w:hAnsi="Times New Roman"/>
                <w:sz w:val="28"/>
                <w:szCs w:val="28"/>
              </w:rPr>
            </w:pPr>
            <w:r w:rsidRPr="00A378E0">
              <w:rPr>
                <w:rFonts w:ascii="Times New Roman" w:hAnsi="Times New Roman"/>
                <w:sz w:val="28"/>
                <w:szCs w:val="28"/>
              </w:rPr>
              <w:t>8%</w:t>
            </w:r>
          </w:p>
        </w:tc>
      </w:tr>
      <w:tr w:rsidTr="00A378E0">
        <w:tblPrEx>
          <w:tblW w:w="0" w:type="auto"/>
          <w:tblLook w:val="04A0"/>
        </w:tblPrEx>
        <w:tc>
          <w:tcPr>
            <w:tcW w:w="2265" w:type="dxa"/>
          </w:tcPr>
          <w:p w:rsidR="00A378E0" w:rsidRPr="00A378E0" w:rsidP="00A378E0">
            <w:pPr>
              <w:jc w:val="center"/>
              <w:rPr>
                <w:rFonts w:ascii="Times New Roman" w:hAnsi="Times New Roman"/>
                <w:sz w:val="28"/>
                <w:szCs w:val="28"/>
              </w:rPr>
            </w:pPr>
            <w:r w:rsidRPr="00A378E0">
              <w:rPr>
                <w:rFonts w:ascii="Times New Roman" w:hAnsi="Times New Roman"/>
                <w:sz w:val="28"/>
                <w:szCs w:val="28"/>
              </w:rPr>
              <w:t>2014</w:t>
            </w:r>
          </w:p>
        </w:tc>
        <w:tc>
          <w:tcPr>
            <w:tcW w:w="2265" w:type="dxa"/>
          </w:tcPr>
          <w:p w:rsidR="00A378E0" w:rsidRPr="00A378E0" w:rsidP="00A378E0">
            <w:pPr>
              <w:jc w:val="center"/>
              <w:rPr>
                <w:rFonts w:ascii="Times New Roman" w:hAnsi="Times New Roman"/>
                <w:sz w:val="28"/>
                <w:szCs w:val="28"/>
              </w:rPr>
            </w:pPr>
            <w:r w:rsidRPr="00A378E0">
              <w:rPr>
                <w:rFonts w:ascii="Times New Roman" w:hAnsi="Times New Roman"/>
                <w:sz w:val="28"/>
                <w:szCs w:val="28"/>
              </w:rPr>
              <w:t>183529</w:t>
            </w:r>
          </w:p>
        </w:tc>
        <w:tc>
          <w:tcPr>
            <w:tcW w:w="2265" w:type="dxa"/>
          </w:tcPr>
          <w:p w:rsidR="00A378E0" w:rsidRPr="00A378E0" w:rsidP="00A378E0">
            <w:pPr>
              <w:jc w:val="center"/>
              <w:rPr>
                <w:rFonts w:ascii="Times New Roman" w:hAnsi="Times New Roman"/>
                <w:sz w:val="28"/>
                <w:szCs w:val="28"/>
              </w:rPr>
            </w:pPr>
            <w:r w:rsidRPr="00A378E0">
              <w:rPr>
                <w:rFonts w:ascii="Times New Roman" w:hAnsi="Times New Roman"/>
                <w:sz w:val="28"/>
                <w:szCs w:val="28"/>
              </w:rPr>
              <w:t>21051</w:t>
            </w:r>
          </w:p>
        </w:tc>
        <w:tc>
          <w:tcPr>
            <w:tcW w:w="2266" w:type="dxa"/>
          </w:tcPr>
          <w:p w:rsidR="00A378E0" w:rsidRPr="00A378E0" w:rsidP="00A378E0">
            <w:pPr>
              <w:jc w:val="center"/>
              <w:rPr>
                <w:rFonts w:ascii="Times New Roman" w:hAnsi="Times New Roman"/>
                <w:sz w:val="28"/>
                <w:szCs w:val="28"/>
              </w:rPr>
            </w:pPr>
            <w:r w:rsidRPr="00A378E0">
              <w:rPr>
                <w:rFonts w:ascii="Times New Roman" w:hAnsi="Times New Roman"/>
                <w:sz w:val="28"/>
                <w:szCs w:val="28"/>
              </w:rPr>
              <w:t>11%</w:t>
            </w:r>
          </w:p>
        </w:tc>
      </w:tr>
      <w:tr w:rsidTr="00A378E0">
        <w:tblPrEx>
          <w:tblW w:w="0" w:type="auto"/>
          <w:tblLook w:val="04A0"/>
        </w:tblPrEx>
        <w:tc>
          <w:tcPr>
            <w:tcW w:w="2265" w:type="dxa"/>
          </w:tcPr>
          <w:p w:rsidR="00A378E0" w:rsidRPr="00A378E0" w:rsidP="00A378E0">
            <w:pPr>
              <w:jc w:val="center"/>
              <w:rPr>
                <w:rFonts w:ascii="Times New Roman" w:hAnsi="Times New Roman"/>
                <w:sz w:val="28"/>
                <w:szCs w:val="28"/>
              </w:rPr>
            </w:pPr>
            <w:r w:rsidRPr="00A378E0">
              <w:rPr>
                <w:rFonts w:ascii="Times New Roman" w:hAnsi="Times New Roman"/>
                <w:sz w:val="28"/>
                <w:szCs w:val="28"/>
              </w:rPr>
              <w:t>2015</w:t>
            </w:r>
          </w:p>
        </w:tc>
        <w:tc>
          <w:tcPr>
            <w:tcW w:w="2265" w:type="dxa"/>
          </w:tcPr>
          <w:p w:rsidR="00A378E0" w:rsidRPr="00A378E0" w:rsidP="00A378E0">
            <w:pPr>
              <w:jc w:val="center"/>
              <w:rPr>
                <w:rFonts w:ascii="Times New Roman" w:hAnsi="Times New Roman"/>
                <w:sz w:val="28"/>
                <w:szCs w:val="28"/>
              </w:rPr>
            </w:pPr>
            <w:r w:rsidRPr="00A378E0">
              <w:rPr>
                <w:rFonts w:ascii="Times New Roman" w:hAnsi="Times New Roman"/>
                <w:sz w:val="28"/>
                <w:szCs w:val="28"/>
              </w:rPr>
              <w:t>192746</w:t>
            </w:r>
          </w:p>
        </w:tc>
        <w:tc>
          <w:tcPr>
            <w:tcW w:w="2265" w:type="dxa"/>
          </w:tcPr>
          <w:p w:rsidR="00A378E0" w:rsidRPr="00A378E0" w:rsidP="00A378E0">
            <w:pPr>
              <w:jc w:val="center"/>
              <w:rPr>
                <w:rFonts w:ascii="Times New Roman" w:hAnsi="Times New Roman"/>
                <w:sz w:val="28"/>
                <w:szCs w:val="28"/>
              </w:rPr>
            </w:pPr>
            <w:r w:rsidRPr="00A378E0">
              <w:rPr>
                <w:rFonts w:ascii="Times New Roman" w:hAnsi="Times New Roman"/>
                <w:sz w:val="28"/>
                <w:szCs w:val="28"/>
              </w:rPr>
              <w:t>28966</w:t>
            </w:r>
          </w:p>
        </w:tc>
        <w:tc>
          <w:tcPr>
            <w:tcW w:w="2266" w:type="dxa"/>
          </w:tcPr>
          <w:p w:rsidR="00A378E0" w:rsidRPr="00A378E0" w:rsidP="00A378E0">
            <w:pPr>
              <w:jc w:val="center"/>
              <w:rPr>
                <w:rFonts w:ascii="Times New Roman" w:hAnsi="Times New Roman"/>
                <w:sz w:val="28"/>
                <w:szCs w:val="28"/>
              </w:rPr>
            </w:pPr>
            <w:r w:rsidRPr="00A378E0">
              <w:rPr>
                <w:rFonts w:ascii="Times New Roman" w:hAnsi="Times New Roman"/>
                <w:sz w:val="28"/>
                <w:szCs w:val="28"/>
              </w:rPr>
              <w:t>15%</w:t>
            </w:r>
          </w:p>
        </w:tc>
      </w:tr>
      <w:tr w:rsidTr="00A378E0">
        <w:tblPrEx>
          <w:tblW w:w="0" w:type="auto"/>
          <w:tblLook w:val="04A0"/>
        </w:tblPrEx>
        <w:tc>
          <w:tcPr>
            <w:tcW w:w="2265" w:type="dxa"/>
          </w:tcPr>
          <w:p w:rsidR="00A378E0" w:rsidRPr="00A378E0" w:rsidP="00A378E0">
            <w:pPr>
              <w:jc w:val="center"/>
              <w:rPr>
                <w:rFonts w:ascii="Times New Roman" w:hAnsi="Times New Roman"/>
                <w:sz w:val="28"/>
                <w:szCs w:val="28"/>
              </w:rPr>
            </w:pPr>
            <w:r w:rsidRPr="00A378E0">
              <w:rPr>
                <w:rFonts w:ascii="Times New Roman" w:hAnsi="Times New Roman"/>
                <w:sz w:val="28"/>
                <w:szCs w:val="28"/>
              </w:rPr>
              <w:t>2016</w:t>
            </w:r>
          </w:p>
        </w:tc>
        <w:tc>
          <w:tcPr>
            <w:tcW w:w="2265" w:type="dxa"/>
          </w:tcPr>
          <w:p w:rsidR="00A378E0" w:rsidRPr="00A378E0" w:rsidP="00A378E0">
            <w:pPr>
              <w:jc w:val="center"/>
              <w:rPr>
                <w:rFonts w:ascii="Times New Roman" w:hAnsi="Times New Roman"/>
                <w:sz w:val="28"/>
                <w:szCs w:val="28"/>
              </w:rPr>
            </w:pPr>
            <w:r w:rsidRPr="00A378E0">
              <w:rPr>
                <w:rFonts w:ascii="Times New Roman" w:hAnsi="Times New Roman"/>
                <w:sz w:val="28"/>
                <w:szCs w:val="28"/>
              </w:rPr>
              <w:t>201891</w:t>
            </w:r>
          </w:p>
        </w:tc>
        <w:tc>
          <w:tcPr>
            <w:tcW w:w="2265" w:type="dxa"/>
          </w:tcPr>
          <w:p w:rsidR="00A378E0" w:rsidRPr="00A378E0" w:rsidP="00A378E0">
            <w:pPr>
              <w:jc w:val="center"/>
              <w:rPr>
                <w:rFonts w:ascii="Times New Roman" w:hAnsi="Times New Roman"/>
                <w:sz w:val="28"/>
                <w:szCs w:val="28"/>
              </w:rPr>
            </w:pPr>
            <w:r w:rsidRPr="00A378E0">
              <w:rPr>
                <w:rFonts w:ascii="Times New Roman" w:hAnsi="Times New Roman"/>
                <w:sz w:val="28"/>
                <w:szCs w:val="28"/>
              </w:rPr>
              <w:t>26205</w:t>
            </w:r>
          </w:p>
        </w:tc>
        <w:tc>
          <w:tcPr>
            <w:tcW w:w="2266" w:type="dxa"/>
          </w:tcPr>
          <w:p w:rsidR="00A378E0" w:rsidRPr="00A378E0" w:rsidP="00A378E0">
            <w:pPr>
              <w:jc w:val="center"/>
              <w:rPr>
                <w:rFonts w:ascii="Times New Roman" w:hAnsi="Times New Roman"/>
                <w:sz w:val="28"/>
                <w:szCs w:val="28"/>
              </w:rPr>
            </w:pPr>
            <w:r w:rsidRPr="00A378E0">
              <w:rPr>
                <w:rFonts w:ascii="Times New Roman" w:hAnsi="Times New Roman"/>
                <w:sz w:val="28"/>
                <w:szCs w:val="28"/>
              </w:rPr>
              <w:t>13%</w:t>
            </w:r>
          </w:p>
        </w:tc>
      </w:tr>
      <w:tr w:rsidTr="00A378E0">
        <w:tblPrEx>
          <w:tblW w:w="0" w:type="auto"/>
          <w:tblLook w:val="04A0"/>
        </w:tblPrEx>
        <w:tc>
          <w:tcPr>
            <w:tcW w:w="2265" w:type="dxa"/>
          </w:tcPr>
          <w:p w:rsidR="00A378E0" w:rsidRPr="00A378E0" w:rsidP="00A378E0">
            <w:pPr>
              <w:jc w:val="center"/>
              <w:rPr>
                <w:rFonts w:ascii="Times New Roman" w:hAnsi="Times New Roman"/>
                <w:sz w:val="28"/>
                <w:szCs w:val="28"/>
              </w:rPr>
            </w:pPr>
            <w:r w:rsidRPr="00A378E0">
              <w:rPr>
                <w:rFonts w:ascii="Times New Roman" w:hAnsi="Times New Roman"/>
                <w:sz w:val="28"/>
                <w:szCs w:val="28"/>
              </w:rPr>
              <w:t>2017</w:t>
            </w:r>
          </w:p>
        </w:tc>
        <w:tc>
          <w:tcPr>
            <w:tcW w:w="2265" w:type="dxa"/>
          </w:tcPr>
          <w:p w:rsidR="00A378E0" w:rsidRPr="00A378E0" w:rsidP="00A378E0">
            <w:pPr>
              <w:jc w:val="center"/>
              <w:rPr>
                <w:rFonts w:ascii="Times New Roman" w:hAnsi="Times New Roman"/>
                <w:sz w:val="28"/>
                <w:szCs w:val="28"/>
              </w:rPr>
            </w:pPr>
            <w:r w:rsidRPr="00A378E0">
              <w:rPr>
                <w:rFonts w:ascii="Times New Roman" w:hAnsi="Times New Roman"/>
                <w:sz w:val="28"/>
                <w:szCs w:val="28"/>
              </w:rPr>
              <w:t>148827</w:t>
            </w:r>
          </w:p>
        </w:tc>
        <w:tc>
          <w:tcPr>
            <w:tcW w:w="2265" w:type="dxa"/>
          </w:tcPr>
          <w:p w:rsidR="00A378E0" w:rsidRPr="00A378E0" w:rsidP="00A378E0">
            <w:pPr>
              <w:jc w:val="center"/>
              <w:rPr>
                <w:rFonts w:ascii="Times New Roman" w:hAnsi="Times New Roman"/>
                <w:sz w:val="28"/>
                <w:szCs w:val="28"/>
              </w:rPr>
            </w:pPr>
            <w:r w:rsidRPr="00A378E0">
              <w:rPr>
                <w:rFonts w:ascii="Times New Roman" w:hAnsi="Times New Roman"/>
                <w:sz w:val="28"/>
                <w:szCs w:val="28"/>
              </w:rPr>
              <w:t>14328</w:t>
            </w:r>
          </w:p>
        </w:tc>
        <w:tc>
          <w:tcPr>
            <w:tcW w:w="2266" w:type="dxa"/>
          </w:tcPr>
          <w:p w:rsidR="00A378E0" w:rsidRPr="00A378E0" w:rsidP="00A378E0">
            <w:pPr>
              <w:jc w:val="center"/>
              <w:rPr>
                <w:rFonts w:ascii="Times New Roman" w:hAnsi="Times New Roman"/>
                <w:sz w:val="28"/>
                <w:szCs w:val="28"/>
              </w:rPr>
            </w:pPr>
            <w:r w:rsidRPr="00A378E0">
              <w:rPr>
                <w:rFonts w:ascii="Times New Roman" w:hAnsi="Times New Roman"/>
                <w:sz w:val="28"/>
                <w:szCs w:val="28"/>
              </w:rPr>
              <w:t>10%</w:t>
            </w:r>
          </w:p>
        </w:tc>
      </w:tr>
    </w:tbl>
    <w:p w:rsidR="00A378E0" w:rsidRPr="00A378E0" w:rsidP="00A378E0">
      <w:pPr>
        <w:spacing w:after="0" w:line="240" w:lineRule="auto"/>
        <w:jc w:val="center"/>
        <w:rPr>
          <w:rFonts w:ascii="Times New Roman" w:hAnsi="Times New Roman" w:eastAsiaTheme="minorHAnsi"/>
          <w:i/>
          <w:sz w:val="24"/>
          <w:szCs w:val="24"/>
        </w:rPr>
      </w:pPr>
      <w:r w:rsidRPr="00A378E0">
        <w:rPr>
          <w:rFonts w:ascii="Times New Roman" w:hAnsi="Times New Roman" w:eastAsiaTheme="minorHAnsi"/>
          <w:i/>
          <w:sz w:val="24"/>
          <w:szCs w:val="24"/>
        </w:rPr>
        <w:t>(datus iesniedza 5 no 7 akreditētām inspicēšanas institūcijām)</w:t>
      </w:r>
    </w:p>
    <w:p w:rsidR="003D14AE" w:rsidP="00864F5C">
      <w:pPr>
        <w:pStyle w:val="pamattekststabul"/>
        <w:spacing w:line="268" w:lineRule="auto"/>
        <w:contextualSpacing/>
        <w:jc w:val="both"/>
        <w:rPr>
          <w:sz w:val="28"/>
          <w:szCs w:val="28"/>
          <w:u w:val="single"/>
          <w:lang w:val="lv-LV"/>
        </w:rPr>
      </w:pPr>
      <w:r w:rsidRPr="00872981">
        <w:rPr>
          <w:sz w:val="28"/>
          <w:szCs w:val="28"/>
          <w:lang w:val="lv-LV"/>
        </w:rPr>
        <w:t xml:space="preserve">       </w:t>
      </w:r>
      <w:r w:rsidRPr="00872981" w:rsidR="0061314B">
        <w:rPr>
          <w:sz w:val="28"/>
          <w:szCs w:val="28"/>
          <w:u w:val="single"/>
          <w:lang w:val="lv-LV"/>
        </w:rPr>
        <w:t xml:space="preserve">Sniedzot verifikācijas datus, inspicēšanas institūcijas norādīja, ka </w:t>
      </w:r>
      <w:r w:rsidRPr="00872981" w:rsidR="00872981">
        <w:rPr>
          <w:sz w:val="28"/>
          <w:szCs w:val="28"/>
          <w:u w:val="single"/>
          <w:lang w:val="lv-LV"/>
        </w:rPr>
        <w:t>tie neatspoguļo reālo situāciju, jo vairākumā gadījumu uz atkārtoto verifikāciju tiek iesniegti iepriekš sagatavoti skaitītāji, proti, remontēti, iekšēji iztīrīti un izskaloti. Savukārt ja minētās manipulācijas ar skaitītājiem netiktu veiktas, tad tiek norādīts, ka prasībām neatbilstošo skaitītāju skaits varētu sasniegt līdz pat 70% robežai.</w:t>
      </w:r>
    </w:p>
    <w:p w:rsidR="003D14AE" w:rsidRPr="00FE048E" w:rsidP="00864F5C">
      <w:pPr>
        <w:pStyle w:val="pamattekststabul"/>
        <w:spacing w:line="268" w:lineRule="auto"/>
        <w:contextualSpacing/>
        <w:jc w:val="both"/>
        <w:rPr>
          <w:sz w:val="28"/>
          <w:szCs w:val="28"/>
          <w:u w:val="single"/>
          <w:lang w:val="lv-LV"/>
        </w:rPr>
      </w:pPr>
      <w:r>
        <w:rPr>
          <w:sz w:val="28"/>
          <w:szCs w:val="28"/>
          <w:lang w:val="lv-LV"/>
        </w:rPr>
        <w:tab/>
      </w:r>
      <w:r w:rsidRPr="00FE048E">
        <w:rPr>
          <w:sz w:val="28"/>
          <w:szCs w:val="28"/>
          <w:u w:val="single"/>
          <w:lang w:val="lv-LV"/>
        </w:rPr>
        <w:t>Attiecībā uz biežāk konstatētām neatbilstībām, inspicēšanos institūcijas norāda, ka galvenokārt tās ir saistītas ar ūdens radīto aizsērējumu kā arī tehniska rakstura bojājumi (aizsargstikla bojājums, hermētiskums, ievietotie svešķermeņi).</w:t>
      </w:r>
    </w:p>
    <w:p w:rsidR="00721709" w:rsidP="00864F5C">
      <w:pPr>
        <w:pStyle w:val="pamattekststabul"/>
        <w:spacing w:line="268" w:lineRule="auto"/>
        <w:contextualSpacing/>
        <w:jc w:val="both"/>
        <w:rPr>
          <w:sz w:val="28"/>
          <w:szCs w:val="28"/>
          <w:lang w:val="lv-LV"/>
        </w:rPr>
      </w:pPr>
      <w:r>
        <w:rPr>
          <w:sz w:val="28"/>
          <w:szCs w:val="28"/>
          <w:lang w:val="lv-LV"/>
        </w:rPr>
        <w:tab/>
      </w:r>
      <w:r w:rsidR="00825E3A">
        <w:rPr>
          <w:sz w:val="28"/>
          <w:szCs w:val="28"/>
          <w:lang w:val="lv-LV"/>
        </w:rPr>
        <w:t xml:space="preserve">Kā jau iepriekš komisijas sēdēs Ekonomikas ministrija norādīja, tā </w:t>
      </w:r>
      <w:r w:rsidRPr="00825E3A" w:rsidR="00825E3A">
        <w:rPr>
          <w:sz w:val="28"/>
          <w:szCs w:val="28"/>
          <w:lang w:val="lv-LV"/>
        </w:rPr>
        <w:t>ir atvērta jautājuma</w:t>
      </w:r>
      <w:r>
        <w:rPr>
          <w:sz w:val="28"/>
          <w:szCs w:val="28"/>
          <w:lang w:val="lv-LV"/>
        </w:rPr>
        <w:t>m par verifikācijas periodiskuma pagarināšanu</w:t>
      </w:r>
      <w:r w:rsidRPr="00825E3A" w:rsidR="00825E3A">
        <w:rPr>
          <w:sz w:val="28"/>
          <w:szCs w:val="28"/>
          <w:lang w:val="lv-LV"/>
        </w:rPr>
        <w:t xml:space="preserve"> jauno tehnoloģ</w:t>
      </w:r>
      <w:r w:rsidR="00825E3A">
        <w:rPr>
          <w:sz w:val="28"/>
          <w:szCs w:val="28"/>
          <w:lang w:val="lv-LV"/>
        </w:rPr>
        <w:t>iju ūdens patēriņa skaitītājiem</w:t>
      </w:r>
      <w:r w:rsidRPr="00825E3A" w:rsidR="00825E3A">
        <w:rPr>
          <w:sz w:val="28"/>
          <w:szCs w:val="28"/>
          <w:lang w:val="lv-LV"/>
        </w:rPr>
        <w:t xml:space="preserve"> </w:t>
      </w:r>
      <w:r w:rsidR="00825E3A">
        <w:rPr>
          <w:sz w:val="28"/>
          <w:szCs w:val="28"/>
          <w:lang w:val="lv-LV"/>
        </w:rPr>
        <w:t>(</w:t>
      </w:r>
      <w:r w:rsidRPr="00825E3A" w:rsidR="00825E3A">
        <w:rPr>
          <w:sz w:val="28"/>
          <w:szCs w:val="28"/>
          <w:lang w:val="lv-LV"/>
        </w:rPr>
        <w:t>piemēram, ultraskaņas un elektromagnētiskajiem</w:t>
      </w:r>
      <w:r>
        <w:rPr>
          <w:sz w:val="28"/>
          <w:szCs w:val="28"/>
          <w:lang w:val="lv-LV"/>
        </w:rPr>
        <w:t xml:space="preserve">), </w:t>
      </w:r>
      <w:r w:rsidR="00825E3A">
        <w:rPr>
          <w:sz w:val="28"/>
          <w:szCs w:val="28"/>
          <w:lang w:val="lv-LV"/>
        </w:rPr>
        <w:t>l</w:t>
      </w:r>
      <w:r>
        <w:rPr>
          <w:sz w:val="28"/>
          <w:szCs w:val="28"/>
          <w:lang w:val="lv-LV"/>
        </w:rPr>
        <w:t>a</w:t>
      </w:r>
      <w:r w:rsidR="00825E3A">
        <w:rPr>
          <w:sz w:val="28"/>
          <w:szCs w:val="28"/>
          <w:lang w:val="lv-LV"/>
        </w:rPr>
        <w:t>i veicinātu jauno tehnoloģiju ieviešanu ūdens patēriņa uzskaites jomā</w:t>
      </w:r>
      <w:r w:rsidR="00866C4B">
        <w:rPr>
          <w:sz w:val="28"/>
          <w:szCs w:val="28"/>
          <w:lang w:val="lv-LV"/>
        </w:rPr>
        <w:t xml:space="preserve"> kā arī izskatīt iespēju diferencēt verificēšanas periodiskumu</w:t>
      </w:r>
      <w:r w:rsidRPr="00866C4B" w:rsidR="00866C4B">
        <w:rPr>
          <w:sz w:val="28"/>
          <w:szCs w:val="28"/>
          <w:lang w:val="lv-LV"/>
        </w:rPr>
        <w:t xml:space="preserve"> ūdenssaimniecības pakalpojumu sniedzēju </w:t>
      </w:r>
      <w:r w:rsidRPr="00866C4B" w:rsidR="00866C4B">
        <w:rPr>
          <w:sz w:val="28"/>
          <w:szCs w:val="28"/>
          <w:lang w:val="lv-LV"/>
        </w:rPr>
        <w:t>komercuzskaites</w:t>
      </w:r>
      <w:r w:rsidRPr="00866C4B" w:rsidR="00866C4B">
        <w:rPr>
          <w:sz w:val="28"/>
          <w:szCs w:val="28"/>
          <w:lang w:val="lv-LV"/>
        </w:rPr>
        <w:t xml:space="preserve"> mēraparātiem</w:t>
      </w:r>
      <w:r w:rsidR="00825E3A">
        <w:rPr>
          <w:sz w:val="28"/>
          <w:szCs w:val="28"/>
          <w:lang w:val="lv-LV"/>
        </w:rPr>
        <w:t>.</w:t>
      </w:r>
      <w:r>
        <w:rPr>
          <w:sz w:val="28"/>
          <w:szCs w:val="28"/>
          <w:lang w:val="lv-LV"/>
        </w:rPr>
        <w:t xml:space="preserve"> Taču ņemot vērā datus par skaitītāju </w:t>
      </w:r>
      <w:r w:rsidR="00927F83">
        <w:rPr>
          <w:sz w:val="28"/>
          <w:szCs w:val="28"/>
          <w:lang w:val="lv-LV"/>
        </w:rPr>
        <w:t xml:space="preserve">atkārtoto </w:t>
      </w:r>
      <w:r>
        <w:rPr>
          <w:sz w:val="28"/>
          <w:szCs w:val="28"/>
          <w:lang w:val="lv-LV"/>
        </w:rPr>
        <w:t>verifikāciju (</w:t>
      </w:r>
      <w:r w:rsidRPr="00721709">
        <w:rPr>
          <w:sz w:val="28"/>
          <w:szCs w:val="28"/>
          <w:u w:val="single"/>
          <w:lang w:val="lv-LV"/>
        </w:rPr>
        <w:t>ņemot vērā inspicēšanas institūciju viedokļus tabulā norādītais īpatsvars reālajā situācijā būs lielāks</w:t>
      </w:r>
      <w:r>
        <w:rPr>
          <w:sz w:val="28"/>
          <w:szCs w:val="28"/>
          <w:lang w:val="lv-LV"/>
        </w:rPr>
        <w:t>), Ekonomikas ministrijas ieskatā šobrīd nav pamata</w:t>
      </w:r>
      <w:r w:rsidR="00C735A0">
        <w:rPr>
          <w:sz w:val="28"/>
          <w:szCs w:val="28"/>
          <w:lang w:val="lv-LV"/>
        </w:rPr>
        <w:t xml:space="preserve"> </w:t>
      </w:r>
      <w:r w:rsidRPr="00C735A0" w:rsidR="00C735A0">
        <w:rPr>
          <w:sz w:val="28"/>
          <w:szCs w:val="28"/>
          <w:u w:val="single"/>
          <w:lang w:val="lv-LV"/>
        </w:rPr>
        <w:t>visiem</w:t>
      </w:r>
      <w:r w:rsidR="00C735A0">
        <w:rPr>
          <w:sz w:val="28"/>
          <w:szCs w:val="28"/>
          <w:lang w:val="lv-LV"/>
        </w:rPr>
        <w:t xml:space="preserve"> mehāniskajiem skaitītājiem</w:t>
      </w:r>
      <w:r>
        <w:rPr>
          <w:sz w:val="28"/>
          <w:szCs w:val="28"/>
          <w:lang w:val="lv-LV"/>
        </w:rPr>
        <w:t xml:space="preserve"> pagarināt verifikācijas termi</w:t>
      </w:r>
      <w:r w:rsidR="00866C4B">
        <w:rPr>
          <w:sz w:val="28"/>
          <w:szCs w:val="28"/>
          <w:lang w:val="lv-LV"/>
        </w:rPr>
        <w:t>ņu uz 6 gadiem..</w:t>
      </w:r>
    </w:p>
    <w:p w:rsidR="00825E3A" w:rsidP="00721709">
      <w:pPr>
        <w:pStyle w:val="pamattekststabul"/>
        <w:spacing w:line="268" w:lineRule="auto"/>
        <w:ind w:firstLine="720"/>
        <w:contextualSpacing/>
        <w:jc w:val="both"/>
        <w:rPr>
          <w:sz w:val="28"/>
          <w:szCs w:val="28"/>
          <w:lang w:val="lv-LV"/>
        </w:rPr>
      </w:pPr>
      <w:r>
        <w:rPr>
          <w:sz w:val="28"/>
          <w:szCs w:val="28"/>
          <w:lang w:val="lv-LV"/>
        </w:rPr>
        <w:t xml:space="preserve">Vienlaikus </w:t>
      </w:r>
      <w:bookmarkStart w:id="1" w:name="_GoBack"/>
      <w:bookmarkEnd w:id="1"/>
      <w:r>
        <w:rPr>
          <w:sz w:val="28"/>
          <w:szCs w:val="28"/>
          <w:lang w:val="lv-LV"/>
        </w:rPr>
        <w:t xml:space="preserve">norādām, ka </w:t>
      </w:r>
      <w:r w:rsidRPr="00721709">
        <w:rPr>
          <w:sz w:val="28"/>
          <w:szCs w:val="28"/>
          <w:lang w:val="lv-LV"/>
        </w:rPr>
        <w:t xml:space="preserve">ārkārtīgi svarīgi skaitītāju verifikācijas termiņa noteikšanā balstīties nevis pieņēmumos, bet gan zinātniskos, tehniskos un praktiskos faktos un argumentos, jo šis jautājums skar tieši patērētāju intereses, </w:t>
      </w:r>
      <w:r w:rsidRPr="00721709">
        <w:rPr>
          <w:sz w:val="28"/>
          <w:szCs w:val="28"/>
          <w:lang w:val="lv-LV"/>
        </w:rPr>
        <w:t>proti, visus skaitītāju lietotājus. Nevar tikt pieļauta situācija, ka norēķini par patērēto ūdeni būtu pam</w:t>
      </w:r>
      <w:r w:rsidR="00C735A0">
        <w:rPr>
          <w:sz w:val="28"/>
          <w:szCs w:val="28"/>
          <w:lang w:val="lv-LV"/>
        </w:rPr>
        <w:t>atoti ar nekorektiem mērījumiem kā rezultātā palielinātos iedzīvotāju izdevumi par patērēto ūdens daudzumu.</w:t>
      </w:r>
    </w:p>
    <w:p w:rsidR="00721709" w:rsidP="00864F5C">
      <w:pPr>
        <w:pStyle w:val="pamattekststabul"/>
        <w:spacing w:line="268" w:lineRule="auto"/>
        <w:contextualSpacing/>
        <w:jc w:val="both"/>
        <w:rPr>
          <w:sz w:val="28"/>
          <w:szCs w:val="28"/>
          <w:lang w:val="lv-LV"/>
        </w:rPr>
      </w:pPr>
      <w:r>
        <w:rPr>
          <w:sz w:val="28"/>
          <w:szCs w:val="28"/>
          <w:lang w:val="lv-LV"/>
        </w:rPr>
        <w:tab/>
      </w:r>
      <w:r w:rsidR="00FE048E">
        <w:rPr>
          <w:sz w:val="28"/>
          <w:szCs w:val="28"/>
          <w:lang w:val="lv-LV"/>
        </w:rPr>
        <w:t xml:space="preserve">[2] Attiecībā uz komisijas aicinājumu skaitītāju verifikācijas jautājumu nodot pašvaldību un ūdens piegādes uzņēmumu pārziņā, Ekonomikas ministrija un </w:t>
      </w:r>
      <w:r w:rsidRPr="00FE048E" w:rsidR="00FE048E">
        <w:rPr>
          <w:sz w:val="28"/>
          <w:szCs w:val="28"/>
          <w:lang w:val="lv-LV"/>
        </w:rPr>
        <w:t>Sabiedrisko pakalpojumu regulēšanas komisija</w:t>
      </w:r>
      <w:r w:rsidR="00FE048E">
        <w:rPr>
          <w:sz w:val="28"/>
          <w:szCs w:val="28"/>
          <w:lang w:val="lv-LV"/>
        </w:rPr>
        <w:t xml:space="preserve"> norādīja, ka šis jautājums saistīts ar izmaiņām</w:t>
      </w:r>
      <w:r w:rsidRPr="00FE048E" w:rsidR="00FE048E">
        <w:rPr>
          <w:lang w:val="lv-LV"/>
        </w:rPr>
        <w:t xml:space="preserve"> </w:t>
      </w:r>
      <w:r w:rsidRPr="00FE048E" w:rsidR="00FE048E">
        <w:rPr>
          <w:sz w:val="28"/>
          <w:szCs w:val="28"/>
          <w:lang w:val="lv-LV"/>
        </w:rPr>
        <w:t>Ūdenssaimniecības pakalp</w:t>
      </w:r>
      <w:r w:rsidR="00FE048E">
        <w:rPr>
          <w:sz w:val="28"/>
          <w:szCs w:val="28"/>
          <w:lang w:val="lv-LV"/>
        </w:rPr>
        <w:t>ojumu likumā noteiktaj</w:t>
      </w:r>
      <w:r w:rsidR="00980631">
        <w:rPr>
          <w:sz w:val="28"/>
          <w:szCs w:val="28"/>
          <w:lang w:val="lv-LV"/>
        </w:rPr>
        <w:t xml:space="preserve">ās </w:t>
      </w:r>
      <w:r w:rsidR="00FE048E">
        <w:rPr>
          <w:sz w:val="28"/>
          <w:szCs w:val="28"/>
          <w:lang w:val="lv-LV"/>
        </w:rPr>
        <w:t>piederības robež</w:t>
      </w:r>
      <w:r w:rsidR="00980631">
        <w:rPr>
          <w:sz w:val="28"/>
          <w:szCs w:val="28"/>
          <w:lang w:val="lv-LV"/>
        </w:rPr>
        <w:t xml:space="preserve">ās un aicināja šī jautājuma vērtēšanai pieaicināt atbildīgo ministriju, proti, </w:t>
      </w:r>
      <w:r w:rsidRPr="00980631" w:rsidR="00980631">
        <w:rPr>
          <w:sz w:val="28"/>
          <w:szCs w:val="28"/>
          <w:lang w:val="lv-LV"/>
        </w:rPr>
        <w:t>Vides aizsardzības un r</w:t>
      </w:r>
      <w:r w:rsidR="00980631">
        <w:rPr>
          <w:sz w:val="28"/>
          <w:szCs w:val="28"/>
          <w:lang w:val="lv-LV"/>
        </w:rPr>
        <w:t xml:space="preserve">eģionālas attīstības ministriju. Vienlaikus norādām, ka Ekonomikas ministrijas ieskatā šāda pieeja </w:t>
      </w:r>
      <w:r w:rsidRPr="00980631" w:rsidR="00980631">
        <w:rPr>
          <w:sz w:val="28"/>
          <w:szCs w:val="28"/>
          <w:lang w:val="lv-LV"/>
        </w:rPr>
        <w:t xml:space="preserve">veidos lielas neskaidrības </w:t>
      </w:r>
      <w:r w:rsidR="00980631">
        <w:rPr>
          <w:sz w:val="28"/>
          <w:szCs w:val="28"/>
          <w:lang w:val="lv-LV"/>
        </w:rPr>
        <w:t xml:space="preserve">skaitītāju </w:t>
      </w:r>
      <w:r w:rsidRPr="00980631" w:rsidR="00980631">
        <w:rPr>
          <w:sz w:val="28"/>
          <w:szCs w:val="28"/>
          <w:lang w:val="lv-LV"/>
        </w:rPr>
        <w:t>verifikācijas jautājumā kā rezultāta var izveidoties pat</w:t>
      </w:r>
      <w:r w:rsidR="00980631">
        <w:rPr>
          <w:sz w:val="28"/>
          <w:szCs w:val="28"/>
          <w:lang w:val="lv-LV"/>
        </w:rPr>
        <w:t xml:space="preserve">ērētājiem nelabvēlīga situācija, </w:t>
      </w:r>
      <w:r w:rsidRPr="00980631" w:rsidR="00980631">
        <w:rPr>
          <w:sz w:val="28"/>
          <w:szCs w:val="28"/>
          <w:lang w:val="lv-LV"/>
        </w:rPr>
        <w:t>tiks ievērojami apgrūtināta ūdens skaitītāju tirgus uzraudzība (teritoriālais sadalījums un to robežas)</w:t>
      </w:r>
      <w:r w:rsidR="00980631">
        <w:rPr>
          <w:sz w:val="28"/>
          <w:szCs w:val="28"/>
          <w:lang w:val="lv-LV"/>
        </w:rPr>
        <w:t xml:space="preserve"> kā arī var izveidoties situācija, ka</w:t>
      </w:r>
      <w:r w:rsidRPr="00980631" w:rsidR="00980631">
        <w:rPr>
          <w:lang w:val="lv-LV"/>
        </w:rPr>
        <w:t xml:space="preserve"> </w:t>
      </w:r>
      <w:r w:rsidRPr="00980631" w:rsidR="00980631">
        <w:rPr>
          <w:sz w:val="28"/>
          <w:szCs w:val="28"/>
          <w:lang w:val="lv-LV"/>
        </w:rPr>
        <w:t>skaitītāju verifikācijas termiņš tiek noteikts balstoties uz finansiālo aspektu nevis skaitītāja ietekmējošiem faktoriem.</w:t>
      </w:r>
    </w:p>
    <w:p w:rsidR="00864F5C" w:rsidRPr="00872981" w:rsidP="00864F5C">
      <w:pPr>
        <w:pStyle w:val="pamattekststabul"/>
        <w:spacing w:line="268" w:lineRule="auto"/>
        <w:contextualSpacing/>
        <w:jc w:val="both"/>
        <w:rPr>
          <w:sz w:val="28"/>
          <w:szCs w:val="28"/>
          <w:u w:val="single"/>
          <w:lang w:val="lv-LV"/>
        </w:rPr>
      </w:pPr>
      <w:r>
        <w:rPr>
          <w:sz w:val="28"/>
          <w:szCs w:val="28"/>
          <w:lang w:val="lv-LV"/>
        </w:rPr>
        <w:t xml:space="preserve"> </w:t>
      </w:r>
      <w:r w:rsidRPr="00872981" w:rsidR="00872981">
        <w:rPr>
          <w:sz w:val="28"/>
          <w:szCs w:val="28"/>
          <w:u w:val="single"/>
          <w:lang w:val="lv-LV"/>
        </w:rPr>
        <w:t xml:space="preserve">  </w:t>
      </w:r>
    </w:p>
    <w:p w:rsidR="00864F5C" w:rsidP="00864F5C">
      <w:pPr>
        <w:pStyle w:val="pamattekststabul"/>
        <w:spacing w:before="0" w:beforeAutospacing="0" w:after="0" w:afterAutospacing="0"/>
        <w:jc w:val="both"/>
        <w:rPr>
          <w:bCs/>
          <w:sz w:val="28"/>
          <w:szCs w:val="28"/>
          <w:lang w:val="lv-LV"/>
        </w:rPr>
      </w:pPr>
    </w:p>
    <w:p w:rsidR="00980631" w:rsidP="00864F5C">
      <w:pPr>
        <w:widowControl/>
        <w:tabs>
          <w:tab w:val="right" w:pos="9071"/>
        </w:tabs>
        <w:spacing w:after="0"/>
        <w:rPr>
          <w:rFonts w:ascii="Times New Roman" w:hAnsi="Times New Roman" w:eastAsiaTheme="minorHAnsi"/>
          <w:sz w:val="28"/>
          <w:szCs w:val="28"/>
        </w:rPr>
      </w:pPr>
      <w:r w:rsidRPr="0087512B">
        <w:rPr>
          <w:rFonts w:ascii="Times New Roman" w:hAnsi="Times New Roman" w:eastAsiaTheme="minorHAnsi"/>
          <w:sz w:val="28"/>
          <w:szCs w:val="28"/>
        </w:rPr>
        <w:t>Ministru prezident</w:t>
      </w:r>
      <w:r>
        <w:rPr>
          <w:rFonts w:ascii="Times New Roman" w:hAnsi="Times New Roman" w:eastAsiaTheme="minorHAnsi"/>
          <w:sz w:val="28"/>
          <w:szCs w:val="28"/>
        </w:rPr>
        <w:t>a biedrs</w:t>
      </w:r>
      <w:r w:rsidRPr="0087512B">
        <w:rPr>
          <w:rFonts w:ascii="Times New Roman" w:hAnsi="Times New Roman" w:eastAsiaTheme="minorHAnsi"/>
          <w:sz w:val="28"/>
          <w:szCs w:val="28"/>
        </w:rPr>
        <w:t xml:space="preserve">, </w:t>
      </w:r>
    </w:p>
    <w:p w:rsidR="00864F5C" w:rsidRPr="0087512B" w:rsidP="00864F5C">
      <w:pPr>
        <w:widowControl/>
        <w:tabs>
          <w:tab w:val="right" w:pos="9071"/>
        </w:tabs>
        <w:spacing w:after="0"/>
        <w:rPr>
          <w:rFonts w:ascii="Times New Roman" w:hAnsi="Times New Roman" w:eastAsiaTheme="minorHAnsi"/>
          <w:sz w:val="28"/>
          <w:szCs w:val="28"/>
        </w:rPr>
      </w:pPr>
      <w:r>
        <w:rPr>
          <w:rFonts w:ascii="Times New Roman" w:hAnsi="Times New Roman" w:eastAsiaTheme="minorHAnsi"/>
          <w:sz w:val="28"/>
          <w:szCs w:val="28"/>
        </w:rPr>
        <w:t>Ekonomikas ministrs</w:t>
      </w:r>
      <w:r w:rsidRPr="0087512B" w:rsidR="005673C5">
        <w:rPr>
          <w:rFonts w:ascii="Times New Roman" w:hAnsi="Times New Roman" w:eastAsiaTheme="minorHAnsi"/>
          <w:sz w:val="28"/>
          <w:szCs w:val="28"/>
        </w:rPr>
        <w:tab/>
      </w:r>
      <w:r>
        <w:rPr>
          <w:rFonts w:ascii="Times New Roman" w:hAnsi="Times New Roman" w:eastAsiaTheme="minorHAnsi"/>
          <w:sz w:val="28"/>
          <w:szCs w:val="28"/>
        </w:rPr>
        <w:t>A.Ašeradens</w:t>
      </w:r>
    </w:p>
    <w:p w:rsidR="00864F5C" w:rsidRPr="00C52A88" w:rsidP="00864F5C">
      <w:pPr>
        <w:widowControl/>
        <w:tabs>
          <w:tab w:val="right" w:pos="9071"/>
        </w:tabs>
        <w:spacing w:after="0"/>
        <w:rPr>
          <w:rFonts w:ascii="Times New Roman" w:hAnsi="Times New Roman" w:eastAsiaTheme="minorHAnsi"/>
          <w:sz w:val="28"/>
          <w:szCs w:val="28"/>
        </w:rPr>
      </w:pPr>
      <w:r>
        <w:rPr>
          <w:rFonts w:ascii="Times New Roman" w:hAnsi="Times New Roman" w:eastAsiaTheme="minorHAnsi"/>
          <w:sz w:val="28"/>
          <w:szCs w:val="28"/>
        </w:rPr>
        <w:tab/>
      </w:r>
    </w:p>
    <w:p w:rsidR="00864F5C" w:rsidRPr="00C52A88" w:rsidP="00864F5C">
      <w:pPr>
        <w:widowControl/>
        <w:spacing w:after="0"/>
        <w:rPr>
          <w:rFonts w:ascii="Times New Roman" w:hAnsi="Times New Roman" w:eastAsiaTheme="minorHAnsi"/>
          <w:sz w:val="28"/>
          <w:szCs w:val="28"/>
        </w:rPr>
      </w:pPr>
    </w:p>
    <w:p w:rsidR="00864F5C" w:rsidP="00864F5C">
      <w:pPr>
        <w:widowControl/>
        <w:tabs>
          <w:tab w:val="right" w:pos="8647"/>
          <w:tab w:val="right" w:pos="9071"/>
        </w:tabs>
        <w:spacing w:after="0"/>
        <w:rPr>
          <w:rFonts w:ascii="Times New Roman" w:hAnsi="Times New Roman" w:eastAsiaTheme="minorHAnsi"/>
          <w:sz w:val="28"/>
          <w:szCs w:val="28"/>
        </w:rPr>
      </w:pPr>
      <w:r>
        <w:rPr>
          <w:rFonts w:ascii="Times New Roman" w:hAnsi="Times New Roman" w:eastAsiaTheme="minorHAnsi"/>
          <w:sz w:val="28"/>
          <w:szCs w:val="28"/>
        </w:rPr>
        <w:t xml:space="preserve">Iesniedzējs: </w:t>
      </w:r>
      <w:r w:rsidR="00980631">
        <w:rPr>
          <w:rFonts w:ascii="Times New Roman" w:hAnsi="Times New Roman" w:eastAsiaTheme="minorHAnsi"/>
          <w:sz w:val="28"/>
          <w:szCs w:val="28"/>
        </w:rPr>
        <w:t>Ekonomikas ministrijas</w:t>
      </w:r>
      <w:r>
        <w:rPr>
          <w:rFonts w:ascii="Times New Roman" w:hAnsi="Times New Roman" w:eastAsiaTheme="minorHAnsi"/>
          <w:sz w:val="28"/>
          <w:szCs w:val="28"/>
        </w:rPr>
        <w:t xml:space="preserve"> valsts sekretārs </w:t>
      </w:r>
      <w:r>
        <w:rPr>
          <w:rFonts w:ascii="Times New Roman" w:hAnsi="Times New Roman" w:eastAsiaTheme="minorHAnsi"/>
          <w:sz w:val="28"/>
          <w:szCs w:val="28"/>
        </w:rPr>
        <w:tab/>
      </w:r>
      <w:r w:rsidR="00980631">
        <w:rPr>
          <w:rFonts w:ascii="Times New Roman" w:hAnsi="Times New Roman" w:eastAsiaTheme="minorHAnsi"/>
          <w:sz w:val="28"/>
          <w:szCs w:val="28"/>
        </w:rPr>
        <w:t>J.Stinka</w:t>
      </w:r>
    </w:p>
    <w:p w:rsidR="00864F5C" w:rsidRPr="00BD743E" w:rsidP="00864F5C">
      <w:pPr>
        <w:pStyle w:val="pamattekststabul"/>
        <w:spacing w:before="0" w:beforeAutospacing="0" w:after="0" w:afterAutospacing="0"/>
        <w:jc w:val="both"/>
        <w:rPr>
          <w:sz w:val="28"/>
          <w:szCs w:val="28"/>
          <w:lang w:val="lv-LV"/>
        </w:rPr>
      </w:pPr>
    </w:p>
    <w:p w:rsidR="00864F5C" w:rsidRPr="00FE7219" w:rsidP="00864F5C">
      <w:pPr>
        <w:pStyle w:val="pamattekststabul"/>
        <w:spacing w:line="269" w:lineRule="auto"/>
        <w:contextualSpacing/>
        <w:jc w:val="both"/>
        <w:rPr>
          <w:bCs/>
          <w:sz w:val="28"/>
          <w:szCs w:val="28"/>
          <w:lang w:val="lv-LV"/>
        </w:rPr>
      </w:pPr>
    </w:p>
    <w:p w:rsidR="00864F5C" w:rsidRPr="000D1BF1" w:rsidP="00864F5C">
      <w:pPr>
        <w:spacing w:after="0" w:line="240" w:lineRule="auto"/>
        <w:rPr>
          <w:rFonts w:ascii="Times New Roman" w:eastAsia="Times New Roman" w:hAnsi="Times New Roman"/>
          <w:b/>
          <w:sz w:val="28"/>
          <w:szCs w:val="28"/>
        </w:rPr>
      </w:pPr>
    </w:p>
    <w:p w:rsidR="00864F5C" w:rsidP="00864F5C">
      <w:pPr>
        <w:spacing w:after="0" w:line="240" w:lineRule="auto"/>
        <w:rPr>
          <w:rFonts w:ascii="Times New Roman" w:eastAsia="Times New Roman" w:hAnsi="Times New Roman"/>
          <w:sz w:val="24"/>
          <w:szCs w:val="24"/>
        </w:rPr>
      </w:pPr>
    </w:p>
    <w:p w:rsidR="00B72815" w:rsidRPr="00A57B8B" w:rsidP="00B72815">
      <w:pPr>
        <w:spacing w:after="0" w:line="240" w:lineRule="auto"/>
        <w:rPr>
          <w:rFonts w:ascii="Times New Roman" w:eastAsia="Times New Roman" w:hAnsi="Times New Roman"/>
          <w:sz w:val="24"/>
          <w:szCs w:val="24"/>
        </w:rPr>
      </w:pPr>
    </w:p>
    <w:p w:rsidR="00864F5C" w:rsidP="00864F5C">
      <w:pPr>
        <w:spacing w:after="0"/>
        <w:rPr>
          <w:rFonts w:ascii="Times New Roman" w:hAnsi="Times New Roman"/>
          <w:sz w:val="28"/>
          <w:szCs w:val="28"/>
        </w:rPr>
      </w:pPr>
    </w:p>
    <w:p w:rsidR="00864F5C" w:rsidRPr="00864F5C" w:rsidP="00864F5C">
      <w:pPr>
        <w:keepNext/>
        <w:outlineLvl w:val="1"/>
        <w:rPr>
          <w:rFonts w:ascii="Times New Roman" w:eastAsia="Times New Roman" w:hAnsi="Times New Roman"/>
          <w:sz w:val="28"/>
          <w:szCs w:val="28"/>
        </w:rPr>
      </w:pPr>
    </w:p>
    <w:p w:rsidR="00511C4F" w:rsidRPr="00864F5C" w:rsidP="00864F5C"/>
    <w:sectPr w:rsidSect="00EF0942">
      <w:headerReference w:type="default" r:id="rId5"/>
      <w:footerReference w:type="default" r:id="rId6"/>
      <w:pgSz w:w="11906" w:h="16838"/>
      <w:pgMar w:top="1134" w:right="1134"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32D4" w:rsidP="008932D4">
    <w:pPr>
      <w:pStyle w:val="Footer"/>
      <w:jc w:val="both"/>
    </w:pPr>
    <w:r>
      <w:rPr>
        <w:rFonts w:ascii="Times New Roman" w:hAnsi="Times New Roman"/>
        <w:sz w:val="20"/>
        <w:szCs w:val="20"/>
      </w:rPr>
      <w:t>EM</w:t>
    </w:r>
    <w:r w:rsidR="00C20B39">
      <w:rPr>
        <w:rFonts w:ascii="Times New Roman" w:hAnsi="Times New Roman"/>
        <w:sz w:val="20"/>
        <w:szCs w:val="20"/>
      </w:rPr>
      <w:t>vest</w:t>
    </w:r>
    <w:r w:rsidRPr="00FF752F" w:rsidR="005673C5">
      <w:rPr>
        <w:rFonts w:ascii="Times New Roman" w:hAnsi="Times New Roman"/>
        <w:sz w:val="20"/>
        <w:szCs w:val="20"/>
      </w:rPr>
      <w:t>_</w:t>
    </w:r>
    <w:r>
      <w:rPr>
        <w:rFonts w:ascii="Times New Roman" w:hAnsi="Times New Roman"/>
        <w:sz w:val="20"/>
        <w:szCs w:val="20"/>
      </w:rPr>
      <w:t>280318</w:t>
    </w:r>
    <w:r w:rsidR="005673C5">
      <w:rPr>
        <w:rFonts w:ascii="Times New Roman" w:hAnsi="Times New Roman"/>
        <w:sz w:val="20"/>
        <w:szCs w:val="20"/>
      </w:rPr>
      <w:t>_</w:t>
    </w:r>
    <w:r>
      <w:rPr>
        <w:rFonts w:ascii="Times New Roman" w:hAnsi="Times New Roman"/>
        <w:sz w:val="20"/>
        <w:szCs w:val="20"/>
      </w:rPr>
      <w:t>udens_skaititaji</w:t>
    </w:r>
  </w:p>
  <w:p w:rsidR="00864F5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53063919"/>
      <w:docPartObj>
        <w:docPartGallery w:val="Page Numbers (Top of Page)"/>
        <w:docPartUnique/>
      </w:docPartObj>
    </w:sdtPr>
    <w:sdtEndPr>
      <w:rPr>
        <w:rFonts w:ascii="Times New Roman" w:hAnsi="Times New Roman"/>
        <w:noProof/>
        <w:sz w:val="24"/>
        <w:szCs w:val="24"/>
      </w:rPr>
    </w:sdtEndPr>
    <w:sdtContent>
      <w:p w:rsidR="00EF0942" w:rsidRPr="00EF0942">
        <w:pPr>
          <w:pStyle w:val="Header"/>
          <w:jc w:val="center"/>
          <w:rPr>
            <w:rFonts w:ascii="Times New Roman" w:hAnsi="Times New Roman"/>
            <w:sz w:val="24"/>
            <w:szCs w:val="24"/>
          </w:rPr>
        </w:pPr>
        <w:r w:rsidRPr="00EF0942">
          <w:rPr>
            <w:rFonts w:ascii="Times New Roman" w:hAnsi="Times New Roman"/>
            <w:sz w:val="24"/>
            <w:szCs w:val="24"/>
          </w:rPr>
          <w:fldChar w:fldCharType="begin"/>
        </w:r>
        <w:r w:rsidRPr="00EF0942">
          <w:rPr>
            <w:rFonts w:ascii="Times New Roman" w:hAnsi="Times New Roman"/>
            <w:sz w:val="24"/>
            <w:szCs w:val="24"/>
          </w:rPr>
          <w:instrText xml:space="preserve"> PAGE   \* MERGEFORMAT </w:instrText>
        </w:r>
        <w:r w:rsidRPr="00EF0942">
          <w:rPr>
            <w:rFonts w:ascii="Times New Roman" w:hAnsi="Times New Roman"/>
            <w:sz w:val="24"/>
            <w:szCs w:val="24"/>
          </w:rPr>
          <w:fldChar w:fldCharType="separate"/>
        </w:r>
        <w:r w:rsidR="00962931">
          <w:rPr>
            <w:rFonts w:ascii="Times New Roman" w:hAnsi="Times New Roman"/>
            <w:noProof/>
            <w:sz w:val="24"/>
            <w:szCs w:val="24"/>
          </w:rPr>
          <w:t>3</w:t>
        </w:r>
        <w:r w:rsidRPr="00EF0942">
          <w:rPr>
            <w:rFonts w:ascii="Times New Roman" w:hAnsi="Times New Roman"/>
            <w:noProof/>
            <w:sz w:val="24"/>
            <w:szCs w:val="24"/>
          </w:rPr>
          <w:fldChar w:fldCharType="end"/>
        </w:r>
      </w:p>
    </w:sdtContent>
  </w:sdt>
  <w:p w:rsidR="00EF0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98651B"/>
    <w:multiLevelType w:val="hybridMultilevel"/>
    <w:tmpl w:val="2584A9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1E4038D0"/>
    <w:multiLevelType w:val="hybridMultilevel"/>
    <w:tmpl w:val="7EAE60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1">
    <w:nsid w:val="3D9B119F"/>
    <w:multiLevelType w:val="hybridMultilevel"/>
    <w:tmpl w:val="C6DA3B56"/>
    <w:lvl w:ilvl="0">
      <w:start w:val="5"/>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1">
    <w:nsid w:val="670E5F7D"/>
    <w:multiLevelType w:val="hybridMultilevel"/>
    <w:tmpl w:val="0C509364"/>
    <w:lvl w:ilvl="0">
      <w:start w:val="1"/>
      <w:numFmt w:val="bullet"/>
      <w:lvlText w:val=""/>
      <w:lvlJc w:val="left"/>
      <w:pPr>
        <w:ind w:left="788" w:hanging="360"/>
      </w:pPr>
      <w:rPr>
        <w:rFonts w:ascii="Symbol" w:hAnsi="Symbol" w:hint="default"/>
      </w:rPr>
    </w:lvl>
    <w:lvl w:ilvl="1" w:tentative="1">
      <w:start w:val="1"/>
      <w:numFmt w:val="bullet"/>
      <w:lvlText w:val="o"/>
      <w:lvlJc w:val="left"/>
      <w:pPr>
        <w:ind w:left="1508" w:hanging="360"/>
      </w:pPr>
      <w:rPr>
        <w:rFonts w:ascii="Courier New" w:hAnsi="Courier New" w:cs="Courier New" w:hint="default"/>
      </w:rPr>
    </w:lvl>
    <w:lvl w:ilvl="2" w:tentative="1">
      <w:start w:val="1"/>
      <w:numFmt w:val="bullet"/>
      <w:lvlText w:val=""/>
      <w:lvlJc w:val="left"/>
      <w:pPr>
        <w:ind w:left="2228" w:hanging="360"/>
      </w:pPr>
      <w:rPr>
        <w:rFonts w:ascii="Wingdings" w:hAnsi="Wingdings" w:hint="default"/>
      </w:rPr>
    </w:lvl>
    <w:lvl w:ilvl="3" w:tentative="1">
      <w:start w:val="1"/>
      <w:numFmt w:val="bullet"/>
      <w:lvlText w:val=""/>
      <w:lvlJc w:val="left"/>
      <w:pPr>
        <w:ind w:left="2948" w:hanging="360"/>
      </w:pPr>
      <w:rPr>
        <w:rFonts w:ascii="Symbol" w:hAnsi="Symbol" w:hint="default"/>
      </w:rPr>
    </w:lvl>
    <w:lvl w:ilvl="4" w:tentative="1">
      <w:start w:val="1"/>
      <w:numFmt w:val="bullet"/>
      <w:lvlText w:val="o"/>
      <w:lvlJc w:val="left"/>
      <w:pPr>
        <w:ind w:left="3668" w:hanging="360"/>
      </w:pPr>
      <w:rPr>
        <w:rFonts w:ascii="Courier New" w:hAnsi="Courier New" w:cs="Courier New" w:hint="default"/>
      </w:rPr>
    </w:lvl>
    <w:lvl w:ilvl="5" w:tentative="1">
      <w:start w:val="1"/>
      <w:numFmt w:val="bullet"/>
      <w:lvlText w:val=""/>
      <w:lvlJc w:val="left"/>
      <w:pPr>
        <w:ind w:left="4388" w:hanging="360"/>
      </w:pPr>
      <w:rPr>
        <w:rFonts w:ascii="Wingdings" w:hAnsi="Wingdings" w:hint="default"/>
      </w:rPr>
    </w:lvl>
    <w:lvl w:ilvl="6" w:tentative="1">
      <w:start w:val="1"/>
      <w:numFmt w:val="bullet"/>
      <w:lvlText w:val=""/>
      <w:lvlJc w:val="left"/>
      <w:pPr>
        <w:ind w:left="5108" w:hanging="360"/>
      </w:pPr>
      <w:rPr>
        <w:rFonts w:ascii="Symbol" w:hAnsi="Symbol" w:hint="default"/>
      </w:rPr>
    </w:lvl>
    <w:lvl w:ilvl="7" w:tentative="1">
      <w:start w:val="1"/>
      <w:numFmt w:val="bullet"/>
      <w:lvlText w:val="o"/>
      <w:lvlJc w:val="left"/>
      <w:pPr>
        <w:ind w:left="5828" w:hanging="360"/>
      </w:pPr>
      <w:rPr>
        <w:rFonts w:ascii="Courier New" w:hAnsi="Courier New" w:cs="Courier New" w:hint="default"/>
      </w:rPr>
    </w:lvl>
    <w:lvl w:ilvl="8" w:tentative="1">
      <w:start w:val="1"/>
      <w:numFmt w:val="bullet"/>
      <w:lvlText w:val=""/>
      <w:lvlJc w:val="left"/>
      <w:pPr>
        <w:ind w:left="6548" w:hanging="360"/>
      </w:pPr>
      <w:rPr>
        <w:rFonts w:ascii="Wingdings" w:hAnsi="Wingdings" w:hint="default"/>
      </w:rPr>
    </w:lvl>
  </w:abstractNum>
  <w:abstractNum w:abstractNumId="4" w15:restartNumberingAfterBreak="1">
    <w:nsid w:val="6E580424"/>
    <w:multiLevelType w:val="hybridMultilevel"/>
    <w:tmpl w:val="F46461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39"/>
    <w:rsid w:val="00077932"/>
    <w:rsid w:val="00092DC3"/>
    <w:rsid w:val="000B6625"/>
    <w:rsid w:val="000D1BF1"/>
    <w:rsid w:val="000D3C8F"/>
    <w:rsid w:val="00103C9B"/>
    <w:rsid w:val="001118EE"/>
    <w:rsid w:val="00155555"/>
    <w:rsid w:val="002246BE"/>
    <w:rsid w:val="002C65B5"/>
    <w:rsid w:val="002F7C1C"/>
    <w:rsid w:val="00325532"/>
    <w:rsid w:val="00341AC0"/>
    <w:rsid w:val="00382ED3"/>
    <w:rsid w:val="003A1215"/>
    <w:rsid w:val="003B462C"/>
    <w:rsid w:val="003B5F39"/>
    <w:rsid w:val="003C4211"/>
    <w:rsid w:val="003D14AE"/>
    <w:rsid w:val="003F2476"/>
    <w:rsid w:val="00412EE7"/>
    <w:rsid w:val="00474712"/>
    <w:rsid w:val="004A1D02"/>
    <w:rsid w:val="004D76A2"/>
    <w:rsid w:val="004F0471"/>
    <w:rsid w:val="00511C4F"/>
    <w:rsid w:val="005673C5"/>
    <w:rsid w:val="00575162"/>
    <w:rsid w:val="005E70EE"/>
    <w:rsid w:val="0061314B"/>
    <w:rsid w:val="0064078D"/>
    <w:rsid w:val="0065400E"/>
    <w:rsid w:val="006C181F"/>
    <w:rsid w:val="006E1D2F"/>
    <w:rsid w:val="006F3A6B"/>
    <w:rsid w:val="0070649D"/>
    <w:rsid w:val="00721709"/>
    <w:rsid w:val="00723532"/>
    <w:rsid w:val="007C380F"/>
    <w:rsid w:val="007F3707"/>
    <w:rsid w:val="00825E3A"/>
    <w:rsid w:val="00836F78"/>
    <w:rsid w:val="00840482"/>
    <w:rsid w:val="00853526"/>
    <w:rsid w:val="00864F5C"/>
    <w:rsid w:val="00866C4B"/>
    <w:rsid w:val="00872981"/>
    <w:rsid w:val="0087512B"/>
    <w:rsid w:val="008932D4"/>
    <w:rsid w:val="008E7D9C"/>
    <w:rsid w:val="00913FC6"/>
    <w:rsid w:val="00927F83"/>
    <w:rsid w:val="0093681E"/>
    <w:rsid w:val="0095373C"/>
    <w:rsid w:val="00962931"/>
    <w:rsid w:val="00975F1E"/>
    <w:rsid w:val="00980631"/>
    <w:rsid w:val="009D7E4B"/>
    <w:rsid w:val="009F033B"/>
    <w:rsid w:val="009F2C18"/>
    <w:rsid w:val="00A378E0"/>
    <w:rsid w:val="00A50642"/>
    <w:rsid w:val="00A57B8B"/>
    <w:rsid w:val="00A66554"/>
    <w:rsid w:val="00A66A43"/>
    <w:rsid w:val="00B153F7"/>
    <w:rsid w:val="00B72815"/>
    <w:rsid w:val="00B9264F"/>
    <w:rsid w:val="00B95734"/>
    <w:rsid w:val="00BD06E8"/>
    <w:rsid w:val="00BD743E"/>
    <w:rsid w:val="00BE12C9"/>
    <w:rsid w:val="00C20B39"/>
    <w:rsid w:val="00C223A8"/>
    <w:rsid w:val="00C52A88"/>
    <w:rsid w:val="00C735A0"/>
    <w:rsid w:val="00C9241A"/>
    <w:rsid w:val="00C97BE8"/>
    <w:rsid w:val="00CB51E9"/>
    <w:rsid w:val="00D00974"/>
    <w:rsid w:val="00D848B8"/>
    <w:rsid w:val="00DF245F"/>
    <w:rsid w:val="00E10C5D"/>
    <w:rsid w:val="00E92E6E"/>
    <w:rsid w:val="00E94636"/>
    <w:rsid w:val="00EB0A99"/>
    <w:rsid w:val="00EF0942"/>
    <w:rsid w:val="00F1351C"/>
    <w:rsid w:val="00F55CAF"/>
    <w:rsid w:val="00FE048E"/>
    <w:rsid w:val="00FE7219"/>
    <w:rsid w:val="00FF1570"/>
    <w:rsid w:val="00FF752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095C53C4-28CA-4337-8204-7E67E8EC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F5C"/>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mattekststabul">
    <w:name w:val="pamattekststabul"/>
    <w:basedOn w:val="Normal"/>
    <w:rsid w:val="00864F5C"/>
    <w:pPr>
      <w:widowControl/>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59"/>
    <w:rsid w:val="00864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F5C"/>
    <w:pPr>
      <w:ind w:left="720"/>
      <w:contextualSpacing/>
    </w:pPr>
  </w:style>
  <w:style w:type="paragraph" w:styleId="Header">
    <w:name w:val="header"/>
    <w:basedOn w:val="Normal"/>
    <w:link w:val="HeaderChar"/>
    <w:uiPriority w:val="99"/>
    <w:unhideWhenUsed/>
    <w:rsid w:val="00864F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4F5C"/>
    <w:rPr>
      <w:rFonts w:ascii="Calibri" w:eastAsia="Calibri" w:hAnsi="Calibri" w:cs="Times New Roman"/>
    </w:rPr>
  </w:style>
  <w:style w:type="paragraph" w:styleId="Footer">
    <w:name w:val="footer"/>
    <w:basedOn w:val="Normal"/>
    <w:link w:val="FooterChar"/>
    <w:uiPriority w:val="99"/>
    <w:unhideWhenUsed/>
    <w:rsid w:val="00864F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4F5C"/>
    <w:rPr>
      <w:rFonts w:ascii="Calibri" w:eastAsia="Calibri" w:hAnsi="Calibri" w:cs="Times New Roman"/>
    </w:rPr>
  </w:style>
  <w:style w:type="character" w:styleId="CommentReference">
    <w:name w:val="annotation reference"/>
    <w:basedOn w:val="DefaultParagraphFont"/>
    <w:uiPriority w:val="99"/>
    <w:semiHidden/>
    <w:unhideWhenUsed/>
    <w:rsid w:val="00FF1570"/>
    <w:rPr>
      <w:sz w:val="16"/>
      <w:szCs w:val="16"/>
    </w:rPr>
  </w:style>
  <w:style w:type="paragraph" w:styleId="CommentText">
    <w:name w:val="annotation text"/>
    <w:basedOn w:val="Normal"/>
    <w:link w:val="CommentTextChar"/>
    <w:uiPriority w:val="99"/>
    <w:unhideWhenUsed/>
    <w:rsid w:val="00FF1570"/>
    <w:pPr>
      <w:spacing w:line="240" w:lineRule="auto"/>
    </w:pPr>
    <w:rPr>
      <w:sz w:val="20"/>
      <w:szCs w:val="20"/>
    </w:rPr>
  </w:style>
  <w:style w:type="character" w:customStyle="1" w:styleId="CommentTextChar">
    <w:name w:val="Comment Text Char"/>
    <w:basedOn w:val="DefaultParagraphFont"/>
    <w:link w:val="CommentText"/>
    <w:uiPriority w:val="99"/>
    <w:rsid w:val="00FF157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F1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570"/>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FF1570"/>
    <w:rPr>
      <w:b/>
      <w:bCs/>
    </w:rPr>
  </w:style>
  <w:style w:type="character" w:customStyle="1" w:styleId="CommentSubjectChar">
    <w:name w:val="Comment Subject Char"/>
    <w:basedOn w:val="CommentTextChar"/>
    <w:link w:val="CommentSubject"/>
    <w:uiPriority w:val="99"/>
    <w:semiHidden/>
    <w:rsid w:val="00FF157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2A23-B425-4758-9D03-F99553BD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3715</Words>
  <Characters>2119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Paeglīte</dc:creator>
  <cp:lastModifiedBy>Valdis Lipskis</cp:lastModifiedBy>
  <cp:revision>9</cp:revision>
  <dcterms:created xsi:type="dcterms:W3CDTF">2018-03-27T13:42:00Z</dcterms:created>
  <dcterms:modified xsi:type="dcterms:W3CDTF">2018-03-28T14:19:00Z</dcterms:modified>
</cp:coreProperties>
</file>