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10.xml" ContentType="application/xml"/>
  <Override PartName="/customXml/item11.xml" ContentType="application/xml"/>
  <Override PartName="/customXml/item12.xml" ContentType="application/xml"/>
  <Override PartName="/customXml/item13.xml" ContentType="application/xml"/>
  <Override PartName="/customXml/item14.xml" ContentType="application/xml"/>
  <Override PartName="/customXml/item15.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8.xml" ContentType="application/xml"/>
  <Override PartName="/customXml/item9.xml" ContentType="application/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style1.xml" ContentType="application/vnd.ms-office.chartstyle+xml"/>
  <Override PartName="/word/charts/chart/style2.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 -->
  <w:body>
    <w:p w:rsidR="0050285A" w:rsidRPr="005565F8" w:rsidP="005B1B26" w14:paraId="1BD42A1F" w14:textId="77777777">
      <w:pPr>
        <w:rPr>
          <w:rFonts w:ascii="Times New Roman Bold" w:hAnsi="Times New Roman Bold"/>
          <w:b/>
        </w:rPr>
      </w:pPr>
      <w:r w:rsidRPr="005565F8">
        <w:rPr>
          <w:noProof/>
          <w:lang w:eastAsia="lv-LV"/>
        </w:rPr>
        <w:drawing>
          <wp:anchor distT="0" distB="0" distL="114300" distR="114300" simplePos="0" relativeHeight="251658240" behindDoc="1" locked="0" layoutInCell="1" allowOverlap="1">
            <wp:simplePos x="0" y="0"/>
            <wp:positionH relativeFrom="page">
              <wp:posOffset>-3810</wp:posOffset>
            </wp:positionH>
            <wp:positionV relativeFrom="page">
              <wp:posOffset>9525</wp:posOffset>
            </wp:positionV>
            <wp:extent cx="7559675" cy="10706100"/>
            <wp:effectExtent l="0" t="0" r="9525" b="12700"/>
            <wp:wrapNone/>
            <wp:docPr id="4" name="Picture 4" descr="C:\Users\GergelevicsE\Desktop\nrp-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97180" name="Picture 1" descr="C:\Users\GergelevicsE\Desktop\nrp-2018.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5967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5F8" w:rsidR="005B1B26">
        <w:rPr>
          <w:rFonts w:ascii="Times New Roman Bold" w:hAnsi="Times New Roman Bold"/>
          <w:b/>
        </w:rPr>
        <w:t xml:space="preserve"> </w:t>
      </w:r>
      <w:r w:rsidRPr="005565F8">
        <w:rPr>
          <w:rFonts w:ascii="Times New Roman Bold" w:hAnsi="Times New Roman Bold"/>
          <w:b/>
        </w:rPr>
        <w:br w:type="page"/>
      </w:r>
    </w:p>
    <w:p w:rsidR="00C23E60" w:rsidRPr="005565F8" w:rsidP="00514B9A" w14:paraId="3560A8AD" w14:textId="77777777">
      <w:pPr>
        <w:spacing w:before="80" w:after="240"/>
        <w:jc w:val="center"/>
        <w:rPr>
          <w:b/>
          <w:smallCaps/>
          <w:color w:val="228B9D"/>
          <w:sz w:val="32"/>
          <w:szCs w:val="32"/>
        </w:rPr>
      </w:pPr>
      <w:r w:rsidRPr="005565F8">
        <w:rPr>
          <w:b/>
          <w:smallCaps/>
          <w:color w:val="228B9D"/>
          <w:sz w:val="32"/>
          <w:szCs w:val="32"/>
        </w:rPr>
        <w:t>Satura rādītājs</w:t>
      </w:r>
    </w:p>
    <w:p>
      <w:pPr>
        <w:pStyle w:val="TOC1"/>
        <w:rPr>
          <w:rFonts w:asciiTheme="minorHAnsi" w:hAnsiTheme="minorHAnsi"/>
          <w:noProof/>
          <w:sz w:val="22"/>
        </w:rPr>
      </w:pPr>
      <w:r w:rsidRPr="005565F8">
        <w:rPr>
          <w:rFonts w:ascii="Times New Roman" w:hAnsi="Times New Roman"/>
          <w:b w:val="0"/>
          <w:noProof w:val="0"/>
          <w:sz w:val="22"/>
          <w:szCs w:val="22"/>
        </w:rPr>
        <w:fldChar w:fldCharType="begin"/>
      </w:r>
      <w:r w:rsidRPr="005565F8" w:rsidR="0050285A">
        <w:rPr>
          <w:rFonts w:ascii="Times New Roman" w:hAnsi="Times New Roman"/>
          <w:b w:val="0"/>
          <w:noProof w:val="0"/>
          <w:sz w:val="22"/>
          <w:szCs w:val="22"/>
        </w:rPr>
        <w:instrText xml:space="preserve"> TOC \o "1-3" \h \z \u </w:instrText>
      </w:r>
      <w:r w:rsidRPr="005565F8">
        <w:rPr>
          <w:rFonts w:ascii="Times New Roman" w:hAnsi="Times New Roman"/>
          <w:b w:val="0"/>
          <w:noProof w:val="0"/>
          <w:sz w:val="22"/>
          <w:szCs w:val="22"/>
        </w:rPr>
        <w:fldChar w:fldCharType="separate"/>
      </w:r>
      <w:r>
        <w:fldChar w:fldCharType="begin"/>
      </w:r>
      <w:r>
        <w:instrText xml:space="preserve"> HYPERLINK \l "_Toc256000035" </w:instrText>
      </w:r>
      <w:r>
        <w:fldChar w:fldCharType="separate"/>
      </w:r>
      <w:r w:rsidRPr="005565F8">
        <w:rPr>
          <w:rStyle w:val="Hyperlink"/>
          <w:rFonts w:eastAsia="Times New Roman" w:cs="Times New Roman"/>
        </w:rPr>
        <w:t>Saīsinājumi, mērvienības un nosacītie apzīmējumi</w:t>
      </w:r>
      <w:r>
        <w:tab/>
      </w:r>
      <w:r>
        <w:fldChar w:fldCharType="begin"/>
      </w:r>
      <w:r>
        <w:instrText xml:space="preserve"> PAGEREF _Toc256000035 \h </w:instrText>
      </w:r>
      <w:r>
        <w:fldChar w:fldCharType="separate"/>
      </w:r>
      <w:r>
        <w:t>3</w:t>
      </w:r>
      <w:r>
        <w:fldChar w:fldCharType="end"/>
      </w:r>
      <w:r>
        <w:fldChar w:fldCharType="end"/>
      </w:r>
    </w:p>
    <w:p>
      <w:pPr>
        <w:pStyle w:val="TOC1"/>
        <w:rPr>
          <w:rFonts w:asciiTheme="minorHAnsi" w:hAnsiTheme="minorHAnsi"/>
          <w:noProof/>
          <w:sz w:val="22"/>
        </w:rPr>
      </w:pPr>
      <w:r>
        <w:fldChar w:fldCharType="begin"/>
      </w:r>
      <w:r>
        <w:instrText xml:space="preserve"> HYPERLINK \l "_Toc256000036" </w:instrText>
      </w:r>
      <w:r>
        <w:fldChar w:fldCharType="separate"/>
      </w:r>
      <w:r w:rsidRPr="005565F8">
        <w:rPr>
          <w:rStyle w:val="Hyperlink"/>
        </w:rPr>
        <w:t>Ievads</w:t>
      </w:r>
      <w:r>
        <w:tab/>
      </w:r>
      <w:r>
        <w:fldChar w:fldCharType="begin"/>
      </w:r>
      <w:r>
        <w:instrText xml:space="preserve"> PAGEREF _Toc256000036 \h </w:instrText>
      </w:r>
      <w:r>
        <w:fldChar w:fldCharType="separate"/>
      </w:r>
      <w:r>
        <w:t>4</w:t>
      </w:r>
      <w:r>
        <w:fldChar w:fldCharType="end"/>
      </w:r>
      <w:r>
        <w:fldChar w:fldCharType="end"/>
      </w:r>
    </w:p>
    <w:p>
      <w:pPr>
        <w:pStyle w:val="TOC1"/>
        <w:rPr>
          <w:rFonts w:asciiTheme="minorHAnsi" w:hAnsiTheme="minorHAnsi"/>
          <w:noProof/>
          <w:sz w:val="22"/>
        </w:rPr>
      </w:pPr>
      <w:r>
        <w:fldChar w:fldCharType="begin"/>
      </w:r>
      <w:r>
        <w:instrText xml:space="preserve"> HYPERLINK \l "_Toc256000037" </w:instrText>
      </w:r>
      <w:r>
        <w:fldChar w:fldCharType="separate"/>
      </w:r>
      <w:r w:rsidRPr="005565F8">
        <w:rPr>
          <w:rStyle w:val="Hyperlink"/>
        </w:rPr>
        <w:t xml:space="preserve">1. </w:t>
      </w:r>
      <w:r w:rsidRPr="005565F8" w:rsidR="008F2EE4">
        <w:rPr>
          <w:rStyle w:val="Hyperlink"/>
        </w:rPr>
        <w:t>Vidēja termiņa makroekonomiskais scenārijs</w:t>
      </w:r>
      <w:r>
        <w:tab/>
      </w:r>
      <w:r>
        <w:fldChar w:fldCharType="begin"/>
      </w:r>
      <w:r>
        <w:instrText xml:space="preserve"> PAGEREF _Toc256000037 \h </w:instrText>
      </w:r>
      <w:r>
        <w:fldChar w:fldCharType="separate"/>
      </w:r>
      <w:r>
        <w:t>6</w:t>
      </w:r>
      <w:r>
        <w:fldChar w:fldCharType="end"/>
      </w:r>
      <w:r>
        <w:fldChar w:fldCharType="end"/>
      </w:r>
    </w:p>
    <w:p>
      <w:pPr>
        <w:pStyle w:val="TOC1"/>
        <w:rPr>
          <w:rFonts w:asciiTheme="minorHAnsi" w:hAnsiTheme="minorHAnsi"/>
          <w:noProof/>
          <w:sz w:val="22"/>
        </w:rPr>
      </w:pPr>
      <w:r>
        <w:fldChar w:fldCharType="begin"/>
      </w:r>
      <w:r>
        <w:instrText xml:space="preserve"> HYPERLINK \l "_Toc256000038" </w:instrText>
      </w:r>
      <w:r>
        <w:fldChar w:fldCharType="separate"/>
      </w:r>
      <w:r w:rsidRPr="005565F8">
        <w:rPr>
          <w:rStyle w:val="Hyperlink"/>
        </w:rPr>
        <w:t xml:space="preserve">2. </w:t>
      </w:r>
      <w:r w:rsidRPr="005565F8" w:rsidR="00263F5F">
        <w:rPr>
          <w:rStyle w:val="Hyperlink"/>
        </w:rPr>
        <w:t>ES Padomes rekomendāciju izpilde</w:t>
      </w:r>
      <w:r>
        <w:tab/>
      </w:r>
      <w:r>
        <w:fldChar w:fldCharType="begin"/>
      </w:r>
      <w:r>
        <w:instrText xml:space="preserve"> PAGEREF _Toc256000038 \h </w:instrText>
      </w:r>
      <w:r>
        <w:fldChar w:fldCharType="separate"/>
      </w:r>
      <w:r>
        <w:t>9</w:t>
      </w:r>
      <w:r>
        <w:fldChar w:fldCharType="end"/>
      </w:r>
      <w:r>
        <w:fldChar w:fldCharType="end"/>
      </w:r>
    </w:p>
    <w:p>
      <w:pPr>
        <w:pStyle w:val="TOC2"/>
        <w:rPr>
          <w:rFonts w:asciiTheme="minorHAnsi" w:hAnsiTheme="minorHAnsi"/>
          <w:noProof/>
          <w:sz w:val="22"/>
        </w:rPr>
      </w:pPr>
      <w:r>
        <w:fldChar w:fldCharType="begin"/>
      </w:r>
      <w:r>
        <w:instrText xml:space="preserve"> HYPERLINK \l "_Toc256000039" </w:instrText>
      </w:r>
      <w:r>
        <w:fldChar w:fldCharType="separate"/>
      </w:r>
      <w:r w:rsidRPr="005565F8">
        <w:rPr>
          <w:rStyle w:val="Hyperlink"/>
        </w:rPr>
        <w:t xml:space="preserve">2.1. </w:t>
      </w:r>
      <w:r w:rsidRPr="005565F8" w:rsidR="004F21F5">
        <w:rPr>
          <w:rStyle w:val="Hyperlink"/>
        </w:rPr>
        <w:t>Fiskālā politika</w:t>
      </w:r>
      <w:r>
        <w:tab/>
      </w:r>
      <w:r>
        <w:fldChar w:fldCharType="begin"/>
      </w:r>
      <w:r>
        <w:instrText xml:space="preserve"> PAGEREF _Toc256000039 \h </w:instrText>
      </w:r>
      <w:r>
        <w:fldChar w:fldCharType="separate"/>
      </w:r>
      <w:r>
        <w:t>9</w:t>
      </w:r>
      <w:r>
        <w:fldChar w:fldCharType="end"/>
      </w:r>
      <w:r>
        <w:fldChar w:fldCharType="end"/>
      </w:r>
    </w:p>
    <w:p>
      <w:pPr>
        <w:pStyle w:val="TOC2"/>
        <w:rPr>
          <w:rFonts w:asciiTheme="minorHAnsi" w:hAnsiTheme="minorHAnsi"/>
          <w:noProof/>
          <w:sz w:val="22"/>
        </w:rPr>
      </w:pPr>
      <w:r>
        <w:fldChar w:fldCharType="begin"/>
      </w:r>
      <w:r>
        <w:instrText xml:space="preserve"> HYPERLINK \l "_Toc256000040" </w:instrText>
      </w:r>
      <w:r>
        <w:fldChar w:fldCharType="separate"/>
      </w:r>
      <w:r w:rsidRPr="005565F8">
        <w:rPr>
          <w:rStyle w:val="Hyperlink"/>
        </w:rPr>
        <w:t>2.2. Sociālās drošības tīkls, profesionālā izglītība, veselības aprūpe</w:t>
      </w:r>
      <w:r>
        <w:tab/>
      </w:r>
      <w:r>
        <w:fldChar w:fldCharType="begin"/>
      </w:r>
      <w:r>
        <w:instrText xml:space="preserve"> PAGEREF _Toc256000040 \h </w:instrText>
      </w:r>
      <w:r>
        <w:fldChar w:fldCharType="separate"/>
      </w:r>
      <w:r>
        <w:t>11</w:t>
      </w:r>
      <w:r>
        <w:fldChar w:fldCharType="end"/>
      </w:r>
      <w:r>
        <w:fldChar w:fldCharType="end"/>
      </w:r>
    </w:p>
    <w:p>
      <w:pPr>
        <w:pStyle w:val="TOC2"/>
        <w:rPr>
          <w:rFonts w:asciiTheme="minorHAnsi" w:hAnsiTheme="minorHAnsi"/>
          <w:noProof/>
          <w:sz w:val="22"/>
        </w:rPr>
      </w:pPr>
      <w:r>
        <w:fldChar w:fldCharType="begin"/>
      </w:r>
      <w:r>
        <w:instrText xml:space="preserve"> HYPERLINK \l "_Toc256000041" </w:instrText>
      </w:r>
      <w:r>
        <w:fldChar w:fldCharType="separate"/>
      </w:r>
      <w:r w:rsidRPr="005565F8">
        <w:rPr>
          <w:rStyle w:val="Hyperlink"/>
        </w:rPr>
        <w:t xml:space="preserve">2.3. </w:t>
      </w:r>
      <w:r w:rsidRPr="005565F8" w:rsidR="00026F83">
        <w:rPr>
          <w:rStyle w:val="Hyperlink"/>
        </w:rPr>
        <w:t>Publiskā sektora efektivitāte</w:t>
      </w:r>
      <w:r>
        <w:tab/>
      </w:r>
      <w:r>
        <w:fldChar w:fldCharType="begin"/>
      </w:r>
      <w:r>
        <w:instrText xml:space="preserve"> PAGEREF _Toc256000041 \h </w:instrText>
      </w:r>
      <w:r>
        <w:fldChar w:fldCharType="separate"/>
      </w:r>
      <w:r>
        <w:t>16</w:t>
      </w:r>
      <w:r>
        <w:fldChar w:fldCharType="end"/>
      </w:r>
      <w:r>
        <w:fldChar w:fldCharType="end"/>
      </w:r>
    </w:p>
    <w:p>
      <w:pPr>
        <w:pStyle w:val="TOC1"/>
        <w:rPr>
          <w:rFonts w:asciiTheme="minorHAnsi" w:hAnsiTheme="minorHAnsi"/>
          <w:noProof/>
          <w:sz w:val="22"/>
        </w:rPr>
      </w:pPr>
      <w:r>
        <w:fldChar w:fldCharType="begin"/>
      </w:r>
      <w:r>
        <w:instrText xml:space="preserve"> HYPERLINK \l "_Toc256000042" </w:instrText>
      </w:r>
      <w:r>
        <w:fldChar w:fldCharType="separate"/>
      </w:r>
      <w:r w:rsidRPr="005565F8">
        <w:rPr>
          <w:rStyle w:val="Hyperlink"/>
        </w:rPr>
        <w:t>3. Politikas virzieni</w:t>
      </w:r>
      <w:r>
        <w:tab/>
      </w:r>
      <w:r>
        <w:fldChar w:fldCharType="begin"/>
      </w:r>
      <w:r>
        <w:instrText xml:space="preserve"> PAGEREF _Toc256000042 \h </w:instrText>
      </w:r>
      <w:r>
        <w:fldChar w:fldCharType="separate"/>
      </w:r>
      <w:r>
        <w:t>18</w:t>
      </w:r>
      <w:r>
        <w:fldChar w:fldCharType="end"/>
      </w:r>
      <w:r>
        <w:fldChar w:fldCharType="end"/>
      </w:r>
    </w:p>
    <w:p>
      <w:pPr>
        <w:pStyle w:val="TOC2"/>
        <w:rPr>
          <w:rFonts w:asciiTheme="minorHAnsi" w:hAnsiTheme="minorHAnsi"/>
          <w:noProof/>
          <w:sz w:val="22"/>
        </w:rPr>
      </w:pPr>
      <w:r>
        <w:fldChar w:fldCharType="begin"/>
      </w:r>
      <w:r>
        <w:instrText xml:space="preserve"> HYPERLINK \l "_Toc256000043" </w:instrText>
      </w:r>
      <w:r>
        <w:fldChar w:fldCharType="separate"/>
      </w:r>
      <w:r w:rsidRPr="005565F8">
        <w:rPr>
          <w:rStyle w:val="Hyperlink"/>
        </w:rPr>
        <w:t>3.1. Finanšu stabilitāte</w:t>
      </w:r>
      <w:r>
        <w:tab/>
      </w:r>
      <w:r>
        <w:fldChar w:fldCharType="begin"/>
      </w:r>
      <w:r>
        <w:instrText xml:space="preserve"> PAGEREF _Toc256000043 \h </w:instrText>
      </w:r>
      <w:r>
        <w:fldChar w:fldCharType="separate"/>
      </w:r>
      <w:r>
        <w:t>18</w:t>
      </w:r>
      <w:r>
        <w:fldChar w:fldCharType="end"/>
      </w:r>
      <w:r>
        <w:fldChar w:fldCharType="end"/>
      </w:r>
    </w:p>
    <w:p>
      <w:pPr>
        <w:pStyle w:val="TOC3"/>
        <w:rPr>
          <w:rFonts w:asciiTheme="minorHAnsi" w:hAnsiTheme="minorHAnsi"/>
          <w:noProof/>
          <w:sz w:val="22"/>
        </w:rPr>
      </w:pPr>
      <w:r>
        <w:fldChar w:fldCharType="begin"/>
      </w:r>
      <w:r>
        <w:instrText xml:space="preserve"> HYPERLINK \l "_Toc256000045" </w:instrText>
      </w:r>
      <w:r>
        <w:fldChar w:fldCharType="separate"/>
      </w:r>
      <w:r w:rsidRPr="005565F8">
        <w:rPr>
          <w:rStyle w:val="Hyperlink"/>
        </w:rPr>
        <w:t>3.1.1. Ilgtspējīga budžeta veidošana</w:t>
      </w:r>
      <w:r>
        <w:tab/>
      </w:r>
      <w:r>
        <w:fldChar w:fldCharType="begin"/>
      </w:r>
      <w:r>
        <w:instrText xml:space="preserve"> PAGEREF _Toc256000045 \h </w:instrText>
      </w:r>
      <w:r>
        <w:fldChar w:fldCharType="separate"/>
      </w:r>
      <w:r>
        <w:t>18</w:t>
      </w:r>
      <w:r>
        <w:fldChar w:fldCharType="end"/>
      </w:r>
      <w:r>
        <w:fldChar w:fldCharType="end"/>
      </w:r>
    </w:p>
    <w:p>
      <w:pPr>
        <w:pStyle w:val="TOC3"/>
        <w:rPr>
          <w:rFonts w:asciiTheme="minorHAnsi" w:hAnsiTheme="minorHAnsi"/>
          <w:noProof/>
          <w:sz w:val="22"/>
        </w:rPr>
      </w:pPr>
      <w:r>
        <w:fldChar w:fldCharType="begin"/>
      </w:r>
      <w:r>
        <w:instrText xml:space="preserve"> HYPERLINK \l "_Toc256000046" </w:instrText>
      </w:r>
      <w:r>
        <w:fldChar w:fldCharType="separate"/>
      </w:r>
      <w:r w:rsidRPr="005565F8">
        <w:rPr>
          <w:rStyle w:val="Hyperlink"/>
        </w:rPr>
        <w:t>3.1.2. Banku sektora stabilitātes nodrošināšana</w:t>
      </w:r>
      <w:r>
        <w:tab/>
      </w:r>
      <w:r>
        <w:fldChar w:fldCharType="begin"/>
      </w:r>
      <w:r>
        <w:instrText xml:space="preserve"> PAGEREF _Toc256000046 \h </w:instrText>
      </w:r>
      <w:r>
        <w:fldChar w:fldCharType="separate"/>
      </w:r>
      <w:r>
        <w:t>21</w:t>
      </w:r>
      <w:r>
        <w:fldChar w:fldCharType="end"/>
      </w:r>
      <w:r>
        <w:fldChar w:fldCharType="end"/>
      </w:r>
    </w:p>
    <w:p>
      <w:pPr>
        <w:pStyle w:val="TOC2"/>
        <w:rPr>
          <w:rFonts w:asciiTheme="minorHAnsi" w:hAnsiTheme="minorHAnsi"/>
          <w:noProof/>
          <w:sz w:val="22"/>
        </w:rPr>
      </w:pPr>
      <w:r>
        <w:fldChar w:fldCharType="begin"/>
      </w:r>
      <w:r>
        <w:instrText xml:space="preserve"> HYPERLINK \l "_Toc256000047" </w:instrText>
      </w:r>
      <w:r>
        <w:fldChar w:fldCharType="separate"/>
      </w:r>
      <w:r w:rsidRPr="005565F8">
        <w:rPr>
          <w:rStyle w:val="Hyperlink"/>
        </w:rPr>
        <w:t>3.2. Konkurētspējas veicināšana</w:t>
      </w:r>
      <w:r>
        <w:tab/>
      </w:r>
      <w:r>
        <w:fldChar w:fldCharType="begin"/>
      </w:r>
      <w:r>
        <w:instrText xml:space="preserve"> PAGEREF _Toc256000047 \h </w:instrText>
      </w:r>
      <w:r>
        <w:fldChar w:fldCharType="separate"/>
      </w:r>
      <w:r>
        <w:t>24</w:t>
      </w:r>
      <w:r>
        <w:fldChar w:fldCharType="end"/>
      </w:r>
      <w:r>
        <w:fldChar w:fldCharType="end"/>
      </w:r>
    </w:p>
    <w:p>
      <w:pPr>
        <w:pStyle w:val="TOC3"/>
        <w:rPr>
          <w:rFonts w:asciiTheme="minorHAnsi" w:hAnsiTheme="minorHAnsi"/>
          <w:noProof/>
          <w:sz w:val="22"/>
        </w:rPr>
      </w:pPr>
      <w:r>
        <w:fldChar w:fldCharType="begin"/>
      </w:r>
      <w:r>
        <w:instrText xml:space="preserve"> HYPERLINK \l "_Toc256000048" </w:instrText>
      </w:r>
      <w:r>
        <w:fldChar w:fldCharType="separate"/>
      </w:r>
      <w:r w:rsidRPr="005565F8">
        <w:rPr>
          <w:rStyle w:val="Hyperlink"/>
        </w:rPr>
        <w:t>3.2.1. Uzņēmējdarbības vide un valsts pārvaldes modernizācija</w:t>
      </w:r>
      <w:r>
        <w:tab/>
      </w:r>
      <w:r>
        <w:fldChar w:fldCharType="begin"/>
      </w:r>
      <w:r>
        <w:instrText xml:space="preserve"> PAGEREF _Toc256000048 \h </w:instrText>
      </w:r>
      <w:r>
        <w:fldChar w:fldCharType="separate"/>
      </w:r>
      <w:r>
        <w:t>24</w:t>
      </w:r>
      <w:r>
        <w:fldChar w:fldCharType="end"/>
      </w:r>
      <w:r>
        <w:fldChar w:fldCharType="end"/>
      </w:r>
    </w:p>
    <w:p>
      <w:pPr>
        <w:pStyle w:val="TOC3"/>
        <w:rPr>
          <w:rFonts w:asciiTheme="minorHAnsi" w:hAnsiTheme="minorHAnsi"/>
          <w:noProof/>
          <w:sz w:val="22"/>
        </w:rPr>
      </w:pPr>
      <w:r>
        <w:fldChar w:fldCharType="begin"/>
      </w:r>
      <w:r>
        <w:instrText xml:space="preserve"> HYPERLINK \l "_Toc256000049" </w:instrText>
      </w:r>
      <w:r>
        <w:fldChar w:fldCharType="separate"/>
      </w:r>
      <w:r w:rsidRPr="005565F8" w:rsidR="00ED0FCB">
        <w:rPr>
          <w:rStyle w:val="Hyperlink"/>
        </w:rPr>
        <w:t>3.2.2. Produktīvo investīciju un eksporta veicināšana</w:t>
      </w:r>
      <w:r>
        <w:tab/>
      </w:r>
      <w:r>
        <w:fldChar w:fldCharType="begin"/>
      </w:r>
      <w:r>
        <w:instrText xml:space="preserve"> PAGEREF _Toc256000049 \h </w:instrText>
      </w:r>
      <w:r>
        <w:fldChar w:fldCharType="separate"/>
      </w:r>
      <w:r>
        <w:t>32</w:t>
      </w:r>
      <w:r>
        <w:fldChar w:fldCharType="end"/>
      </w:r>
      <w:r>
        <w:fldChar w:fldCharType="end"/>
      </w:r>
    </w:p>
    <w:p>
      <w:pPr>
        <w:pStyle w:val="TOC3"/>
        <w:rPr>
          <w:rFonts w:asciiTheme="minorHAnsi" w:hAnsiTheme="minorHAnsi"/>
          <w:noProof/>
          <w:sz w:val="22"/>
        </w:rPr>
      </w:pPr>
      <w:r>
        <w:fldChar w:fldCharType="begin"/>
      </w:r>
      <w:r>
        <w:instrText xml:space="preserve"> HYPERLINK \l "_Toc256000050" </w:instrText>
      </w:r>
      <w:r>
        <w:fldChar w:fldCharType="separate"/>
      </w:r>
      <w:r w:rsidRPr="005565F8">
        <w:rPr>
          <w:rStyle w:val="Hyperlink"/>
        </w:rPr>
        <w:t>3.2.3. Inovācijas, pētniecība un attīstība</w:t>
      </w:r>
      <w:r>
        <w:tab/>
      </w:r>
      <w:r>
        <w:fldChar w:fldCharType="begin"/>
      </w:r>
      <w:r>
        <w:instrText xml:space="preserve"> PAGEREF _Toc256000050 \h </w:instrText>
      </w:r>
      <w:r>
        <w:fldChar w:fldCharType="separate"/>
      </w:r>
      <w:r>
        <w:t>35</w:t>
      </w:r>
      <w:r>
        <w:fldChar w:fldCharType="end"/>
      </w:r>
      <w:r>
        <w:fldChar w:fldCharType="end"/>
      </w:r>
    </w:p>
    <w:p>
      <w:pPr>
        <w:pStyle w:val="TOC3"/>
        <w:rPr>
          <w:rFonts w:asciiTheme="minorHAnsi" w:hAnsiTheme="minorHAnsi"/>
          <w:noProof/>
          <w:sz w:val="22"/>
        </w:rPr>
      </w:pPr>
      <w:r>
        <w:fldChar w:fldCharType="begin"/>
      </w:r>
      <w:r>
        <w:instrText xml:space="preserve"> HYPERLINK \l "_Toc256000051" </w:instrText>
      </w:r>
      <w:r>
        <w:fldChar w:fldCharType="separate"/>
      </w:r>
      <w:r w:rsidRPr="005565F8">
        <w:rPr>
          <w:rStyle w:val="Hyperlink"/>
          <w:rFonts w:cs="Times New Roman"/>
        </w:rPr>
        <w:t>3.2.4. Informācijas un komunikācijas tehnoloģijas</w:t>
      </w:r>
      <w:r>
        <w:tab/>
      </w:r>
      <w:r>
        <w:fldChar w:fldCharType="begin"/>
      </w:r>
      <w:r>
        <w:instrText xml:space="preserve"> PAGEREF _Toc256000051 \h </w:instrText>
      </w:r>
      <w:r>
        <w:fldChar w:fldCharType="separate"/>
      </w:r>
      <w:r>
        <w:t>41</w:t>
      </w:r>
      <w:r>
        <w:fldChar w:fldCharType="end"/>
      </w:r>
      <w:r>
        <w:fldChar w:fldCharType="end"/>
      </w:r>
    </w:p>
    <w:p>
      <w:pPr>
        <w:pStyle w:val="TOC3"/>
        <w:rPr>
          <w:rFonts w:asciiTheme="minorHAnsi" w:hAnsiTheme="minorHAnsi"/>
          <w:noProof/>
          <w:sz w:val="22"/>
        </w:rPr>
      </w:pPr>
      <w:r>
        <w:fldChar w:fldCharType="begin"/>
      </w:r>
      <w:r>
        <w:instrText xml:space="preserve"> HYPERLINK \l "_Toc256000052" </w:instrText>
      </w:r>
      <w:r>
        <w:fldChar w:fldCharType="separate"/>
      </w:r>
      <w:r w:rsidRPr="005565F8">
        <w:rPr>
          <w:rStyle w:val="Hyperlink"/>
        </w:rPr>
        <w:t>3.2.5. Transporta un vides infrastruktūra</w:t>
      </w:r>
      <w:r>
        <w:tab/>
      </w:r>
      <w:r>
        <w:fldChar w:fldCharType="begin"/>
      </w:r>
      <w:r>
        <w:instrText xml:space="preserve"> PAGEREF _Toc256000052 \h </w:instrText>
      </w:r>
      <w:r>
        <w:fldChar w:fldCharType="separate"/>
      </w:r>
      <w:r>
        <w:t>45</w:t>
      </w:r>
      <w:r>
        <w:fldChar w:fldCharType="end"/>
      </w:r>
      <w:r>
        <w:fldChar w:fldCharType="end"/>
      </w:r>
    </w:p>
    <w:p>
      <w:pPr>
        <w:pStyle w:val="TOC2"/>
        <w:rPr>
          <w:rFonts w:asciiTheme="minorHAnsi" w:hAnsiTheme="minorHAnsi"/>
          <w:noProof/>
          <w:sz w:val="22"/>
        </w:rPr>
      </w:pPr>
      <w:r>
        <w:fldChar w:fldCharType="begin"/>
      </w:r>
      <w:r>
        <w:instrText xml:space="preserve"> HYPERLINK \l "_Toc256000054" </w:instrText>
      </w:r>
      <w:r>
        <w:fldChar w:fldCharType="separate"/>
      </w:r>
      <w:r w:rsidRPr="005565F8">
        <w:rPr>
          <w:rStyle w:val="Hyperlink"/>
        </w:rPr>
        <w:t>3.3. Nodarbinātība</w:t>
      </w:r>
      <w:r>
        <w:tab/>
      </w:r>
      <w:r>
        <w:fldChar w:fldCharType="begin"/>
      </w:r>
      <w:r>
        <w:instrText xml:space="preserve"> PAGEREF _Toc256000054 \h </w:instrText>
      </w:r>
      <w:r>
        <w:fldChar w:fldCharType="separate"/>
      </w:r>
      <w:r>
        <w:t>48</w:t>
      </w:r>
      <w:r>
        <w:fldChar w:fldCharType="end"/>
      </w:r>
      <w:r>
        <w:fldChar w:fldCharType="end"/>
      </w:r>
    </w:p>
    <w:p>
      <w:pPr>
        <w:pStyle w:val="TOC2"/>
        <w:rPr>
          <w:rFonts w:asciiTheme="minorHAnsi" w:hAnsiTheme="minorHAnsi"/>
          <w:noProof/>
          <w:sz w:val="22"/>
        </w:rPr>
      </w:pPr>
      <w:r>
        <w:fldChar w:fldCharType="begin"/>
      </w:r>
      <w:r>
        <w:instrText xml:space="preserve"> HYPERLINK \l "_Toc256000055" </w:instrText>
      </w:r>
      <w:r>
        <w:fldChar w:fldCharType="separate"/>
      </w:r>
      <w:r w:rsidRPr="005565F8">
        <w:rPr>
          <w:rStyle w:val="Hyperlink"/>
        </w:rPr>
        <w:t>3.4. Izglītība</w:t>
      </w:r>
      <w:r>
        <w:tab/>
      </w:r>
      <w:r>
        <w:fldChar w:fldCharType="begin"/>
      </w:r>
      <w:r>
        <w:instrText xml:space="preserve"> PAGEREF _Toc256000055 \h </w:instrText>
      </w:r>
      <w:r>
        <w:fldChar w:fldCharType="separate"/>
      </w:r>
      <w:r>
        <w:t>55</w:t>
      </w:r>
      <w:r>
        <w:fldChar w:fldCharType="end"/>
      </w:r>
      <w:r>
        <w:fldChar w:fldCharType="end"/>
      </w:r>
    </w:p>
    <w:p>
      <w:pPr>
        <w:pStyle w:val="TOC3"/>
        <w:rPr>
          <w:rFonts w:asciiTheme="minorHAnsi" w:hAnsiTheme="minorHAnsi"/>
          <w:noProof/>
          <w:sz w:val="22"/>
        </w:rPr>
      </w:pPr>
      <w:r>
        <w:fldChar w:fldCharType="begin"/>
      </w:r>
      <w:r>
        <w:instrText xml:space="preserve"> HYPERLINK \l "_Toc256000056" </w:instrText>
      </w:r>
      <w:r>
        <w:fldChar w:fldCharType="separate"/>
      </w:r>
      <w:r w:rsidRPr="005565F8">
        <w:rPr>
          <w:rStyle w:val="Hyperlink"/>
        </w:rPr>
        <w:t>3.4.1. Pirmsskolas izglītība</w:t>
      </w:r>
      <w:r>
        <w:tab/>
      </w:r>
      <w:r>
        <w:fldChar w:fldCharType="begin"/>
      </w:r>
      <w:r>
        <w:instrText xml:space="preserve"> PAGEREF _Toc256000056 \h </w:instrText>
      </w:r>
      <w:r>
        <w:fldChar w:fldCharType="separate"/>
      </w:r>
      <w:r>
        <w:t>55</w:t>
      </w:r>
      <w:r>
        <w:fldChar w:fldCharType="end"/>
      </w:r>
      <w:r>
        <w:fldChar w:fldCharType="end"/>
      </w:r>
    </w:p>
    <w:p>
      <w:pPr>
        <w:pStyle w:val="TOC3"/>
        <w:rPr>
          <w:rFonts w:asciiTheme="minorHAnsi" w:hAnsiTheme="minorHAnsi"/>
          <w:noProof/>
          <w:sz w:val="22"/>
        </w:rPr>
      </w:pPr>
      <w:r>
        <w:fldChar w:fldCharType="begin"/>
      </w:r>
      <w:r>
        <w:instrText xml:space="preserve"> HYPERLINK \l "_Toc256000057" </w:instrText>
      </w:r>
      <w:r>
        <w:fldChar w:fldCharType="separate"/>
      </w:r>
      <w:r w:rsidRPr="005565F8">
        <w:rPr>
          <w:rStyle w:val="Hyperlink"/>
        </w:rPr>
        <w:t>3.4.2. Vispārējā izglītība</w:t>
      </w:r>
      <w:r>
        <w:tab/>
      </w:r>
      <w:r>
        <w:fldChar w:fldCharType="begin"/>
      </w:r>
      <w:r>
        <w:instrText xml:space="preserve"> PAGEREF _Toc256000057 \h </w:instrText>
      </w:r>
      <w:r>
        <w:fldChar w:fldCharType="separate"/>
      </w:r>
      <w:r>
        <w:t>56</w:t>
      </w:r>
      <w:r>
        <w:fldChar w:fldCharType="end"/>
      </w:r>
      <w:r>
        <w:fldChar w:fldCharType="end"/>
      </w:r>
    </w:p>
    <w:p>
      <w:pPr>
        <w:pStyle w:val="TOC3"/>
        <w:rPr>
          <w:rFonts w:asciiTheme="minorHAnsi" w:hAnsiTheme="minorHAnsi"/>
          <w:noProof/>
          <w:sz w:val="22"/>
        </w:rPr>
      </w:pPr>
      <w:r>
        <w:fldChar w:fldCharType="begin"/>
      </w:r>
      <w:r>
        <w:instrText xml:space="preserve"> HYPERLINK \l "_Toc256000058" </w:instrText>
      </w:r>
      <w:r>
        <w:fldChar w:fldCharType="separate"/>
      </w:r>
      <w:r w:rsidRPr="005565F8">
        <w:rPr>
          <w:rStyle w:val="Hyperlink"/>
        </w:rPr>
        <w:t>3.4.3. Profesionālā vidējā izglītība</w:t>
      </w:r>
      <w:r>
        <w:tab/>
      </w:r>
      <w:r>
        <w:fldChar w:fldCharType="begin"/>
      </w:r>
      <w:r>
        <w:instrText xml:space="preserve"> PAGEREF _Toc256000058 \h </w:instrText>
      </w:r>
      <w:r>
        <w:fldChar w:fldCharType="separate"/>
      </w:r>
      <w:r>
        <w:t>59</w:t>
      </w:r>
      <w:r>
        <w:fldChar w:fldCharType="end"/>
      </w:r>
      <w:r>
        <w:fldChar w:fldCharType="end"/>
      </w:r>
    </w:p>
    <w:p>
      <w:pPr>
        <w:pStyle w:val="TOC3"/>
        <w:rPr>
          <w:rFonts w:asciiTheme="minorHAnsi" w:hAnsiTheme="minorHAnsi"/>
          <w:noProof/>
          <w:sz w:val="22"/>
        </w:rPr>
      </w:pPr>
      <w:r>
        <w:fldChar w:fldCharType="begin"/>
      </w:r>
      <w:r>
        <w:instrText xml:space="preserve"> HYPERLINK \l "_Toc256000059" </w:instrText>
      </w:r>
      <w:r>
        <w:fldChar w:fldCharType="separate"/>
      </w:r>
      <w:r w:rsidRPr="005565F8">
        <w:rPr>
          <w:rStyle w:val="Hyperlink"/>
        </w:rPr>
        <w:t>3.4.4. Augstākā izglītība</w:t>
      </w:r>
      <w:r>
        <w:tab/>
      </w:r>
      <w:r>
        <w:fldChar w:fldCharType="begin"/>
      </w:r>
      <w:r>
        <w:instrText xml:space="preserve"> PAGEREF _Toc256000059 \h </w:instrText>
      </w:r>
      <w:r>
        <w:fldChar w:fldCharType="separate"/>
      </w:r>
      <w:r>
        <w:t>62</w:t>
      </w:r>
      <w:r>
        <w:fldChar w:fldCharType="end"/>
      </w:r>
      <w:r>
        <w:fldChar w:fldCharType="end"/>
      </w:r>
    </w:p>
    <w:p>
      <w:pPr>
        <w:pStyle w:val="TOC3"/>
        <w:rPr>
          <w:rFonts w:asciiTheme="minorHAnsi" w:hAnsiTheme="minorHAnsi"/>
          <w:noProof/>
          <w:sz w:val="22"/>
        </w:rPr>
      </w:pPr>
      <w:r>
        <w:fldChar w:fldCharType="begin"/>
      </w:r>
      <w:r>
        <w:instrText xml:space="preserve"> HYPERLINK \l "_Toc256000060" </w:instrText>
      </w:r>
      <w:r>
        <w:fldChar w:fldCharType="separate"/>
      </w:r>
      <w:r w:rsidRPr="005565F8">
        <w:rPr>
          <w:rStyle w:val="Hyperlink"/>
        </w:rPr>
        <w:t>3.4.5. Mūžizglītība</w:t>
      </w:r>
      <w:r>
        <w:tab/>
      </w:r>
      <w:r>
        <w:fldChar w:fldCharType="begin"/>
      </w:r>
      <w:r>
        <w:instrText xml:space="preserve"> PAGEREF _Toc256000060 \h </w:instrText>
      </w:r>
      <w:r>
        <w:fldChar w:fldCharType="separate"/>
      </w:r>
      <w:r>
        <w:t>66</w:t>
      </w:r>
      <w:r>
        <w:fldChar w:fldCharType="end"/>
      </w:r>
      <w:r>
        <w:fldChar w:fldCharType="end"/>
      </w:r>
    </w:p>
    <w:p>
      <w:pPr>
        <w:pStyle w:val="TOC2"/>
        <w:rPr>
          <w:rFonts w:asciiTheme="minorHAnsi" w:hAnsiTheme="minorHAnsi"/>
          <w:noProof/>
          <w:sz w:val="22"/>
        </w:rPr>
      </w:pPr>
      <w:r>
        <w:fldChar w:fldCharType="begin"/>
      </w:r>
      <w:r>
        <w:instrText xml:space="preserve"> HYPERLINK \l "_Toc256000061" </w:instrText>
      </w:r>
      <w:r>
        <w:fldChar w:fldCharType="separate"/>
      </w:r>
      <w:r w:rsidRPr="005565F8">
        <w:rPr>
          <w:rStyle w:val="Hyperlink"/>
        </w:rPr>
        <w:t>3.5. Cīņa ar nabadzību</w:t>
      </w:r>
      <w:r w:rsidRPr="005565F8" w:rsidR="000050DB">
        <w:rPr>
          <w:rStyle w:val="Hyperlink"/>
        </w:rPr>
        <w:t>,</w:t>
      </w:r>
      <w:r w:rsidRPr="005565F8" w:rsidR="00AB65E2">
        <w:rPr>
          <w:rStyle w:val="Hyperlink"/>
        </w:rPr>
        <w:t xml:space="preserve"> </w:t>
      </w:r>
      <w:r w:rsidRPr="005565F8">
        <w:rPr>
          <w:rStyle w:val="Hyperlink"/>
        </w:rPr>
        <w:t xml:space="preserve">demogrāfijas </w:t>
      </w:r>
      <w:r w:rsidRPr="005565F8" w:rsidR="000050DB">
        <w:rPr>
          <w:rStyle w:val="Hyperlink"/>
        </w:rPr>
        <w:t>izaicinājumi</w:t>
      </w:r>
      <w:r w:rsidRPr="005565F8" w:rsidR="002D6FE0">
        <w:rPr>
          <w:rStyle w:val="Hyperlink"/>
        </w:rPr>
        <w:t xml:space="preserve"> un veselības aizsardzība</w:t>
      </w:r>
      <w:r>
        <w:tab/>
      </w:r>
      <w:r>
        <w:fldChar w:fldCharType="begin"/>
      </w:r>
      <w:r>
        <w:instrText xml:space="preserve"> PAGEREF _Toc256000061 \h </w:instrText>
      </w:r>
      <w:r>
        <w:fldChar w:fldCharType="separate"/>
      </w:r>
      <w:r>
        <w:t>70</w:t>
      </w:r>
      <w:r>
        <w:fldChar w:fldCharType="end"/>
      </w:r>
      <w:r>
        <w:fldChar w:fldCharType="end"/>
      </w:r>
    </w:p>
    <w:p>
      <w:pPr>
        <w:pStyle w:val="TOC3"/>
        <w:rPr>
          <w:rFonts w:asciiTheme="minorHAnsi" w:hAnsiTheme="minorHAnsi"/>
          <w:noProof/>
          <w:sz w:val="22"/>
        </w:rPr>
      </w:pPr>
      <w:r>
        <w:fldChar w:fldCharType="begin"/>
      </w:r>
      <w:r>
        <w:instrText xml:space="preserve"> HYPERLINK \l "_Toc256000062" </w:instrText>
      </w:r>
      <w:r>
        <w:fldChar w:fldCharType="separate"/>
      </w:r>
      <w:r w:rsidRPr="005565F8">
        <w:rPr>
          <w:rStyle w:val="Hyperlink"/>
        </w:rPr>
        <w:t>3.5.1. Nabadzības līmeņa mazināšana</w:t>
      </w:r>
      <w:r>
        <w:tab/>
      </w:r>
      <w:r>
        <w:fldChar w:fldCharType="begin"/>
      </w:r>
      <w:r>
        <w:instrText xml:space="preserve"> PAGEREF _Toc256000062 \h </w:instrText>
      </w:r>
      <w:r>
        <w:fldChar w:fldCharType="separate"/>
      </w:r>
      <w:r>
        <w:t>70</w:t>
      </w:r>
      <w:r>
        <w:fldChar w:fldCharType="end"/>
      </w:r>
      <w:r>
        <w:fldChar w:fldCharType="end"/>
      </w:r>
    </w:p>
    <w:p>
      <w:pPr>
        <w:pStyle w:val="TOC3"/>
        <w:rPr>
          <w:rFonts w:asciiTheme="minorHAnsi" w:hAnsiTheme="minorHAnsi"/>
          <w:noProof/>
          <w:sz w:val="22"/>
        </w:rPr>
      </w:pPr>
      <w:r>
        <w:fldChar w:fldCharType="begin"/>
      </w:r>
      <w:r>
        <w:instrText xml:space="preserve"> HYPERLINK \l "_Toc256000063" </w:instrText>
      </w:r>
      <w:r>
        <w:fldChar w:fldCharType="separate"/>
      </w:r>
      <w:r w:rsidRPr="005565F8">
        <w:rPr>
          <w:rStyle w:val="Hyperlink"/>
        </w:rPr>
        <w:t>3.5.2. Demogrāfijas izaicinājumi un veselības aizsardzība</w:t>
      </w:r>
      <w:r>
        <w:tab/>
      </w:r>
      <w:r>
        <w:fldChar w:fldCharType="begin"/>
      </w:r>
      <w:r>
        <w:instrText xml:space="preserve"> PAGEREF _Toc256000063 \h </w:instrText>
      </w:r>
      <w:r>
        <w:fldChar w:fldCharType="separate"/>
      </w:r>
      <w:r>
        <w:t>75</w:t>
      </w:r>
      <w:r>
        <w:fldChar w:fldCharType="end"/>
      </w:r>
      <w:r>
        <w:fldChar w:fldCharType="end"/>
      </w:r>
    </w:p>
    <w:p>
      <w:pPr>
        <w:pStyle w:val="TOC2"/>
        <w:rPr>
          <w:rFonts w:asciiTheme="minorHAnsi" w:hAnsiTheme="minorHAnsi"/>
          <w:noProof/>
          <w:sz w:val="22"/>
        </w:rPr>
      </w:pPr>
      <w:r>
        <w:fldChar w:fldCharType="begin"/>
      </w:r>
      <w:r>
        <w:instrText xml:space="preserve"> HYPERLINK \l "_Toc256000064" </w:instrText>
      </w:r>
      <w:r>
        <w:fldChar w:fldCharType="separate"/>
      </w:r>
      <w:r w:rsidRPr="005565F8">
        <w:rPr>
          <w:rStyle w:val="Hyperlink"/>
        </w:rPr>
        <w:t>3.6. Enerģētika un klimata pārmaiņas</w:t>
      </w:r>
      <w:r>
        <w:tab/>
      </w:r>
      <w:r>
        <w:fldChar w:fldCharType="begin"/>
      </w:r>
      <w:r>
        <w:instrText xml:space="preserve"> PAGEREF _Toc256000064 \h </w:instrText>
      </w:r>
      <w:r>
        <w:fldChar w:fldCharType="separate"/>
      </w:r>
      <w:r>
        <w:t>82</w:t>
      </w:r>
      <w:r>
        <w:fldChar w:fldCharType="end"/>
      </w:r>
      <w:r>
        <w:fldChar w:fldCharType="end"/>
      </w:r>
    </w:p>
    <w:p>
      <w:pPr>
        <w:pStyle w:val="TOC3"/>
        <w:rPr>
          <w:rFonts w:asciiTheme="minorHAnsi" w:hAnsiTheme="minorHAnsi"/>
          <w:noProof/>
          <w:sz w:val="22"/>
        </w:rPr>
      </w:pPr>
      <w:r>
        <w:fldChar w:fldCharType="begin"/>
      </w:r>
      <w:r>
        <w:instrText xml:space="preserve"> HYPERLINK \l "_Toc256000065" </w:instrText>
      </w:r>
      <w:r>
        <w:fldChar w:fldCharType="separate"/>
      </w:r>
      <w:r w:rsidRPr="005565F8">
        <w:rPr>
          <w:rStyle w:val="Hyperlink"/>
        </w:rPr>
        <w:t>3.6.1. Enerģijas tirgus un infrastruktūra</w:t>
      </w:r>
      <w:r>
        <w:tab/>
      </w:r>
      <w:r>
        <w:fldChar w:fldCharType="begin"/>
      </w:r>
      <w:r>
        <w:instrText xml:space="preserve"> PAGEREF _Toc256000065 \h </w:instrText>
      </w:r>
      <w:r>
        <w:fldChar w:fldCharType="separate"/>
      </w:r>
      <w:r>
        <w:t>82</w:t>
      </w:r>
      <w:r>
        <w:fldChar w:fldCharType="end"/>
      </w:r>
      <w:r>
        <w:fldChar w:fldCharType="end"/>
      </w:r>
    </w:p>
    <w:p>
      <w:pPr>
        <w:pStyle w:val="TOC3"/>
        <w:rPr>
          <w:rFonts w:asciiTheme="minorHAnsi" w:hAnsiTheme="minorHAnsi"/>
          <w:noProof/>
          <w:sz w:val="22"/>
        </w:rPr>
      </w:pPr>
      <w:r>
        <w:fldChar w:fldCharType="begin"/>
      </w:r>
      <w:r>
        <w:instrText xml:space="preserve"> HYPERLINK \l "_Toc256000066" </w:instrText>
      </w:r>
      <w:r>
        <w:fldChar w:fldCharType="separate"/>
      </w:r>
      <w:r w:rsidRPr="005565F8">
        <w:rPr>
          <w:rStyle w:val="Hyperlink"/>
        </w:rPr>
        <w:t>3.6.2. Energoefektivitātes veicināšana</w:t>
      </w:r>
      <w:r>
        <w:tab/>
      </w:r>
      <w:r>
        <w:fldChar w:fldCharType="begin"/>
      </w:r>
      <w:r>
        <w:instrText xml:space="preserve"> PAGEREF _Toc256000066 \h </w:instrText>
      </w:r>
      <w:r>
        <w:fldChar w:fldCharType="separate"/>
      </w:r>
      <w:r>
        <w:t>83</w:t>
      </w:r>
      <w:r>
        <w:fldChar w:fldCharType="end"/>
      </w:r>
      <w:r>
        <w:fldChar w:fldCharType="end"/>
      </w:r>
    </w:p>
    <w:p>
      <w:pPr>
        <w:pStyle w:val="TOC3"/>
        <w:rPr>
          <w:rFonts w:asciiTheme="minorHAnsi" w:hAnsiTheme="minorHAnsi"/>
          <w:noProof/>
          <w:sz w:val="22"/>
        </w:rPr>
      </w:pPr>
      <w:r>
        <w:fldChar w:fldCharType="begin"/>
      </w:r>
      <w:r>
        <w:instrText xml:space="preserve"> HYPERLINK \l "_Toc256000067" </w:instrText>
      </w:r>
      <w:r>
        <w:fldChar w:fldCharType="separate"/>
      </w:r>
      <w:r w:rsidRPr="005565F8">
        <w:rPr>
          <w:rStyle w:val="Hyperlink"/>
        </w:rPr>
        <w:t>3.6.3. Atjaunojamās enerģijas īpatsvara palielināšana</w:t>
      </w:r>
      <w:r>
        <w:tab/>
      </w:r>
      <w:r>
        <w:fldChar w:fldCharType="begin"/>
      </w:r>
      <w:r>
        <w:instrText xml:space="preserve"> PAGEREF _Toc256000067 \h </w:instrText>
      </w:r>
      <w:r>
        <w:fldChar w:fldCharType="separate"/>
      </w:r>
      <w:r>
        <w:t>86</w:t>
      </w:r>
      <w:r>
        <w:fldChar w:fldCharType="end"/>
      </w:r>
      <w:r>
        <w:fldChar w:fldCharType="end"/>
      </w:r>
    </w:p>
    <w:p>
      <w:pPr>
        <w:pStyle w:val="TOC3"/>
        <w:rPr>
          <w:rFonts w:asciiTheme="minorHAnsi" w:hAnsiTheme="minorHAnsi"/>
          <w:noProof/>
          <w:sz w:val="22"/>
        </w:rPr>
      </w:pPr>
      <w:r>
        <w:fldChar w:fldCharType="begin"/>
      </w:r>
      <w:r>
        <w:instrText xml:space="preserve"> HYPERLINK \l "_Toc256000068" </w:instrText>
      </w:r>
      <w:r>
        <w:fldChar w:fldCharType="separate"/>
      </w:r>
      <w:r w:rsidRPr="005565F8">
        <w:rPr>
          <w:rStyle w:val="Hyperlink"/>
        </w:rPr>
        <w:t>3.6.4. Siltumnīcefekta gāzu emisiju samazināšana</w:t>
      </w:r>
      <w:r>
        <w:tab/>
      </w:r>
      <w:r>
        <w:fldChar w:fldCharType="begin"/>
      </w:r>
      <w:r>
        <w:instrText xml:space="preserve"> PAGEREF _Toc256000068 \h </w:instrText>
      </w:r>
      <w:r>
        <w:fldChar w:fldCharType="separate"/>
      </w:r>
      <w:r>
        <w:t>90</w:t>
      </w:r>
      <w:r>
        <w:fldChar w:fldCharType="end"/>
      </w:r>
      <w:r>
        <w:fldChar w:fldCharType="end"/>
      </w:r>
    </w:p>
    <w:p>
      <w:pPr>
        <w:pStyle w:val="TOC1"/>
        <w:rPr>
          <w:rFonts w:asciiTheme="minorHAnsi" w:hAnsiTheme="minorHAnsi"/>
          <w:noProof/>
          <w:sz w:val="22"/>
        </w:rPr>
      </w:pPr>
      <w:r>
        <w:fldChar w:fldCharType="begin"/>
      </w:r>
      <w:r>
        <w:instrText xml:space="preserve"> HYPERLINK \l "_Toc256000069" </w:instrText>
      </w:r>
      <w:r>
        <w:fldChar w:fldCharType="separate"/>
      </w:r>
      <w:r w:rsidRPr="005565F8">
        <w:rPr>
          <w:rStyle w:val="Hyperlink"/>
        </w:rPr>
        <w:t xml:space="preserve">4. </w:t>
      </w:r>
      <w:r w:rsidRPr="005565F8" w:rsidR="00913118">
        <w:rPr>
          <w:rStyle w:val="Hyperlink"/>
        </w:rPr>
        <w:t xml:space="preserve">ES </w:t>
      </w:r>
      <w:r w:rsidRPr="005565F8">
        <w:rPr>
          <w:rStyle w:val="Hyperlink"/>
        </w:rPr>
        <w:t xml:space="preserve">FONDU </w:t>
      </w:r>
      <w:r w:rsidRPr="005565F8" w:rsidR="00036DA5">
        <w:rPr>
          <w:rStyle w:val="Hyperlink"/>
        </w:rPr>
        <w:t>ieguldījumi</w:t>
      </w:r>
      <w:r>
        <w:tab/>
      </w:r>
      <w:r>
        <w:fldChar w:fldCharType="begin"/>
      </w:r>
      <w:r>
        <w:instrText xml:space="preserve"> PAGEREF _Toc256000069 \h </w:instrText>
      </w:r>
      <w:r>
        <w:fldChar w:fldCharType="separate"/>
      </w:r>
      <w:r>
        <w:t>96</w:t>
      </w:r>
      <w:r>
        <w:fldChar w:fldCharType="end"/>
      </w:r>
      <w:r>
        <w:fldChar w:fldCharType="end"/>
      </w:r>
    </w:p>
    <w:p w:rsidRPr="005565F8" w:rsidP="00394998">
      <w:pPr>
        <w:spacing w:before="80" w:after="80"/>
        <w:rPr>
          <w:b/>
          <w:sz w:val="22"/>
          <w:szCs w:val="22"/>
        </w:rPr>
      </w:pPr>
      <w:r w:rsidRPr="005565F8">
        <w:rPr>
          <w:b/>
          <w:sz w:val="22"/>
          <w:szCs w:val="22"/>
        </w:rPr>
        <w:fldChar w:fldCharType="end"/>
      </w:r>
      <w:r w:rsidRPr="005565F8" w:rsidR="00C23E60">
        <w:rPr>
          <w:rFonts w:ascii="Times New Roman Bold" w:hAnsi="Times New Roman Bold"/>
          <w:b/>
          <w:sz w:val="32"/>
          <w:szCs w:val="32"/>
        </w:rPr>
        <w:br w:type="page"/>
      </w:r>
    </w:p>
    <w:p w:rsidR="00C23E60" w:rsidRPr="005565F8" w:rsidP="00697D9B" w14:paraId="2C3F77D6" w14:textId="77777777">
      <w:pPr>
        <w:pStyle w:val="Heading1"/>
        <w:spacing w:after="120"/>
        <w:jc w:val="center"/>
        <w:rPr>
          <w:rFonts w:cs="Times New Roman"/>
          <w:smallCaps/>
        </w:rPr>
      </w:pPr>
      <w:bookmarkStart w:id="0" w:name="_Toc291595960"/>
      <w:bookmarkStart w:id="1" w:name="_Toc510687733"/>
      <w:bookmarkStart w:id="2" w:name="_Toc256000000"/>
      <w:bookmarkStart w:id="3" w:name="_Toc256000035"/>
      <w:r w:rsidRPr="005565F8">
        <w:rPr>
          <w:rFonts w:eastAsia="Times New Roman" w:cs="Times New Roman"/>
          <w:smallCaps/>
        </w:rPr>
        <w:t>Saīsinājumi, mērvienības un nosacītie apzīmējumi</w:t>
      </w:r>
      <w:bookmarkEnd w:id="3"/>
      <w:bookmarkEnd w:id="2"/>
      <w:bookmarkEnd w:id="0"/>
      <w:bookmarkEnd w:id="1"/>
    </w:p>
    <w:p w:rsidR="00916B2C" w:rsidRPr="005565F8" w:rsidP="00FA44A0" w14:paraId="19E51CFE" w14:textId="77777777">
      <w:pPr>
        <w:spacing w:after="0"/>
        <w:rPr>
          <w:rFonts w:ascii="Calibri Light" w:hAnsi="Calibri Light"/>
          <w:smallCaps/>
        </w:rPr>
      </w:pPr>
    </w:p>
    <w:p w:rsidR="004A768D" w:rsidRPr="005565F8" w:rsidP="00FA44A0" w14:paraId="0596045C" w14:textId="77777777">
      <w:pPr>
        <w:tabs>
          <w:tab w:val="left" w:pos="1134"/>
        </w:tabs>
        <w:spacing w:after="0"/>
        <w:ind w:left="1134" w:hanging="1134"/>
        <w:rPr>
          <w:rFonts w:ascii="Calibri Light" w:eastAsia="Times New Roman" w:hAnsi="Calibri Light"/>
          <w:color w:val="000000"/>
          <w:szCs w:val="20"/>
          <w:lang w:eastAsia="lv-LV"/>
        </w:rPr>
        <w:sectPr w:rsidSect="003D0310">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134" w:right="1134" w:bottom="1134" w:left="1134" w:header="709" w:footer="709" w:gutter="0"/>
          <w:cols w:space="708"/>
          <w:titlePg/>
          <w:docGrid w:linePitch="360"/>
        </w:sectPr>
      </w:pPr>
    </w:p>
    <w:p w:rsidR="00916B2C" w:rsidRPr="005565F8" w:rsidP="006916CB" w14:paraId="6731E6DB"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ADTP</w:t>
      </w:r>
      <w:r w:rsidRPr="005565F8">
        <w:rPr>
          <w:rFonts w:ascii="Calibri Light" w:eastAsia="Times New Roman" w:hAnsi="Calibri Light"/>
          <w:color w:val="000000"/>
          <w:sz w:val="18"/>
          <w:szCs w:val="20"/>
          <w:lang w:eastAsia="lv-LV"/>
        </w:rPr>
        <w:tab/>
      </w:r>
      <w:r w:rsidRPr="005565F8">
        <w:rPr>
          <w:rFonts w:ascii="Calibri Light" w:hAnsi="Calibri Light"/>
          <w:sz w:val="18"/>
          <w:szCs w:val="20"/>
        </w:rPr>
        <w:t>aktīvie darba tirgus politikas pasākumi</w:t>
      </w:r>
    </w:p>
    <w:p w:rsidR="00916B2C" w:rsidRPr="005565F8" w:rsidP="006916CB" w14:paraId="00724A8F"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AE</w:t>
      </w:r>
      <w:r w:rsidRPr="005565F8">
        <w:rPr>
          <w:rFonts w:ascii="Calibri Light" w:eastAsia="Times New Roman" w:hAnsi="Calibri Light"/>
          <w:color w:val="000000"/>
          <w:sz w:val="18"/>
          <w:szCs w:val="20"/>
          <w:lang w:eastAsia="lv-LV"/>
        </w:rPr>
        <w:tab/>
        <w:t>atjaunojamā enerģija</w:t>
      </w:r>
    </w:p>
    <w:p w:rsidR="00916B2C" w:rsidRPr="005565F8" w:rsidP="006916CB" w14:paraId="3BA3121D"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AER</w:t>
      </w:r>
      <w:r w:rsidRPr="005565F8">
        <w:rPr>
          <w:rFonts w:ascii="Calibri Light" w:eastAsia="Times New Roman" w:hAnsi="Calibri Light"/>
          <w:color w:val="000000"/>
          <w:sz w:val="18"/>
          <w:szCs w:val="20"/>
          <w:lang w:eastAsia="lv-LV"/>
        </w:rPr>
        <w:tab/>
        <w:t>atjaunojamie energoresursi</w:t>
      </w:r>
    </w:p>
    <w:p w:rsidR="00916B2C" w:rsidRPr="005565F8" w:rsidP="006916CB" w14:paraId="79FAA4EB"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AFI</w:t>
      </w:r>
      <w:r w:rsidRPr="005565F8">
        <w:rPr>
          <w:rFonts w:ascii="Calibri Light" w:eastAsia="Times New Roman" w:hAnsi="Calibri Light"/>
          <w:color w:val="000000"/>
          <w:sz w:val="18"/>
          <w:szCs w:val="20"/>
          <w:lang w:eastAsia="lv-LV"/>
        </w:rPr>
        <w:tab/>
        <w:t>Attīstības finanšu institūcija</w:t>
      </w:r>
    </w:p>
    <w:p w:rsidR="00916B2C" w:rsidRPr="005565F8" w:rsidP="006916CB" w14:paraId="1F95D47E"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AIC</w:t>
      </w:r>
      <w:r w:rsidRPr="005565F8">
        <w:rPr>
          <w:rFonts w:ascii="Calibri Light" w:eastAsia="Times New Roman" w:hAnsi="Calibri Light"/>
          <w:color w:val="000000"/>
          <w:sz w:val="18"/>
          <w:szCs w:val="20"/>
          <w:lang w:eastAsia="lv-LV"/>
        </w:rPr>
        <w:tab/>
        <w:t>Akadēmiskās informācijas centrs</w:t>
      </w:r>
    </w:p>
    <w:p w:rsidR="00916B2C" w:rsidRPr="005565F8" w:rsidP="006916CB" w14:paraId="5205A8D5"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w:t>
      </w:r>
      <w:r w:rsidRPr="005565F8" w:rsidR="008709C3">
        <w:rPr>
          <w:rFonts w:ascii="Calibri Light" w:eastAsia="Times New Roman" w:hAnsi="Calibri Light"/>
          <w:color w:val="000000"/>
          <w:sz w:val="18"/>
          <w:szCs w:val="20"/>
          <w:lang w:eastAsia="lv-LV"/>
        </w:rPr>
        <w:t>i</w:t>
      </w:r>
      <w:r w:rsidRPr="005565F8">
        <w:rPr>
          <w:rFonts w:ascii="Calibri Light" w:eastAsia="Times New Roman" w:hAnsi="Calibri Light"/>
          <w:color w:val="000000"/>
          <w:sz w:val="18"/>
          <w:szCs w:val="20"/>
          <w:lang w:eastAsia="lv-LV"/>
        </w:rPr>
        <w:t>M</w:t>
      </w:r>
      <w:r w:rsidRPr="005565F8">
        <w:rPr>
          <w:rFonts w:ascii="Calibri Light" w:eastAsia="Times New Roman" w:hAnsi="Calibri Light"/>
          <w:color w:val="000000"/>
          <w:sz w:val="18"/>
          <w:szCs w:val="20"/>
          <w:lang w:eastAsia="lv-LV"/>
        </w:rPr>
        <w:tab/>
        <w:t>Aizsardzības ministrija</w:t>
      </w:r>
    </w:p>
    <w:p w:rsidR="00916B2C" w:rsidRPr="005565F8" w:rsidP="006916CB" w14:paraId="3E2AE306"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ANO</w:t>
      </w:r>
      <w:r w:rsidRPr="005565F8">
        <w:rPr>
          <w:rFonts w:ascii="Calibri Light" w:eastAsia="Times New Roman" w:hAnsi="Calibri Light"/>
          <w:color w:val="000000"/>
          <w:sz w:val="18"/>
          <w:szCs w:val="20"/>
          <w:lang w:eastAsia="lv-LV"/>
        </w:rPr>
        <w:tab/>
        <w:t>Apvienoto Nāciju organizācija</w:t>
      </w:r>
    </w:p>
    <w:p w:rsidR="00916B2C" w:rsidRPr="005565F8" w:rsidP="006916CB" w14:paraId="0E54296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AS</w:t>
      </w:r>
      <w:r w:rsidRPr="005565F8">
        <w:rPr>
          <w:rFonts w:ascii="Calibri Light" w:eastAsia="Times New Roman" w:hAnsi="Calibri Light"/>
          <w:color w:val="000000"/>
          <w:sz w:val="18"/>
          <w:szCs w:val="20"/>
          <w:lang w:eastAsia="lv-LV"/>
        </w:rPr>
        <w:tab/>
        <w:t>akciju sabiedrība</w:t>
      </w:r>
    </w:p>
    <w:p w:rsidR="00916B2C" w:rsidRPr="005565F8" w:rsidP="006916CB" w14:paraId="4DC46406"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ĀM</w:t>
      </w:r>
      <w:r w:rsidRPr="005565F8">
        <w:rPr>
          <w:rFonts w:ascii="Calibri Light" w:eastAsia="Times New Roman" w:hAnsi="Calibri Light"/>
          <w:color w:val="000000"/>
          <w:sz w:val="18"/>
          <w:szCs w:val="20"/>
          <w:lang w:eastAsia="lv-LV"/>
        </w:rPr>
        <w:tab/>
        <w:t>Ārlietu ministrija</w:t>
      </w:r>
    </w:p>
    <w:p w:rsidR="00BE6E0E" w:rsidRPr="005565F8" w:rsidP="006916CB" w14:paraId="023E28B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ĀTI</w:t>
      </w:r>
      <w:r w:rsidRPr="005565F8">
        <w:rPr>
          <w:rFonts w:ascii="Calibri Light" w:eastAsia="Times New Roman" w:hAnsi="Calibri Light"/>
          <w:color w:val="000000"/>
          <w:sz w:val="18"/>
          <w:szCs w:val="20"/>
          <w:lang w:eastAsia="lv-LV"/>
        </w:rPr>
        <w:tab/>
        <w:t>ārvalstu tiešās investīcijas</w:t>
      </w:r>
    </w:p>
    <w:p w:rsidR="00916B2C" w:rsidRPr="005565F8" w:rsidP="006916CB" w14:paraId="25AC31CC" w14:textId="77777777">
      <w:pPr>
        <w:spacing w:after="0"/>
        <w:ind w:left="851" w:hanging="851"/>
        <w:rPr>
          <w:rFonts w:ascii="Calibri Light" w:eastAsia="Times New Roman" w:hAnsi="Calibri Light"/>
          <w:color w:val="000000"/>
          <w:sz w:val="18"/>
          <w:szCs w:val="20"/>
          <w:lang w:eastAsia="lv-LV"/>
        </w:rPr>
      </w:pPr>
      <w:r w:rsidRPr="005565F8">
        <w:rPr>
          <w:rFonts w:ascii="Calibri Light" w:hAnsi="Calibri Light"/>
          <w:sz w:val="18"/>
          <w:szCs w:val="20"/>
        </w:rPr>
        <w:t>CERT.LV</w:t>
      </w:r>
      <w:r w:rsidRPr="005565F8">
        <w:rPr>
          <w:rFonts w:ascii="Calibri Light" w:eastAsia="Times New Roman" w:hAnsi="Calibri Light"/>
          <w:color w:val="000000"/>
          <w:sz w:val="18"/>
          <w:szCs w:val="20"/>
          <w:lang w:eastAsia="lv-LV"/>
        </w:rPr>
        <w:tab/>
        <w:t>Informācijas tehnoloģiju drošības incidentu novēršanas institūcija</w:t>
      </w:r>
    </w:p>
    <w:p w:rsidR="00916B2C" w:rsidRPr="005565F8" w:rsidP="006916CB" w14:paraId="59FF1FA0"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CO</w:t>
      </w:r>
      <w:r w:rsidRPr="005565F8">
        <w:rPr>
          <w:rFonts w:ascii="Calibri Light" w:eastAsia="Times New Roman" w:hAnsi="Calibri Light"/>
          <w:color w:val="000000"/>
          <w:sz w:val="18"/>
          <w:szCs w:val="20"/>
          <w:vertAlign w:val="subscript"/>
          <w:lang w:eastAsia="lv-LV"/>
        </w:rPr>
        <w:t>2</w:t>
      </w:r>
      <w:r w:rsidRPr="005565F8">
        <w:rPr>
          <w:rFonts w:ascii="Calibri Light" w:eastAsia="Times New Roman" w:hAnsi="Calibri Light"/>
          <w:color w:val="000000"/>
          <w:sz w:val="18"/>
          <w:szCs w:val="20"/>
          <w:lang w:eastAsia="lv-LV"/>
        </w:rPr>
        <w:tab/>
        <w:t>oglekļa dioksīds</w:t>
      </w:r>
    </w:p>
    <w:p w:rsidR="00916B2C" w:rsidRPr="005565F8" w:rsidP="006916CB" w14:paraId="2B6D16AA"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CSP</w:t>
      </w:r>
      <w:r w:rsidRPr="005565F8">
        <w:rPr>
          <w:rFonts w:ascii="Calibri Light" w:eastAsia="Times New Roman" w:hAnsi="Calibri Light"/>
          <w:color w:val="000000"/>
          <w:sz w:val="18"/>
          <w:szCs w:val="20"/>
          <w:lang w:eastAsia="lv-LV"/>
        </w:rPr>
        <w:tab/>
        <w:t>Centrālā statistikas pārvalde</w:t>
      </w:r>
    </w:p>
    <w:p w:rsidR="008B694C" w:rsidRPr="005565F8" w:rsidP="006916CB" w14:paraId="130B53EC"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DI</w:t>
      </w:r>
      <w:r w:rsidRPr="005565F8" w:rsidR="000C2443">
        <w:rPr>
          <w:rFonts w:ascii="Calibri Light" w:eastAsia="Times New Roman" w:hAnsi="Calibri Light"/>
          <w:color w:val="000000"/>
          <w:sz w:val="18"/>
          <w:szCs w:val="20"/>
          <w:lang w:eastAsia="lv-LV"/>
        </w:rPr>
        <w:tab/>
      </w:r>
      <w:r w:rsidRPr="005565F8" w:rsidR="00257FBF">
        <w:rPr>
          <w:rFonts w:ascii="Calibri Light" w:eastAsia="Times New Roman" w:hAnsi="Calibri Light"/>
          <w:color w:val="000000"/>
          <w:sz w:val="18"/>
          <w:szCs w:val="20"/>
          <w:lang w:eastAsia="lv-LV"/>
        </w:rPr>
        <w:t xml:space="preserve">ilgstošās sociālās aprūpes </w:t>
      </w:r>
      <w:r w:rsidRPr="005565F8" w:rsidR="00257FBF">
        <w:rPr>
          <w:rFonts w:ascii="Calibri Light" w:eastAsia="Times New Roman" w:hAnsi="Calibri Light"/>
          <w:color w:val="000000"/>
          <w:sz w:val="18"/>
          <w:szCs w:val="20"/>
          <w:lang w:eastAsia="lv-LV"/>
        </w:rPr>
        <w:t>deinstitucionalizācija</w:t>
      </w:r>
    </w:p>
    <w:p w:rsidR="008B694C" w:rsidRPr="005565F8" w:rsidP="006916CB" w14:paraId="349F483F"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DLC</w:t>
      </w:r>
      <w:r w:rsidRPr="005565F8" w:rsidR="000C2443">
        <w:rPr>
          <w:rFonts w:ascii="Calibri Light" w:eastAsia="Times New Roman" w:hAnsi="Calibri Light"/>
          <w:color w:val="000000"/>
          <w:sz w:val="18"/>
          <w:szCs w:val="20"/>
          <w:lang w:eastAsia="lv-LV"/>
        </w:rPr>
        <w:tab/>
      </w:r>
      <w:r w:rsidRPr="005565F8" w:rsidR="00024432">
        <w:rPr>
          <w:rFonts w:ascii="Calibri Light" w:eastAsia="Times New Roman" w:hAnsi="Calibri Light"/>
          <w:color w:val="000000"/>
          <w:sz w:val="18"/>
          <w:szCs w:val="20"/>
          <w:lang w:eastAsia="lv-LV"/>
        </w:rPr>
        <w:t>D</w:t>
      </w:r>
      <w:r w:rsidRPr="005565F8" w:rsidR="00257FBF">
        <w:rPr>
          <w:rFonts w:ascii="Calibri Light" w:eastAsia="Times New Roman" w:hAnsi="Calibri Light"/>
          <w:color w:val="000000"/>
          <w:sz w:val="18"/>
          <w:szCs w:val="20"/>
          <w:lang w:eastAsia="lv-LV"/>
        </w:rPr>
        <w:t>emogrāfisko lietu centrs</w:t>
      </w:r>
    </w:p>
    <w:p w:rsidR="00073E41" w:rsidRPr="005565F8" w:rsidP="006916CB" w14:paraId="5DA3659D"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DVB</w:t>
      </w:r>
      <w:r w:rsidRPr="005565F8">
        <w:rPr>
          <w:rFonts w:ascii="Calibri Light" w:hAnsi="Calibri Light"/>
          <w:sz w:val="18"/>
          <w:szCs w:val="20"/>
        </w:rPr>
        <w:tab/>
        <w:t>darba vidē balstītas mācības</w:t>
      </w:r>
    </w:p>
    <w:p w:rsidR="006373CE" w:rsidRPr="005565F8" w:rsidP="006916CB" w14:paraId="607E11DF"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EAFVP</w:t>
      </w:r>
      <w:r w:rsidRPr="005565F8">
        <w:rPr>
          <w:rFonts w:ascii="Calibri Light" w:eastAsia="Times New Roman" w:hAnsi="Calibri Light"/>
          <w:color w:val="000000"/>
          <w:sz w:val="18"/>
          <w:szCs w:val="20"/>
          <w:lang w:eastAsia="lv-LV"/>
        </w:rPr>
        <w:tab/>
        <w:t>Eiropas Atbalsta fonds vistrūcīgākajām personām</w:t>
      </w:r>
    </w:p>
    <w:p w:rsidR="00916B2C" w:rsidRPr="005565F8" w:rsidP="006916CB" w14:paraId="5F80900C"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EDS</w:t>
      </w:r>
      <w:r w:rsidRPr="005565F8">
        <w:rPr>
          <w:rFonts w:ascii="Calibri Light" w:eastAsia="Times New Roman" w:hAnsi="Calibri Light"/>
          <w:color w:val="000000"/>
          <w:sz w:val="18"/>
          <w:szCs w:val="20"/>
          <w:lang w:eastAsia="lv-LV"/>
        </w:rPr>
        <w:tab/>
        <w:t>Elektroniskās deklarēšanas sistēma</w:t>
      </w:r>
    </w:p>
    <w:p w:rsidR="00916B2C" w:rsidRPr="005565F8" w:rsidP="006916CB" w14:paraId="6222F5BF"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EEZ</w:t>
      </w:r>
      <w:r w:rsidRPr="005565F8">
        <w:rPr>
          <w:rFonts w:ascii="Calibri Light" w:eastAsia="Times New Roman" w:hAnsi="Calibri Light"/>
          <w:color w:val="000000"/>
          <w:sz w:val="18"/>
          <w:szCs w:val="20"/>
          <w:lang w:eastAsia="lv-LV"/>
        </w:rPr>
        <w:tab/>
        <w:t>Eiropas Ekonomiskā zona</w:t>
      </w:r>
    </w:p>
    <w:p w:rsidR="00073E41" w:rsidRPr="005565F8" w:rsidP="006916CB" w14:paraId="723A94F9" w14:textId="77777777">
      <w:pPr>
        <w:spacing w:after="0"/>
        <w:ind w:left="851" w:hanging="851"/>
        <w:rPr>
          <w:rFonts w:ascii="Calibri Light" w:hAnsi="Calibri Light"/>
          <w:sz w:val="18"/>
          <w:szCs w:val="20"/>
        </w:rPr>
      </w:pPr>
      <w:r w:rsidRPr="005565F8">
        <w:rPr>
          <w:rFonts w:ascii="Calibri Light" w:eastAsia="Times New Roman" w:hAnsi="Calibri Light"/>
          <w:color w:val="000000"/>
          <w:sz w:val="18"/>
          <w:szCs w:val="20"/>
          <w:lang w:eastAsia="lv-LV"/>
        </w:rPr>
        <w:t>eID</w:t>
      </w:r>
      <w:r w:rsidRPr="005565F8">
        <w:rPr>
          <w:rFonts w:ascii="Calibri Light" w:hAnsi="Calibri Light"/>
          <w:sz w:val="18"/>
          <w:szCs w:val="20"/>
        </w:rPr>
        <w:tab/>
        <w:t>elektroniskā identifikācija</w:t>
      </w:r>
    </w:p>
    <w:p w:rsidR="00ED2E3D" w:rsidRPr="005565F8" w:rsidP="006916CB" w14:paraId="4C72069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EISI</w:t>
      </w:r>
      <w:r w:rsidRPr="005565F8">
        <w:rPr>
          <w:rFonts w:ascii="Calibri Light" w:hAnsi="Calibri Light"/>
          <w:sz w:val="18"/>
          <w:szCs w:val="20"/>
        </w:rPr>
        <w:tab/>
      </w:r>
      <w:r w:rsidRPr="005565F8">
        <w:rPr>
          <w:rFonts w:ascii="Calibri Light" w:eastAsia="Times New Roman" w:hAnsi="Calibri Light"/>
          <w:color w:val="000000"/>
          <w:sz w:val="18"/>
          <w:szCs w:val="20"/>
          <w:lang w:eastAsia="lv-LV"/>
        </w:rPr>
        <w:t>Eiropas infrastruktūras savienošanas instrumenta</w:t>
      </w:r>
    </w:p>
    <w:p w:rsidR="00916B2C" w:rsidRPr="005565F8" w:rsidP="006916CB" w14:paraId="4D73017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EJZF</w:t>
      </w:r>
      <w:r w:rsidRPr="005565F8">
        <w:rPr>
          <w:rFonts w:ascii="Calibri Light" w:eastAsia="Times New Roman" w:hAnsi="Calibri Light"/>
          <w:color w:val="000000"/>
          <w:sz w:val="18"/>
          <w:szCs w:val="20"/>
          <w:lang w:eastAsia="lv-LV"/>
        </w:rPr>
        <w:tab/>
        <w:t>Eiropas Jūrlietu un zivsaimniecības fonds</w:t>
      </w:r>
      <w:r w:rsidRPr="005565F8" w:rsidR="003132CF">
        <w:rPr>
          <w:rFonts w:ascii="Calibri Light" w:eastAsia="Times New Roman" w:hAnsi="Calibri Light"/>
          <w:color w:val="000000"/>
          <w:sz w:val="18"/>
          <w:szCs w:val="20"/>
          <w:lang w:eastAsia="lv-LV"/>
        </w:rPr>
        <w:t xml:space="preserve"> (2014.-2020.g.)</w:t>
      </w:r>
    </w:p>
    <w:p w:rsidR="00916B2C" w:rsidRPr="005565F8" w:rsidP="006916CB" w14:paraId="500BA6FE"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EK</w:t>
      </w:r>
      <w:r w:rsidRPr="005565F8">
        <w:rPr>
          <w:rFonts w:ascii="Calibri Light" w:eastAsia="Times New Roman" w:hAnsi="Calibri Light"/>
          <w:color w:val="000000"/>
          <w:sz w:val="18"/>
          <w:szCs w:val="20"/>
          <w:lang w:eastAsia="lv-LV"/>
        </w:rPr>
        <w:tab/>
        <w:t>Eiropas Komisija</w:t>
      </w:r>
    </w:p>
    <w:p w:rsidR="00916B2C" w:rsidRPr="005565F8" w:rsidP="006916CB" w14:paraId="6A122EAB"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EKI</w:t>
      </w:r>
      <w:r w:rsidRPr="005565F8">
        <w:rPr>
          <w:rFonts w:ascii="Calibri Light" w:eastAsia="Times New Roman" w:hAnsi="Calibri Light"/>
          <w:color w:val="000000"/>
          <w:sz w:val="18"/>
          <w:szCs w:val="20"/>
          <w:lang w:eastAsia="lv-LV"/>
        </w:rPr>
        <w:tab/>
        <w:t xml:space="preserve">Eiropas kvalifikāciju </w:t>
      </w:r>
      <w:r w:rsidRPr="005565F8">
        <w:rPr>
          <w:rFonts w:ascii="Calibri Light" w:eastAsia="Times New Roman" w:hAnsi="Calibri Light"/>
          <w:color w:val="000000"/>
          <w:sz w:val="18"/>
          <w:szCs w:val="20"/>
          <w:lang w:eastAsia="lv-LV"/>
        </w:rPr>
        <w:t>ietvarstruktūra</w:t>
      </w:r>
    </w:p>
    <w:p w:rsidR="008B694C" w:rsidRPr="005565F8" w:rsidP="006916CB" w14:paraId="56955280"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EKII</w:t>
      </w:r>
      <w:r w:rsidRPr="005565F8" w:rsidR="000C2443">
        <w:rPr>
          <w:rFonts w:ascii="Calibri Light" w:eastAsia="Times New Roman" w:hAnsi="Calibri Light"/>
          <w:color w:val="000000"/>
          <w:sz w:val="18"/>
          <w:szCs w:val="20"/>
          <w:lang w:eastAsia="lv-LV"/>
        </w:rPr>
        <w:tab/>
      </w:r>
      <w:r w:rsidRPr="005565F8" w:rsidR="006675B5">
        <w:rPr>
          <w:rFonts w:ascii="Calibri Light" w:eastAsia="Times New Roman" w:hAnsi="Calibri Light"/>
          <w:color w:val="000000"/>
          <w:sz w:val="18"/>
          <w:szCs w:val="20"/>
          <w:lang w:eastAsia="lv-LV"/>
        </w:rPr>
        <w:t>Emisijas kvotu izsolīšanas instruments</w:t>
      </w:r>
    </w:p>
    <w:p w:rsidR="00916B2C" w:rsidRPr="005565F8" w:rsidP="006916CB" w14:paraId="398AE66C"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ELFLA</w:t>
      </w:r>
      <w:r w:rsidRPr="005565F8">
        <w:rPr>
          <w:rFonts w:ascii="Calibri Light" w:eastAsia="Times New Roman" w:hAnsi="Calibri Light"/>
          <w:color w:val="000000"/>
          <w:sz w:val="18"/>
          <w:szCs w:val="20"/>
          <w:lang w:eastAsia="lv-LV"/>
        </w:rPr>
        <w:tab/>
        <w:t>Eiropas Lauksaimniecības fonds lauku attīstībai</w:t>
      </w:r>
    </w:p>
    <w:p w:rsidR="00916B2C" w:rsidRPr="005565F8" w:rsidP="006916CB" w14:paraId="20B6829F"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EM</w:t>
      </w:r>
      <w:r w:rsidRPr="005565F8">
        <w:rPr>
          <w:rFonts w:ascii="Calibri Light" w:eastAsia="Times New Roman" w:hAnsi="Calibri Light"/>
          <w:color w:val="000000"/>
          <w:sz w:val="18"/>
          <w:szCs w:val="20"/>
          <w:lang w:eastAsia="lv-LV"/>
        </w:rPr>
        <w:tab/>
        <w:t>Ekonomikas ministrija</w:t>
      </w:r>
    </w:p>
    <w:p w:rsidR="00916B2C" w:rsidRPr="005565F8" w:rsidP="006916CB" w14:paraId="14BDC8E2" w14:textId="77777777">
      <w:pPr>
        <w:spacing w:after="0"/>
        <w:ind w:left="851" w:hanging="851"/>
        <w:rPr>
          <w:rFonts w:ascii="Calibri Light" w:eastAsia="Times New Roman" w:hAnsi="Calibri Light"/>
          <w:sz w:val="18"/>
          <w:szCs w:val="20"/>
          <w:lang w:eastAsia="lv-LV"/>
        </w:rPr>
      </w:pPr>
      <w:r w:rsidRPr="005565F8">
        <w:rPr>
          <w:rFonts w:ascii="Calibri Light" w:eastAsia="Times New Roman" w:hAnsi="Calibri Light"/>
          <w:color w:val="000000"/>
          <w:sz w:val="18"/>
          <w:szCs w:val="20"/>
          <w:lang w:eastAsia="lv-LV"/>
        </w:rPr>
        <w:t>EQAR</w:t>
      </w:r>
      <w:r w:rsidRPr="005565F8">
        <w:rPr>
          <w:rFonts w:ascii="Calibri Light" w:eastAsia="Times New Roman" w:hAnsi="Calibri Light"/>
          <w:color w:val="000000"/>
          <w:sz w:val="18"/>
          <w:szCs w:val="20"/>
          <w:lang w:eastAsia="lv-LV"/>
        </w:rPr>
        <w:tab/>
      </w:r>
      <w:r w:rsidRPr="005565F8">
        <w:rPr>
          <w:rStyle w:val="st1"/>
          <w:rFonts w:ascii="Calibri Light" w:hAnsi="Calibri Light"/>
          <w:sz w:val="18"/>
          <w:szCs w:val="20"/>
        </w:rPr>
        <w:t>Eiropas augstākās izglītības kvalitātes nodrošināšanas reģistrs</w:t>
      </w:r>
    </w:p>
    <w:p w:rsidR="00916B2C" w:rsidRPr="005565F8" w:rsidP="006916CB" w14:paraId="4FD045A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ERAF</w:t>
      </w:r>
      <w:r w:rsidRPr="005565F8">
        <w:rPr>
          <w:rFonts w:ascii="Calibri Light" w:eastAsia="Times New Roman" w:hAnsi="Calibri Light"/>
          <w:color w:val="000000"/>
          <w:sz w:val="18"/>
          <w:szCs w:val="20"/>
          <w:lang w:eastAsia="lv-LV"/>
        </w:rPr>
        <w:tab/>
        <w:t>Eiropas Reģionālās attīstības fonds</w:t>
      </w:r>
    </w:p>
    <w:p w:rsidR="00916B2C" w:rsidRPr="005565F8" w:rsidP="006916CB" w14:paraId="040C7F9F"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ES</w:t>
      </w:r>
      <w:r w:rsidRPr="005565F8">
        <w:rPr>
          <w:rFonts w:ascii="Calibri Light" w:eastAsia="Times New Roman" w:hAnsi="Calibri Light"/>
          <w:color w:val="000000"/>
          <w:sz w:val="18"/>
          <w:szCs w:val="20"/>
          <w:lang w:eastAsia="lv-LV"/>
        </w:rPr>
        <w:tab/>
        <w:t>Eiropas Savienība</w:t>
      </w:r>
    </w:p>
    <w:p w:rsidR="00916B2C" w:rsidRPr="005565F8" w:rsidP="006916CB" w14:paraId="6E889E79"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ESF</w:t>
      </w:r>
      <w:r w:rsidRPr="005565F8">
        <w:rPr>
          <w:rFonts w:ascii="Calibri Light" w:eastAsia="Times New Roman" w:hAnsi="Calibri Light"/>
          <w:color w:val="000000"/>
          <w:sz w:val="18"/>
          <w:szCs w:val="20"/>
          <w:lang w:eastAsia="lv-LV"/>
        </w:rPr>
        <w:tab/>
        <w:t>Eiropas Sociālais fonds</w:t>
      </w:r>
    </w:p>
    <w:p w:rsidR="0043781D" w:rsidRPr="005565F8" w:rsidP="006916CB" w14:paraId="0A346C2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ESSPROS</w:t>
      </w:r>
      <w:r w:rsidRPr="005565F8" w:rsidR="00F77C19">
        <w:rPr>
          <w:rFonts w:ascii="Calibri Light" w:eastAsia="Times New Roman" w:hAnsi="Calibri Light"/>
          <w:color w:val="000000"/>
          <w:sz w:val="18"/>
          <w:szCs w:val="20"/>
          <w:lang w:eastAsia="lv-LV"/>
        </w:rPr>
        <w:tab/>
      </w:r>
      <w:r w:rsidRPr="005565F8">
        <w:rPr>
          <w:rFonts w:ascii="Calibri Light" w:eastAsia="Times New Roman" w:hAnsi="Calibri Light"/>
          <w:color w:val="000000"/>
          <w:sz w:val="18"/>
          <w:szCs w:val="20"/>
          <w:lang w:eastAsia="lv-LV"/>
        </w:rPr>
        <w:t>Eiropas Integrētās sociālās aizsardzības statistikas sistēma</w:t>
      </w:r>
    </w:p>
    <w:p w:rsidR="00916B2C" w:rsidRPr="005565F8" w:rsidP="006916CB" w14:paraId="18254F0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ETS</w:t>
      </w:r>
      <w:r w:rsidRPr="005565F8">
        <w:rPr>
          <w:rFonts w:ascii="Calibri Light" w:eastAsia="Times New Roman" w:hAnsi="Calibri Light"/>
          <w:color w:val="000000"/>
          <w:sz w:val="18"/>
          <w:szCs w:val="20"/>
          <w:lang w:eastAsia="lv-LV"/>
        </w:rPr>
        <w:tab/>
        <w:t>Emisijas kvotu tirdzniecības sistēma</w:t>
      </w:r>
    </w:p>
    <w:p w:rsidR="00916B2C" w:rsidRPr="005565F8" w:rsidP="006916CB" w14:paraId="6A54E6D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EUR</w:t>
      </w:r>
      <w:r w:rsidRPr="005565F8">
        <w:rPr>
          <w:rFonts w:ascii="Calibri Light" w:eastAsia="Times New Roman" w:hAnsi="Calibri Light"/>
          <w:color w:val="000000"/>
          <w:sz w:val="18"/>
          <w:szCs w:val="20"/>
          <w:lang w:eastAsia="lv-LV"/>
        </w:rPr>
        <w:tab/>
      </w:r>
      <w:r w:rsidRPr="005565F8">
        <w:rPr>
          <w:rFonts w:ascii="Calibri Light" w:eastAsia="Times New Roman" w:hAnsi="Calibri Light"/>
          <w:i/>
          <w:color w:val="000000"/>
          <w:sz w:val="18"/>
          <w:szCs w:val="20"/>
          <w:lang w:eastAsia="lv-LV"/>
        </w:rPr>
        <w:t>euro</w:t>
      </w:r>
      <w:r w:rsidRPr="005565F8">
        <w:rPr>
          <w:rFonts w:ascii="Calibri Light" w:eastAsia="Times New Roman" w:hAnsi="Calibri Light"/>
          <w:color w:val="000000"/>
          <w:sz w:val="18"/>
          <w:szCs w:val="20"/>
          <w:lang w:eastAsia="lv-LV"/>
        </w:rPr>
        <w:t>, ES vienotā valūta</w:t>
      </w:r>
    </w:p>
    <w:p w:rsidR="00916B2C" w:rsidRPr="005565F8" w:rsidP="006916CB" w14:paraId="56282A75"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FDL</w:t>
      </w:r>
      <w:r w:rsidRPr="005565F8">
        <w:rPr>
          <w:rFonts w:ascii="Calibri Light" w:eastAsia="Times New Roman" w:hAnsi="Calibri Light"/>
          <w:color w:val="000000"/>
          <w:sz w:val="18"/>
          <w:szCs w:val="20"/>
          <w:lang w:eastAsia="lv-LV"/>
        </w:rPr>
        <w:tab/>
        <w:t>Fiskālās disciplīnas likums</w:t>
      </w:r>
    </w:p>
    <w:p w:rsidR="00916B2C" w:rsidRPr="005565F8" w:rsidP="006916CB" w14:paraId="5DF1A35E"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FKTK</w:t>
      </w:r>
      <w:r w:rsidRPr="005565F8">
        <w:rPr>
          <w:rFonts w:ascii="Calibri Light" w:eastAsia="Times New Roman" w:hAnsi="Calibri Light"/>
          <w:color w:val="000000"/>
          <w:sz w:val="18"/>
          <w:szCs w:val="20"/>
          <w:lang w:eastAsia="lv-LV"/>
        </w:rPr>
        <w:tab/>
        <w:t>Finanšu un kapitāla tirgus komisija</w:t>
      </w:r>
    </w:p>
    <w:p w:rsidR="00916B2C" w:rsidRPr="005565F8" w:rsidP="006916CB" w14:paraId="1A15375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FM</w:t>
      </w:r>
      <w:r w:rsidRPr="005565F8">
        <w:rPr>
          <w:rFonts w:ascii="Calibri Light" w:eastAsia="Times New Roman" w:hAnsi="Calibri Light"/>
          <w:color w:val="000000"/>
          <w:sz w:val="18"/>
          <w:szCs w:val="20"/>
          <w:lang w:eastAsia="lv-LV"/>
        </w:rPr>
        <w:tab/>
        <w:t>Finanšu ministrija</w:t>
      </w:r>
    </w:p>
    <w:p w:rsidR="00916B2C" w:rsidRPr="005565F8" w:rsidP="006916CB" w14:paraId="3AF82D6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GWh</w:t>
      </w:r>
      <w:r w:rsidRPr="005565F8">
        <w:rPr>
          <w:rFonts w:ascii="Calibri Light" w:eastAsia="Times New Roman" w:hAnsi="Calibri Light"/>
          <w:color w:val="000000"/>
          <w:sz w:val="18"/>
          <w:szCs w:val="20"/>
          <w:lang w:eastAsia="lv-LV"/>
        </w:rPr>
        <w:tab/>
        <w:t>gigavatstund</w:t>
      </w:r>
      <w:r w:rsidRPr="005565F8" w:rsidR="00BD6BE9">
        <w:rPr>
          <w:rFonts w:ascii="Calibri Light" w:eastAsia="Times New Roman" w:hAnsi="Calibri Light"/>
          <w:color w:val="000000"/>
          <w:sz w:val="18"/>
          <w:szCs w:val="20"/>
          <w:lang w:eastAsia="lv-LV"/>
        </w:rPr>
        <w:t>a</w:t>
      </w:r>
    </w:p>
    <w:p w:rsidR="00916B2C" w:rsidRPr="005565F8" w:rsidP="006916CB" w14:paraId="5DF21EAE" w14:textId="77777777">
      <w:pPr>
        <w:spacing w:after="0"/>
        <w:ind w:left="851" w:hanging="851"/>
        <w:rPr>
          <w:rFonts w:ascii="Calibri Light" w:eastAsia="Times New Roman" w:hAnsi="Calibri Light"/>
          <w:i/>
          <w:color w:val="000000"/>
          <w:sz w:val="18"/>
          <w:szCs w:val="20"/>
          <w:lang w:eastAsia="lv-LV"/>
        </w:rPr>
      </w:pPr>
      <w:r w:rsidRPr="005565F8">
        <w:rPr>
          <w:rFonts w:ascii="Calibri Light" w:eastAsia="Times New Roman" w:hAnsi="Calibri Light"/>
          <w:color w:val="000000"/>
          <w:sz w:val="18"/>
          <w:szCs w:val="20"/>
          <w:lang w:eastAsia="lv-LV"/>
        </w:rPr>
        <w:t>IAP</w:t>
      </w:r>
      <w:r w:rsidRPr="005565F8">
        <w:rPr>
          <w:rFonts w:ascii="Calibri Light" w:eastAsia="Times New Roman" w:hAnsi="Calibri Light"/>
          <w:color w:val="000000"/>
          <w:sz w:val="18"/>
          <w:szCs w:val="20"/>
          <w:lang w:eastAsia="lv-LV"/>
        </w:rPr>
        <w:tab/>
      </w:r>
      <w:r w:rsidRPr="005565F8">
        <w:rPr>
          <w:rFonts w:ascii="Calibri Light" w:eastAsia="Times New Roman" w:hAnsi="Calibri Light"/>
          <w:i/>
          <w:color w:val="000000"/>
          <w:sz w:val="18"/>
          <w:szCs w:val="20"/>
          <w:lang w:eastAsia="lv-LV"/>
        </w:rPr>
        <w:t>Izglītības attīstības pamatnostādnes 2014.-2020.gadam</w:t>
      </w:r>
    </w:p>
    <w:p w:rsidR="00916B2C" w:rsidRPr="005565F8" w:rsidP="006916CB" w14:paraId="2C8FF2BF"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IIN</w:t>
      </w:r>
      <w:r w:rsidRPr="005565F8">
        <w:rPr>
          <w:rFonts w:ascii="Calibri Light" w:eastAsia="Times New Roman" w:hAnsi="Calibri Light"/>
          <w:color w:val="000000"/>
          <w:sz w:val="18"/>
          <w:szCs w:val="20"/>
          <w:lang w:eastAsia="lv-LV"/>
        </w:rPr>
        <w:tab/>
        <w:t>iedzīvotāju ienākuma nodoklis</w:t>
      </w:r>
    </w:p>
    <w:p w:rsidR="00D137E5" w:rsidRPr="005565F8" w:rsidP="006916CB" w14:paraId="296054B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IKNL</w:t>
      </w:r>
      <w:r w:rsidRPr="005565F8">
        <w:rPr>
          <w:rFonts w:ascii="Calibri Light" w:hAnsi="Calibri Light"/>
          <w:sz w:val="18"/>
          <w:szCs w:val="20"/>
        </w:rPr>
        <w:tab/>
        <w:t>Interešu konflikta novēršanas likums</w:t>
      </w:r>
    </w:p>
    <w:p w:rsidR="00916B2C" w:rsidRPr="005565F8" w:rsidP="006916CB" w14:paraId="6F9DD2D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IKP</w:t>
      </w:r>
      <w:r w:rsidRPr="005565F8">
        <w:rPr>
          <w:rFonts w:ascii="Calibri Light" w:eastAsia="Times New Roman" w:hAnsi="Calibri Light"/>
          <w:color w:val="000000"/>
          <w:sz w:val="18"/>
          <w:szCs w:val="20"/>
          <w:lang w:eastAsia="lv-LV"/>
        </w:rPr>
        <w:tab/>
        <w:t>iekšzemes kopprodukts</w:t>
      </w:r>
    </w:p>
    <w:p w:rsidR="00916B2C" w:rsidRPr="005565F8" w:rsidP="006916CB" w14:paraId="14AE08A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IKT</w:t>
      </w:r>
      <w:r w:rsidRPr="005565F8">
        <w:rPr>
          <w:rFonts w:ascii="Calibri Light" w:eastAsia="Times New Roman" w:hAnsi="Calibri Light"/>
          <w:color w:val="000000"/>
          <w:sz w:val="18"/>
          <w:szCs w:val="20"/>
          <w:lang w:eastAsia="lv-LV"/>
        </w:rPr>
        <w:tab/>
        <w:t>informācijas un komunikācijas tehnoloģijas</w:t>
      </w:r>
    </w:p>
    <w:p w:rsidR="00916B2C" w:rsidRPr="005565F8" w:rsidP="006916CB" w14:paraId="738DB478" w14:textId="77777777">
      <w:pPr>
        <w:spacing w:after="0"/>
        <w:ind w:left="851" w:hanging="851"/>
        <w:rPr>
          <w:rFonts w:ascii="Calibri Light" w:eastAsia="Times New Roman" w:hAnsi="Calibri Light"/>
          <w:i/>
          <w:color w:val="000000"/>
          <w:sz w:val="18"/>
          <w:szCs w:val="20"/>
          <w:lang w:eastAsia="lv-LV"/>
        </w:rPr>
      </w:pPr>
      <w:r w:rsidRPr="005565F8">
        <w:rPr>
          <w:rFonts w:ascii="Calibri Light" w:eastAsia="Times New Roman" w:hAnsi="Calibri Light"/>
          <w:color w:val="000000"/>
          <w:sz w:val="18"/>
          <w:szCs w:val="20"/>
          <w:lang w:eastAsia="lv-LV"/>
        </w:rPr>
        <w:t>ISAP</w:t>
      </w:r>
      <w:r w:rsidRPr="005565F8">
        <w:rPr>
          <w:rFonts w:ascii="Calibri Light" w:eastAsia="Times New Roman" w:hAnsi="Calibri Light"/>
          <w:color w:val="000000"/>
          <w:sz w:val="18"/>
          <w:szCs w:val="20"/>
          <w:lang w:eastAsia="lv-LV"/>
        </w:rPr>
        <w:tab/>
      </w:r>
      <w:r w:rsidRPr="005565F8">
        <w:rPr>
          <w:rFonts w:ascii="Calibri Light" w:eastAsia="Times New Roman" w:hAnsi="Calibri Light"/>
          <w:i/>
          <w:color w:val="000000"/>
          <w:sz w:val="18"/>
          <w:szCs w:val="20"/>
          <w:lang w:eastAsia="lv-LV"/>
        </w:rPr>
        <w:t>Informācijas sabiedrības attīstības pamatnostādnes 2014.-2020.gadam</w:t>
      </w:r>
    </w:p>
    <w:p w:rsidR="00916B2C" w:rsidRPr="005565F8" w:rsidP="006916CB" w14:paraId="1E515156"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IT</w:t>
      </w:r>
      <w:r w:rsidRPr="005565F8">
        <w:rPr>
          <w:rFonts w:ascii="Calibri Light" w:eastAsia="Times New Roman" w:hAnsi="Calibri Light"/>
          <w:color w:val="000000"/>
          <w:sz w:val="18"/>
          <w:szCs w:val="20"/>
          <w:lang w:eastAsia="lv-LV"/>
        </w:rPr>
        <w:tab/>
        <w:t>informācijas tehnoloģijas</w:t>
      </w:r>
    </w:p>
    <w:p w:rsidR="00916B2C" w:rsidRPr="005565F8" w:rsidP="006916CB" w14:paraId="30AA1FE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IZM</w:t>
      </w:r>
      <w:r w:rsidRPr="005565F8">
        <w:rPr>
          <w:rFonts w:ascii="Calibri Light" w:eastAsia="Times New Roman" w:hAnsi="Calibri Light"/>
          <w:color w:val="000000"/>
          <w:sz w:val="18"/>
          <w:szCs w:val="20"/>
          <w:lang w:eastAsia="lv-LV"/>
        </w:rPr>
        <w:tab/>
        <w:t>Izglītības un zinātnes ministrija</w:t>
      </w:r>
    </w:p>
    <w:p w:rsidR="00916B2C" w:rsidRPr="005565F8" w:rsidP="006916CB" w14:paraId="09964AE5"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JNI</w:t>
      </w:r>
      <w:r w:rsidRPr="005565F8">
        <w:rPr>
          <w:rFonts w:ascii="Calibri Light" w:eastAsia="Times New Roman" w:hAnsi="Calibri Light"/>
          <w:color w:val="000000"/>
          <w:sz w:val="18"/>
          <w:szCs w:val="20"/>
          <w:lang w:eastAsia="lv-LV"/>
        </w:rPr>
        <w:tab/>
        <w:t>Jauniešu nodarbinātības iniciatīva</w:t>
      </w:r>
    </w:p>
    <w:p w:rsidR="00916B2C" w:rsidRPr="005565F8" w:rsidP="006916CB" w14:paraId="65C3D73B"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KF</w:t>
      </w:r>
      <w:r w:rsidRPr="005565F8">
        <w:rPr>
          <w:rFonts w:ascii="Calibri Light" w:eastAsia="Times New Roman" w:hAnsi="Calibri Light"/>
          <w:color w:val="000000"/>
          <w:sz w:val="18"/>
          <w:szCs w:val="20"/>
          <w:lang w:eastAsia="lv-LV"/>
        </w:rPr>
        <w:tab/>
        <w:t>Kohēzijas fonds</w:t>
      </w:r>
    </w:p>
    <w:p w:rsidR="00B85289" w:rsidRPr="005565F8" w:rsidP="006916CB" w14:paraId="2524DA70"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km</w:t>
      </w:r>
      <w:r w:rsidRPr="005565F8">
        <w:rPr>
          <w:rFonts w:ascii="Calibri Light" w:eastAsia="Times New Roman" w:hAnsi="Calibri Light"/>
          <w:color w:val="000000"/>
          <w:sz w:val="18"/>
          <w:szCs w:val="20"/>
          <w:lang w:eastAsia="lv-LV"/>
        </w:rPr>
        <w:tab/>
        <w:t>kilometrs</w:t>
      </w:r>
    </w:p>
    <w:p w:rsidR="00916B2C" w:rsidRPr="005565F8" w:rsidP="006916CB" w14:paraId="11DCB2A9"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KM</w:t>
      </w:r>
      <w:r w:rsidRPr="005565F8">
        <w:rPr>
          <w:rFonts w:ascii="Calibri Light" w:eastAsia="Times New Roman" w:hAnsi="Calibri Light"/>
          <w:color w:val="000000"/>
          <w:sz w:val="18"/>
          <w:szCs w:val="20"/>
          <w:lang w:eastAsia="lv-LV"/>
        </w:rPr>
        <w:tab/>
        <w:t>Kultūras ministrija</w:t>
      </w:r>
    </w:p>
    <w:p w:rsidR="00B85289" w:rsidRPr="005565F8" w:rsidP="006916CB" w14:paraId="5ABECB2B"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KNAB</w:t>
      </w:r>
      <w:r w:rsidRPr="005565F8">
        <w:rPr>
          <w:rFonts w:ascii="Calibri Light" w:eastAsia="Times New Roman" w:hAnsi="Calibri Light"/>
          <w:color w:val="000000"/>
          <w:sz w:val="18"/>
          <w:szCs w:val="20"/>
          <w:lang w:eastAsia="lv-LV"/>
        </w:rPr>
        <w:tab/>
        <w:t>Korupcijas novēršanas un apkarošanas birojs</w:t>
      </w:r>
    </w:p>
    <w:p w:rsidR="00916B2C" w:rsidRPr="005565F8" w:rsidP="006916CB" w14:paraId="64851F4A"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KPFI</w:t>
      </w:r>
      <w:r w:rsidRPr="005565F8">
        <w:rPr>
          <w:rFonts w:ascii="Calibri Light" w:eastAsia="Times New Roman" w:hAnsi="Calibri Light"/>
          <w:color w:val="000000"/>
          <w:sz w:val="18"/>
          <w:szCs w:val="20"/>
          <w:lang w:eastAsia="lv-LV"/>
        </w:rPr>
        <w:tab/>
        <w:t>Klimata pārmaiņu finanšu instruments</w:t>
      </w:r>
    </w:p>
    <w:p w:rsidR="008B694C" w:rsidRPr="005565F8" w:rsidP="006916CB" w14:paraId="620E3E96"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ktoe</w:t>
      </w:r>
      <w:r w:rsidRPr="005565F8" w:rsidR="000C2443">
        <w:rPr>
          <w:rFonts w:ascii="Calibri Light" w:eastAsia="Times New Roman" w:hAnsi="Calibri Light"/>
          <w:color w:val="000000"/>
          <w:sz w:val="18"/>
          <w:szCs w:val="20"/>
          <w:lang w:eastAsia="lv-LV"/>
        </w:rPr>
        <w:tab/>
      </w:r>
      <w:r w:rsidRPr="005565F8" w:rsidR="00C46104">
        <w:rPr>
          <w:rFonts w:ascii="Calibri Light" w:eastAsia="Times New Roman" w:hAnsi="Calibri Light"/>
          <w:color w:val="000000"/>
          <w:sz w:val="18"/>
          <w:szCs w:val="20"/>
          <w:lang w:eastAsia="lv-LV"/>
        </w:rPr>
        <w:t>kilotonna naftas ekvivalenta</w:t>
      </w:r>
    </w:p>
    <w:p w:rsidR="00B85289" w:rsidRPr="005565F8" w:rsidP="006916CB" w14:paraId="5783DF20"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kWh</w:t>
      </w:r>
      <w:r w:rsidRPr="005565F8">
        <w:rPr>
          <w:rFonts w:ascii="Calibri Light" w:eastAsia="Times New Roman" w:hAnsi="Calibri Light"/>
          <w:color w:val="000000"/>
          <w:sz w:val="18"/>
          <w:szCs w:val="20"/>
          <w:lang w:eastAsia="lv-LV"/>
        </w:rPr>
        <w:tab/>
        <w:t>kilovatstunda</w:t>
      </w:r>
    </w:p>
    <w:p w:rsidR="000C2443" w:rsidRPr="005565F8" w:rsidP="006916CB" w14:paraId="7913B845"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LB</w:t>
      </w:r>
      <w:r w:rsidRPr="005565F8">
        <w:rPr>
          <w:rFonts w:ascii="Calibri Light" w:eastAsia="Times New Roman" w:hAnsi="Calibri Light"/>
          <w:color w:val="000000"/>
          <w:sz w:val="18"/>
          <w:szCs w:val="20"/>
          <w:lang w:eastAsia="lv-LV"/>
        </w:rPr>
        <w:tab/>
        <w:t>Latvijas banka</w:t>
      </w:r>
    </w:p>
    <w:p w:rsidR="00916B2C" w:rsidRPr="005565F8" w:rsidP="006916CB" w14:paraId="0491339E"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LBAS</w:t>
      </w:r>
      <w:r w:rsidRPr="005565F8">
        <w:rPr>
          <w:rFonts w:ascii="Calibri Light" w:eastAsia="Times New Roman" w:hAnsi="Calibri Light"/>
          <w:color w:val="000000"/>
          <w:sz w:val="18"/>
          <w:szCs w:val="20"/>
          <w:lang w:eastAsia="lv-LV"/>
        </w:rPr>
        <w:tab/>
        <w:t>Latvijas Brīvo Arodbiedrību Savienība</w:t>
      </w:r>
    </w:p>
    <w:p w:rsidR="00916B2C" w:rsidRPr="005565F8" w:rsidP="006916CB" w14:paraId="5175F450"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LDDK</w:t>
      </w:r>
      <w:r w:rsidRPr="005565F8">
        <w:rPr>
          <w:rFonts w:ascii="Calibri Light" w:eastAsia="Times New Roman" w:hAnsi="Calibri Light"/>
          <w:color w:val="000000"/>
          <w:sz w:val="18"/>
          <w:szCs w:val="20"/>
          <w:lang w:eastAsia="lv-LV"/>
        </w:rPr>
        <w:tab/>
        <w:t>Latvijas Darba devēju konfederācija</w:t>
      </w:r>
    </w:p>
    <w:p w:rsidR="00916B2C" w:rsidRPr="005565F8" w:rsidP="006916CB" w14:paraId="352A789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LIAA</w:t>
      </w:r>
      <w:r w:rsidRPr="005565F8">
        <w:rPr>
          <w:rFonts w:ascii="Calibri Light" w:eastAsia="Times New Roman" w:hAnsi="Calibri Light"/>
          <w:color w:val="000000"/>
          <w:sz w:val="18"/>
          <w:szCs w:val="20"/>
          <w:lang w:eastAsia="lv-LV"/>
        </w:rPr>
        <w:tab/>
        <w:t>Latvijas Investīciju un attīstības aģentūra</w:t>
      </w:r>
    </w:p>
    <w:p w:rsidR="00B85289" w:rsidRPr="005565F8" w:rsidP="006916CB" w14:paraId="3960A59A"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LKI</w:t>
      </w:r>
      <w:r w:rsidRPr="005565F8">
        <w:rPr>
          <w:rFonts w:ascii="Calibri Light" w:eastAsia="Times New Roman" w:hAnsi="Calibri Light"/>
          <w:color w:val="000000"/>
          <w:sz w:val="18"/>
          <w:szCs w:val="20"/>
          <w:lang w:eastAsia="lv-LV"/>
        </w:rPr>
        <w:tab/>
        <w:t xml:space="preserve">Latvijas kvalifikācijas </w:t>
      </w:r>
      <w:r w:rsidRPr="005565F8">
        <w:rPr>
          <w:rFonts w:ascii="Calibri Light" w:eastAsia="Times New Roman" w:hAnsi="Calibri Light"/>
          <w:color w:val="000000"/>
          <w:sz w:val="18"/>
          <w:szCs w:val="20"/>
          <w:lang w:eastAsia="lv-LV"/>
        </w:rPr>
        <w:t>ietvarstruktūra</w:t>
      </w:r>
    </w:p>
    <w:p w:rsidR="00916B2C" w:rsidRPr="005565F8" w:rsidP="006916CB" w14:paraId="4BBDC4A2"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LM</w:t>
      </w:r>
      <w:r w:rsidRPr="005565F8">
        <w:rPr>
          <w:rFonts w:ascii="Calibri Light" w:eastAsia="Times New Roman" w:hAnsi="Calibri Light"/>
          <w:color w:val="000000"/>
          <w:sz w:val="18"/>
          <w:szCs w:val="20"/>
          <w:lang w:eastAsia="lv-LV"/>
        </w:rPr>
        <w:tab/>
        <w:t>Labklājības ministrija</w:t>
      </w:r>
    </w:p>
    <w:p w:rsidR="00916B2C" w:rsidRPr="005565F8" w:rsidP="006916CB" w14:paraId="4A2D63D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LPR</w:t>
      </w:r>
      <w:r w:rsidRPr="005565F8">
        <w:rPr>
          <w:rFonts w:ascii="Calibri Light" w:eastAsia="Times New Roman" w:hAnsi="Calibri Light"/>
          <w:color w:val="000000"/>
          <w:sz w:val="18"/>
          <w:szCs w:val="20"/>
          <w:lang w:eastAsia="lv-LV"/>
        </w:rPr>
        <w:tab/>
        <w:t>Latgales plānošanas reģions</w:t>
      </w:r>
    </w:p>
    <w:p w:rsidR="00916B2C" w:rsidRPr="005565F8" w:rsidP="006916CB" w14:paraId="4A5B81D9"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LTRK</w:t>
      </w:r>
      <w:r w:rsidRPr="005565F8">
        <w:rPr>
          <w:rFonts w:ascii="Calibri Light" w:eastAsia="Times New Roman" w:hAnsi="Calibri Light"/>
          <w:color w:val="000000"/>
          <w:sz w:val="18"/>
          <w:szCs w:val="20"/>
          <w:lang w:eastAsia="lv-LV"/>
        </w:rPr>
        <w:tab/>
        <w:t>Latvijas Tirdzniecības un rūpniecības kamera</w:t>
      </w:r>
    </w:p>
    <w:p w:rsidR="009F794E" w:rsidRPr="005565F8" w:rsidP="006916CB" w14:paraId="339146C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Mbps</w:t>
      </w:r>
      <w:r w:rsidRPr="005565F8">
        <w:rPr>
          <w:rFonts w:ascii="Calibri Light" w:eastAsia="Times New Roman" w:hAnsi="Calibri Light"/>
          <w:color w:val="000000"/>
          <w:sz w:val="18"/>
          <w:szCs w:val="20"/>
          <w:lang w:eastAsia="lv-LV"/>
        </w:rPr>
        <w:tab/>
        <w:t>megabits sekundē</w:t>
      </w:r>
    </w:p>
    <w:p w:rsidR="00916B2C" w:rsidRPr="005565F8" w:rsidP="006916CB" w14:paraId="6754740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MK</w:t>
      </w:r>
      <w:r w:rsidRPr="005565F8">
        <w:rPr>
          <w:rFonts w:ascii="Calibri Light" w:eastAsia="Times New Roman" w:hAnsi="Calibri Light"/>
          <w:color w:val="000000"/>
          <w:sz w:val="18"/>
          <w:szCs w:val="20"/>
          <w:lang w:eastAsia="lv-LV"/>
        </w:rPr>
        <w:tab/>
        <w:t>Ministru kabinets</w:t>
      </w:r>
    </w:p>
    <w:p w:rsidR="00916B2C" w:rsidRPr="005565F8" w:rsidP="006916CB" w14:paraId="2DF39ABE"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Mt</w:t>
      </w:r>
      <w:r w:rsidRPr="005565F8">
        <w:rPr>
          <w:rFonts w:ascii="Calibri Light" w:eastAsia="Times New Roman" w:hAnsi="Calibri Light"/>
          <w:color w:val="000000"/>
          <w:sz w:val="18"/>
          <w:szCs w:val="20"/>
          <w:lang w:eastAsia="lv-LV"/>
        </w:rPr>
        <w:tab/>
        <w:t>megatonna</w:t>
      </w:r>
    </w:p>
    <w:p w:rsidR="00916B2C" w:rsidRPr="005565F8" w:rsidP="006916CB" w14:paraId="758423F7"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Mtoe</w:t>
      </w:r>
      <w:r w:rsidRPr="005565F8">
        <w:rPr>
          <w:rFonts w:ascii="Calibri Light" w:eastAsia="Times New Roman" w:hAnsi="Calibri Light"/>
          <w:color w:val="000000"/>
          <w:sz w:val="18"/>
          <w:szCs w:val="20"/>
          <w:lang w:eastAsia="lv-LV"/>
        </w:rPr>
        <w:tab/>
        <w:t>megatonna naftas ekvivalenta</w:t>
      </w:r>
    </w:p>
    <w:p w:rsidR="00916B2C" w:rsidRPr="005565F8" w:rsidP="006916CB" w14:paraId="6964BCBB"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MVK</w:t>
      </w:r>
      <w:r w:rsidRPr="005565F8">
        <w:rPr>
          <w:rFonts w:ascii="Calibri Light" w:eastAsia="Times New Roman" w:hAnsi="Calibri Light"/>
          <w:color w:val="000000"/>
          <w:sz w:val="18"/>
          <w:szCs w:val="20"/>
          <w:lang w:eastAsia="lv-LV"/>
        </w:rPr>
        <w:tab/>
        <w:t>mazie un vidējie komersanti</w:t>
      </w:r>
    </w:p>
    <w:p w:rsidR="008147B2" w:rsidRPr="005565F8" w:rsidP="006916CB" w14:paraId="58A93177"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MVU</w:t>
      </w:r>
      <w:r w:rsidRPr="005565F8">
        <w:rPr>
          <w:rFonts w:ascii="Calibri Light" w:eastAsia="Times New Roman" w:hAnsi="Calibri Light"/>
          <w:color w:val="000000"/>
          <w:sz w:val="18"/>
          <w:szCs w:val="20"/>
          <w:lang w:eastAsia="lv-LV"/>
        </w:rPr>
        <w:tab/>
        <w:t>mazie un vidējie uzņēmumi</w:t>
      </w:r>
    </w:p>
    <w:p w:rsidR="00916B2C" w:rsidRPr="005565F8" w:rsidP="006916CB" w14:paraId="6DDB92C5"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MW</w:t>
      </w:r>
      <w:r w:rsidRPr="005565F8">
        <w:rPr>
          <w:rFonts w:ascii="Calibri Light" w:eastAsia="Times New Roman" w:hAnsi="Calibri Light"/>
          <w:color w:val="000000"/>
          <w:sz w:val="18"/>
          <w:szCs w:val="20"/>
          <w:lang w:eastAsia="lv-LV"/>
        </w:rPr>
        <w:tab/>
        <w:t>megavats</w:t>
      </w:r>
    </w:p>
    <w:p w:rsidR="00916B2C" w:rsidRPr="005565F8" w:rsidP="006916CB" w14:paraId="1B9A8907"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NEET</w:t>
      </w:r>
      <w:r w:rsidRPr="005565F8">
        <w:rPr>
          <w:rFonts w:ascii="Calibri Light" w:eastAsia="Times New Roman" w:hAnsi="Calibri Light"/>
          <w:color w:val="000000"/>
          <w:sz w:val="18"/>
          <w:szCs w:val="20"/>
          <w:lang w:eastAsia="lv-LV"/>
        </w:rPr>
        <w:tab/>
        <w:t>jaunieši, kas nav iesaistīti izglītībā, apmācībā vai nodarbinātībā</w:t>
      </w:r>
    </w:p>
    <w:p w:rsidR="00A45091" w:rsidRPr="005565F8" w:rsidP="006916CB" w14:paraId="128795F5"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NILLTFN</w:t>
      </w:r>
      <w:r w:rsidRPr="005565F8">
        <w:rPr>
          <w:rFonts w:ascii="Calibri Light" w:eastAsia="Times New Roman" w:hAnsi="Calibri Light"/>
          <w:color w:val="000000"/>
          <w:sz w:val="18"/>
          <w:szCs w:val="20"/>
          <w:lang w:eastAsia="lv-LV"/>
        </w:rPr>
        <w:tab/>
        <w:t>Noziedzīgi iegūtu līdzekļu legalizācijas un terorisma finansēšanas novēršana</w:t>
      </w:r>
    </w:p>
    <w:p w:rsidR="00916B2C" w:rsidRPr="005565F8" w:rsidP="006916CB" w14:paraId="76908542"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NRP</w:t>
      </w:r>
      <w:r w:rsidRPr="005565F8">
        <w:rPr>
          <w:rFonts w:ascii="Calibri Light" w:eastAsia="Times New Roman" w:hAnsi="Calibri Light"/>
          <w:color w:val="000000"/>
          <w:sz w:val="18"/>
          <w:szCs w:val="20"/>
          <w:lang w:eastAsia="lv-LV"/>
        </w:rPr>
        <w:tab/>
        <w:t>Nacionālā reformu programma</w:t>
      </w:r>
    </w:p>
    <w:p w:rsidR="00916B2C" w:rsidRPr="005565F8" w:rsidP="006916CB" w14:paraId="21552A17"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NVA</w:t>
      </w:r>
      <w:r w:rsidRPr="005565F8">
        <w:rPr>
          <w:rFonts w:ascii="Calibri Light" w:eastAsia="Times New Roman" w:hAnsi="Calibri Light"/>
          <w:color w:val="000000"/>
          <w:sz w:val="18"/>
          <w:szCs w:val="20"/>
          <w:lang w:eastAsia="lv-LV"/>
        </w:rPr>
        <w:tab/>
        <w:t>Nodarbinātības valsts aģentūra</w:t>
      </w:r>
    </w:p>
    <w:p w:rsidR="008B694C" w:rsidRPr="005565F8" w:rsidP="006916CB" w14:paraId="5B3C8A99"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NVD</w:t>
      </w:r>
      <w:r w:rsidRPr="005565F8" w:rsidR="000C2443">
        <w:rPr>
          <w:rFonts w:ascii="Calibri Light" w:eastAsia="Times New Roman" w:hAnsi="Calibri Light"/>
          <w:color w:val="000000"/>
          <w:sz w:val="18"/>
          <w:szCs w:val="20"/>
          <w:lang w:eastAsia="lv-LV"/>
        </w:rPr>
        <w:tab/>
      </w:r>
      <w:r w:rsidRPr="005565F8" w:rsidR="002E795D">
        <w:rPr>
          <w:rFonts w:ascii="Calibri Light" w:eastAsia="Times New Roman" w:hAnsi="Calibri Light"/>
          <w:color w:val="000000"/>
          <w:sz w:val="18"/>
          <w:szCs w:val="20"/>
          <w:lang w:eastAsia="lv-LV"/>
        </w:rPr>
        <w:t xml:space="preserve">Nacionālais veselības </w:t>
      </w:r>
      <w:r w:rsidRPr="005565F8" w:rsidR="00257FBF">
        <w:rPr>
          <w:rFonts w:ascii="Calibri Light" w:eastAsia="Times New Roman" w:hAnsi="Calibri Light"/>
          <w:color w:val="000000"/>
          <w:sz w:val="18"/>
          <w:szCs w:val="20"/>
          <w:lang w:eastAsia="lv-LV"/>
        </w:rPr>
        <w:t>dienests</w:t>
      </w:r>
    </w:p>
    <w:p w:rsidR="00916B2C" w:rsidRPr="005565F8" w:rsidP="006916CB" w14:paraId="3C9DEC0B"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NVO</w:t>
      </w:r>
      <w:r w:rsidRPr="005565F8">
        <w:rPr>
          <w:rFonts w:ascii="Calibri Light" w:eastAsia="Times New Roman" w:hAnsi="Calibri Light"/>
          <w:color w:val="000000"/>
          <w:sz w:val="18"/>
          <w:szCs w:val="20"/>
          <w:lang w:eastAsia="lv-LV"/>
        </w:rPr>
        <w:tab/>
        <w:t>nevalstiskās organizācijas</w:t>
      </w:r>
    </w:p>
    <w:p w:rsidR="00916B2C" w:rsidRPr="005565F8" w:rsidP="006916CB" w14:paraId="11754162"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OECD</w:t>
      </w:r>
      <w:r w:rsidRPr="005565F8">
        <w:rPr>
          <w:rFonts w:ascii="Calibri Light" w:eastAsia="Times New Roman" w:hAnsi="Calibri Light"/>
          <w:color w:val="000000"/>
          <w:sz w:val="18"/>
          <w:szCs w:val="20"/>
          <w:lang w:eastAsia="lv-LV"/>
        </w:rPr>
        <w:tab/>
        <w:t>Ekonomiskās sadarbības un attīstības organizācija</w:t>
      </w:r>
    </w:p>
    <w:p w:rsidR="008B694C" w:rsidRPr="005565F8" w:rsidP="006916CB" w14:paraId="5A5A08D8"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OIK</w:t>
      </w:r>
      <w:r w:rsidRPr="005565F8" w:rsidR="000C2443">
        <w:rPr>
          <w:rFonts w:ascii="Calibri Light" w:eastAsia="Times New Roman" w:hAnsi="Calibri Light"/>
          <w:color w:val="000000"/>
          <w:sz w:val="18"/>
          <w:szCs w:val="20"/>
          <w:lang w:eastAsia="lv-LV"/>
        </w:rPr>
        <w:tab/>
      </w:r>
      <w:r w:rsidRPr="005565F8" w:rsidR="00257FBF">
        <w:rPr>
          <w:rFonts w:ascii="Calibri Light" w:eastAsia="Times New Roman" w:hAnsi="Calibri Light"/>
          <w:color w:val="000000"/>
          <w:sz w:val="18"/>
          <w:szCs w:val="20"/>
          <w:lang w:eastAsia="lv-LV"/>
        </w:rPr>
        <w:t>obligātā iepirkumu komponente</w:t>
      </w:r>
    </w:p>
    <w:p w:rsidR="00916B2C" w:rsidRPr="005565F8" w:rsidP="006916CB" w14:paraId="4B1221CE"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P&amp;A</w:t>
      </w:r>
      <w:r w:rsidRPr="005565F8">
        <w:rPr>
          <w:rFonts w:ascii="Calibri Light" w:eastAsia="Times New Roman" w:hAnsi="Calibri Light"/>
          <w:color w:val="000000"/>
          <w:sz w:val="18"/>
          <w:szCs w:val="20"/>
          <w:lang w:eastAsia="lv-LV"/>
        </w:rPr>
        <w:tab/>
        <w:t>pētniecība un attīstība</w:t>
      </w:r>
    </w:p>
    <w:p w:rsidR="00916B2C" w:rsidRPr="005565F8" w:rsidP="006916CB" w14:paraId="11A7C5CA" w14:textId="77777777">
      <w:pPr>
        <w:spacing w:after="0"/>
        <w:ind w:left="851" w:hanging="851"/>
        <w:rPr>
          <w:rFonts w:ascii="Calibri Light" w:hAnsi="Calibri Light"/>
          <w:sz w:val="18"/>
          <w:szCs w:val="20"/>
        </w:rPr>
      </w:pPr>
      <w:r w:rsidRPr="005565F8">
        <w:rPr>
          <w:rFonts w:ascii="Calibri Light" w:eastAsia="Times New Roman" w:hAnsi="Calibri Light"/>
          <w:color w:val="000000"/>
          <w:sz w:val="18"/>
          <w:szCs w:val="20"/>
          <w:lang w:eastAsia="lv-LV"/>
        </w:rPr>
        <w:t>PB</w:t>
      </w:r>
      <w:r w:rsidRPr="005565F8">
        <w:rPr>
          <w:rFonts w:ascii="Calibri Light" w:eastAsia="Times New Roman" w:hAnsi="Calibri Light"/>
          <w:color w:val="000000"/>
          <w:sz w:val="18"/>
          <w:szCs w:val="20"/>
          <w:lang w:eastAsia="lv-LV"/>
        </w:rPr>
        <w:tab/>
      </w:r>
      <w:r w:rsidRPr="005565F8">
        <w:rPr>
          <w:rFonts w:ascii="Calibri Light" w:hAnsi="Calibri Light"/>
          <w:sz w:val="18"/>
          <w:szCs w:val="20"/>
        </w:rPr>
        <w:t>Pasaules Banka</w:t>
      </w:r>
    </w:p>
    <w:p w:rsidR="00916B2C" w:rsidRPr="005565F8" w:rsidP="006916CB" w14:paraId="6C5B83B6" w14:textId="77777777">
      <w:pPr>
        <w:spacing w:after="0"/>
        <w:ind w:left="851" w:hanging="851"/>
        <w:rPr>
          <w:rFonts w:ascii="Calibri Light" w:hAnsi="Calibri Light"/>
          <w:sz w:val="18"/>
          <w:szCs w:val="20"/>
        </w:rPr>
      </w:pPr>
      <w:r w:rsidRPr="005565F8">
        <w:rPr>
          <w:rFonts w:ascii="Calibri Light" w:eastAsia="Times New Roman" w:hAnsi="Calibri Light"/>
          <w:color w:val="000000"/>
          <w:sz w:val="18"/>
          <w:szCs w:val="20"/>
          <w:lang w:eastAsia="lv-LV"/>
        </w:rPr>
        <w:t>PIKC</w:t>
      </w:r>
      <w:r w:rsidRPr="005565F8">
        <w:rPr>
          <w:rFonts w:ascii="Calibri Light" w:eastAsia="Times New Roman" w:hAnsi="Calibri Light"/>
          <w:color w:val="000000"/>
          <w:sz w:val="18"/>
          <w:szCs w:val="20"/>
          <w:lang w:eastAsia="lv-LV"/>
        </w:rPr>
        <w:tab/>
      </w:r>
      <w:r w:rsidRPr="005565F8">
        <w:rPr>
          <w:rFonts w:ascii="Calibri Light" w:hAnsi="Calibri Light"/>
          <w:sz w:val="18"/>
          <w:szCs w:val="20"/>
        </w:rPr>
        <w:t>Profesionālās izglītības kompetences centrs</w:t>
      </w:r>
    </w:p>
    <w:p w:rsidR="00AC4851" w:rsidRPr="005565F8" w:rsidP="006916CB" w14:paraId="0DD8D93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PINTSA</w:t>
      </w:r>
      <w:r w:rsidRPr="005565F8" w:rsidR="000C2443">
        <w:rPr>
          <w:rFonts w:ascii="Calibri Light" w:eastAsia="Times New Roman" w:hAnsi="Calibri Light"/>
          <w:color w:val="000000"/>
          <w:sz w:val="18"/>
          <w:szCs w:val="20"/>
          <w:lang w:eastAsia="lv-LV"/>
        </w:rPr>
        <w:tab/>
      </w:r>
      <w:r w:rsidRPr="005565F8" w:rsidR="001C370E">
        <w:rPr>
          <w:rFonts w:ascii="Calibri Light" w:eastAsia="Times New Roman" w:hAnsi="Calibri Light"/>
          <w:color w:val="000000"/>
          <w:sz w:val="18"/>
          <w:szCs w:val="20"/>
          <w:lang w:eastAsia="lv-LV"/>
        </w:rPr>
        <w:t xml:space="preserve">Profesionālās izglītības un nodarbinātības trīspusējās sadarbības </w:t>
      </w:r>
      <w:r w:rsidRPr="005565F8" w:rsidR="001C370E">
        <w:rPr>
          <w:rFonts w:ascii="Calibri Light" w:eastAsia="Times New Roman" w:hAnsi="Calibri Light"/>
          <w:color w:val="000000"/>
          <w:sz w:val="18"/>
          <w:szCs w:val="20"/>
          <w:lang w:eastAsia="lv-LV"/>
        </w:rPr>
        <w:t>apakšpadome</w:t>
      </w:r>
    </w:p>
    <w:p w:rsidR="00916B2C" w:rsidRPr="005565F8" w:rsidP="006916CB" w14:paraId="53114B93" w14:textId="77777777">
      <w:pPr>
        <w:spacing w:after="0"/>
        <w:ind w:left="851" w:hanging="851"/>
        <w:rPr>
          <w:rFonts w:ascii="Calibri Light" w:hAnsi="Calibri Light"/>
          <w:sz w:val="18"/>
          <w:szCs w:val="20"/>
        </w:rPr>
      </w:pPr>
      <w:r w:rsidRPr="005565F8">
        <w:rPr>
          <w:rFonts w:ascii="Calibri Light" w:eastAsia="Times New Roman" w:hAnsi="Calibri Light"/>
          <w:color w:val="000000"/>
          <w:sz w:val="18"/>
          <w:szCs w:val="20"/>
          <w:lang w:eastAsia="lv-LV"/>
        </w:rPr>
        <w:t>PJ</w:t>
      </w:r>
      <w:r w:rsidRPr="005565F8">
        <w:rPr>
          <w:rFonts w:ascii="Calibri Light" w:eastAsia="Times New Roman" w:hAnsi="Calibri Light"/>
          <w:color w:val="000000"/>
          <w:sz w:val="18"/>
          <w:szCs w:val="20"/>
          <w:lang w:eastAsia="lv-LV"/>
        </w:rPr>
        <w:tab/>
      </w:r>
      <w:r w:rsidRPr="005565F8">
        <w:rPr>
          <w:rFonts w:ascii="Calibri Light" w:hAnsi="Calibri Light"/>
          <w:sz w:val="18"/>
          <w:szCs w:val="20"/>
        </w:rPr>
        <w:t>petadžouls</w:t>
      </w:r>
    </w:p>
    <w:p w:rsidR="008147B2" w:rsidRPr="005565F8" w:rsidP="006916CB" w14:paraId="598D1C45" w14:textId="77777777">
      <w:pPr>
        <w:spacing w:after="0"/>
        <w:ind w:left="851" w:hanging="851"/>
        <w:rPr>
          <w:rFonts w:ascii="Calibri Light" w:hAnsi="Calibri Light"/>
          <w:sz w:val="18"/>
          <w:szCs w:val="20"/>
        </w:rPr>
      </w:pPr>
      <w:r w:rsidRPr="005565F8">
        <w:rPr>
          <w:rFonts w:ascii="Calibri Light" w:eastAsia="Times New Roman" w:hAnsi="Calibri Light"/>
          <w:color w:val="000000"/>
          <w:sz w:val="18"/>
          <w:szCs w:val="20"/>
          <w:lang w:eastAsia="lv-LV"/>
        </w:rPr>
        <w:t>PKC</w:t>
      </w:r>
      <w:r w:rsidRPr="005565F8">
        <w:rPr>
          <w:rFonts w:ascii="Calibri Light" w:eastAsia="Times New Roman" w:hAnsi="Calibri Light"/>
          <w:color w:val="000000"/>
          <w:sz w:val="18"/>
          <w:szCs w:val="20"/>
          <w:lang w:eastAsia="lv-LV"/>
        </w:rPr>
        <w:tab/>
      </w:r>
      <w:r w:rsidRPr="005565F8">
        <w:rPr>
          <w:rFonts w:ascii="Calibri Light" w:eastAsia="Times New Roman" w:hAnsi="Calibri Light"/>
          <w:color w:val="000000"/>
          <w:sz w:val="18"/>
          <w:szCs w:val="20"/>
          <w:lang w:eastAsia="lv-LV"/>
        </w:rPr>
        <w:t>Pārresoru</w:t>
      </w:r>
      <w:r w:rsidRPr="005565F8">
        <w:rPr>
          <w:rFonts w:ascii="Calibri Light" w:eastAsia="Times New Roman" w:hAnsi="Calibri Light"/>
          <w:color w:val="000000"/>
          <w:sz w:val="18"/>
          <w:szCs w:val="20"/>
          <w:lang w:eastAsia="lv-LV"/>
        </w:rPr>
        <w:t xml:space="preserve"> koordinācijas centrs</w:t>
      </w:r>
    </w:p>
    <w:p w:rsidR="00916B2C" w:rsidRPr="005565F8" w:rsidP="006916CB" w14:paraId="1582630D"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PVN</w:t>
      </w:r>
      <w:r w:rsidRPr="005565F8">
        <w:rPr>
          <w:rFonts w:ascii="Calibri Light" w:eastAsia="Times New Roman" w:hAnsi="Calibri Light"/>
          <w:color w:val="000000"/>
          <w:sz w:val="18"/>
          <w:szCs w:val="20"/>
          <w:lang w:eastAsia="lv-LV"/>
        </w:rPr>
        <w:tab/>
        <w:t>pievienotās vērtības nodoklis</w:t>
      </w:r>
    </w:p>
    <w:p w:rsidR="00916B2C" w:rsidRPr="005565F8" w:rsidP="006916CB" w14:paraId="461EB759"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PZ</w:t>
      </w:r>
      <w:r w:rsidRPr="005565F8" w:rsidR="008B694C">
        <w:rPr>
          <w:rFonts w:ascii="Calibri Light" w:eastAsia="Times New Roman" w:hAnsi="Calibri Light"/>
          <w:color w:val="000000"/>
          <w:sz w:val="18"/>
          <w:szCs w:val="20"/>
          <w:lang w:eastAsia="lv-LV"/>
        </w:rPr>
        <w:t>M</w:t>
      </w:r>
      <w:r w:rsidRPr="005565F8">
        <w:rPr>
          <w:rFonts w:ascii="Calibri Light" w:eastAsia="Times New Roman" w:hAnsi="Calibri Light"/>
          <w:color w:val="000000"/>
          <w:sz w:val="18"/>
          <w:szCs w:val="20"/>
          <w:lang w:eastAsia="lv-LV"/>
        </w:rPr>
        <w:t>G</w:t>
      </w:r>
      <w:r w:rsidRPr="005565F8">
        <w:rPr>
          <w:rFonts w:ascii="Calibri Light" w:eastAsia="Times New Roman" w:hAnsi="Calibri Light"/>
          <w:color w:val="000000"/>
          <w:sz w:val="18"/>
          <w:szCs w:val="20"/>
          <w:lang w:eastAsia="lv-LV"/>
        </w:rPr>
        <w:tab/>
        <w:t xml:space="preserve">potenciāli zaudētie </w:t>
      </w:r>
      <w:r w:rsidRPr="005565F8" w:rsidR="008B694C">
        <w:rPr>
          <w:rFonts w:ascii="Calibri Light" w:eastAsia="Times New Roman" w:hAnsi="Calibri Light"/>
          <w:color w:val="000000"/>
          <w:sz w:val="18"/>
          <w:szCs w:val="20"/>
          <w:lang w:eastAsia="lv-LV"/>
        </w:rPr>
        <w:t>mūža</w:t>
      </w:r>
      <w:r w:rsidRPr="005565F8">
        <w:rPr>
          <w:rFonts w:ascii="Calibri Light" w:eastAsia="Times New Roman" w:hAnsi="Calibri Light"/>
          <w:color w:val="000000"/>
          <w:sz w:val="18"/>
          <w:szCs w:val="20"/>
          <w:lang w:eastAsia="lv-LV"/>
        </w:rPr>
        <w:t xml:space="preserve"> gadi</w:t>
      </w:r>
    </w:p>
    <w:p w:rsidR="00916B2C" w:rsidRPr="005565F8" w:rsidP="006916CB" w14:paraId="236CB21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SAM</w:t>
      </w:r>
      <w:r w:rsidRPr="005565F8">
        <w:rPr>
          <w:rFonts w:ascii="Calibri Light" w:eastAsia="Times New Roman" w:hAnsi="Calibri Light"/>
          <w:color w:val="000000"/>
          <w:sz w:val="18"/>
          <w:szCs w:val="20"/>
          <w:lang w:eastAsia="lv-LV"/>
        </w:rPr>
        <w:tab/>
        <w:t>specifiskā atbalsta mērķis</w:t>
      </w:r>
    </w:p>
    <w:p w:rsidR="00916B2C" w:rsidRPr="005565F8" w:rsidP="006916CB" w14:paraId="1BF7FCC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SEG</w:t>
      </w:r>
      <w:r w:rsidRPr="005565F8">
        <w:rPr>
          <w:rFonts w:ascii="Calibri Light" w:eastAsia="Times New Roman" w:hAnsi="Calibri Light"/>
          <w:color w:val="000000"/>
          <w:sz w:val="18"/>
          <w:szCs w:val="20"/>
          <w:lang w:eastAsia="lv-LV"/>
        </w:rPr>
        <w:tab/>
        <w:t>siltumnīcefekta gāzes</w:t>
      </w:r>
    </w:p>
    <w:p w:rsidR="00916B2C" w:rsidRPr="005565F8" w:rsidP="006916CB" w14:paraId="13A87C5D"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SIA</w:t>
      </w:r>
      <w:r w:rsidRPr="005565F8">
        <w:rPr>
          <w:rFonts w:ascii="Calibri Light" w:eastAsia="Times New Roman" w:hAnsi="Calibri Light"/>
          <w:color w:val="000000"/>
          <w:sz w:val="18"/>
          <w:szCs w:val="20"/>
          <w:lang w:eastAsia="lv-LV"/>
        </w:rPr>
        <w:tab/>
        <w:t>sabiedrība ar ierobežotu atbildību</w:t>
      </w:r>
    </w:p>
    <w:p w:rsidR="00A45091" w:rsidRPr="005565F8" w:rsidP="006916CB" w14:paraId="41B7C61D"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SKDS</w:t>
      </w:r>
      <w:r w:rsidRPr="005565F8">
        <w:rPr>
          <w:rFonts w:ascii="Calibri Light" w:eastAsia="Times New Roman" w:hAnsi="Calibri Light"/>
          <w:color w:val="000000"/>
          <w:sz w:val="18"/>
          <w:szCs w:val="20"/>
          <w:lang w:eastAsia="lv-LV"/>
        </w:rPr>
        <w:tab/>
        <w:t>Tirgus un sabiedriskās domas pētījumu centrs</w:t>
      </w:r>
    </w:p>
    <w:p w:rsidR="00916B2C" w:rsidRPr="005565F8" w:rsidP="006916CB" w14:paraId="4238279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SM</w:t>
      </w:r>
      <w:r w:rsidRPr="005565F8">
        <w:rPr>
          <w:rFonts w:ascii="Calibri Light" w:eastAsia="Times New Roman" w:hAnsi="Calibri Light"/>
          <w:color w:val="000000"/>
          <w:sz w:val="18"/>
          <w:szCs w:val="20"/>
          <w:lang w:eastAsia="lv-LV"/>
        </w:rPr>
        <w:tab/>
        <w:t>Satiksmes ministrija</w:t>
      </w:r>
    </w:p>
    <w:p w:rsidR="008B694C" w:rsidRPr="005565F8" w:rsidP="006916CB" w14:paraId="7F52C82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SPKC</w:t>
      </w:r>
      <w:r w:rsidRPr="005565F8" w:rsidR="000C2443">
        <w:rPr>
          <w:rFonts w:ascii="Calibri Light" w:eastAsia="Times New Roman" w:hAnsi="Calibri Light"/>
          <w:color w:val="000000"/>
          <w:sz w:val="18"/>
          <w:szCs w:val="20"/>
          <w:lang w:eastAsia="lv-LV"/>
        </w:rPr>
        <w:tab/>
      </w:r>
      <w:r w:rsidRPr="005565F8" w:rsidR="002E795D">
        <w:rPr>
          <w:rFonts w:ascii="Calibri Light" w:eastAsia="Times New Roman" w:hAnsi="Calibri Light"/>
          <w:color w:val="000000"/>
          <w:sz w:val="18"/>
          <w:szCs w:val="20"/>
          <w:lang w:eastAsia="lv-LV"/>
        </w:rPr>
        <w:t>Slimību profilakses un kontroles centrs</w:t>
      </w:r>
    </w:p>
    <w:p w:rsidR="00916B2C" w:rsidRPr="005565F8" w:rsidP="006916CB" w14:paraId="25D48DC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STEM</w:t>
      </w:r>
      <w:r w:rsidRPr="005565F8">
        <w:rPr>
          <w:rFonts w:ascii="Calibri Light" w:eastAsia="Times New Roman" w:hAnsi="Calibri Light"/>
          <w:color w:val="000000"/>
          <w:sz w:val="18"/>
          <w:szCs w:val="20"/>
          <w:lang w:eastAsia="lv-LV"/>
        </w:rPr>
        <w:tab/>
        <w:t xml:space="preserve">zinātne, tehnoloģijas, inženierzinātnes un matemātika </w:t>
      </w:r>
      <w:r w:rsidRPr="005565F8">
        <w:rPr>
          <w:rFonts w:ascii="Calibri Light" w:eastAsia="Times New Roman" w:hAnsi="Calibri Light"/>
          <w:i/>
          <w:color w:val="000000"/>
          <w:sz w:val="18"/>
          <w:szCs w:val="20"/>
          <w:lang w:eastAsia="lv-LV"/>
        </w:rPr>
        <w:t>(</w:t>
      </w:r>
      <w:r w:rsidRPr="005565F8">
        <w:rPr>
          <w:rFonts w:ascii="Calibri Light" w:eastAsia="Times New Roman" w:hAnsi="Calibri Light"/>
          <w:i/>
          <w:color w:val="000000"/>
          <w:sz w:val="18"/>
          <w:szCs w:val="20"/>
          <w:lang w:eastAsia="lv-LV"/>
        </w:rPr>
        <w:t>science</w:t>
      </w:r>
      <w:r w:rsidRPr="005565F8">
        <w:rPr>
          <w:rFonts w:ascii="Calibri Light" w:eastAsia="Times New Roman" w:hAnsi="Calibri Light"/>
          <w:i/>
          <w:color w:val="000000"/>
          <w:sz w:val="18"/>
          <w:szCs w:val="20"/>
          <w:lang w:eastAsia="lv-LV"/>
        </w:rPr>
        <w:t xml:space="preserve">, </w:t>
      </w:r>
      <w:r w:rsidRPr="005565F8">
        <w:rPr>
          <w:rFonts w:ascii="Calibri Light" w:eastAsia="Times New Roman" w:hAnsi="Calibri Light"/>
          <w:i/>
          <w:color w:val="000000"/>
          <w:sz w:val="18"/>
          <w:szCs w:val="20"/>
          <w:lang w:eastAsia="lv-LV"/>
        </w:rPr>
        <w:t>technology</w:t>
      </w:r>
      <w:r w:rsidRPr="005565F8">
        <w:rPr>
          <w:rFonts w:ascii="Calibri Light" w:eastAsia="Times New Roman" w:hAnsi="Calibri Light"/>
          <w:i/>
          <w:color w:val="000000"/>
          <w:sz w:val="18"/>
          <w:szCs w:val="20"/>
          <w:lang w:eastAsia="lv-LV"/>
        </w:rPr>
        <w:t xml:space="preserve">, </w:t>
      </w:r>
      <w:r w:rsidRPr="005565F8">
        <w:rPr>
          <w:rFonts w:ascii="Calibri Light" w:eastAsia="Times New Roman" w:hAnsi="Calibri Light"/>
          <w:i/>
          <w:color w:val="000000"/>
          <w:sz w:val="18"/>
          <w:szCs w:val="20"/>
          <w:lang w:eastAsia="lv-LV"/>
        </w:rPr>
        <w:t>engineering</w:t>
      </w:r>
      <w:r w:rsidRPr="005565F8">
        <w:rPr>
          <w:rFonts w:ascii="Calibri Light" w:eastAsia="Times New Roman" w:hAnsi="Calibri Light"/>
          <w:i/>
          <w:color w:val="000000"/>
          <w:sz w:val="18"/>
          <w:szCs w:val="20"/>
          <w:lang w:eastAsia="lv-LV"/>
        </w:rPr>
        <w:t xml:space="preserve"> </w:t>
      </w:r>
      <w:r w:rsidRPr="005565F8">
        <w:rPr>
          <w:rFonts w:ascii="Calibri Light" w:eastAsia="Times New Roman" w:hAnsi="Calibri Light"/>
          <w:i/>
          <w:color w:val="000000"/>
          <w:sz w:val="18"/>
          <w:szCs w:val="20"/>
          <w:lang w:eastAsia="lv-LV"/>
        </w:rPr>
        <w:t>and</w:t>
      </w:r>
      <w:r w:rsidRPr="005565F8">
        <w:rPr>
          <w:rFonts w:ascii="Calibri Light" w:eastAsia="Times New Roman" w:hAnsi="Calibri Light"/>
          <w:i/>
          <w:color w:val="000000"/>
          <w:sz w:val="18"/>
          <w:szCs w:val="20"/>
          <w:lang w:eastAsia="lv-LV"/>
        </w:rPr>
        <w:t xml:space="preserve"> </w:t>
      </w:r>
      <w:r w:rsidRPr="005565F8">
        <w:rPr>
          <w:rFonts w:ascii="Calibri Light" w:eastAsia="Times New Roman" w:hAnsi="Calibri Light"/>
          <w:i/>
          <w:color w:val="000000"/>
          <w:sz w:val="18"/>
          <w:szCs w:val="20"/>
          <w:lang w:eastAsia="lv-LV"/>
        </w:rPr>
        <w:t>mathematics</w:t>
      </w:r>
      <w:r w:rsidRPr="005565F8">
        <w:rPr>
          <w:rFonts w:ascii="Calibri Light" w:eastAsia="Times New Roman" w:hAnsi="Calibri Light"/>
          <w:i/>
          <w:color w:val="000000"/>
          <w:sz w:val="18"/>
          <w:szCs w:val="20"/>
          <w:lang w:eastAsia="lv-LV"/>
        </w:rPr>
        <w:t>)</w:t>
      </w:r>
    </w:p>
    <w:p w:rsidR="008147B2" w:rsidRPr="005565F8" w:rsidP="006916CB" w14:paraId="664EF10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TEN-T</w:t>
      </w:r>
      <w:r w:rsidRPr="005565F8">
        <w:rPr>
          <w:rFonts w:ascii="Calibri Light" w:eastAsia="Times New Roman" w:hAnsi="Calibri Light"/>
          <w:color w:val="000000"/>
          <w:sz w:val="18"/>
          <w:szCs w:val="20"/>
          <w:lang w:eastAsia="lv-LV"/>
        </w:rPr>
        <w:tab/>
      </w:r>
      <w:r w:rsidRPr="005565F8" w:rsidR="000F5F0B">
        <w:rPr>
          <w:rFonts w:ascii="Calibri Light" w:eastAsia="Times New Roman" w:hAnsi="Calibri Light"/>
          <w:color w:val="000000"/>
          <w:sz w:val="18"/>
          <w:szCs w:val="20"/>
          <w:lang w:eastAsia="lv-LV"/>
        </w:rPr>
        <w:t>trans-Eiropas transporta tīkls</w:t>
      </w:r>
    </w:p>
    <w:p w:rsidR="00916B2C" w:rsidRPr="005565F8" w:rsidP="006916CB" w14:paraId="7D81005D"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TM</w:t>
      </w:r>
      <w:r w:rsidRPr="005565F8">
        <w:rPr>
          <w:rFonts w:ascii="Calibri Light" w:eastAsia="Times New Roman" w:hAnsi="Calibri Light"/>
          <w:color w:val="000000"/>
          <w:sz w:val="18"/>
          <w:szCs w:val="20"/>
          <w:lang w:eastAsia="lv-LV"/>
        </w:rPr>
        <w:tab/>
        <w:t>Tieslietu ministrija</w:t>
      </w:r>
    </w:p>
    <w:p w:rsidR="008F1216" w:rsidRPr="005565F8" w:rsidP="006916CB" w14:paraId="58F7EECA"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TWh</w:t>
      </w:r>
      <w:r w:rsidRPr="005565F8">
        <w:rPr>
          <w:rFonts w:ascii="Calibri Light" w:eastAsia="Times New Roman" w:hAnsi="Calibri Light"/>
          <w:color w:val="000000"/>
          <w:sz w:val="18"/>
          <w:szCs w:val="20"/>
          <w:lang w:eastAsia="lv-LV"/>
        </w:rPr>
        <w:tab/>
      </w:r>
      <w:r w:rsidRPr="005565F8">
        <w:rPr>
          <w:rFonts w:ascii="Calibri Light" w:eastAsia="Times New Roman" w:hAnsi="Calibri Light"/>
          <w:color w:val="000000"/>
          <w:sz w:val="18"/>
          <w:szCs w:val="20"/>
          <w:lang w:eastAsia="lv-LV"/>
        </w:rPr>
        <w:t>teravatstunda</w:t>
      </w:r>
    </w:p>
    <w:p w:rsidR="00C37DF1" w:rsidRPr="005565F8" w:rsidP="006916CB" w14:paraId="3A9090BA"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UGF</w:t>
      </w:r>
      <w:r w:rsidRPr="005565F8">
        <w:rPr>
          <w:rFonts w:ascii="Calibri Light" w:eastAsia="Times New Roman" w:hAnsi="Calibri Light"/>
          <w:color w:val="000000"/>
          <w:sz w:val="18"/>
          <w:szCs w:val="20"/>
          <w:lang w:eastAsia="lv-LV"/>
        </w:rPr>
        <w:tab/>
        <w:t>Uzturlīdzekļu garantiju fonds</w:t>
      </w:r>
    </w:p>
    <w:p w:rsidR="00C37DF1" w:rsidRPr="005565F8" w:rsidP="006916CB" w14:paraId="570D0523"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UGFA</w:t>
      </w:r>
      <w:r w:rsidRPr="005565F8">
        <w:rPr>
          <w:rFonts w:ascii="Calibri Light" w:eastAsia="Times New Roman" w:hAnsi="Calibri Light"/>
          <w:color w:val="000000"/>
          <w:sz w:val="18"/>
          <w:szCs w:val="20"/>
          <w:lang w:eastAsia="lv-LV"/>
        </w:rPr>
        <w:tab/>
        <w:t>Uzturlīdzekļu garantiju fonda administrācija</w:t>
      </w:r>
    </w:p>
    <w:p w:rsidR="00916B2C" w:rsidRPr="005565F8" w:rsidP="006916CB" w14:paraId="298AFA3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UIN</w:t>
      </w:r>
      <w:r w:rsidRPr="005565F8">
        <w:rPr>
          <w:rFonts w:ascii="Calibri Light" w:eastAsia="Times New Roman" w:hAnsi="Calibri Light"/>
          <w:color w:val="000000"/>
          <w:sz w:val="18"/>
          <w:szCs w:val="20"/>
          <w:lang w:eastAsia="lv-LV"/>
        </w:rPr>
        <w:tab/>
        <w:t>uzņēmumu ienākuma nodoklis</w:t>
      </w:r>
    </w:p>
    <w:p w:rsidR="00916B2C" w:rsidRPr="005565F8" w:rsidP="006916CB" w14:paraId="53ACE18C"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UR</w:t>
      </w:r>
      <w:r w:rsidRPr="005565F8">
        <w:rPr>
          <w:rFonts w:ascii="Calibri Light" w:eastAsia="Times New Roman" w:hAnsi="Calibri Light"/>
          <w:color w:val="000000"/>
          <w:sz w:val="18"/>
          <w:szCs w:val="20"/>
          <w:lang w:eastAsia="lv-LV"/>
        </w:rPr>
        <w:tab/>
        <w:t>Uzņēmumu reģistrs</w:t>
      </w:r>
    </w:p>
    <w:p w:rsidR="00916B2C" w:rsidRPr="005565F8" w:rsidP="006916CB" w14:paraId="2A559718"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USD</w:t>
      </w:r>
      <w:r w:rsidRPr="005565F8">
        <w:rPr>
          <w:rFonts w:ascii="Calibri Light" w:eastAsia="Times New Roman" w:hAnsi="Calibri Light"/>
          <w:color w:val="000000"/>
          <w:sz w:val="18"/>
          <w:szCs w:val="20"/>
          <w:lang w:eastAsia="lv-LV"/>
        </w:rPr>
        <w:tab/>
        <w:t>Amerikas Savienoto Valstu dolārs</w:t>
      </w:r>
    </w:p>
    <w:p w:rsidR="00916B2C" w:rsidRPr="005565F8" w:rsidP="006916CB" w14:paraId="3092486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VARAM</w:t>
      </w:r>
      <w:r w:rsidRPr="005565F8">
        <w:rPr>
          <w:rFonts w:ascii="Calibri Light" w:eastAsia="Times New Roman" w:hAnsi="Calibri Light"/>
          <w:color w:val="000000"/>
          <w:sz w:val="18"/>
          <w:szCs w:val="20"/>
          <w:lang w:eastAsia="lv-LV"/>
        </w:rPr>
        <w:tab/>
        <w:t>Vides aizsardzības un reģionālās attīstības ministrija</w:t>
      </w:r>
    </w:p>
    <w:p w:rsidR="000F5F0B" w:rsidRPr="005565F8" w:rsidP="006916CB" w14:paraId="76EFE18B"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VAS</w:t>
      </w:r>
      <w:r w:rsidRPr="005565F8">
        <w:rPr>
          <w:rFonts w:ascii="Calibri Light" w:eastAsia="Times New Roman" w:hAnsi="Calibri Light"/>
          <w:color w:val="000000"/>
          <w:sz w:val="18"/>
          <w:szCs w:val="20"/>
          <w:lang w:eastAsia="lv-LV"/>
        </w:rPr>
        <w:tab/>
        <w:t>valsts akciju sabiedrība</w:t>
      </w:r>
    </w:p>
    <w:p w:rsidR="000F5F0B" w:rsidRPr="005565F8" w:rsidP="006916CB" w14:paraId="6BAC7AB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VIAA</w:t>
      </w:r>
      <w:r w:rsidRPr="005565F8">
        <w:rPr>
          <w:rFonts w:ascii="Calibri Light" w:eastAsia="Times New Roman" w:hAnsi="Calibri Light"/>
          <w:color w:val="000000"/>
          <w:sz w:val="18"/>
          <w:szCs w:val="20"/>
          <w:lang w:eastAsia="lv-LV"/>
        </w:rPr>
        <w:tab/>
        <w:t>Valsts izglītības attīstības aģentūra</w:t>
      </w:r>
    </w:p>
    <w:p w:rsidR="00916B2C" w:rsidRPr="005565F8" w:rsidP="006916CB" w14:paraId="52EBD967"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VID</w:t>
      </w:r>
      <w:r w:rsidRPr="005565F8">
        <w:rPr>
          <w:rFonts w:ascii="Calibri Light" w:eastAsia="Times New Roman" w:hAnsi="Calibri Light"/>
          <w:color w:val="000000"/>
          <w:sz w:val="18"/>
          <w:szCs w:val="20"/>
          <w:lang w:eastAsia="lv-LV"/>
        </w:rPr>
        <w:tab/>
        <w:t>Valsts ieņēmumu dienests</w:t>
      </w:r>
    </w:p>
    <w:p w:rsidR="00916B2C" w:rsidRPr="005565F8" w:rsidP="006916CB" w14:paraId="3D001D0F"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VK</w:t>
      </w:r>
      <w:r w:rsidRPr="005565F8">
        <w:rPr>
          <w:rFonts w:ascii="Calibri Light" w:eastAsia="Times New Roman" w:hAnsi="Calibri Light"/>
          <w:color w:val="000000"/>
          <w:sz w:val="18"/>
          <w:szCs w:val="20"/>
          <w:lang w:eastAsia="lv-LV"/>
        </w:rPr>
        <w:tab/>
        <w:t>Valsts kanceleja</w:t>
      </w:r>
    </w:p>
    <w:p w:rsidR="00916B2C" w:rsidRPr="005565F8" w:rsidP="006916CB" w14:paraId="48679DB8"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VM</w:t>
      </w:r>
      <w:r w:rsidRPr="005565F8">
        <w:rPr>
          <w:rFonts w:ascii="Calibri Light" w:eastAsia="Times New Roman" w:hAnsi="Calibri Light"/>
          <w:color w:val="000000"/>
          <w:sz w:val="18"/>
          <w:szCs w:val="20"/>
          <w:lang w:eastAsia="lv-LV"/>
        </w:rPr>
        <w:tab/>
        <w:t>V</w:t>
      </w:r>
      <w:r w:rsidRPr="005565F8" w:rsidR="00FA7C41">
        <w:rPr>
          <w:rFonts w:ascii="Calibri Light" w:eastAsia="Times New Roman" w:hAnsi="Calibri Light"/>
          <w:color w:val="000000"/>
          <w:sz w:val="18"/>
          <w:szCs w:val="20"/>
          <w:lang w:eastAsia="lv-LV"/>
        </w:rPr>
        <w:t>eselības ministrija</w:t>
      </w:r>
    </w:p>
    <w:p w:rsidR="000F5F0B" w:rsidRPr="005565F8" w:rsidP="006916CB" w14:paraId="4A1A6A71"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VTM</w:t>
      </w:r>
      <w:r w:rsidRPr="005565F8">
        <w:rPr>
          <w:rFonts w:ascii="Calibri Light" w:eastAsia="Times New Roman" w:hAnsi="Calibri Light"/>
          <w:color w:val="000000"/>
          <w:sz w:val="18"/>
          <w:szCs w:val="20"/>
          <w:lang w:eastAsia="lv-LV"/>
        </w:rPr>
        <w:tab/>
        <w:t>vidēja termiņa budžeta mērķis</w:t>
      </w:r>
    </w:p>
    <w:p w:rsidR="00916B2C" w:rsidRPr="005565F8" w:rsidP="006916CB" w14:paraId="72725FA4" w14:textId="77777777">
      <w:pPr>
        <w:spacing w:after="0"/>
        <w:ind w:left="851" w:hanging="851"/>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ZM</w:t>
      </w:r>
      <w:r w:rsidRPr="005565F8">
        <w:rPr>
          <w:rFonts w:ascii="Calibri Light" w:eastAsia="Times New Roman" w:hAnsi="Calibri Light"/>
          <w:color w:val="000000"/>
          <w:sz w:val="18"/>
          <w:szCs w:val="20"/>
          <w:lang w:eastAsia="lv-LV"/>
        </w:rPr>
        <w:tab/>
        <w:t>Zemkopības ministrija</w:t>
      </w:r>
    </w:p>
    <w:p w:rsidR="00916B2C" w:rsidRPr="005565F8" w:rsidP="006916CB" w14:paraId="28CC1AAE" w14:textId="77777777">
      <w:pPr>
        <w:spacing w:after="0"/>
        <w:ind w:left="851" w:hanging="851"/>
        <w:rPr>
          <w:rFonts w:ascii="Calibri Light" w:eastAsia="Times New Roman" w:hAnsi="Calibri Light"/>
          <w:i/>
          <w:color w:val="000000"/>
          <w:sz w:val="18"/>
          <w:szCs w:val="20"/>
          <w:lang w:eastAsia="lv-LV"/>
        </w:rPr>
      </w:pPr>
      <w:r w:rsidRPr="005565F8">
        <w:rPr>
          <w:rFonts w:ascii="Calibri Light" w:eastAsia="Times New Roman" w:hAnsi="Calibri Light"/>
          <w:color w:val="000000"/>
          <w:sz w:val="18"/>
          <w:szCs w:val="20"/>
          <w:lang w:eastAsia="lv-LV"/>
        </w:rPr>
        <w:t>ZTAI</w:t>
      </w:r>
      <w:r w:rsidRPr="005565F8">
        <w:rPr>
          <w:rFonts w:ascii="Calibri Light" w:eastAsia="Times New Roman" w:hAnsi="Calibri Light"/>
          <w:color w:val="000000"/>
          <w:sz w:val="18"/>
          <w:szCs w:val="20"/>
          <w:lang w:eastAsia="lv-LV"/>
        </w:rPr>
        <w:tab/>
      </w:r>
      <w:r w:rsidRPr="005565F8">
        <w:rPr>
          <w:rFonts w:ascii="Calibri Light" w:eastAsia="Times New Roman" w:hAnsi="Calibri Light"/>
          <w:i/>
          <w:color w:val="000000"/>
          <w:sz w:val="18"/>
          <w:szCs w:val="20"/>
          <w:lang w:eastAsia="lv-LV"/>
        </w:rPr>
        <w:t>Zinātnes, tehnoloģijas attīstības un inovācijas pamatnostādnes 2014.-2020.gadam</w:t>
      </w:r>
    </w:p>
    <w:p w:rsidR="004A768D" w:rsidRPr="005565F8" w14:paraId="392841AE" w14:textId="77777777">
      <w:pPr>
        <w:rPr>
          <w:rFonts w:ascii="Times New Roman Bold" w:hAnsi="Times New Roman Bold"/>
          <w:smallCaps/>
        </w:rPr>
        <w:sectPr w:rsidSect="003D0310">
          <w:type w:val="continuous"/>
          <w:pgSz w:w="11906" w:h="16838" w:code="9"/>
          <w:pgMar w:top="1134" w:right="1134" w:bottom="1134" w:left="1134" w:header="709" w:footer="709" w:gutter="0"/>
          <w:cols w:num="2" w:space="708"/>
          <w:titlePg/>
          <w:docGrid w:linePitch="360"/>
        </w:sectPr>
      </w:pPr>
    </w:p>
    <w:p w:rsidR="009011B2" w:rsidRPr="005565F8" w14:paraId="586C7A17" w14:textId="77777777">
      <w:pPr>
        <w:rPr>
          <w:rFonts w:ascii="Times New Roman Bold" w:hAnsi="Times New Roman Bold" w:eastAsiaTheme="majorEastAsia" w:hint="eastAsia"/>
          <w:b/>
          <w:bCs/>
          <w:smallCaps/>
          <w:sz w:val="28"/>
          <w:szCs w:val="28"/>
        </w:rPr>
      </w:pPr>
      <w:r w:rsidRPr="005565F8">
        <w:rPr>
          <w:rFonts w:ascii="Times New Roman Bold" w:hAnsi="Times New Roman Bold"/>
          <w:smallCaps/>
        </w:rPr>
        <w:br w:type="page"/>
      </w:r>
    </w:p>
    <w:p w:rsidR="00746FF6" w:rsidRPr="005565F8" w:rsidP="00524C0A" w14:paraId="5494A1F1" w14:textId="77777777">
      <w:pPr>
        <w:pStyle w:val="Heading1"/>
      </w:pPr>
      <w:bookmarkStart w:id="4" w:name="_Toc510687734"/>
      <w:bookmarkStart w:id="5" w:name="_Toc256000001"/>
      <w:bookmarkStart w:id="6" w:name="_Toc256000036"/>
      <w:r w:rsidRPr="005565F8">
        <w:t>Ievads</w:t>
      </w:r>
      <w:bookmarkEnd w:id="6"/>
      <w:bookmarkEnd w:id="5"/>
      <w:bookmarkEnd w:id="4"/>
    </w:p>
    <w:p w:rsidR="00BD6401" w:rsidRPr="005565F8" w:rsidP="00EF4EC3" w14:paraId="65156F5E" w14:textId="77777777">
      <w:pPr>
        <w:rPr>
          <w:rFonts w:asciiTheme="majorHAnsi" w:hAnsiTheme="majorHAnsi"/>
          <w:color w:val="228B9D"/>
          <w:szCs w:val="22"/>
        </w:rPr>
        <w:sectPr w:rsidSect="003D0310">
          <w:type w:val="continuous"/>
          <w:pgSz w:w="11906" w:h="16838" w:code="9"/>
          <w:pgMar w:top="1134" w:right="1134" w:bottom="1134" w:left="1134" w:header="709" w:footer="709" w:gutter="0"/>
          <w:cols w:space="708"/>
          <w:titlePg/>
          <w:docGrid w:linePitch="360"/>
        </w:sectPr>
      </w:pPr>
    </w:p>
    <w:p w:rsidR="0089464D" w:rsidRPr="005565F8" w:rsidP="00916B1E" w14:paraId="025E5AAB" w14:textId="77777777">
      <w:r w:rsidRPr="005565F8">
        <w:t xml:space="preserve">Latvija ir sagatavojusi </w:t>
      </w:r>
      <w:r w:rsidRPr="005565F8" w:rsidR="000309F9">
        <w:t>septīto</w:t>
      </w:r>
      <w:r w:rsidRPr="005565F8">
        <w:t xml:space="preserve"> Progresa ziņojumu par Latvijas nacionālās reformu programmas „Eiropa 2020” stratēģijas kontekstā īstenošanu</w:t>
      </w:r>
      <w:r>
        <w:rPr>
          <w:rStyle w:val="FootnoteReference"/>
          <w:rFonts w:asciiTheme="majorHAnsi" w:hAnsiTheme="majorHAnsi"/>
          <w:i/>
          <w:sz w:val="22"/>
          <w:szCs w:val="22"/>
        </w:rPr>
        <w:footnoteReference w:id="3"/>
      </w:r>
      <w:r w:rsidRPr="005565F8">
        <w:t xml:space="preserve"> (</w:t>
      </w:r>
      <w:r w:rsidRPr="005565F8" w:rsidR="000D3ECE">
        <w:t>turpmāk</w:t>
      </w:r>
      <w:r w:rsidRPr="005565F8">
        <w:t xml:space="preserve"> – Progresa ziņojums par Latvijas NRP īstenošanu), kas ir cieši saistīts </w:t>
      </w:r>
      <w:r w:rsidRPr="005565F8">
        <w:rPr>
          <w:i/>
        </w:rPr>
        <w:t>ar Latvijas Stabilitātes programmu 201</w:t>
      </w:r>
      <w:r w:rsidRPr="005565F8" w:rsidR="000309F9">
        <w:rPr>
          <w:i/>
        </w:rPr>
        <w:t>8</w:t>
      </w:r>
      <w:r w:rsidRPr="005565F8">
        <w:rPr>
          <w:i/>
        </w:rPr>
        <w:t>.-20</w:t>
      </w:r>
      <w:r w:rsidRPr="005565F8" w:rsidR="008B1AC9">
        <w:rPr>
          <w:i/>
        </w:rPr>
        <w:t>2</w:t>
      </w:r>
      <w:r w:rsidRPr="005565F8" w:rsidR="000309F9">
        <w:rPr>
          <w:i/>
        </w:rPr>
        <w:t>1</w:t>
      </w:r>
      <w:r w:rsidRPr="005565F8">
        <w:rPr>
          <w:i/>
        </w:rPr>
        <w:t>.gadam</w:t>
      </w:r>
      <w:r w:rsidRPr="005565F8">
        <w:t>.</w:t>
      </w:r>
    </w:p>
    <w:p w:rsidR="0089464D" w:rsidRPr="005565F8" w:rsidP="00916B1E" w14:paraId="78C90CB6" w14:textId="77777777">
      <w:r w:rsidRPr="005565F8">
        <w:rPr>
          <w:i/>
        </w:rPr>
        <w:t>Latvijas nacionālā reformu programma Eiropa 2020 stratēģijas īstenošanai</w:t>
      </w:r>
      <w:r w:rsidRPr="005565F8">
        <w:t xml:space="preserve"> (</w:t>
      </w:r>
      <w:r w:rsidRPr="005565F8" w:rsidR="000D3ECE">
        <w:t>turpmāk</w:t>
      </w:r>
      <w:r w:rsidRPr="005565F8">
        <w:t xml:space="preserve"> – Latvijas NRP) un </w:t>
      </w:r>
      <w:r w:rsidRPr="005565F8">
        <w:rPr>
          <w:i/>
        </w:rPr>
        <w:t>Latvijas Stabilitātes programma</w:t>
      </w:r>
      <w:r w:rsidRPr="005565F8">
        <w:t xml:space="preserve"> saskaņā ar Līguma par Eiropas Savienības (</w:t>
      </w:r>
      <w:r w:rsidRPr="005565F8" w:rsidR="000D3ECE">
        <w:t>turpmāk</w:t>
      </w:r>
      <w:r w:rsidRPr="005565F8">
        <w:t xml:space="preserve"> – ES) darbību 121. un 148.pantu ir ES līmeņa ekonomiskās politikas koordinācijas un uzraudzības instrumenta sastāvdaļas (Eiropas semestra ietvaros). Eiropas Komisija (</w:t>
      </w:r>
      <w:r w:rsidRPr="005565F8" w:rsidR="000D3ECE">
        <w:t>turpmāk</w:t>
      </w:r>
      <w:r w:rsidRPr="005565F8">
        <w:t xml:space="preserve"> – EK) vērtē abu programmu īstenošanu, un uz tā pamata nāk klajā ar priekšlikumiem par ES Padomes rekomendācijām.</w:t>
      </w:r>
    </w:p>
    <w:p w:rsidR="007A34D5" w:rsidRPr="005565F8" w:rsidP="00916B1E" w14:paraId="53F9A3F8" w14:textId="77777777">
      <w:bookmarkStart w:id="7" w:name="OLE_LINK16"/>
      <w:r w:rsidRPr="005565F8">
        <w:t xml:space="preserve">Izstrādājot Progresa ziņojumu par Latvijas NRP īstenošanu, tika ņemts vērā 2012.gada 20.decembrī Saeimā apstiprinātais </w:t>
      </w:r>
      <w:r w:rsidRPr="005565F8">
        <w:rPr>
          <w:i/>
        </w:rPr>
        <w:t>Latvijas Nacionālais attīstības plāns 2014.-2020.gadam</w:t>
      </w:r>
      <w:r w:rsidRPr="005565F8">
        <w:t xml:space="preserve">, </w:t>
      </w:r>
      <w:r w:rsidRPr="005565F8">
        <w:rPr>
          <w:i/>
        </w:rPr>
        <w:t>Partnerības līgums ES fondu 2014.-2020.gada plānošanas periodam</w:t>
      </w:r>
      <w:r w:rsidRPr="005565F8">
        <w:t xml:space="preserve">, </w:t>
      </w:r>
      <w:r w:rsidRPr="005565F8" w:rsidR="00A83575">
        <w:rPr>
          <w:i/>
        </w:rPr>
        <w:t>D</w:t>
      </w:r>
      <w:r w:rsidRPr="005565F8">
        <w:rPr>
          <w:i/>
        </w:rPr>
        <w:t>arbības programma Izaugsmei un nodarbinātībai 2014.-2020.gadam</w:t>
      </w:r>
      <w:r w:rsidRPr="005565F8">
        <w:t xml:space="preserve">, Latvijas saistības 2011.gada 24.-25.marta Eiropadomē apstiprinātā </w:t>
      </w:r>
      <w:r w:rsidRPr="005565F8">
        <w:rPr>
          <w:i/>
        </w:rPr>
        <w:t xml:space="preserve">Eiro Plus </w:t>
      </w:r>
      <w:r w:rsidRPr="005565F8">
        <w:rPr>
          <w:i/>
        </w:rPr>
        <w:t>pakta</w:t>
      </w:r>
      <w:r w:rsidRPr="005565F8">
        <w:rPr>
          <w:i/>
        </w:rPr>
        <w:t xml:space="preserve"> (</w:t>
      </w:r>
      <w:r w:rsidRPr="005565F8">
        <w:rPr>
          <w:i/>
        </w:rPr>
        <w:t>Euro</w:t>
      </w:r>
      <w:r w:rsidRPr="005565F8">
        <w:rPr>
          <w:i/>
        </w:rPr>
        <w:t xml:space="preserve"> Plus </w:t>
      </w:r>
      <w:r w:rsidRPr="005565F8">
        <w:rPr>
          <w:i/>
        </w:rPr>
        <w:t>Pact</w:t>
      </w:r>
      <w:r w:rsidRPr="005565F8">
        <w:rPr>
          <w:i/>
        </w:rPr>
        <w:t>)</w:t>
      </w:r>
      <w:r>
        <w:rPr>
          <w:rStyle w:val="FootnoteReference"/>
          <w:rFonts w:asciiTheme="majorHAnsi" w:hAnsiTheme="majorHAnsi"/>
          <w:i/>
          <w:sz w:val="22"/>
          <w:szCs w:val="22"/>
        </w:rPr>
        <w:footnoteReference w:id="4"/>
      </w:r>
      <w:r w:rsidRPr="005565F8">
        <w:t xml:space="preserve"> ietvaros, ES Padomes rekomendācijas Latvijai</w:t>
      </w:r>
      <w:r w:rsidRPr="005565F8" w:rsidR="00611468">
        <w:t xml:space="preserve"> 201</w:t>
      </w:r>
      <w:r w:rsidRPr="005565F8" w:rsidR="00640517">
        <w:t>7</w:t>
      </w:r>
      <w:r w:rsidRPr="005565F8" w:rsidR="00611468">
        <w:t>.–201</w:t>
      </w:r>
      <w:r w:rsidRPr="005565F8" w:rsidR="00640517">
        <w:t>8</w:t>
      </w:r>
      <w:r w:rsidRPr="005565F8" w:rsidR="00611468">
        <w:t>.gadam</w:t>
      </w:r>
      <w:r>
        <w:rPr>
          <w:rStyle w:val="FootnoteReference"/>
          <w:rFonts w:asciiTheme="majorHAnsi" w:hAnsiTheme="majorHAnsi"/>
          <w:sz w:val="22"/>
          <w:szCs w:val="22"/>
        </w:rPr>
        <w:footnoteReference w:id="5"/>
      </w:r>
      <w:r w:rsidRPr="005565F8">
        <w:t>, 201</w:t>
      </w:r>
      <w:r w:rsidRPr="005565F8" w:rsidR="00640517">
        <w:t>7</w:t>
      </w:r>
      <w:r w:rsidRPr="005565F8">
        <w:t xml:space="preserve">.gada </w:t>
      </w:r>
      <w:r w:rsidRPr="005565F8" w:rsidR="00640517">
        <w:t>22</w:t>
      </w:r>
      <w:r w:rsidRPr="005565F8">
        <w:t>.novembrī EK publicētais 201</w:t>
      </w:r>
      <w:r w:rsidRPr="005565F8" w:rsidR="00640517">
        <w:t>8</w:t>
      </w:r>
      <w:r w:rsidRPr="005565F8">
        <w:t xml:space="preserve">.gada izaugsmes ziņojums </w:t>
      </w:r>
      <w:r w:rsidRPr="005565F8">
        <w:rPr>
          <w:i/>
        </w:rPr>
        <w:t>(201</w:t>
      </w:r>
      <w:r w:rsidRPr="005565F8" w:rsidR="00640517">
        <w:rPr>
          <w:i/>
        </w:rPr>
        <w:t>8</w:t>
      </w:r>
      <w:r w:rsidRPr="005565F8">
        <w:rPr>
          <w:i/>
        </w:rPr>
        <w:t xml:space="preserve"> </w:t>
      </w:r>
      <w:r w:rsidRPr="005565F8">
        <w:rPr>
          <w:i/>
        </w:rPr>
        <w:t>Annual</w:t>
      </w:r>
      <w:r w:rsidRPr="005565F8">
        <w:rPr>
          <w:i/>
        </w:rPr>
        <w:t xml:space="preserve"> </w:t>
      </w:r>
      <w:r w:rsidRPr="005565F8">
        <w:rPr>
          <w:i/>
        </w:rPr>
        <w:t>Growth</w:t>
      </w:r>
      <w:r w:rsidRPr="005565F8">
        <w:rPr>
          <w:i/>
        </w:rPr>
        <w:t xml:space="preserve"> </w:t>
      </w:r>
      <w:r w:rsidRPr="005565F8">
        <w:rPr>
          <w:i/>
        </w:rPr>
        <w:t>Survey</w:t>
      </w:r>
      <w:r w:rsidRPr="005565F8">
        <w:rPr>
          <w:i/>
        </w:rPr>
        <w:t>)</w:t>
      </w:r>
      <w:r>
        <w:rPr>
          <w:rStyle w:val="FootnoteReference"/>
          <w:rFonts w:asciiTheme="majorHAnsi" w:hAnsiTheme="majorHAnsi"/>
          <w:i/>
          <w:sz w:val="22"/>
          <w:szCs w:val="22"/>
        </w:rPr>
        <w:footnoteReference w:id="6"/>
      </w:r>
      <w:r w:rsidRPr="005565F8">
        <w:t xml:space="preserve">, </w:t>
      </w:r>
      <w:r w:rsidRPr="005565F8">
        <w:rPr>
          <w:color w:val="000000"/>
        </w:rPr>
        <w:t>Komisijas dienestu darba dokuments Ziņojums par valsti – Latvija (201</w:t>
      </w:r>
      <w:r w:rsidRPr="005565F8" w:rsidR="00640517">
        <w:rPr>
          <w:color w:val="000000"/>
        </w:rPr>
        <w:t>8.g</w:t>
      </w:r>
      <w:r w:rsidRPr="005565F8" w:rsidR="00640517">
        <w:rPr>
          <w:i/>
          <w:color w:val="000000"/>
        </w:rPr>
        <w:t>.</w:t>
      </w:r>
      <w:r w:rsidRPr="005565F8">
        <w:rPr>
          <w:i/>
          <w:color w:val="000000"/>
        </w:rPr>
        <w:t>)</w:t>
      </w:r>
      <w:r w:rsidRPr="005565F8">
        <w:rPr>
          <w:i/>
        </w:rPr>
        <w:t xml:space="preserve"> (</w:t>
      </w:r>
      <w:r w:rsidRPr="005565F8">
        <w:rPr>
          <w:rFonts w:eastAsiaTheme="minorHAnsi"/>
          <w:bCs/>
          <w:i/>
        </w:rPr>
        <w:t>Country</w:t>
      </w:r>
      <w:r w:rsidRPr="005565F8">
        <w:rPr>
          <w:rFonts w:eastAsiaTheme="minorHAnsi"/>
          <w:bCs/>
          <w:i/>
        </w:rPr>
        <w:t xml:space="preserve"> </w:t>
      </w:r>
      <w:r w:rsidRPr="005565F8">
        <w:rPr>
          <w:rFonts w:eastAsiaTheme="minorHAnsi"/>
          <w:bCs/>
          <w:i/>
        </w:rPr>
        <w:t>Report</w:t>
      </w:r>
      <w:r w:rsidRPr="005565F8">
        <w:rPr>
          <w:rFonts w:eastAsiaTheme="minorHAnsi"/>
          <w:bCs/>
          <w:i/>
        </w:rPr>
        <w:t xml:space="preserve"> Latvia 201</w:t>
      </w:r>
      <w:r w:rsidRPr="005565F8" w:rsidR="00640517">
        <w:rPr>
          <w:rFonts w:eastAsiaTheme="minorHAnsi"/>
          <w:bCs/>
          <w:i/>
        </w:rPr>
        <w:t>8</w:t>
      </w:r>
      <w:r w:rsidRPr="005565F8">
        <w:rPr>
          <w:i/>
        </w:rPr>
        <w:t>)</w:t>
      </w:r>
      <w:r>
        <w:rPr>
          <w:rStyle w:val="FootnoteReference"/>
          <w:rFonts w:asciiTheme="majorHAnsi" w:hAnsiTheme="majorHAnsi"/>
          <w:sz w:val="22"/>
          <w:szCs w:val="22"/>
        </w:rPr>
        <w:footnoteReference w:id="7"/>
      </w:r>
      <w:r w:rsidRPr="005565F8">
        <w:t xml:space="preserve">, EK </w:t>
      </w:r>
      <w:r w:rsidRPr="005565F8" w:rsidR="00646A92">
        <w:t>Ģenerālsekretariāta vēstule ES dalībvalstīm par 201</w:t>
      </w:r>
      <w:r w:rsidRPr="005565F8" w:rsidR="00640517">
        <w:t>8</w:t>
      </w:r>
      <w:r w:rsidRPr="005565F8" w:rsidR="00447825">
        <w:t>.gada Eiropas semestri</w:t>
      </w:r>
      <w:r>
        <w:rPr>
          <w:rStyle w:val="FootnoteReference"/>
          <w:rFonts w:asciiTheme="majorHAnsi" w:hAnsiTheme="majorHAnsi"/>
          <w:sz w:val="22"/>
          <w:szCs w:val="22"/>
        </w:rPr>
        <w:footnoteReference w:id="8"/>
      </w:r>
      <w:r w:rsidRPr="005565F8">
        <w:t>.</w:t>
      </w:r>
    </w:p>
    <w:p w:rsidR="0089464D" w:rsidRPr="005565F8" w:rsidP="00916B1E" w14:paraId="2B14499F" w14:textId="77777777">
      <w:pPr>
        <w:rPr>
          <w:color w:val="000000"/>
        </w:rPr>
      </w:pPr>
      <w:r w:rsidRPr="005565F8">
        <w:rPr>
          <w:color w:val="000000"/>
        </w:rPr>
        <w:t>Progresa ziņojum</w:t>
      </w:r>
      <w:r w:rsidRPr="005565F8" w:rsidR="00811A23">
        <w:rPr>
          <w:color w:val="000000"/>
        </w:rPr>
        <w:t>s</w:t>
      </w:r>
      <w:r w:rsidRPr="005565F8">
        <w:rPr>
          <w:color w:val="000000"/>
        </w:rPr>
        <w:t xml:space="preserve"> par Latvijas NRP īstenošanu </w:t>
      </w:r>
      <w:r w:rsidRPr="005565F8" w:rsidR="00811A23">
        <w:rPr>
          <w:color w:val="000000"/>
        </w:rPr>
        <w:t xml:space="preserve">tika </w:t>
      </w:r>
      <w:r w:rsidRPr="005565F8">
        <w:rPr>
          <w:color w:val="000000"/>
        </w:rPr>
        <w:t>sagatavo</w:t>
      </w:r>
      <w:r w:rsidRPr="005565F8" w:rsidR="00811A23">
        <w:rPr>
          <w:color w:val="000000"/>
        </w:rPr>
        <w:t>ts, balstoties uz iesniegto informāciju no</w:t>
      </w:r>
      <w:r w:rsidRPr="005565F8">
        <w:rPr>
          <w:color w:val="000000"/>
        </w:rPr>
        <w:t xml:space="preserve"> </w:t>
      </w:r>
      <w:r w:rsidRPr="005565F8" w:rsidR="00811A23">
        <w:rPr>
          <w:color w:val="000000"/>
        </w:rPr>
        <w:t xml:space="preserve">Aizsardzības ministrijas (turpmāk – </w:t>
      </w:r>
      <w:r w:rsidRPr="005565F8" w:rsidR="00811A23">
        <w:rPr>
          <w:color w:val="000000"/>
        </w:rPr>
        <w:t>A</w:t>
      </w:r>
      <w:r w:rsidRPr="005565F8" w:rsidR="008709C3">
        <w:rPr>
          <w:color w:val="000000"/>
        </w:rPr>
        <w:t>i</w:t>
      </w:r>
      <w:r w:rsidRPr="005565F8" w:rsidR="00811A23">
        <w:rPr>
          <w:color w:val="000000"/>
        </w:rPr>
        <w:t>M</w:t>
      </w:r>
      <w:r w:rsidRPr="005565F8" w:rsidR="00811A23">
        <w:rPr>
          <w:color w:val="000000"/>
        </w:rPr>
        <w:t xml:space="preserve">), </w:t>
      </w:r>
      <w:r w:rsidRPr="005565F8">
        <w:rPr>
          <w:color w:val="000000"/>
        </w:rPr>
        <w:t>Ārlietu ministrijas (turpmāk – ĀM), Ekonomikas ministrijas (turpmāk</w:t>
      </w:r>
      <w:r w:rsidRPr="005565F8" w:rsidR="00A15142">
        <w:rPr>
          <w:color w:val="000000"/>
        </w:rPr>
        <w:t xml:space="preserve"> </w:t>
      </w:r>
      <w:r w:rsidRPr="005565F8">
        <w:rPr>
          <w:color w:val="000000"/>
        </w:rPr>
        <w:t>–</w:t>
      </w:r>
      <w:r w:rsidRPr="005565F8" w:rsidR="00A15142">
        <w:rPr>
          <w:color w:val="000000"/>
        </w:rPr>
        <w:t xml:space="preserve"> </w:t>
      </w:r>
      <w:r w:rsidRPr="005565F8">
        <w:rPr>
          <w:color w:val="000000"/>
        </w:rPr>
        <w:t>EM), Finanšu ministrijas (turpmāk – FM), Izglītības un zinātnes ministrijas (turpmāk</w:t>
      </w:r>
      <w:r w:rsidRPr="005565F8" w:rsidR="006D6CC8">
        <w:rPr>
          <w:color w:val="000000"/>
        </w:rPr>
        <w:t xml:space="preserve"> </w:t>
      </w:r>
      <w:r w:rsidRPr="005565F8">
        <w:rPr>
          <w:color w:val="000000"/>
        </w:rPr>
        <w:t>– IZM), Kultūras ministrijas (turpmāk – KM), La</w:t>
      </w:r>
      <w:r w:rsidRPr="005565F8" w:rsidR="000D3ECE">
        <w:rPr>
          <w:color w:val="000000"/>
        </w:rPr>
        <w:t xml:space="preserve">bklājības ministrijas (turpmāk </w:t>
      </w:r>
      <w:r w:rsidRPr="005565F8">
        <w:rPr>
          <w:color w:val="000000"/>
        </w:rPr>
        <w:t xml:space="preserve">– LM), Satiksmes ministrijas </w:t>
      </w:r>
      <w:r w:rsidRPr="005565F8">
        <w:rPr>
          <w:color w:val="000000"/>
        </w:rPr>
        <w:t>(turpmāk</w:t>
      </w:r>
      <w:r w:rsidRPr="005565F8" w:rsidR="000D3ECE">
        <w:rPr>
          <w:color w:val="000000"/>
        </w:rPr>
        <w:t xml:space="preserve"> </w:t>
      </w:r>
      <w:r w:rsidRPr="005565F8">
        <w:rPr>
          <w:color w:val="000000"/>
        </w:rPr>
        <w:t xml:space="preserve">– SM), </w:t>
      </w:r>
      <w:r w:rsidRPr="005565F8" w:rsidR="000D3ECE">
        <w:rPr>
          <w:color w:val="000000"/>
        </w:rPr>
        <w:t xml:space="preserve">Tieslietu ministrijas (turpmāk </w:t>
      </w:r>
      <w:r w:rsidRPr="005565F8">
        <w:rPr>
          <w:color w:val="000000"/>
        </w:rPr>
        <w:t xml:space="preserve">– TM), Vides aizsardzības un reģionālās attīstības ministrijas (turpmāk – VARAM), </w:t>
      </w:r>
      <w:r w:rsidRPr="005565F8" w:rsidR="00811A23">
        <w:rPr>
          <w:color w:val="000000"/>
        </w:rPr>
        <w:t xml:space="preserve">Veselības ministrijas (turpmāk – VM), </w:t>
      </w:r>
      <w:r w:rsidRPr="005565F8">
        <w:rPr>
          <w:color w:val="000000"/>
        </w:rPr>
        <w:t xml:space="preserve">Zemkopības ministrijas (turpmāk – ZM), </w:t>
      </w:r>
      <w:r w:rsidRPr="005565F8">
        <w:rPr>
          <w:color w:val="000000"/>
        </w:rPr>
        <w:t>Pārresoru</w:t>
      </w:r>
      <w:r w:rsidRPr="005565F8">
        <w:rPr>
          <w:color w:val="000000"/>
        </w:rPr>
        <w:t xml:space="preserve"> koordinācijas centra</w:t>
      </w:r>
      <w:r w:rsidRPr="005565F8" w:rsidR="000D3ECE">
        <w:rPr>
          <w:color w:val="000000"/>
        </w:rPr>
        <w:t xml:space="preserve"> (turpmāk – PKC)</w:t>
      </w:r>
      <w:r w:rsidRPr="005565F8">
        <w:rPr>
          <w:color w:val="000000"/>
        </w:rPr>
        <w:t>,</w:t>
      </w:r>
      <w:r w:rsidRPr="005565F8" w:rsidR="00811A23">
        <w:rPr>
          <w:color w:val="000000"/>
        </w:rPr>
        <w:t xml:space="preserve"> Valsts kancelejas (turpmāk – VK), Finanšu un kapitāla tirgus komisijas (turpmāk</w:t>
      </w:r>
      <w:r w:rsidRPr="005565F8" w:rsidR="00173E9A">
        <w:rPr>
          <w:color w:val="000000"/>
        </w:rPr>
        <w:t xml:space="preserve"> – FKTK). Progresa ziņojums arī </w:t>
      </w:r>
      <w:r w:rsidRPr="005565F8" w:rsidR="0081180A">
        <w:rPr>
          <w:color w:val="000000"/>
        </w:rPr>
        <w:t>apspriests</w:t>
      </w:r>
      <w:r w:rsidRPr="005565F8" w:rsidR="00811A23">
        <w:rPr>
          <w:color w:val="000000"/>
        </w:rPr>
        <w:t xml:space="preserve"> ar </w:t>
      </w:r>
      <w:r w:rsidRPr="005565F8" w:rsidR="00173E9A">
        <w:rPr>
          <w:color w:val="000000"/>
        </w:rPr>
        <w:t>sociālajiem partneriem –</w:t>
      </w:r>
      <w:r w:rsidRPr="005565F8">
        <w:rPr>
          <w:color w:val="000000"/>
        </w:rPr>
        <w:t>Latvijas Darba devēju konfederācij</w:t>
      </w:r>
      <w:r w:rsidRPr="005565F8" w:rsidR="00811A23">
        <w:rPr>
          <w:color w:val="000000"/>
        </w:rPr>
        <w:t>u</w:t>
      </w:r>
      <w:r w:rsidRPr="005565F8">
        <w:rPr>
          <w:color w:val="000000"/>
        </w:rPr>
        <w:t xml:space="preserve"> (turpmāk – LDDK), Latvijas Brīvo arodbiedrību savienīb</w:t>
      </w:r>
      <w:r w:rsidRPr="005565F8" w:rsidR="00811A23">
        <w:rPr>
          <w:color w:val="000000"/>
        </w:rPr>
        <w:t>u</w:t>
      </w:r>
      <w:r w:rsidRPr="005565F8" w:rsidR="000D3ECE">
        <w:rPr>
          <w:color w:val="000000"/>
        </w:rPr>
        <w:t xml:space="preserve"> (turpmāk – LBAS)</w:t>
      </w:r>
      <w:r w:rsidRPr="005565F8" w:rsidR="00173E9A">
        <w:rPr>
          <w:color w:val="000000"/>
        </w:rPr>
        <w:t xml:space="preserve"> un sadarbības partneriem – </w:t>
      </w:r>
      <w:r w:rsidRPr="005565F8">
        <w:rPr>
          <w:color w:val="000000"/>
        </w:rPr>
        <w:t>Latvijas Tirdzniecības u</w:t>
      </w:r>
      <w:r w:rsidRPr="005565F8" w:rsidR="000D3ECE">
        <w:rPr>
          <w:color w:val="000000"/>
        </w:rPr>
        <w:t>n rūpniecības kamer</w:t>
      </w:r>
      <w:r w:rsidRPr="005565F8" w:rsidR="00811A23">
        <w:rPr>
          <w:color w:val="000000"/>
        </w:rPr>
        <w:t>u</w:t>
      </w:r>
      <w:r w:rsidRPr="005565F8" w:rsidR="000D3ECE">
        <w:rPr>
          <w:color w:val="000000"/>
        </w:rPr>
        <w:t xml:space="preserve"> (turpmāk </w:t>
      </w:r>
      <w:r w:rsidRPr="005565F8" w:rsidR="00173E9A">
        <w:rPr>
          <w:color w:val="000000"/>
        </w:rPr>
        <w:t xml:space="preserve">– LTRK), </w:t>
      </w:r>
      <w:r w:rsidRPr="005565F8" w:rsidR="00F279E9">
        <w:rPr>
          <w:color w:val="000000"/>
        </w:rPr>
        <w:t>Latvijas Pašvaldību savienīb</w:t>
      </w:r>
      <w:r w:rsidRPr="005565F8" w:rsidR="00811A23">
        <w:rPr>
          <w:color w:val="000000"/>
        </w:rPr>
        <w:t>u</w:t>
      </w:r>
      <w:r w:rsidRPr="005565F8" w:rsidR="00752FC5">
        <w:rPr>
          <w:color w:val="000000"/>
        </w:rPr>
        <w:t xml:space="preserve"> 201</w:t>
      </w:r>
      <w:r w:rsidRPr="005565F8" w:rsidR="00640517">
        <w:rPr>
          <w:color w:val="000000"/>
        </w:rPr>
        <w:t>8</w:t>
      </w:r>
      <w:r w:rsidRPr="005565F8" w:rsidR="00752FC5">
        <w:rPr>
          <w:color w:val="000000"/>
        </w:rPr>
        <w:t xml:space="preserve">.gada </w:t>
      </w:r>
      <w:r w:rsidRPr="005565F8" w:rsidR="00077ADD">
        <w:rPr>
          <w:color w:val="000000"/>
        </w:rPr>
        <w:t>28</w:t>
      </w:r>
      <w:r w:rsidRPr="005565F8" w:rsidR="00752FC5">
        <w:rPr>
          <w:color w:val="000000"/>
        </w:rPr>
        <w:t>.</w:t>
      </w:r>
      <w:r w:rsidRPr="005565F8" w:rsidR="00502399">
        <w:rPr>
          <w:color w:val="000000"/>
        </w:rPr>
        <w:t>martā</w:t>
      </w:r>
      <w:r w:rsidRPr="005565F8">
        <w:rPr>
          <w:color w:val="000000"/>
        </w:rPr>
        <w:t>.</w:t>
      </w:r>
    </w:p>
    <w:p w:rsidR="0089464D" w:rsidRPr="005565F8" w:rsidP="00916B1E" w14:paraId="44591B26" w14:textId="77777777">
      <w:r w:rsidRPr="005565F8">
        <w:t>A</w:t>
      </w:r>
      <w:r w:rsidRPr="005565F8">
        <w:t xml:space="preserve">r </w:t>
      </w:r>
      <w:r w:rsidRPr="005565F8" w:rsidR="00F62D35">
        <w:t xml:space="preserve">Eiropa 2020 stratēģiju un Eiropas semestra virzību saistītie jautājumi, kā arī </w:t>
      </w:r>
      <w:r w:rsidRPr="005565F8">
        <w:t>Latvijas NRP un Latvijas Stabilitātes programmas īstenošanu saistītie jautājumi, t.sk. ES Padomes rekomendāciju izpilde, tiek regulāri apspriesti Ministru kabinetā (turpmāk – MK)</w:t>
      </w:r>
      <w:r w:rsidRPr="005565F8" w:rsidR="00F62D35">
        <w:t>, Saeimā, ar sociālajiem partneriem</w:t>
      </w:r>
      <w:r w:rsidRPr="005565F8" w:rsidR="00B66C3E">
        <w:t xml:space="preserve"> un sadarbības partneriem</w:t>
      </w:r>
      <w:r w:rsidRPr="005565F8" w:rsidR="00F62D35">
        <w:t>,</w:t>
      </w:r>
      <w:r w:rsidRPr="005565F8" w:rsidR="00B66C3E">
        <w:t xml:space="preserve"> un citu</w:t>
      </w:r>
      <w:r w:rsidRPr="005565F8" w:rsidR="00F62D35">
        <w:t xml:space="preserve"> nevalstisko organizāciju</w:t>
      </w:r>
      <w:r w:rsidRPr="005565F8" w:rsidR="00B66C3E">
        <w:t xml:space="preserve"> pārstāvjiem, </w:t>
      </w:r>
      <w:r w:rsidRPr="005565F8" w:rsidR="00F62D35">
        <w:t>piemēram, Nacionālajā trīspusējās sadarbības padomē, Saeimas Eiropas lietu komisijā u.c.</w:t>
      </w:r>
      <w:r w:rsidRPr="005565F8">
        <w:t xml:space="preserve"> Ir notikušas divpusējās sarunas ar EK, kurās tika apspriests Latvijas progress ES Padomes rekomendāciju izpildē.</w:t>
      </w:r>
    </w:p>
    <w:p w:rsidR="0089464D" w:rsidRPr="005565F8" w:rsidP="00916B1E" w14:paraId="29735819" w14:textId="77777777">
      <w:bookmarkEnd w:id="7"/>
      <w:r w:rsidRPr="005565F8">
        <w:t>Progresa ziņojums par Latvijas NRP īstenošanu sastāv no 4 daļām. 1.daļā ir atjaunots Latvijas NRP aprakstītais vidēja termiņa makroekonomiskais scenārijs. 2.daļā – izvērtēts Latvijas progress 201</w:t>
      </w:r>
      <w:r w:rsidRPr="005565F8" w:rsidR="00A83575">
        <w:t>7</w:t>
      </w:r>
      <w:r w:rsidRPr="005565F8">
        <w:t>.gada ES Padomes rekomendāciju izpildē. 3.daļā ir dots detalizētāks Latvijas NRP politikas virzienu apraksts, t.sk. progress Latvijas kvantitatīvo mērķu „Eiropa 2020” stratēģijas kontekstā sasniegšanā. 4.daļā ir atspoguļota infor</w:t>
      </w:r>
      <w:r w:rsidRPr="005565F8" w:rsidR="000313BE">
        <w:t>mācija par ES fondu izmantošanu</w:t>
      </w:r>
      <w:r w:rsidRPr="005565F8" w:rsidR="009F64CA">
        <w:t>.</w:t>
      </w:r>
    </w:p>
    <w:p w:rsidR="00BD6401" w:rsidRPr="005565F8" w:rsidP="00916B1E" w14:paraId="49078203" w14:textId="77777777">
      <w:pPr>
        <w:sectPr w:rsidSect="003D0310">
          <w:type w:val="continuous"/>
          <w:pgSz w:w="11906" w:h="16838" w:code="9"/>
          <w:pgMar w:top="1134" w:right="1134" w:bottom="1134" w:left="1134" w:header="709" w:footer="709" w:gutter="0"/>
          <w:cols w:num="2" w:space="340"/>
          <w:titlePg/>
          <w:docGrid w:linePitch="360"/>
        </w:sectPr>
      </w:pPr>
      <w:r w:rsidRPr="005565F8">
        <w:t>Visa skaitliskā informācija un dati, izņemot īpaši norādītos gadījumos, ir saņemti no Centrālās statistikas pārvaldes (turpmāk – CSP) vai ES statistikas biroja (</w:t>
      </w:r>
      <w:r w:rsidRPr="005565F8">
        <w:t>Eurostat</w:t>
      </w:r>
      <w:r w:rsidRPr="005565F8">
        <w:t>).</w:t>
      </w:r>
    </w:p>
    <w:p w:rsidR="001519E3" w14:paraId="49F2DB90" w14:textId="77777777">
      <w:pPr>
        <w:spacing w:after="0"/>
        <w:rPr>
          <w:rFonts w:asciiTheme="majorHAnsi" w:eastAsiaTheme="majorEastAsia" w:hAnsiTheme="majorHAnsi" w:cstheme="majorBidi"/>
          <w:b/>
          <w:bCs/>
          <w:caps/>
          <w:color w:val="228B9D"/>
          <w:sz w:val="32"/>
          <w:szCs w:val="28"/>
        </w:rPr>
      </w:pPr>
      <w:r>
        <w:br w:type="page"/>
      </w:r>
    </w:p>
    <w:p w:rsidR="00746FF6" w:rsidRPr="005565F8" w:rsidP="00524C0A" w14:paraId="40137924" w14:textId="4CADFDEA">
      <w:pPr>
        <w:pStyle w:val="Heading1"/>
      </w:pPr>
      <w:bookmarkStart w:id="8" w:name="_Toc510687735"/>
      <w:bookmarkStart w:id="9" w:name="_Toc256000002"/>
      <w:bookmarkStart w:id="10" w:name="_Toc256000037"/>
      <w:r w:rsidRPr="005565F8">
        <w:t xml:space="preserve">1. </w:t>
      </w:r>
      <w:r w:rsidRPr="005565F8" w:rsidR="008F2EE4">
        <w:t>Vidēja termiņa makroekonomiskais scenārijs</w:t>
      </w:r>
      <w:bookmarkEnd w:id="10"/>
      <w:bookmarkEnd w:id="9"/>
      <w:bookmarkEnd w:id="8"/>
    </w:p>
    <w:p w:rsidR="00BD6401" w:rsidRPr="005565F8" w:rsidP="00BD6401" w14:paraId="461B41EE" w14:textId="77777777">
      <w:pPr>
        <w:sectPr w:rsidSect="003D0310">
          <w:type w:val="continuous"/>
          <w:pgSz w:w="11906" w:h="16838" w:code="9"/>
          <w:pgMar w:top="1134" w:right="1134" w:bottom="1134" w:left="1134" w:header="709" w:footer="709" w:gutter="0"/>
          <w:cols w:space="708"/>
          <w:titlePg/>
          <w:docGrid w:linePitch="360"/>
        </w:sectPr>
      </w:pPr>
    </w:p>
    <w:p w:rsidR="00253330" w:rsidRPr="005565F8" w:rsidP="00975ADA" w14:paraId="1EBD17DD" w14:textId="77777777">
      <w:r w:rsidRPr="005565F8">
        <w:t>Pēc ekonomiskās izaugsmes sabremzēšanās 2016.gadā līdz 2,2%, Latvijas ekonomikas izaugsme 2017.gadā ir būtiski paātrinājusies, sasniedzot 4,5%, kas ir straujākais kāpums kopš 2011.gada. Ekonomiskās izaugsmes paātrināšanos 2017.gadā nodrošināja augošais ārējais pieprasījums un investīciju aktivitātes atjaunošanās Latvijā, pieaugot ES fondu līdzekļu plūsmai.</w:t>
      </w:r>
    </w:p>
    <w:p w:rsidR="004839AC" w:rsidRPr="005565F8" w:rsidP="004839AC" w14:paraId="574928F0" w14:textId="73C89A28">
      <w:r w:rsidRPr="005565F8">
        <w:t xml:space="preserve">2017.gadā izaugsmi pozitīvi turpināja ietekmēt privātā patēriņa pieaugums (par 5,1%). Gandrīz tikpat būtisku devumu iekšzemes kopprodukta </w:t>
      </w:r>
      <w:r w:rsidRPr="005565F8" w:rsidR="00A62075">
        <w:t xml:space="preserve">(turpmāk – IKP) </w:t>
      </w:r>
      <w:r w:rsidRPr="005565F8">
        <w:t>pieaugumā nodrošināja investīcijas, kas salīdzinājumā ar 2016.gadu palielinājās par 16%. Pateicoties labvēlīgajai situācijai ārējos tirgos, preču un pakalpojumu eksports 2017.gadā palielinājās par 4,</w:t>
      </w:r>
      <w:r w:rsidR="0032553C">
        <w:t>4</w:t>
      </w:r>
      <w:r w:rsidRPr="005565F8">
        <w:t xml:space="preserve">%, bet sabiedriskais patēriņš pieauga par 4,1%. </w:t>
      </w:r>
    </w:p>
    <w:p w:rsidR="004839AC" w:rsidRPr="005565F8" w:rsidP="004839AC" w14:paraId="2CB46D1C" w14:textId="5111AD2D">
      <w:r w:rsidRPr="005565F8">
        <w:t xml:space="preserve">Preču eksports faktiskajās cenās 2017.gadā palielinājās par 10%. Pieaugums tika sasniegts visās lielākajās preču eksporta kategorijās, bet visbūtiskāk kopējo eksporta kāpumu veicināja lauksaimniecības un pārtikas preču, īpaši alkoholisko dzērienu eksporta pieaugums par </w:t>
      </w:r>
      <w:r w:rsidRPr="005565F8" w:rsidR="00D85A70">
        <w:t>48</w:t>
      </w:r>
      <w:r w:rsidRPr="005565F8">
        <w:t xml:space="preserve">%, kā arī dzelzs un tērauda eksporta kāpums par </w:t>
      </w:r>
      <w:r w:rsidRPr="005565F8" w:rsidR="00054F1E">
        <w:t>41</w:t>
      </w:r>
      <w:r w:rsidRPr="005565F8">
        <w:t xml:space="preserve">%. Valstu griezumā vislielākais eksporta pieaugums 2017.gadā tika sasniegts uz Krieviju – par </w:t>
      </w:r>
      <w:r w:rsidRPr="005565F8" w:rsidR="00054F1E">
        <w:t>31</w:t>
      </w:r>
      <w:r w:rsidRPr="005565F8">
        <w:t xml:space="preserve">%, ASV – par </w:t>
      </w:r>
      <w:r w:rsidRPr="005565F8" w:rsidR="00054F1E">
        <w:t>78</w:t>
      </w:r>
      <w:r w:rsidRPr="005565F8">
        <w:t>%</w:t>
      </w:r>
      <w:r w:rsidR="00622D1B">
        <w:t xml:space="preserve">, Vāciju – par 13% </w:t>
      </w:r>
      <w:r w:rsidRPr="005565F8">
        <w:t xml:space="preserve">un Igauniju – par </w:t>
      </w:r>
      <w:r w:rsidRPr="005565F8" w:rsidR="00054F1E">
        <w:t>6,</w:t>
      </w:r>
      <w:r w:rsidR="00622D1B">
        <w:t>8</w:t>
      </w:r>
      <w:r w:rsidRPr="005565F8">
        <w:t xml:space="preserve">%, kamēr lielākais samazinājums bija eksportā uz tādām valstīm kā Alžīrija, Gibraltārs un Kipra. Pakalpojumu eksportā savukārt visbūtiskāko devumu nodrošināja kravu autopārvadājumu, būvniecības, kā arī </w:t>
      </w:r>
      <w:r w:rsidRPr="005565F8">
        <w:t>datorpakalpojumu</w:t>
      </w:r>
      <w:r w:rsidRPr="005565F8">
        <w:t xml:space="preserve"> un informācijas pakalpojumu eksporta pieaugums.</w:t>
      </w:r>
    </w:p>
    <w:p w:rsidR="004839AC" w:rsidRPr="005565F8" w:rsidP="004839AC" w14:paraId="20CA908F" w14:textId="77777777">
      <w:r w:rsidRPr="005565F8">
        <w:t xml:space="preserve">Nozaru griezumā lielāka loma ekonomikas izaugsmē 2017.gadā bija apstrādes rūpniecībai, kuras pievienotā vērtība palielinājās par 8%. Nozares izaugsme bija visaptveroša, taču spēcīgāko pozitīvo devumu nodrošināja straujais izlaides apjomu kāpums mašīnbūvē un metālapstrādē, kā arī datoru, elektronisko un optisko iekārtu ražošanā. Arī divās lielākajās apstrādes rūpniecības </w:t>
      </w:r>
      <w:r w:rsidRPr="005565F8">
        <w:t>apakšnozarēs</w:t>
      </w:r>
      <w:r w:rsidRPr="005565F8">
        <w:t xml:space="preserve"> 2017.gadā bija vērojama stabila izaugsme – kokrūpniecības produkcijas izlaide gadā kopumā palielinājās par 2,1% un pārtikas produktu ražošana – par 4,3%.</w:t>
      </w:r>
    </w:p>
    <w:p w:rsidR="004839AC" w:rsidRPr="005565F8" w:rsidP="004839AC" w14:paraId="16187912" w14:textId="77777777">
      <w:r w:rsidRPr="005565F8">
        <w:t xml:space="preserve">Līdz ar investīciju aktivitātes atjaunošanos ļoti spēcīga izaugsme 2017.gadā tika sasniegta būvniecības nozarē (pieaugums par 19,4%). Būvniecības nozares izaugsmi veicināja straujāka ES fondu līdzekļu ieplūde, bet pieaugums tika sasniegts arī būvniecības sektoros, kur dominē privātās investīcijas, tajā skaitā tirdzniecības ēku, degvielas </w:t>
      </w:r>
      <w:r w:rsidRPr="005565F8">
        <w:t>uzpildes</w:t>
      </w:r>
      <w:r w:rsidRPr="005565F8">
        <w:t xml:space="preserve"> staciju būvniecībā.</w:t>
      </w:r>
    </w:p>
    <w:p w:rsidR="004839AC" w:rsidRPr="005565F8" w:rsidP="004839AC" w14:paraId="43E96714" w14:textId="77777777">
      <w:r w:rsidRPr="005565F8">
        <w:t xml:space="preserve">Vērā ņemams devums ekonomikas izaugsmē 2017.gadā bija arī transporta un uzglabāšanas nozarei, kas, neskatoties uz pārvadāto kravu apjoma samazinājumu dzelzceļā un ostās, 2017.gadā pieauga par 7,3%. Nozares kopējā pieaugumā noteicošā loma bija augošajiem kravu autopārvadājumiem, kā arī pieaugošajam pasažieru skaitam lidostā un jūras ostās, kas kompensēja tranzīta pārvadājumu samazināšanos caur Latvijas ostām. </w:t>
      </w:r>
    </w:p>
    <w:p w:rsidR="00BD6401" w:rsidRPr="005565F8" w:rsidP="00990DC4" w14:paraId="6C24454D" w14:textId="77777777">
      <w:pPr>
        <w:pStyle w:val="ListParagraph"/>
        <w:keepNext/>
        <w:tabs>
          <w:tab w:val="left" w:pos="426"/>
        </w:tabs>
        <w:ind w:left="0"/>
        <w:contextualSpacing w:val="0"/>
        <w:jc w:val="right"/>
        <w:rPr>
          <w:rFonts w:ascii="Calibri Light" w:hAnsi="Calibri Light"/>
        </w:rPr>
        <w:sectPr w:rsidSect="003D0310">
          <w:type w:val="continuous"/>
          <w:pgSz w:w="11906" w:h="16838" w:code="9"/>
          <w:pgMar w:top="1134" w:right="1134" w:bottom="1134" w:left="1134" w:header="709" w:footer="709" w:gutter="0"/>
          <w:cols w:num="2" w:space="340"/>
          <w:titlePg/>
          <w:docGrid w:linePitch="360"/>
        </w:sectPr>
      </w:pPr>
    </w:p>
    <w:p w:rsidR="000C2443" w:rsidRPr="005565F8" w:rsidP="00F5398E" w14:paraId="46838F69" w14:textId="77777777">
      <w:pPr>
        <w:pStyle w:val="ListParagraph"/>
        <w:keepNext/>
        <w:tabs>
          <w:tab w:val="left" w:pos="426"/>
        </w:tabs>
        <w:spacing w:before="240"/>
        <w:ind w:left="0"/>
        <w:contextualSpacing w:val="0"/>
        <w:jc w:val="right"/>
        <w:rPr>
          <w:rFonts w:ascii="Calibri Light" w:hAnsi="Calibri Light"/>
          <w:b/>
          <w:sz w:val="24"/>
        </w:rPr>
      </w:pPr>
      <w:bookmarkStart w:id="11" w:name="_Hlk508372896"/>
      <w:r w:rsidRPr="005565F8">
        <w:rPr>
          <w:rFonts w:ascii="Calibri Light" w:hAnsi="Calibri Light"/>
        </w:rPr>
        <w:t>1.1.tabula</w:t>
      </w:r>
      <w:r w:rsidRPr="005565F8" w:rsidR="00F5398E">
        <w:rPr>
          <w:rFonts w:ascii="Calibri Light" w:hAnsi="Calibri Light"/>
        </w:rPr>
        <w:br/>
      </w:r>
      <w:r w:rsidRPr="005565F8" w:rsidR="00253330">
        <w:rPr>
          <w:rFonts w:ascii="Calibri Light" w:hAnsi="Calibri Light"/>
          <w:b/>
          <w:sz w:val="24"/>
        </w:rPr>
        <w:t>Makroekonomiskais scenārijs vidējam termiņam</w:t>
      </w:r>
    </w:p>
    <w:tbl>
      <w:tblPr>
        <w:tblW w:w="5000" w:type="pct"/>
        <w:jc w:val="center"/>
        <w:tblBorders>
          <w:top w:val="single" w:sz="8" w:space="0" w:color="000000"/>
          <w:bottom w:val="single" w:sz="8" w:space="0" w:color="000000"/>
        </w:tblBorders>
        <w:tblLook w:val="04A0"/>
      </w:tblPr>
      <w:tblGrid>
        <w:gridCol w:w="4567"/>
        <w:gridCol w:w="847"/>
        <w:gridCol w:w="846"/>
        <w:gridCol w:w="846"/>
        <w:gridCol w:w="846"/>
        <w:gridCol w:w="846"/>
        <w:gridCol w:w="840"/>
      </w:tblGrid>
      <w:tr w14:paraId="5C88BF50" w14:textId="77777777" w:rsidTr="00B22046">
        <w:tblPrEx>
          <w:tblW w:w="5000" w:type="pct"/>
          <w:jc w:val="center"/>
          <w:tblBorders>
            <w:top w:val="single" w:sz="8" w:space="0" w:color="000000"/>
            <w:bottom w:val="single" w:sz="8" w:space="0" w:color="000000"/>
          </w:tblBorders>
          <w:tblLook w:val="04A0"/>
        </w:tblPrEx>
        <w:trPr>
          <w:trHeight w:val="187"/>
          <w:tblHeader/>
          <w:jc w:val="center"/>
        </w:trPr>
        <w:tc>
          <w:tcPr>
            <w:tcW w:w="2369" w:type="pct"/>
            <w:tcBorders>
              <w:top w:val="nil"/>
              <w:left w:val="nil"/>
              <w:bottom w:val="nil"/>
              <w:right w:val="nil"/>
            </w:tcBorders>
            <w:shd w:val="clear" w:color="auto" w:fill="B8CCE4" w:themeFill="accent1" w:themeFillTint="66"/>
            <w:noWrap/>
            <w:vAlign w:val="center"/>
            <w:hideMark/>
          </w:tcPr>
          <w:p w:rsidR="00253330" w:rsidRPr="005565F8" w:rsidP="00916B1E" w14:paraId="40219379" w14:textId="77777777">
            <w:pPr>
              <w:spacing w:before="20" w:after="20"/>
              <w:jc w:val="center"/>
              <w:rPr>
                <w:rFonts w:ascii="Calibri Light" w:hAnsi="Calibri Light" w:eastAsiaTheme="minorHAnsi" w:cstheme="minorBidi"/>
                <w:sz w:val="16"/>
                <w:szCs w:val="16"/>
              </w:rPr>
            </w:pPr>
          </w:p>
        </w:tc>
        <w:tc>
          <w:tcPr>
            <w:tcW w:w="439" w:type="pct"/>
            <w:tcBorders>
              <w:top w:val="nil"/>
              <w:left w:val="nil"/>
              <w:bottom w:val="single" w:sz="24" w:space="0" w:color="000000"/>
              <w:right w:val="nil"/>
            </w:tcBorders>
            <w:shd w:val="clear" w:color="auto" w:fill="B8CCE4" w:themeFill="accent1" w:themeFillTint="66"/>
            <w:noWrap/>
            <w:vAlign w:val="center"/>
            <w:hideMark/>
          </w:tcPr>
          <w:p w:rsidR="00253330" w:rsidRPr="005565F8" w:rsidP="00916B1E" w14:paraId="63236B1C" w14:textId="77777777">
            <w:pPr>
              <w:spacing w:before="20" w:after="20"/>
              <w:jc w:val="center"/>
              <w:rPr>
                <w:rFonts w:ascii="Calibri Light" w:hAnsi="Calibri Light"/>
                <w:b/>
                <w:sz w:val="16"/>
                <w:szCs w:val="16"/>
              </w:rPr>
            </w:pPr>
            <w:r w:rsidRPr="005565F8">
              <w:rPr>
                <w:rFonts w:ascii="Calibri Light" w:hAnsi="Calibri Light"/>
                <w:b/>
                <w:sz w:val="16"/>
                <w:szCs w:val="16"/>
              </w:rPr>
              <w:t>201</w:t>
            </w:r>
            <w:r w:rsidRPr="005565F8" w:rsidR="00054F1E">
              <w:rPr>
                <w:rFonts w:ascii="Calibri Light" w:hAnsi="Calibri Light"/>
                <w:b/>
                <w:sz w:val="16"/>
                <w:szCs w:val="16"/>
              </w:rPr>
              <w:t>6</w:t>
            </w:r>
          </w:p>
        </w:tc>
        <w:tc>
          <w:tcPr>
            <w:tcW w:w="439" w:type="pct"/>
            <w:tcBorders>
              <w:top w:val="nil"/>
              <w:left w:val="nil"/>
              <w:bottom w:val="single" w:sz="24" w:space="0" w:color="000000"/>
              <w:right w:val="nil"/>
            </w:tcBorders>
            <w:shd w:val="clear" w:color="auto" w:fill="B8CCE4" w:themeFill="accent1" w:themeFillTint="66"/>
            <w:noWrap/>
            <w:vAlign w:val="center"/>
            <w:hideMark/>
          </w:tcPr>
          <w:p w:rsidR="00253330" w:rsidRPr="005565F8" w:rsidP="00916B1E" w14:paraId="60D10F6D" w14:textId="77777777">
            <w:pPr>
              <w:spacing w:before="20" w:after="20"/>
              <w:jc w:val="center"/>
              <w:rPr>
                <w:rFonts w:ascii="Calibri Light" w:hAnsi="Calibri Light"/>
                <w:b/>
                <w:sz w:val="16"/>
                <w:szCs w:val="16"/>
              </w:rPr>
            </w:pPr>
            <w:r w:rsidRPr="005565F8">
              <w:rPr>
                <w:rFonts w:ascii="Calibri Light" w:hAnsi="Calibri Light"/>
                <w:b/>
                <w:sz w:val="16"/>
                <w:szCs w:val="16"/>
              </w:rPr>
              <w:t>201</w:t>
            </w:r>
            <w:r w:rsidRPr="005565F8" w:rsidR="00054F1E">
              <w:rPr>
                <w:rFonts w:ascii="Calibri Light" w:hAnsi="Calibri Light"/>
                <w:b/>
                <w:sz w:val="16"/>
                <w:szCs w:val="16"/>
              </w:rPr>
              <w:t>7</w:t>
            </w:r>
          </w:p>
        </w:tc>
        <w:tc>
          <w:tcPr>
            <w:tcW w:w="439" w:type="pct"/>
            <w:tcBorders>
              <w:top w:val="nil"/>
              <w:left w:val="nil"/>
              <w:bottom w:val="single" w:sz="24" w:space="0" w:color="000000"/>
              <w:right w:val="nil"/>
            </w:tcBorders>
            <w:shd w:val="clear" w:color="auto" w:fill="B8CCE4" w:themeFill="accent1" w:themeFillTint="66"/>
            <w:noWrap/>
            <w:vAlign w:val="center"/>
            <w:hideMark/>
          </w:tcPr>
          <w:p w:rsidR="00253330" w:rsidRPr="005565F8" w:rsidP="00916B1E" w14:paraId="4F49A4E9" w14:textId="77777777">
            <w:pPr>
              <w:spacing w:before="20" w:after="20"/>
              <w:jc w:val="center"/>
              <w:rPr>
                <w:rFonts w:ascii="Calibri Light" w:hAnsi="Calibri Light"/>
                <w:b/>
                <w:sz w:val="16"/>
                <w:szCs w:val="16"/>
              </w:rPr>
            </w:pPr>
            <w:r w:rsidRPr="005565F8">
              <w:rPr>
                <w:rFonts w:ascii="Calibri Light" w:hAnsi="Calibri Light"/>
                <w:b/>
                <w:sz w:val="16"/>
                <w:szCs w:val="16"/>
              </w:rPr>
              <w:t>201</w:t>
            </w:r>
            <w:r w:rsidRPr="005565F8" w:rsidR="00054F1E">
              <w:rPr>
                <w:rFonts w:ascii="Calibri Light" w:hAnsi="Calibri Light"/>
                <w:b/>
                <w:sz w:val="16"/>
                <w:szCs w:val="16"/>
              </w:rPr>
              <w:t>8</w:t>
            </w:r>
          </w:p>
        </w:tc>
        <w:tc>
          <w:tcPr>
            <w:tcW w:w="439" w:type="pct"/>
            <w:tcBorders>
              <w:top w:val="nil"/>
              <w:left w:val="nil"/>
              <w:bottom w:val="single" w:sz="24" w:space="0" w:color="000000"/>
              <w:right w:val="nil"/>
            </w:tcBorders>
            <w:shd w:val="clear" w:color="auto" w:fill="B8CCE4" w:themeFill="accent1" w:themeFillTint="66"/>
            <w:noWrap/>
            <w:vAlign w:val="center"/>
            <w:hideMark/>
          </w:tcPr>
          <w:p w:rsidR="00253330" w:rsidRPr="005565F8" w:rsidP="00916B1E" w14:paraId="57485017" w14:textId="77777777">
            <w:pPr>
              <w:spacing w:before="20" w:after="20"/>
              <w:jc w:val="center"/>
              <w:rPr>
                <w:rFonts w:ascii="Calibri Light" w:hAnsi="Calibri Light"/>
                <w:b/>
                <w:sz w:val="16"/>
                <w:szCs w:val="16"/>
              </w:rPr>
            </w:pPr>
            <w:r w:rsidRPr="005565F8">
              <w:rPr>
                <w:rFonts w:ascii="Calibri Light" w:hAnsi="Calibri Light"/>
                <w:b/>
                <w:sz w:val="16"/>
                <w:szCs w:val="16"/>
              </w:rPr>
              <w:t>201</w:t>
            </w:r>
            <w:r w:rsidRPr="005565F8" w:rsidR="00054F1E">
              <w:rPr>
                <w:rFonts w:ascii="Calibri Light" w:hAnsi="Calibri Light"/>
                <w:b/>
                <w:sz w:val="16"/>
                <w:szCs w:val="16"/>
              </w:rPr>
              <w:t>9</w:t>
            </w:r>
          </w:p>
        </w:tc>
        <w:tc>
          <w:tcPr>
            <w:tcW w:w="439" w:type="pct"/>
            <w:tcBorders>
              <w:top w:val="nil"/>
              <w:left w:val="nil"/>
              <w:bottom w:val="single" w:sz="24" w:space="0" w:color="000000"/>
              <w:right w:val="nil"/>
            </w:tcBorders>
            <w:shd w:val="clear" w:color="auto" w:fill="B8CCE4" w:themeFill="accent1" w:themeFillTint="66"/>
            <w:noWrap/>
            <w:vAlign w:val="center"/>
            <w:hideMark/>
          </w:tcPr>
          <w:p w:rsidR="00253330" w:rsidRPr="005565F8" w:rsidP="00916B1E" w14:paraId="0C356D35" w14:textId="77777777">
            <w:pPr>
              <w:spacing w:before="20" w:after="20"/>
              <w:jc w:val="center"/>
              <w:rPr>
                <w:rFonts w:ascii="Calibri Light" w:hAnsi="Calibri Light"/>
                <w:b/>
                <w:sz w:val="16"/>
                <w:szCs w:val="16"/>
              </w:rPr>
            </w:pPr>
            <w:r w:rsidRPr="005565F8">
              <w:rPr>
                <w:rFonts w:ascii="Calibri Light" w:hAnsi="Calibri Light"/>
                <w:b/>
                <w:sz w:val="16"/>
                <w:szCs w:val="16"/>
              </w:rPr>
              <w:t>20</w:t>
            </w:r>
            <w:r w:rsidRPr="005565F8" w:rsidR="00054F1E">
              <w:rPr>
                <w:rFonts w:ascii="Calibri Light" w:hAnsi="Calibri Light"/>
                <w:b/>
                <w:sz w:val="16"/>
                <w:szCs w:val="16"/>
              </w:rPr>
              <w:t>20</w:t>
            </w:r>
          </w:p>
        </w:tc>
        <w:tc>
          <w:tcPr>
            <w:tcW w:w="437" w:type="pct"/>
            <w:tcBorders>
              <w:top w:val="nil"/>
              <w:left w:val="nil"/>
              <w:bottom w:val="single" w:sz="24" w:space="0" w:color="000000"/>
              <w:right w:val="nil"/>
            </w:tcBorders>
            <w:shd w:val="clear" w:color="auto" w:fill="B8CCE4" w:themeFill="accent1" w:themeFillTint="66"/>
            <w:noWrap/>
            <w:vAlign w:val="center"/>
            <w:hideMark/>
          </w:tcPr>
          <w:p w:rsidR="00253330" w:rsidRPr="005565F8" w:rsidP="00916B1E" w14:paraId="78AB3E7A" w14:textId="77777777">
            <w:pPr>
              <w:spacing w:before="20" w:after="20"/>
              <w:jc w:val="center"/>
              <w:rPr>
                <w:rFonts w:ascii="Calibri Light" w:hAnsi="Calibri Light"/>
                <w:b/>
                <w:sz w:val="16"/>
                <w:szCs w:val="16"/>
              </w:rPr>
            </w:pPr>
            <w:r w:rsidRPr="005565F8">
              <w:rPr>
                <w:rFonts w:ascii="Calibri Light" w:hAnsi="Calibri Light"/>
                <w:b/>
                <w:sz w:val="16"/>
                <w:szCs w:val="16"/>
              </w:rPr>
              <w:t>202</w:t>
            </w:r>
            <w:r w:rsidRPr="005565F8" w:rsidR="00054F1E">
              <w:rPr>
                <w:rFonts w:ascii="Calibri Light" w:hAnsi="Calibri Light"/>
                <w:b/>
                <w:sz w:val="16"/>
                <w:szCs w:val="16"/>
              </w:rPr>
              <w:t>1</w:t>
            </w:r>
          </w:p>
        </w:tc>
      </w:tr>
      <w:tr w14:paraId="43473D7B" w14:textId="77777777" w:rsidTr="000C2443">
        <w:tblPrEx>
          <w:tblW w:w="5000" w:type="pct"/>
          <w:jc w:val="center"/>
          <w:tblLook w:val="04A0"/>
        </w:tblPrEx>
        <w:trPr>
          <w:trHeight w:val="256"/>
          <w:jc w:val="center"/>
        </w:trPr>
        <w:tc>
          <w:tcPr>
            <w:tcW w:w="2369" w:type="pct"/>
            <w:tcBorders>
              <w:top w:val="nil"/>
              <w:left w:val="nil"/>
              <w:bottom w:val="nil"/>
              <w:right w:val="nil"/>
            </w:tcBorders>
            <w:shd w:val="clear" w:color="auto" w:fill="auto"/>
            <w:noWrap/>
            <w:vAlign w:val="center"/>
            <w:hideMark/>
          </w:tcPr>
          <w:p w:rsidR="00054F1E" w:rsidRPr="005565F8" w:rsidP="00054F1E" w14:paraId="0520369C" w14:textId="77777777">
            <w:pPr>
              <w:spacing w:before="120" w:after="20"/>
              <w:rPr>
                <w:rFonts w:ascii="Calibri Light" w:hAnsi="Calibri Light"/>
                <w:b/>
                <w:bCs/>
                <w:color w:val="000000"/>
                <w:sz w:val="16"/>
                <w:szCs w:val="16"/>
              </w:rPr>
            </w:pPr>
            <w:r w:rsidRPr="005565F8">
              <w:rPr>
                <w:rFonts w:ascii="Calibri Light" w:hAnsi="Calibri Light"/>
                <w:bCs/>
                <w:color w:val="000000"/>
                <w:sz w:val="16"/>
                <w:szCs w:val="16"/>
              </w:rPr>
              <w:t>IKP, faktiskajās cenās, milj. EUR</w:t>
            </w:r>
          </w:p>
        </w:tc>
        <w:tc>
          <w:tcPr>
            <w:tcW w:w="439" w:type="pct"/>
            <w:tcBorders>
              <w:top w:val="single" w:sz="24" w:space="0" w:color="000000"/>
              <w:left w:val="nil"/>
              <w:bottom w:val="nil"/>
              <w:right w:val="nil"/>
            </w:tcBorders>
            <w:shd w:val="clear" w:color="auto" w:fill="auto"/>
            <w:noWrap/>
            <w:hideMark/>
          </w:tcPr>
          <w:p w:rsidR="00054F1E" w:rsidRPr="005565F8" w:rsidP="00054F1E" w14:paraId="3FDBAA48"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24 927</w:t>
            </w:r>
          </w:p>
        </w:tc>
        <w:tc>
          <w:tcPr>
            <w:tcW w:w="439" w:type="pct"/>
            <w:tcBorders>
              <w:top w:val="single" w:sz="24" w:space="0" w:color="000000"/>
              <w:left w:val="nil"/>
              <w:bottom w:val="nil"/>
              <w:right w:val="nil"/>
            </w:tcBorders>
            <w:shd w:val="clear" w:color="auto" w:fill="auto"/>
            <w:noWrap/>
            <w:hideMark/>
          </w:tcPr>
          <w:p w:rsidR="00054F1E" w:rsidRPr="005565F8" w:rsidP="00054F1E" w14:paraId="69205B0E"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26 851</w:t>
            </w:r>
          </w:p>
        </w:tc>
        <w:tc>
          <w:tcPr>
            <w:tcW w:w="439" w:type="pct"/>
            <w:tcBorders>
              <w:top w:val="single" w:sz="24" w:space="0" w:color="000000"/>
              <w:left w:val="nil"/>
              <w:bottom w:val="nil"/>
              <w:right w:val="nil"/>
            </w:tcBorders>
            <w:shd w:val="clear" w:color="auto" w:fill="auto"/>
            <w:noWrap/>
            <w:hideMark/>
          </w:tcPr>
          <w:p w:rsidR="00054F1E" w:rsidRPr="005565F8" w:rsidP="00054F1E" w14:paraId="19520C31"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28 798</w:t>
            </w:r>
          </w:p>
        </w:tc>
        <w:tc>
          <w:tcPr>
            <w:tcW w:w="439" w:type="pct"/>
            <w:tcBorders>
              <w:top w:val="single" w:sz="24" w:space="0" w:color="000000"/>
              <w:left w:val="nil"/>
              <w:bottom w:val="nil"/>
              <w:right w:val="nil"/>
            </w:tcBorders>
            <w:shd w:val="clear" w:color="auto" w:fill="auto"/>
            <w:noWrap/>
            <w:hideMark/>
          </w:tcPr>
          <w:p w:rsidR="00054F1E" w:rsidRPr="005565F8" w:rsidP="00054F1E" w14:paraId="7BAA810C"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30 672</w:t>
            </w:r>
          </w:p>
        </w:tc>
        <w:tc>
          <w:tcPr>
            <w:tcW w:w="439" w:type="pct"/>
            <w:tcBorders>
              <w:top w:val="single" w:sz="24" w:space="0" w:color="000000"/>
              <w:left w:val="nil"/>
              <w:bottom w:val="nil"/>
              <w:right w:val="nil"/>
            </w:tcBorders>
            <w:shd w:val="clear" w:color="auto" w:fill="auto"/>
            <w:noWrap/>
            <w:hideMark/>
          </w:tcPr>
          <w:p w:rsidR="00054F1E" w:rsidRPr="005565F8" w:rsidP="00054F1E" w14:paraId="5725B3FA"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32 455</w:t>
            </w:r>
          </w:p>
        </w:tc>
        <w:tc>
          <w:tcPr>
            <w:tcW w:w="437" w:type="pct"/>
            <w:tcBorders>
              <w:top w:val="single" w:sz="24" w:space="0" w:color="000000"/>
              <w:left w:val="nil"/>
              <w:bottom w:val="nil"/>
              <w:right w:val="nil"/>
            </w:tcBorders>
            <w:shd w:val="clear" w:color="auto" w:fill="auto"/>
            <w:noWrap/>
            <w:hideMark/>
          </w:tcPr>
          <w:p w:rsidR="00054F1E" w:rsidRPr="005565F8" w:rsidP="00054F1E" w14:paraId="5C765928"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34 218</w:t>
            </w:r>
          </w:p>
        </w:tc>
      </w:tr>
      <w:tr w14:paraId="092273B5" w14:textId="77777777" w:rsidTr="00B22046">
        <w:tblPrEx>
          <w:tblW w:w="5000" w:type="pct"/>
          <w:jc w:val="center"/>
          <w:tblLook w:val="04A0"/>
        </w:tblPrEx>
        <w:trPr>
          <w:trHeight w:val="256"/>
          <w:jc w:val="center"/>
        </w:trPr>
        <w:tc>
          <w:tcPr>
            <w:tcW w:w="2369" w:type="pct"/>
            <w:tcBorders>
              <w:top w:val="nil"/>
              <w:left w:val="nil"/>
              <w:bottom w:val="nil"/>
              <w:right w:val="nil"/>
            </w:tcBorders>
            <w:shd w:val="clear" w:color="auto" w:fill="B8CCE4" w:themeFill="accent1" w:themeFillTint="66"/>
            <w:noWrap/>
            <w:vAlign w:val="center"/>
            <w:hideMark/>
          </w:tcPr>
          <w:p w:rsidR="00054F1E" w:rsidRPr="005565F8" w:rsidP="00054F1E" w14:paraId="1F0E6B61" w14:textId="77777777">
            <w:pPr>
              <w:spacing w:before="20" w:after="20"/>
              <w:ind w:firstLine="160" w:firstLineChars="100"/>
              <w:rPr>
                <w:rFonts w:ascii="Calibri Light" w:hAnsi="Calibri Light"/>
                <w:b/>
                <w:bCs/>
                <w:color w:val="000000"/>
                <w:sz w:val="16"/>
                <w:szCs w:val="16"/>
              </w:rPr>
            </w:pPr>
            <w:r w:rsidRPr="005565F8">
              <w:rPr>
                <w:rFonts w:ascii="Calibri Light" w:hAnsi="Calibri Light"/>
                <w:bCs/>
                <w:color w:val="000000"/>
                <w:sz w:val="16"/>
                <w:szCs w:val="16"/>
              </w:rPr>
              <w:t>pieaugums faktiskajās cenās, %</w:t>
            </w:r>
          </w:p>
        </w:tc>
        <w:tc>
          <w:tcPr>
            <w:tcW w:w="439" w:type="pct"/>
            <w:tcBorders>
              <w:top w:val="nil"/>
              <w:left w:val="nil"/>
              <w:bottom w:val="nil"/>
              <w:right w:val="nil"/>
            </w:tcBorders>
            <w:shd w:val="clear" w:color="auto" w:fill="B8CCE4" w:themeFill="accent1" w:themeFillTint="66"/>
            <w:noWrap/>
            <w:hideMark/>
          </w:tcPr>
          <w:p w:rsidR="00054F1E" w:rsidRPr="005565F8" w:rsidP="00054F1E" w14:paraId="073A3DF6"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2,5</w:t>
            </w:r>
          </w:p>
        </w:tc>
        <w:tc>
          <w:tcPr>
            <w:tcW w:w="439" w:type="pct"/>
            <w:tcBorders>
              <w:top w:val="nil"/>
              <w:left w:val="nil"/>
              <w:bottom w:val="nil"/>
              <w:right w:val="nil"/>
            </w:tcBorders>
            <w:shd w:val="clear" w:color="auto" w:fill="B8CCE4" w:themeFill="accent1" w:themeFillTint="66"/>
            <w:noWrap/>
            <w:hideMark/>
          </w:tcPr>
          <w:p w:rsidR="00054F1E" w:rsidRPr="005565F8" w:rsidP="00054F1E" w14:paraId="6067B20C"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7,7</w:t>
            </w:r>
          </w:p>
        </w:tc>
        <w:tc>
          <w:tcPr>
            <w:tcW w:w="439" w:type="pct"/>
            <w:tcBorders>
              <w:top w:val="nil"/>
              <w:left w:val="nil"/>
              <w:bottom w:val="nil"/>
              <w:right w:val="nil"/>
            </w:tcBorders>
            <w:shd w:val="clear" w:color="auto" w:fill="B8CCE4" w:themeFill="accent1" w:themeFillTint="66"/>
            <w:noWrap/>
            <w:hideMark/>
          </w:tcPr>
          <w:p w:rsidR="00054F1E" w:rsidRPr="005565F8" w:rsidP="00054F1E" w14:paraId="05267298"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7,2</w:t>
            </w:r>
          </w:p>
        </w:tc>
        <w:tc>
          <w:tcPr>
            <w:tcW w:w="439" w:type="pct"/>
            <w:tcBorders>
              <w:top w:val="nil"/>
              <w:left w:val="nil"/>
              <w:bottom w:val="nil"/>
              <w:right w:val="nil"/>
            </w:tcBorders>
            <w:shd w:val="clear" w:color="auto" w:fill="B8CCE4" w:themeFill="accent1" w:themeFillTint="66"/>
            <w:noWrap/>
            <w:hideMark/>
          </w:tcPr>
          <w:p w:rsidR="00054F1E" w:rsidRPr="005565F8" w:rsidP="00054F1E" w14:paraId="2F06EAD7"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6,5</w:t>
            </w:r>
          </w:p>
        </w:tc>
        <w:tc>
          <w:tcPr>
            <w:tcW w:w="439" w:type="pct"/>
            <w:tcBorders>
              <w:top w:val="nil"/>
              <w:left w:val="nil"/>
              <w:bottom w:val="nil"/>
              <w:right w:val="nil"/>
            </w:tcBorders>
            <w:shd w:val="clear" w:color="auto" w:fill="B8CCE4" w:themeFill="accent1" w:themeFillTint="66"/>
            <w:noWrap/>
            <w:hideMark/>
          </w:tcPr>
          <w:p w:rsidR="00054F1E" w:rsidRPr="005565F8" w:rsidP="00054F1E" w14:paraId="376C07BB"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5,8</w:t>
            </w:r>
          </w:p>
        </w:tc>
        <w:tc>
          <w:tcPr>
            <w:tcW w:w="437" w:type="pct"/>
            <w:tcBorders>
              <w:top w:val="nil"/>
              <w:left w:val="nil"/>
              <w:bottom w:val="nil"/>
              <w:right w:val="nil"/>
            </w:tcBorders>
            <w:shd w:val="clear" w:color="auto" w:fill="B8CCE4" w:themeFill="accent1" w:themeFillTint="66"/>
            <w:noWrap/>
            <w:hideMark/>
          </w:tcPr>
          <w:p w:rsidR="00054F1E" w:rsidRPr="005565F8" w:rsidP="00054F1E" w14:paraId="467171A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5,4</w:t>
            </w:r>
          </w:p>
        </w:tc>
      </w:tr>
      <w:tr w14:paraId="157D2380" w14:textId="77777777" w:rsidTr="000C2443">
        <w:tblPrEx>
          <w:tblW w:w="5000" w:type="pct"/>
          <w:jc w:val="center"/>
          <w:tblLook w:val="04A0"/>
        </w:tblPrEx>
        <w:trPr>
          <w:trHeight w:val="256"/>
          <w:jc w:val="center"/>
        </w:trPr>
        <w:tc>
          <w:tcPr>
            <w:tcW w:w="2369" w:type="pct"/>
            <w:tcBorders>
              <w:top w:val="nil"/>
              <w:left w:val="nil"/>
              <w:bottom w:val="single" w:sz="4" w:space="0" w:color="auto"/>
              <w:right w:val="nil"/>
            </w:tcBorders>
            <w:shd w:val="clear" w:color="auto" w:fill="auto"/>
            <w:noWrap/>
            <w:vAlign w:val="center"/>
            <w:hideMark/>
          </w:tcPr>
          <w:p w:rsidR="00054F1E" w:rsidRPr="005565F8" w:rsidP="00054F1E" w14:paraId="09BD9E48" w14:textId="77777777">
            <w:pPr>
              <w:spacing w:before="20" w:after="20"/>
              <w:ind w:firstLine="160" w:firstLineChars="100"/>
              <w:rPr>
                <w:rFonts w:ascii="Calibri Light" w:hAnsi="Calibri Light"/>
                <w:b/>
                <w:bCs/>
                <w:color w:val="000000"/>
                <w:sz w:val="16"/>
                <w:szCs w:val="16"/>
              </w:rPr>
            </w:pPr>
            <w:r w:rsidRPr="005565F8">
              <w:rPr>
                <w:rFonts w:ascii="Calibri Light" w:hAnsi="Calibri Light"/>
                <w:bCs/>
                <w:color w:val="000000"/>
                <w:sz w:val="16"/>
                <w:szCs w:val="16"/>
              </w:rPr>
              <w:t>pieaugums salīdzināmās cenās, %</w:t>
            </w:r>
          </w:p>
        </w:tc>
        <w:tc>
          <w:tcPr>
            <w:tcW w:w="439" w:type="pct"/>
            <w:tcBorders>
              <w:top w:val="nil"/>
              <w:left w:val="nil"/>
              <w:bottom w:val="single" w:sz="4" w:space="0" w:color="auto"/>
              <w:right w:val="nil"/>
            </w:tcBorders>
            <w:shd w:val="clear" w:color="auto" w:fill="auto"/>
            <w:noWrap/>
            <w:hideMark/>
          </w:tcPr>
          <w:p w:rsidR="00054F1E" w:rsidRPr="005565F8" w:rsidP="00054F1E" w14:paraId="4A6DD41F"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2,2</w:t>
            </w:r>
          </w:p>
        </w:tc>
        <w:tc>
          <w:tcPr>
            <w:tcW w:w="439" w:type="pct"/>
            <w:tcBorders>
              <w:top w:val="nil"/>
              <w:left w:val="nil"/>
              <w:bottom w:val="single" w:sz="4" w:space="0" w:color="auto"/>
              <w:right w:val="nil"/>
            </w:tcBorders>
            <w:shd w:val="clear" w:color="auto" w:fill="auto"/>
            <w:noWrap/>
            <w:hideMark/>
          </w:tcPr>
          <w:p w:rsidR="00054F1E" w:rsidRPr="005565F8" w:rsidP="00054F1E" w14:paraId="726F8A4B"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4,5</w:t>
            </w:r>
          </w:p>
        </w:tc>
        <w:tc>
          <w:tcPr>
            <w:tcW w:w="439" w:type="pct"/>
            <w:tcBorders>
              <w:top w:val="nil"/>
              <w:left w:val="nil"/>
              <w:bottom w:val="single" w:sz="4" w:space="0" w:color="auto"/>
              <w:right w:val="nil"/>
            </w:tcBorders>
            <w:shd w:val="clear" w:color="auto" w:fill="auto"/>
            <w:noWrap/>
            <w:hideMark/>
          </w:tcPr>
          <w:p w:rsidR="00054F1E" w:rsidRPr="005565F8" w:rsidP="00054F1E" w14:paraId="3C1941B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4,0</w:t>
            </w:r>
          </w:p>
        </w:tc>
        <w:tc>
          <w:tcPr>
            <w:tcW w:w="439" w:type="pct"/>
            <w:tcBorders>
              <w:top w:val="nil"/>
              <w:left w:val="nil"/>
              <w:bottom w:val="single" w:sz="4" w:space="0" w:color="auto"/>
              <w:right w:val="nil"/>
            </w:tcBorders>
            <w:shd w:val="clear" w:color="auto" w:fill="auto"/>
            <w:noWrap/>
            <w:hideMark/>
          </w:tcPr>
          <w:p w:rsidR="00054F1E" w:rsidRPr="005565F8" w:rsidP="00054F1E" w14:paraId="2FFA63F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3,4</w:t>
            </w:r>
          </w:p>
        </w:tc>
        <w:tc>
          <w:tcPr>
            <w:tcW w:w="439" w:type="pct"/>
            <w:tcBorders>
              <w:top w:val="nil"/>
              <w:left w:val="nil"/>
              <w:bottom w:val="single" w:sz="4" w:space="0" w:color="auto"/>
              <w:right w:val="nil"/>
            </w:tcBorders>
            <w:shd w:val="clear" w:color="auto" w:fill="auto"/>
            <w:noWrap/>
            <w:hideMark/>
          </w:tcPr>
          <w:p w:rsidR="00054F1E" w:rsidRPr="005565F8" w:rsidP="00054F1E" w14:paraId="33D8EE5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3,0</w:t>
            </w:r>
          </w:p>
        </w:tc>
        <w:tc>
          <w:tcPr>
            <w:tcW w:w="437" w:type="pct"/>
            <w:tcBorders>
              <w:top w:val="nil"/>
              <w:left w:val="nil"/>
              <w:bottom w:val="single" w:sz="4" w:space="0" w:color="auto"/>
              <w:right w:val="nil"/>
            </w:tcBorders>
            <w:shd w:val="clear" w:color="auto" w:fill="auto"/>
            <w:noWrap/>
            <w:hideMark/>
          </w:tcPr>
          <w:p w:rsidR="00054F1E" w:rsidRPr="005565F8" w:rsidP="00054F1E" w14:paraId="243B642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2,9</w:t>
            </w:r>
          </w:p>
        </w:tc>
      </w:tr>
      <w:tr w14:paraId="7BDF2ABB" w14:textId="77777777" w:rsidTr="000C2443">
        <w:tblPrEx>
          <w:tblW w:w="5000" w:type="pct"/>
          <w:jc w:val="center"/>
          <w:tblLook w:val="04A0"/>
        </w:tblPrEx>
        <w:trPr>
          <w:trHeight w:val="256"/>
          <w:jc w:val="center"/>
        </w:trPr>
        <w:tc>
          <w:tcPr>
            <w:tcW w:w="2369" w:type="pct"/>
            <w:tcBorders>
              <w:top w:val="single" w:sz="4" w:space="0" w:color="auto"/>
              <w:left w:val="nil"/>
              <w:bottom w:val="nil"/>
              <w:right w:val="nil"/>
            </w:tcBorders>
            <w:shd w:val="clear" w:color="auto" w:fill="auto"/>
            <w:noWrap/>
            <w:vAlign w:val="center"/>
            <w:hideMark/>
          </w:tcPr>
          <w:p w:rsidR="00054F1E" w:rsidRPr="005565F8" w:rsidP="00054F1E" w14:paraId="7CC7B359" w14:textId="77777777">
            <w:pPr>
              <w:spacing w:before="120" w:after="20"/>
              <w:rPr>
                <w:rFonts w:ascii="Calibri Light" w:hAnsi="Calibri Light"/>
                <w:b/>
                <w:bCs/>
                <w:color w:val="000000"/>
                <w:sz w:val="16"/>
                <w:szCs w:val="16"/>
              </w:rPr>
            </w:pPr>
            <w:r w:rsidRPr="005565F8">
              <w:rPr>
                <w:rFonts w:ascii="Calibri Light" w:hAnsi="Calibri Light"/>
                <w:bCs/>
                <w:color w:val="000000"/>
                <w:sz w:val="16"/>
                <w:szCs w:val="16"/>
              </w:rPr>
              <w:t xml:space="preserve">IKP </w:t>
            </w:r>
            <w:r w:rsidRPr="005565F8">
              <w:rPr>
                <w:rFonts w:ascii="Calibri Light" w:hAnsi="Calibri Light"/>
                <w:bCs/>
                <w:color w:val="000000"/>
                <w:sz w:val="16"/>
                <w:szCs w:val="16"/>
              </w:rPr>
              <w:t>deflators</w:t>
            </w:r>
            <w:r w:rsidRPr="005565F8">
              <w:rPr>
                <w:rFonts w:ascii="Calibri Light" w:hAnsi="Calibri Light"/>
                <w:bCs/>
                <w:color w:val="000000"/>
                <w:sz w:val="16"/>
                <w:szCs w:val="16"/>
              </w:rPr>
              <w:t xml:space="preserve"> (gads pret gadu), %</w:t>
            </w:r>
          </w:p>
        </w:tc>
        <w:tc>
          <w:tcPr>
            <w:tcW w:w="439" w:type="pct"/>
            <w:tcBorders>
              <w:top w:val="single" w:sz="4" w:space="0" w:color="auto"/>
              <w:left w:val="nil"/>
              <w:bottom w:val="nil"/>
              <w:right w:val="nil"/>
            </w:tcBorders>
            <w:shd w:val="clear" w:color="auto" w:fill="auto"/>
            <w:noWrap/>
            <w:hideMark/>
          </w:tcPr>
          <w:p w:rsidR="00054F1E" w:rsidRPr="005565F8" w:rsidP="00054F1E" w14:paraId="143852F9"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0,3</w:t>
            </w:r>
          </w:p>
        </w:tc>
        <w:tc>
          <w:tcPr>
            <w:tcW w:w="439" w:type="pct"/>
            <w:tcBorders>
              <w:top w:val="single" w:sz="4" w:space="0" w:color="auto"/>
              <w:left w:val="nil"/>
              <w:bottom w:val="nil"/>
              <w:right w:val="nil"/>
            </w:tcBorders>
            <w:shd w:val="clear" w:color="auto" w:fill="auto"/>
            <w:noWrap/>
            <w:hideMark/>
          </w:tcPr>
          <w:p w:rsidR="00054F1E" w:rsidRPr="005565F8" w:rsidP="00054F1E" w14:paraId="4FD3D4D3" w14:textId="1789B9B8">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w:t>
            </w:r>
            <w:r w:rsidR="0066081F">
              <w:rPr>
                <w:rFonts w:ascii="Calibri Light" w:hAnsi="Calibri Light"/>
                <w:bCs/>
                <w:color w:val="000000"/>
                <w:sz w:val="16"/>
                <w:szCs w:val="16"/>
              </w:rPr>
              <w:t>0</w:t>
            </w:r>
          </w:p>
        </w:tc>
        <w:tc>
          <w:tcPr>
            <w:tcW w:w="439" w:type="pct"/>
            <w:tcBorders>
              <w:top w:val="single" w:sz="4" w:space="0" w:color="auto"/>
              <w:left w:val="nil"/>
              <w:bottom w:val="nil"/>
              <w:right w:val="nil"/>
            </w:tcBorders>
            <w:shd w:val="clear" w:color="auto" w:fill="auto"/>
            <w:noWrap/>
            <w:hideMark/>
          </w:tcPr>
          <w:p w:rsidR="00054F1E" w:rsidRPr="005565F8" w:rsidP="00054F1E" w14:paraId="0C988F9A"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3,1</w:t>
            </w:r>
          </w:p>
        </w:tc>
        <w:tc>
          <w:tcPr>
            <w:tcW w:w="439" w:type="pct"/>
            <w:tcBorders>
              <w:top w:val="single" w:sz="4" w:space="0" w:color="auto"/>
              <w:left w:val="nil"/>
              <w:bottom w:val="nil"/>
              <w:right w:val="nil"/>
            </w:tcBorders>
            <w:shd w:val="clear" w:color="auto" w:fill="auto"/>
            <w:noWrap/>
            <w:hideMark/>
          </w:tcPr>
          <w:p w:rsidR="00054F1E" w:rsidRPr="005565F8" w:rsidP="00054F1E" w14:paraId="53C9BE77"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3,0</w:t>
            </w:r>
          </w:p>
        </w:tc>
        <w:tc>
          <w:tcPr>
            <w:tcW w:w="439" w:type="pct"/>
            <w:tcBorders>
              <w:top w:val="single" w:sz="4" w:space="0" w:color="auto"/>
              <w:left w:val="nil"/>
              <w:bottom w:val="nil"/>
              <w:right w:val="nil"/>
            </w:tcBorders>
            <w:shd w:val="clear" w:color="auto" w:fill="auto"/>
            <w:noWrap/>
            <w:hideMark/>
          </w:tcPr>
          <w:p w:rsidR="00054F1E" w:rsidRPr="005565F8" w:rsidP="00054F1E" w14:paraId="7D9CCBEB"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2,7</w:t>
            </w:r>
          </w:p>
        </w:tc>
        <w:tc>
          <w:tcPr>
            <w:tcW w:w="437" w:type="pct"/>
            <w:tcBorders>
              <w:top w:val="single" w:sz="4" w:space="0" w:color="auto"/>
              <w:left w:val="nil"/>
              <w:bottom w:val="nil"/>
              <w:right w:val="nil"/>
            </w:tcBorders>
            <w:shd w:val="clear" w:color="auto" w:fill="auto"/>
            <w:noWrap/>
            <w:hideMark/>
          </w:tcPr>
          <w:p w:rsidR="00054F1E" w:rsidRPr="005565F8" w:rsidP="00054F1E" w14:paraId="0347FDC5"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2,5</w:t>
            </w:r>
          </w:p>
        </w:tc>
      </w:tr>
      <w:tr w14:paraId="63FAC576" w14:textId="77777777" w:rsidTr="00B22046">
        <w:tblPrEx>
          <w:tblW w:w="5000" w:type="pct"/>
          <w:jc w:val="center"/>
          <w:tblLook w:val="04A0"/>
        </w:tblPrEx>
        <w:trPr>
          <w:trHeight w:val="256"/>
          <w:jc w:val="center"/>
        </w:trPr>
        <w:tc>
          <w:tcPr>
            <w:tcW w:w="2369" w:type="pct"/>
            <w:tcBorders>
              <w:top w:val="nil"/>
              <w:left w:val="nil"/>
              <w:bottom w:val="single" w:sz="4" w:space="0" w:color="auto"/>
              <w:right w:val="nil"/>
            </w:tcBorders>
            <w:shd w:val="clear" w:color="auto" w:fill="B8CCE4" w:themeFill="accent1" w:themeFillTint="66"/>
            <w:noWrap/>
            <w:vAlign w:val="center"/>
            <w:hideMark/>
          </w:tcPr>
          <w:p w:rsidR="00054F1E" w:rsidRPr="005565F8" w:rsidP="00054F1E" w14:paraId="3B7742AB" w14:textId="77777777">
            <w:pPr>
              <w:spacing w:before="20" w:after="20"/>
              <w:rPr>
                <w:rFonts w:ascii="Calibri Light" w:hAnsi="Calibri Light"/>
                <w:b/>
                <w:bCs/>
                <w:color w:val="000000"/>
                <w:sz w:val="16"/>
                <w:szCs w:val="16"/>
              </w:rPr>
            </w:pPr>
            <w:r w:rsidRPr="005565F8">
              <w:rPr>
                <w:rFonts w:ascii="Calibri Light" w:hAnsi="Calibri Light"/>
                <w:bCs/>
                <w:color w:val="000000"/>
                <w:sz w:val="16"/>
                <w:szCs w:val="16"/>
              </w:rPr>
              <w:t>Patēriņa cenu indekss (gads pret gadu), %</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694578E7"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0,1</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293C2D8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2,9</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04AA83CF"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2,8</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1C8F5CC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2,4</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42E77AE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2,1</w:t>
            </w:r>
          </w:p>
        </w:tc>
        <w:tc>
          <w:tcPr>
            <w:tcW w:w="437" w:type="pct"/>
            <w:tcBorders>
              <w:top w:val="nil"/>
              <w:left w:val="nil"/>
              <w:bottom w:val="single" w:sz="4" w:space="0" w:color="auto"/>
              <w:right w:val="nil"/>
            </w:tcBorders>
            <w:shd w:val="clear" w:color="auto" w:fill="B8CCE4" w:themeFill="accent1" w:themeFillTint="66"/>
            <w:noWrap/>
            <w:hideMark/>
          </w:tcPr>
          <w:p w:rsidR="00054F1E" w:rsidRPr="005565F8" w:rsidP="00054F1E" w14:paraId="4562379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2,1</w:t>
            </w:r>
          </w:p>
        </w:tc>
      </w:tr>
      <w:tr w14:paraId="1DE0B4E1" w14:textId="77777777" w:rsidTr="000C2443">
        <w:tblPrEx>
          <w:tblW w:w="5000" w:type="pct"/>
          <w:jc w:val="center"/>
          <w:tblLook w:val="04A0"/>
        </w:tblPrEx>
        <w:trPr>
          <w:trHeight w:val="256"/>
          <w:jc w:val="center"/>
        </w:trPr>
        <w:tc>
          <w:tcPr>
            <w:tcW w:w="2369" w:type="pct"/>
            <w:tcBorders>
              <w:top w:val="single" w:sz="4" w:space="0" w:color="auto"/>
              <w:left w:val="nil"/>
              <w:bottom w:val="nil"/>
              <w:right w:val="nil"/>
            </w:tcBorders>
            <w:shd w:val="clear" w:color="auto" w:fill="auto"/>
            <w:noWrap/>
            <w:vAlign w:val="center"/>
            <w:hideMark/>
          </w:tcPr>
          <w:p w:rsidR="00054F1E" w:rsidRPr="005565F8" w:rsidP="00054F1E" w14:paraId="26762F83" w14:textId="77777777">
            <w:pPr>
              <w:spacing w:before="120" w:after="20"/>
              <w:rPr>
                <w:rFonts w:ascii="Calibri Light" w:hAnsi="Calibri Light"/>
                <w:b/>
                <w:bCs/>
                <w:color w:val="000000"/>
                <w:sz w:val="16"/>
                <w:szCs w:val="16"/>
              </w:rPr>
            </w:pPr>
            <w:r w:rsidRPr="005565F8">
              <w:rPr>
                <w:rFonts w:ascii="Calibri Light" w:hAnsi="Calibri Light"/>
                <w:bCs/>
                <w:color w:val="000000"/>
                <w:sz w:val="16"/>
                <w:szCs w:val="16"/>
              </w:rPr>
              <w:t>Nodarbinātība, tūkst. iedzīvotāju</w:t>
            </w:r>
          </w:p>
        </w:tc>
        <w:tc>
          <w:tcPr>
            <w:tcW w:w="439" w:type="pct"/>
            <w:tcBorders>
              <w:top w:val="single" w:sz="4" w:space="0" w:color="auto"/>
              <w:left w:val="nil"/>
              <w:bottom w:val="nil"/>
              <w:right w:val="nil"/>
            </w:tcBorders>
            <w:shd w:val="clear" w:color="auto" w:fill="auto"/>
            <w:noWrap/>
            <w:hideMark/>
          </w:tcPr>
          <w:p w:rsidR="00054F1E" w:rsidRPr="005565F8" w:rsidP="00054F1E" w14:paraId="1F0980CB"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893</w:t>
            </w:r>
          </w:p>
        </w:tc>
        <w:tc>
          <w:tcPr>
            <w:tcW w:w="439" w:type="pct"/>
            <w:tcBorders>
              <w:top w:val="single" w:sz="4" w:space="0" w:color="auto"/>
              <w:left w:val="nil"/>
              <w:bottom w:val="nil"/>
              <w:right w:val="nil"/>
            </w:tcBorders>
            <w:shd w:val="clear" w:color="auto" w:fill="auto"/>
            <w:noWrap/>
            <w:hideMark/>
          </w:tcPr>
          <w:p w:rsidR="00054F1E" w:rsidRPr="005565F8" w:rsidP="00054F1E" w14:paraId="4A9EBB2B"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895</w:t>
            </w:r>
          </w:p>
        </w:tc>
        <w:tc>
          <w:tcPr>
            <w:tcW w:w="439" w:type="pct"/>
            <w:tcBorders>
              <w:top w:val="single" w:sz="4" w:space="0" w:color="auto"/>
              <w:left w:val="nil"/>
              <w:bottom w:val="nil"/>
              <w:right w:val="nil"/>
            </w:tcBorders>
            <w:shd w:val="clear" w:color="auto" w:fill="auto"/>
            <w:noWrap/>
            <w:hideMark/>
          </w:tcPr>
          <w:p w:rsidR="00054F1E" w:rsidRPr="005565F8" w:rsidP="00054F1E" w14:paraId="467F4F24"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896</w:t>
            </w:r>
          </w:p>
        </w:tc>
        <w:tc>
          <w:tcPr>
            <w:tcW w:w="439" w:type="pct"/>
            <w:tcBorders>
              <w:top w:val="single" w:sz="4" w:space="0" w:color="auto"/>
              <w:left w:val="nil"/>
              <w:bottom w:val="nil"/>
              <w:right w:val="nil"/>
            </w:tcBorders>
            <w:shd w:val="clear" w:color="auto" w:fill="auto"/>
            <w:noWrap/>
            <w:hideMark/>
          </w:tcPr>
          <w:p w:rsidR="00054F1E" w:rsidRPr="005565F8" w:rsidP="00054F1E" w14:paraId="1D0BEED9"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896</w:t>
            </w:r>
          </w:p>
        </w:tc>
        <w:tc>
          <w:tcPr>
            <w:tcW w:w="439" w:type="pct"/>
            <w:tcBorders>
              <w:top w:val="single" w:sz="4" w:space="0" w:color="auto"/>
              <w:left w:val="nil"/>
              <w:bottom w:val="nil"/>
              <w:right w:val="nil"/>
            </w:tcBorders>
            <w:shd w:val="clear" w:color="auto" w:fill="auto"/>
            <w:noWrap/>
            <w:hideMark/>
          </w:tcPr>
          <w:p w:rsidR="00054F1E" w:rsidRPr="005565F8" w:rsidP="00054F1E" w14:paraId="6DD6BB58"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896</w:t>
            </w:r>
          </w:p>
        </w:tc>
        <w:tc>
          <w:tcPr>
            <w:tcW w:w="437" w:type="pct"/>
            <w:tcBorders>
              <w:top w:val="single" w:sz="4" w:space="0" w:color="auto"/>
              <w:left w:val="nil"/>
              <w:bottom w:val="nil"/>
              <w:right w:val="nil"/>
            </w:tcBorders>
            <w:shd w:val="clear" w:color="auto" w:fill="auto"/>
            <w:noWrap/>
            <w:hideMark/>
          </w:tcPr>
          <w:p w:rsidR="00054F1E" w:rsidRPr="005565F8" w:rsidP="00054F1E" w14:paraId="61DE07DE"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895</w:t>
            </w:r>
          </w:p>
        </w:tc>
      </w:tr>
      <w:tr w14:paraId="3F89DF46" w14:textId="77777777" w:rsidTr="00B22046">
        <w:tblPrEx>
          <w:tblW w:w="5000" w:type="pct"/>
          <w:jc w:val="center"/>
          <w:tblLook w:val="04A0"/>
        </w:tblPrEx>
        <w:trPr>
          <w:trHeight w:val="256"/>
          <w:jc w:val="center"/>
        </w:trPr>
        <w:tc>
          <w:tcPr>
            <w:tcW w:w="2369" w:type="pct"/>
            <w:tcBorders>
              <w:top w:val="nil"/>
              <w:left w:val="nil"/>
              <w:bottom w:val="single" w:sz="4" w:space="0" w:color="auto"/>
              <w:right w:val="nil"/>
            </w:tcBorders>
            <w:shd w:val="clear" w:color="auto" w:fill="B8CCE4" w:themeFill="accent1" w:themeFillTint="66"/>
            <w:noWrap/>
            <w:vAlign w:val="center"/>
            <w:hideMark/>
          </w:tcPr>
          <w:p w:rsidR="00054F1E" w:rsidRPr="005565F8" w:rsidP="00054F1E" w14:paraId="5087DE6C" w14:textId="77777777">
            <w:pPr>
              <w:spacing w:before="20" w:after="20"/>
              <w:rPr>
                <w:rFonts w:ascii="Calibri Light" w:hAnsi="Calibri Light"/>
                <w:b/>
                <w:bCs/>
                <w:color w:val="000000"/>
                <w:sz w:val="16"/>
                <w:szCs w:val="16"/>
              </w:rPr>
            </w:pPr>
            <w:r w:rsidRPr="005565F8">
              <w:rPr>
                <w:rFonts w:ascii="Calibri Light" w:hAnsi="Calibri Light"/>
                <w:bCs/>
                <w:color w:val="000000"/>
                <w:sz w:val="16"/>
                <w:szCs w:val="16"/>
              </w:rPr>
              <w:t>Bezdarba līmenis, % (15-74 gadu vecuma grupā)</w:t>
            </w:r>
          </w:p>
        </w:tc>
        <w:tc>
          <w:tcPr>
            <w:tcW w:w="439" w:type="pct"/>
            <w:tcBorders>
              <w:top w:val="nil"/>
              <w:left w:val="nil"/>
              <w:bottom w:val="single" w:sz="4" w:space="0" w:color="auto"/>
              <w:right w:val="nil"/>
            </w:tcBorders>
            <w:shd w:val="clear" w:color="auto" w:fill="B8CCE4" w:themeFill="accent1" w:themeFillTint="66"/>
            <w:noWrap/>
          </w:tcPr>
          <w:p w:rsidR="00054F1E" w:rsidRPr="005565F8" w:rsidP="00054F1E" w14:paraId="076CC867"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9,6</w:t>
            </w:r>
          </w:p>
        </w:tc>
        <w:tc>
          <w:tcPr>
            <w:tcW w:w="439" w:type="pct"/>
            <w:tcBorders>
              <w:top w:val="nil"/>
              <w:left w:val="nil"/>
              <w:bottom w:val="single" w:sz="4" w:space="0" w:color="auto"/>
              <w:right w:val="nil"/>
            </w:tcBorders>
            <w:shd w:val="clear" w:color="auto" w:fill="B8CCE4" w:themeFill="accent1" w:themeFillTint="66"/>
            <w:noWrap/>
          </w:tcPr>
          <w:p w:rsidR="00054F1E" w:rsidRPr="005565F8" w:rsidP="00054F1E" w14:paraId="7350D1DC"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8,7</w:t>
            </w:r>
          </w:p>
        </w:tc>
        <w:tc>
          <w:tcPr>
            <w:tcW w:w="439" w:type="pct"/>
            <w:tcBorders>
              <w:top w:val="nil"/>
              <w:left w:val="nil"/>
              <w:bottom w:val="single" w:sz="4" w:space="0" w:color="auto"/>
              <w:right w:val="nil"/>
            </w:tcBorders>
            <w:shd w:val="clear" w:color="auto" w:fill="B8CCE4" w:themeFill="accent1" w:themeFillTint="66"/>
            <w:noWrap/>
          </w:tcPr>
          <w:p w:rsidR="00054F1E" w:rsidRPr="005565F8" w:rsidP="00054F1E" w14:paraId="7E8FD8D5"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8,0</w:t>
            </w:r>
          </w:p>
        </w:tc>
        <w:tc>
          <w:tcPr>
            <w:tcW w:w="439" w:type="pct"/>
            <w:tcBorders>
              <w:top w:val="nil"/>
              <w:left w:val="nil"/>
              <w:bottom w:val="single" w:sz="4" w:space="0" w:color="auto"/>
              <w:right w:val="nil"/>
            </w:tcBorders>
            <w:shd w:val="clear" w:color="auto" w:fill="B8CCE4" w:themeFill="accent1" w:themeFillTint="66"/>
            <w:noWrap/>
          </w:tcPr>
          <w:p w:rsidR="00054F1E" w:rsidRPr="005565F8" w:rsidP="00054F1E" w14:paraId="6F7E639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7,7</w:t>
            </w:r>
          </w:p>
        </w:tc>
        <w:tc>
          <w:tcPr>
            <w:tcW w:w="439" w:type="pct"/>
            <w:tcBorders>
              <w:top w:val="nil"/>
              <w:left w:val="nil"/>
              <w:bottom w:val="single" w:sz="4" w:space="0" w:color="auto"/>
              <w:right w:val="nil"/>
            </w:tcBorders>
            <w:shd w:val="clear" w:color="auto" w:fill="B8CCE4" w:themeFill="accent1" w:themeFillTint="66"/>
            <w:noWrap/>
          </w:tcPr>
          <w:p w:rsidR="00054F1E" w:rsidRPr="005565F8" w:rsidP="00054F1E" w14:paraId="5EBF1CE0"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7,2</w:t>
            </w:r>
          </w:p>
        </w:tc>
        <w:tc>
          <w:tcPr>
            <w:tcW w:w="437" w:type="pct"/>
            <w:tcBorders>
              <w:top w:val="nil"/>
              <w:left w:val="nil"/>
              <w:bottom w:val="single" w:sz="4" w:space="0" w:color="auto"/>
              <w:right w:val="nil"/>
            </w:tcBorders>
            <w:shd w:val="clear" w:color="auto" w:fill="B8CCE4" w:themeFill="accent1" w:themeFillTint="66"/>
            <w:noWrap/>
          </w:tcPr>
          <w:p w:rsidR="00054F1E" w:rsidRPr="005565F8" w:rsidP="00054F1E" w14:paraId="64C39DCE"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7,0</w:t>
            </w:r>
          </w:p>
        </w:tc>
      </w:tr>
      <w:tr w14:paraId="61C0C784" w14:textId="77777777" w:rsidTr="000C2443">
        <w:tblPrEx>
          <w:tblW w:w="5000" w:type="pct"/>
          <w:jc w:val="center"/>
          <w:tblLook w:val="04A0"/>
        </w:tblPrEx>
        <w:trPr>
          <w:trHeight w:val="256"/>
          <w:jc w:val="center"/>
        </w:trPr>
        <w:tc>
          <w:tcPr>
            <w:tcW w:w="2369" w:type="pct"/>
            <w:tcBorders>
              <w:top w:val="single" w:sz="4" w:space="0" w:color="auto"/>
              <w:left w:val="nil"/>
              <w:bottom w:val="nil"/>
              <w:right w:val="nil"/>
            </w:tcBorders>
            <w:shd w:val="clear" w:color="auto" w:fill="auto"/>
            <w:noWrap/>
            <w:vAlign w:val="center"/>
            <w:hideMark/>
          </w:tcPr>
          <w:p w:rsidR="00054F1E" w:rsidRPr="005565F8" w:rsidP="00054F1E" w14:paraId="27474870" w14:textId="77777777">
            <w:pPr>
              <w:spacing w:before="120" w:after="20"/>
              <w:rPr>
                <w:rFonts w:ascii="Calibri Light" w:hAnsi="Calibri Light"/>
                <w:b/>
                <w:bCs/>
                <w:color w:val="000000"/>
                <w:sz w:val="16"/>
                <w:szCs w:val="16"/>
              </w:rPr>
            </w:pPr>
            <w:r w:rsidRPr="005565F8">
              <w:rPr>
                <w:rFonts w:ascii="Calibri Light" w:hAnsi="Calibri Light"/>
                <w:bCs/>
                <w:color w:val="000000"/>
                <w:sz w:val="16"/>
                <w:szCs w:val="16"/>
              </w:rPr>
              <w:t>Preču un pakalpojumu eksports, faktiskajās cenās, milj. EUR</w:t>
            </w:r>
          </w:p>
        </w:tc>
        <w:tc>
          <w:tcPr>
            <w:tcW w:w="439" w:type="pct"/>
            <w:tcBorders>
              <w:top w:val="single" w:sz="4" w:space="0" w:color="auto"/>
              <w:left w:val="nil"/>
              <w:bottom w:val="nil"/>
              <w:right w:val="nil"/>
            </w:tcBorders>
            <w:shd w:val="clear" w:color="auto" w:fill="auto"/>
            <w:noWrap/>
            <w:hideMark/>
          </w:tcPr>
          <w:p w:rsidR="00054F1E" w:rsidRPr="005565F8" w:rsidP="00054F1E" w14:paraId="74B2B984"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14 966</w:t>
            </w:r>
          </w:p>
        </w:tc>
        <w:tc>
          <w:tcPr>
            <w:tcW w:w="439" w:type="pct"/>
            <w:tcBorders>
              <w:top w:val="single" w:sz="4" w:space="0" w:color="auto"/>
              <w:left w:val="nil"/>
              <w:bottom w:val="nil"/>
              <w:right w:val="nil"/>
            </w:tcBorders>
            <w:shd w:val="clear" w:color="auto" w:fill="auto"/>
            <w:noWrap/>
            <w:hideMark/>
          </w:tcPr>
          <w:p w:rsidR="00054F1E" w:rsidRPr="005565F8" w:rsidP="00054F1E" w14:paraId="0783EC13" w14:textId="00AECCBF">
            <w:pPr>
              <w:tabs>
                <w:tab w:val="decimal" w:pos="393"/>
              </w:tabs>
              <w:spacing w:before="120" w:after="20"/>
              <w:jc w:val="right"/>
              <w:rPr>
                <w:rFonts w:ascii="Calibri Light" w:hAnsi="Calibri Light"/>
                <w:bCs/>
                <w:color w:val="000000"/>
                <w:sz w:val="16"/>
                <w:szCs w:val="16"/>
              </w:rPr>
            </w:pPr>
            <w:r w:rsidRPr="00F80A54">
              <w:rPr>
                <w:rFonts w:ascii="Calibri Light" w:hAnsi="Calibri Light"/>
                <w:bCs/>
                <w:color w:val="000000"/>
                <w:sz w:val="16"/>
                <w:szCs w:val="16"/>
              </w:rPr>
              <w:t xml:space="preserve">16 </w:t>
            </w:r>
            <w:r w:rsidR="0066081F">
              <w:rPr>
                <w:rFonts w:ascii="Calibri Light" w:hAnsi="Calibri Light"/>
                <w:bCs/>
                <w:color w:val="000000"/>
                <w:sz w:val="16"/>
                <w:szCs w:val="16"/>
              </w:rPr>
              <w:t>172</w:t>
            </w:r>
          </w:p>
        </w:tc>
        <w:tc>
          <w:tcPr>
            <w:tcW w:w="439" w:type="pct"/>
            <w:tcBorders>
              <w:top w:val="single" w:sz="4" w:space="0" w:color="auto"/>
              <w:left w:val="nil"/>
              <w:bottom w:val="nil"/>
              <w:right w:val="nil"/>
            </w:tcBorders>
            <w:shd w:val="clear" w:color="auto" w:fill="auto"/>
            <w:noWrap/>
            <w:hideMark/>
          </w:tcPr>
          <w:p w:rsidR="00054F1E" w:rsidRPr="005565F8" w:rsidP="00054F1E" w14:paraId="6B0456C3"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17 536</w:t>
            </w:r>
          </w:p>
        </w:tc>
        <w:tc>
          <w:tcPr>
            <w:tcW w:w="439" w:type="pct"/>
            <w:tcBorders>
              <w:top w:val="single" w:sz="4" w:space="0" w:color="auto"/>
              <w:left w:val="nil"/>
              <w:bottom w:val="nil"/>
              <w:right w:val="nil"/>
            </w:tcBorders>
            <w:shd w:val="clear" w:color="auto" w:fill="auto"/>
            <w:noWrap/>
            <w:hideMark/>
          </w:tcPr>
          <w:p w:rsidR="00054F1E" w:rsidRPr="005565F8" w:rsidP="00054F1E" w14:paraId="20816A15"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19 004</w:t>
            </w:r>
          </w:p>
        </w:tc>
        <w:tc>
          <w:tcPr>
            <w:tcW w:w="439" w:type="pct"/>
            <w:tcBorders>
              <w:top w:val="single" w:sz="4" w:space="0" w:color="auto"/>
              <w:left w:val="nil"/>
              <w:bottom w:val="nil"/>
              <w:right w:val="nil"/>
            </w:tcBorders>
            <w:shd w:val="clear" w:color="auto" w:fill="auto"/>
            <w:noWrap/>
            <w:hideMark/>
          </w:tcPr>
          <w:p w:rsidR="00054F1E" w:rsidRPr="005565F8" w:rsidP="00054F1E" w14:paraId="1FCF6932"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20 565</w:t>
            </w:r>
          </w:p>
        </w:tc>
        <w:tc>
          <w:tcPr>
            <w:tcW w:w="437" w:type="pct"/>
            <w:tcBorders>
              <w:top w:val="single" w:sz="4" w:space="0" w:color="auto"/>
              <w:left w:val="nil"/>
              <w:bottom w:val="nil"/>
              <w:right w:val="nil"/>
            </w:tcBorders>
            <w:shd w:val="clear" w:color="auto" w:fill="auto"/>
            <w:noWrap/>
            <w:hideMark/>
          </w:tcPr>
          <w:p w:rsidR="00054F1E" w:rsidRPr="005565F8" w:rsidP="00054F1E" w14:paraId="7303542A"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22 254</w:t>
            </w:r>
          </w:p>
        </w:tc>
      </w:tr>
      <w:tr w14:paraId="3E4AA07B" w14:textId="77777777" w:rsidTr="00B22046">
        <w:tblPrEx>
          <w:tblW w:w="5000" w:type="pct"/>
          <w:jc w:val="center"/>
          <w:tblLook w:val="04A0"/>
        </w:tblPrEx>
        <w:trPr>
          <w:trHeight w:val="256"/>
          <w:jc w:val="center"/>
        </w:trPr>
        <w:tc>
          <w:tcPr>
            <w:tcW w:w="2369" w:type="pct"/>
            <w:tcBorders>
              <w:top w:val="nil"/>
              <w:left w:val="nil"/>
              <w:bottom w:val="nil"/>
              <w:right w:val="nil"/>
            </w:tcBorders>
            <w:shd w:val="clear" w:color="auto" w:fill="B8CCE4" w:themeFill="accent1" w:themeFillTint="66"/>
            <w:noWrap/>
            <w:vAlign w:val="center"/>
            <w:hideMark/>
          </w:tcPr>
          <w:p w:rsidR="00054F1E" w:rsidRPr="005565F8" w:rsidP="00054F1E" w14:paraId="3BB30153" w14:textId="77777777">
            <w:pPr>
              <w:spacing w:before="20" w:after="20"/>
              <w:ind w:firstLine="187"/>
              <w:rPr>
                <w:rFonts w:ascii="Calibri Light" w:hAnsi="Calibri Light"/>
                <w:b/>
                <w:bCs/>
                <w:color w:val="000000"/>
                <w:sz w:val="16"/>
                <w:szCs w:val="16"/>
              </w:rPr>
            </w:pPr>
            <w:r w:rsidRPr="005565F8">
              <w:rPr>
                <w:rFonts w:ascii="Calibri Light" w:hAnsi="Calibri Light"/>
                <w:bCs/>
                <w:color w:val="000000"/>
                <w:sz w:val="16"/>
                <w:szCs w:val="16"/>
              </w:rPr>
              <w:t>pieaugums salīdzināmās cenās, %</w:t>
            </w:r>
          </w:p>
        </w:tc>
        <w:tc>
          <w:tcPr>
            <w:tcW w:w="439" w:type="pct"/>
            <w:tcBorders>
              <w:top w:val="nil"/>
              <w:left w:val="nil"/>
              <w:bottom w:val="nil"/>
              <w:right w:val="nil"/>
            </w:tcBorders>
            <w:shd w:val="clear" w:color="auto" w:fill="B8CCE4" w:themeFill="accent1" w:themeFillTint="66"/>
            <w:noWrap/>
            <w:hideMark/>
          </w:tcPr>
          <w:p w:rsidR="00054F1E" w:rsidRPr="005565F8" w:rsidP="00054F1E" w14:paraId="5D4695FB"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4,1</w:t>
            </w:r>
          </w:p>
        </w:tc>
        <w:tc>
          <w:tcPr>
            <w:tcW w:w="439" w:type="pct"/>
            <w:tcBorders>
              <w:top w:val="nil"/>
              <w:left w:val="nil"/>
              <w:bottom w:val="nil"/>
              <w:right w:val="nil"/>
            </w:tcBorders>
            <w:shd w:val="clear" w:color="auto" w:fill="B8CCE4" w:themeFill="accent1" w:themeFillTint="66"/>
            <w:noWrap/>
            <w:hideMark/>
          </w:tcPr>
          <w:p w:rsidR="00054F1E" w:rsidRPr="005565F8" w:rsidP="00054F1E" w14:paraId="77F4AD4D" w14:textId="401C82C1">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w:t>
            </w:r>
            <w:r w:rsidR="0066081F">
              <w:rPr>
                <w:rFonts w:ascii="Calibri Light" w:hAnsi="Calibri Light"/>
                <w:bCs/>
                <w:color w:val="000000"/>
                <w:sz w:val="16"/>
                <w:szCs w:val="16"/>
              </w:rPr>
              <w:t>4</w:t>
            </w:r>
          </w:p>
        </w:tc>
        <w:tc>
          <w:tcPr>
            <w:tcW w:w="439" w:type="pct"/>
            <w:tcBorders>
              <w:top w:val="nil"/>
              <w:left w:val="nil"/>
              <w:bottom w:val="nil"/>
              <w:right w:val="nil"/>
            </w:tcBorders>
            <w:shd w:val="clear" w:color="auto" w:fill="B8CCE4" w:themeFill="accent1" w:themeFillTint="66"/>
            <w:noWrap/>
            <w:hideMark/>
          </w:tcPr>
          <w:p w:rsidR="00054F1E" w:rsidRPr="005565F8" w:rsidP="00054F1E" w14:paraId="00A94B2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4,0</w:t>
            </w:r>
          </w:p>
        </w:tc>
        <w:tc>
          <w:tcPr>
            <w:tcW w:w="439" w:type="pct"/>
            <w:tcBorders>
              <w:top w:val="nil"/>
              <w:left w:val="nil"/>
              <w:bottom w:val="nil"/>
              <w:right w:val="nil"/>
            </w:tcBorders>
            <w:shd w:val="clear" w:color="auto" w:fill="B8CCE4" w:themeFill="accent1" w:themeFillTint="66"/>
            <w:noWrap/>
            <w:hideMark/>
          </w:tcPr>
          <w:p w:rsidR="00054F1E" w:rsidRPr="005565F8" w:rsidP="00054F1E" w14:paraId="79B3D0AE"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3,9</w:t>
            </w:r>
          </w:p>
        </w:tc>
        <w:tc>
          <w:tcPr>
            <w:tcW w:w="439" w:type="pct"/>
            <w:tcBorders>
              <w:top w:val="nil"/>
              <w:left w:val="nil"/>
              <w:bottom w:val="nil"/>
              <w:right w:val="nil"/>
            </w:tcBorders>
            <w:shd w:val="clear" w:color="auto" w:fill="B8CCE4" w:themeFill="accent1" w:themeFillTint="66"/>
            <w:noWrap/>
            <w:hideMark/>
          </w:tcPr>
          <w:p w:rsidR="00054F1E" w:rsidRPr="005565F8" w:rsidP="00054F1E" w14:paraId="02599D0D"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3,8</w:t>
            </w:r>
          </w:p>
        </w:tc>
        <w:tc>
          <w:tcPr>
            <w:tcW w:w="437" w:type="pct"/>
            <w:tcBorders>
              <w:top w:val="nil"/>
              <w:left w:val="nil"/>
              <w:bottom w:val="nil"/>
              <w:right w:val="nil"/>
            </w:tcBorders>
            <w:shd w:val="clear" w:color="auto" w:fill="B8CCE4" w:themeFill="accent1" w:themeFillTint="66"/>
            <w:noWrap/>
            <w:hideMark/>
          </w:tcPr>
          <w:p w:rsidR="00054F1E" w:rsidRPr="005565F8" w:rsidP="00054F1E" w14:paraId="42EAA1B6"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3,8</w:t>
            </w:r>
          </w:p>
        </w:tc>
      </w:tr>
      <w:tr w14:paraId="55B25114" w14:textId="77777777" w:rsidTr="000C2443">
        <w:tblPrEx>
          <w:tblW w:w="5000" w:type="pct"/>
          <w:jc w:val="center"/>
          <w:tblLook w:val="04A0"/>
        </w:tblPrEx>
        <w:trPr>
          <w:trHeight w:val="256"/>
          <w:jc w:val="center"/>
        </w:trPr>
        <w:tc>
          <w:tcPr>
            <w:tcW w:w="2369" w:type="pct"/>
            <w:tcBorders>
              <w:top w:val="nil"/>
              <w:left w:val="nil"/>
              <w:bottom w:val="nil"/>
              <w:right w:val="nil"/>
            </w:tcBorders>
            <w:shd w:val="clear" w:color="auto" w:fill="auto"/>
            <w:noWrap/>
            <w:vAlign w:val="center"/>
            <w:hideMark/>
          </w:tcPr>
          <w:p w:rsidR="00054F1E" w:rsidRPr="005565F8" w:rsidP="00054F1E" w14:paraId="4FFB659A" w14:textId="77777777">
            <w:pPr>
              <w:spacing w:before="20" w:after="20"/>
              <w:ind w:left="175" w:hanging="175"/>
              <w:rPr>
                <w:rFonts w:ascii="Calibri Light" w:hAnsi="Calibri Light"/>
                <w:b/>
                <w:bCs/>
                <w:color w:val="000000"/>
                <w:sz w:val="16"/>
                <w:szCs w:val="16"/>
              </w:rPr>
            </w:pPr>
            <w:r w:rsidRPr="005565F8">
              <w:rPr>
                <w:rFonts w:ascii="Calibri Light" w:hAnsi="Calibri Light"/>
                <w:bCs/>
                <w:color w:val="000000"/>
                <w:sz w:val="16"/>
                <w:szCs w:val="16"/>
              </w:rPr>
              <w:t>Preču un pakalpojumu imports, faktiskajās cenās, milj. EUR</w:t>
            </w:r>
          </w:p>
        </w:tc>
        <w:tc>
          <w:tcPr>
            <w:tcW w:w="439" w:type="pct"/>
            <w:tcBorders>
              <w:top w:val="nil"/>
              <w:left w:val="nil"/>
              <w:bottom w:val="nil"/>
              <w:right w:val="nil"/>
            </w:tcBorders>
            <w:shd w:val="clear" w:color="auto" w:fill="auto"/>
            <w:noWrap/>
            <w:hideMark/>
          </w:tcPr>
          <w:p w:rsidR="00054F1E" w:rsidRPr="005565F8" w:rsidP="00054F1E" w14:paraId="7A75936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14 742</w:t>
            </w:r>
          </w:p>
        </w:tc>
        <w:tc>
          <w:tcPr>
            <w:tcW w:w="439" w:type="pct"/>
            <w:tcBorders>
              <w:top w:val="nil"/>
              <w:left w:val="nil"/>
              <w:bottom w:val="nil"/>
              <w:right w:val="nil"/>
            </w:tcBorders>
            <w:shd w:val="clear" w:color="auto" w:fill="auto"/>
            <w:noWrap/>
            <w:hideMark/>
          </w:tcPr>
          <w:p w:rsidR="00054F1E" w:rsidRPr="005565F8" w:rsidP="00054F1E" w14:paraId="0BA46A5A" w14:textId="62A81DE0">
            <w:pPr>
              <w:tabs>
                <w:tab w:val="decimal" w:pos="393"/>
              </w:tabs>
              <w:spacing w:before="20" w:after="20"/>
              <w:jc w:val="right"/>
              <w:rPr>
                <w:rFonts w:ascii="Calibri Light" w:hAnsi="Calibri Light"/>
                <w:bCs/>
                <w:color w:val="000000"/>
                <w:sz w:val="16"/>
                <w:szCs w:val="16"/>
              </w:rPr>
            </w:pPr>
            <w:r w:rsidRPr="004F7A4B">
              <w:rPr>
                <w:rFonts w:ascii="Calibri Light" w:hAnsi="Calibri Light"/>
                <w:bCs/>
                <w:color w:val="000000"/>
                <w:sz w:val="16"/>
                <w:szCs w:val="16"/>
              </w:rPr>
              <w:t>16 5</w:t>
            </w:r>
            <w:r w:rsidR="0066081F">
              <w:rPr>
                <w:rFonts w:ascii="Calibri Light" w:hAnsi="Calibri Light"/>
                <w:bCs/>
                <w:color w:val="000000"/>
                <w:sz w:val="16"/>
                <w:szCs w:val="16"/>
              </w:rPr>
              <w:t>44</w:t>
            </w:r>
          </w:p>
        </w:tc>
        <w:tc>
          <w:tcPr>
            <w:tcW w:w="439" w:type="pct"/>
            <w:tcBorders>
              <w:top w:val="nil"/>
              <w:left w:val="nil"/>
              <w:bottom w:val="nil"/>
              <w:right w:val="nil"/>
            </w:tcBorders>
            <w:shd w:val="clear" w:color="auto" w:fill="auto"/>
            <w:noWrap/>
            <w:hideMark/>
          </w:tcPr>
          <w:p w:rsidR="00054F1E" w:rsidRPr="005565F8" w:rsidP="00054F1E" w14:paraId="3D90BE76"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18 439</w:t>
            </w:r>
          </w:p>
        </w:tc>
        <w:tc>
          <w:tcPr>
            <w:tcW w:w="439" w:type="pct"/>
            <w:tcBorders>
              <w:top w:val="nil"/>
              <w:left w:val="nil"/>
              <w:bottom w:val="nil"/>
              <w:right w:val="nil"/>
            </w:tcBorders>
            <w:shd w:val="clear" w:color="auto" w:fill="auto"/>
            <w:noWrap/>
            <w:hideMark/>
          </w:tcPr>
          <w:p w:rsidR="00054F1E" w:rsidRPr="005565F8" w:rsidP="00054F1E" w14:paraId="74E77E7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20 002</w:t>
            </w:r>
          </w:p>
        </w:tc>
        <w:tc>
          <w:tcPr>
            <w:tcW w:w="439" w:type="pct"/>
            <w:tcBorders>
              <w:top w:val="nil"/>
              <w:left w:val="nil"/>
              <w:bottom w:val="nil"/>
              <w:right w:val="nil"/>
            </w:tcBorders>
            <w:shd w:val="clear" w:color="auto" w:fill="auto"/>
            <w:noWrap/>
            <w:hideMark/>
          </w:tcPr>
          <w:p w:rsidR="00054F1E" w:rsidRPr="005565F8" w:rsidP="00054F1E" w14:paraId="6FEAC37D"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21 676</w:t>
            </w:r>
          </w:p>
        </w:tc>
        <w:tc>
          <w:tcPr>
            <w:tcW w:w="437" w:type="pct"/>
            <w:tcBorders>
              <w:top w:val="nil"/>
              <w:left w:val="nil"/>
              <w:bottom w:val="nil"/>
              <w:right w:val="nil"/>
            </w:tcBorders>
            <w:shd w:val="clear" w:color="auto" w:fill="auto"/>
            <w:noWrap/>
            <w:hideMark/>
          </w:tcPr>
          <w:p w:rsidR="00054F1E" w:rsidRPr="005565F8" w:rsidP="00054F1E" w14:paraId="1C5A77C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23 467</w:t>
            </w:r>
          </w:p>
        </w:tc>
      </w:tr>
      <w:tr w14:paraId="77E3F6CE" w14:textId="77777777" w:rsidTr="00B22046">
        <w:tblPrEx>
          <w:tblW w:w="5000" w:type="pct"/>
          <w:jc w:val="center"/>
          <w:tblLook w:val="04A0"/>
        </w:tblPrEx>
        <w:trPr>
          <w:trHeight w:val="256"/>
          <w:jc w:val="center"/>
        </w:trPr>
        <w:tc>
          <w:tcPr>
            <w:tcW w:w="2369" w:type="pct"/>
            <w:tcBorders>
              <w:top w:val="nil"/>
              <w:left w:val="nil"/>
              <w:bottom w:val="single" w:sz="4" w:space="0" w:color="auto"/>
              <w:right w:val="nil"/>
            </w:tcBorders>
            <w:shd w:val="clear" w:color="auto" w:fill="B8CCE4" w:themeFill="accent1" w:themeFillTint="66"/>
            <w:noWrap/>
            <w:vAlign w:val="center"/>
            <w:hideMark/>
          </w:tcPr>
          <w:p w:rsidR="00054F1E" w:rsidRPr="005565F8" w:rsidP="00054F1E" w14:paraId="34DD5E28" w14:textId="77777777">
            <w:pPr>
              <w:spacing w:before="20" w:after="20"/>
              <w:ind w:firstLine="187"/>
              <w:rPr>
                <w:rFonts w:ascii="Calibri Light" w:hAnsi="Calibri Light"/>
                <w:b/>
                <w:bCs/>
                <w:color w:val="000000"/>
                <w:sz w:val="16"/>
                <w:szCs w:val="16"/>
              </w:rPr>
            </w:pPr>
            <w:r w:rsidRPr="005565F8">
              <w:rPr>
                <w:rFonts w:ascii="Calibri Light" w:hAnsi="Calibri Light"/>
                <w:bCs/>
                <w:color w:val="000000"/>
                <w:sz w:val="16"/>
                <w:szCs w:val="16"/>
              </w:rPr>
              <w:t>pieaugums salīdzināmās cenās, %</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2B7201F8"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4,5</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4FC24DFA" w14:textId="6AEC926D">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9,</w:t>
            </w:r>
            <w:r w:rsidR="0066081F">
              <w:rPr>
                <w:rFonts w:ascii="Calibri Light" w:hAnsi="Calibri Light"/>
                <w:bCs/>
                <w:color w:val="000000"/>
                <w:sz w:val="16"/>
                <w:szCs w:val="16"/>
              </w:rPr>
              <w:t>2</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6C364337"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7,6</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78BD752F"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4,7</w:t>
            </w:r>
          </w:p>
        </w:tc>
        <w:tc>
          <w:tcPr>
            <w:tcW w:w="439" w:type="pct"/>
            <w:tcBorders>
              <w:top w:val="nil"/>
              <w:left w:val="nil"/>
              <w:bottom w:val="single" w:sz="4" w:space="0" w:color="auto"/>
              <w:right w:val="nil"/>
            </w:tcBorders>
            <w:shd w:val="clear" w:color="auto" w:fill="B8CCE4" w:themeFill="accent1" w:themeFillTint="66"/>
            <w:noWrap/>
            <w:hideMark/>
          </w:tcPr>
          <w:p w:rsidR="00054F1E" w:rsidRPr="005565F8" w:rsidP="00054F1E" w14:paraId="174594F9"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4,6</w:t>
            </w:r>
          </w:p>
        </w:tc>
        <w:tc>
          <w:tcPr>
            <w:tcW w:w="437" w:type="pct"/>
            <w:tcBorders>
              <w:top w:val="nil"/>
              <w:left w:val="nil"/>
              <w:bottom w:val="single" w:sz="4" w:space="0" w:color="auto"/>
              <w:right w:val="nil"/>
            </w:tcBorders>
            <w:shd w:val="clear" w:color="auto" w:fill="B8CCE4" w:themeFill="accent1" w:themeFillTint="66"/>
            <w:noWrap/>
            <w:hideMark/>
          </w:tcPr>
          <w:p w:rsidR="00054F1E" w:rsidRPr="005565F8" w:rsidP="00054F1E" w14:paraId="6370C289"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4,5</w:t>
            </w:r>
          </w:p>
        </w:tc>
      </w:tr>
      <w:tr w14:paraId="28B53494" w14:textId="77777777" w:rsidTr="000C2443">
        <w:tblPrEx>
          <w:tblW w:w="5000" w:type="pct"/>
          <w:jc w:val="center"/>
          <w:tblLook w:val="04A0"/>
        </w:tblPrEx>
        <w:trPr>
          <w:trHeight w:val="256"/>
          <w:jc w:val="center"/>
        </w:trPr>
        <w:tc>
          <w:tcPr>
            <w:tcW w:w="2369" w:type="pct"/>
            <w:tcBorders>
              <w:top w:val="single" w:sz="4" w:space="0" w:color="auto"/>
              <w:left w:val="nil"/>
              <w:bottom w:val="nil"/>
              <w:right w:val="nil"/>
            </w:tcBorders>
            <w:shd w:val="clear" w:color="auto" w:fill="auto"/>
            <w:noWrap/>
            <w:vAlign w:val="center"/>
            <w:hideMark/>
          </w:tcPr>
          <w:p w:rsidR="00054F1E" w:rsidRPr="005565F8" w:rsidP="00054F1E" w14:paraId="7F803265" w14:textId="77777777">
            <w:pPr>
              <w:spacing w:before="120" w:after="20"/>
              <w:rPr>
                <w:rFonts w:ascii="Calibri Light" w:hAnsi="Calibri Light"/>
                <w:bCs/>
                <w:color w:val="000000"/>
                <w:sz w:val="16"/>
                <w:szCs w:val="16"/>
              </w:rPr>
            </w:pPr>
            <w:r w:rsidRPr="005565F8">
              <w:rPr>
                <w:rFonts w:ascii="Calibri Light" w:hAnsi="Calibri Light"/>
                <w:bCs/>
                <w:color w:val="000000"/>
                <w:sz w:val="16"/>
                <w:szCs w:val="16"/>
              </w:rPr>
              <w:t>Potenciālā IKP pieaugums</w:t>
            </w:r>
          </w:p>
        </w:tc>
        <w:tc>
          <w:tcPr>
            <w:tcW w:w="439" w:type="pct"/>
            <w:tcBorders>
              <w:top w:val="single" w:sz="4" w:space="0" w:color="auto"/>
              <w:left w:val="nil"/>
              <w:bottom w:val="nil"/>
              <w:right w:val="nil"/>
            </w:tcBorders>
            <w:shd w:val="clear" w:color="auto" w:fill="auto"/>
            <w:noWrap/>
            <w:hideMark/>
          </w:tcPr>
          <w:p w:rsidR="00054F1E" w:rsidRPr="005565F8" w:rsidP="00054F1E" w14:paraId="741A4CBE"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2,5</w:t>
            </w:r>
          </w:p>
        </w:tc>
        <w:tc>
          <w:tcPr>
            <w:tcW w:w="439" w:type="pct"/>
            <w:tcBorders>
              <w:top w:val="single" w:sz="4" w:space="0" w:color="auto"/>
              <w:left w:val="nil"/>
              <w:bottom w:val="nil"/>
              <w:right w:val="nil"/>
            </w:tcBorders>
            <w:shd w:val="clear" w:color="auto" w:fill="auto"/>
            <w:noWrap/>
            <w:hideMark/>
          </w:tcPr>
          <w:p w:rsidR="00054F1E" w:rsidRPr="005565F8" w:rsidP="00054F1E" w14:paraId="2FFEFF33"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3,3</w:t>
            </w:r>
          </w:p>
        </w:tc>
        <w:tc>
          <w:tcPr>
            <w:tcW w:w="439" w:type="pct"/>
            <w:tcBorders>
              <w:top w:val="single" w:sz="4" w:space="0" w:color="auto"/>
              <w:left w:val="nil"/>
              <w:bottom w:val="nil"/>
              <w:right w:val="nil"/>
            </w:tcBorders>
            <w:shd w:val="clear" w:color="auto" w:fill="auto"/>
            <w:noWrap/>
            <w:hideMark/>
          </w:tcPr>
          <w:p w:rsidR="00054F1E" w:rsidRPr="005565F8" w:rsidP="00054F1E" w14:paraId="649109D6"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3,4</w:t>
            </w:r>
          </w:p>
        </w:tc>
        <w:tc>
          <w:tcPr>
            <w:tcW w:w="439" w:type="pct"/>
            <w:tcBorders>
              <w:top w:val="single" w:sz="4" w:space="0" w:color="auto"/>
              <w:left w:val="nil"/>
              <w:bottom w:val="nil"/>
              <w:right w:val="nil"/>
            </w:tcBorders>
            <w:shd w:val="clear" w:color="auto" w:fill="auto"/>
            <w:noWrap/>
            <w:hideMark/>
          </w:tcPr>
          <w:p w:rsidR="00054F1E" w:rsidRPr="005565F8" w:rsidP="00054F1E" w14:paraId="2B334D6E"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3,4</w:t>
            </w:r>
          </w:p>
        </w:tc>
        <w:tc>
          <w:tcPr>
            <w:tcW w:w="439" w:type="pct"/>
            <w:tcBorders>
              <w:top w:val="single" w:sz="4" w:space="0" w:color="auto"/>
              <w:left w:val="nil"/>
              <w:bottom w:val="nil"/>
              <w:right w:val="nil"/>
            </w:tcBorders>
            <w:shd w:val="clear" w:color="auto" w:fill="auto"/>
            <w:noWrap/>
            <w:hideMark/>
          </w:tcPr>
          <w:p w:rsidR="00054F1E" w:rsidRPr="005565F8" w:rsidP="00054F1E" w14:paraId="6A2E4402"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3,3</w:t>
            </w:r>
          </w:p>
        </w:tc>
        <w:tc>
          <w:tcPr>
            <w:tcW w:w="437" w:type="pct"/>
            <w:tcBorders>
              <w:top w:val="single" w:sz="4" w:space="0" w:color="auto"/>
              <w:left w:val="nil"/>
              <w:bottom w:val="nil"/>
              <w:right w:val="nil"/>
            </w:tcBorders>
            <w:shd w:val="clear" w:color="auto" w:fill="auto"/>
            <w:noWrap/>
            <w:hideMark/>
          </w:tcPr>
          <w:p w:rsidR="00054F1E" w:rsidRPr="005565F8" w:rsidP="00054F1E" w14:paraId="0BF3F2C5" w14:textId="77777777">
            <w:pPr>
              <w:tabs>
                <w:tab w:val="decimal" w:pos="393"/>
              </w:tabs>
              <w:spacing w:before="120" w:after="20"/>
              <w:jc w:val="right"/>
              <w:rPr>
                <w:rFonts w:ascii="Calibri Light" w:hAnsi="Calibri Light"/>
                <w:bCs/>
                <w:color w:val="000000"/>
                <w:sz w:val="16"/>
                <w:szCs w:val="16"/>
              </w:rPr>
            </w:pPr>
            <w:r w:rsidRPr="005565F8">
              <w:rPr>
                <w:rFonts w:ascii="Calibri Light" w:hAnsi="Calibri Light"/>
                <w:bCs/>
                <w:color w:val="000000"/>
                <w:sz w:val="16"/>
                <w:szCs w:val="16"/>
              </w:rPr>
              <w:t>3,2</w:t>
            </w:r>
          </w:p>
        </w:tc>
      </w:tr>
      <w:tr w14:paraId="26442309" w14:textId="77777777" w:rsidTr="00B22046">
        <w:tblPrEx>
          <w:tblW w:w="5000" w:type="pct"/>
          <w:jc w:val="center"/>
          <w:tblLook w:val="04A0"/>
        </w:tblPrEx>
        <w:trPr>
          <w:trHeight w:val="256"/>
          <w:jc w:val="center"/>
        </w:trPr>
        <w:tc>
          <w:tcPr>
            <w:tcW w:w="2369" w:type="pct"/>
            <w:tcBorders>
              <w:top w:val="nil"/>
              <w:left w:val="nil"/>
              <w:bottom w:val="nil"/>
              <w:right w:val="nil"/>
            </w:tcBorders>
            <w:shd w:val="clear" w:color="auto" w:fill="B8CCE4" w:themeFill="accent1" w:themeFillTint="66"/>
            <w:noWrap/>
            <w:vAlign w:val="center"/>
            <w:hideMark/>
          </w:tcPr>
          <w:p w:rsidR="00054F1E" w:rsidRPr="005565F8" w:rsidP="00054F1E" w14:paraId="4AAED068"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ieguldījums:</w:t>
            </w:r>
          </w:p>
        </w:tc>
        <w:tc>
          <w:tcPr>
            <w:tcW w:w="439" w:type="pct"/>
            <w:tcBorders>
              <w:top w:val="nil"/>
              <w:left w:val="nil"/>
              <w:bottom w:val="nil"/>
              <w:right w:val="nil"/>
            </w:tcBorders>
            <w:shd w:val="clear" w:color="auto" w:fill="B8CCE4" w:themeFill="accent1" w:themeFillTint="66"/>
            <w:noWrap/>
          </w:tcPr>
          <w:p w:rsidR="00054F1E" w:rsidRPr="005565F8" w:rsidP="00054F1E" w14:paraId="2F7DF9ED" w14:textId="77777777">
            <w:pPr>
              <w:tabs>
                <w:tab w:val="decimal" w:pos="393"/>
              </w:tabs>
              <w:spacing w:before="20" w:after="20"/>
              <w:jc w:val="right"/>
              <w:rPr>
                <w:rFonts w:ascii="Calibri Light" w:hAnsi="Calibri Light"/>
                <w:bCs/>
                <w:color w:val="000000"/>
                <w:sz w:val="16"/>
                <w:szCs w:val="16"/>
              </w:rPr>
            </w:pPr>
          </w:p>
        </w:tc>
        <w:tc>
          <w:tcPr>
            <w:tcW w:w="439" w:type="pct"/>
            <w:tcBorders>
              <w:top w:val="nil"/>
              <w:left w:val="nil"/>
              <w:bottom w:val="nil"/>
              <w:right w:val="nil"/>
            </w:tcBorders>
            <w:shd w:val="clear" w:color="auto" w:fill="B8CCE4" w:themeFill="accent1" w:themeFillTint="66"/>
            <w:noWrap/>
          </w:tcPr>
          <w:p w:rsidR="00054F1E" w:rsidRPr="005565F8" w:rsidP="00054F1E" w14:paraId="0EE9D244" w14:textId="77777777">
            <w:pPr>
              <w:tabs>
                <w:tab w:val="decimal" w:pos="393"/>
              </w:tabs>
              <w:spacing w:before="20" w:after="20"/>
              <w:jc w:val="right"/>
              <w:rPr>
                <w:rFonts w:ascii="Calibri Light" w:hAnsi="Calibri Light"/>
                <w:bCs/>
                <w:color w:val="000000"/>
                <w:sz w:val="16"/>
                <w:szCs w:val="16"/>
              </w:rPr>
            </w:pPr>
          </w:p>
        </w:tc>
        <w:tc>
          <w:tcPr>
            <w:tcW w:w="439" w:type="pct"/>
            <w:tcBorders>
              <w:top w:val="nil"/>
              <w:left w:val="nil"/>
              <w:bottom w:val="nil"/>
              <w:right w:val="nil"/>
            </w:tcBorders>
            <w:shd w:val="clear" w:color="auto" w:fill="B8CCE4" w:themeFill="accent1" w:themeFillTint="66"/>
            <w:noWrap/>
          </w:tcPr>
          <w:p w:rsidR="00054F1E" w:rsidRPr="005565F8" w:rsidP="00054F1E" w14:paraId="3B343406" w14:textId="77777777">
            <w:pPr>
              <w:tabs>
                <w:tab w:val="decimal" w:pos="393"/>
              </w:tabs>
              <w:spacing w:before="20" w:after="20"/>
              <w:jc w:val="right"/>
              <w:rPr>
                <w:rFonts w:ascii="Calibri Light" w:hAnsi="Calibri Light"/>
                <w:bCs/>
                <w:color w:val="000000"/>
                <w:sz w:val="16"/>
                <w:szCs w:val="16"/>
              </w:rPr>
            </w:pPr>
          </w:p>
        </w:tc>
        <w:tc>
          <w:tcPr>
            <w:tcW w:w="439" w:type="pct"/>
            <w:tcBorders>
              <w:top w:val="nil"/>
              <w:left w:val="nil"/>
              <w:bottom w:val="nil"/>
              <w:right w:val="nil"/>
            </w:tcBorders>
            <w:shd w:val="clear" w:color="auto" w:fill="B8CCE4" w:themeFill="accent1" w:themeFillTint="66"/>
            <w:noWrap/>
          </w:tcPr>
          <w:p w:rsidR="00054F1E" w:rsidRPr="005565F8" w:rsidP="00054F1E" w14:paraId="5CBCA24B" w14:textId="77777777">
            <w:pPr>
              <w:tabs>
                <w:tab w:val="decimal" w:pos="393"/>
              </w:tabs>
              <w:spacing w:before="20" w:after="20"/>
              <w:jc w:val="right"/>
              <w:rPr>
                <w:rFonts w:ascii="Calibri Light" w:hAnsi="Calibri Light"/>
                <w:bCs/>
                <w:color w:val="000000"/>
                <w:sz w:val="16"/>
                <w:szCs w:val="16"/>
              </w:rPr>
            </w:pPr>
          </w:p>
        </w:tc>
        <w:tc>
          <w:tcPr>
            <w:tcW w:w="439" w:type="pct"/>
            <w:tcBorders>
              <w:top w:val="nil"/>
              <w:left w:val="nil"/>
              <w:bottom w:val="nil"/>
              <w:right w:val="nil"/>
            </w:tcBorders>
            <w:shd w:val="clear" w:color="auto" w:fill="B8CCE4" w:themeFill="accent1" w:themeFillTint="66"/>
            <w:noWrap/>
          </w:tcPr>
          <w:p w:rsidR="00054F1E" w:rsidRPr="005565F8" w:rsidP="00054F1E" w14:paraId="4BAB0876" w14:textId="77777777">
            <w:pPr>
              <w:tabs>
                <w:tab w:val="decimal" w:pos="393"/>
              </w:tabs>
              <w:spacing w:before="20" w:after="20"/>
              <w:jc w:val="right"/>
              <w:rPr>
                <w:rFonts w:ascii="Calibri Light" w:hAnsi="Calibri Light"/>
                <w:bCs/>
                <w:color w:val="000000"/>
                <w:sz w:val="16"/>
                <w:szCs w:val="16"/>
              </w:rPr>
            </w:pPr>
          </w:p>
        </w:tc>
        <w:tc>
          <w:tcPr>
            <w:tcW w:w="437" w:type="pct"/>
            <w:tcBorders>
              <w:top w:val="nil"/>
              <w:left w:val="nil"/>
              <w:bottom w:val="nil"/>
              <w:right w:val="nil"/>
            </w:tcBorders>
            <w:shd w:val="clear" w:color="auto" w:fill="B8CCE4" w:themeFill="accent1" w:themeFillTint="66"/>
            <w:noWrap/>
          </w:tcPr>
          <w:p w:rsidR="00054F1E" w:rsidRPr="005565F8" w:rsidP="00054F1E" w14:paraId="7B708250" w14:textId="77777777">
            <w:pPr>
              <w:tabs>
                <w:tab w:val="decimal" w:pos="393"/>
              </w:tabs>
              <w:spacing w:before="20" w:after="20"/>
              <w:jc w:val="right"/>
              <w:rPr>
                <w:rFonts w:ascii="Calibri Light" w:hAnsi="Calibri Light"/>
                <w:bCs/>
                <w:color w:val="000000"/>
                <w:sz w:val="16"/>
                <w:szCs w:val="16"/>
              </w:rPr>
            </w:pPr>
          </w:p>
        </w:tc>
      </w:tr>
      <w:tr w14:paraId="1FED0D12" w14:textId="77777777" w:rsidTr="000C2443">
        <w:tblPrEx>
          <w:tblW w:w="5000" w:type="pct"/>
          <w:jc w:val="center"/>
          <w:tblLook w:val="04A0"/>
        </w:tblPrEx>
        <w:trPr>
          <w:trHeight w:val="256"/>
          <w:jc w:val="center"/>
        </w:trPr>
        <w:tc>
          <w:tcPr>
            <w:tcW w:w="2369" w:type="pct"/>
            <w:tcBorders>
              <w:top w:val="nil"/>
              <w:left w:val="nil"/>
              <w:bottom w:val="nil"/>
              <w:right w:val="nil"/>
            </w:tcBorders>
            <w:shd w:val="clear" w:color="auto" w:fill="auto"/>
            <w:noWrap/>
            <w:vAlign w:val="center"/>
            <w:hideMark/>
          </w:tcPr>
          <w:p w:rsidR="00054F1E" w:rsidRPr="005565F8" w:rsidP="00054F1E" w14:paraId="1F00E05F" w14:textId="77777777">
            <w:pPr>
              <w:spacing w:before="20" w:after="20"/>
              <w:ind w:firstLine="157"/>
              <w:rPr>
                <w:rFonts w:ascii="Calibri Light" w:hAnsi="Calibri Light"/>
                <w:bCs/>
                <w:color w:val="000000"/>
                <w:sz w:val="16"/>
                <w:szCs w:val="16"/>
              </w:rPr>
            </w:pPr>
            <w:r w:rsidRPr="005565F8">
              <w:rPr>
                <w:rFonts w:ascii="Calibri Light" w:hAnsi="Calibri Light"/>
                <w:bCs/>
                <w:color w:val="000000"/>
                <w:sz w:val="16"/>
                <w:szCs w:val="16"/>
              </w:rPr>
              <w:t>– nodarbinātības</w:t>
            </w:r>
          </w:p>
        </w:tc>
        <w:tc>
          <w:tcPr>
            <w:tcW w:w="439" w:type="pct"/>
            <w:tcBorders>
              <w:top w:val="nil"/>
              <w:left w:val="nil"/>
              <w:bottom w:val="nil"/>
              <w:right w:val="nil"/>
            </w:tcBorders>
            <w:shd w:val="clear" w:color="auto" w:fill="auto"/>
            <w:noWrap/>
            <w:hideMark/>
          </w:tcPr>
          <w:p w:rsidR="00054F1E" w:rsidRPr="005565F8" w:rsidP="00054F1E" w14:paraId="7FAC56A7"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0,0</w:t>
            </w:r>
          </w:p>
        </w:tc>
        <w:tc>
          <w:tcPr>
            <w:tcW w:w="439" w:type="pct"/>
            <w:tcBorders>
              <w:top w:val="nil"/>
              <w:left w:val="nil"/>
              <w:bottom w:val="nil"/>
              <w:right w:val="nil"/>
            </w:tcBorders>
            <w:shd w:val="clear" w:color="auto" w:fill="auto"/>
            <w:noWrap/>
            <w:hideMark/>
          </w:tcPr>
          <w:p w:rsidR="00054F1E" w:rsidRPr="005565F8" w:rsidP="00054F1E" w14:paraId="1185431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0,0</w:t>
            </w:r>
          </w:p>
        </w:tc>
        <w:tc>
          <w:tcPr>
            <w:tcW w:w="439" w:type="pct"/>
            <w:tcBorders>
              <w:top w:val="nil"/>
              <w:left w:val="nil"/>
              <w:bottom w:val="nil"/>
              <w:right w:val="nil"/>
            </w:tcBorders>
            <w:shd w:val="clear" w:color="auto" w:fill="auto"/>
            <w:noWrap/>
            <w:hideMark/>
          </w:tcPr>
          <w:p w:rsidR="00054F1E" w:rsidRPr="005565F8" w:rsidP="00054F1E" w14:paraId="406AF3DD"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0,0</w:t>
            </w:r>
          </w:p>
        </w:tc>
        <w:tc>
          <w:tcPr>
            <w:tcW w:w="439" w:type="pct"/>
            <w:tcBorders>
              <w:top w:val="nil"/>
              <w:left w:val="nil"/>
              <w:bottom w:val="nil"/>
              <w:right w:val="nil"/>
            </w:tcBorders>
            <w:shd w:val="clear" w:color="auto" w:fill="auto"/>
            <w:noWrap/>
            <w:hideMark/>
          </w:tcPr>
          <w:p w:rsidR="00054F1E" w:rsidRPr="005565F8" w:rsidP="00054F1E" w14:paraId="621A3575"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0,0</w:t>
            </w:r>
          </w:p>
        </w:tc>
        <w:tc>
          <w:tcPr>
            <w:tcW w:w="439" w:type="pct"/>
            <w:tcBorders>
              <w:top w:val="nil"/>
              <w:left w:val="nil"/>
              <w:bottom w:val="nil"/>
              <w:right w:val="nil"/>
            </w:tcBorders>
            <w:shd w:val="clear" w:color="auto" w:fill="auto"/>
            <w:noWrap/>
            <w:hideMark/>
          </w:tcPr>
          <w:p w:rsidR="00054F1E" w:rsidRPr="005565F8" w:rsidP="00054F1E" w14:paraId="2281B0FB"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0,0</w:t>
            </w:r>
          </w:p>
        </w:tc>
        <w:tc>
          <w:tcPr>
            <w:tcW w:w="437" w:type="pct"/>
            <w:tcBorders>
              <w:top w:val="nil"/>
              <w:left w:val="nil"/>
              <w:bottom w:val="nil"/>
              <w:right w:val="nil"/>
            </w:tcBorders>
            <w:shd w:val="clear" w:color="auto" w:fill="auto"/>
            <w:noWrap/>
            <w:hideMark/>
          </w:tcPr>
          <w:p w:rsidR="00054F1E" w:rsidRPr="005565F8" w:rsidP="00054F1E" w14:paraId="646F611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0,0</w:t>
            </w:r>
          </w:p>
        </w:tc>
      </w:tr>
      <w:tr w14:paraId="4921474C" w14:textId="77777777" w:rsidTr="00B22046">
        <w:tblPrEx>
          <w:tblW w:w="5000" w:type="pct"/>
          <w:jc w:val="center"/>
          <w:tblLook w:val="04A0"/>
        </w:tblPrEx>
        <w:trPr>
          <w:trHeight w:val="256"/>
          <w:jc w:val="center"/>
        </w:trPr>
        <w:tc>
          <w:tcPr>
            <w:tcW w:w="2369" w:type="pct"/>
            <w:tcBorders>
              <w:top w:val="nil"/>
              <w:left w:val="nil"/>
              <w:bottom w:val="nil"/>
              <w:right w:val="nil"/>
            </w:tcBorders>
            <w:shd w:val="clear" w:color="auto" w:fill="B8CCE4" w:themeFill="accent1" w:themeFillTint="66"/>
            <w:noWrap/>
            <w:vAlign w:val="center"/>
            <w:hideMark/>
          </w:tcPr>
          <w:p w:rsidR="00054F1E" w:rsidRPr="005565F8" w:rsidP="00054F1E" w14:paraId="641B3138" w14:textId="77777777">
            <w:pPr>
              <w:spacing w:before="20" w:after="20"/>
              <w:ind w:firstLine="157"/>
              <w:rPr>
                <w:rFonts w:ascii="Calibri Light" w:hAnsi="Calibri Light"/>
                <w:bCs/>
                <w:color w:val="000000"/>
                <w:sz w:val="16"/>
                <w:szCs w:val="16"/>
              </w:rPr>
            </w:pPr>
            <w:r w:rsidRPr="005565F8">
              <w:rPr>
                <w:rFonts w:ascii="Calibri Light" w:hAnsi="Calibri Light"/>
                <w:bCs/>
                <w:color w:val="000000"/>
                <w:sz w:val="16"/>
                <w:szCs w:val="16"/>
              </w:rPr>
              <w:t>– kapitāla</w:t>
            </w:r>
          </w:p>
        </w:tc>
        <w:tc>
          <w:tcPr>
            <w:tcW w:w="439" w:type="pct"/>
            <w:tcBorders>
              <w:top w:val="nil"/>
              <w:left w:val="nil"/>
              <w:bottom w:val="nil"/>
              <w:right w:val="nil"/>
            </w:tcBorders>
            <w:shd w:val="clear" w:color="auto" w:fill="B8CCE4" w:themeFill="accent1" w:themeFillTint="66"/>
            <w:noWrap/>
            <w:hideMark/>
          </w:tcPr>
          <w:p w:rsidR="00054F1E" w:rsidRPr="005565F8" w:rsidP="00054F1E" w14:paraId="023C2EB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1,5</w:t>
            </w:r>
          </w:p>
        </w:tc>
        <w:tc>
          <w:tcPr>
            <w:tcW w:w="439" w:type="pct"/>
            <w:tcBorders>
              <w:top w:val="nil"/>
              <w:left w:val="nil"/>
              <w:bottom w:val="nil"/>
              <w:right w:val="nil"/>
            </w:tcBorders>
            <w:shd w:val="clear" w:color="auto" w:fill="B8CCE4" w:themeFill="accent1" w:themeFillTint="66"/>
            <w:noWrap/>
            <w:hideMark/>
          </w:tcPr>
          <w:p w:rsidR="00054F1E" w:rsidRPr="005565F8" w:rsidP="00054F1E" w14:paraId="59D85E7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2,1</w:t>
            </w:r>
          </w:p>
        </w:tc>
        <w:tc>
          <w:tcPr>
            <w:tcW w:w="439" w:type="pct"/>
            <w:tcBorders>
              <w:top w:val="nil"/>
              <w:left w:val="nil"/>
              <w:bottom w:val="nil"/>
              <w:right w:val="nil"/>
            </w:tcBorders>
            <w:shd w:val="clear" w:color="auto" w:fill="B8CCE4" w:themeFill="accent1" w:themeFillTint="66"/>
            <w:noWrap/>
            <w:hideMark/>
          </w:tcPr>
          <w:p w:rsidR="00054F1E" w:rsidRPr="005565F8" w:rsidP="00054F1E" w14:paraId="5CAC17F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2,2</w:t>
            </w:r>
          </w:p>
        </w:tc>
        <w:tc>
          <w:tcPr>
            <w:tcW w:w="439" w:type="pct"/>
            <w:tcBorders>
              <w:top w:val="nil"/>
              <w:left w:val="nil"/>
              <w:bottom w:val="nil"/>
              <w:right w:val="nil"/>
            </w:tcBorders>
            <w:shd w:val="clear" w:color="auto" w:fill="B8CCE4" w:themeFill="accent1" w:themeFillTint="66"/>
            <w:noWrap/>
            <w:hideMark/>
          </w:tcPr>
          <w:p w:rsidR="00054F1E" w:rsidRPr="005565F8" w:rsidP="00054F1E" w14:paraId="511FC2A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2,2</w:t>
            </w:r>
          </w:p>
        </w:tc>
        <w:tc>
          <w:tcPr>
            <w:tcW w:w="439" w:type="pct"/>
            <w:tcBorders>
              <w:top w:val="nil"/>
              <w:left w:val="nil"/>
              <w:bottom w:val="nil"/>
              <w:right w:val="nil"/>
            </w:tcBorders>
            <w:shd w:val="clear" w:color="auto" w:fill="B8CCE4" w:themeFill="accent1" w:themeFillTint="66"/>
            <w:noWrap/>
            <w:hideMark/>
          </w:tcPr>
          <w:p w:rsidR="00054F1E" w:rsidRPr="005565F8" w:rsidP="00054F1E" w14:paraId="4A7A9645"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2,1</w:t>
            </w:r>
          </w:p>
        </w:tc>
        <w:tc>
          <w:tcPr>
            <w:tcW w:w="437" w:type="pct"/>
            <w:tcBorders>
              <w:top w:val="nil"/>
              <w:left w:val="nil"/>
              <w:bottom w:val="nil"/>
              <w:right w:val="nil"/>
            </w:tcBorders>
            <w:shd w:val="clear" w:color="auto" w:fill="B8CCE4" w:themeFill="accent1" w:themeFillTint="66"/>
            <w:noWrap/>
            <w:hideMark/>
          </w:tcPr>
          <w:p w:rsidR="00054F1E" w:rsidRPr="005565F8" w:rsidP="00054F1E" w14:paraId="5BE3B19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2,0</w:t>
            </w:r>
          </w:p>
        </w:tc>
      </w:tr>
      <w:tr w14:paraId="15896B53" w14:textId="77777777" w:rsidTr="000C2443">
        <w:tblPrEx>
          <w:tblW w:w="5000" w:type="pct"/>
          <w:jc w:val="center"/>
          <w:tblLook w:val="04A0"/>
        </w:tblPrEx>
        <w:trPr>
          <w:trHeight w:val="256"/>
          <w:jc w:val="center"/>
        </w:trPr>
        <w:tc>
          <w:tcPr>
            <w:tcW w:w="2369" w:type="pct"/>
            <w:tcBorders>
              <w:top w:val="nil"/>
              <w:left w:val="nil"/>
              <w:bottom w:val="nil"/>
              <w:right w:val="nil"/>
            </w:tcBorders>
            <w:shd w:val="clear" w:color="auto" w:fill="auto"/>
            <w:noWrap/>
            <w:vAlign w:val="center"/>
            <w:hideMark/>
          </w:tcPr>
          <w:p w:rsidR="00054F1E" w:rsidRPr="005565F8" w:rsidP="00054F1E" w14:paraId="1CB90D19" w14:textId="77777777">
            <w:pPr>
              <w:spacing w:before="20" w:after="20"/>
              <w:ind w:firstLine="157"/>
              <w:rPr>
                <w:rFonts w:ascii="Calibri Light" w:hAnsi="Calibri Light"/>
                <w:bCs/>
                <w:color w:val="000000"/>
                <w:sz w:val="16"/>
                <w:szCs w:val="16"/>
              </w:rPr>
            </w:pPr>
            <w:r w:rsidRPr="005565F8">
              <w:rPr>
                <w:rFonts w:ascii="Calibri Light" w:hAnsi="Calibri Light"/>
                <w:bCs/>
                <w:color w:val="000000"/>
                <w:sz w:val="16"/>
                <w:szCs w:val="16"/>
              </w:rPr>
              <w:t>– kopējās ražošanas faktoru produktivitātes</w:t>
            </w:r>
          </w:p>
        </w:tc>
        <w:tc>
          <w:tcPr>
            <w:tcW w:w="439" w:type="pct"/>
            <w:tcBorders>
              <w:top w:val="nil"/>
              <w:left w:val="nil"/>
              <w:bottom w:val="nil"/>
              <w:right w:val="nil"/>
            </w:tcBorders>
            <w:shd w:val="clear" w:color="auto" w:fill="auto"/>
            <w:noWrap/>
            <w:hideMark/>
          </w:tcPr>
          <w:p w:rsidR="00054F1E" w:rsidRPr="005565F8" w:rsidP="00054F1E" w14:paraId="02382D6F"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1,1</w:t>
            </w:r>
          </w:p>
        </w:tc>
        <w:tc>
          <w:tcPr>
            <w:tcW w:w="439" w:type="pct"/>
            <w:tcBorders>
              <w:top w:val="nil"/>
              <w:left w:val="nil"/>
              <w:bottom w:val="nil"/>
              <w:right w:val="nil"/>
            </w:tcBorders>
            <w:shd w:val="clear" w:color="auto" w:fill="auto"/>
            <w:noWrap/>
            <w:hideMark/>
          </w:tcPr>
          <w:p w:rsidR="00054F1E" w:rsidRPr="005565F8" w:rsidP="00054F1E" w14:paraId="4033BB6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1,2</w:t>
            </w:r>
          </w:p>
        </w:tc>
        <w:tc>
          <w:tcPr>
            <w:tcW w:w="439" w:type="pct"/>
            <w:tcBorders>
              <w:top w:val="nil"/>
              <w:left w:val="nil"/>
              <w:bottom w:val="nil"/>
              <w:right w:val="nil"/>
            </w:tcBorders>
            <w:shd w:val="clear" w:color="auto" w:fill="auto"/>
            <w:noWrap/>
            <w:hideMark/>
          </w:tcPr>
          <w:p w:rsidR="00054F1E" w:rsidRPr="005565F8" w:rsidP="00054F1E" w14:paraId="1BA8AA6C"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1,2</w:t>
            </w:r>
          </w:p>
        </w:tc>
        <w:tc>
          <w:tcPr>
            <w:tcW w:w="439" w:type="pct"/>
            <w:tcBorders>
              <w:top w:val="nil"/>
              <w:left w:val="nil"/>
              <w:bottom w:val="nil"/>
              <w:right w:val="nil"/>
            </w:tcBorders>
            <w:shd w:val="clear" w:color="auto" w:fill="auto"/>
            <w:noWrap/>
            <w:hideMark/>
          </w:tcPr>
          <w:p w:rsidR="00054F1E" w:rsidRPr="005565F8" w:rsidP="00054F1E" w14:paraId="309EB977"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1,3</w:t>
            </w:r>
          </w:p>
        </w:tc>
        <w:tc>
          <w:tcPr>
            <w:tcW w:w="439" w:type="pct"/>
            <w:tcBorders>
              <w:top w:val="nil"/>
              <w:left w:val="nil"/>
              <w:bottom w:val="nil"/>
              <w:right w:val="nil"/>
            </w:tcBorders>
            <w:shd w:val="clear" w:color="auto" w:fill="auto"/>
            <w:noWrap/>
            <w:hideMark/>
          </w:tcPr>
          <w:p w:rsidR="00054F1E" w:rsidRPr="005565F8" w:rsidP="00054F1E" w14:paraId="543DE7F7"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1,2</w:t>
            </w:r>
          </w:p>
        </w:tc>
        <w:tc>
          <w:tcPr>
            <w:tcW w:w="437" w:type="pct"/>
            <w:tcBorders>
              <w:top w:val="nil"/>
              <w:left w:val="nil"/>
              <w:bottom w:val="nil"/>
              <w:right w:val="nil"/>
            </w:tcBorders>
            <w:shd w:val="clear" w:color="auto" w:fill="auto"/>
            <w:noWrap/>
            <w:hideMark/>
          </w:tcPr>
          <w:p w:rsidR="00054F1E" w:rsidRPr="005565F8" w:rsidP="00054F1E" w14:paraId="65F8D17C"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1,2</w:t>
            </w:r>
          </w:p>
        </w:tc>
      </w:tr>
      <w:tr w14:paraId="68A10089" w14:textId="77777777" w:rsidTr="00B22046">
        <w:tblPrEx>
          <w:tblW w:w="5000" w:type="pct"/>
          <w:jc w:val="center"/>
          <w:tblLook w:val="04A0"/>
        </w:tblPrEx>
        <w:trPr>
          <w:trHeight w:val="256"/>
          <w:jc w:val="center"/>
        </w:trPr>
        <w:tc>
          <w:tcPr>
            <w:tcW w:w="2369" w:type="pct"/>
            <w:tcBorders>
              <w:top w:val="nil"/>
              <w:left w:val="nil"/>
              <w:bottom w:val="single" w:sz="8" w:space="0" w:color="000000"/>
              <w:right w:val="nil"/>
            </w:tcBorders>
            <w:shd w:val="clear" w:color="auto" w:fill="B8CCE4" w:themeFill="accent1" w:themeFillTint="66"/>
            <w:noWrap/>
            <w:vAlign w:val="center"/>
            <w:hideMark/>
          </w:tcPr>
          <w:p w:rsidR="00054F1E" w:rsidRPr="005565F8" w:rsidP="00054F1E" w14:paraId="53E70A7F" w14:textId="77777777">
            <w:pPr>
              <w:spacing w:before="20" w:after="20"/>
              <w:ind w:left="157" w:hanging="157"/>
              <w:rPr>
                <w:rFonts w:ascii="Calibri Light" w:hAnsi="Calibri Light"/>
                <w:bCs/>
                <w:color w:val="000000"/>
                <w:sz w:val="16"/>
                <w:szCs w:val="16"/>
              </w:rPr>
            </w:pPr>
            <w:r w:rsidRPr="005565F8">
              <w:rPr>
                <w:rFonts w:ascii="Calibri Light" w:hAnsi="Calibri Light"/>
                <w:bCs/>
                <w:color w:val="000000"/>
                <w:sz w:val="16"/>
                <w:szCs w:val="16"/>
              </w:rPr>
              <w:t>Starpība starp faktisko un potenciālo IKP (% no potenciālā IKP)</w:t>
            </w:r>
          </w:p>
        </w:tc>
        <w:tc>
          <w:tcPr>
            <w:tcW w:w="439" w:type="pct"/>
            <w:tcBorders>
              <w:top w:val="nil"/>
              <w:left w:val="nil"/>
              <w:bottom w:val="single" w:sz="8" w:space="0" w:color="000000"/>
              <w:right w:val="nil"/>
            </w:tcBorders>
            <w:shd w:val="clear" w:color="auto" w:fill="B8CCE4" w:themeFill="accent1" w:themeFillTint="66"/>
            <w:noWrap/>
            <w:hideMark/>
          </w:tcPr>
          <w:p w:rsidR="00054F1E" w:rsidRPr="005565F8" w:rsidP="00054F1E" w14:paraId="618A7E9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-0,7</w:t>
            </w:r>
          </w:p>
        </w:tc>
        <w:tc>
          <w:tcPr>
            <w:tcW w:w="439" w:type="pct"/>
            <w:tcBorders>
              <w:top w:val="nil"/>
              <w:left w:val="nil"/>
              <w:bottom w:val="single" w:sz="8" w:space="0" w:color="000000"/>
              <w:right w:val="nil"/>
            </w:tcBorders>
            <w:shd w:val="clear" w:color="auto" w:fill="B8CCE4" w:themeFill="accent1" w:themeFillTint="66"/>
            <w:noWrap/>
            <w:hideMark/>
          </w:tcPr>
          <w:p w:rsidR="00054F1E" w:rsidRPr="005565F8" w:rsidP="00054F1E" w14:paraId="1926E8CE"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0,5</w:t>
            </w:r>
          </w:p>
        </w:tc>
        <w:tc>
          <w:tcPr>
            <w:tcW w:w="439" w:type="pct"/>
            <w:tcBorders>
              <w:top w:val="nil"/>
              <w:left w:val="nil"/>
              <w:bottom w:val="single" w:sz="8" w:space="0" w:color="000000"/>
              <w:right w:val="nil"/>
            </w:tcBorders>
            <w:shd w:val="clear" w:color="auto" w:fill="B8CCE4" w:themeFill="accent1" w:themeFillTint="66"/>
            <w:noWrap/>
            <w:hideMark/>
          </w:tcPr>
          <w:p w:rsidR="00054F1E" w:rsidRPr="005565F8" w:rsidP="00054F1E" w14:paraId="04BDF60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1,1</w:t>
            </w:r>
          </w:p>
        </w:tc>
        <w:tc>
          <w:tcPr>
            <w:tcW w:w="439" w:type="pct"/>
            <w:tcBorders>
              <w:top w:val="nil"/>
              <w:left w:val="nil"/>
              <w:bottom w:val="single" w:sz="8" w:space="0" w:color="000000"/>
              <w:right w:val="nil"/>
            </w:tcBorders>
            <w:shd w:val="clear" w:color="auto" w:fill="B8CCE4" w:themeFill="accent1" w:themeFillTint="66"/>
            <w:noWrap/>
            <w:hideMark/>
          </w:tcPr>
          <w:p w:rsidR="00054F1E" w:rsidRPr="005565F8" w:rsidP="00054F1E" w14:paraId="069490E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1,0</w:t>
            </w:r>
          </w:p>
        </w:tc>
        <w:tc>
          <w:tcPr>
            <w:tcW w:w="439" w:type="pct"/>
            <w:tcBorders>
              <w:top w:val="nil"/>
              <w:left w:val="nil"/>
              <w:bottom w:val="single" w:sz="8" w:space="0" w:color="000000"/>
              <w:right w:val="nil"/>
            </w:tcBorders>
            <w:shd w:val="clear" w:color="auto" w:fill="B8CCE4" w:themeFill="accent1" w:themeFillTint="66"/>
            <w:noWrap/>
            <w:hideMark/>
          </w:tcPr>
          <w:p w:rsidR="00054F1E" w:rsidRPr="005565F8" w:rsidP="00054F1E" w14:paraId="0C87113C"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0,7</w:t>
            </w:r>
          </w:p>
        </w:tc>
        <w:tc>
          <w:tcPr>
            <w:tcW w:w="437" w:type="pct"/>
            <w:tcBorders>
              <w:top w:val="nil"/>
              <w:left w:val="nil"/>
              <w:bottom w:val="single" w:sz="8" w:space="0" w:color="000000"/>
              <w:right w:val="nil"/>
            </w:tcBorders>
            <w:shd w:val="clear" w:color="auto" w:fill="B8CCE4" w:themeFill="accent1" w:themeFillTint="66"/>
            <w:noWrap/>
            <w:hideMark/>
          </w:tcPr>
          <w:p w:rsidR="00054F1E" w:rsidRPr="005565F8" w:rsidP="00054F1E" w14:paraId="34ACEA30"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0,3</w:t>
            </w:r>
          </w:p>
        </w:tc>
      </w:tr>
    </w:tbl>
    <w:p w:rsidR="00253330" w:rsidRPr="005565F8" w:rsidP="00B22046" w14:paraId="039E8474" w14:textId="77777777">
      <w:pPr>
        <w:pStyle w:val="ListParagraph"/>
        <w:tabs>
          <w:tab w:val="left" w:pos="426"/>
        </w:tabs>
        <w:spacing w:before="40"/>
        <w:ind w:left="0" w:firstLine="142"/>
        <w:contextualSpacing w:val="0"/>
        <w:rPr>
          <w:rFonts w:ascii="Calibri Light" w:hAnsi="Calibri Light"/>
          <w:i/>
          <w:sz w:val="16"/>
          <w:szCs w:val="20"/>
        </w:rPr>
      </w:pPr>
      <w:r w:rsidRPr="005565F8">
        <w:rPr>
          <w:rFonts w:ascii="Calibri Light" w:hAnsi="Calibri Light"/>
          <w:i/>
          <w:sz w:val="16"/>
          <w:szCs w:val="20"/>
        </w:rPr>
        <w:t>Datu avots: CSP, Finanšu ministrijas prognozes</w:t>
      </w:r>
    </w:p>
    <w:p w:rsidR="00A6672D" w:rsidRPr="005565F8" w:rsidP="00990DC4" w14:paraId="734C1334" w14:textId="77777777">
      <w:pPr>
        <w:spacing w:before="60"/>
        <w:ind w:firstLine="567"/>
        <w:rPr>
          <w:sz w:val="16"/>
        </w:rPr>
        <w:sectPr w:rsidSect="003D0310">
          <w:type w:val="continuous"/>
          <w:pgSz w:w="11906" w:h="16838" w:code="9"/>
          <w:pgMar w:top="1134" w:right="1134" w:bottom="1134" w:left="1134" w:header="709" w:footer="709" w:gutter="0"/>
          <w:cols w:space="708"/>
          <w:titlePg/>
          <w:docGrid w:linePitch="360"/>
        </w:sectPr>
      </w:pPr>
      <w:bookmarkEnd w:id="11"/>
    </w:p>
    <w:p w:rsidR="000C2443" w:rsidRPr="005565F8" w:rsidP="000C2443" w14:paraId="4889B384" w14:textId="77777777">
      <w:r w:rsidRPr="005565F8">
        <w:t>Apjomu samazinājums 2017.gadā bija vērojams vienīgi finanšu un apdrošināšanas pakalpojumu nozarē, ko noteica nerezidentu biznesa samazināšanās.</w:t>
      </w:r>
    </w:p>
    <w:p w:rsidR="00054F1E" w:rsidRPr="005565F8" w:rsidP="00054F1E" w14:paraId="65B8B215" w14:textId="123CB102">
      <w:pPr>
        <w:spacing w:before="60"/>
      </w:pPr>
      <w:r w:rsidRPr="005565F8">
        <w:t>Mēneša vidējās bruto darba samaksas pieaugums kļūst straujāks. 2017.gadā</w:t>
      </w:r>
      <w:r w:rsidRPr="005565F8" w:rsidR="00A62075">
        <w:t xml:space="preserve"> </w:t>
      </w:r>
      <w:r w:rsidRPr="005565F8">
        <w:t>vidējā bruto darba samaksa pieauga par 7,</w:t>
      </w:r>
      <w:r w:rsidR="00192B55">
        <w:t>9</w:t>
      </w:r>
      <w:r w:rsidRPr="005565F8">
        <w:t xml:space="preserve">% un sasniedza 926 EUR. Straujāk darba samaksa 2017.gadā pieauga privātajā sektorā – par 8,3%, savukārt sabiedriskajā sektorā – par 7,4%. Salīdzinot ar </w:t>
      </w:r>
      <w:r w:rsidRPr="005565F8">
        <w:t>pirmskrīzes</w:t>
      </w:r>
      <w:r w:rsidRPr="005565F8">
        <w:t xml:space="preserve"> līmeni 2008.gadā, darba samaksa ir pieaugusi par 35,8%. Tajā skaitā privātajā sektorā darba samaksas pieaugums bija par gandrīz 47%, savukārt sabiedriskajā sektorā tas bija </w:t>
      </w:r>
      <w:r w:rsidRPr="005565F8" w:rsidR="00A62075">
        <w:br/>
      </w:r>
      <w:r w:rsidRPr="005565F8">
        <w:t xml:space="preserve">mērenāks – par 18%. </w:t>
      </w:r>
      <w:r w:rsidRPr="005565F8" w:rsidR="003929A6">
        <w:t xml:space="preserve">Ēnu ekonomikas mazināšana (arvien vairāk strādājošo deklarē ienākumus) ir viens no būtiskajiem faktoriem straujākam darba samaksas pieaugumam privātajā sektorā. </w:t>
      </w:r>
      <w:r w:rsidRPr="005565F8">
        <w:t>2017.gadā, salīdzinot ar 2016.gadu, vidējā neto darba samaksa pieauga par 7%. Savukārt reālā neto darba samaksa pieauga lēnāk – par 4%, ko ietekmēja patēriņa cenu kāpums.</w:t>
      </w:r>
    </w:p>
    <w:p w:rsidR="00054F1E" w:rsidRPr="005565F8" w:rsidP="00054F1E" w14:paraId="7994B561" w14:textId="77777777">
      <w:pPr>
        <w:spacing w:before="60"/>
      </w:pPr>
      <w:r w:rsidRPr="005565F8">
        <w:t>Gada vidējā inflācija 2017.gadā paaugstinājās līdz 2,9%. Inflācijas pieaugumu noteica galvenokārt pārtikas un degvielas cenu pieaugums, kā arī atsevišķu pakalpojumu, tajā skaitā telekomunikāciju, apdrošināšanas un finanšu pakalpojumu, kā arī veselības aprūpes pakalpojumu sadārdzināšanās. Kopumā preču cenas 2017.gadā palielinājās par 2,8%, bet pakalpojumu cenas – par 3,2%.</w:t>
      </w:r>
    </w:p>
    <w:p w:rsidR="00B9121A" w:rsidRPr="005565F8" w:rsidP="00B9121A" w14:paraId="58FF3DB4" w14:textId="7601580F">
      <w:pPr>
        <w:spacing w:before="60"/>
      </w:pPr>
      <w:r w:rsidRPr="005565F8">
        <w:t xml:space="preserve">Līdz ar straujāku ekonomikas izaugsmi vērojami uzlabojumi arī darba tirgū. Lai arī nodarbināto skaita pieaugums joprojām ir salīdzinoši lēns, tomēr kopumā tas norāda uz pietiekami dinamisku darba tirgus attīstību, ņemot vērā to, ka darbspējas vecuma iedzīvotāju skaits samazinās. To apliecina arī salīdzinoši straujais bezdarba samazinājums – bezdarba līmenis 2017.gadā noslīdēja līdz 8,7%. Vēl straujāk samazinājās reģistrētā bezdarba līmenis, kas 2017.gada beigās sasniedza 6,8% un bija par 1,6 procentpunktiem zemāks nekā 2016.gada beigās. Reģistrēto bezdarbnieku skaits 2017.gada laikā saruka par 19,4% līdz 63,1 tūkstotim decembra beigās. </w:t>
      </w:r>
      <w:r w:rsidR="00F5168B">
        <w:t>Taču</w:t>
      </w:r>
      <w:r w:rsidRPr="005565F8" w:rsidR="00A50CE1">
        <w:t xml:space="preserve"> lielais ilgstošo bezdarbnieku īpatsvars (37,7% no bezdarbnieku kopskaita), kā arī reģionālās atšķirības, palielina strukturālā bezdarba riskus.</w:t>
      </w:r>
    </w:p>
    <w:p w:rsidR="00054F1E" w:rsidRPr="005565F8" w:rsidP="00054F1E" w14:paraId="52EEF8C8" w14:textId="77777777">
      <w:pPr>
        <w:spacing w:before="60"/>
      </w:pPr>
      <w:r w:rsidRPr="005565F8">
        <w:t>Ja iepriekšējos gados tendences darba tirgū galvenokārt noteica piedā</w:t>
      </w:r>
      <w:r w:rsidRPr="005565F8" w:rsidR="00A62075">
        <w:t>vājuma puses faktori, tad 2017.</w:t>
      </w:r>
      <w:r w:rsidRPr="005565F8">
        <w:t>gadā līdz ar aktivitāšu atjaunošanos būvniecības nozarē, kā arī spēcīgo izaugsmi apstrādes rūpniecībā, ar vien lielāka ietekme bija jūtama arī no pieprasījuma puses.</w:t>
      </w:r>
    </w:p>
    <w:p w:rsidR="00866AA0" w:rsidRPr="005565F8" w:rsidP="00866AA0" w14:paraId="34CAFB0E" w14:textId="77777777">
      <w:pPr>
        <w:spacing w:before="60"/>
      </w:pPr>
      <w:r w:rsidRPr="005565F8">
        <w:t>Rūkošo darba roku skaitu joprojām lielā mērā kompensēja iedzīvotāju ekonomiskās aktivitātes pieaugums, kas 2017.gadā palielinājies līdz 68,9% jeb par 0,7 procentpunktiem, salīdzinot ar 2016. gadu.</w:t>
      </w:r>
    </w:p>
    <w:p w:rsidR="00054F1E" w:rsidRPr="005565F8" w:rsidP="00054F1E" w14:paraId="6A0E1F3A" w14:textId="77777777">
      <w:pPr>
        <w:spacing w:before="60"/>
      </w:pPr>
    </w:p>
    <w:p w:rsidR="00253330" w:rsidRPr="005565F8" w:rsidP="00A6672D" w14:paraId="3AD0D76D" w14:textId="4F3DFC50">
      <w:pPr>
        <w:rPr>
          <w:b/>
        </w:rPr>
      </w:pPr>
      <w:r>
        <w:rPr>
          <w:b/>
        </w:rPr>
        <w:br w:type="column"/>
      </w:r>
      <w:r w:rsidRPr="005565F8">
        <w:rPr>
          <w:b/>
        </w:rPr>
        <w:t>Vidēja termiņa makroekonomiskā scenārija galvenie pieņēmumi:</w:t>
      </w:r>
    </w:p>
    <w:p w:rsidR="00054F1E" w:rsidRPr="005565F8" w:rsidP="00735883" w14:paraId="78E544E4" w14:textId="77777777">
      <w:pPr>
        <w:pStyle w:val="ListParagraph"/>
        <w:numPr>
          <w:ilvl w:val="0"/>
          <w:numId w:val="22"/>
        </w:numPr>
        <w:spacing w:after="60"/>
        <w:ind w:left="284" w:hanging="284"/>
        <w:contextualSpacing w:val="0"/>
      </w:pPr>
      <w:r w:rsidRPr="005565F8">
        <w:t>makroekonomiskās attīstības scenārijs veidots balstoties uz EK 2018.gada ziemas prognožu tehniskajiem pieņēmumiem, kas paredz, ka 2018.gadā un 2019.gadā EUR/USD kurss ir 1,23. Savukārt, naftas cenas vidēji būs 2018.gadā 68,3 USD/</w:t>
      </w:r>
      <w:r w:rsidRPr="005565F8">
        <w:t>bbl</w:t>
      </w:r>
      <w:r w:rsidRPr="005565F8">
        <w:t xml:space="preserve"> un 2019.gadā 64,2 USD/</w:t>
      </w:r>
      <w:r w:rsidRPr="005565F8">
        <w:t>bbl</w:t>
      </w:r>
      <w:r w:rsidRPr="005565F8">
        <w:t>;</w:t>
      </w:r>
    </w:p>
    <w:p w:rsidR="00054F1E" w:rsidRPr="005565F8" w:rsidP="00735883" w14:paraId="0E90C5EF" w14:textId="77777777">
      <w:pPr>
        <w:pStyle w:val="ListParagraph"/>
        <w:numPr>
          <w:ilvl w:val="0"/>
          <w:numId w:val="22"/>
        </w:numPr>
        <w:spacing w:after="60"/>
        <w:ind w:left="284" w:hanging="284"/>
        <w:contextualSpacing w:val="0"/>
      </w:pPr>
      <w:r w:rsidRPr="005565F8">
        <w:t>ekonomisko aktivitāti pasaulē 2018.gadā vairums starptautisko organizāciju prognozē straujāku nekā paredzēts iepriekš rudens prognozēs. Ekonomikas prognozes uzlabo ASV izaugsmes perspektīvas un pasaules tirdzniecības aktivitātes pieaugums. Paredzams, ka globālais IKP pieaugums, izņemot ES, palielināsies līdz 4,1% 2018. un 2019.gadā;</w:t>
      </w:r>
    </w:p>
    <w:p w:rsidR="00054F1E" w:rsidRPr="005565F8" w:rsidP="00735883" w14:paraId="630612E7" w14:textId="77777777">
      <w:pPr>
        <w:pStyle w:val="ListParagraph"/>
        <w:numPr>
          <w:ilvl w:val="0"/>
          <w:numId w:val="22"/>
        </w:numPr>
        <w:spacing w:after="60"/>
        <w:ind w:left="284" w:hanging="284"/>
        <w:contextualSpacing w:val="0"/>
      </w:pPr>
      <w:r w:rsidRPr="005565F8">
        <w:t xml:space="preserve">prognozēs pieņemts, ka izaugsmes tempi </w:t>
      </w:r>
      <w:r w:rsidRPr="005565F8">
        <w:t>eirozonā</w:t>
      </w:r>
      <w:r w:rsidRPr="005565F8">
        <w:t xml:space="preserve"> un galvenajās Latvijas ārējās tirdzniecības partnervalstīs vidējā termiņā pakāpeniski kļūs straujāki, nekā prognozēts iepriekš,  2018. un 2019.gadā pieaugot attiecīgi par 2,3% un 2% gan </w:t>
      </w:r>
      <w:r w:rsidRPr="005565F8">
        <w:t>eirozonā</w:t>
      </w:r>
      <w:r w:rsidRPr="005565F8">
        <w:t>, gan ES. Tas veicinās pieprasījumu pēc Latvijas precēm un pakalpojumiem;</w:t>
      </w:r>
    </w:p>
    <w:p w:rsidR="00054F1E" w:rsidRPr="005565F8" w:rsidP="00735883" w14:paraId="7B1000C8" w14:textId="77777777">
      <w:pPr>
        <w:pStyle w:val="ListParagraph"/>
        <w:numPr>
          <w:ilvl w:val="0"/>
          <w:numId w:val="22"/>
        </w:numPr>
        <w:spacing w:after="60"/>
        <w:ind w:left="284" w:hanging="284"/>
        <w:contextualSpacing w:val="0"/>
      </w:pPr>
      <w:r w:rsidRPr="005565F8">
        <w:t>2018. un 2019.gadā investīciju pieaugumu veicinās ES fondu līdzekļu straujāka ieguldīšana, un pakāpeniska kreditēšanas atjaunošanās;</w:t>
      </w:r>
    </w:p>
    <w:p w:rsidR="00054F1E" w:rsidRPr="005565F8" w:rsidP="00735883" w14:paraId="2FFAE2D5" w14:textId="77777777">
      <w:pPr>
        <w:pStyle w:val="ListParagraph"/>
        <w:numPr>
          <w:ilvl w:val="0"/>
          <w:numId w:val="22"/>
        </w:numPr>
        <w:spacing w:after="60"/>
        <w:ind w:left="284" w:hanging="284"/>
        <w:contextualSpacing w:val="0"/>
      </w:pPr>
      <w:r w:rsidRPr="005565F8">
        <w:t>joprojām saglabāsies spēcīgs privātā patēriņa pieaugums, ko veicinās darba algu kāpums un  pieaugošā iedzīvotāju pirktspēja;</w:t>
      </w:r>
    </w:p>
    <w:p w:rsidR="00054F1E" w:rsidRPr="005565F8" w:rsidP="00735883" w14:paraId="46DCC7B1" w14:textId="77777777">
      <w:pPr>
        <w:pStyle w:val="ListParagraph"/>
        <w:numPr>
          <w:ilvl w:val="0"/>
          <w:numId w:val="22"/>
        </w:numPr>
        <w:spacing w:after="60"/>
        <w:ind w:left="284" w:hanging="284"/>
        <w:contextualSpacing w:val="0"/>
      </w:pPr>
      <w:r w:rsidRPr="005565F8">
        <w:t>situāciju darba tirgū noteiks darbspējas vecuma iedzīvotāju skaita samazināšanās. 2018.gadā un turpmākajos gados netiek prognozēts būtisks nodarbināto skaita pieaugums;</w:t>
      </w:r>
    </w:p>
    <w:p w:rsidR="00054F1E" w:rsidRPr="005565F8" w:rsidP="00735883" w14:paraId="1EE5A1A0" w14:textId="77777777">
      <w:pPr>
        <w:pStyle w:val="ListParagraph"/>
        <w:numPr>
          <w:ilvl w:val="0"/>
          <w:numId w:val="22"/>
        </w:numPr>
        <w:spacing w:after="60"/>
        <w:ind w:left="284" w:hanging="284"/>
        <w:contextualSpacing w:val="0"/>
      </w:pPr>
      <w:r w:rsidRPr="005565F8">
        <w:t xml:space="preserve">patēriņa cenu pieaugums 2018.gadā būs 2,8%, kas ir tuvu 2017.gada līmenim. Cenu dinamiku noteiks pārtikas cenu inflācijas samazinājums, bet inflāciju paaugstinošā virzienā ietekmēs akcīzes </w:t>
      </w:r>
      <w:r w:rsidRPr="005565F8" w:rsidR="006D24A9">
        <w:t xml:space="preserve">nodokļa </w:t>
      </w:r>
      <w:r w:rsidRPr="005565F8">
        <w:t xml:space="preserve">pieaugums degvielai un alkoholiskajiem dzērieniem; </w:t>
      </w:r>
    </w:p>
    <w:p w:rsidR="00054F1E" w:rsidRPr="005565F8" w:rsidP="00735883" w14:paraId="6A76462C" w14:textId="77777777">
      <w:pPr>
        <w:pStyle w:val="ListParagraph"/>
        <w:numPr>
          <w:ilvl w:val="0"/>
          <w:numId w:val="22"/>
        </w:numPr>
        <w:spacing w:after="60"/>
        <w:ind w:left="284" w:hanging="284"/>
        <w:contextualSpacing w:val="0"/>
      </w:pPr>
      <w:r w:rsidRPr="005565F8">
        <w:t>Latvijas potenciālā IKP izaugsme vidējā termiņā tiek prognozēta virs 3%, proti, 2018. un 2019.gadā 3,4%, pēc tam pakāpeniski samazinoties līdz 3,2%. Potenciālā IKP pieaugumu negatīvi ietekmē darbaspēka piedāvājuma samazinājums nelabvēlīgo demogrāfijas tendenču dēļ, līdz ar to potenciālā IKP attīstība vidējā termiņā ir atkarīga no investīciju apmēra un kopējās produktivitātes pieauguma.</w:t>
      </w:r>
    </w:p>
    <w:p w:rsidR="00A6672D" w:rsidRPr="005565F8" w:rsidP="00990DC4" w14:paraId="566EF806" w14:textId="77777777">
      <w:pPr>
        <w:spacing w:before="60"/>
        <w:ind w:firstLine="567"/>
      </w:pPr>
    </w:p>
    <w:p w:rsidR="00054F1E" w:rsidRPr="005565F8" w:rsidP="00054F1E" w14:paraId="7A2DE98C" w14:textId="77777777">
      <w:pPr>
        <w:spacing w:before="60"/>
      </w:pPr>
      <w:r w:rsidRPr="005565F8">
        <w:t>Izstrādājot makroekonomisko rādītāju prognozes, F</w:t>
      </w:r>
      <w:r w:rsidRPr="005565F8" w:rsidR="00A62075">
        <w:t>inanšu ministrija</w:t>
      </w:r>
      <w:r w:rsidRPr="005565F8">
        <w:t xml:space="preserve"> ir konsultējusies ar Latvijas Bankas un Ekonomikas ministrijas, kā arī Eiropas Komisijas un Starptautiskā Valūtas fonda ekspertiem. Makroekonomisko rādītāju prognozes ir </w:t>
      </w:r>
      <w:r w:rsidRPr="005565F8">
        <w:t>apstiprinājusi Fiskālās disciplīnas padome, 2018.gada 14.februārī publicējot savu atzinumu.</w:t>
      </w:r>
      <w:r>
        <w:rPr>
          <w:rStyle w:val="FootnoteReference"/>
        </w:rPr>
        <w:footnoteReference w:id="9"/>
      </w:r>
    </w:p>
    <w:p w:rsidR="00054F1E" w:rsidRPr="005565F8" w:rsidP="00054F1E" w14:paraId="4E65AB3A" w14:textId="77777777">
      <w:pPr>
        <w:spacing w:before="60" w:after="60"/>
      </w:pPr>
      <w:r w:rsidRPr="005565F8">
        <w:t xml:space="preserve">Makroekonomisko rādītāju prognozes ir izstrādātas, balstoties uz konservatīviem pieņēmumiem un izvērtējot ārējās un iekšējās vides riskus. Prognožu riski šobrīd ir nedaudz vairāk augšupvērsti, un labvēlīgā ekonomiskā attīstība pasaulē un straujāks iekšēju faktoru izraisīts ekonomiskās aktivitātes pieaugums Latvijā, tajā skaitā aktivizējoties kreditēšanai un uzņēmumiem aktīvāk izmantojot pašu līdzekļus investīcijām, var nodrošināt straujāku IKP pieaugumu nekā paredzēts bāzes prognozēs. </w:t>
      </w:r>
    </w:p>
    <w:p w:rsidR="00A6672D" w:rsidRPr="005565F8" w:rsidP="00054F1E" w14:paraId="2D66A437" w14:textId="77777777">
      <w:pPr>
        <w:sectPr w:rsidSect="003D0310">
          <w:type w:val="continuous"/>
          <w:pgSz w:w="11906" w:h="16838" w:code="9"/>
          <w:pgMar w:top="1134" w:right="1134" w:bottom="1134" w:left="1134" w:header="709" w:footer="709" w:gutter="0"/>
          <w:cols w:num="2" w:space="340"/>
          <w:titlePg/>
          <w:docGrid w:linePitch="360"/>
        </w:sectPr>
      </w:pPr>
      <w:r w:rsidRPr="005565F8">
        <w:t>No otras puses, ekonomikas izaugsmei šobrīd ir arī vairāki nopietni negatīvi riski, tajā skaitā ilgstoši zemais investīciju līmenis tautsaimniecībā, īpaši apstrādes rūpniecībā var būt samazinājis Latvijas ekonomikas izaugsmes potenciālu. Vienlaikus darbspējas vecuma iedzīvotāju skaita samazināšanās rada spriedzi darba tirgū un stimulē tālāku darba samaksas kāpumu, kas, ilgstoši pārsniedzot produktivitātes pieaugumu, var negatīvi ietekmēt Latvijas ārējo konkurētspēju. Tāpat kā ārējie negatīvie riski saglabājas ģeopolitiskā nestabilitāte, kā arī politiskā nenoteiktība un augstais svār</w:t>
      </w:r>
      <w:r w:rsidRPr="005565F8" w:rsidR="002C7DCF">
        <w:t>stīgums pasaules finanšu tirgos</w:t>
      </w:r>
    </w:p>
    <w:p w:rsidR="008F2EE4" w:rsidRPr="005565F8" w:rsidP="000D6A32" w14:paraId="55B6AB25" w14:textId="77777777">
      <w:pPr>
        <w:pStyle w:val="Heading1"/>
      </w:pPr>
      <w:bookmarkStart w:id="12" w:name="_Toc510687736"/>
      <w:bookmarkStart w:id="13" w:name="_Toc256000003"/>
      <w:bookmarkStart w:id="14" w:name="_Toc256000038"/>
      <w:r w:rsidRPr="005565F8">
        <w:t xml:space="preserve">2. </w:t>
      </w:r>
      <w:r w:rsidRPr="005565F8" w:rsidR="00263F5F">
        <w:t>ES Padomes rekomendāciju izpilde</w:t>
      </w:r>
      <w:bookmarkEnd w:id="14"/>
      <w:bookmarkEnd w:id="13"/>
      <w:bookmarkEnd w:id="12"/>
    </w:p>
    <w:p w:rsidR="00DF16EA" w:rsidRPr="005565F8" w:rsidP="00B45174" w14:paraId="5BD08A20" w14:textId="77777777">
      <w:pPr>
        <w:pStyle w:val="Heading2"/>
        <w:pBdr>
          <w:bottom w:val="single" w:sz="24" w:space="1" w:color="228B9D"/>
        </w:pBdr>
      </w:pPr>
      <w:bookmarkStart w:id="15" w:name="_Toc510687737"/>
      <w:bookmarkStart w:id="16" w:name="_Toc256000004"/>
      <w:bookmarkStart w:id="17" w:name="_Toc256000039"/>
      <w:r w:rsidRPr="005565F8">
        <w:t xml:space="preserve">2.1. </w:t>
      </w:r>
      <w:r w:rsidRPr="005565F8" w:rsidR="004F21F5">
        <w:t>Fiskālā politika</w:t>
      </w:r>
      <w:bookmarkEnd w:id="17"/>
      <w:bookmarkEnd w:id="16"/>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9" w:themeFill="accent6" w:themeFillShade="BF"/>
        <w:tblLook w:val="04A0"/>
      </w:tblPr>
      <w:tblGrid>
        <w:gridCol w:w="9628"/>
      </w:tblGrid>
      <w:tr w14:paraId="1161D4E1" w14:textId="77777777" w:rsidTr="00A618A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9" w:themeFill="accent6" w:themeFillShade="BF"/>
          <w:tblLook w:val="04A0"/>
        </w:tblPrEx>
        <w:tc>
          <w:tcPr>
            <w:tcW w:w="9628" w:type="dxa"/>
            <w:shd w:val="clear" w:color="auto" w:fill="CF8646"/>
          </w:tcPr>
          <w:p w:rsidR="005E0C8D" w:rsidRPr="005565F8" w:rsidP="005E0C8D" w14:paraId="6A4FC5BD" w14:textId="77777777">
            <w:pPr>
              <w:spacing w:before="240" w:after="240"/>
              <w:ind w:left="227" w:right="227"/>
              <w:rPr>
                <w:rFonts w:ascii="Calibri Light" w:hAnsi="Calibri Light"/>
                <w:caps/>
                <w:color w:val="FFFFFF" w:themeColor="background1"/>
                <w:sz w:val="18"/>
                <w:szCs w:val="18"/>
              </w:rPr>
            </w:pPr>
            <w:r w:rsidRPr="005565F8">
              <w:rPr>
                <w:rFonts w:ascii="Calibri Light" w:hAnsi="Calibri Light"/>
                <w:caps/>
                <w:color w:val="FFFFFF" w:themeColor="background1"/>
                <w:sz w:val="18"/>
                <w:szCs w:val="18"/>
              </w:rPr>
              <w:t>Īstenot fiskālo politiku atbilstoši Stabilitātes un izaugsmes pakta preventīvās daļas prasībām, kas nozīmē 2018. gadā sasniegt savu vidējā termiņa budžeta mērķi, ņemot vērā pielaides saistībā ar sistēmiskās pensiju reformas un strukturālo reformu īstenošanu, attiecībā uz kurām ir piešķirta pagaidu novirze. Samazināt nodokļus zema atalgojuma saņēmējiem, novirzot nodokļus uz citiem avotiem, kas ir mazāk kaitējoši izaugsmei, un uzlabojot nodokļu saistību izpildi.</w:t>
            </w:r>
          </w:p>
        </w:tc>
      </w:tr>
    </w:tbl>
    <w:p w:rsidR="00EF12F2" w:rsidRPr="005565F8" w:rsidP="00EF12F2" w14:paraId="713080D2" w14:textId="77777777"/>
    <w:p w:rsidR="00EF12F2" w:rsidRPr="005565F8" w:rsidP="004F21F5" w14:paraId="6CCAE442" w14:textId="77777777">
      <w:pPr>
        <w:ind w:firstLine="567"/>
        <w:rPr>
          <w:b/>
        </w:rPr>
        <w:sectPr w:rsidSect="003D0310">
          <w:type w:val="continuous"/>
          <w:pgSz w:w="11906" w:h="16838" w:code="9"/>
          <w:pgMar w:top="1134" w:right="1134" w:bottom="1134" w:left="1134" w:header="709" w:footer="709" w:gutter="0"/>
          <w:cols w:space="708"/>
          <w:titlePg/>
          <w:docGrid w:linePitch="360"/>
        </w:sectPr>
      </w:pPr>
      <w:bookmarkStart w:id="18" w:name="_Toc318881788"/>
    </w:p>
    <w:p w:rsidR="004F21F5" w:rsidRPr="005565F8" w:rsidP="00EF12F2" w14:paraId="3EA3AE70" w14:textId="77777777">
      <w:pPr>
        <w:spacing w:before="120"/>
        <w:rPr>
          <w:color w:val="000000" w:themeColor="text1"/>
        </w:rPr>
      </w:pPr>
      <w:r w:rsidRPr="005565F8">
        <w:t>Izstrādājot 2018.</w:t>
      </w:r>
      <w:r w:rsidRPr="005565F8" w:rsidR="00500523">
        <w:t> </w:t>
      </w:r>
      <w:r w:rsidRPr="005565F8">
        <w:t>gada valsts budžetu, vispārējās valdības budžeta strukturālās bilances mērķi tika definēti saskaņā ar pieeju, kas pēdējo gadu paredz nobīdes no vidēja termiņa budžeta mērķa (VTM) saistībā ar iemaksu palielināšanu 2.</w:t>
      </w:r>
      <w:r w:rsidRPr="005565F8" w:rsidR="00500523">
        <w:t> </w:t>
      </w:r>
      <w:r w:rsidRPr="005565F8">
        <w:t xml:space="preserve">pensiju līmenī (līdz 6%). </w:t>
      </w:r>
      <w:r w:rsidRPr="005565F8">
        <w:rPr>
          <w:rFonts w:eastAsiaTheme="minorHAnsi"/>
        </w:rPr>
        <w:t xml:space="preserve">Papildus tam, sagatavojot </w:t>
      </w:r>
      <w:r w:rsidRPr="005565F8">
        <w:rPr>
          <w:rFonts w:eastAsiaTheme="minorHAnsi"/>
          <w:i/>
        </w:rPr>
        <w:t>Latvijas Stabilitātes programmu 2017.-2020.gadam</w:t>
      </w:r>
      <w:r w:rsidRPr="005565F8">
        <w:rPr>
          <w:rFonts w:eastAsiaTheme="minorHAnsi"/>
        </w:rPr>
        <w:t xml:space="preserve">, Latvija atkārtoti pieteica veselības sistēmas reformu, kuru Eiropas Komisija atzina par </w:t>
      </w:r>
      <w:r w:rsidRPr="005565F8">
        <w:t>pamatotu, kas tādējādi ļāva kvalificēties papildu atkāpei no VTM 2018.</w:t>
      </w:r>
      <w:r w:rsidRPr="005565F8" w:rsidR="00500523">
        <w:t> </w:t>
      </w:r>
      <w:r w:rsidRPr="005565F8">
        <w:t>gadā 0,4% no IKP apmērā.</w:t>
      </w:r>
      <w:r w:rsidRPr="005565F8">
        <w:rPr>
          <w:color w:val="000000" w:themeColor="text1"/>
        </w:rPr>
        <w:t xml:space="preserve"> Ņemot vērā pieļaujamās atkāpes, likumā </w:t>
      </w:r>
      <w:r w:rsidRPr="005565F8">
        <w:rPr>
          <w:i/>
          <w:color w:val="000000" w:themeColor="text1"/>
        </w:rPr>
        <w:t>“Par vidēja termiņa budžeta ietvaru 2018., 2019. un 2020.</w:t>
      </w:r>
      <w:r w:rsidRPr="005565F8" w:rsidR="00500523">
        <w:rPr>
          <w:i/>
          <w:color w:val="000000" w:themeColor="text1"/>
        </w:rPr>
        <w:t> </w:t>
      </w:r>
      <w:r w:rsidRPr="005565F8">
        <w:rPr>
          <w:i/>
          <w:color w:val="000000" w:themeColor="text1"/>
        </w:rPr>
        <w:t>gadam”</w:t>
      </w:r>
      <w:r w:rsidRPr="005565F8">
        <w:rPr>
          <w:color w:val="000000" w:themeColor="text1"/>
        </w:rPr>
        <w:t xml:space="preserve"> vispārējas valdības budžeta strukturālā deficīta mērķis 2018.</w:t>
      </w:r>
      <w:r w:rsidRPr="005565F8" w:rsidR="00500523">
        <w:rPr>
          <w:color w:val="000000" w:themeColor="text1"/>
        </w:rPr>
        <w:t> </w:t>
      </w:r>
      <w:r w:rsidRPr="005565F8">
        <w:rPr>
          <w:color w:val="000000" w:themeColor="text1"/>
        </w:rPr>
        <w:t>gadam tika noteikts 1,19% no IKP.</w:t>
      </w:r>
    </w:p>
    <w:p w:rsidR="004F21F5" w:rsidRPr="005565F8" w:rsidP="00EF12F2" w14:paraId="2867DF46" w14:textId="77777777">
      <w:pPr>
        <w:spacing w:before="120"/>
      </w:pPr>
      <w:r w:rsidRPr="005565F8">
        <w:t>Saeima 2017.</w:t>
      </w:r>
      <w:r w:rsidRPr="005565F8" w:rsidR="00500523">
        <w:t> </w:t>
      </w:r>
      <w:r w:rsidRPr="005565F8">
        <w:t>gada jūlijā apstiprināja plašu nodokļu reformu, kas stājās spēkā no 2018.</w:t>
      </w:r>
      <w:r w:rsidRPr="005565F8" w:rsidR="00500523">
        <w:t> </w:t>
      </w:r>
      <w:r w:rsidRPr="005565F8">
        <w:t>gada 1.</w:t>
      </w:r>
      <w:r w:rsidRPr="005565F8" w:rsidR="00500523">
        <w:t> </w:t>
      </w:r>
      <w:r w:rsidRPr="005565F8">
        <w:t>janvāra (turpmāk – Nodokļu reforma). Nodokļu reformas mērķis ir nodrošināt stabilu un prognozējamu nodokļu politiku vismaz līdz 2021.</w:t>
      </w:r>
      <w:r w:rsidRPr="005565F8" w:rsidR="00500523">
        <w:t> </w:t>
      </w:r>
      <w:r w:rsidRPr="005565F8">
        <w:t xml:space="preserve">gadam, kas vērsta uz tautsaimniecības izaugsmi un iedzīvotāju labklājības celšanu, t.sk., ienākumu nevienlīdzības mazināšanu, vienlaikus nodrošinot pietiekamus, paredzamus un kvalitatīvus nodokļu ieņēmumus valsts un pašvaldību funkciju finansēšanai, novirzot </w:t>
      </w:r>
      <w:r w:rsidRPr="005565F8">
        <w:t xml:space="preserve">nodokļu slogu no darbaspēka uz patēriņa, vides un īpašuma nodokļiem. </w:t>
      </w:r>
    </w:p>
    <w:p w:rsidR="004F21F5" w:rsidRPr="005565F8" w:rsidP="00EF12F2" w14:paraId="33ED3914" w14:textId="77777777">
      <w:pPr>
        <w:spacing w:before="120"/>
        <w:rPr>
          <w:i/>
        </w:rPr>
      </w:pPr>
      <w:r w:rsidRPr="005565F8">
        <w:t xml:space="preserve">Būtiskākie Nodokļu reformas ietvaros īstenotie pasākumi ir vērsti uz darbaspēka nodokļu sloga samazināšanu, ienākumu palielināšanu strādājošiem ar zemiem ienākumiem un ģimenēm ar bērniem. Tā rezultātā darbaspēka nodokļu slogs ievērojami tiek samazināts līdz 2020.gadam. Nodokļu sloga samazinājums ir izteiktāks zemo algu saņēmējiem un ģimenēm ar bērniem, jo nodokļu reformas uzmanības centrā ir tieši šīs cilvēku grupas. Tā piemēram, strādājošam bez apgādībā esošām personām, kurš saņem 67% no vidējās darba algas, darba spēka nodokļu </w:t>
      </w:r>
      <w:r w:rsidRPr="005565F8" w:rsidR="00ED5B42">
        <w:t>slogs</w:t>
      </w:r>
      <w:r>
        <w:rPr>
          <w:rStyle w:val="FootnoteReference"/>
        </w:rPr>
        <w:footnoteReference w:id="10"/>
      </w:r>
      <w:r w:rsidRPr="005565F8">
        <w:t xml:space="preserve"> samazināsies no 41,8% 2016.</w:t>
      </w:r>
      <w:r w:rsidRPr="005565F8" w:rsidR="00500523">
        <w:t> </w:t>
      </w:r>
      <w:r w:rsidRPr="005565F8">
        <w:t>gadā uz 39,1% 2020.</w:t>
      </w:r>
      <w:r w:rsidRPr="005565F8" w:rsidR="00500523">
        <w:t> </w:t>
      </w:r>
      <w:r w:rsidRPr="005565F8">
        <w:t>gadā. Savukārt, strādājošam ar vienu apgādībā esošu personu, kurš saņem 67% no vidējās darba algas, darba spēka nodokļu plaisa samazināsies no 36,2% 2016.</w:t>
      </w:r>
      <w:r w:rsidRPr="005565F8" w:rsidR="00500523">
        <w:t> </w:t>
      </w:r>
      <w:r w:rsidRPr="005565F8">
        <w:t>gadā uz 33,5% 2020.</w:t>
      </w:r>
      <w:r w:rsidRPr="005565F8" w:rsidR="00500523">
        <w:t> </w:t>
      </w:r>
      <w:r w:rsidRPr="005565F8">
        <w:t>gadā (v</w:t>
      </w:r>
      <w:r w:rsidRPr="005565F8">
        <w:rPr>
          <w:i/>
        </w:rPr>
        <w:t>airāk darba spēka nodokļu plaisas izmaiņu radītājus skatīt 3.5.1.</w:t>
      </w:r>
      <w:r w:rsidRPr="005565F8" w:rsidR="004747D0">
        <w:rPr>
          <w:i/>
        </w:rPr>
        <w:t> </w:t>
      </w:r>
      <w:r w:rsidRPr="005565F8">
        <w:rPr>
          <w:i/>
        </w:rPr>
        <w:t>nodaļā).</w:t>
      </w:r>
    </w:p>
    <w:p w:rsidR="004F21F5" w:rsidRPr="005565F8" w:rsidP="00EF12F2" w14:paraId="2EB37408" w14:textId="037BECFF">
      <w:r>
        <w:br w:type="column"/>
      </w:r>
      <w:r w:rsidRPr="005565F8">
        <w:t>Nodokļu reformas ietvaros ar 2018.</w:t>
      </w:r>
      <w:r w:rsidRPr="005565F8" w:rsidR="004747D0">
        <w:t> </w:t>
      </w:r>
      <w:r w:rsidRPr="005565F8">
        <w:t>gadu tiek ieviestas būtiskas izmaiņas darba spēka nodokļos, ar kurām tiek veicināta ienākumu nevienlīdzības mazināšana:</w:t>
      </w:r>
    </w:p>
    <w:p w:rsidR="004F21F5" w:rsidRPr="005565F8" w:rsidP="00735883" w14:paraId="3577207D" w14:textId="77777777">
      <w:pPr>
        <w:pStyle w:val="ListParagraph"/>
        <w:numPr>
          <w:ilvl w:val="0"/>
          <w:numId w:val="35"/>
        </w:numPr>
        <w:spacing w:after="60"/>
        <w:ind w:left="284" w:hanging="284"/>
        <w:contextualSpacing w:val="0"/>
        <w:rPr>
          <w:szCs w:val="20"/>
        </w:rPr>
      </w:pPr>
      <w:r w:rsidRPr="005565F8">
        <w:t>ir paaugstināta minimālā mēneša darba alga no 380</w:t>
      </w:r>
      <w:r w:rsidRPr="005565F8" w:rsidR="004747D0">
        <w:t> </w:t>
      </w:r>
      <w:r w:rsidRPr="005565F8" w:rsidR="004747D0">
        <w:rPr>
          <w:szCs w:val="20"/>
        </w:rPr>
        <w:t>EUR</w:t>
      </w:r>
      <w:r w:rsidRPr="005565F8">
        <w:rPr>
          <w:szCs w:val="20"/>
        </w:rPr>
        <w:t xml:space="preserve"> (2017.</w:t>
      </w:r>
      <w:r w:rsidRPr="005565F8" w:rsidR="004747D0">
        <w:rPr>
          <w:szCs w:val="20"/>
        </w:rPr>
        <w:t> </w:t>
      </w:r>
      <w:r w:rsidRPr="005565F8">
        <w:rPr>
          <w:szCs w:val="20"/>
        </w:rPr>
        <w:t>gadā) līdz 430</w:t>
      </w:r>
      <w:r w:rsidRPr="005565F8" w:rsidR="004747D0">
        <w:rPr>
          <w:szCs w:val="20"/>
        </w:rPr>
        <w:t> EUR</w:t>
      </w:r>
      <w:r w:rsidRPr="005565F8">
        <w:rPr>
          <w:szCs w:val="20"/>
        </w:rPr>
        <w:t>;</w:t>
      </w:r>
    </w:p>
    <w:p w:rsidR="004F21F5" w:rsidRPr="005565F8" w:rsidP="00735883" w14:paraId="36261D20" w14:textId="77777777">
      <w:pPr>
        <w:pStyle w:val="FootnoteText"/>
        <w:numPr>
          <w:ilvl w:val="0"/>
          <w:numId w:val="35"/>
        </w:numPr>
        <w:spacing w:after="60"/>
        <w:ind w:left="284" w:hanging="284"/>
        <w:rPr>
          <w:noProof/>
          <w:lang w:eastAsia="lv-LV"/>
        </w:rPr>
      </w:pPr>
      <w:r w:rsidRPr="005565F8">
        <w:t>ieviesta progresīva iedzīvotāju ienākuma nodokļa (turpmāk – IIN) sistēma, kur ienākumiem līdz 20</w:t>
      </w:r>
      <w:r w:rsidRPr="005565F8" w:rsidR="004747D0">
        <w:t> </w:t>
      </w:r>
      <w:r w:rsidRPr="005565F8">
        <w:t>004</w:t>
      </w:r>
      <w:r w:rsidRPr="005565F8" w:rsidR="004747D0">
        <w:t xml:space="preserve"> EUR </w:t>
      </w:r>
      <w:r w:rsidRPr="005565F8">
        <w:t>gadā IIN likme ir samazināta līdz 20%, ienākumiem no 20</w:t>
      </w:r>
      <w:r w:rsidRPr="005565F8" w:rsidR="004747D0">
        <w:t> </w:t>
      </w:r>
      <w:r w:rsidRPr="005565F8">
        <w:t>004,01</w:t>
      </w:r>
      <w:r w:rsidRPr="005565F8" w:rsidR="004747D0">
        <w:t> EUR</w:t>
      </w:r>
      <w:r w:rsidRPr="005565F8">
        <w:t xml:space="preserve"> līdz 55</w:t>
      </w:r>
      <w:r w:rsidRPr="005565F8" w:rsidR="004747D0">
        <w:t> </w:t>
      </w:r>
      <w:r w:rsidRPr="005565F8" w:rsidR="00975ADA">
        <w:t>tūkst.</w:t>
      </w:r>
      <w:r w:rsidRPr="005565F8" w:rsidR="004747D0">
        <w:t> EUR</w:t>
      </w:r>
      <w:r w:rsidRPr="005565F8">
        <w:t xml:space="preserve"> gadā saglabājas likme – 23%, bet ienākumiem virs 55 </w:t>
      </w:r>
      <w:r w:rsidRPr="005565F8" w:rsidR="00975ADA">
        <w:t>tūkst.</w:t>
      </w:r>
      <w:r w:rsidRPr="005565F8" w:rsidR="004747D0">
        <w:t> EUR</w:t>
      </w:r>
      <w:r w:rsidRPr="005565F8">
        <w:t xml:space="preserve"> gadā likme ir 31,4%.</w:t>
      </w:r>
    </w:p>
    <w:p w:rsidR="004F21F5" w:rsidRPr="005565F8" w:rsidP="00735883" w14:paraId="6F381390" w14:textId="77777777">
      <w:pPr>
        <w:pStyle w:val="ListParagraph"/>
        <w:numPr>
          <w:ilvl w:val="0"/>
          <w:numId w:val="35"/>
        </w:numPr>
        <w:spacing w:after="60"/>
        <w:ind w:left="284" w:hanging="284"/>
        <w:contextualSpacing w:val="0"/>
        <w:rPr>
          <w:noProof/>
          <w:lang w:eastAsia="lv-LV"/>
        </w:rPr>
      </w:pPr>
      <w:r w:rsidRPr="005565F8">
        <w:rPr>
          <w:bCs/>
          <w:szCs w:val="20"/>
          <w:lang w:eastAsia="lv-LV"/>
        </w:rPr>
        <w:t>tiek paaugstināts diferencētais neapliekamais minimums – ienākumiem līdz 440</w:t>
      </w:r>
      <w:r w:rsidRPr="005565F8" w:rsidR="004747D0">
        <w:rPr>
          <w:bCs/>
          <w:szCs w:val="20"/>
          <w:lang w:eastAsia="lv-LV"/>
        </w:rPr>
        <w:t> EUR</w:t>
      </w:r>
      <w:r w:rsidRPr="005565F8">
        <w:rPr>
          <w:bCs/>
          <w:szCs w:val="20"/>
          <w:lang w:eastAsia="lv-LV"/>
        </w:rPr>
        <w:t xml:space="preserve"> mēnesī – neapliekamais minimums 2018.</w:t>
      </w:r>
      <w:r w:rsidRPr="005565F8" w:rsidR="004747D0">
        <w:rPr>
          <w:bCs/>
          <w:szCs w:val="20"/>
          <w:lang w:eastAsia="lv-LV"/>
        </w:rPr>
        <w:t> </w:t>
      </w:r>
      <w:r w:rsidRPr="005565F8">
        <w:rPr>
          <w:bCs/>
          <w:szCs w:val="20"/>
          <w:lang w:eastAsia="lv-LV"/>
        </w:rPr>
        <w:t>gadā ir 200</w:t>
      </w:r>
      <w:r w:rsidRPr="005565F8" w:rsidR="004747D0">
        <w:rPr>
          <w:bCs/>
          <w:szCs w:val="20"/>
          <w:lang w:eastAsia="lv-LV"/>
        </w:rPr>
        <w:t> EUR</w:t>
      </w:r>
      <w:r w:rsidRPr="005565F8">
        <w:rPr>
          <w:bCs/>
          <w:szCs w:val="20"/>
          <w:lang w:eastAsia="lv-LV"/>
        </w:rPr>
        <w:t xml:space="preserve"> mēnesī (2019.</w:t>
      </w:r>
      <w:r w:rsidRPr="005565F8" w:rsidR="004747D0">
        <w:rPr>
          <w:bCs/>
          <w:szCs w:val="20"/>
          <w:lang w:eastAsia="lv-LV"/>
        </w:rPr>
        <w:t> </w:t>
      </w:r>
      <w:r w:rsidRPr="005565F8">
        <w:rPr>
          <w:bCs/>
          <w:szCs w:val="20"/>
          <w:lang w:eastAsia="lv-LV"/>
        </w:rPr>
        <w:t xml:space="preserve">gadā </w:t>
      </w:r>
      <w:r w:rsidRPr="005565F8" w:rsidR="004747D0">
        <w:rPr>
          <w:bCs/>
          <w:szCs w:val="20"/>
          <w:lang w:eastAsia="lv-LV"/>
        </w:rPr>
        <w:t>–</w:t>
      </w:r>
      <w:r w:rsidRPr="005565F8">
        <w:rPr>
          <w:bCs/>
          <w:szCs w:val="20"/>
          <w:lang w:eastAsia="lv-LV"/>
        </w:rPr>
        <w:t xml:space="preserve"> 230</w:t>
      </w:r>
      <w:r w:rsidRPr="005565F8" w:rsidR="004747D0">
        <w:rPr>
          <w:bCs/>
          <w:szCs w:val="20"/>
          <w:lang w:eastAsia="lv-LV"/>
        </w:rPr>
        <w:t> EUR</w:t>
      </w:r>
      <w:r w:rsidRPr="005565F8">
        <w:rPr>
          <w:bCs/>
          <w:szCs w:val="20"/>
          <w:lang w:eastAsia="lv-LV"/>
        </w:rPr>
        <w:t>, 2020.</w:t>
      </w:r>
      <w:r w:rsidRPr="005565F8" w:rsidR="004747D0">
        <w:rPr>
          <w:bCs/>
          <w:szCs w:val="20"/>
          <w:lang w:eastAsia="lv-LV"/>
        </w:rPr>
        <w:t> </w:t>
      </w:r>
      <w:r w:rsidRPr="005565F8">
        <w:rPr>
          <w:bCs/>
          <w:szCs w:val="20"/>
          <w:lang w:eastAsia="lv-LV"/>
        </w:rPr>
        <w:t xml:space="preserve">gadā </w:t>
      </w:r>
      <w:r w:rsidRPr="005565F8" w:rsidR="004747D0">
        <w:rPr>
          <w:bCs/>
          <w:szCs w:val="20"/>
          <w:lang w:eastAsia="lv-LV"/>
        </w:rPr>
        <w:t>–</w:t>
      </w:r>
      <w:r w:rsidRPr="005565F8">
        <w:rPr>
          <w:bCs/>
          <w:szCs w:val="20"/>
          <w:lang w:eastAsia="lv-LV"/>
        </w:rPr>
        <w:t xml:space="preserve"> 250</w:t>
      </w:r>
      <w:r w:rsidRPr="005565F8" w:rsidR="004747D0">
        <w:rPr>
          <w:bCs/>
          <w:szCs w:val="20"/>
          <w:lang w:eastAsia="lv-LV"/>
        </w:rPr>
        <w:t> EUR</w:t>
      </w:r>
      <w:r w:rsidRPr="005565F8">
        <w:rPr>
          <w:bCs/>
          <w:szCs w:val="20"/>
          <w:lang w:eastAsia="lv-LV"/>
        </w:rPr>
        <w:t xml:space="preserve"> mēnesī). Savukārt, ienākumiem no 440</w:t>
      </w:r>
      <w:r w:rsidRPr="005565F8" w:rsidR="00975ADA">
        <w:rPr>
          <w:bCs/>
          <w:szCs w:val="20"/>
          <w:lang w:eastAsia="lv-LV"/>
        </w:rPr>
        <w:t xml:space="preserve"> EUR </w:t>
      </w:r>
      <w:r w:rsidRPr="005565F8">
        <w:rPr>
          <w:bCs/>
          <w:szCs w:val="20"/>
          <w:lang w:eastAsia="lv-LV"/>
        </w:rPr>
        <w:t>līdz 1000</w:t>
      </w:r>
      <w:r w:rsidRPr="005565F8" w:rsidR="004747D0">
        <w:rPr>
          <w:bCs/>
          <w:szCs w:val="20"/>
          <w:lang w:eastAsia="lv-LV"/>
        </w:rPr>
        <w:t> EUR</w:t>
      </w:r>
      <w:r w:rsidRPr="005565F8">
        <w:rPr>
          <w:bCs/>
          <w:szCs w:val="20"/>
          <w:lang w:eastAsia="lv-LV"/>
        </w:rPr>
        <w:t xml:space="preserve"> mēnesī (2019.</w:t>
      </w:r>
      <w:r w:rsidRPr="005565F8" w:rsidR="004747D0">
        <w:rPr>
          <w:bCs/>
          <w:szCs w:val="20"/>
          <w:lang w:eastAsia="lv-LV"/>
        </w:rPr>
        <w:t> </w:t>
      </w:r>
      <w:r w:rsidRPr="005565F8">
        <w:rPr>
          <w:bCs/>
          <w:szCs w:val="20"/>
          <w:lang w:eastAsia="lv-LV"/>
        </w:rPr>
        <w:t>gadā līdz 1100</w:t>
      </w:r>
      <w:r w:rsidRPr="005565F8" w:rsidR="004747D0">
        <w:rPr>
          <w:bCs/>
          <w:szCs w:val="20"/>
          <w:lang w:eastAsia="lv-LV"/>
        </w:rPr>
        <w:t> EUR</w:t>
      </w:r>
      <w:r w:rsidRPr="005565F8">
        <w:rPr>
          <w:bCs/>
          <w:i/>
          <w:szCs w:val="20"/>
          <w:lang w:eastAsia="lv-LV"/>
        </w:rPr>
        <w:t>,</w:t>
      </w:r>
      <w:r w:rsidRPr="005565F8">
        <w:rPr>
          <w:bCs/>
          <w:szCs w:val="20"/>
          <w:lang w:eastAsia="lv-LV"/>
        </w:rPr>
        <w:t xml:space="preserve"> 2020.</w:t>
      </w:r>
      <w:r w:rsidRPr="005565F8" w:rsidR="004747D0">
        <w:rPr>
          <w:bCs/>
          <w:szCs w:val="20"/>
          <w:lang w:eastAsia="lv-LV"/>
        </w:rPr>
        <w:t> </w:t>
      </w:r>
      <w:r w:rsidRPr="005565F8">
        <w:rPr>
          <w:bCs/>
          <w:szCs w:val="20"/>
          <w:lang w:eastAsia="lv-LV"/>
        </w:rPr>
        <w:t>gadā</w:t>
      </w:r>
      <w:r w:rsidRPr="005565F8">
        <w:rPr>
          <w:bCs/>
          <w:lang w:eastAsia="lv-LV"/>
        </w:rPr>
        <w:t xml:space="preserve"> līdz 1200</w:t>
      </w:r>
      <w:r w:rsidRPr="005565F8" w:rsidR="004747D0">
        <w:rPr>
          <w:bCs/>
          <w:lang w:eastAsia="lv-LV"/>
        </w:rPr>
        <w:t> EUR</w:t>
      </w:r>
      <w:r w:rsidRPr="005565F8">
        <w:rPr>
          <w:bCs/>
          <w:lang w:eastAsia="lv-LV"/>
        </w:rPr>
        <w:t xml:space="preserve"> mēnesī) neapliekamais minimums, kas aprēķināts atbilstoši formulai, pakāpeniski samazinās līdz pie ienākumiem virs 1000</w:t>
      </w:r>
      <w:r w:rsidRPr="005565F8" w:rsidR="004747D0">
        <w:rPr>
          <w:bCs/>
          <w:lang w:eastAsia="lv-LV"/>
        </w:rPr>
        <w:t> EUR</w:t>
      </w:r>
      <w:r w:rsidRPr="005565F8">
        <w:rPr>
          <w:bCs/>
          <w:lang w:eastAsia="lv-LV"/>
        </w:rPr>
        <w:t xml:space="preserve"> mēnesī (2019.</w:t>
      </w:r>
      <w:r w:rsidRPr="005565F8" w:rsidR="004747D0">
        <w:rPr>
          <w:bCs/>
          <w:lang w:eastAsia="lv-LV"/>
        </w:rPr>
        <w:t> </w:t>
      </w:r>
      <w:r w:rsidRPr="005565F8">
        <w:rPr>
          <w:bCs/>
          <w:lang w:eastAsia="lv-LV"/>
        </w:rPr>
        <w:t>gadā virs 1100</w:t>
      </w:r>
      <w:r w:rsidRPr="005565F8" w:rsidR="004747D0">
        <w:rPr>
          <w:bCs/>
          <w:lang w:eastAsia="lv-LV"/>
        </w:rPr>
        <w:t> EUR</w:t>
      </w:r>
      <w:r w:rsidRPr="005565F8">
        <w:rPr>
          <w:bCs/>
          <w:i/>
          <w:lang w:eastAsia="lv-LV"/>
        </w:rPr>
        <w:t>,</w:t>
      </w:r>
      <w:r w:rsidRPr="005565F8">
        <w:rPr>
          <w:bCs/>
          <w:lang w:eastAsia="lv-LV"/>
        </w:rPr>
        <w:t xml:space="preserve"> 2020.</w:t>
      </w:r>
      <w:r w:rsidRPr="005565F8" w:rsidR="004747D0">
        <w:rPr>
          <w:bCs/>
          <w:lang w:eastAsia="lv-LV"/>
        </w:rPr>
        <w:t> </w:t>
      </w:r>
      <w:r w:rsidRPr="005565F8">
        <w:rPr>
          <w:bCs/>
          <w:lang w:eastAsia="lv-LV"/>
        </w:rPr>
        <w:t>gadā virs 1200</w:t>
      </w:r>
      <w:r w:rsidRPr="005565F8" w:rsidR="004747D0">
        <w:rPr>
          <w:bCs/>
          <w:lang w:eastAsia="lv-LV"/>
        </w:rPr>
        <w:t> EUR</w:t>
      </w:r>
      <w:r w:rsidRPr="005565F8">
        <w:rPr>
          <w:bCs/>
          <w:lang w:eastAsia="lv-LV"/>
        </w:rPr>
        <w:t xml:space="preserve"> mēnesī) tas sasniedz 0 un vairs netiek piemērots.</w:t>
      </w:r>
      <w:r w:rsidRPr="005565F8">
        <w:rPr>
          <w:noProof/>
          <w:lang w:eastAsia="lv-LV"/>
        </w:rPr>
        <w:t xml:space="preserve"> Ar 2018.</w:t>
      </w:r>
      <w:r w:rsidRPr="005565F8" w:rsidR="004747D0">
        <w:rPr>
          <w:noProof/>
          <w:lang w:eastAsia="lv-LV"/>
        </w:rPr>
        <w:t> </w:t>
      </w:r>
      <w:r w:rsidRPr="005565F8">
        <w:rPr>
          <w:noProof/>
          <w:lang w:eastAsia="lv-LV"/>
        </w:rPr>
        <w:t>gadu ir mainīts neapliekamā minimuma piemērošanas modelis, paredzot, ka taksācijas gada laikā maksātājam ik mēnesi tiek piemērots VID prognozētais neapliekamais minimums;</w:t>
      </w:r>
    </w:p>
    <w:p w:rsidR="004F21F5" w:rsidRPr="005565F8" w:rsidP="00735883" w14:paraId="55536B54" w14:textId="77777777">
      <w:pPr>
        <w:pStyle w:val="ListParagraph"/>
        <w:numPr>
          <w:ilvl w:val="0"/>
          <w:numId w:val="36"/>
        </w:numPr>
        <w:spacing w:after="60"/>
        <w:ind w:left="284" w:hanging="284"/>
        <w:contextualSpacing w:val="0"/>
        <w:rPr>
          <w:bCs/>
          <w:lang w:eastAsia="lv-LV"/>
        </w:rPr>
      </w:pPr>
      <w:r w:rsidRPr="005565F8">
        <w:rPr>
          <w:bCs/>
          <w:lang w:eastAsia="lv-LV"/>
        </w:rPr>
        <w:t>paaugstināts pensionāra neapliekamais minimums no 235</w:t>
      </w:r>
      <w:r w:rsidRPr="005565F8" w:rsidR="004747D0">
        <w:rPr>
          <w:bCs/>
          <w:lang w:eastAsia="lv-LV"/>
        </w:rPr>
        <w:t> EUR</w:t>
      </w:r>
      <w:r w:rsidRPr="005565F8">
        <w:rPr>
          <w:bCs/>
          <w:lang w:eastAsia="lv-LV"/>
        </w:rPr>
        <w:t xml:space="preserve"> mēnesī 2017.</w:t>
      </w:r>
      <w:r w:rsidRPr="005565F8" w:rsidR="004747D0">
        <w:rPr>
          <w:bCs/>
          <w:lang w:eastAsia="lv-LV"/>
        </w:rPr>
        <w:t> </w:t>
      </w:r>
      <w:r w:rsidRPr="005565F8">
        <w:rPr>
          <w:bCs/>
          <w:lang w:eastAsia="lv-LV"/>
        </w:rPr>
        <w:t>gadā līdz 250</w:t>
      </w:r>
      <w:r w:rsidRPr="005565F8" w:rsidR="004747D0">
        <w:rPr>
          <w:bCs/>
          <w:lang w:eastAsia="lv-LV"/>
        </w:rPr>
        <w:t> EUR</w:t>
      </w:r>
      <w:r w:rsidRPr="005565F8">
        <w:rPr>
          <w:bCs/>
          <w:lang w:eastAsia="lv-LV"/>
        </w:rPr>
        <w:t xml:space="preserve"> mēnesī 2018.</w:t>
      </w:r>
      <w:r w:rsidRPr="005565F8" w:rsidR="004747D0">
        <w:rPr>
          <w:bCs/>
          <w:lang w:eastAsia="lv-LV"/>
        </w:rPr>
        <w:t> </w:t>
      </w:r>
      <w:r w:rsidRPr="005565F8">
        <w:rPr>
          <w:bCs/>
          <w:lang w:eastAsia="lv-LV"/>
        </w:rPr>
        <w:t>gadā, pie tam tas ar katru gadu pieaugs, 2019.</w:t>
      </w:r>
      <w:r w:rsidRPr="005565F8" w:rsidR="004747D0">
        <w:rPr>
          <w:bCs/>
          <w:lang w:eastAsia="lv-LV"/>
        </w:rPr>
        <w:t> </w:t>
      </w:r>
      <w:r w:rsidRPr="005565F8">
        <w:rPr>
          <w:bCs/>
          <w:lang w:eastAsia="lv-LV"/>
        </w:rPr>
        <w:t>gadā sasniedzot 270</w:t>
      </w:r>
      <w:r w:rsidRPr="005565F8" w:rsidR="004747D0">
        <w:rPr>
          <w:bCs/>
          <w:lang w:eastAsia="lv-LV"/>
        </w:rPr>
        <w:t> EUR</w:t>
      </w:r>
      <w:r w:rsidRPr="005565F8">
        <w:rPr>
          <w:bCs/>
          <w:lang w:eastAsia="lv-LV"/>
        </w:rPr>
        <w:t xml:space="preserve"> mēnesī, bet 2020.</w:t>
      </w:r>
      <w:r w:rsidRPr="005565F8" w:rsidR="004747D0">
        <w:rPr>
          <w:bCs/>
          <w:lang w:eastAsia="lv-LV"/>
        </w:rPr>
        <w:t> </w:t>
      </w:r>
      <w:r w:rsidRPr="005565F8">
        <w:rPr>
          <w:bCs/>
          <w:lang w:eastAsia="lv-LV"/>
        </w:rPr>
        <w:t>gadā 300</w:t>
      </w:r>
      <w:r w:rsidRPr="005565F8" w:rsidR="004747D0">
        <w:rPr>
          <w:bCs/>
          <w:lang w:eastAsia="lv-LV"/>
        </w:rPr>
        <w:t> EUR</w:t>
      </w:r>
      <w:r w:rsidRPr="005565F8">
        <w:rPr>
          <w:bCs/>
          <w:lang w:eastAsia="lv-LV"/>
        </w:rPr>
        <w:t xml:space="preserve"> mēnesī;</w:t>
      </w:r>
    </w:p>
    <w:p w:rsidR="004F21F5" w:rsidRPr="005565F8" w:rsidP="00735883" w14:paraId="7C4964A2" w14:textId="77777777">
      <w:pPr>
        <w:pStyle w:val="ListParagraph"/>
        <w:numPr>
          <w:ilvl w:val="0"/>
          <w:numId w:val="36"/>
        </w:numPr>
        <w:spacing w:after="60"/>
        <w:ind w:left="284" w:hanging="284"/>
        <w:contextualSpacing w:val="0"/>
        <w:rPr>
          <w:bCs/>
          <w:lang w:eastAsia="lv-LV"/>
        </w:rPr>
      </w:pPr>
      <w:r w:rsidRPr="005565F8">
        <w:rPr>
          <w:bCs/>
          <w:lang w:eastAsia="lv-LV"/>
        </w:rPr>
        <w:t>paaugstināts atvieglojums par apgādībā esošu personu (no 175</w:t>
      </w:r>
      <w:r w:rsidRPr="005565F8" w:rsidR="004747D0">
        <w:rPr>
          <w:bCs/>
          <w:lang w:eastAsia="lv-LV"/>
        </w:rPr>
        <w:t> EUR</w:t>
      </w:r>
      <w:r w:rsidRPr="005565F8">
        <w:rPr>
          <w:bCs/>
          <w:lang w:eastAsia="lv-LV"/>
        </w:rPr>
        <w:t xml:space="preserve"> 2017.</w:t>
      </w:r>
      <w:r w:rsidRPr="005565F8" w:rsidR="004747D0">
        <w:rPr>
          <w:bCs/>
          <w:lang w:eastAsia="lv-LV"/>
        </w:rPr>
        <w:t> </w:t>
      </w:r>
      <w:r w:rsidRPr="005565F8">
        <w:rPr>
          <w:bCs/>
          <w:lang w:eastAsia="lv-LV"/>
        </w:rPr>
        <w:t>gadā) uz 200</w:t>
      </w:r>
      <w:r w:rsidRPr="005565F8" w:rsidR="009D62DD">
        <w:rPr>
          <w:bCs/>
          <w:lang w:eastAsia="lv-LV"/>
        </w:rPr>
        <w:t xml:space="preserve"> EUR </w:t>
      </w:r>
      <w:r w:rsidRPr="005565F8">
        <w:rPr>
          <w:bCs/>
          <w:lang w:eastAsia="lv-LV"/>
        </w:rPr>
        <w:t>2018.</w:t>
      </w:r>
      <w:r w:rsidRPr="005565F8" w:rsidR="004747D0">
        <w:rPr>
          <w:bCs/>
          <w:lang w:eastAsia="lv-LV"/>
        </w:rPr>
        <w:t> </w:t>
      </w:r>
      <w:r w:rsidRPr="005565F8">
        <w:rPr>
          <w:bCs/>
          <w:lang w:eastAsia="lv-LV"/>
        </w:rPr>
        <w:t>gadā, kas ar katru gadu pieaug, 2019.</w:t>
      </w:r>
      <w:r w:rsidRPr="005565F8" w:rsidR="004747D0">
        <w:rPr>
          <w:bCs/>
          <w:lang w:eastAsia="lv-LV"/>
        </w:rPr>
        <w:t> </w:t>
      </w:r>
      <w:r w:rsidRPr="005565F8">
        <w:rPr>
          <w:bCs/>
          <w:lang w:eastAsia="lv-LV"/>
        </w:rPr>
        <w:t>gadā sasniedzot 230</w:t>
      </w:r>
      <w:r w:rsidRPr="005565F8" w:rsidR="009D62DD">
        <w:rPr>
          <w:bCs/>
          <w:lang w:eastAsia="lv-LV"/>
        </w:rPr>
        <w:t> EUR</w:t>
      </w:r>
      <w:r w:rsidRPr="005565F8">
        <w:rPr>
          <w:bCs/>
          <w:i/>
          <w:lang w:eastAsia="lv-LV"/>
        </w:rPr>
        <w:t xml:space="preserve">, </w:t>
      </w:r>
      <w:r w:rsidRPr="005565F8">
        <w:rPr>
          <w:bCs/>
          <w:lang w:eastAsia="lv-LV"/>
        </w:rPr>
        <w:t>bet 2020.</w:t>
      </w:r>
      <w:r w:rsidRPr="005565F8" w:rsidR="004747D0">
        <w:rPr>
          <w:bCs/>
          <w:lang w:eastAsia="lv-LV"/>
        </w:rPr>
        <w:t> </w:t>
      </w:r>
      <w:r w:rsidRPr="005565F8">
        <w:rPr>
          <w:bCs/>
          <w:lang w:eastAsia="lv-LV"/>
        </w:rPr>
        <w:t>gadā 250</w:t>
      </w:r>
      <w:r w:rsidRPr="005565F8" w:rsidR="009D62DD">
        <w:rPr>
          <w:bCs/>
          <w:lang w:eastAsia="lv-LV"/>
        </w:rPr>
        <w:t> EUR</w:t>
      </w:r>
      <w:r w:rsidRPr="005565F8">
        <w:rPr>
          <w:bCs/>
          <w:lang w:eastAsia="lv-LV"/>
        </w:rPr>
        <w:t xml:space="preserve"> mēnesī par apgādībā esošu personu;</w:t>
      </w:r>
    </w:p>
    <w:p w:rsidR="004F21F5" w:rsidRPr="005565F8" w:rsidP="00735883" w14:paraId="26A68301" w14:textId="77777777">
      <w:pPr>
        <w:pStyle w:val="ListParagraph"/>
        <w:numPr>
          <w:ilvl w:val="0"/>
          <w:numId w:val="36"/>
        </w:numPr>
        <w:spacing w:after="60"/>
        <w:ind w:left="284" w:hanging="284"/>
        <w:contextualSpacing w:val="0"/>
        <w:rPr>
          <w:bCs/>
          <w:lang w:eastAsia="lv-LV"/>
        </w:rPr>
      </w:pPr>
      <w:r w:rsidRPr="005565F8">
        <w:rPr>
          <w:bCs/>
          <w:lang w:eastAsia="lv-LV"/>
        </w:rPr>
        <w:t>paaugstināta valsts sociālās apdrošināšanas obligāto iemaksu likme par 1 procentpunktu (0,5% darba devējam un 0,5% darba ņēmējam), novirzot šos līdzekļus veselības aprūpes nozares finansēšanai;</w:t>
      </w:r>
    </w:p>
    <w:p w:rsidR="004F21F5" w:rsidRPr="005565F8" w:rsidP="00735883" w14:paraId="5CFC836B" w14:textId="77777777">
      <w:pPr>
        <w:pStyle w:val="ListParagraph"/>
        <w:numPr>
          <w:ilvl w:val="0"/>
          <w:numId w:val="36"/>
        </w:numPr>
        <w:spacing w:after="60"/>
        <w:ind w:left="284" w:hanging="284"/>
        <w:contextualSpacing w:val="0"/>
        <w:rPr>
          <w:bCs/>
          <w:lang w:eastAsia="lv-LV"/>
        </w:rPr>
      </w:pPr>
      <w:r w:rsidRPr="005565F8">
        <w:rPr>
          <w:bCs/>
          <w:lang w:eastAsia="lv-LV"/>
        </w:rPr>
        <w:t>reformēts solidaritātes nodoklis, kas ar 2018.</w:t>
      </w:r>
      <w:r w:rsidRPr="005565F8" w:rsidR="004747D0">
        <w:rPr>
          <w:bCs/>
          <w:lang w:eastAsia="lv-LV"/>
        </w:rPr>
        <w:t> </w:t>
      </w:r>
      <w:r w:rsidRPr="005565F8">
        <w:rPr>
          <w:bCs/>
          <w:lang w:eastAsia="lv-LV"/>
        </w:rPr>
        <w:t xml:space="preserve">gadu tiek sadalīts pa maksājumiem speciālajā budžetā veselības finansēšanai (1%), nodokļu maksātāja privātajā pensiju kontā (4%), </w:t>
      </w:r>
      <w:r w:rsidRPr="005565F8">
        <w:rPr>
          <w:bCs/>
          <w:lang w:eastAsia="lv-LV"/>
        </w:rPr>
        <w:t>fondētajā</w:t>
      </w:r>
      <w:r w:rsidRPr="005565F8">
        <w:rPr>
          <w:bCs/>
          <w:lang w:eastAsia="lv-LV"/>
        </w:rPr>
        <w:t xml:space="preserve"> pensiju kontā (6%) un </w:t>
      </w:r>
      <w:r w:rsidRPr="005565F8">
        <w:rPr>
          <w:color w:val="000000" w:themeColor="text1"/>
        </w:rPr>
        <w:t>valsts pensiju speciālā budžeta ieņēmumos (13,59%)</w:t>
      </w:r>
      <w:r w:rsidRPr="005565F8">
        <w:rPr>
          <w:bCs/>
          <w:lang w:eastAsia="lv-LV"/>
        </w:rPr>
        <w:t>, un progresīvā iedzīvotāju ienākuma nodokļa nodrošināšanai (10,5%). 2017.</w:t>
      </w:r>
      <w:r w:rsidRPr="005565F8" w:rsidR="004747D0">
        <w:rPr>
          <w:bCs/>
          <w:lang w:eastAsia="lv-LV"/>
        </w:rPr>
        <w:t> </w:t>
      </w:r>
      <w:r w:rsidRPr="005565F8">
        <w:rPr>
          <w:bCs/>
          <w:lang w:eastAsia="lv-LV"/>
        </w:rPr>
        <w:t>gadā solidaritātes nodoklis tika ieskaitīts tikai valsts pamatbudžetā.</w:t>
      </w:r>
    </w:p>
    <w:p w:rsidR="004F21F5" w:rsidRPr="005565F8" w:rsidP="00735883" w14:paraId="5E4A99B4" w14:textId="77777777">
      <w:pPr>
        <w:pStyle w:val="ListParagraph"/>
        <w:numPr>
          <w:ilvl w:val="0"/>
          <w:numId w:val="36"/>
        </w:numPr>
        <w:spacing w:after="60"/>
        <w:ind w:left="284" w:hanging="284"/>
        <w:contextualSpacing w:val="0"/>
        <w:rPr>
          <w:bCs/>
          <w:lang w:eastAsia="lv-LV"/>
        </w:rPr>
      </w:pPr>
      <w:r w:rsidRPr="005565F8">
        <w:rPr>
          <w:bCs/>
          <w:lang w:eastAsia="lv-LV"/>
        </w:rPr>
        <w:t xml:space="preserve">veikta UIN reforma, nosakot, ka UIN tiek maksāts peļņas sadales brīdī, piemērojot 20% likmi (t.i., izmaksām, kas netiek investētas uzņēmuma attīstībā, t.sk., dividendēm, ar saimniecisko darbību nesaistītajiem izdevumiem, reprezentācijas izmaksām, kas pārsniedz noteikto </w:t>
      </w:r>
      <w:r w:rsidRPr="005565F8">
        <w:rPr>
          <w:bCs/>
          <w:lang w:eastAsia="lv-LV"/>
        </w:rPr>
        <w:t>apmēru, u.c.). 2017.</w:t>
      </w:r>
      <w:r w:rsidRPr="005565F8" w:rsidR="004747D0">
        <w:rPr>
          <w:bCs/>
          <w:lang w:eastAsia="lv-LV"/>
        </w:rPr>
        <w:t> </w:t>
      </w:r>
      <w:r w:rsidRPr="005565F8">
        <w:rPr>
          <w:bCs/>
          <w:lang w:eastAsia="lv-LV"/>
        </w:rPr>
        <w:t>gadā UIN likme bija 15%, ko piemēroja ar nodokli apliekamajam ienākumam.</w:t>
      </w:r>
    </w:p>
    <w:p w:rsidR="00EC37AB" w:rsidRPr="005565F8" w:rsidP="00EC37AB" w14:paraId="6EF77590" w14:textId="77777777">
      <w:pPr>
        <w:rPr>
          <w:bCs/>
        </w:rPr>
      </w:pPr>
    </w:p>
    <w:p w:rsidR="004F21F5" w:rsidRPr="005565F8" w:rsidP="00EC37AB" w14:paraId="26661A16" w14:textId="77777777">
      <w:pPr>
        <w:rPr>
          <w:bCs/>
        </w:rPr>
      </w:pPr>
      <w:r w:rsidRPr="005565F8">
        <w:rPr>
          <w:bCs/>
        </w:rPr>
        <w:t>Lai nodrošinātu reformas pasākumu ieviešanu, vienlaikus tiek īstenoti kompensējošie pasākumi, kuru mērķis ir palielināt nodokļ</w:t>
      </w:r>
      <w:r w:rsidRPr="005565F8" w:rsidR="004A47D9">
        <w:rPr>
          <w:bCs/>
        </w:rPr>
        <w:t>u</w:t>
      </w:r>
      <w:r w:rsidRPr="005565F8">
        <w:rPr>
          <w:bCs/>
        </w:rPr>
        <w:t xml:space="preserve"> ieņēmumus, pārvirzot tos no darbaspēka nodokļiem uz patēriņa un kapitāla nodokļiem:</w:t>
      </w:r>
    </w:p>
    <w:p w:rsidR="004F21F5" w:rsidRPr="005565F8" w:rsidP="00735883" w14:paraId="360392BD" w14:textId="77777777">
      <w:pPr>
        <w:pStyle w:val="ListParagraph"/>
        <w:numPr>
          <w:ilvl w:val="0"/>
          <w:numId w:val="37"/>
        </w:numPr>
        <w:spacing w:after="60"/>
        <w:ind w:left="284" w:hanging="284"/>
        <w:contextualSpacing w:val="0"/>
        <w:rPr>
          <w:bCs/>
          <w:lang w:eastAsia="lv-LV"/>
        </w:rPr>
      </w:pPr>
      <w:r w:rsidRPr="005565F8">
        <w:rPr>
          <w:bCs/>
          <w:lang w:eastAsia="lv-LV"/>
        </w:rPr>
        <w:t xml:space="preserve">paaugstināts akcīzes nodoklis degvielai, alkoholiskajiem dzērieniem un tabakas izstrādājumiem, nosakot </w:t>
      </w:r>
      <w:r w:rsidRPr="005565F8">
        <w:rPr>
          <w:bCs/>
        </w:rPr>
        <w:t>pakāpenisku likmju paaugstināšanas grafiku līdz 2020.</w:t>
      </w:r>
      <w:r w:rsidRPr="005565F8" w:rsidR="004747D0">
        <w:rPr>
          <w:bCs/>
        </w:rPr>
        <w:t> </w:t>
      </w:r>
      <w:r w:rsidRPr="005565F8">
        <w:rPr>
          <w:bCs/>
        </w:rPr>
        <w:t>gadam;</w:t>
      </w:r>
    </w:p>
    <w:p w:rsidR="004F21F5" w:rsidRPr="005565F8" w:rsidP="00735883" w14:paraId="422120D8" w14:textId="77777777">
      <w:pPr>
        <w:pStyle w:val="ListParagraph"/>
        <w:numPr>
          <w:ilvl w:val="0"/>
          <w:numId w:val="37"/>
        </w:numPr>
        <w:spacing w:after="60"/>
        <w:ind w:left="284" w:hanging="284"/>
        <w:contextualSpacing w:val="0"/>
        <w:rPr>
          <w:bCs/>
          <w:lang w:eastAsia="lv-LV"/>
        </w:rPr>
      </w:pPr>
      <w:r w:rsidRPr="005565F8">
        <w:rPr>
          <w:bCs/>
          <w:lang w:eastAsia="lv-LV"/>
        </w:rPr>
        <w:t xml:space="preserve">samazināts </w:t>
      </w:r>
      <w:r w:rsidRPr="005565F8">
        <w:rPr>
          <w:bCs/>
          <w:lang w:eastAsia="lv-LV"/>
        </w:rPr>
        <w:t>mikrouzņēmumu</w:t>
      </w:r>
      <w:r w:rsidRPr="005565F8">
        <w:rPr>
          <w:bCs/>
          <w:lang w:eastAsia="lv-LV"/>
        </w:rPr>
        <w:t xml:space="preserve"> nodokļa (MUN) maksātāju apgrozījuma slieksnis no 100</w:t>
      </w:r>
      <w:r w:rsidRPr="005565F8" w:rsidR="009D62DD">
        <w:rPr>
          <w:bCs/>
          <w:lang w:eastAsia="lv-LV"/>
        </w:rPr>
        <w:t> </w:t>
      </w:r>
      <w:r w:rsidRPr="005565F8" w:rsidR="00975ADA">
        <w:rPr>
          <w:bCs/>
          <w:lang w:eastAsia="lv-LV"/>
        </w:rPr>
        <w:t>tūkst.</w:t>
      </w:r>
      <w:r w:rsidRPr="005565F8" w:rsidR="009D62DD">
        <w:rPr>
          <w:bCs/>
          <w:lang w:eastAsia="lv-LV"/>
        </w:rPr>
        <w:t> EUR</w:t>
      </w:r>
      <w:r w:rsidRPr="005565F8">
        <w:rPr>
          <w:bCs/>
          <w:lang w:eastAsia="lv-LV"/>
        </w:rPr>
        <w:t xml:space="preserve"> (2017.</w:t>
      </w:r>
      <w:r w:rsidRPr="005565F8" w:rsidR="004747D0">
        <w:rPr>
          <w:bCs/>
          <w:lang w:eastAsia="lv-LV"/>
        </w:rPr>
        <w:t> </w:t>
      </w:r>
      <w:r w:rsidRPr="005565F8">
        <w:rPr>
          <w:bCs/>
          <w:lang w:eastAsia="lv-LV"/>
        </w:rPr>
        <w:t>gadā) līdz 40</w:t>
      </w:r>
      <w:r w:rsidRPr="005565F8" w:rsidR="009D62DD">
        <w:rPr>
          <w:bCs/>
          <w:lang w:eastAsia="lv-LV"/>
        </w:rPr>
        <w:t> </w:t>
      </w:r>
      <w:r w:rsidRPr="005565F8" w:rsidR="00975ADA">
        <w:rPr>
          <w:bCs/>
          <w:lang w:eastAsia="lv-LV"/>
        </w:rPr>
        <w:t>tūkst.</w:t>
      </w:r>
      <w:r w:rsidRPr="005565F8" w:rsidR="009D62DD">
        <w:rPr>
          <w:bCs/>
          <w:lang w:eastAsia="lv-LV"/>
        </w:rPr>
        <w:t> EUR</w:t>
      </w:r>
      <w:r w:rsidRPr="005565F8" w:rsidR="00A205B4">
        <w:rPr>
          <w:bCs/>
          <w:lang w:eastAsia="lv-LV"/>
        </w:rPr>
        <w:t xml:space="preserve">, saglabājot vienotu likmi 15% apmērā no </w:t>
      </w:r>
      <w:r w:rsidRPr="005565F8" w:rsidR="00A205B4">
        <w:rPr>
          <w:bCs/>
          <w:lang w:eastAsia="lv-LV"/>
        </w:rPr>
        <w:t>mikrouzņēmuma</w:t>
      </w:r>
      <w:r w:rsidRPr="005565F8" w:rsidR="00A205B4">
        <w:rPr>
          <w:bCs/>
          <w:lang w:eastAsia="lv-LV"/>
        </w:rPr>
        <w:t xml:space="preserve"> apgrozījuma</w:t>
      </w:r>
      <w:r w:rsidRPr="005565F8">
        <w:rPr>
          <w:bCs/>
          <w:i/>
          <w:lang w:eastAsia="lv-LV"/>
        </w:rPr>
        <w:t xml:space="preserve">, </w:t>
      </w:r>
      <w:r w:rsidRPr="005565F8">
        <w:rPr>
          <w:bCs/>
          <w:lang w:eastAsia="lv-LV"/>
        </w:rPr>
        <w:t xml:space="preserve">kā arī noteikta IIN likme 20% apmērā no </w:t>
      </w:r>
      <w:r w:rsidRPr="005565F8">
        <w:rPr>
          <w:bCs/>
          <w:lang w:eastAsia="lv-LV"/>
        </w:rPr>
        <w:t>mikrouzņēmuma</w:t>
      </w:r>
      <w:r w:rsidRPr="005565F8">
        <w:rPr>
          <w:bCs/>
          <w:lang w:eastAsia="lv-LV"/>
        </w:rPr>
        <w:t xml:space="preserve"> izmaksātām dividendēm;</w:t>
      </w:r>
    </w:p>
    <w:p w:rsidR="004F21F5" w:rsidRPr="005565F8" w:rsidP="00735883" w14:paraId="0BF5E38D" w14:textId="77777777">
      <w:pPr>
        <w:pStyle w:val="ListParagraph"/>
        <w:numPr>
          <w:ilvl w:val="0"/>
          <w:numId w:val="37"/>
        </w:numPr>
        <w:spacing w:after="60"/>
        <w:ind w:left="284" w:hanging="284"/>
        <w:contextualSpacing w:val="0"/>
        <w:rPr>
          <w:bCs/>
          <w:lang w:eastAsia="lv-LV"/>
        </w:rPr>
      </w:pPr>
      <w:r w:rsidRPr="005565F8">
        <w:rPr>
          <w:bCs/>
          <w:lang w:eastAsia="lv-LV"/>
        </w:rPr>
        <w:t>pārskatīts attaisnoto izdevumu regulējums, paredzot, ka attaisnotie izdevumi par medicīnu un izglītību nedrīkst pārsniegt 50% no taksācijas gada ienākuma, bet ne vairāk kā 600</w:t>
      </w:r>
      <w:r w:rsidRPr="005565F8" w:rsidR="009D62DD">
        <w:rPr>
          <w:bCs/>
          <w:lang w:eastAsia="lv-LV"/>
        </w:rPr>
        <w:t> EUR</w:t>
      </w:r>
      <w:r w:rsidRPr="005565F8">
        <w:rPr>
          <w:bCs/>
          <w:i/>
          <w:lang w:eastAsia="lv-LV"/>
        </w:rPr>
        <w:t xml:space="preserve"> </w:t>
      </w:r>
      <w:r w:rsidRPr="005565F8">
        <w:rPr>
          <w:bCs/>
          <w:lang w:eastAsia="lv-LV"/>
        </w:rPr>
        <w:t>gadā katram ģimenes loceklim, savukārt attaisnotie izdevumi par veiktajām iemaksām privātajos pensiju fondos un uzkrājošās dzīvības apdrošināšanas prēmiju maksājumiem nedrīkst pārsniegt 10% no taksācijas gada ienākuma, bet ne vairāk kā 4</w:t>
      </w:r>
      <w:r w:rsidRPr="005565F8" w:rsidR="00975ADA">
        <w:rPr>
          <w:bCs/>
          <w:lang w:eastAsia="lv-LV"/>
        </w:rPr>
        <w:t> tūkst.</w:t>
      </w:r>
      <w:r w:rsidRPr="005565F8" w:rsidR="009D62DD">
        <w:rPr>
          <w:bCs/>
          <w:lang w:eastAsia="lv-LV"/>
        </w:rPr>
        <w:t> EUR</w:t>
      </w:r>
      <w:r w:rsidRPr="005565F8">
        <w:rPr>
          <w:bCs/>
          <w:lang w:eastAsia="lv-LV"/>
        </w:rPr>
        <w:t xml:space="preserve"> gadā;</w:t>
      </w:r>
    </w:p>
    <w:p w:rsidR="004F21F5" w:rsidRPr="005565F8" w:rsidP="00735883" w14:paraId="73274CF8" w14:textId="77777777">
      <w:pPr>
        <w:pStyle w:val="ListParagraph"/>
        <w:numPr>
          <w:ilvl w:val="0"/>
          <w:numId w:val="37"/>
        </w:numPr>
        <w:spacing w:after="60"/>
        <w:ind w:left="284" w:hanging="284"/>
        <w:contextualSpacing w:val="0"/>
        <w:rPr>
          <w:bCs/>
          <w:lang w:eastAsia="lv-LV"/>
        </w:rPr>
      </w:pPr>
      <w:r w:rsidRPr="005565F8">
        <w:rPr>
          <w:bCs/>
          <w:lang w:eastAsia="lv-LV"/>
        </w:rPr>
        <w:t>paaugstinātas azartspēļu nodokļa likmes ruletes, kāršu un kauliņu spēles galdiem un azartspēļu automātiem;</w:t>
      </w:r>
    </w:p>
    <w:p w:rsidR="004F21F5" w:rsidRPr="005565F8" w:rsidP="00735883" w14:paraId="45C0C180" w14:textId="77777777">
      <w:pPr>
        <w:pStyle w:val="ListParagraph"/>
        <w:numPr>
          <w:ilvl w:val="0"/>
          <w:numId w:val="37"/>
        </w:numPr>
        <w:spacing w:after="60"/>
        <w:ind w:left="284" w:hanging="284"/>
        <w:contextualSpacing w:val="0"/>
        <w:rPr>
          <w:bCs/>
          <w:lang w:eastAsia="lv-LV"/>
        </w:rPr>
      </w:pPr>
      <w:r w:rsidRPr="005565F8">
        <w:rPr>
          <w:bCs/>
          <w:lang w:eastAsia="lv-LV"/>
        </w:rPr>
        <w:t>samazināts reģistrācijas slieksnis VID pievienotās vērtības nodokļa maksātāju reģistrā no 50</w:t>
      </w:r>
      <w:r w:rsidRPr="005565F8" w:rsidR="009D62DD">
        <w:rPr>
          <w:bCs/>
          <w:lang w:eastAsia="lv-LV"/>
        </w:rPr>
        <w:t> </w:t>
      </w:r>
      <w:r w:rsidRPr="005565F8" w:rsidR="00975ADA">
        <w:rPr>
          <w:bCs/>
          <w:lang w:eastAsia="lv-LV"/>
        </w:rPr>
        <w:t>tūkst.</w:t>
      </w:r>
      <w:r w:rsidRPr="005565F8" w:rsidR="009D62DD">
        <w:rPr>
          <w:bCs/>
          <w:lang w:eastAsia="lv-LV"/>
        </w:rPr>
        <w:t> EUR</w:t>
      </w:r>
      <w:r w:rsidRPr="005565F8">
        <w:rPr>
          <w:bCs/>
          <w:i/>
          <w:lang w:eastAsia="lv-LV"/>
        </w:rPr>
        <w:t xml:space="preserve"> </w:t>
      </w:r>
      <w:r w:rsidRPr="005565F8">
        <w:rPr>
          <w:bCs/>
          <w:lang w:eastAsia="lv-LV"/>
        </w:rPr>
        <w:t>(2017.</w:t>
      </w:r>
      <w:r w:rsidRPr="005565F8" w:rsidR="009D62DD">
        <w:rPr>
          <w:bCs/>
          <w:lang w:eastAsia="lv-LV"/>
        </w:rPr>
        <w:t> </w:t>
      </w:r>
      <w:r w:rsidRPr="005565F8">
        <w:rPr>
          <w:bCs/>
          <w:lang w:eastAsia="lv-LV"/>
        </w:rPr>
        <w:t xml:space="preserve">gadā) </w:t>
      </w:r>
      <w:r w:rsidRPr="005565F8" w:rsidR="003B4AEE">
        <w:rPr>
          <w:bCs/>
          <w:lang w:eastAsia="lv-LV"/>
        </w:rPr>
        <w:t>u</w:t>
      </w:r>
      <w:r w:rsidRPr="005565F8">
        <w:rPr>
          <w:bCs/>
          <w:lang w:eastAsia="lv-LV"/>
        </w:rPr>
        <w:t>z 40</w:t>
      </w:r>
      <w:r w:rsidRPr="005565F8" w:rsidR="009D62DD">
        <w:rPr>
          <w:bCs/>
          <w:lang w:eastAsia="lv-LV"/>
        </w:rPr>
        <w:t> </w:t>
      </w:r>
      <w:r w:rsidRPr="005565F8" w:rsidR="00975ADA">
        <w:rPr>
          <w:bCs/>
          <w:lang w:eastAsia="lv-LV"/>
        </w:rPr>
        <w:t>tūkst.</w:t>
      </w:r>
      <w:r w:rsidRPr="005565F8" w:rsidR="009D62DD">
        <w:rPr>
          <w:bCs/>
          <w:lang w:eastAsia="lv-LV"/>
        </w:rPr>
        <w:t> EUR</w:t>
      </w:r>
      <w:r w:rsidRPr="005565F8">
        <w:rPr>
          <w:bCs/>
          <w:i/>
          <w:lang w:eastAsia="lv-LV"/>
        </w:rPr>
        <w:t xml:space="preserve">, </w:t>
      </w:r>
      <w:r w:rsidRPr="005565F8">
        <w:rPr>
          <w:bCs/>
          <w:lang w:eastAsia="lv-LV"/>
        </w:rPr>
        <w:t>kā arī PVN deklarācijā atšifrējamo darījumu sliek</w:t>
      </w:r>
      <w:r w:rsidRPr="005565F8" w:rsidR="003B4AEE">
        <w:rPr>
          <w:bCs/>
          <w:lang w:eastAsia="lv-LV"/>
        </w:rPr>
        <w:t>snis</w:t>
      </w:r>
      <w:r w:rsidRPr="005565F8">
        <w:rPr>
          <w:bCs/>
          <w:lang w:eastAsia="lv-LV"/>
        </w:rPr>
        <w:t xml:space="preserve"> no 1430</w:t>
      </w:r>
      <w:r w:rsidRPr="005565F8" w:rsidR="009D62DD">
        <w:rPr>
          <w:bCs/>
          <w:lang w:eastAsia="lv-LV"/>
        </w:rPr>
        <w:t> EUR</w:t>
      </w:r>
      <w:r w:rsidRPr="005565F8">
        <w:rPr>
          <w:bCs/>
          <w:i/>
          <w:lang w:eastAsia="lv-LV"/>
        </w:rPr>
        <w:t xml:space="preserve"> </w:t>
      </w:r>
      <w:r w:rsidRPr="005565F8">
        <w:rPr>
          <w:bCs/>
          <w:lang w:eastAsia="lv-LV"/>
        </w:rPr>
        <w:t>(2017.</w:t>
      </w:r>
      <w:r w:rsidRPr="005565F8" w:rsidR="004747D0">
        <w:rPr>
          <w:bCs/>
          <w:lang w:eastAsia="lv-LV"/>
        </w:rPr>
        <w:t> </w:t>
      </w:r>
      <w:r w:rsidRPr="005565F8">
        <w:rPr>
          <w:bCs/>
          <w:lang w:eastAsia="lv-LV"/>
        </w:rPr>
        <w:t>gadā) uz 150</w:t>
      </w:r>
      <w:r w:rsidRPr="005565F8" w:rsidR="009D62DD">
        <w:rPr>
          <w:bCs/>
          <w:lang w:eastAsia="lv-LV"/>
        </w:rPr>
        <w:t> EUR</w:t>
      </w:r>
      <w:r w:rsidRPr="005565F8">
        <w:rPr>
          <w:bCs/>
          <w:lang w:eastAsia="lv-LV"/>
        </w:rPr>
        <w:t>;</w:t>
      </w:r>
    </w:p>
    <w:p w:rsidR="004F21F5" w:rsidRPr="005565F8" w:rsidP="00735883" w14:paraId="0ECC2BA3" w14:textId="77777777">
      <w:pPr>
        <w:pStyle w:val="ListParagraph"/>
        <w:numPr>
          <w:ilvl w:val="0"/>
          <w:numId w:val="37"/>
        </w:numPr>
        <w:spacing w:after="60"/>
        <w:ind w:left="284" w:hanging="284"/>
        <w:contextualSpacing w:val="0"/>
        <w:rPr>
          <w:bCs/>
          <w:lang w:eastAsia="lv-LV"/>
        </w:rPr>
      </w:pPr>
      <w:r w:rsidRPr="005565F8">
        <w:rPr>
          <w:bCs/>
          <w:lang w:eastAsia="lv-LV"/>
        </w:rPr>
        <w:t xml:space="preserve">paplašināta </w:t>
      </w:r>
      <w:r w:rsidRPr="005565F8">
        <w:rPr>
          <w:bCs/>
          <w:lang w:eastAsia="lv-LV"/>
        </w:rPr>
        <w:t xml:space="preserve">reversās </w:t>
      </w:r>
      <w:r w:rsidRPr="005565F8" w:rsidR="00AA2C17">
        <w:rPr>
          <w:bCs/>
          <w:lang w:eastAsia="lv-LV"/>
        </w:rPr>
        <w:t xml:space="preserve">jeb apgrieztās PVN </w:t>
      </w:r>
      <w:r w:rsidRPr="005565F8">
        <w:rPr>
          <w:bCs/>
          <w:lang w:eastAsia="lv-LV"/>
        </w:rPr>
        <w:t>maksāšanas kārtības piemērošana būvniecības pakalpojum</w:t>
      </w:r>
      <w:r w:rsidRPr="005565F8" w:rsidR="003B4AEE">
        <w:rPr>
          <w:bCs/>
          <w:lang w:eastAsia="lv-LV"/>
        </w:rPr>
        <w:t>iem</w:t>
      </w:r>
      <w:r w:rsidRPr="005565F8">
        <w:rPr>
          <w:bCs/>
          <w:lang w:eastAsia="lv-LV"/>
        </w:rPr>
        <w:t xml:space="preserve"> un </w:t>
      </w:r>
      <w:r w:rsidRPr="005565F8" w:rsidR="003B4AEE">
        <w:rPr>
          <w:bCs/>
          <w:lang w:eastAsia="lv-LV"/>
        </w:rPr>
        <w:t>šī kārtība ieviesta</w:t>
      </w:r>
      <w:r w:rsidRPr="005565F8" w:rsidR="00196858">
        <w:rPr>
          <w:bCs/>
          <w:lang w:eastAsia="lv-LV"/>
        </w:rPr>
        <w:t xml:space="preserve"> </w:t>
      </w:r>
      <w:r w:rsidRPr="005565F8">
        <w:rPr>
          <w:bCs/>
          <w:lang w:eastAsia="lv-LV"/>
        </w:rPr>
        <w:t xml:space="preserve">būvizstrādājumu piegādēm, sadzīves elektronisko iekārtu un sadzīves </w:t>
      </w:r>
      <w:r w:rsidRPr="005565F8" w:rsidR="00AA2C17">
        <w:rPr>
          <w:bCs/>
          <w:lang w:eastAsia="lv-LV"/>
        </w:rPr>
        <w:t>elektriskās</w:t>
      </w:r>
      <w:r w:rsidRPr="005565F8" w:rsidR="00196858">
        <w:rPr>
          <w:bCs/>
          <w:lang w:eastAsia="lv-LV"/>
        </w:rPr>
        <w:t xml:space="preserve"> </w:t>
      </w:r>
      <w:r w:rsidRPr="005565F8" w:rsidR="00AA2C17">
        <w:rPr>
          <w:bCs/>
          <w:lang w:eastAsia="lv-LV"/>
        </w:rPr>
        <w:t>aparatūras piegādēm,</w:t>
      </w:r>
      <w:r w:rsidRPr="005565F8">
        <w:rPr>
          <w:bCs/>
          <w:lang w:eastAsia="lv-LV"/>
        </w:rPr>
        <w:t xml:space="preserve"> metālizstrādājumu </w:t>
      </w:r>
      <w:r w:rsidRPr="005565F8" w:rsidR="00AA2C17">
        <w:rPr>
          <w:bCs/>
          <w:lang w:eastAsia="lv-LV"/>
        </w:rPr>
        <w:t xml:space="preserve">un ar to saistīto pakalpojumu </w:t>
      </w:r>
      <w:r w:rsidRPr="005565F8">
        <w:rPr>
          <w:bCs/>
          <w:lang w:eastAsia="lv-LV"/>
        </w:rPr>
        <w:t>piegādēm</w:t>
      </w:r>
      <w:r w:rsidRPr="005565F8" w:rsidR="009F2DBC">
        <w:rPr>
          <w:bCs/>
          <w:lang w:eastAsia="lv-LV"/>
        </w:rPr>
        <w:t>, kā arī</w:t>
      </w:r>
      <w:r w:rsidRPr="005565F8" w:rsidR="003B4AEE">
        <w:rPr>
          <w:bCs/>
          <w:lang w:eastAsia="lv-LV"/>
        </w:rPr>
        <w:t xml:space="preserve"> spēļu konsoļu piegādēm</w:t>
      </w:r>
      <w:r w:rsidRPr="005565F8">
        <w:rPr>
          <w:bCs/>
          <w:lang w:eastAsia="lv-LV"/>
        </w:rPr>
        <w:t>;</w:t>
      </w:r>
    </w:p>
    <w:p w:rsidR="004F21F5" w:rsidRPr="005565F8" w:rsidP="00735883" w14:paraId="49B2C16A" w14:textId="77777777">
      <w:pPr>
        <w:pStyle w:val="ListParagraph"/>
        <w:numPr>
          <w:ilvl w:val="0"/>
          <w:numId w:val="37"/>
        </w:numPr>
        <w:spacing w:after="60"/>
        <w:ind w:left="284" w:hanging="284"/>
        <w:contextualSpacing w:val="0"/>
        <w:rPr>
          <w:bCs/>
          <w:lang w:eastAsia="lv-LV"/>
        </w:rPr>
      </w:pPr>
      <w:r w:rsidRPr="005565F8">
        <w:rPr>
          <w:bCs/>
          <w:lang w:eastAsia="lv-LV"/>
        </w:rPr>
        <w:t>vienādotas IIN likmes dažādiem ienākumu veidiem, nosakot tās 20%, 23% un 31,4% apmērā līdzīgi kā algota darba ienākumam:</w:t>
      </w:r>
    </w:p>
    <w:p w:rsidR="004F21F5" w:rsidRPr="005565F8" w:rsidP="00735883" w14:paraId="69B2D7FF" w14:textId="77777777">
      <w:pPr>
        <w:pStyle w:val="ListParagraph"/>
        <w:numPr>
          <w:ilvl w:val="0"/>
          <w:numId w:val="34"/>
        </w:numPr>
        <w:ind w:left="567" w:hanging="283"/>
        <w:rPr>
          <w:bCs/>
          <w:lang w:eastAsia="lv-LV"/>
        </w:rPr>
      </w:pPr>
      <w:r w:rsidRPr="005565F8">
        <w:rPr>
          <w:bCs/>
          <w:lang w:eastAsia="lv-LV"/>
        </w:rPr>
        <w:t>20% IIN likme – ienākumam no kapitāla un kapitāla pieaugumam (2017.</w:t>
      </w:r>
      <w:r w:rsidRPr="005565F8" w:rsidR="004747D0">
        <w:rPr>
          <w:bCs/>
          <w:lang w:eastAsia="lv-LV"/>
        </w:rPr>
        <w:t> </w:t>
      </w:r>
      <w:r w:rsidRPr="005565F8">
        <w:rPr>
          <w:bCs/>
          <w:lang w:eastAsia="lv-LV"/>
        </w:rPr>
        <w:t>gadā IIN likme ienākumam no kapitāla, kas nav kapitāla pieaugums (piemēram, dividendēm, procentu ienākumam) bija 10%, bet ienākumam no kapitāla pieauguma – 15%). Izņēmums ir dividendes (</w:t>
      </w:r>
      <w:r w:rsidRPr="005565F8" w:rsidR="00670AD8">
        <w:rPr>
          <w:bCs/>
          <w:lang w:eastAsia="lv-LV"/>
        </w:rPr>
        <w:t>IIN netiek piemērots</w:t>
      </w:r>
      <w:r w:rsidRPr="005565F8" w:rsidR="000B0A70">
        <w:rPr>
          <w:bCs/>
          <w:lang w:eastAsia="lv-LV"/>
        </w:rPr>
        <w:t>)</w:t>
      </w:r>
      <w:r w:rsidRPr="005565F8">
        <w:rPr>
          <w:bCs/>
          <w:lang w:eastAsia="lv-LV"/>
        </w:rPr>
        <w:t>, ja tās jau ir apliktas ar 20% UIN likmi peļņas sadales brīdī;</w:t>
      </w:r>
    </w:p>
    <w:p w:rsidR="004F21F5" w:rsidRPr="005565F8" w:rsidP="00735883" w14:paraId="0D153F56" w14:textId="77777777">
      <w:pPr>
        <w:pStyle w:val="ListParagraph"/>
        <w:numPr>
          <w:ilvl w:val="0"/>
          <w:numId w:val="34"/>
        </w:numPr>
        <w:spacing w:after="60"/>
        <w:ind w:left="568" w:hanging="284"/>
        <w:contextualSpacing w:val="0"/>
        <w:rPr>
          <w:bCs/>
          <w:lang w:eastAsia="lv-LV"/>
        </w:rPr>
      </w:pPr>
      <w:r w:rsidRPr="005565F8">
        <w:rPr>
          <w:bCs/>
          <w:lang w:eastAsia="lv-LV"/>
        </w:rPr>
        <w:t>20/23/31,4% IIN likme – saimnieciskās darbības veicējiem (2017.</w:t>
      </w:r>
      <w:r w:rsidRPr="005565F8" w:rsidR="004747D0">
        <w:rPr>
          <w:bCs/>
          <w:lang w:eastAsia="lv-LV"/>
        </w:rPr>
        <w:t> </w:t>
      </w:r>
      <w:r w:rsidRPr="005565F8">
        <w:rPr>
          <w:bCs/>
          <w:lang w:eastAsia="lv-LV"/>
        </w:rPr>
        <w:t>gadā 23% likme).</w:t>
      </w:r>
    </w:p>
    <w:p w:rsidR="004F21F5" w:rsidRPr="005565F8" w:rsidP="00735883" w14:paraId="032B76BA" w14:textId="77777777">
      <w:pPr>
        <w:pStyle w:val="ListParagraph"/>
        <w:numPr>
          <w:ilvl w:val="0"/>
          <w:numId w:val="37"/>
        </w:numPr>
        <w:spacing w:after="60"/>
        <w:ind w:left="284" w:hanging="284"/>
        <w:rPr>
          <w:bCs/>
          <w:lang w:eastAsia="lv-LV"/>
        </w:rPr>
      </w:pPr>
      <w:r w:rsidRPr="005565F8">
        <w:rPr>
          <w:bCs/>
          <w:lang w:eastAsia="lv-LV"/>
        </w:rPr>
        <w:t xml:space="preserve">tiek saglabāta </w:t>
      </w:r>
      <w:r w:rsidRPr="005565F8" w:rsidR="00E72843">
        <w:rPr>
          <w:bCs/>
          <w:lang w:eastAsia="lv-LV"/>
        </w:rPr>
        <w:t xml:space="preserve">esošā </w:t>
      </w:r>
      <w:r w:rsidRPr="005565F8">
        <w:rPr>
          <w:bCs/>
          <w:lang w:eastAsia="lv-LV"/>
        </w:rPr>
        <w:t>transportlīdzekļ</w:t>
      </w:r>
      <w:r w:rsidRPr="005565F8" w:rsidR="00E72843">
        <w:rPr>
          <w:bCs/>
          <w:lang w:eastAsia="lv-LV"/>
        </w:rPr>
        <w:t>a</w:t>
      </w:r>
      <w:r w:rsidRPr="005565F8">
        <w:rPr>
          <w:bCs/>
          <w:lang w:eastAsia="lv-LV"/>
        </w:rPr>
        <w:t xml:space="preserve"> ekspluatācijas nodokļa maksāšanas kārtība arī 2019.</w:t>
      </w:r>
      <w:r w:rsidRPr="005565F8" w:rsidR="004747D0">
        <w:rPr>
          <w:bCs/>
          <w:lang w:eastAsia="lv-LV"/>
        </w:rPr>
        <w:t> </w:t>
      </w:r>
      <w:r w:rsidRPr="005565F8">
        <w:rPr>
          <w:bCs/>
          <w:lang w:eastAsia="lv-LV"/>
        </w:rPr>
        <w:t>gadā un turpmāk.</w:t>
      </w:r>
    </w:p>
    <w:p w:rsidR="00EC37AB" w:rsidRPr="005565F8" w:rsidP="004F21F5" w14:paraId="35765EB1" w14:textId="77777777">
      <w:pPr>
        <w:ind w:firstLine="567"/>
        <w:rPr>
          <w:bCs/>
          <w:lang w:eastAsia="lv-LV"/>
        </w:rPr>
      </w:pPr>
    </w:p>
    <w:p w:rsidR="004F21F5" w:rsidRPr="005565F8" w:rsidP="00EC37AB" w14:paraId="191B6AB9" w14:textId="77777777">
      <w:pPr>
        <w:rPr>
          <w:bCs/>
        </w:rPr>
      </w:pPr>
      <w:r w:rsidRPr="005565F8">
        <w:rPr>
          <w:bCs/>
          <w:lang w:eastAsia="lv-LV"/>
        </w:rPr>
        <w:t xml:space="preserve">Jau iepriekšējos gados, pirms Nodokļu reformas ieviešanas, tika veikta virkne nodokļu politikas pasākumu, ar ko nodokļu slogs tika novirzīts uz transportlīdzekļu un vides nodokļiem, kas ir mazāk kaitējošs izaugsmei, vienlaicīgi uzlabojot nodokļu saistību izpildi. </w:t>
      </w:r>
      <w:r w:rsidRPr="005565F8">
        <w:rPr>
          <w:bCs/>
        </w:rPr>
        <w:t>Tā, ar 2017.</w:t>
      </w:r>
      <w:r w:rsidRPr="005565F8" w:rsidR="004747D0">
        <w:rPr>
          <w:bCs/>
        </w:rPr>
        <w:t> </w:t>
      </w:r>
      <w:r w:rsidRPr="005565F8">
        <w:rPr>
          <w:bCs/>
        </w:rPr>
        <w:t>gada 1.</w:t>
      </w:r>
      <w:r w:rsidRPr="005565F8" w:rsidR="004747D0">
        <w:rPr>
          <w:bCs/>
        </w:rPr>
        <w:t> </w:t>
      </w:r>
      <w:r w:rsidRPr="005565F8">
        <w:rPr>
          <w:bCs/>
        </w:rPr>
        <w:t>janvāri palielinātas transportlīdzekļa ekspluatācijas nodokļa likmes vieglajiem automobiļiem, un ieviests jauns transportlīdzekļa ekspluatācijas nodokļa aprēķināšanas princips pēc CO</w:t>
      </w:r>
      <w:r w:rsidRPr="005565F8">
        <w:rPr>
          <w:bCs/>
          <w:vertAlign w:val="subscript"/>
        </w:rPr>
        <w:t>2</w:t>
      </w:r>
      <w:r w:rsidRPr="005565F8">
        <w:rPr>
          <w:bCs/>
        </w:rPr>
        <w:t xml:space="preserve"> izmešu daudzuma Latvijā iepriekš nereģistrētiem vieglajiem automobiļiem, kuru pirmās reģistrēšanas datums ir pēc 2008.</w:t>
      </w:r>
      <w:r w:rsidRPr="005565F8" w:rsidR="004747D0">
        <w:rPr>
          <w:bCs/>
        </w:rPr>
        <w:t> </w:t>
      </w:r>
      <w:r w:rsidRPr="005565F8">
        <w:rPr>
          <w:bCs/>
        </w:rPr>
        <w:t>gada 31.</w:t>
      </w:r>
      <w:r w:rsidRPr="005565F8" w:rsidR="004747D0">
        <w:rPr>
          <w:bCs/>
        </w:rPr>
        <w:t> </w:t>
      </w:r>
      <w:r w:rsidRPr="005565F8">
        <w:rPr>
          <w:bCs/>
        </w:rPr>
        <w:t>decembra. Turpmāk</w:t>
      </w:r>
      <w:r w:rsidRPr="005565F8">
        <w:rPr>
          <w:rFonts w:ascii="Arial" w:hAnsi="Arial" w:cs="Arial"/>
          <w:color w:val="0D3051"/>
          <w:sz w:val="18"/>
          <w:szCs w:val="18"/>
        </w:rPr>
        <w:t xml:space="preserve"> </w:t>
      </w:r>
      <w:r w:rsidRPr="005565F8">
        <w:rPr>
          <w:bCs/>
        </w:rPr>
        <w:t>transportlīdzekļa ekspluatācijas nodoklis būs jāmaksā arī personām, kuru deklarētā dzīvesvieta ir Latvijā un kuras dalībai ceļu satiksmē izmanto ārvalstīs reģistrētu M</w:t>
      </w:r>
      <w:r w:rsidRPr="005565F8">
        <w:rPr>
          <w:bCs/>
          <w:vertAlign w:val="subscript"/>
        </w:rPr>
        <w:t>1</w:t>
      </w:r>
      <w:r w:rsidRPr="005565F8">
        <w:rPr>
          <w:bCs/>
        </w:rPr>
        <w:t xml:space="preserve"> vai N</w:t>
      </w:r>
      <w:r w:rsidRPr="005565F8">
        <w:rPr>
          <w:bCs/>
          <w:vertAlign w:val="subscript"/>
        </w:rPr>
        <w:t>1</w:t>
      </w:r>
      <w:r w:rsidRPr="005565F8">
        <w:rPr>
          <w:bCs/>
        </w:rPr>
        <w:t xml:space="preserve"> kategorijas automobili. </w:t>
      </w:r>
    </w:p>
    <w:p w:rsidR="004F21F5" w:rsidRPr="005565F8" w:rsidP="00EC37AB" w14:paraId="4BD9EB16" w14:textId="77777777">
      <w:pPr>
        <w:rPr>
          <w:bCs/>
        </w:rPr>
      </w:pPr>
      <w:r w:rsidRPr="005565F8">
        <w:rPr>
          <w:bCs/>
        </w:rPr>
        <w:t>No 2017.</w:t>
      </w:r>
      <w:r w:rsidRPr="005565F8" w:rsidR="004747D0">
        <w:rPr>
          <w:bCs/>
        </w:rPr>
        <w:t> </w:t>
      </w:r>
      <w:r w:rsidRPr="005565F8">
        <w:rPr>
          <w:bCs/>
        </w:rPr>
        <w:t>gada 1. janvāra tika atcelti šādi elektroenerģijas nodokļa atvieglojumi:</w:t>
      </w:r>
    </w:p>
    <w:p w:rsidR="004F21F5" w:rsidRPr="005565F8" w:rsidP="00735883" w14:paraId="021C8775" w14:textId="77777777">
      <w:pPr>
        <w:pStyle w:val="ListParagraph"/>
        <w:numPr>
          <w:ilvl w:val="0"/>
          <w:numId w:val="38"/>
        </w:numPr>
        <w:ind w:left="284" w:hanging="284"/>
        <w:rPr>
          <w:bCs/>
        </w:rPr>
      </w:pPr>
      <w:r w:rsidRPr="005565F8">
        <w:rPr>
          <w:bCs/>
        </w:rPr>
        <w:t>elektroenerģijai, kas iegūta no atjaunojamiem energoresursiem vai hidroelektrostacijās vai koģenerācijas stacijās, kas atbilst normatīvajos aktos par elektroenerģijas ražošanu koģenerācijas procesā noteiktajiem efektivitātes kritērijiem;</w:t>
      </w:r>
    </w:p>
    <w:p w:rsidR="004F21F5" w:rsidRPr="005565F8" w:rsidP="00735883" w14:paraId="1B854C87" w14:textId="77777777">
      <w:pPr>
        <w:pStyle w:val="ListParagraph"/>
        <w:numPr>
          <w:ilvl w:val="0"/>
          <w:numId w:val="38"/>
        </w:numPr>
        <w:ind w:left="284" w:hanging="284"/>
        <w:rPr>
          <w:bCs/>
        </w:rPr>
      </w:pPr>
      <w:r w:rsidRPr="005565F8">
        <w:rPr>
          <w:bCs/>
        </w:rPr>
        <w:t>elektroenerģija, ko izmanto elektroenerģijas ražošanai vai siltumenerģijas un elektroenerģijas ražošanai koģenerācijā.</w:t>
      </w:r>
    </w:p>
    <w:p w:rsidR="00EC37AB" w:rsidRPr="005565F8" w:rsidP="00EC37AB" w14:paraId="63D59349" w14:textId="77777777">
      <w:pPr>
        <w:rPr>
          <w:bCs/>
        </w:rPr>
      </w:pPr>
      <w:r w:rsidRPr="005565F8">
        <w:rPr>
          <w:bCs/>
        </w:rPr>
        <w:t>Lai risināt</w:t>
      </w:r>
      <w:r w:rsidRPr="005565F8" w:rsidR="009F0CDD">
        <w:rPr>
          <w:bCs/>
        </w:rPr>
        <w:t xml:space="preserve">u </w:t>
      </w:r>
      <w:r w:rsidRPr="005565F8" w:rsidR="00CC0EC0">
        <w:rPr>
          <w:bCs/>
        </w:rPr>
        <w:t>jautājumu par zemām sociālām iemaksām darbiniekiem</w:t>
      </w:r>
      <w:r w:rsidRPr="005565F8" w:rsidR="009F0CDD">
        <w:rPr>
          <w:bCs/>
        </w:rPr>
        <w:t xml:space="preserve">, noteikts, ka </w:t>
      </w:r>
      <w:r w:rsidRPr="005565F8" w:rsidR="009F0CDD">
        <w:rPr>
          <w:bCs/>
        </w:rPr>
        <w:t>mikrouzņēmuma</w:t>
      </w:r>
      <w:r w:rsidRPr="005565F8" w:rsidR="009F0CDD">
        <w:rPr>
          <w:bCs/>
        </w:rPr>
        <w:t xml:space="preserve"> darbiniekam ir tiesības brīvprātīgi pievienoties valsts sociālās apdrošināšanas sistēmai un šī informācija </w:t>
      </w:r>
      <w:r w:rsidRPr="005565F8" w:rsidR="009F0CDD">
        <w:rPr>
          <w:bCs/>
        </w:rPr>
        <w:t xml:space="preserve">jānorāda darba līgumā. Lai ierobežotu nodokļu optimizāciju jau ir noteikti </w:t>
      </w:r>
      <w:r w:rsidRPr="005565F8" w:rsidR="00A205B4">
        <w:rPr>
          <w:bCs/>
        </w:rPr>
        <w:t>virkne</w:t>
      </w:r>
      <w:r w:rsidRPr="005565F8" w:rsidR="00FA5388">
        <w:rPr>
          <w:bCs/>
        </w:rPr>
        <w:t xml:space="preserve"> ierobežojumu</w:t>
      </w:r>
      <w:r w:rsidRPr="005565F8" w:rsidR="009F0CDD">
        <w:rPr>
          <w:bCs/>
        </w:rPr>
        <w:t xml:space="preserve">, kā arī paredzēti jauni (piemēram, fiziska persona var būt īpašnieks tikai vienā </w:t>
      </w:r>
      <w:r w:rsidRPr="005565F8" w:rsidR="009F0CDD">
        <w:rPr>
          <w:bCs/>
        </w:rPr>
        <w:t>mikrouzņēmumā</w:t>
      </w:r>
      <w:r w:rsidRPr="005565F8" w:rsidR="009F0CDD">
        <w:rPr>
          <w:bCs/>
        </w:rPr>
        <w:t xml:space="preserve">, </w:t>
      </w:r>
      <w:r w:rsidRPr="005565F8" w:rsidR="002F3A64">
        <w:rPr>
          <w:bCs/>
        </w:rPr>
        <w:t>darbinieku skaits ne vai</w:t>
      </w:r>
      <w:r w:rsidRPr="005565F8" w:rsidR="009101A7">
        <w:rPr>
          <w:bCs/>
        </w:rPr>
        <w:t xml:space="preserve">rāk par 5, algas limits 720 EUR </w:t>
      </w:r>
      <w:r w:rsidRPr="005565F8" w:rsidR="002F3A64">
        <w:rPr>
          <w:bCs/>
        </w:rPr>
        <w:t>mēn</w:t>
      </w:r>
      <w:r w:rsidRPr="005565F8" w:rsidR="009101A7">
        <w:rPr>
          <w:bCs/>
        </w:rPr>
        <w:t>esī</w:t>
      </w:r>
      <w:r w:rsidRPr="005565F8" w:rsidR="002F3A64">
        <w:rPr>
          <w:bCs/>
        </w:rPr>
        <w:t xml:space="preserve">, algota darba pazīmes iedzīvotāju ienākuma nodoklī, </w:t>
      </w:r>
      <w:r w:rsidRPr="005565F8" w:rsidR="008E0835">
        <w:rPr>
          <w:bCs/>
        </w:rPr>
        <w:t>no 2019.</w:t>
      </w:r>
      <w:r w:rsidRPr="005565F8" w:rsidR="009F0CDD">
        <w:rPr>
          <w:bCs/>
        </w:rPr>
        <w:t xml:space="preserve">gada darbinieks varēs strādāt </w:t>
      </w:r>
      <w:r w:rsidRPr="005565F8" w:rsidR="009F0CDD">
        <w:rPr>
          <w:bCs/>
        </w:rPr>
        <w:t>mikrouzņēmumu</w:t>
      </w:r>
      <w:r w:rsidRPr="005565F8" w:rsidR="009F0CDD">
        <w:rPr>
          <w:bCs/>
        </w:rPr>
        <w:t xml:space="preserve"> nodokļu režīmā tikai vienā </w:t>
      </w:r>
      <w:r w:rsidRPr="005565F8" w:rsidR="009F0CDD">
        <w:rPr>
          <w:bCs/>
        </w:rPr>
        <w:t>mikrouzņēmuma</w:t>
      </w:r>
      <w:r w:rsidRPr="005565F8" w:rsidR="009F0CDD">
        <w:rPr>
          <w:bCs/>
        </w:rPr>
        <w:t xml:space="preserve"> uzņēmumā</w:t>
      </w:r>
      <w:r w:rsidRPr="005565F8" w:rsidR="002F3A64">
        <w:rPr>
          <w:bCs/>
        </w:rPr>
        <w:t xml:space="preserve"> u</w:t>
      </w:r>
      <w:r w:rsidRPr="005565F8" w:rsidR="008E0835">
        <w:rPr>
          <w:bCs/>
        </w:rPr>
        <w:t>.</w:t>
      </w:r>
      <w:r w:rsidRPr="005565F8" w:rsidR="002F3A64">
        <w:rPr>
          <w:bCs/>
        </w:rPr>
        <w:t>c</w:t>
      </w:r>
      <w:r w:rsidRPr="005565F8" w:rsidR="008E0835">
        <w:rPr>
          <w:bCs/>
        </w:rPr>
        <w:t>.</w:t>
      </w:r>
      <w:r w:rsidRPr="005565F8" w:rsidR="002F3A64">
        <w:rPr>
          <w:bCs/>
        </w:rPr>
        <w:t xml:space="preserve"> ierobežojumi)</w:t>
      </w:r>
      <w:r w:rsidRPr="005565F8" w:rsidR="009F0CDD">
        <w:rPr>
          <w:bCs/>
        </w:rPr>
        <w:t>.</w:t>
      </w:r>
    </w:p>
    <w:p w:rsidR="004F21F5" w:rsidRPr="005565F8" w:rsidP="00EC37AB" w14:paraId="138049DD" w14:textId="77777777">
      <w:pPr>
        <w:rPr>
          <w:bCs/>
        </w:rPr>
      </w:pPr>
      <w:r w:rsidRPr="005565F8">
        <w:rPr>
          <w:bCs/>
        </w:rPr>
        <w:t>Attiecībā uz nodokļu sloga pārnesi uz vides nodokļiem 2017.</w:t>
      </w:r>
      <w:r w:rsidRPr="005565F8" w:rsidR="004747D0">
        <w:rPr>
          <w:bCs/>
        </w:rPr>
        <w:t> </w:t>
      </w:r>
      <w:r w:rsidRPr="005565F8">
        <w:rPr>
          <w:bCs/>
        </w:rPr>
        <w:t>gada 1.</w:t>
      </w:r>
      <w:r w:rsidRPr="005565F8" w:rsidR="004747D0">
        <w:rPr>
          <w:bCs/>
        </w:rPr>
        <w:t> </w:t>
      </w:r>
      <w:r w:rsidRPr="005565F8">
        <w:rPr>
          <w:bCs/>
        </w:rPr>
        <w:t>janvārī</w:t>
      </w:r>
      <w:r w:rsidRPr="005565F8" w:rsidR="004A47D9">
        <w:rPr>
          <w:bCs/>
        </w:rPr>
        <w:t xml:space="preserve"> stājās spēkā nozīmīgas izmaiņas dabas resursu nodokļa likmēs</w:t>
      </w:r>
      <w:r w:rsidRPr="005565F8">
        <w:rPr>
          <w:bCs/>
        </w:rPr>
        <w:t>. Par atkritumu apglabāšanu tiek pakāpeniski palielināta dabas resursu nodokļa likme no 2017.</w:t>
      </w:r>
      <w:r w:rsidRPr="005565F8" w:rsidR="004747D0">
        <w:rPr>
          <w:bCs/>
        </w:rPr>
        <w:t> </w:t>
      </w:r>
      <w:r w:rsidRPr="005565F8">
        <w:rPr>
          <w:bCs/>
        </w:rPr>
        <w:t>gada līdz 2020.</w:t>
      </w:r>
      <w:r w:rsidRPr="005565F8" w:rsidR="004747D0">
        <w:rPr>
          <w:bCs/>
        </w:rPr>
        <w:t> </w:t>
      </w:r>
      <w:r w:rsidRPr="005565F8">
        <w:rPr>
          <w:bCs/>
        </w:rPr>
        <w:t xml:space="preserve">gadam, bet nodokļa likme par oglēm, koksam un </w:t>
      </w:r>
      <w:r w:rsidRPr="005565F8">
        <w:rPr>
          <w:bCs/>
        </w:rPr>
        <w:t>lignītam</w:t>
      </w:r>
      <w:r w:rsidRPr="005565F8">
        <w:rPr>
          <w:bCs/>
        </w:rPr>
        <w:t xml:space="preserve"> (brūnoglēm) tiek palielināta no 2017.</w:t>
      </w:r>
      <w:r w:rsidRPr="005565F8" w:rsidR="004747D0">
        <w:rPr>
          <w:bCs/>
        </w:rPr>
        <w:t> </w:t>
      </w:r>
      <w:r w:rsidRPr="005565F8">
        <w:rPr>
          <w:bCs/>
        </w:rPr>
        <w:t>gada līdz 2019.</w:t>
      </w:r>
      <w:r w:rsidRPr="005565F8" w:rsidR="004747D0">
        <w:rPr>
          <w:bCs/>
        </w:rPr>
        <w:t> </w:t>
      </w:r>
      <w:r w:rsidRPr="005565F8">
        <w:rPr>
          <w:bCs/>
        </w:rPr>
        <w:t xml:space="preserve">gadam. Līdz ar to dabas resursu nodoklis ir palielināts par dabas resursu ieguvi, ūdeņu ieguvi, atkritumu apglabāšanu, gaisa piesārņošanu, videi kaitīgām precēm (visu veidu riepas), elektriskām un elektroniskām iekārtām, preču un izstrādājumu iepakojumiem, kā arī par akmeņoglēm, koksu un </w:t>
      </w:r>
      <w:r w:rsidRPr="005565F8">
        <w:rPr>
          <w:bCs/>
        </w:rPr>
        <w:t>lignītu</w:t>
      </w:r>
      <w:r w:rsidRPr="005565F8">
        <w:rPr>
          <w:bCs/>
        </w:rPr>
        <w:t>. Vienlaikus no 2017.</w:t>
      </w:r>
      <w:r w:rsidRPr="005565F8" w:rsidR="004747D0">
        <w:rPr>
          <w:bCs/>
        </w:rPr>
        <w:t> </w:t>
      </w:r>
      <w:r w:rsidRPr="005565F8">
        <w:rPr>
          <w:bCs/>
        </w:rPr>
        <w:t>gada tika palielināts arī dabas resursu nodoklis par transportlīdzekli, lai finansētu nolietotu transportlīdzekļu savākšanu un pārstrādi.</w:t>
      </w:r>
    </w:p>
    <w:p w:rsidR="004F21F5" w:rsidRPr="005565F8" w:rsidP="00EC37AB" w14:paraId="3B9E5DCE" w14:textId="77777777">
      <w:pPr>
        <w:rPr>
          <w:bCs/>
        </w:rPr>
      </w:pPr>
      <w:r w:rsidRPr="005565F8">
        <w:rPr>
          <w:bCs/>
        </w:rPr>
        <w:t>Ņemot vērā, ka nodokļu sistēma ir tikai viens no mehānismiem, kā samazināt nevienlīdzību, t.sk. slogu zema atalgojuma saņēmējiem, nodokļu reformas ieguvumi ir jāvērtē kopā ar veiktajām izmaiņām sociālo pabalstu sistēmā</w:t>
      </w:r>
      <w:r w:rsidRPr="005565F8">
        <w:rPr>
          <w:bCs/>
          <w:i/>
        </w:rPr>
        <w:t xml:space="preserve"> (skat. 2.2., 3.5.1. un 3.5.2.</w:t>
      </w:r>
      <w:r w:rsidRPr="005565F8" w:rsidR="004747D0">
        <w:rPr>
          <w:bCs/>
          <w:i/>
        </w:rPr>
        <w:t> </w:t>
      </w:r>
      <w:r w:rsidRPr="005565F8">
        <w:rPr>
          <w:bCs/>
          <w:i/>
        </w:rPr>
        <w:t>nodaļu).</w:t>
      </w:r>
    </w:p>
    <w:p w:rsidR="004F21F5" w:rsidRPr="005565F8" w:rsidP="00EC37AB" w14:paraId="45817C5B" w14:textId="77777777">
      <w:pPr>
        <w:rPr>
          <w:bCs/>
        </w:rPr>
      </w:pPr>
      <w:r w:rsidRPr="005565F8">
        <w:rPr>
          <w:bCs/>
        </w:rPr>
        <w:t xml:space="preserve">Papildus minētajam, lai uzlabotu nodokļu nomaksu un iekasēšanu, ieviesta virkne ēnu ekonomikas mazināšanas un apkarošanas pasākumu </w:t>
      </w:r>
      <w:r w:rsidRPr="005565F8">
        <w:rPr>
          <w:bCs/>
          <w:i/>
        </w:rPr>
        <w:t>(skat. 3.2.</w:t>
      </w:r>
      <w:r w:rsidRPr="005565F8" w:rsidR="004747D0">
        <w:rPr>
          <w:bCs/>
          <w:i/>
        </w:rPr>
        <w:t> </w:t>
      </w:r>
      <w:r w:rsidRPr="005565F8">
        <w:rPr>
          <w:bCs/>
          <w:i/>
        </w:rPr>
        <w:t>nodaļu)</w:t>
      </w:r>
      <w:r w:rsidRPr="005565F8">
        <w:rPr>
          <w:bCs/>
        </w:rPr>
        <w:t>.</w:t>
      </w:r>
    </w:p>
    <w:p w:rsidR="00EF12F2" w:rsidRPr="005565F8" w:rsidP="00DF16EA" w14:paraId="138C84B4" w14:textId="77777777">
      <w:pPr>
        <w:pStyle w:val="Heading2"/>
        <w:spacing w:before="360" w:after="120"/>
        <w:jc w:val="center"/>
        <w:rPr>
          <w:rFonts w:ascii="Times New Roman Bold" w:hAnsi="Times New Roman Bold"/>
          <w:smallCaps/>
          <w:szCs w:val="24"/>
        </w:rPr>
        <w:sectPr w:rsidSect="003D0310">
          <w:type w:val="continuous"/>
          <w:pgSz w:w="11906" w:h="16838" w:code="9"/>
          <w:pgMar w:top="1134" w:right="1134" w:bottom="1134" w:left="1134" w:header="709" w:footer="709" w:gutter="0"/>
          <w:cols w:num="2" w:space="340"/>
          <w:titlePg/>
          <w:docGrid w:linePitch="360"/>
        </w:sectPr>
      </w:pPr>
    </w:p>
    <w:p w:rsidR="00D857BF" w:rsidRPr="005565F8" w:rsidP="00975ADA" w14:paraId="10CBB879" w14:textId="77777777">
      <w:pPr>
        <w:rPr>
          <w:bCs/>
        </w:rPr>
      </w:pPr>
    </w:p>
    <w:p w:rsidR="00866AA0" w:rsidRPr="005565F8" w:rsidP="00866AA0" w14:paraId="7270AD94" w14:textId="77777777">
      <w:pPr>
        <w:pStyle w:val="Heading2"/>
        <w:pBdr>
          <w:bottom w:val="single" w:sz="24" w:space="1" w:color="228B9D"/>
        </w:pBdr>
      </w:pPr>
      <w:bookmarkStart w:id="19" w:name="_Toc510687738"/>
      <w:bookmarkStart w:id="20" w:name="_Toc256000005"/>
      <w:bookmarkStart w:id="21" w:name="_Toc256000040"/>
      <w:r w:rsidRPr="005565F8">
        <w:t>2.2. Sociālās drošības tīkls, profesionālā izglītība, veselības aprūpe</w:t>
      </w:r>
      <w:bookmarkEnd w:id="21"/>
      <w:bookmarkEnd w:id="20"/>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8646"/>
        <w:tblLook w:val="04A0"/>
      </w:tblPr>
      <w:tblGrid>
        <w:gridCol w:w="9628"/>
      </w:tblGrid>
      <w:tr w14:paraId="4DB57FCF" w14:textId="77777777" w:rsidTr="00CF1A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8646"/>
          <w:tblLook w:val="04A0"/>
        </w:tblPrEx>
        <w:tc>
          <w:tcPr>
            <w:tcW w:w="9628" w:type="dxa"/>
            <w:shd w:val="clear" w:color="auto" w:fill="CF8646"/>
          </w:tcPr>
          <w:p w:rsidR="00D857BF" w:rsidRPr="005565F8" w:rsidP="00F35C47" w14:paraId="67C00CBC" w14:textId="77777777">
            <w:pPr>
              <w:spacing w:before="240" w:after="240"/>
              <w:ind w:left="227" w:right="227"/>
              <w:rPr>
                <w:rFonts w:ascii="Calibri Light" w:hAnsi="Calibri Light"/>
                <w:caps/>
                <w:color w:val="FFFFFF" w:themeColor="background1"/>
                <w:sz w:val="18"/>
                <w:szCs w:val="18"/>
              </w:rPr>
            </w:pPr>
            <w:r w:rsidRPr="005565F8">
              <w:rPr>
                <w:rFonts w:ascii="Calibri Light" w:hAnsi="Calibri Light"/>
                <w:caps/>
                <w:color w:val="FFFFFF" w:themeColor="background1"/>
                <w:sz w:val="18"/>
                <w:szCs w:val="18"/>
              </w:rPr>
              <w:t>Uzlabot sociālās drošības tīkla adekvātumu un paaugstināt darbaspēka prasmes, paātrinot profesionālās izglītības satura reformu. Palielināt veselības aprūpes izmaksu efektivitāti un piekļuvi tai, tostarp samazinot tiešos maksājumus un ilgo gaidīšanas laiku</w:t>
            </w:r>
            <w:r w:rsidRPr="005565F8">
              <w:rPr>
                <w:rFonts w:ascii="Calibri Light" w:hAnsi="Calibri Light"/>
                <w:caps/>
                <w:color w:val="FFFFFF" w:themeColor="background1"/>
                <w:sz w:val="18"/>
                <w:szCs w:val="18"/>
              </w:rPr>
              <w:t>.</w:t>
            </w:r>
          </w:p>
        </w:tc>
      </w:tr>
    </w:tbl>
    <w:p w:rsidR="00D857BF" w:rsidRPr="005565F8" w:rsidP="00D857BF" w14:paraId="46F4F72C" w14:textId="77777777">
      <w:pPr>
        <w:rPr>
          <w:b/>
        </w:rPr>
      </w:pPr>
    </w:p>
    <w:p w:rsidR="00D857BF" w:rsidRPr="005565F8" w:rsidP="00D857BF" w14:paraId="3EBB3E0F" w14:textId="77777777">
      <w:pPr>
        <w:sectPr w:rsidSect="003D0310">
          <w:type w:val="continuous"/>
          <w:pgSz w:w="11906" w:h="16838" w:code="9"/>
          <w:pgMar w:top="1134" w:right="1134" w:bottom="1134" w:left="1134" w:header="709" w:footer="709" w:gutter="0"/>
          <w:cols w:space="708"/>
          <w:titlePg/>
          <w:docGrid w:linePitch="360"/>
        </w:sectPr>
      </w:pPr>
    </w:p>
    <w:p w:rsidR="00EC37AB" w:rsidRPr="005565F8" w:rsidP="00F96413" w14:paraId="30488E95" w14:textId="77777777">
      <w:r w:rsidRPr="005565F8">
        <w:t>Turpin</w:t>
      </w:r>
      <w:r w:rsidRPr="005565F8" w:rsidR="004A47D9">
        <w:t>ās</w:t>
      </w:r>
      <w:r w:rsidRPr="005565F8">
        <w:t xml:space="preserve"> darb</w:t>
      </w:r>
      <w:r w:rsidRPr="005565F8" w:rsidR="004A47D9">
        <w:t>s</w:t>
      </w:r>
      <w:r w:rsidRPr="005565F8">
        <w:t xml:space="preserve"> pie </w:t>
      </w:r>
      <w:r w:rsidRPr="005565F8">
        <w:rPr>
          <w:b/>
        </w:rPr>
        <w:t>sociālās drošības sistēmas</w:t>
      </w:r>
      <w:r w:rsidRPr="005565F8">
        <w:t xml:space="preserve"> pilnveidošanas un sociālās drošības tīklu adekvātuma uzlabošanas:</w:t>
      </w:r>
    </w:p>
    <w:p w:rsidR="00EA4B58" w:rsidRPr="005565F8" w:rsidP="00735883" w14:paraId="6A92A864" w14:textId="77777777">
      <w:pPr>
        <w:pStyle w:val="ListParagraph"/>
        <w:numPr>
          <w:ilvl w:val="0"/>
          <w:numId w:val="40"/>
        </w:numPr>
        <w:spacing w:after="60"/>
        <w:ind w:left="284" w:hanging="284"/>
        <w:contextualSpacing w:val="0"/>
      </w:pPr>
      <w:r w:rsidRPr="005565F8">
        <w:rPr>
          <w:color w:val="000000" w:themeColor="text1"/>
        </w:rPr>
        <w:t>2018.gadā pacelts garantētais minimālo ienākumu līmenis no 49,80 EUR līdz 53 EUR personai mēnesī. Tiek prognozēts, ka garantētā minimālā ienākuma pabalsta saņēmēju skaits pieaugs no 27 769 personām 2016. gadā līdz 29 553 personām 2018.gadā.</w:t>
      </w:r>
    </w:p>
    <w:p w:rsidR="00EA4B58" w:rsidRPr="005565F8" w:rsidP="00735883" w14:paraId="1753025C" w14:textId="77777777">
      <w:pPr>
        <w:pStyle w:val="ListParagraph"/>
        <w:numPr>
          <w:ilvl w:val="0"/>
          <w:numId w:val="40"/>
        </w:numPr>
        <w:spacing w:after="60"/>
        <w:ind w:left="284" w:hanging="284"/>
        <w:contextualSpacing w:val="0"/>
      </w:pPr>
      <w:r w:rsidRPr="005565F8">
        <w:t xml:space="preserve">2018.gada valsts budžetā tika iekļauti sākotnēji  </w:t>
      </w:r>
      <w:r w:rsidRPr="005565F8">
        <w:rPr>
          <w:i/>
        </w:rPr>
        <w:t>Plāna minimālo ienākumu atbalsta sistēmas pilnveidošanai 2018.-2020.</w:t>
      </w:r>
      <w:r w:rsidRPr="005565F8" w:rsidR="00DB5138">
        <w:rPr>
          <w:i/>
        </w:rPr>
        <w:t xml:space="preserve">g. </w:t>
      </w:r>
      <w:r w:rsidRPr="005565F8">
        <w:t>projektā paredzētie pasākumi ģimeņu ar bērniem atbalsta pilnveidošanai un pensionāru ienākumu palielināšanai (</w:t>
      </w:r>
      <w:r w:rsidRPr="005565F8">
        <w:rPr>
          <w:rFonts w:eastAsia="Times New Roman"/>
          <w:bCs/>
          <w:lang w:eastAsia="lv-LV"/>
        </w:rPr>
        <w:t xml:space="preserve">detalizētāku informāciju par pasākumiem </w:t>
      </w:r>
      <w:r w:rsidRPr="005565F8">
        <w:rPr>
          <w:rFonts w:eastAsia="Times New Roman"/>
          <w:bCs/>
          <w:i/>
          <w:lang w:eastAsia="lv-LV"/>
        </w:rPr>
        <w:t>skat. 3.5.1.un 3.5.2.nodaļā)</w:t>
      </w:r>
      <w:r w:rsidRPr="005565F8">
        <w:t xml:space="preserve">: </w:t>
      </w:r>
      <w:r w:rsidRPr="005565F8" w:rsidR="00975ADA">
        <w:br/>
      </w:r>
      <w:r w:rsidRPr="005565F8">
        <w:t xml:space="preserve">1) vecuma pensijām ar lielu apdrošināšanas stāžu pensiju indeksācijā piemēros lielāku daļu (līdzšinējo – 50% vietā) no apdrošināšanas iemaksu algu summas reālā pieauguma </w:t>
      </w:r>
      <w:r w:rsidRPr="005565F8">
        <w:t xml:space="preserve">procentiem. </w:t>
      </w:r>
      <w:r w:rsidRPr="005565F8" w:rsidR="00975ADA">
        <w:t>Saņēmēju</w:t>
      </w:r>
      <w:r w:rsidRPr="005565F8">
        <w:t xml:space="preserve"> skaits</w:t>
      </w:r>
      <w:r w:rsidRPr="005565F8" w:rsidR="00DB5138">
        <w:t xml:space="preserve"> –</w:t>
      </w:r>
      <w:r w:rsidRPr="005565F8">
        <w:t xml:space="preserve"> 89% no visiem vecuma pensiju saņēmējiem. Kopējais </w:t>
      </w:r>
      <w:r w:rsidRPr="005565F8" w:rsidR="004A47D9">
        <w:br/>
      </w:r>
      <w:r w:rsidRPr="005565F8">
        <w:t>finansējums – 3,2 milj.</w:t>
      </w:r>
      <w:r w:rsidRPr="005565F8" w:rsidR="00975ADA">
        <w:t xml:space="preserve"> EUR</w:t>
      </w:r>
      <w:r w:rsidRPr="005565F8">
        <w:t xml:space="preserve"> 2018.gadā, 16,1 milj.</w:t>
      </w:r>
      <w:r w:rsidRPr="005565F8" w:rsidR="00975ADA">
        <w:t xml:space="preserve"> EUR</w:t>
      </w:r>
      <w:r w:rsidRPr="005565F8">
        <w:t xml:space="preserve"> 2019.</w:t>
      </w:r>
      <w:r w:rsidRPr="005565F8" w:rsidR="00694D11">
        <w:t xml:space="preserve"> </w:t>
      </w:r>
      <w:r w:rsidRPr="005565F8">
        <w:t xml:space="preserve">un turpmākajos gados; </w:t>
      </w:r>
      <w:r w:rsidRPr="005565F8" w:rsidR="00975ADA">
        <w:br/>
      </w:r>
      <w:r w:rsidRPr="005565F8">
        <w:rPr>
          <w:rFonts w:eastAsia="Times New Roman"/>
          <w:lang w:eastAsia="lv-LV"/>
        </w:rPr>
        <w:t xml:space="preserve">2) paaugstināts piemaksas apmērs par vienu apdrošināšanas stāža gadu, kas uzkrāts līdz 1995. gada 31. decembrim, līdz 1,5 </w:t>
      </w:r>
      <w:r w:rsidRPr="005565F8" w:rsidR="00975ADA">
        <w:rPr>
          <w:rFonts w:eastAsia="Times New Roman"/>
          <w:lang w:eastAsia="lv-LV"/>
        </w:rPr>
        <w:t>EUR</w:t>
      </w:r>
      <w:r w:rsidRPr="005565F8">
        <w:rPr>
          <w:rFonts w:eastAsia="Times New Roman"/>
          <w:lang w:eastAsia="lv-LV"/>
        </w:rPr>
        <w:t xml:space="preserve"> (līdzšinējo </w:t>
      </w:r>
      <w:r w:rsidRPr="005565F8" w:rsidR="00DB5138">
        <w:rPr>
          <w:rFonts w:eastAsia="Times New Roman"/>
          <w:lang w:eastAsia="lv-LV"/>
        </w:rPr>
        <w:t>1</w:t>
      </w:r>
      <w:r w:rsidRPr="005565F8">
        <w:rPr>
          <w:rFonts w:eastAsia="Times New Roman"/>
          <w:lang w:eastAsia="lv-LV"/>
        </w:rPr>
        <w:t xml:space="preserve"> </w:t>
      </w:r>
      <w:r w:rsidRPr="005565F8" w:rsidR="00975ADA">
        <w:rPr>
          <w:rFonts w:eastAsia="Times New Roman"/>
          <w:lang w:eastAsia="lv-LV"/>
        </w:rPr>
        <w:t>EUR</w:t>
      </w:r>
      <w:r w:rsidRPr="005565F8">
        <w:rPr>
          <w:rFonts w:eastAsia="Times New Roman"/>
          <w:lang w:eastAsia="lv-LV"/>
        </w:rPr>
        <w:t xml:space="preserve"> vietā) cilvēkiem, kuriem līdz 1995. gada beigām bija sasniegts vecuma pensijai nepieciešamais vecums un piešķirta vecuma vai invaliditātes pensija. Paaugstinātās piemaksas saņēmēju skaits – 34% no visiem vecuma un invaliditātes pensiju saņēmējiem. Kopējais finansējums – 13,9 milj. </w:t>
      </w:r>
      <w:r w:rsidRPr="005565F8" w:rsidR="00975ADA">
        <w:rPr>
          <w:rFonts w:eastAsia="Times New Roman"/>
          <w:lang w:eastAsia="lv-LV"/>
        </w:rPr>
        <w:t>EUR</w:t>
      </w:r>
      <w:r w:rsidRPr="005565F8">
        <w:rPr>
          <w:rFonts w:eastAsia="Times New Roman"/>
          <w:lang w:eastAsia="lv-LV"/>
        </w:rPr>
        <w:t xml:space="preserve"> 2018.gadā, 26,5 milj. </w:t>
      </w:r>
      <w:r w:rsidRPr="005565F8" w:rsidR="00975ADA">
        <w:rPr>
          <w:rFonts w:eastAsia="Times New Roman"/>
          <w:lang w:eastAsia="lv-LV"/>
        </w:rPr>
        <w:t>EUR</w:t>
      </w:r>
      <w:r w:rsidRPr="005565F8">
        <w:rPr>
          <w:rFonts w:eastAsia="Times New Roman"/>
          <w:lang w:eastAsia="lv-LV"/>
        </w:rPr>
        <w:t xml:space="preserve"> 2019.</w:t>
      </w:r>
      <w:r w:rsidRPr="005565F8" w:rsidR="00975ADA">
        <w:rPr>
          <w:rFonts w:eastAsia="Times New Roman"/>
          <w:lang w:eastAsia="lv-LV"/>
        </w:rPr>
        <w:t> </w:t>
      </w:r>
      <w:r w:rsidRPr="005565F8">
        <w:rPr>
          <w:rFonts w:eastAsia="Times New Roman"/>
          <w:lang w:eastAsia="lv-LV"/>
        </w:rPr>
        <w:t>un turpmākajos gados</w:t>
      </w:r>
      <w:r w:rsidRPr="005565F8">
        <w:t xml:space="preserve">; </w:t>
      </w:r>
      <w:r w:rsidRPr="005565F8" w:rsidR="00975ADA">
        <w:br/>
      </w:r>
      <w:r w:rsidRPr="005565F8">
        <w:t>3) piemaksa pie ģimenes valsts pabalsta ģimenēs ar diviem un vairāk bērniem. Piemaksas saņēmēju skaits</w:t>
      </w:r>
      <w:r w:rsidRPr="005565F8">
        <w:rPr>
          <w:color w:val="000000"/>
        </w:rPr>
        <w:t xml:space="preserve"> – gandrīz 90 tūkst</w:t>
      </w:r>
      <w:r w:rsidRPr="005565F8">
        <w:t>.</w:t>
      </w:r>
      <w:r w:rsidRPr="005565F8" w:rsidR="00975ADA">
        <w:t xml:space="preserve"> </w:t>
      </w:r>
      <w:r w:rsidRPr="005565F8">
        <w:t>mēnesī. Kopējais finansējums – 22</w:t>
      </w:r>
      <w:r w:rsidRPr="005565F8" w:rsidR="00702E01">
        <w:t>,</w:t>
      </w:r>
      <w:r w:rsidRPr="005565F8">
        <w:t>3 milj.</w:t>
      </w:r>
      <w:r w:rsidRPr="005565F8" w:rsidR="00975ADA">
        <w:t xml:space="preserve"> EUR</w:t>
      </w:r>
      <w:r w:rsidRPr="005565F8">
        <w:t xml:space="preserve"> 2018.gadā, 27,1 milj.</w:t>
      </w:r>
      <w:r w:rsidRPr="005565F8" w:rsidR="00975ADA">
        <w:t xml:space="preserve"> EUR</w:t>
      </w:r>
      <w:r w:rsidRPr="005565F8">
        <w:t xml:space="preserve"> 2019.un turpmākajos gados; </w:t>
      </w:r>
      <w:r w:rsidRPr="005565F8" w:rsidR="00975ADA">
        <w:br/>
      </w:r>
      <w:r w:rsidRPr="005565F8">
        <w:rPr>
          <w:color w:val="000000"/>
        </w:rPr>
        <w:t>4) pilnveidoti ģimenes valsts pabalsta saņemšanas nosacījumi. Bērnu skaits, kas turpmāk saņems pabalstu -</w:t>
      </w:r>
      <w:r w:rsidRPr="005565F8">
        <w:t xml:space="preserve"> 21,5 tūkst. mēnesī. Kopējais finansējums – 5,9 milj.</w:t>
      </w:r>
      <w:r w:rsidRPr="005565F8" w:rsidR="00975ADA">
        <w:t xml:space="preserve"> EUR</w:t>
      </w:r>
      <w:r w:rsidRPr="005565F8">
        <w:t xml:space="preserve"> 2018.gadā, 5,4 milj.</w:t>
      </w:r>
      <w:r w:rsidRPr="005565F8" w:rsidR="00975ADA">
        <w:t xml:space="preserve"> EUR</w:t>
      </w:r>
      <w:r w:rsidRPr="005565F8">
        <w:t xml:space="preserve"> 2019.</w:t>
      </w:r>
      <w:r w:rsidRPr="005565F8" w:rsidR="00975ADA">
        <w:t> </w:t>
      </w:r>
      <w:r w:rsidRPr="005565F8">
        <w:t>un turpmākajos gados;</w:t>
      </w:r>
    </w:p>
    <w:p w:rsidR="00EA4B58" w:rsidRPr="005565F8" w:rsidP="00735883" w14:paraId="668E4AD4" w14:textId="77777777">
      <w:pPr>
        <w:pStyle w:val="ListParagraph"/>
        <w:numPr>
          <w:ilvl w:val="0"/>
          <w:numId w:val="47"/>
        </w:numPr>
        <w:spacing w:after="60"/>
        <w:ind w:left="284" w:hanging="284"/>
        <w:contextualSpacing w:val="0"/>
      </w:pPr>
      <w:r w:rsidRPr="005565F8">
        <w:rPr>
          <w:bCs/>
          <w:color w:val="000000"/>
          <w:lang w:eastAsia="lv-LV"/>
        </w:rPr>
        <w:t xml:space="preserve">Pilnveidota adoptētāju un </w:t>
      </w:r>
      <w:r w:rsidRPr="005565F8">
        <w:rPr>
          <w:bCs/>
          <w:color w:val="000000"/>
          <w:lang w:eastAsia="lv-LV"/>
        </w:rPr>
        <w:t>ārpusģimenes</w:t>
      </w:r>
      <w:r w:rsidRPr="005565F8">
        <w:rPr>
          <w:bCs/>
          <w:color w:val="000000"/>
          <w:lang w:eastAsia="lv-LV"/>
        </w:rPr>
        <w:t xml:space="preserve"> aprūpes atbalsta sistēma, lai attīstītu ģimeniskā vidē (aizbildņi, audžuģimenes) balstītus </w:t>
      </w:r>
      <w:r w:rsidRPr="005565F8">
        <w:rPr>
          <w:bCs/>
          <w:color w:val="000000"/>
          <w:lang w:eastAsia="lv-LV"/>
        </w:rPr>
        <w:t>ārpusģimenes</w:t>
      </w:r>
      <w:r w:rsidRPr="005565F8">
        <w:rPr>
          <w:bCs/>
          <w:color w:val="000000"/>
          <w:lang w:eastAsia="lv-LV"/>
        </w:rPr>
        <w:t xml:space="preserve"> aprūpes pakalpojumus un panāktu, ka bērni dzīvo labvēlīgā ģimeniskā vai tai pietuvinātā vidē. Šim mērķim</w:t>
      </w:r>
      <w:r w:rsidRPr="005565F8" w:rsidR="00694D11">
        <w:rPr>
          <w:bCs/>
          <w:color w:val="000000"/>
          <w:lang w:eastAsia="lv-LV"/>
        </w:rPr>
        <w:t xml:space="preserve"> 2017.gadā papildus piešķirti 4,</w:t>
      </w:r>
      <w:r w:rsidRPr="005565F8">
        <w:rPr>
          <w:bCs/>
          <w:color w:val="000000"/>
          <w:lang w:eastAsia="lv-LV"/>
        </w:rPr>
        <w:t>8 milj.</w:t>
      </w:r>
      <w:r w:rsidRPr="005565F8" w:rsidR="00975ADA">
        <w:rPr>
          <w:bCs/>
          <w:color w:val="000000"/>
          <w:lang w:eastAsia="lv-LV"/>
        </w:rPr>
        <w:t xml:space="preserve"> EUR</w:t>
      </w:r>
      <w:r w:rsidRPr="005565F8" w:rsidR="00694D11">
        <w:rPr>
          <w:bCs/>
          <w:color w:val="000000"/>
          <w:lang w:eastAsia="lv-LV"/>
        </w:rPr>
        <w:t xml:space="preserve"> un 2018.gadā vēl 2,</w:t>
      </w:r>
      <w:r w:rsidRPr="005565F8">
        <w:rPr>
          <w:bCs/>
          <w:color w:val="000000"/>
          <w:lang w:eastAsia="lv-LV"/>
        </w:rPr>
        <w:t>9 milj.</w:t>
      </w:r>
      <w:r w:rsidRPr="005565F8" w:rsidR="00975ADA">
        <w:rPr>
          <w:bCs/>
          <w:color w:val="000000"/>
          <w:lang w:eastAsia="lv-LV"/>
        </w:rPr>
        <w:t xml:space="preserve"> EUR</w:t>
      </w:r>
      <w:r w:rsidRPr="005565F8">
        <w:rPr>
          <w:bCs/>
          <w:color w:val="000000"/>
          <w:lang w:eastAsia="lv-LV"/>
        </w:rPr>
        <w:t xml:space="preserve"> ik gadu: </w:t>
      </w:r>
      <w:r w:rsidRPr="005565F8" w:rsidR="00975ADA">
        <w:br/>
      </w:r>
      <w:r w:rsidRPr="005565F8">
        <w:rPr>
          <w:color w:val="000000"/>
        </w:rPr>
        <w:t xml:space="preserve">1) Pabalsts audžuģimenei bērna uzturam līdz bērna septiņu gadu vecuma sasniegšanai palielināts no 95 </w:t>
      </w:r>
      <w:r w:rsidRPr="005565F8" w:rsidR="00975ADA">
        <w:rPr>
          <w:color w:val="000000"/>
        </w:rPr>
        <w:t>EUR</w:t>
      </w:r>
      <w:r w:rsidRPr="005565F8">
        <w:rPr>
          <w:color w:val="000000"/>
        </w:rPr>
        <w:t xml:space="preserve"> 2017.gadā līdz 215 </w:t>
      </w:r>
      <w:r w:rsidRPr="005565F8" w:rsidR="00975ADA">
        <w:rPr>
          <w:color w:val="000000"/>
        </w:rPr>
        <w:t>EUR</w:t>
      </w:r>
      <w:r w:rsidRPr="005565F8">
        <w:rPr>
          <w:color w:val="000000"/>
        </w:rPr>
        <w:t xml:space="preserve"> 2018.gadā, bet bērnam vecumā no septiņiem līdz 17 (ieskaitot) gadiem – no 114 </w:t>
      </w:r>
      <w:r w:rsidRPr="005565F8" w:rsidR="00975ADA">
        <w:rPr>
          <w:color w:val="000000"/>
        </w:rPr>
        <w:t>EUR</w:t>
      </w:r>
      <w:r w:rsidRPr="005565F8">
        <w:rPr>
          <w:color w:val="000000"/>
        </w:rPr>
        <w:t xml:space="preserve"> 2017.gadā līdz 258 </w:t>
      </w:r>
      <w:r w:rsidRPr="005565F8" w:rsidR="00975ADA">
        <w:rPr>
          <w:color w:val="000000"/>
        </w:rPr>
        <w:t>EUR</w:t>
      </w:r>
      <w:r w:rsidRPr="005565F8">
        <w:rPr>
          <w:color w:val="000000"/>
        </w:rPr>
        <w:t xml:space="preserve"> 2018.gadā</w:t>
      </w:r>
      <w:r w:rsidRPr="005565F8">
        <w:t xml:space="preserve">. Atbalsta saņēmēju skaits </w:t>
      </w:r>
      <w:r w:rsidRPr="005565F8" w:rsidR="00975ADA">
        <w:t>–</w:t>
      </w:r>
      <w:r w:rsidRPr="005565F8">
        <w:t xml:space="preserve"> vidēji 1 375 bērni mēnesī; </w:t>
      </w:r>
      <w:r w:rsidRPr="005565F8" w:rsidR="00975ADA">
        <w:br/>
      </w:r>
      <w:r w:rsidRPr="005565F8">
        <w:rPr>
          <w:color w:val="000000"/>
        </w:rPr>
        <w:t xml:space="preserve">2) Atlīdzība audžuģimenei par pienākumu pildīšanu no 2018.gada ir atkarīga no aprūpē esošo bērnu skaita. Par vienu audžuģimenē ievietoto bērnu atlīdzības apmērs mēnesī ir </w:t>
      </w:r>
      <w:r w:rsidRPr="005565F8">
        <w:t>vienāds ar bērna kopšanas pabalsta apmēru personai, kura kopj bērnu vecumā līdz pusotram gadam, jeb 171</w:t>
      </w:r>
      <w:r w:rsidRPr="005565F8" w:rsidR="00731C86">
        <w:t> EUR</w:t>
      </w:r>
      <w:r w:rsidRPr="005565F8">
        <w:t xml:space="preserve">. </w:t>
      </w:r>
      <w:r w:rsidRPr="005565F8">
        <w:rPr>
          <w:color w:val="000000"/>
        </w:rPr>
        <w:t>Ja audžuģimenē ievietoti divi bērni, atlīdzības apmērs būs 222</w:t>
      </w:r>
      <w:r w:rsidRPr="005565F8" w:rsidR="00DB5138">
        <w:rPr>
          <w:color w:val="000000"/>
        </w:rPr>
        <w:t>,</w:t>
      </w:r>
      <w:r w:rsidRPr="005565F8">
        <w:rPr>
          <w:color w:val="000000"/>
        </w:rPr>
        <w:t xml:space="preserve">30 </w:t>
      </w:r>
      <w:r w:rsidRPr="005565F8" w:rsidR="00731C86">
        <w:rPr>
          <w:color w:val="000000"/>
        </w:rPr>
        <w:t>EUR</w:t>
      </w:r>
      <w:r w:rsidRPr="005565F8">
        <w:rPr>
          <w:color w:val="000000"/>
        </w:rPr>
        <w:t>, bet ja trīs un vairāk bērnu – 273</w:t>
      </w:r>
      <w:r w:rsidRPr="005565F8" w:rsidR="00DB5138">
        <w:rPr>
          <w:color w:val="000000"/>
        </w:rPr>
        <w:t>,</w:t>
      </w:r>
      <w:r w:rsidRPr="005565F8">
        <w:rPr>
          <w:color w:val="000000"/>
        </w:rPr>
        <w:t xml:space="preserve">60 </w:t>
      </w:r>
      <w:r w:rsidRPr="005565F8" w:rsidR="00731C86">
        <w:rPr>
          <w:color w:val="000000"/>
        </w:rPr>
        <w:t>EUR</w:t>
      </w:r>
      <w:r w:rsidRPr="005565F8">
        <w:rPr>
          <w:color w:val="000000"/>
        </w:rPr>
        <w:t xml:space="preserve">. Iepriekš atlīdzības apmērs bija 113,83 </w:t>
      </w:r>
      <w:r w:rsidRPr="005565F8" w:rsidR="00731C86">
        <w:rPr>
          <w:color w:val="000000"/>
        </w:rPr>
        <w:t>EUR</w:t>
      </w:r>
      <w:r w:rsidRPr="005565F8">
        <w:rPr>
          <w:color w:val="000000"/>
        </w:rPr>
        <w:t xml:space="preserve"> neatkarīgi no audžuģimenē esošo bērnu skaita. Atlīdzības saņēmēju skaits – vidēji 468 personas mēnesī; </w:t>
      </w:r>
      <w:r w:rsidRPr="005565F8" w:rsidR="00731C86">
        <w:rPr>
          <w:color w:val="000000"/>
        </w:rPr>
        <w:br/>
      </w:r>
      <w:r w:rsidRPr="005565F8">
        <w:rPr>
          <w:color w:val="000000"/>
        </w:rPr>
        <w:t xml:space="preserve">3) Paaugstināta adoptētāju un audžuģimeņu sociālā aizsardzība – no 2018.gada tiek veiktas sociālās apdrošināšanas iemaksas (pensiju apdrošināšanai, invaliditātes apdrošināšanai un apdrošināšanai pret bezdarbu) par personām, kuras saņem atlīdzību par audžuģimenes pienākumu pildīšanu un nav sociāli apdrošinātas (vidēji 189 personas mēnesī); </w:t>
      </w:r>
      <w:r w:rsidRPr="005565F8" w:rsidR="00731C86">
        <w:rPr>
          <w:color w:val="000000"/>
        </w:rPr>
        <w:br/>
      </w:r>
      <w:r w:rsidRPr="005565F8">
        <w:rPr>
          <w:color w:val="000000"/>
        </w:rPr>
        <w:t xml:space="preserve">4) Palielināta atlīdzība par adoptējamā bērna aprūpi sociāli apdrošinātām personām, kuras </w:t>
      </w:r>
      <w:r w:rsidRPr="005565F8">
        <w:rPr>
          <w:color w:val="000000"/>
        </w:rPr>
        <w:t>aprūpē bērnu līdz 8 gadu vecumam, –</w:t>
      </w:r>
      <w:r w:rsidRPr="005565F8" w:rsidR="00731C86">
        <w:rPr>
          <w:color w:val="000000"/>
        </w:rPr>
        <w:t xml:space="preserve"> </w:t>
      </w:r>
      <w:r w:rsidRPr="005565F8">
        <w:rPr>
          <w:color w:val="000000"/>
        </w:rPr>
        <w:t xml:space="preserve">atlīdzības apmērs ir </w:t>
      </w:r>
      <w:r w:rsidRPr="005565F8">
        <w:rPr>
          <w:color w:val="000000" w:themeColor="text1"/>
        </w:rPr>
        <w:t xml:space="preserve">70% no </w:t>
      </w:r>
      <w:r w:rsidRPr="005565F8">
        <w:rPr>
          <w:bCs/>
          <w:color w:val="000000" w:themeColor="text1"/>
        </w:rPr>
        <w:t>valstī noteiktās vidējās apdrošināšanas iemaksu algas</w:t>
      </w:r>
      <w:r w:rsidRPr="005565F8">
        <w:rPr>
          <w:color w:val="000000"/>
        </w:rPr>
        <w:t xml:space="preserve">. Pārējiem saņēmējiem atlīdzību maksās esošajā apmērā </w:t>
      </w:r>
      <w:r w:rsidRPr="005565F8" w:rsidR="00731C86">
        <w:rPr>
          <w:color w:val="000000"/>
        </w:rPr>
        <w:t>–</w:t>
      </w:r>
      <w:r w:rsidRPr="005565F8">
        <w:rPr>
          <w:color w:val="000000"/>
        </w:rPr>
        <w:t xml:space="preserve"> 171</w:t>
      </w:r>
      <w:r w:rsidRPr="005565F8" w:rsidR="00731C86">
        <w:rPr>
          <w:color w:val="000000"/>
        </w:rPr>
        <w:t> EUR</w:t>
      </w:r>
      <w:r w:rsidRPr="005565F8">
        <w:rPr>
          <w:color w:val="000000"/>
        </w:rPr>
        <w:t xml:space="preserve">. </w:t>
      </w:r>
      <w:r w:rsidRPr="005565F8">
        <w:rPr>
          <w:bCs/>
          <w:lang w:eastAsia="lv-LV"/>
        </w:rPr>
        <w:t>Ja adoptētājs aprūpēs vienlaikus vairākus bērnus, par nākamo piešķirs piemaksu 171</w:t>
      </w:r>
      <w:r w:rsidRPr="005565F8" w:rsidR="00731C86">
        <w:rPr>
          <w:bCs/>
          <w:lang w:eastAsia="lv-LV"/>
        </w:rPr>
        <w:t xml:space="preserve"> EUR </w:t>
      </w:r>
      <w:r w:rsidRPr="005565F8">
        <w:rPr>
          <w:bCs/>
          <w:lang w:eastAsia="lv-LV"/>
        </w:rPr>
        <w:t xml:space="preserve">apmērā. Vidējais atlīdzības saņēmēju skaits </w:t>
      </w:r>
      <w:r w:rsidRPr="005565F8" w:rsidR="00731C86">
        <w:rPr>
          <w:bCs/>
          <w:lang w:eastAsia="lv-LV"/>
        </w:rPr>
        <w:t>–</w:t>
      </w:r>
      <w:r w:rsidRPr="005565F8">
        <w:rPr>
          <w:bCs/>
          <w:lang w:eastAsia="lv-LV"/>
        </w:rPr>
        <w:t xml:space="preserve"> 33 personas mēnesī.</w:t>
      </w:r>
    </w:p>
    <w:p w:rsidR="00972614" w:rsidRPr="005565F8" w:rsidP="00E27B35" w14:paraId="7BD984D3" w14:textId="77777777"/>
    <w:p w:rsidR="00E27B35" w:rsidRPr="005565F8" w:rsidP="00E27B35" w14:paraId="62C97C60" w14:textId="77777777">
      <w:r w:rsidRPr="005565F8">
        <w:rPr>
          <w:rFonts w:eastAsia="Times New Roman"/>
          <w:bCs/>
          <w:color w:val="000000" w:themeColor="text1"/>
          <w:lang w:eastAsia="lv-LV"/>
        </w:rPr>
        <w:t>Līdztekus esošajiem aktīvās nodarbinātības pasākumiem</w:t>
      </w:r>
      <w:r w:rsidRPr="005565F8" w:rsidR="00DB5138">
        <w:rPr>
          <w:rFonts w:eastAsia="Times New Roman"/>
          <w:bCs/>
          <w:color w:val="000000" w:themeColor="text1"/>
          <w:lang w:eastAsia="lv-LV"/>
        </w:rPr>
        <w:t xml:space="preserve"> (turpmāk – ADTP)</w:t>
      </w:r>
      <w:r w:rsidRPr="005565F8">
        <w:rPr>
          <w:rFonts w:eastAsia="Times New Roman"/>
          <w:bCs/>
          <w:color w:val="000000" w:themeColor="text1"/>
          <w:lang w:eastAsia="lv-LV"/>
        </w:rPr>
        <w:t xml:space="preserve">, turpinās esošo </w:t>
      </w:r>
      <w:r w:rsidRPr="005565F8">
        <w:rPr>
          <w:rFonts w:eastAsia="Times New Roman"/>
          <w:b/>
          <w:bCs/>
          <w:color w:val="000000" w:themeColor="text1"/>
          <w:lang w:eastAsia="lv-LV"/>
        </w:rPr>
        <w:t>aktivizēšanas mehānismu un nosacījumu pilnveidošana bezdarbnieku</w:t>
      </w:r>
      <w:r w:rsidRPr="005565F8">
        <w:rPr>
          <w:rFonts w:eastAsia="Times New Roman"/>
          <w:bCs/>
          <w:color w:val="000000" w:themeColor="text1"/>
          <w:lang w:eastAsia="lv-LV"/>
        </w:rPr>
        <w:t xml:space="preserve"> un darba meklētāju efektīvai iesaistei darba tirgū</w:t>
      </w:r>
      <w:r w:rsidRPr="005565F8" w:rsidR="00FD4A8D">
        <w:t>:</w:t>
      </w:r>
    </w:p>
    <w:p w:rsidR="00FD4A8D" w:rsidRPr="005565F8" w:rsidP="00735883" w14:paraId="66B5541A" w14:textId="77777777">
      <w:pPr>
        <w:pStyle w:val="ListParagraph"/>
        <w:numPr>
          <w:ilvl w:val="0"/>
          <w:numId w:val="37"/>
        </w:numPr>
        <w:spacing w:before="120" w:after="60"/>
        <w:ind w:left="284" w:hanging="284"/>
        <w:rPr>
          <w:rFonts w:eastAsia="Times New Roman"/>
          <w:bCs/>
          <w:lang w:eastAsia="lv-LV"/>
        </w:rPr>
      </w:pPr>
      <w:r w:rsidRPr="005565F8">
        <w:rPr>
          <w:rFonts w:eastAsia="Times New Roman"/>
          <w:bCs/>
          <w:lang w:eastAsia="lv-LV"/>
        </w:rPr>
        <w:t xml:space="preserve">2017. gadā turpinājās vairāku ESF līdzfinansētu pasākumu un projektu īstenošana: </w:t>
      </w:r>
      <w:r w:rsidRPr="005565F8" w:rsidR="00731C86">
        <w:rPr>
          <w:rFonts w:eastAsia="Times New Roman"/>
          <w:bCs/>
          <w:lang w:eastAsia="lv-LV"/>
        </w:rPr>
        <w:br/>
      </w:r>
      <w:r w:rsidRPr="005565F8">
        <w:rPr>
          <w:rFonts w:eastAsia="Times New Roman"/>
          <w:bCs/>
          <w:lang w:eastAsia="lv-LV"/>
        </w:rPr>
        <w:t xml:space="preserve">1) „Atbalsts ilgstošajiem bezdarbniekiem”, kura ietvaros līdz 2023. gadam plānots atbalstīt </w:t>
      </w:r>
      <w:r w:rsidRPr="005565F8" w:rsidR="007573B9">
        <w:rPr>
          <w:rFonts w:eastAsia="Times New Roman"/>
          <w:bCs/>
          <w:lang w:eastAsia="lv-LV"/>
        </w:rPr>
        <w:t>19,3 </w:t>
      </w:r>
      <w:r w:rsidRPr="005565F8" w:rsidR="00972614">
        <w:rPr>
          <w:rFonts w:eastAsia="Times New Roman"/>
          <w:bCs/>
          <w:lang w:eastAsia="lv-LV"/>
        </w:rPr>
        <w:t> tūkst.</w:t>
      </w:r>
      <w:r w:rsidRPr="005565F8">
        <w:rPr>
          <w:rFonts w:eastAsia="Times New Roman"/>
          <w:bCs/>
          <w:lang w:eastAsia="lv-LV"/>
        </w:rPr>
        <w:t xml:space="preserve"> personas; </w:t>
      </w:r>
      <w:r w:rsidRPr="005565F8" w:rsidR="00731C86">
        <w:rPr>
          <w:rFonts w:eastAsia="Times New Roman"/>
          <w:bCs/>
          <w:lang w:eastAsia="lv-LV"/>
        </w:rPr>
        <w:br/>
      </w:r>
      <w:r w:rsidRPr="005565F8">
        <w:rPr>
          <w:rFonts w:eastAsia="Times New Roman"/>
          <w:bCs/>
          <w:lang w:eastAsia="lv-LV"/>
        </w:rPr>
        <w:t xml:space="preserve">2) „Atbalsts sociālajai uzņēmējdarbībai”, kura ietvaros līdz 2023. gadam plānots atbalstīt 217 nelabvēlīgākā situācijā esošos bezdarbniekus, personas ar invaliditāti un personas ar garīga rakstura traucējumiem; </w:t>
      </w:r>
      <w:r w:rsidRPr="005565F8" w:rsidR="00731C86">
        <w:rPr>
          <w:rFonts w:eastAsia="Times New Roman"/>
          <w:bCs/>
          <w:lang w:eastAsia="lv-LV"/>
        </w:rPr>
        <w:br/>
      </w:r>
      <w:r w:rsidRPr="005565F8">
        <w:rPr>
          <w:rFonts w:eastAsia="Times New Roman"/>
          <w:bCs/>
          <w:lang w:eastAsia="lv-LV"/>
        </w:rPr>
        <w:t>3) „Gados vecāku nodarbināto personu darbspēju saglabāšanas un nodarbinātības veicināšana”, kura ietvaros līdz 2023. gadam plānots atbalstīt 3 </w:t>
      </w:r>
      <w:r w:rsidRPr="005565F8" w:rsidR="00972614">
        <w:rPr>
          <w:rFonts w:eastAsia="Times New Roman"/>
          <w:bCs/>
          <w:lang w:eastAsia="lv-LV"/>
        </w:rPr>
        <w:t>tūkst.</w:t>
      </w:r>
      <w:r w:rsidRPr="005565F8">
        <w:rPr>
          <w:rFonts w:eastAsia="Times New Roman"/>
          <w:bCs/>
          <w:lang w:eastAsia="lv-LV"/>
        </w:rPr>
        <w:t xml:space="preserve"> personas; </w:t>
      </w:r>
      <w:r w:rsidRPr="005565F8" w:rsidR="00731C86">
        <w:rPr>
          <w:rFonts w:eastAsia="Times New Roman"/>
          <w:bCs/>
          <w:lang w:eastAsia="lv-LV"/>
        </w:rPr>
        <w:br/>
      </w:r>
      <w:r w:rsidRPr="005565F8">
        <w:rPr>
          <w:rFonts w:eastAsia="Times New Roman"/>
          <w:bCs/>
          <w:lang w:eastAsia="lv-LV"/>
        </w:rPr>
        <w:t xml:space="preserve">4) „Personu ar invaliditāti vai garīga rakstura traucējumiem integrācija nodarbinātībā un sabiedrībā”, kura ietvaros līdz 2022. gada beigām plānots atbalstīt 100 nelabvēlīgā situācijā esošus iedzīvotājus; </w:t>
      </w:r>
      <w:r w:rsidRPr="005565F8" w:rsidR="00731C86">
        <w:rPr>
          <w:rFonts w:eastAsia="Times New Roman"/>
          <w:bCs/>
          <w:lang w:eastAsia="lv-LV"/>
        </w:rPr>
        <w:br/>
      </w:r>
      <w:r w:rsidRPr="005565F8" w:rsidR="00B36660">
        <w:rPr>
          <w:rFonts w:eastAsia="Times New Roman"/>
          <w:bCs/>
          <w:lang w:eastAsia="lv-LV"/>
        </w:rPr>
        <w:t>5) “</w:t>
      </w:r>
      <w:r w:rsidRPr="005565F8">
        <w:rPr>
          <w:rFonts w:eastAsia="Times New Roman"/>
          <w:bCs/>
          <w:lang w:eastAsia="lv-LV"/>
        </w:rPr>
        <w:t xml:space="preserve">Motivācijas programma darba meklēšanai un </w:t>
      </w:r>
      <w:r w:rsidRPr="005565F8">
        <w:rPr>
          <w:rFonts w:eastAsia="Times New Roman"/>
          <w:bCs/>
          <w:lang w:eastAsia="lv-LV"/>
        </w:rPr>
        <w:t>mentora</w:t>
      </w:r>
      <w:r w:rsidRPr="005565F8">
        <w:rPr>
          <w:rFonts w:eastAsia="Times New Roman"/>
          <w:bCs/>
          <w:lang w:eastAsia="lv-LV"/>
        </w:rPr>
        <w:t xml:space="preserve"> pakalpojumi personām ar invaliditāti”, kura ietvaros līdz 2020. gadam plānots atbalstīt 1</w:t>
      </w:r>
      <w:r w:rsidRPr="005565F8" w:rsidR="00972614">
        <w:rPr>
          <w:rFonts w:eastAsia="Times New Roman"/>
          <w:bCs/>
          <w:lang w:eastAsia="lv-LV"/>
        </w:rPr>
        <w:t> </w:t>
      </w:r>
      <w:r w:rsidRPr="005565F8">
        <w:rPr>
          <w:rFonts w:eastAsia="Times New Roman"/>
          <w:bCs/>
          <w:lang w:eastAsia="lv-LV"/>
        </w:rPr>
        <w:t xml:space="preserve">200 personas (detalizētāku informāciju par pasākumiem </w:t>
      </w:r>
      <w:r w:rsidRPr="005565F8">
        <w:rPr>
          <w:rFonts w:eastAsia="Times New Roman"/>
          <w:bCs/>
          <w:i/>
          <w:lang w:eastAsia="lv-LV"/>
        </w:rPr>
        <w:t>skat. 3.3. un 3.5.1. nodaļā)</w:t>
      </w:r>
      <w:r w:rsidRPr="005565F8">
        <w:rPr>
          <w:rFonts w:eastAsia="Times New Roman"/>
          <w:bCs/>
          <w:lang w:eastAsia="lv-LV"/>
        </w:rPr>
        <w:t>;</w:t>
      </w:r>
    </w:p>
    <w:p w:rsidR="00B36660" w:rsidRPr="005565F8" w:rsidP="00B36660" w14:paraId="5568527E" w14:textId="77777777">
      <w:pPr>
        <w:pStyle w:val="ListParagraph"/>
        <w:spacing w:before="120" w:after="60"/>
        <w:ind w:left="284"/>
        <w:rPr>
          <w:rFonts w:eastAsia="Times New Roman"/>
          <w:bCs/>
          <w:lang w:eastAsia="lv-LV"/>
        </w:rPr>
      </w:pPr>
      <w:r w:rsidRPr="005565F8">
        <w:rPr>
          <w:rFonts w:eastAsia="Times New Roman"/>
          <w:bCs/>
          <w:lang w:eastAsia="lv-LV"/>
        </w:rPr>
        <w:t>6) “Subsidētās darbavietas bezdarbniekiem”</w:t>
      </w:r>
      <w:r w:rsidRPr="005565F8" w:rsidR="003929A6">
        <w:rPr>
          <w:rFonts w:eastAsia="Times New Roman"/>
          <w:bCs/>
          <w:lang w:eastAsia="lv-LV"/>
        </w:rPr>
        <w:t xml:space="preserve"> – </w:t>
      </w:r>
      <w:r w:rsidRPr="005565F8">
        <w:rPr>
          <w:rFonts w:eastAsia="Times New Roman"/>
          <w:bCs/>
          <w:lang w:eastAsia="lv-LV"/>
        </w:rPr>
        <w:t>līdz 2022.gada beigām plānots atbalstīt 5177 nelabvēlīgākā situācijā esošo bezdarbnieku (personu ar invaliditāti, ilgstošo bezdarbnieku, gados vecāku personu, persona, kura ieguvusi bēgļa vai alternatīvās personas statusu) iekļaušanos sabiedrībā un iekārtošanos pastāvīgā darbā;</w:t>
      </w:r>
    </w:p>
    <w:p w:rsidR="00972614" w:rsidRPr="005565F8" w:rsidP="00735883" w14:paraId="1E319EF1" w14:textId="77777777">
      <w:pPr>
        <w:pStyle w:val="ListParagraph"/>
        <w:numPr>
          <w:ilvl w:val="0"/>
          <w:numId w:val="41"/>
        </w:numPr>
        <w:suppressAutoHyphens/>
        <w:autoSpaceDE w:val="0"/>
        <w:autoSpaceDN w:val="0"/>
        <w:adjustRightInd w:val="0"/>
        <w:spacing w:after="0"/>
        <w:ind w:left="284" w:hanging="284"/>
      </w:pPr>
      <w:r w:rsidRPr="005565F8">
        <w:rPr>
          <w:kern w:val="18"/>
        </w:rPr>
        <w:t xml:space="preserve">izstrādātas izmaiņas normatīvajā regulējumā, kas paredz </w:t>
      </w:r>
      <w:r w:rsidRPr="005565F8">
        <w:rPr>
          <w:iCs/>
          <w:color w:val="000000"/>
          <w:lang w:eastAsia="ar-SA"/>
        </w:rPr>
        <w:t xml:space="preserve">piemērota darba noteikšanas kritēriju precizēšanu un stingrākus nosacījumus darba piedāvājuma pieņemšanai bezdarbniekam pēc sešu mēnešu bezdarba perioda, kā arī precizē nosacījumus darba meklējumu dienasgrāmatas aizpildīšanai, sasaistot tos ar reģistrētā bezdarba līmeni attiecīgā teritorijā. Izmaiņu mērķis ir aktivizēt un motivēt bezdarbniekus ātrāk atgriezties darba tirgū, pastiprinot darba meklēšanas pienākumus un pārskatot piemērota darba kritērijus. Izmaiņu ieviešanas rezultātā plānots izdevumu samazinājums bezdarbnieka pabalstiem 2017.gadā par 3,2 milj. EUR, 2018.gadā </w:t>
      </w:r>
      <w:r w:rsidRPr="005565F8">
        <w:rPr>
          <w:iCs/>
          <w:color w:val="000000"/>
          <w:lang w:eastAsia="ar-SA"/>
        </w:rPr>
        <w:t>par 3,5 milj. EUR un 2019.gadā par 3,6 milj. EUR. Saskaņā ar NVA datiem, 2017.gadā ir pieaudzis to bezdarbnieku skaits, kas zaudējuši bezdarbnieka statusu darba iekārtošanās dēļ. 2017.gadā statusu zaudējuši 103 tūkst. bezdarbnieki, no tiem 53,9 tūkst. personas (52,3%) iekārtojās darbā, bet 37,5 tūkst. personas (36,4%) zaudēja bezdarbnieka statusu bezdarbnieka pienākumu nepildīšanas dēļ (2016.gadā</w:t>
      </w:r>
      <w:r w:rsidRPr="005565F8" w:rsidR="00DB5138">
        <w:rPr>
          <w:iCs/>
          <w:color w:val="000000"/>
          <w:lang w:eastAsia="ar-SA"/>
        </w:rPr>
        <w:t xml:space="preserve"> –</w:t>
      </w:r>
      <w:r w:rsidRPr="005565F8">
        <w:rPr>
          <w:iCs/>
          <w:color w:val="000000"/>
          <w:lang w:eastAsia="ar-SA"/>
        </w:rPr>
        <w:t xml:space="preserve"> attiecīgi 41% un 47%).</w:t>
      </w:r>
    </w:p>
    <w:p w:rsidR="00E27B35" w:rsidRPr="005565F8" w:rsidP="00E27B35" w14:paraId="70AB3DFE" w14:textId="77777777"/>
    <w:p w:rsidR="00883C8C" w:rsidRPr="005565F8" w:rsidP="00883C8C" w14:paraId="74762D2F" w14:textId="77777777">
      <w:r w:rsidRPr="005565F8">
        <w:t xml:space="preserve">Saskaņā ar </w:t>
      </w:r>
      <w:r w:rsidRPr="005565F8">
        <w:t>Eurostat</w:t>
      </w:r>
      <w:r w:rsidRPr="005565F8">
        <w:t xml:space="preserve"> datiem reģistrēto bezdarbnieku pārklājums ar aktīvās darba tirgus politikas pasākumiem pēdējo gadu laikā ir bijis stabils – aptuveni 11%. Šajā rādītājā reģistrēto bezdarbnieku – atbalsta pasākumu dalībnieku skaits tiek attiecināts pret 100 personām, kas vēlas strādāt. Savukārt reģistrēto bezdarbnieku iesaiste dažādos atbalsta pasākumos ir daudz lielāka. </w:t>
      </w:r>
      <w:r w:rsidRPr="005565F8" w:rsidR="00061F2E">
        <w:t>2017.gadā reģistrētā bezdarbnieka statusu ieguva 87 335 unikālas personas. Dažādos atbalsta pasākumos piedalījušies 83 441 reģistrētie bezdarbnieki (unikālās personas) jeb vairāk kā puse no NVA uzskaitē esošo reģistrēto bezdarbnieku kopskaita</w:t>
      </w:r>
      <w:r w:rsidRPr="005565F8">
        <w:t xml:space="preserve">. Jāuzsver, ka reģistrēto bezdarbnieku iesaiste ADTP pasākumos notiek saskaņā ar profilēšanas rezultātiem </w:t>
      </w:r>
      <w:r w:rsidRPr="005565F8">
        <w:rPr>
          <w:i/>
        </w:rPr>
        <w:t>(skat. 3.3.nodaļu)</w:t>
      </w:r>
      <w:r w:rsidRPr="005565F8">
        <w:t xml:space="preserve">. </w:t>
      </w:r>
      <w:r w:rsidRPr="005565F8" w:rsidR="005F18FC">
        <w:t>Bezdarbnieka statusu 2017.gadā zaudējuši 103 tūkst. bezdarbnieku, no kuriem darbā iekārtojās 53,9 tūkst. (52,3%), savukārt 37,5 tūkst. personas (36,4%) zaudēja bezdarbnieka statusu bezdarbnieka pienākumu nepildīšanas dēļ.</w:t>
      </w:r>
    </w:p>
    <w:p w:rsidR="00D0314A" w:rsidRPr="005565F8" w:rsidP="00883C8C" w14:paraId="74B06446" w14:textId="77777777">
      <w:r w:rsidRPr="005565F8">
        <w:t>Apmācību pasākumiem bezdarbniekiem ir pozitīvi īstermiņa un vidējā termiņa efekti attiecībā uz spējām iekārtoties darbā, kā arī cilvēku atalgojuma līmeni un darba kvalitātes aspektiem</w:t>
      </w:r>
      <w:r>
        <w:rPr>
          <w:rStyle w:val="FootnoteReference"/>
        </w:rPr>
        <w:footnoteReference w:id="11"/>
      </w:r>
      <w:r w:rsidRPr="005565F8">
        <w:t>. Saskaņā ar NVA datiem, tūlītējs darbā iekārtošanās rādītājs apmācību pasākumu dalībniekiem pēdējos gados ir ievērojami uzlabojies</w:t>
      </w:r>
      <w:r w:rsidRPr="005565F8" w:rsidR="003929A6">
        <w:t>.</w:t>
      </w:r>
      <w:r w:rsidRPr="005565F8">
        <w:t xml:space="preserve"> 2015.-2016.gadā vidēji 40% no visiem profesionālās izglītības programmu dalībniekiem ir atgriezušies darbā pirmo sešu mēnešu laikā kopš dalības pasākumā pabeigšanas (2010./2011.gadā – 34%, 2012./2013.gadā – 35,7%). Attiecīgi neformālās izglītības pasākumiem šis rādītājs 2015.-2016.gadā veido 32% (2010./2011.gadā – 25%, 2012./2013.gadā – 24,6%). Subsidētās nodarbinātības pasākumu īstenošanas rezultāti ir novērtēti diezgan augstu – vidēji 75-85% robežās (pasākumu dalībnieku, kas paliek nodarbināti 6 mēnešu laikā pēc </w:t>
      </w:r>
      <w:r w:rsidRPr="005565F8">
        <w:t>dalības pasākumā pabeigšanas, īpatsvars kopējā pasākuma beidzēju skaitā 2014.-2016.gadā).</w:t>
      </w:r>
    </w:p>
    <w:p w:rsidR="00972614" w:rsidRPr="005565F8" w:rsidP="00883C8C" w14:paraId="2E03C98B" w14:textId="77777777">
      <w:r w:rsidRPr="005565F8">
        <w:t xml:space="preserve">Lai paaugstinātu </w:t>
      </w:r>
      <w:r w:rsidRPr="005565F8">
        <w:rPr>
          <w:b/>
        </w:rPr>
        <w:t>profesionālās izglītības</w:t>
      </w:r>
      <w:r w:rsidRPr="005565F8">
        <w:t xml:space="preserve"> kvalitāti, pievilcību un atbilstību tautsaimniecības vajadzībām, kā arī veicinātu izglītojamo interesi par profesionālo izglītību, tika turpinātas profesionālās izglītības</w:t>
      </w:r>
      <w:r w:rsidRPr="005565F8">
        <w:rPr>
          <w:b/>
        </w:rPr>
        <w:t xml:space="preserve"> </w:t>
      </w:r>
      <w:r w:rsidRPr="005565F8">
        <w:t xml:space="preserve">reformas. </w:t>
      </w:r>
    </w:p>
    <w:p w:rsidR="00972614" w:rsidRPr="005565F8" w:rsidP="00972614" w14:paraId="62579390" w14:textId="77777777">
      <w:pPr>
        <w:autoSpaceDE w:val="0"/>
        <w:autoSpaceDN w:val="0"/>
        <w:adjustRightInd w:val="0"/>
      </w:pPr>
      <w:r w:rsidRPr="005565F8">
        <w:t>Ar ES fondu atbalstu turpinās profesionāl</w:t>
      </w:r>
      <w:r w:rsidRPr="005565F8" w:rsidR="00DB5138">
        <w:t>ā</w:t>
      </w:r>
      <w:r w:rsidRPr="005565F8">
        <w:t>s izglītības satura reforma</w:t>
      </w:r>
      <w:r>
        <w:rPr>
          <w:rStyle w:val="FootnoteReference"/>
        </w:rPr>
        <w:footnoteReference w:id="12"/>
      </w:r>
      <w:r w:rsidRPr="005565F8" w:rsidR="00DB5138">
        <w:t>,</w:t>
      </w:r>
      <w:r w:rsidRPr="005565F8">
        <w:t xml:space="preserve"> nodrošinot (1) parēju no priekšmetos balstīta uz mācīšanās rezultātos balstītu profesionālās izglītības mācību saturu, kā arī (2) ieviešot modulāro pieeju profesionālās izglītības programmu īstenošanā. </w:t>
      </w:r>
    </w:p>
    <w:p w:rsidR="00972614" w:rsidRPr="005565F8" w:rsidP="00972614" w14:paraId="54C4F2BF" w14:textId="77777777">
      <w:pPr>
        <w:rPr>
          <w:b/>
          <w:iCs/>
        </w:rPr>
      </w:pPr>
      <w:r w:rsidRPr="005565F8">
        <w:rPr>
          <w:iCs/>
        </w:rPr>
        <w:t>Ar mērķi</w:t>
      </w:r>
      <w:r w:rsidRPr="005565F8">
        <w:rPr>
          <w:color w:val="000000"/>
        </w:rPr>
        <w:t xml:space="preserve"> izstrādāt mainīgajām darba tirgus prasībām atbilstošu profesionālās izglītības saturu un nodrošināt profesionālās izglītības atbilstību Eiropas kvalifikācijas </w:t>
      </w:r>
      <w:r w:rsidRPr="005565F8">
        <w:rPr>
          <w:color w:val="000000"/>
        </w:rPr>
        <w:t>ietvarstruktūrai</w:t>
      </w:r>
      <w:r w:rsidRPr="005565F8">
        <w:rPr>
          <w:color w:val="000000"/>
        </w:rPr>
        <w:t xml:space="preserve"> k</w:t>
      </w:r>
      <w:r w:rsidRPr="005565F8">
        <w:rPr>
          <w:iCs/>
        </w:rPr>
        <w:t xml:space="preserve">opš 2016.gada nogales tiek īstenots ESF līdzfinansēts projekts </w:t>
      </w:r>
      <w:r w:rsidRPr="005565F8">
        <w:rPr>
          <w:i/>
          <w:iCs/>
        </w:rPr>
        <w:t>“Nozaru kvalifikācijas sistēmas pilnveide profesionālās izglītības attīstībai un kvalitātes nodrošināšanai”</w:t>
      </w:r>
      <w:r>
        <w:rPr>
          <w:rStyle w:val="FootnoteReference"/>
          <w:iCs/>
        </w:rPr>
        <w:footnoteReference w:id="13"/>
      </w:r>
      <w:r w:rsidRPr="005565F8">
        <w:rPr>
          <w:iCs/>
        </w:rPr>
        <w:t xml:space="preserve">. </w:t>
      </w:r>
      <w:r w:rsidRPr="005565F8">
        <w:rPr>
          <w:color w:val="000000"/>
        </w:rPr>
        <w:t xml:space="preserve">Projekta ietvaros ir </w:t>
      </w:r>
      <w:r w:rsidRPr="005565F8">
        <w:rPr>
          <w:iCs/>
        </w:rPr>
        <w:t>paredzēta</w:t>
      </w:r>
      <w:r w:rsidRPr="005565F8">
        <w:rPr>
          <w:color w:val="000000" w:themeColor="text1"/>
        </w:rPr>
        <w:t xml:space="preserve"> nozaru kvalifikāciju sistēmas pilnveide </w:t>
      </w:r>
      <w:r w:rsidRPr="005565F8">
        <w:t>un aprakstu sagatavošana</w:t>
      </w:r>
      <w:r w:rsidRPr="005565F8">
        <w:rPr>
          <w:color w:val="000000" w:themeColor="text1"/>
        </w:rPr>
        <w:t xml:space="preserve">, 160 profesiju standartu un profesionālās kvalifikācijas prasību izstrāde vai pilnveide (90 līdz 2018.gada beigām), 184 modulāro profesionālās izglītības programmu izstrāde un ieviešana (10 līdz 2018.gada beigām), </w:t>
      </w:r>
      <w:r w:rsidRPr="005565F8">
        <w:rPr>
          <w:rFonts w:eastAsiaTheme="minorHAnsi"/>
        </w:rPr>
        <w:t>profesionālās kvalifikācijas eksāmenu satura izstrāde 210 profesionālajām kvalifikācijām</w:t>
      </w:r>
      <w:r w:rsidRPr="005565F8">
        <w:t>, kā arī attiecīgo mācību līdzekļu un metodisko materiālu izstrāde.</w:t>
      </w:r>
      <w:r w:rsidRPr="005565F8">
        <w:rPr>
          <w:iCs/>
        </w:rPr>
        <w:t xml:space="preserve"> </w:t>
      </w:r>
      <w:r w:rsidRPr="005565F8">
        <w:t>Lai paātrinātu projekta rezultātu sasniegšanu, tika pārplānots projekta īstenošanas grafiks un vairākas aktivitātes uzsāktas ātrāk</w:t>
      </w:r>
      <w:r w:rsidRPr="005565F8">
        <w:rPr>
          <w:b/>
        </w:rPr>
        <w:t xml:space="preserve">. </w:t>
      </w:r>
      <w:r w:rsidRPr="005565F8">
        <w:rPr>
          <w:iCs/>
        </w:rPr>
        <w:t xml:space="preserve">Kopējais plānotais finansējums ir 12,9 milj. EUR, </w:t>
      </w:r>
      <w:r w:rsidRPr="005565F8" w:rsidR="00DB5138">
        <w:rPr>
          <w:iCs/>
        </w:rPr>
        <w:t>t.sk.</w:t>
      </w:r>
      <w:r w:rsidRPr="005565F8">
        <w:rPr>
          <w:iCs/>
        </w:rPr>
        <w:t xml:space="preserve"> </w:t>
      </w:r>
      <w:r w:rsidRPr="005565F8" w:rsidR="00DB5138">
        <w:rPr>
          <w:iCs/>
        </w:rPr>
        <w:t>ESF</w:t>
      </w:r>
      <w:r w:rsidRPr="005565F8">
        <w:rPr>
          <w:iCs/>
        </w:rPr>
        <w:t xml:space="preserve"> finansējums 11 milj. EUR un valsts budžeta līdzfinansējums – 1,9 milj. EUR. </w:t>
      </w:r>
    </w:p>
    <w:p w:rsidR="00972614" w:rsidRPr="005565F8" w:rsidP="00972614" w14:paraId="22A177C2" w14:textId="77777777">
      <w:r w:rsidRPr="005565F8">
        <w:t xml:space="preserve">2017.gada jūlijā noslēgts līgums par nozares kvalifikāciju struktūras analīzi saskaņā ar Eiropas kvalifikācijas </w:t>
      </w:r>
      <w:r w:rsidRPr="005565F8">
        <w:t>ietvarstruktūru</w:t>
      </w:r>
      <w:r w:rsidRPr="005565F8" w:rsidR="00DB5138">
        <w:t>.</w:t>
      </w:r>
      <w:r w:rsidRPr="005565F8">
        <w:t xml:space="preserve"> </w:t>
      </w:r>
      <w:r w:rsidRPr="005565F8" w:rsidR="00DB5138">
        <w:t>P</w:t>
      </w:r>
      <w:r w:rsidRPr="005565F8">
        <w:t>aredzēts, ka līdz 2018.gada beigām tiks pabeigta 14 plānoto nozaru, kā arī vēl vienas – dizaina un radošo industriju nozares – kvalifikācijas struktūru analīze.</w:t>
      </w:r>
    </w:p>
    <w:p w:rsidR="00972614" w:rsidRPr="005565F8" w:rsidP="00972614" w14:paraId="277C164F" w14:textId="77777777">
      <w:r w:rsidRPr="005565F8">
        <w:t>Kopumā ir izstrādāti un saskaņoti vairāk nekā puse (129) no plānotajiem profesiju standartiem un profesionālās kvalifikācijas prasībām</w:t>
      </w:r>
      <w:r>
        <w:rPr>
          <w:rStyle w:val="FootnoteReference"/>
        </w:rPr>
        <w:footnoteReference w:id="14"/>
      </w:r>
      <w:r w:rsidRPr="005565F8">
        <w:t xml:space="preserve">. 2017.gadā nodrošināta 64 profesiju standartu izstrāde sākotnēji plānoto 30 profesijas standartu vietā. Līdz 2018.gada februārim PINTSA ir apstiprinājusi 49 profesijas </w:t>
      </w:r>
      <w:r w:rsidRPr="005565F8">
        <w:t>standartus /profesionālās kvalifikācijas pamatprasības.</w:t>
      </w:r>
    </w:p>
    <w:p w:rsidR="00972614" w:rsidRPr="005565F8" w:rsidP="00972614" w14:paraId="5E709D74" w14:textId="77777777">
      <w:r w:rsidRPr="005565F8">
        <w:t xml:space="preserve">Sākta arī modulāro profesionālās izglītības programmu izstrāde 10 profesionālās kvalifikācijās no 184 moduļu programmām, un, saskaņā ar plānotajiem vidēja termiņa rezultātiem, tā tiks pabeigta 2018.gadā. Turklāt līdz 2018./2019.mācību gada sākumam plānots izstrādāt un licencēt moduļu programmas 17 profesionālajām kvalifikācijām. </w:t>
      </w:r>
    </w:p>
    <w:p w:rsidR="00972614" w:rsidRPr="005565F8" w:rsidP="00972614" w14:paraId="2155534B" w14:textId="77777777">
      <w:pPr>
        <w:rPr>
          <w:bCs/>
        </w:rPr>
      </w:pPr>
      <w:r w:rsidRPr="005565F8">
        <w:rPr>
          <w:bCs/>
        </w:rPr>
        <w:t>Paralēli uzsākts darbs pie profesionālo kvalifikācijas eksāmenu satura izstrādes 65 profesionālajām kvalifikācijām. 2018.gadā plānots izstrādāt profesionālo kvalifikācijas eksāmenu saturu 59 profesionālajām kvalifikācijām.</w:t>
      </w:r>
    </w:p>
    <w:p w:rsidR="00972614" w:rsidRPr="005565F8" w:rsidP="00972614" w14:paraId="61692A27" w14:textId="77777777">
      <w:pPr>
        <w:spacing w:after="100"/>
        <w:rPr>
          <w:iCs/>
        </w:rPr>
      </w:pPr>
      <w:r w:rsidRPr="005565F8">
        <w:t xml:space="preserve">Vienlaikus </w:t>
      </w:r>
      <w:r w:rsidRPr="005565F8">
        <w:rPr>
          <w:bCs/>
        </w:rPr>
        <w:t>uzsākta izstrādāto profesionālās izglītības modulāro programmu īstenošana, t.sk. pieaugušo izglītības ietvaros</w:t>
      </w:r>
      <w:r w:rsidRPr="005565F8">
        <w:t xml:space="preserve">. </w:t>
      </w:r>
      <w:r w:rsidRPr="005565F8">
        <w:rPr>
          <w:bCs/>
        </w:rPr>
        <w:t xml:space="preserve">Ja 2016./2017.mācību gadā tika uzsākta 29 </w:t>
      </w:r>
      <w:r w:rsidRPr="005565F8">
        <w:t>no 56</w:t>
      </w:r>
      <w:r w:rsidRPr="005565F8">
        <w:rPr>
          <w:bCs/>
        </w:rPr>
        <w:t xml:space="preserve"> reformu pirmajā posmā izstrādāto profesionālās izglītības modulāro programmu īstenošanas, tad s</w:t>
      </w:r>
      <w:r w:rsidRPr="005565F8">
        <w:t xml:space="preserve">ākot ar 2017./2018. mācību gadu </w:t>
      </w:r>
      <w:r w:rsidRPr="005565F8">
        <w:rPr>
          <w:bCs/>
        </w:rPr>
        <w:t xml:space="preserve">uzsākta jau profesionālās izglītības modulāro programmu </w:t>
      </w:r>
      <w:r w:rsidRPr="005565F8">
        <w:t xml:space="preserve">39 profesionālās kvalifikācijās </w:t>
      </w:r>
      <w:r w:rsidRPr="005565F8">
        <w:rPr>
          <w:bCs/>
        </w:rPr>
        <w:t xml:space="preserve">īstenošana </w:t>
      </w:r>
      <w:r w:rsidRPr="005565F8">
        <w:t>24 profesionālās izglītības iestādēs.</w:t>
      </w:r>
      <w:r w:rsidRPr="005565F8">
        <w:rPr>
          <w:bCs/>
        </w:rPr>
        <w:t xml:space="preserve"> </w:t>
      </w:r>
      <w:r w:rsidRPr="005565F8">
        <w:t>Visu izstrādāto modulāro programmu īstenošana nav uzsākta, jo atsevišķās programmās, kā piemēram  lopkopības un pārtikas ražošanas jomā, nebija iespējams nokomplektēt mācību grupas mazās studentu intereses dēļ. Lielāko studentu pieprasījumu guva modulārās programm</w:t>
      </w:r>
      <w:r w:rsidRPr="005565F8" w:rsidR="0029119E">
        <w:t>a</w:t>
      </w:r>
      <w:r w:rsidRPr="005565F8">
        <w:t xml:space="preserve">s loģistikā, celtniecībā un būvniecībā, IT, tūrismā u.tml. jomās. </w:t>
      </w:r>
    </w:p>
    <w:p w:rsidR="00972614" w:rsidRPr="005565F8" w:rsidP="00972614" w14:paraId="1A830611" w14:textId="77777777">
      <w:pPr>
        <w:spacing w:after="100"/>
        <w:rPr>
          <w:b/>
          <w:i/>
        </w:rPr>
      </w:pPr>
      <w:r w:rsidRPr="005565F8">
        <w:rPr>
          <w:bCs/>
        </w:rPr>
        <w:t xml:space="preserve">Vienlaikus 2017. gada 22. jūnijā pieņemti </w:t>
      </w:r>
      <w:r w:rsidRPr="005565F8" w:rsidR="0029119E">
        <w:rPr>
          <w:bCs/>
          <w:i/>
        </w:rPr>
        <w:t>G</w:t>
      </w:r>
      <w:r w:rsidRPr="005565F8">
        <w:rPr>
          <w:bCs/>
          <w:i/>
        </w:rPr>
        <w:t>rozījumi</w:t>
      </w:r>
      <w:r w:rsidRPr="005565F8">
        <w:rPr>
          <w:bCs/>
        </w:rPr>
        <w:t xml:space="preserve"> </w:t>
      </w:r>
      <w:r w:rsidRPr="005565F8" w:rsidR="0029119E">
        <w:rPr>
          <w:bCs/>
          <w:i/>
        </w:rPr>
        <w:t>p</w:t>
      </w:r>
      <w:r w:rsidRPr="005565F8">
        <w:rPr>
          <w:bCs/>
          <w:i/>
        </w:rPr>
        <w:t>rofesionālās izglītības likumā</w:t>
      </w:r>
      <w:r w:rsidRPr="005565F8">
        <w:rPr>
          <w:bCs/>
        </w:rPr>
        <w:t>, nosakot modulārās profesionālās izglītības programmas definīciju un nosakot izglītības veidus, kur var īstenot modulārās profesionālās izglītības programmas, kā arī dokumentus, kas apliecina profesionālo izglītību un profesionālo kvalifikāciju, kas izsniegta pēc modulāro programmu pabeigšanas.</w:t>
      </w:r>
    </w:p>
    <w:p w:rsidR="00972614" w:rsidRPr="005565F8" w:rsidP="00972614" w14:paraId="2F8C833B" w14:textId="77777777">
      <w:pPr>
        <w:autoSpaceDE w:val="0"/>
        <w:autoSpaceDN w:val="0"/>
        <w:adjustRightInd w:val="0"/>
        <w:rPr>
          <w:bCs/>
        </w:rPr>
      </w:pPr>
      <w:r w:rsidRPr="005565F8">
        <w:rPr>
          <w:bCs/>
        </w:rPr>
        <w:t xml:space="preserve">Pēdējos gados veicot būtiskas kvalitatīvas reformas profesionālās izglītības sistēmā, viena no prioritātēm ir </w:t>
      </w:r>
      <w:r w:rsidRPr="005565F8">
        <w:rPr>
          <w:b/>
          <w:bCs/>
        </w:rPr>
        <w:t xml:space="preserve">darba vidē balstītu mācību </w:t>
      </w:r>
      <w:r w:rsidRPr="005565F8">
        <w:rPr>
          <w:bCs/>
        </w:rPr>
        <w:t>(turpmāk – DVB</w:t>
      </w:r>
      <w:r w:rsidRPr="005565F8">
        <w:rPr>
          <w:b/>
          <w:bCs/>
        </w:rPr>
        <w:t xml:space="preserve"> </w:t>
      </w:r>
      <w:r w:rsidRPr="005565F8">
        <w:rPr>
          <w:bCs/>
        </w:rPr>
        <w:t xml:space="preserve">mācību) ieviešana. Nodrošināts atbilstošs tiesiskais ietvars un institucionālo mehānismu darbība DVB mācību koordinēšanai un īstenošanai. </w:t>
      </w:r>
      <w:r w:rsidRPr="005565F8" w:rsidR="008F3FA4">
        <w:rPr>
          <w:bCs/>
        </w:rPr>
        <w:t>MK</w:t>
      </w:r>
      <w:r w:rsidRPr="005565F8">
        <w:rPr>
          <w:bCs/>
        </w:rPr>
        <w:t xml:space="preserve"> 2016.gada 15.jūnijā apstiprināja </w:t>
      </w:r>
      <w:r w:rsidRPr="005565F8">
        <w:rPr>
          <w:bCs/>
          <w:i/>
        </w:rPr>
        <w:t>Kārtību, kādā organizē un īsteno darba vidē balstītas mācības</w:t>
      </w:r>
      <w:r w:rsidRPr="005565F8">
        <w:rPr>
          <w:bCs/>
        </w:rPr>
        <w:t xml:space="preserve">. Tā nosaka DVB mācību īstenošanas nosacījumus, iesaistīto pušu tiesības un pienākumus, koordinējot un veicinot komersantu sadarbību ar izglītības iestādēm un nodrošinot profesionālās izglītības atbilstību aktuālajām darba tirgus prasībām. 2017.gadā tika pilnveidota </w:t>
      </w:r>
      <w:r w:rsidRPr="005565F8" w:rsidR="00C610BB">
        <w:rPr>
          <w:bCs/>
        </w:rPr>
        <w:t xml:space="preserve">kārtība, </w:t>
      </w:r>
      <w:r w:rsidRPr="005565F8">
        <w:rPr>
          <w:bCs/>
        </w:rPr>
        <w:t xml:space="preserve">paplašinot DVB mācību īstenotāju loku, iekļaujot pašvaldības, publiskas atvasinātas personas, ģimenes uzņēmumus un </w:t>
      </w:r>
      <w:r w:rsidRPr="005565F8">
        <w:rPr>
          <w:bCs/>
        </w:rPr>
        <w:t>pašnodarbinātās</w:t>
      </w:r>
      <w:r w:rsidRPr="005565F8">
        <w:rPr>
          <w:bCs/>
        </w:rPr>
        <w:t xml:space="preserve"> personas, kā arī noteikts elastīgāks izglītības programmas apjoms pedagoģisko zināšanu apguvei DVB mācību vadītājiem </w:t>
      </w:r>
      <w:r w:rsidRPr="005565F8">
        <w:rPr>
          <w:bCs/>
        </w:rPr>
        <w:t xml:space="preserve">nosakot programmas ilgumu ne mazāku kā 32 akadēmiskās stundas. Turklāt 2017.gadā apstiprinātas </w:t>
      </w:r>
      <w:r w:rsidRPr="005565F8">
        <w:rPr>
          <w:bCs/>
          <w:i/>
        </w:rPr>
        <w:t>DVB mācību organizēšanas un īstenošanas vadlīnijas</w:t>
      </w:r>
      <w:r w:rsidRPr="005565F8">
        <w:rPr>
          <w:bCs/>
        </w:rPr>
        <w:t>, kas ietver vienotus pamatprincipus un metodisku atbalstu mācību organizēšanai un īstenošanai.</w:t>
      </w:r>
    </w:p>
    <w:p w:rsidR="00972614" w:rsidRPr="005565F8" w:rsidP="00972614" w14:paraId="3C934C18" w14:textId="77777777">
      <w:pPr>
        <w:autoSpaceDE w:val="0"/>
        <w:autoSpaceDN w:val="0"/>
        <w:adjustRightInd w:val="0"/>
        <w:rPr>
          <w:bCs/>
          <w:i/>
        </w:rPr>
      </w:pPr>
      <w:r w:rsidRPr="005565F8">
        <w:rPr>
          <w:bCs/>
        </w:rPr>
        <w:t>2017.gada janvārī uzsākts ESF projekts</w:t>
      </w:r>
      <w:r w:rsidRPr="005565F8">
        <w:rPr>
          <w:bCs/>
          <w:i/>
        </w:rPr>
        <w:t xml:space="preserve">, </w:t>
      </w:r>
      <w:r w:rsidRPr="005565F8">
        <w:rPr>
          <w:bCs/>
        </w:rPr>
        <w:t>lai palielinātu kvalificētu profesionālās izglītības iestāžu audzēkņu skaitu pēc to dalības DVB mācībās vai mācību praksē uzņēmumā</w:t>
      </w:r>
      <w:r w:rsidRPr="005565F8" w:rsidR="00AA3CD1">
        <w:rPr>
          <w:bCs/>
        </w:rPr>
        <w:t>.</w:t>
      </w:r>
      <w:r w:rsidRPr="005565F8">
        <w:t xml:space="preserve"> Paredzams, ka līdz projekta noslēgumam </w:t>
      </w:r>
      <w:r w:rsidRPr="005565F8">
        <w:rPr>
          <w:bCs/>
        </w:rPr>
        <w:t>2023.gadā</w:t>
      </w:r>
      <w:r w:rsidRPr="005565F8">
        <w:t xml:space="preserve">, DVB mācībās būs iesaistīti 3 150 audzēkņi un 11 025 audzēkņiem mācību praksēm uzņēmumā. Projektu īsteno LDDK sadarbībā ar profesionālās izglītības iestādēm, komersantiem, biedrībām un nodibinājumiem, kas īsteno DVB mācības. </w:t>
      </w:r>
      <w:r w:rsidRPr="005565F8">
        <w:rPr>
          <w:bCs/>
        </w:rPr>
        <w:t xml:space="preserve">Plānotais kopējais finansējums ir 21,9 milj. EUR, </w:t>
      </w:r>
      <w:r w:rsidRPr="005565F8" w:rsidR="00AA3CD1">
        <w:rPr>
          <w:bCs/>
        </w:rPr>
        <w:t>t.sk.</w:t>
      </w:r>
      <w:r w:rsidRPr="005565F8">
        <w:rPr>
          <w:bCs/>
        </w:rPr>
        <w:t xml:space="preserve"> ESF finansējums 18,6 milj. EUR un valsts budžeta finansējums 3,3 milj. </w:t>
      </w:r>
      <w:r w:rsidRPr="005565F8">
        <w:rPr>
          <w:bCs/>
          <w:i/>
        </w:rPr>
        <w:t>(informāciju par projekta īstenošanu skat. 3.4.3.nodaļā).</w:t>
      </w:r>
    </w:p>
    <w:p w:rsidR="00972614" w:rsidRPr="005565F8" w:rsidP="00972614" w14:paraId="79DB1081" w14:textId="77777777">
      <w:pPr>
        <w:autoSpaceDE w:val="0"/>
        <w:autoSpaceDN w:val="0"/>
        <w:adjustRightInd w:val="0"/>
        <w:rPr>
          <w:bCs/>
        </w:rPr>
      </w:pPr>
      <w:r w:rsidRPr="005565F8">
        <w:rPr>
          <w:bCs/>
        </w:rPr>
        <w:t xml:space="preserve">Sākot ar 2017.gada 1.janvāri, izmaiņas </w:t>
      </w:r>
      <w:r w:rsidRPr="005565F8">
        <w:rPr>
          <w:bCs/>
          <w:i/>
        </w:rPr>
        <w:t>Likumā Par iedzīvotāju ienākuma nodokli</w:t>
      </w:r>
      <w:r w:rsidRPr="005565F8">
        <w:rPr>
          <w:bCs/>
        </w:rPr>
        <w:t xml:space="preserve"> paredz neaplikt ar IIN stipendijas līdz 280 EUR mēnesī, ko izglītojamam DVB mācību ietvaros izmaksā komersants, iestāde, biedrība, nodibinājums, fiziska persona, kura reģistrēta kā saimnieciskās darbības veicēja, kā arī individuālais uzņēmums, </w:t>
      </w:r>
      <w:r w:rsidRPr="005565F8" w:rsidR="00AA3CD1">
        <w:rPr>
          <w:bCs/>
        </w:rPr>
        <w:t>t.sk.</w:t>
      </w:r>
      <w:r w:rsidRPr="005565F8">
        <w:rPr>
          <w:bCs/>
        </w:rPr>
        <w:t xml:space="preserve"> zemnieku vai zvejnieku saimniecība, un citi saimnieciskās darbības veicēji.</w:t>
      </w:r>
    </w:p>
    <w:p w:rsidR="00972614" w:rsidRPr="005565F8" w:rsidP="00972614" w14:paraId="64151242" w14:textId="77777777">
      <w:r w:rsidRPr="005565F8">
        <w:t xml:space="preserve">Lai uzlabotu veselības aprūpes pakalpojumu kvalitāti un pieejamību Latvijas iedzīvotājiem, ir uzsākta </w:t>
      </w:r>
      <w:r w:rsidRPr="005565F8">
        <w:rPr>
          <w:b/>
        </w:rPr>
        <w:t xml:space="preserve">veselības reformu īstenošana </w:t>
      </w:r>
      <w:r w:rsidRPr="005565F8">
        <w:t xml:space="preserve">šādos virzienos (detalizētāk </w:t>
      </w:r>
      <w:r w:rsidRPr="005565F8">
        <w:rPr>
          <w:i/>
        </w:rPr>
        <w:t>skat. 3.5.2. nodaļu</w:t>
      </w:r>
      <w:r w:rsidRPr="005565F8">
        <w:t xml:space="preserve">): </w:t>
      </w:r>
    </w:p>
    <w:p w:rsidR="00972614" w:rsidRPr="005565F8" w:rsidP="00735883" w14:paraId="176A4F50" w14:textId="77777777">
      <w:pPr>
        <w:pStyle w:val="ListParagraph"/>
        <w:numPr>
          <w:ilvl w:val="0"/>
          <w:numId w:val="17"/>
        </w:numPr>
        <w:spacing w:after="60"/>
        <w:ind w:left="284" w:hanging="284"/>
        <w:contextualSpacing w:val="0"/>
      </w:pPr>
      <w:r w:rsidRPr="005565F8">
        <w:t xml:space="preserve">veselības aprūpes finansēšanas modelis, veselības aprūpes pakalpojumu grozs, tarifi un pakalpojumu pieejamība. </w:t>
      </w:r>
      <w:r w:rsidRPr="005565F8">
        <w:rPr>
          <w:lang w:eastAsia="lv-LV"/>
        </w:rPr>
        <w:t xml:space="preserve"> Pieņemts </w:t>
      </w:r>
      <w:r w:rsidRPr="005565F8" w:rsidR="00AA3CD1">
        <w:rPr>
          <w:i/>
          <w:lang w:eastAsia="lv-LV"/>
        </w:rPr>
        <w:t>K</w:t>
      </w:r>
      <w:r w:rsidRPr="005565F8">
        <w:rPr>
          <w:i/>
          <w:lang w:eastAsia="lv-LV"/>
        </w:rPr>
        <w:t xml:space="preserve">onceptuālais ziņojums </w:t>
      </w:r>
      <w:r w:rsidRPr="005565F8" w:rsidR="00AA3CD1">
        <w:rPr>
          <w:i/>
          <w:lang w:eastAsia="lv-LV"/>
        </w:rPr>
        <w:t>p</w:t>
      </w:r>
      <w:r w:rsidRPr="005565F8">
        <w:rPr>
          <w:i/>
          <w:lang w:eastAsia="lv-LV"/>
        </w:rPr>
        <w:t>ar veselības aprūpes sistēmas reformu</w:t>
      </w:r>
      <w:r>
        <w:rPr>
          <w:rStyle w:val="FootnoteReference"/>
          <w:lang w:eastAsia="lv-LV"/>
        </w:rPr>
        <w:footnoteReference w:id="15"/>
      </w:r>
      <w:r w:rsidRPr="005565F8">
        <w:rPr>
          <w:lang w:eastAsia="lv-LV"/>
        </w:rPr>
        <w:t xml:space="preserve">, kurā paredzēts papildus finansējums ambulatoro un stacionāro veselības aprūpes pakalpojumu pieejamības uzlabošanai, ārstniecības personu darba samaksas palielinājumam, ārstniecības pakalpojumu tarifa elementu palielināšanai, medicīnas izglītības nodrošināšanai, kompensējamo un centralizēti iepērkamo medikamentu apmaksai. </w:t>
      </w:r>
      <w:r w:rsidRPr="005565F8" w:rsidR="00D56548">
        <w:rPr>
          <w:lang w:eastAsia="lv-LV"/>
        </w:rPr>
        <w:t>Veselības reformas pasākumu īstenošana atkarīga no papildus piešķirtā finansējuma, kurš turpmākajiem gadiem skatāms MK gadskārtējā valsts budžeta likumprojekta un vidēja termiņa budžeta ietvara sagatavošanas un izskatīšanas procesā atbilstoši valsts budžeta finansiālajām iespējam</w:t>
      </w:r>
      <w:r>
        <w:rPr>
          <w:rStyle w:val="FootnoteReference"/>
        </w:rPr>
        <w:footnoteReference w:id="16"/>
      </w:r>
      <w:r w:rsidRPr="005565F8" w:rsidR="003929A6">
        <w:rPr>
          <w:lang w:eastAsia="lv-LV"/>
        </w:rPr>
        <w:t>.</w:t>
      </w:r>
      <w:r w:rsidRPr="005565F8" w:rsidR="00D56548">
        <w:rPr>
          <w:lang w:eastAsia="lv-LV"/>
        </w:rPr>
        <w:t xml:space="preserve"> </w:t>
      </w:r>
      <w:r w:rsidRPr="005565F8">
        <w:t>Veselības aprūpei 2018.gada valsts budžetā atvēlēts par 194 milj. EUR vairāk nekā iepriekšējā gadā, t.sk. 79,1 milj. EUR reformu veikšanai, kurām piešķirta Eiropas Komisijas atkāpe 0,1% apmērā budžeta deficīta mērķim</w:t>
      </w:r>
      <w:bookmarkStart w:id="22" w:name="_Hlk506802789"/>
      <w:r w:rsidRPr="005565F8">
        <w:t xml:space="preserve"> (2018.gadā kopā 113,4 milj. EUR)</w:t>
      </w:r>
      <w:bookmarkEnd w:id="22"/>
      <w:r w:rsidRPr="005565F8">
        <w:t xml:space="preserve">. </w:t>
      </w:r>
      <w:r w:rsidRPr="005565F8" w:rsidR="00335313">
        <w:rPr>
          <w:rFonts w:asciiTheme="majorHAnsi" w:hAnsiTheme="majorHAnsi"/>
        </w:rPr>
        <w:t xml:space="preserve">No minētajiem 194 milj. EUR </w:t>
      </w:r>
      <w:r w:rsidRPr="005565F8" w:rsidR="00335313">
        <w:rPr>
          <w:rFonts w:asciiTheme="majorHAnsi" w:hAnsiTheme="majorHAnsi" w:cs="Arial"/>
        </w:rPr>
        <w:t xml:space="preserve">55% tiek novirzīti darba samaksas palielinājumam ārstniecības personām. </w:t>
      </w:r>
      <w:r w:rsidRPr="005565F8" w:rsidR="00335313">
        <w:rPr>
          <w:rFonts w:asciiTheme="majorHAnsi" w:hAnsiTheme="majorHAnsi"/>
          <w:szCs w:val="20"/>
        </w:rPr>
        <w:t xml:space="preserve">Vidējā darba samaksa ārstiem un </w:t>
      </w:r>
      <w:r w:rsidRPr="005565F8" w:rsidR="00335313">
        <w:rPr>
          <w:rFonts w:asciiTheme="majorHAnsi" w:hAnsiTheme="majorHAnsi"/>
          <w:szCs w:val="20"/>
        </w:rPr>
        <w:t xml:space="preserve">funkcionālajiem speciālistiem tarifā palielināta no 859 </w:t>
      </w:r>
      <w:r w:rsidRPr="005565F8" w:rsidR="0060413E">
        <w:rPr>
          <w:rFonts w:asciiTheme="majorHAnsi" w:hAnsiTheme="majorHAnsi"/>
          <w:szCs w:val="20"/>
        </w:rPr>
        <w:t>EUR</w:t>
      </w:r>
      <w:r w:rsidRPr="005565F8" w:rsidR="00335313">
        <w:rPr>
          <w:rFonts w:asciiTheme="majorHAnsi" w:hAnsiTheme="majorHAnsi"/>
          <w:szCs w:val="20"/>
        </w:rPr>
        <w:t xml:space="preserve"> līdz 1125 EUR mēnesī (par 31%), ārstniecības un pacientu aprūpes person</w:t>
      </w:r>
      <w:r w:rsidRPr="005565F8" w:rsidR="0060413E">
        <w:rPr>
          <w:rFonts w:asciiTheme="majorHAnsi" w:hAnsiTheme="majorHAnsi"/>
          <w:szCs w:val="20"/>
        </w:rPr>
        <w:t>ām</w:t>
      </w:r>
      <w:r w:rsidRPr="005565F8" w:rsidR="00335313">
        <w:rPr>
          <w:rFonts w:asciiTheme="majorHAnsi" w:hAnsiTheme="majorHAnsi"/>
          <w:szCs w:val="20"/>
        </w:rPr>
        <w:t xml:space="preserve"> un funkcionālo speciālistu asistentiem no 537 EUR līdz 675 EUR mēnesī (par 26%), bet ārstniecības un pacientu aprūpes atbalsta personām – no 400 EUR līdz 450 EUR mēnesī (par 13%). Tāpat </w:t>
      </w:r>
      <w:r w:rsidRPr="005565F8" w:rsidR="00335313">
        <w:rPr>
          <w:rFonts w:asciiTheme="majorHAnsi" w:hAnsiTheme="majorHAnsi" w:cs="Arial"/>
        </w:rPr>
        <w:t xml:space="preserve">16% no piešķirtajiem 194 milj. EUR tiek novirzīti kompensējamo, tostarp jaunu inovatīvo, zāļu nodrošināšanai jomās, kurās medikamentu klāsts ir visierobežotākais, piemēram, onkoloģijā. </w:t>
      </w:r>
      <w:r w:rsidRPr="005565F8" w:rsidR="00335313">
        <w:t>Papildus tiek nodrošinātas 108</w:t>
      </w:r>
      <w:r w:rsidRPr="005565F8" w:rsidR="00063E76">
        <w:t>,7 tūkst.</w:t>
      </w:r>
      <w:r w:rsidRPr="005565F8" w:rsidR="00335313">
        <w:t xml:space="preserve"> konsultācijas pie speciālistiem,  207</w:t>
      </w:r>
      <w:r w:rsidRPr="005565F8" w:rsidR="00063E76">
        <w:t>,2 tūkst.</w:t>
      </w:r>
      <w:r w:rsidRPr="005565F8" w:rsidR="00335313">
        <w:t xml:space="preserve"> ambulatorie izmeklējumi, 35</w:t>
      </w:r>
      <w:r w:rsidRPr="005565F8" w:rsidR="00063E76">
        <w:t>,1</w:t>
      </w:r>
      <w:r w:rsidRPr="005565F8" w:rsidR="00335313">
        <w:t xml:space="preserve"> pakalpojumi dienas stacionārā, 33</w:t>
      </w:r>
      <w:r w:rsidRPr="005565F8" w:rsidR="00063E76">
        <w:t>,3 tūkst.</w:t>
      </w:r>
      <w:r w:rsidRPr="005565F8" w:rsidR="00335313">
        <w:t xml:space="preserve"> cukura diabēta kabineta izmeklējumi, 29</w:t>
      </w:r>
      <w:r w:rsidRPr="005565F8" w:rsidR="00063E76">
        <w:t>,5 tūkst. </w:t>
      </w:r>
      <w:r w:rsidRPr="005565F8" w:rsidR="00335313">
        <w:t xml:space="preserve">ambulatorie rehabilitācijas pakalpojumi, 981 </w:t>
      </w:r>
      <w:r w:rsidRPr="005565F8" w:rsidR="00335313">
        <w:t>endoprotezēšanas</w:t>
      </w:r>
      <w:r w:rsidRPr="005565F8" w:rsidR="00335313">
        <w:t xml:space="preserve"> operācijas, 7 aknu transplantācijas, 11 diabēta apmācības kabineti. </w:t>
      </w:r>
      <w:r w:rsidRPr="005565F8" w:rsidR="00063E76">
        <w:rPr>
          <w:rFonts w:asciiTheme="majorHAnsi" w:hAnsiTheme="majorHAnsi"/>
        </w:rPr>
        <w:t xml:space="preserve">Tiek arī </w:t>
      </w:r>
      <w:r w:rsidRPr="005565F8" w:rsidR="00335313">
        <w:rPr>
          <w:rFonts w:asciiTheme="majorHAnsi" w:hAnsiTheme="majorHAnsi" w:cs="Arial"/>
        </w:rPr>
        <w:t xml:space="preserve"> paplašināta diagnostikas un speciālistu pieejamība pacientiem ar aizdomām par onkoloģisku saslimšanu</w:t>
      </w:r>
      <w:r w:rsidRPr="005565F8" w:rsidR="00335313">
        <w:rPr>
          <w:rFonts w:asciiTheme="majorHAnsi" w:hAnsiTheme="majorHAnsi"/>
        </w:rPr>
        <w:t>, tāpat tiek uzlabota ģimenes ārsta pieejamība</w:t>
      </w:r>
      <w:r w:rsidRPr="005565F8" w:rsidR="00335313">
        <w:t xml:space="preserve">. </w:t>
      </w:r>
      <w:r w:rsidRPr="005565F8">
        <w:t xml:space="preserve"> Saeimā tika pieņemts lēmums</w:t>
      </w:r>
      <w:r>
        <w:rPr>
          <w:rStyle w:val="FootnoteReference"/>
        </w:rPr>
        <w:footnoteReference w:id="17"/>
      </w:r>
      <w:r w:rsidRPr="005565F8">
        <w:t xml:space="preserve">, kas nosaka, ka </w:t>
      </w:r>
      <w:r w:rsidRPr="005565F8" w:rsidR="00F22A90">
        <w:t xml:space="preserve">personām, kuras iemaksas veic vispārējā režīmā, </w:t>
      </w:r>
      <w:r w:rsidRPr="005565F8">
        <w:t>obligāto iemaksu daļa</w:t>
      </w:r>
      <w:r w:rsidRPr="005565F8" w:rsidR="00F22A90">
        <w:t xml:space="preserve">, </w:t>
      </w:r>
      <w:r w:rsidRPr="005565F8">
        <w:t xml:space="preserve">kas atbilst vienam procentpunktam no obligāto iemaksu likmes, ir paredzēta veselības aprūpes pakalpojumu finansēšanai. Secīgi Saeimā pieņemts </w:t>
      </w:r>
      <w:r w:rsidRPr="005565F8">
        <w:rPr>
          <w:i/>
        </w:rPr>
        <w:t>Veselības aprūpes finansēšanas likums</w:t>
      </w:r>
      <w:r>
        <w:rPr>
          <w:rStyle w:val="FootnoteReference"/>
        </w:rPr>
        <w:footnoteReference w:id="18"/>
      </w:r>
      <w:r w:rsidRPr="005565F8">
        <w:t>, kurš nosaka veselības aprūpes pakalpojumu finansēšanai paredzēto līdzekļu izlietojumu un sociāli apdrošināto personu tiesības saņemt veselības aprūpes pakalpojumus</w:t>
      </w:r>
      <w:r w:rsidRPr="005565F8" w:rsidR="0049519A">
        <w:t>;</w:t>
      </w:r>
    </w:p>
    <w:p w:rsidR="00972614" w:rsidRPr="005565F8" w:rsidP="00735883" w14:paraId="647161AA" w14:textId="77777777">
      <w:pPr>
        <w:pStyle w:val="ListParagraph"/>
        <w:numPr>
          <w:ilvl w:val="0"/>
          <w:numId w:val="17"/>
        </w:numPr>
        <w:spacing w:after="60"/>
        <w:ind w:left="284" w:hanging="284"/>
        <w:contextualSpacing w:val="0"/>
      </w:pPr>
      <w:r w:rsidRPr="005565F8">
        <w:t xml:space="preserve">ārstniecības iestāžu kartējums, infrastruktūras, veselības aprūpes cilvēkresursu attīstības un veselības aprūpes sistēmas pārvaldības jautājumi. </w:t>
      </w:r>
      <w:bookmarkStart w:id="23" w:name="_Hlk507163114"/>
      <w:r w:rsidRPr="005565F8">
        <w:t>Konceptuālajā ziņojumā</w:t>
      </w:r>
      <w:r w:rsidRPr="005565F8">
        <w:rPr>
          <w:vertAlign w:val="superscript"/>
        </w:rPr>
        <w:t>9</w:t>
      </w:r>
      <w:r w:rsidRPr="005565F8">
        <w:t xml:space="preserve"> nodefinēts valsts apmaksāto stacionāro veselības aprūpes pakalpojumu sniedzēju sadalījums pa pakalpojumu līmeņiem, steidzamās medicīniskās palīdzības pakalpojumu sniedzēji un iezīmētas stacionāro veselības aprūpes pakalpojumu sniedzēju sadarbības teritorijas, kā arī noteiktas aktivitātes cilvēkresursu piesaistei reģioniem un ārstniecības personu atalgojuma jautājums. Ir uzsākta </w:t>
      </w:r>
      <w:r w:rsidRPr="005565F8" w:rsidR="00AA3CD1">
        <w:t xml:space="preserve">ES fondu </w:t>
      </w:r>
      <w:r w:rsidRPr="005565F8">
        <w:t>projektu īstenošana</w:t>
      </w:r>
      <w:r>
        <w:rPr>
          <w:rStyle w:val="FootnoteReference"/>
        </w:rPr>
        <w:footnoteReference w:id="19"/>
      </w:r>
      <w:r w:rsidRPr="005565F8">
        <w:t xml:space="preserve">, kas paredz veikt investīcijas terciārā un reģionālā līmeņa slimnīcās, kā arī </w:t>
      </w:r>
      <w:r w:rsidRPr="005565F8">
        <w:t>monoprofila</w:t>
      </w:r>
      <w:r w:rsidRPr="005565F8">
        <w:t xml:space="preserve"> iestādēs, kas nodrošina rehabilitācijas, dzemdību palīdzības un traumatoloģijas pakalpojumu sniegšanu. </w:t>
      </w:r>
      <w:bookmarkStart w:id="24" w:name="_Hlk507163145"/>
      <w:bookmarkEnd w:id="23"/>
      <w:r w:rsidRPr="005565F8">
        <w:t xml:space="preserve">2017.gadā tika noslēgti līgumi ar ārstniecības iestādēm par finansējuma piešķiršanu un uzsākta ES fondu finansējuma apguve. </w:t>
      </w:r>
      <w:bookmarkEnd w:id="24"/>
      <w:r w:rsidRPr="005565F8">
        <w:t xml:space="preserve">2018.gadā ES fondu 2014.-2020.plānošanas perioda ietvaros plānots sākt atbalsta pasākumus, lai piesaistītu ārstniecības personas (ārstus un māsas) darbam </w:t>
      </w:r>
      <w:r w:rsidRPr="005565F8">
        <w:t>reģionos ārpus Rīgas, tāpat arī tālākizglītības atbalsta pasākumu ietvaros būs iespējas paaugstināt savu kvalifikāciju un atjaunot ārstniecības personas sertifikātus, tādējādi radot iespējas savā specialitātē nepraktizējošai ārstniecības personai atgriezties darba tirgū;</w:t>
      </w:r>
    </w:p>
    <w:p w:rsidR="00972614" w:rsidRPr="005565F8" w:rsidP="00735883" w14:paraId="6CBC9A09" w14:textId="77777777">
      <w:pPr>
        <w:pStyle w:val="ListParagraph"/>
        <w:numPr>
          <w:ilvl w:val="0"/>
          <w:numId w:val="17"/>
        </w:numPr>
        <w:spacing w:after="60"/>
        <w:ind w:left="284" w:hanging="284"/>
        <w:contextualSpacing w:val="0"/>
      </w:pPr>
      <w:r w:rsidRPr="005565F8">
        <w:t xml:space="preserve">E-veselības sistēma iedzīvotājiem, ārstniecības iestādēm un aptiekām pieejama kopš 2016.gada 12.septembra. Līdz 11.12.2017. visas stacionārās ārstniecības iestādes ir noslēgušas līgumu ar Nacionālo veselības dienestu par veselības </w:t>
      </w:r>
      <w:r w:rsidRPr="005565F8" w:rsidR="00AA3CD1">
        <w:t>informācijas sistēmas</w:t>
      </w:r>
      <w:r w:rsidRPr="005565F8">
        <w:t xml:space="preserve"> izmantošanu, 83% ģimenes ārstu un 99% aptieku. Izmantojot </w:t>
      </w:r>
      <w:r w:rsidRPr="005565F8">
        <w:rPr>
          <w:bCs/>
        </w:rPr>
        <w:t>ES fondu 2014.-2020.gada plānošanas perioda finansējumu, ir plānota E-veselības sistēmas tālāka attīstīšana</w:t>
      </w:r>
      <w:r w:rsidRPr="005565F8">
        <w:t>;</w:t>
      </w:r>
    </w:p>
    <w:p w:rsidR="00972614" w:rsidRPr="005565F8" w:rsidP="00735883" w14:paraId="1A6E3EF6" w14:textId="77777777">
      <w:pPr>
        <w:pStyle w:val="ListParagraph"/>
        <w:numPr>
          <w:ilvl w:val="0"/>
          <w:numId w:val="17"/>
        </w:numPr>
        <w:spacing w:after="60"/>
        <w:ind w:left="284" w:hanging="284"/>
        <w:contextualSpacing w:val="0"/>
      </w:pPr>
      <w:r w:rsidRPr="005565F8">
        <w:t>i</w:t>
      </w:r>
      <w:r w:rsidRPr="005565F8">
        <w:t>r uzsākta ES fondu finansēto veselības veicināšanas un slimību profilakses pasākumu īstenošana nacionālā un pašvaldību līmenī.</w:t>
      </w:r>
      <w:r w:rsidRPr="005565F8">
        <w:rPr>
          <w:shd w:val="clear" w:color="auto" w:fill="FFFFFF"/>
        </w:rPr>
        <w:t xml:space="preserve"> </w:t>
      </w:r>
      <w:r w:rsidRPr="005565F8">
        <w:rPr>
          <w:lang w:eastAsia="lv-LV"/>
        </w:rPr>
        <w:t xml:space="preserve">Lai veicinātu veselīgus paradumus bērniem un pieaugušajiem, veikti grozījumi normatīvajos aktos, lai uzlabotu ēdināšanas pakalpojumu kvalitāti izglītības un ārstniecības iestādēs, ilgstošas sociālās aprūpes un sociālās rehabilitācijas institūcijās, kā arī papildinātu pārtikas produktus, kurus drīkst izplatīt vispārējās un profesionālajās izglītības iestādēs papildus kompleksajai un izvēles ēdienkartei. </w:t>
      </w:r>
      <w:r w:rsidRPr="005565F8" w:rsidR="00881DB4">
        <w:rPr>
          <w:lang w:eastAsia="lv-LV"/>
        </w:rPr>
        <w:t xml:space="preserve">Tika apstiprināti </w:t>
      </w:r>
      <w:r w:rsidRPr="005565F8" w:rsidR="001D5406">
        <w:rPr>
          <w:i/>
          <w:lang w:eastAsia="lv-LV"/>
        </w:rPr>
        <w:t>MK</w:t>
      </w:r>
      <w:r w:rsidRPr="005565F8" w:rsidR="00881DB4">
        <w:rPr>
          <w:i/>
          <w:lang w:eastAsia="lv-LV"/>
        </w:rPr>
        <w:t xml:space="preserve"> noteikumi par maksimāli pieļaujamo </w:t>
      </w:r>
      <w:r w:rsidRPr="005565F8" w:rsidR="00881DB4">
        <w:rPr>
          <w:i/>
          <w:lang w:eastAsia="lv-LV"/>
        </w:rPr>
        <w:t>transtaukskābju</w:t>
      </w:r>
      <w:r w:rsidRPr="005565F8" w:rsidR="00881DB4">
        <w:rPr>
          <w:i/>
          <w:lang w:eastAsia="lv-LV"/>
        </w:rPr>
        <w:t xml:space="preserve"> daudzumu pārtikas produktos</w:t>
      </w:r>
      <w:r w:rsidRPr="005565F8" w:rsidR="00881DB4">
        <w:rPr>
          <w:lang w:eastAsia="lv-LV"/>
        </w:rPr>
        <w:t xml:space="preserve">. Ir pieņemts </w:t>
      </w:r>
      <w:r w:rsidRPr="005565F8" w:rsidR="00881DB4">
        <w:rPr>
          <w:i/>
          <w:lang w:eastAsia="lv-LV"/>
        </w:rPr>
        <w:t>Enerģijas dzērienu aprites likums</w:t>
      </w:r>
      <w:r w:rsidRPr="005565F8" w:rsidR="00881DB4">
        <w:rPr>
          <w:lang w:eastAsia="lv-LV"/>
        </w:rPr>
        <w:t xml:space="preserve">, kas nosaka aizliegumu pārdot enerģijas dzērienu nepilngadīgām personām un šīs personas nedrīkst tos iegādāties. </w:t>
      </w:r>
      <w:r w:rsidRPr="005565F8">
        <w:rPr>
          <w:rFonts w:eastAsia="Times New Roman"/>
          <w:color w:val="000000"/>
          <w:lang w:eastAsia="lv-LV"/>
        </w:rPr>
        <w:t>Ir izstrādāt</w:t>
      </w:r>
      <w:r w:rsidRPr="005565F8">
        <w:rPr>
          <w:rFonts w:eastAsia="Times New Roman"/>
          <w:color w:val="000000"/>
          <w:lang w:eastAsia="lv-LV"/>
        </w:rPr>
        <w:t>i</w:t>
      </w:r>
      <w:r w:rsidRPr="005565F8">
        <w:rPr>
          <w:rFonts w:eastAsia="Times New Roman"/>
          <w:color w:val="000000"/>
          <w:lang w:eastAsia="lv-LV"/>
        </w:rPr>
        <w:t xml:space="preserve"> </w:t>
      </w:r>
      <w:r w:rsidRPr="005565F8">
        <w:rPr>
          <w:rFonts w:eastAsia="Times New Roman"/>
          <w:i/>
          <w:color w:val="000000"/>
          <w:lang w:eastAsia="lv-LV"/>
        </w:rPr>
        <w:t>G</w:t>
      </w:r>
      <w:r w:rsidRPr="005565F8">
        <w:rPr>
          <w:rFonts w:eastAsia="Times New Roman"/>
          <w:i/>
          <w:color w:val="000000"/>
          <w:lang w:eastAsia="lv-LV"/>
        </w:rPr>
        <w:t>rozījum</w:t>
      </w:r>
      <w:r w:rsidRPr="005565F8">
        <w:rPr>
          <w:rFonts w:eastAsia="Times New Roman"/>
          <w:i/>
          <w:color w:val="000000"/>
          <w:lang w:eastAsia="lv-LV"/>
        </w:rPr>
        <w:t>i</w:t>
      </w:r>
      <w:r w:rsidRPr="005565F8">
        <w:rPr>
          <w:rFonts w:eastAsia="Times New Roman"/>
          <w:i/>
          <w:color w:val="000000"/>
          <w:lang w:eastAsia="lv-LV"/>
        </w:rPr>
        <w:t xml:space="preserve"> </w:t>
      </w:r>
      <w:r w:rsidRPr="005565F8">
        <w:rPr>
          <w:rFonts w:eastAsia="Times New Roman"/>
          <w:i/>
          <w:color w:val="000000"/>
          <w:lang w:eastAsia="lv-LV"/>
        </w:rPr>
        <w:t>t</w:t>
      </w:r>
      <w:r w:rsidRPr="005565F8">
        <w:rPr>
          <w:rFonts w:eastAsia="Times New Roman"/>
          <w:i/>
          <w:iCs/>
          <w:color w:val="000000"/>
          <w:lang w:eastAsia="lv-LV"/>
        </w:rPr>
        <w:t>abakas izstrādājumu, augu smēķēšanas produktu, elektronisko smēķēšanas ierīču un to šķidrumu aprites likumā</w:t>
      </w:r>
      <w:r w:rsidRPr="005565F8">
        <w:rPr>
          <w:rFonts w:eastAsia="Times New Roman"/>
          <w:iCs/>
          <w:color w:val="000000"/>
          <w:lang w:eastAsia="lv-LV"/>
        </w:rPr>
        <w:t>,</w:t>
      </w:r>
      <w:r w:rsidRPr="005565F8">
        <w:rPr>
          <w:rFonts w:eastAsia="Times New Roman"/>
          <w:i/>
          <w:iCs/>
          <w:color w:val="000000"/>
          <w:lang w:eastAsia="lv-LV"/>
        </w:rPr>
        <w:t> </w:t>
      </w:r>
      <w:r w:rsidRPr="005565F8">
        <w:rPr>
          <w:rFonts w:eastAsia="Times New Roman"/>
          <w:color w:val="000000"/>
          <w:lang w:eastAsia="lv-LV"/>
        </w:rPr>
        <w:t xml:space="preserve">nosakot stingrākus ierobežojumus smēķēšanai paredzēto produktu apritē. </w:t>
      </w:r>
      <w:r w:rsidRPr="005565F8">
        <w:rPr>
          <w:shd w:val="clear" w:color="auto" w:fill="FFFFFF"/>
        </w:rPr>
        <w:t xml:space="preserve">Tika apstiprināts </w:t>
      </w:r>
      <w:r w:rsidRPr="005565F8">
        <w:rPr>
          <w:i/>
          <w:shd w:val="clear" w:color="auto" w:fill="FFFFFF"/>
        </w:rPr>
        <w:t>HIV infekcijas, seksuālās transmisijas infekciju, B un C hepatīta izplatības ierobežošanas rīcības plāns 2018.–2020. gadam</w:t>
      </w:r>
      <w:r w:rsidRPr="005565F8">
        <w:rPr>
          <w:shd w:val="clear" w:color="auto" w:fill="FFFFFF"/>
        </w:rPr>
        <w:t xml:space="preserve">. Tāpat </w:t>
      </w:r>
      <w:r w:rsidRPr="005565F8">
        <w:rPr>
          <w:rFonts w:eastAsia="Times New Roman"/>
          <w:color w:val="000000"/>
          <w:lang w:eastAsia="lv-LV"/>
        </w:rPr>
        <w:t>uzsākts darbs pie politikas plānošanas dokumenta alkoholisko dzērienu patēriņa mazināšanai un alkoholisma ierobežošanai nākamajam periodam;</w:t>
      </w:r>
    </w:p>
    <w:p w:rsidR="00FA44A0" w:rsidRPr="005565F8" w:rsidP="00735883" w14:paraId="1272283B" w14:textId="77777777">
      <w:pPr>
        <w:pStyle w:val="ListParagraph"/>
        <w:numPr>
          <w:ilvl w:val="0"/>
          <w:numId w:val="17"/>
        </w:numPr>
        <w:spacing w:after="0"/>
        <w:ind w:left="284" w:hanging="284"/>
        <w:contextualSpacing w:val="0"/>
      </w:pPr>
      <w:r w:rsidRPr="005565F8">
        <w:t>i</w:t>
      </w:r>
      <w:r w:rsidRPr="005565F8" w:rsidR="00972614">
        <w:t xml:space="preserve">zstrādāta un apstiprināta </w:t>
      </w:r>
      <w:r w:rsidRPr="005565F8" w:rsidR="00972614">
        <w:rPr>
          <w:rFonts w:eastAsiaTheme="majorEastAsia"/>
          <w:bCs/>
          <w:i/>
          <w:kern w:val="24"/>
        </w:rPr>
        <w:t>Veselības aprūpes sistēmas kvalitātes pilnveidošanas un pacientu drošības koncepcija</w:t>
      </w:r>
      <w:r w:rsidRPr="005565F8" w:rsidR="00972614">
        <w:rPr>
          <w:rFonts w:eastAsiaTheme="majorEastAsia"/>
          <w:bCs/>
          <w:kern w:val="24"/>
        </w:rPr>
        <w:t xml:space="preserve"> un</w:t>
      </w:r>
      <w:r w:rsidRPr="005565F8" w:rsidR="00972614">
        <w:t xml:space="preserve"> tās ievaros veicamo pasākumu plāns. Pasākumu realizācija sākta 2017.gadā un tam paredzēti ES fondu 2014.-2020.gada plānošanas perioda līdzekļi. Ar mērķi nodrošināt koordināciju un atbalstu nepārtrauktai ārstniecības procesu kvalitātes un pacientu drošības paaugstināšanai, 2017.gada februārī pieņemti </w:t>
      </w:r>
      <w:r w:rsidRPr="005565F8">
        <w:rPr>
          <w:i/>
        </w:rPr>
        <w:t>G</w:t>
      </w:r>
      <w:r w:rsidRPr="005565F8" w:rsidR="00972614">
        <w:rPr>
          <w:i/>
        </w:rPr>
        <w:t>rozījumi</w:t>
      </w:r>
      <w:r w:rsidRPr="005565F8" w:rsidR="00972614">
        <w:t xml:space="preserve"> </w:t>
      </w:r>
      <w:r w:rsidRPr="005565F8" w:rsidR="00972614">
        <w:rPr>
          <w:rFonts w:eastAsia="Batang"/>
          <w:i/>
          <w:lang w:eastAsia="ko-KR"/>
        </w:rPr>
        <w:t>Slimību profilakses un kontroles centra nolikumā</w:t>
      </w:r>
      <w:r w:rsidRPr="005565F8" w:rsidR="00972614">
        <w:rPr>
          <w:rFonts w:eastAsia="Batang"/>
          <w:lang w:eastAsia="ko-KR"/>
        </w:rPr>
        <w:t xml:space="preserve">, ar kuriem Slimību profilakses un </w:t>
      </w:r>
      <w:r w:rsidRPr="005565F8" w:rsidR="00972614">
        <w:rPr>
          <w:rFonts w:eastAsia="Batang"/>
          <w:lang w:eastAsia="ko-KR"/>
        </w:rPr>
        <w:t xml:space="preserve">kontroles centram piešķirta jauna funkcija </w:t>
      </w:r>
      <w:r w:rsidRPr="005565F8">
        <w:rPr>
          <w:rFonts w:eastAsia="Batang"/>
          <w:lang w:eastAsia="ko-KR"/>
        </w:rPr>
        <w:t>–</w:t>
      </w:r>
      <w:r w:rsidRPr="005565F8" w:rsidR="00972614">
        <w:rPr>
          <w:rFonts w:eastAsia="Batang"/>
          <w:lang w:eastAsia="ko-KR"/>
        </w:rPr>
        <w:t xml:space="preserve"> nodrošināt metodisko atbalstu ārstniecības </w:t>
      </w:r>
      <w:r w:rsidRPr="005565F8" w:rsidR="00972614">
        <w:rPr>
          <w:rFonts w:eastAsia="Batang"/>
          <w:lang w:eastAsia="ko-KR"/>
        </w:rPr>
        <w:t>iestādēm ārstniecības kvalitātes un pacientu drošības jautājumos.</w:t>
      </w:r>
    </w:p>
    <w:p w:rsidR="00E27B35" w:rsidRPr="005565F8" w:rsidP="00D857BF" w14:paraId="407E1023" w14:textId="77777777">
      <w:pPr>
        <w:sectPr w:rsidSect="003D0310">
          <w:type w:val="continuous"/>
          <w:pgSz w:w="11906" w:h="16838" w:code="9"/>
          <w:pgMar w:top="1134" w:right="1134" w:bottom="1134" w:left="1134" w:header="709" w:footer="709" w:gutter="0"/>
          <w:cols w:num="2" w:space="340"/>
          <w:titlePg/>
          <w:docGrid w:linePitch="360"/>
        </w:sectPr>
      </w:pPr>
    </w:p>
    <w:p w:rsidR="00D857BF" w:rsidRPr="005565F8" w:rsidP="00D857BF" w14:paraId="3F3DEB1A" w14:textId="77777777"/>
    <w:p w:rsidR="00DF16EA" w:rsidRPr="005565F8" w:rsidP="00B45174" w14:paraId="45711CDC" w14:textId="77777777">
      <w:pPr>
        <w:pStyle w:val="Heading2"/>
        <w:pBdr>
          <w:bottom w:val="single" w:sz="24" w:space="1" w:color="228B9D"/>
        </w:pBdr>
      </w:pPr>
      <w:bookmarkStart w:id="25" w:name="_Toc510687739"/>
      <w:bookmarkStart w:id="26" w:name="_Toc256000006"/>
      <w:bookmarkStart w:id="27" w:name="_Toc256000041"/>
      <w:r w:rsidRPr="005565F8">
        <w:t xml:space="preserve">2.3. </w:t>
      </w:r>
      <w:bookmarkEnd w:id="18"/>
      <w:r w:rsidRPr="005565F8" w:rsidR="00026F83">
        <w:t>Publiskā sektora efektivitāte</w:t>
      </w:r>
      <w:bookmarkEnd w:id="27"/>
      <w:bookmarkEnd w:id="26"/>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9" w:themeFill="accent6" w:themeFillShade="BF"/>
        <w:tblLook w:val="04A0"/>
      </w:tblPr>
      <w:tblGrid>
        <w:gridCol w:w="9628"/>
      </w:tblGrid>
      <w:tr w14:paraId="353E5D45" w14:textId="77777777" w:rsidTr="00A618A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9" w:themeFill="accent6" w:themeFillShade="BF"/>
          <w:tblLook w:val="04A0"/>
        </w:tblPrEx>
        <w:tc>
          <w:tcPr>
            <w:tcW w:w="9628" w:type="dxa"/>
            <w:shd w:val="clear" w:color="auto" w:fill="CF8646"/>
          </w:tcPr>
          <w:p w:rsidR="003E0F5E" w:rsidRPr="005565F8" w:rsidP="003E0F5E" w14:paraId="1F6D0AA7" w14:textId="77777777">
            <w:pPr>
              <w:spacing w:before="240" w:after="240"/>
              <w:ind w:left="227" w:right="227"/>
              <w:rPr>
                <w:rFonts w:ascii="Calibri Light" w:hAnsi="Calibri Light"/>
                <w:caps/>
                <w:color w:val="FFFFFF" w:themeColor="background1"/>
                <w:sz w:val="18"/>
                <w:szCs w:val="18"/>
              </w:rPr>
            </w:pPr>
            <w:r w:rsidRPr="005565F8">
              <w:rPr>
                <w:rFonts w:ascii="Calibri Light" w:hAnsi="Calibri Light"/>
                <w:caps/>
                <w:color w:val="FFFFFF" w:themeColor="background1"/>
                <w:sz w:val="18"/>
                <w:szCs w:val="18"/>
              </w:rPr>
              <w:t>Palielināt publiskā sektora efektivitāti un pārskatatbildību, jo īpaši, vienkāršojot administratīvās procedūras un nostiprinot interešu konfliktu novēršanas sistēmu, tostarp maksātnespējas procesa administratoriem</w:t>
            </w:r>
            <w:r w:rsidRPr="005565F8">
              <w:rPr>
                <w:rFonts w:ascii="Calibri Light" w:hAnsi="Calibri Light"/>
                <w:caps/>
                <w:color w:val="FFFFFF" w:themeColor="background1"/>
                <w:sz w:val="18"/>
                <w:szCs w:val="18"/>
              </w:rPr>
              <w:t>.</w:t>
            </w:r>
          </w:p>
        </w:tc>
      </w:tr>
    </w:tbl>
    <w:p w:rsidR="003E0F5E" w:rsidRPr="005565F8" w:rsidP="003E0F5E" w14:paraId="348CE72D" w14:textId="77777777">
      <w:pPr>
        <w:rPr>
          <w:b/>
        </w:rPr>
      </w:pPr>
    </w:p>
    <w:p w:rsidR="003E0F5E" w:rsidRPr="005565F8" w:rsidP="003E0F5E" w14:paraId="1C8D6B49" w14:textId="77777777">
      <w:pPr>
        <w:sectPr w:rsidSect="003D0310">
          <w:type w:val="continuous"/>
          <w:pgSz w:w="11906" w:h="16838" w:code="9"/>
          <w:pgMar w:top="1134" w:right="1134" w:bottom="1134" w:left="1134" w:header="709" w:footer="709" w:gutter="0"/>
          <w:cols w:space="708"/>
          <w:titlePg/>
          <w:docGrid w:linePitch="360"/>
        </w:sectPr>
      </w:pPr>
    </w:p>
    <w:p w:rsidR="00932881" w:rsidRPr="005565F8" w:rsidP="00731C86" w14:paraId="7859A35C" w14:textId="77777777">
      <w:pPr>
        <w:rPr>
          <w:shd w:val="clear" w:color="auto" w:fill="FFFFFF"/>
        </w:rPr>
      </w:pPr>
      <w:r w:rsidRPr="005565F8">
        <w:t>Lai palielinātu</w:t>
      </w:r>
      <w:r w:rsidRPr="005565F8">
        <w:rPr>
          <w:b/>
        </w:rPr>
        <w:t xml:space="preserve"> publiskā sektora efektivitāti, </w:t>
      </w:r>
      <w:r w:rsidRPr="005565F8">
        <w:t xml:space="preserve">jo īpaši, vienkāršojot administratīvās procedūras, 2017.gada 14.novembrī MK apstiprināja </w:t>
      </w:r>
      <w:r w:rsidRPr="005565F8">
        <w:rPr>
          <w:i/>
        </w:rPr>
        <w:t>Valsts pārvaldes reformu plānu 2020</w:t>
      </w:r>
      <w:r w:rsidRPr="005565F8">
        <w:t xml:space="preserve">, kurš </w:t>
      </w:r>
      <w:r w:rsidRPr="005565F8">
        <w:rPr>
          <w:shd w:val="clear" w:color="auto" w:fill="FFFFFF"/>
        </w:rPr>
        <w:t>paredz</w:t>
      </w:r>
      <w:r w:rsidRPr="005565F8" w:rsidR="00731C86">
        <w:rPr>
          <w:shd w:val="clear" w:color="auto" w:fill="FFFFFF"/>
        </w:rPr>
        <w:t xml:space="preserve"> </w:t>
      </w:r>
      <w:r w:rsidRPr="005565F8">
        <w:rPr>
          <w:shd w:val="clear" w:color="auto" w:fill="FFFFFF"/>
        </w:rPr>
        <w:t xml:space="preserve">triju gadu laikā sniegt impulsu valsts pārvaldes attīstībai, darba kvalitātes un efektivitātes uzlabošanai ar mērķi veidot efektīvu, atbildīgu un elastīgu valsts pārvaldi. Plānā ietvertie desmit reformu virzieni ir rīki mūsdienīgas valsts pārvaldes izveidei. </w:t>
      </w:r>
    </w:p>
    <w:p w:rsidR="00932881" w:rsidRPr="005565F8" w:rsidP="00932881" w14:paraId="21DD0A71" w14:textId="77777777">
      <w:pPr>
        <w:rPr>
          <w:shd w:val="clear" w:color="auto" w:fill="FFFFFF"/>
        </w:rPr>
      </w:pPr>
      <w:r w:rsidRPr="005565F8">
        <w:rPr>
          <w:shd w:val="clear" w:color="auto" w:fill="FFFFFF"/>
        </w:rPr>
        <w:t>Plānā ir paredzēts īstenot “nulles birokrātijas” principu – atteikties no nevajadzīgas birokrātijas un virzīties uz mazas un analītiskas valsts pārvaldes modeli. Turpmākā valsts pārvaldes regulējuma politika ir jāizstrādā tāda, kas izskauž liekus procesus un regulējumus, samazina iekšējo un ārējo administratīvo slogu un izmaksas.</w:t>
      </w:r>
    </w:p>
    <w:p w:rsidR="00932881" w:rsidRPr="005565F8" w:rsidP="00932881" w14:paraId="37E65B01" w14:textId="77777777">
      <w:r w:rsidRPr="005565F8">
        <w:t xml:space="preserve">2017.gada decembrī EK Strukturālo reformu atbalsta dienests apstiprināja Valsts kancelejas iesniegto projektu </w:t>
      </w:r>
      <w:r w:rsidRPr="005565F8">
        <w:rPr>
          <w:i/>
        </w:rPr>
        <w:t>“</w:t>
      </w:r>
      <w:r w:rsidRPr="005565F8">
        <w:rPr>
          <w:i/>
        </w:rPr>
        <w:t>ExCeL</w:t>
      </w:r>
      <w:r w:rsidRPr="005565F8">
        <w:rPr>
          <w:i/>
        </w:rPr>
        <w:t>!”</w:t>
      </w:r>
      <w:r w:rsidRPr="005565F8">
        <w:t xml:space="preserve"> (</w:t>
      </w:r>
      <w:r w:rsidRPr="005565F8">
        <w:rPr>
          <w:i/>
        </w:rPr>
        <w:t>Excellent</w:t>
      </w:r>
      <w:r w:rsidRPr="005565F8">
        <w:rPr>
          <w:i/>
        </w:rPr>
        <w:t xml:space="preserve"> </w:t>
      </w:r>
      <w:r w:rsidRPr="005565F8">
        <w:rPr>
          <w:i/>
        </w:rPr>
        <w:t>for</w:t>
      </w:r>
      <w:r w:rsidRPr="005565F8">
        <w:rPr>
          <w:i/>
        </w:rPr>
        <w:t xml:space="preserve"> </w:t>
      </w:r>
      <w:r w:rsidRPr="005565F8">
        <w:rPr>
          <w:i/>
        </w:rPr>
        <w:t>Centenary</w:t>
      </w:r>
      <w:r w:rsidRPr="005565F8">
        <w:rPr>
          <w:i/>
        </w:rPr>
        <w:t xml:space="preserve"> </w:t>
      </w:r>
      <w:r w:rsidRPr="005565F8">
        <w:rPr>
          <w:i/>
        </w:rPr>
        <w:t>of</w:t>
      </w:r>
      <w:r w:rsidRPr="005565F8">
        <w:rPr>
          <w:i/>
        </w:rPr>
        <w:t xml:space="preserve"> Latvia!</w:t>
      </w:r>
      <w:r w:rsidRPr="005565F8">
        <w:t xml:space="preserve">), kurā viens no atbalstāmajiem virzieniem ir Administratīvās vienkāršošanas laboratorijas izveide, lai ieviestu mērķtiecīgu pieeju un metodes pastāvīgai administratīvā sloga samazināšanai. </w:t>
      </w:r>
    </w:p>
    <w:p w:rsidR="00932881" w:rsidRPr="005565F8" w:rsidP="00932881" w14:paraId="1B3E19EB" w14:textId="77777777">
      <w:r w:rsidRPr="005565F8">
        <w:t xml:space="preserve">Tāpat 2017.gada 28.novembrī MK apstiprināja priekšlikumus iekšējā administratīvā sloga starp iestādēm mazināšanai, kas paredz konkrētus uzdevumus savstarpējo pieprasījumu par finansēm un valsts budžetu, </w:t>
      </w:r>
      <w:r w:rsidRPr="005565F8">
        <w:t>personālvadības</w:t>
      </w:r>
      <w:r w:rsidRPr="005565F8">
        <w:t xml:space="preserve"> un statistiskas datiem vienkāršošanai un informatīvo ziņojumu skaita samazināšanai. Tas atbrīvos resursus iestādēm pamatfunkciju īstenošanai</w:t>
      </w:r>
      <w:r w:rsidRPr="005565F8" w:rsidR="00827603">
        <w:t>. Tāpat tika ieviests “konsultē vispirms” princips</w:t>
      </w:r>
      <w:r w:rsidRPr="005565F8">
        <w:t xml:space="preserve"> </w:t>
      </w:r>
      <w:r w:rsidRPr="005565F8">
        <w:rPr>
          <w:i/>
        </w:rPr>
        <w:t>(skat. arī 3.2.1.nodaļu)</w:t>
      </w:r>
      <w:r w:rsidRPr="005565F8">
        <w:t xml:space="preserve">. </w:t>
      </w:r>
    </w:p>
    <w:p w:rsidR="00E70E02" w:rsidRPr="005565F8" w:rsidP="00932881" w14:paraId="38751D12" w14:textId="77777777">
      <w:r w:rsidRPr="005565F8">
        <w:t xml:space="preserve">Tiek uzlabota </w:t>
      </w:r>
      <w:r w:rsidRPr="005565F8">
        <w:rPr>
          <w:b/>
        </w:rPr>
        <w:t>interešu konflikta novēršanas sistēma</w:t>
      </w:r>
      <w:r w:rsidRPr="005565F8">
        <w:t xml:space="preserve">, regulāri pilnveidojot </w:t>
      </w:r>
      <w:r w:rsidRPr="005565F8" w:rsidR="00216623">
        <w:rPr>
          <w:i/>
        </w:rPr>
        <w:t>L</w:t>
      </w:r>
      <w:r w:rsidRPr="005565F8">
        <w:rPr>
          <w:i/>
        </w:rPr>
        <w:t>ikuma</w:t>
      </w:r>
      <w:r w:rsidRPr="005565F8">
        <w:t xml:space="preserve"> </w:t>
      </w:r>
      <w:r w:rsidRPr="005565F8" w:rsidR="00216623">
        <w:rPr>
          <w:i/>
        </w:rPr>
        <w:t>p</w:t>
      </w:r>
      <w:r w:rsidRPr="005565F8">
        <w:rPr>
          <w:i/>
        </w:rPr>
        <w:t>ar interešu konflikta novēršanu valsts amatpersonu darbībā</w:t>
      </w:r>
      <w:r w:rsidRPr="005565F8">
        <w:t xml:space="preserve"> (turpmāk – IKNL) normas</w:t>
      </w:r>
      <w:r w:rsidRPr="005565F8">
        <w:t>:</w:t>
      </w:r>
    </w:p>
    <w:p w:rsidR="00932881" w:rsidRPr="005565F8" w:rsidP="00735883" w14:paraId="7FE90710" w14:textId="77777777">
      <w:pPr>
        <w:pStyle w:val="ListParagraph"/>
        <w:numPr>
          <w:ilvl w:val="0"/>
          <w:numId w:val="32"/>
        </w:numPr>
        <w:ind w:left="284" w:hanging="284"/>
      </w:pPr>
      <w:r w:rsidRPr="005565F8">
        <w:t>š</w:t>
      </w:r>
      <w:r w:rsidRPr="005565F8">
        <w:t xml:space="preserve">obrīd </w:t>
      </w:r>
      <w:r w:rsidRPr="005565F8" w:rsidR="00E94950">
        <w:t xml:space="preserve">ir iesniegti </w:t>
      </w:r>
      <w:r w:rsidRPr="005565F8" w:rsidR="00E70E02">
        <w:t xml:space="preserve">izskatīšanai </w:t>
      </w:r>
      <w:r w:rsidRPr="005565F8">
        <w:t>MKK</w:t>
      </w:r>
      <w:r w:rsidRPr="005565F8" w:rsidR="00E70E02">
        <w:t xml:space="preserve"> </w:t>
      </w:r>
      <w:r w:rsidRPr="005565F8">
        <w:t>grozījumi IKNL, kas</w:t>
      </w:r>
      <w:r w:rsidRPr="005565F8" w:rsidR="00E70E02">
        <w:t xml:space="preserve"> </w:t>
      </w:r>
      <w:r w:rsidRPr="005565F8">
        <w:t xml:space="preserve">paredz būtiski uzlabot ziedojumu pieņemšanas kārtību; paplašināt to personu loku, kuras tiek kvalificētas kā radinieks; noteikt papildu pienākumu informēt publiskas personas institūcijas vadītāju vai KNAB par interešu konflikta situācijām vai iespējamiem korupcijas, t.sk. ārvalstu amatpersonu kukuļošanas, gadījumiem; paplašināt to personu loku, kuras jānorāda valsts amatpersonas deklarācijā; noteikt </w:t>
      </w:r>
      <w:r w:rsidRPr="005565F8">
        <w:t>Satversmes aizsardzības biroja direktora valsts amatpersonas deklarācijas iesniegšanas kārtību; noteikt terminētus komercdarbības ierobežojumus valsts amatpersonai, kura veikusi izmeklēšanas funkcijas; precizēt valsts amatpersonas pienākumus un rīcību, nosakot papildu gadījumus un paredzot konkrētus termiņus publiskas personas institūcijas vadītāja informēšanai par valsts amatpersonas iespējamo interešu konfliktu u.c. grozījumus;</w:t>
      </w:r>
    </w:p>
    <w:p w:rsidR="00932881" w:rsidRPr="005565F8" w:rsidP="00735883" w14:paraId="29C0F49D" w14:textId="77777777">
      <w:pPr>
        <w:pStyle w:val="ListParagraph"/>
        <w:numPr>
          <w:ilvl w:val="0"/>
          <w:numId w:val="32"/>
        </w:numPr>
        <w:autoSpaceDE w:val="0"/>
        <w:autoSpaceDN w:val="0"/>
        <w:adjustRightInd w:val="0"/>
        <w:spacing w:after="80"/>
        <w:ind w:left="284" w:hanging="284"/>
        <w:contextualSpacing w:val="0"/>
      </w:pPr>
      <w:r w:rsidRPr="005565F8">
        <w:t xml:space="preserve">kopš 2017.gada 28.aprīļa izskatīšanā </w:t>
      </w:r>
      <w:r w:rsidRPr="005565F8" w:rsidR="00E94950">
        <w:t>Saeim</w:t>
      </w:r>
      <w:r w:rsidRPr="005565F8">
        <w:t xml:space="preserve">ā </w:t>
      </w:r>
      <w:r w:rsidRPr="005565F8" w:rsidR="00E70E02">
        <w:t xml:space="preserve">atrodas </w:t>
      </w:r>
      <w:r w:rsidRPr="005565F8">
        <w:t>grozījumi IKLN</w:t>
      </w:r>
      <w:r w:rsidRPr="005565F8" w:rsidR="00E70E02">
        <w:t xml:space="preserve"> par </w:t>
      </w:r>
      <w:r w:rsidRPr="005565F8">
        <w:t>valsts amatpersonas lēmumu pieņemšanas un ar amatu saistīto darbību veikšanas ierobežojum</w:t>
      </w:r>
      <w:r w:rsidRPr="005565F8" w:rsidR="00E70E02">
        <w:t>iem attiecībā</w:t>
      </w:r>
      <w:r w:rsidRPr="005565F8">
        <w:t xml:space="preserve"> uz personu, ar kuru valsts amatpersona dzīvo kopā un ar kuru tai ir kopīga (nedalīta) saimniecība</w:t>
      </w:r>
      <w:r w:rsidRPr="005565F8" w:rsidR="00216623">
        <w:t>;</w:t>
      </w:r>
      <w:r w:rsidRPr="005565F8">
        <w:t xml:space="preserve"> </w:t>
      </w:r>
      <w:r w:rsidRPr="005565F8" w:rsidR="00E70E02">
        <w:t>tāpat tie</w:t>
      </w:r>
      <w:r w:rsidRPr="005565F8">
        <w:t xml:space="preserve"> noteiks skaidras naudas uzkrājumu ierobežojumu 20 minimālo mēnešalgu apmērā</w:t>
      </w:r>
      <w:r w:rsidRPr="005565F8" w:rsidR="00E70E02">
        <w:t xml:space="preserve">, kā arī </w:t>
      </w:r>
      <w:r w:rsidRPr="005565F8">
        <w:t>papildu iesniedzamās deklarācijas veidu, kas saturētu informāciju par valsts amatpersonas veiktajiem darījumiem, piemēram, saņemtajiem dāvinājumiem un mantojumu, izsniegtu vai saņemtu aizdevumu, kuru vērtība pārsniedz 20 minimālās mēnešalgas.</w:t>
      </w:r>
    </w:p>
    <w:p w:rsidR="00932881" w:rsidRPr="005565F8" w:rsidP="00932881" w14:paraId="6A74F1FD" w14:textId="77777777">
      <w:pPr>
        <w:rPr>
          <w:rFonts w:eastAsiaTheme="minorHAnsi" w:cstheme="minorBidi"/>
          <w:color w:val="000000" w:themeColor="text1"/>
        </w:rPr>
      </w:pPr>
      <w:r w:rsidRPr="005565F8">
        <w:t>Nolūkā panākt vienotu izpratni par</w:t>
      </w:r>
      <w:r w:rsidRPr="005565F8">
        <w:rPr>
          <w:b/>
        </w:rPr>
        <w:t xml:space="preserve"> </w:t>
      </w:r>
      <w:r w:rsidRPr="005565F8">
        <w:t>pamatprasībām</w:t>
      </w:r>
      <w:r w:rsidRPr="005565F8">
        <w:rPr>
          <w:b/>
        </w:rPr>
        <w:t xml:space="preserve"> </w:t>
      </w:r>
      <w:r w:rsidRPr="005565F8">
        <w:t xml:space="preserve">iekšējās kontroles sistēmas izveidošanai korupcijas un interešu konflikta riska novēršanai, 2017.gadā tika turpināts darbs pie vienota ārējā normatīvā akta publiskas personas institūcijām (t.sk. pašvaldībām un publiskas personas kapitālsabiedrībām) izstrādes. 2017.gada 27.oktobrī stājās spēkā MK noteikumi Nr.630 </w:t>
      </w:r>
      <w:r w:rsidRPr="005565F8">
        <w:rPr>
          <w:i/>
        </w:rPr>
        <w:t>“Par iekšējās kontroles sistēmas pamatprasībām korupcijas un interešu konflikta riska novēršanai publiskas personas institūcijā”</w:t>
      </w:r>
      <w:r w:rsidRPr="005565F8">
        <w:t>. Šis</w:t>
      </w:r>
      <w:r w:rsidRPr="005565F8">
        <w:rPr>
          <w:rFonts w:eastAsiaTheme="minorHAnsi" w:cstheme="minorBidi"/>
          <w:color w:val="000000" w:themeColor="text1"/>
        </w:rPr>
        <w:t xml:space="preserve"> ir būtībā secīgs solis iepriekšējam KNAB darbam attiecībā uz pretkorupcijas un krāpšanas apkarošanas politikas pārorientāciju no ārējās kontroles uz resora un institūcijas iekšējo kontroli. </w:t>
      </w:r>
    </w:p>
    <w:p w:rsidR="00932881" w:rsidRPr="005565F8" w:rsidP="00932881" w14:paraId="237477A4" w14:textId="77777777">
      <w:r w:rsidRPr="005565F8">
        <w:rPr>
          <w:rFonts w:eastAsiaTheme="minorHAnsi" w:cstheme="minorBidi"/>
          <w:color w:val="000000" w:themeColor="text1"/>
        </w:rPr>
        <w:t>2018</w:t>
      </w:r>
      <w:r w:rsidRPr="005565F8">
        <w:rPr>
          <w:rFonts w:eastAsiaTheme="minorHAnsi" w:cstheme="minorBidi"/>
          <w:color w:val="000000" w:themeColor="text1"/>
        </w:rPr>
        <w:t>.</w:t>
      </w:r>
      <w:r w:rsidRPr="005565F8" w:rsidR="0020690D">
        <w:rPr>
          <w:rFonts w:eastAsiaTheme="minorHAnsi" w:cstheme="minorBidi"/>
          <w:color w:val="000000" w:themeColor="text1"/>
        </w:rPr>
        <w:t xml:space="preserve"> </w:t>
      </w:r>
      <w:r w:rsidRPr="005565F8">
        <w:rPr>
          <w:rFonts w:eastAsiaTheme="minorHAnsi" w:cstheme="minorBidi"/>
          <w:color w:val="000000" w:themeColor="text1"/>
        </w:rPr>
        <w:t>gada 31.</w:t>
      </w:r>
      <w:r w:rsidRPr="005565F8" w:rsidR="0020690D">
        <w:rPr>
          <w:rFonts w:eastAsiaTheme="minorHAnsi" w:cstheme="minorBidi"/>
          <w:color w:val="000000" w:themeColor="text1"/>
        </w:rPr>
        <w:t xml:space="preserve"> </w:t>
      </w:r>
      <w:r w:rsidRPr="005565F8">
        <w:rPr>
          <w:rFonts w:eastAsiaTheme="minorHAnsi" w:cstheme="minorBidi"/>
          <w:color w:val="000000" w:themeColor="text1"/>
        </w:rPr>
        <w:t xml:space="preserve">janvārī tika apstiprinātas </w:t>
      </w:r>
      <w:r w:rsidRPr="005565F8">
        <w:rPr>
          <w:rFonts w:eastAsiaTheme="minorHAnsi" w:cstheme="minorBidi"/>
          <w:i/>
          <w:color w:val="000000" w:themeColor="text1"/>
        </w:rPr>
        <w:t>Vadlīnijas iekšējās kontroles sistēmas pamatprasībām korupcijas un interešu konflikta riska novēršanai publiskas personas institūcijā</w:t>
      </w:r>
      <w:r w:rsidRPr="005565F8">
        <w:rPr>
          <w:rFonts w:eastAsiaTheme="minorHAnsi" w:cstheme="minorBidi"/>
          <w:color w:val="000000" w:themeColor="text1"/>
        </w:rPr>
        <w:t>, kuru mērķis ir sniegt ieteikumus, metodisku palīdzību un piemērus institūcijām iekšējās kontroles sistēmas korupcijas riska novēršanai izveidei, pilnveidošanai un uzturēšanai.</w:t>
      </w:r>
    </w:p>
    <w:p w:rsidR="00932881" w:rsidRPr="005565F8" w:rsidP="00932881" w14:paraId="461E844D" w14:textId="77777777">
      <w:pPr>
        <w:rPr>
          <w:rFonts w:eastAsia="Times New Roman"/>
          <w:lang w:eastAsia="lv-LV"/>
        </w:rPr>
      </w:pPr>
      <w:r w:rsidRPr="005565F8">
        <w:t xml:space="preserve">Lai ilgtermiņā attīstītu maksātnespējas jomu kopumā, </w:t>
      </w:r>
      <w:r w:rsidRPr="005565F8" w:rsidR="00216623">
        <w:t>t.sk.</w:t>
      </w:r>
      <w:r w:rsidRPr="005565F8">
        <w:t xml:space="preserve"> </w:t>
      </w:r>
      <w:r w:rsidRPr="005565F8">
        <w:rPr>
          <w:b/>
        </w:rPr>
        <w:t>maksātnespējas procesa administratoru</w:t>
      </w:r>
      <w:r w:rsidRPr="005565F8">
        <w:t xml:space="preserve"> </w:t>
      </w:r>
      <w:r w:rsidRPr="005565F8">
        <w:t xml:space="preserve">uzraudzību, profesijas uzticamību un profesionalitāti, </w:t>
      </w:r>
      <w:r w:rsidRPr="005565F8">
        <w:rPr>
          <w:rFonts w:eastAsia="Times New Roman"/>
          <w:lang w:eastAsia="lv-LV"/>
        </w:rPr>
        <w:t xml:space="preserve">tiek īstenotas </w:t>
      </w:r>
      <w:r w:rsidRPr="005565F8">
        <w:rPr>
          <w:rFonts w:eastAsia="Times New Roman"/>
          <w:i/>
          <w:lang w:eastAsia="lv-LV"/>
        </w:rPr>
        <w:t>Maksātnespējas politikas attīstības pamatnostādnes 2016.-2020. gadam</w:t>
      </w:r>
      <w:r w:rsidRPr="005565F8">
        <w:rPr>
          <w:rFonts w:eastAsia="Times New Roman"/>
          <w:lang w:eastAsia="lv-LV"/>
        </w:rPr>
        <w:t xml:space="preserve"> un to īstenošanas plāns.</w:t>
      </w:r>
    </w:p>
    <w:p w:rsidR="00932881" w:rsidRPr="005565F8" w:rsidP="00932881" w14:paraId="1BC660E1" w14:textId="77777777">
      <w:r w:rsidRPr="005565F8">
        <w:t xml:space="preserve">Maksātnespējas procesa administratoru atbildības stiprināšanai kopš 2016.gada 1.janvāra ir noteikts, ka maksātnespējas procesa administratori ir valsts amatpersonas un viņiem ir pienākums iesniegt valsts amatpersonas deklarācijas, kā arī nekustamā īpašuma izsoles maksātnespējas procesa ietvaros norit </w:t>
      </w:r>
      <w:r w:rsidRPr="005565F8">
        <w:rPr>
          <w:szCs w:val="26"/>
        </w:rPr>
        <w:t>elektronisko izsoļu vietnē https://izsoles.ta.gov.lv</w:t>
      </w:r>
      <w:r w:rsidRPr="005565F8">
        <w:t>.</w:t>
      </w:r>
    </w:p>
    <w:p w:rsidR="00932881" w:rsidRPr="005565F8" w:rsidP="00932881" w14:paraId="247F6897" w14:textId="77777777">
      <w:r w:rsidRPr="005565F8">
        <w:t xml:space="preserve">2017.gada 6.janvārī stājās spēkā </w:t>
      </w:r>
      <w:r w:rsidRPr="005565F8">
        <w:rPr>
          <w:i/>
        </w:rPr>
        <w:t>Grozījumi Maksātnespējas likumā</w:t>
      </w:r>
      <w:r w:rsidRPr="005565F8">
        <w:t xml:space="preserve">, kas nosaka maksātnespējas procesa administratoru eksaminācijas nodošanu valstij, ievieš disciplināratbildību maksātnespējas procesa administratoriem un tiesiskās aizsardzības procesa uzraugošajām personām, kā arī Maksātnespējas administrācijas tiesības ierasties maksātnespējas procesa administratora un tiesiskās aizsardzības procesa uzraugošās personas prakses vietā un pārbaudīt viņas lietvedībā esošo procesu </w:t>
      </w:r>
      <w:r w:rsidRPr="005565F8">
        <w:t>dokumentus. Tāpat ar minētajiem grozījumiem no 2018. gada 1. jūlija paredzēts pilnveidot uzraudzības sistēmu, ieviešot Elektronisko maksātnespējas uzraudzības sistēmu kā valsts informācijas sistēmu un publicējot Maksātnespējas administrācijas tīmekļvietnē informāciju par maksātnespējas procesa administratoriem un tiesiskās aizsardzības procesa uzraugošajām personām, kā arī par procesiem.</w:t>
      </w:r>
    </w:p>
    <w:p w:rsidR="00932881" w:rsidRPr="005565F8" w:rsidP="00932881" w14:paraId="46DC1BF5" w14:textId="77777777">
      <w:r w:rsidRPr="005565F8">
        <w:t>2018.</w:t>
      </w:r>
      <w:r w:rsidRPr="005565F8" w:rsidR="0020690D">
        <w:t xml:space="preserve"> </w:t>
      </w:r>
      <w:r w:rsidRPr="005565F8">
        <w:t>gada 1.</w:t>
      </w:r>
      <w:r w:rsidRPr="005565F8" w:rsidR="0020690D">
        <w:t xml:space="preserve"> </w:t>
      </w:r>
      <w:r w:rsidRPr="005565F8">
        <w:t xml:space="preserve">janvārī stājās spēkā </w:t>
      </w:r>
      <w:r w:rsidRPr="005565F8">
        <w:rPr>
          <w:i/>
        </w:rPr>
        <w:t>Grozījumi Krimināllikumā</w:t>
      </w:r>
      <w:r w:rsidRPr="005565F8">
        <w:t xml:space="preserve"> attiecībā uz tādiem noziedzīgiem nodarījumiem kā </w:t>
      </w:r>
      <w:r w:rsidRPr="005565F8">
        <w:rPr>
          <w:bCs/>
          <w:color w:val="000000"/>
        </w:rPr>
        <w:t xml:space="preserve">maksātnespējas procesa kavēšana un tiesiskās aizsardzības procesa noteikumu pārkāpšana. </w:t>
      </w:r>
      <w:r w:rsidRPr="005565F8">
        <w:rPr>
          <w:color w:val="000000"/>
        </w:rPr>
        <w:t xml:space="preserve">Grozījumi tika izstrādāti </w:t>
      </w:r>
      <w:r w:rsidRPr="005565F8">
        <w:rPr>
          <w:bCs/>
          <w:color w:val="000000"/>
        </w:rPr>
        <w:t>ar mērķi, lai kriminālatbildība tiktu paredzēta par smagākajiem maksātnespējas procesa noteikumu pārkāpumiem, savukārt pārējos gadījumos personas tiktu sauktas pie administratīvās atbildības</w:t>
      </w:r>
      <w:r w:rsidRPr="005565F8">
        <w:rPr>
          <w:color w:val="000000"/>
        </w:rPr>
        <w:t xml:space="preserve"> saskaņā ar Latvijas </w:t>
      </w:r>
      <w:r w:rsidRPr="005565F8">
        <w:rPr>
          <w:i/>
          <w:color w:val="000000"/>
        </w:rPr>
        <w:t>Administratīvo pārkāpumu kodeksu</w:t>
      </w:r>
      <w:r w:rsidRPr="005565F8">
        <w:rPr>
          <w:color w:val="000000"/>
        </w:rPr>
        <w:t>, tādējādi nodrošinot efektīvāku atbildības piemērošanu.</w:t>
      </w:r>
    </w:p>
    <w:p w:rsidR="00887A2F" w:rsidRPr="005565F8" w:rsidP="003E0F5E" w14:paraId="05295B34" w14:textId="77777777">
      <w:pPr>
        <w:rPr>
          <w:b/>
        </w:rPr>
      </w:pPr>
    </w:p>
    <w:p w:rsidR="003E0F5E" w:rsidRPr="005565F8" w:rsidP="00F1154F" w14:paraId="1E9C7B29" w14:textId="77777777">
      <w:pPr>
        <w:ind w:firstLine="567"/>
        <w:sectPr w:rsidSect="003D0310">
          <w:type w:val="continuous"/>
          <w:pgSz w:w="11906" w:h="16838" w:code="9"/>
          <w:pgMar w:top="1134" w:right="1134" w:bottom="1134" w:left="1134" w:header="709" w:footer="709" w:gutter="0"/>
          <w:cols w:num="2" w:space="340"/>
          <w:titlePg/>
          <w:docGrid w:linePitch="360"/>
        </w:sectPr>
      </w:pPr>
    </w:p>
    <w:p w:rsidR="00F1154F" w:rsidRPr="005565F8" w:rsidP="00F1154F" w14:paraId="742DA03E" w14:textId="77777777">
      <w:pPr>
        <w:ind w:firstLine="567"/>
      </w:pPr>
    </w:p>
    <w:p w:rsidR="00A83B07" w:rsidRPr="005565F8" w:rsidP="00F1154F" w14:paraId="15696E40" w14:textId="77777777">
      <w:pPr>
        <w:ind w:firstLine="567"/>
      </w:pPr>
      <w:r w:rsidRPr="005565F8">
        <w:br w:type="page"/>
      </w:r>
    </w:p>
    <w:p w:rsidR="009C339C" w:rsidRPr="005565F8" w:rsidP="009C339C" w14:paraId="08B74D51" w14:textId="77777777">
      <w:pPr>
        <w:pStyle w:val="Heading1"/>
      </w:pPr>
      <w:bookmarkStart w:id="28" w:name="_Toc510687740"/>
      <w:bookmarkStart w:id="29" w:name="_Toc256000007"/>
      <w:bookmarkStart w:id="30" w:name="_Toc256000042"/>
      <w:r w:rsidRPr="005565F8">
        <w:t>3. Politikas virzieni</w:t>
      </w:r>
      <w:bookmarkEnd w:id="30"/>
      <w:bookmarkEnd w:id="29"/>
      <w:bookmarkEnd w:id="28"/>
    </w:p>
    <w:p w:rsidR="009C339C" w:rsidRPr="005565F8" w:rsidP="00B45174" w14:paraId="7B1DDB83" w14:textId="77777777">
      <w:pPr>
        <w:pStyle w:val="Heading2"/>
        <w:pBdr>
          <w:bottom w:val="single" w:sz="24" w:space="1" w:color="228B9D"/>
        </w:pBdr>
      </w:pPr>
      <w:bookmarkStart w:id="31" w:name="_Toc510687741"/>
      <w:bookmarkStart w:id="32" w:name="_Toc256000008"/>
      <w:bookmarkStart w:id="33" w:name="_Toc256000043"/>
      <w:r w:rsidRPr="005565F8">
        <w:t>3.1. Finanšu stabilitāte</w:t>
      </w:r>
      <w:bookmarkEnd w:id="33"/>
      <w:bookmarkEnd w:id="32"/>
      <w:bookmarkEnd w:id="31"/>
    </w:p>
    <w:p w:rsidR="009C339C" w:rsidRPr="005565F8" w:rsidP="00B45174" w14:paraId="437B2E8B" w14:textId="77777777">
      <w:pPr>
        <w:pBdr>
          <w:bottom w:val="single" w:sz="24" w:space="1" w:color="228B9D"/>
        </w:pBdr>
        <w:spacing w:before="120"/>
        <w:sectPr w:rsidSect="003D0310">
          <w:type w:val="continuous"/>
          <w:pgSz w:w="11906" w:h="16838" w:code="9"/>
          <w:pgMar w:top="1134" w:right="1134" w:bottom="1134" w:left="1134" w:header="709" w:footer="709" w:gutter="0"/>
          <w:cols w:space="708"/>
          <w:titlePg/>
          <w:docGrid w:linePitch="360"/>
        </w:sectPr>
      </w:pPr>
    </w:p>
    <w:p w:rsidR="009C339C" w:rsidRPr="005565F8" w:rsidP="00951581" w14:paraId="67B5715F" w14:textId="77777777">
      <w:pPr>
        <w:pStyle w:val="Heading3"/>
      </w:pPr>
      <w:bookmarkStart w:id="34" w:name="_Toc510687742"/>
      <w:bookmarkStart w:id="35" w:name="_Toc256000009"/>
      <w:bookmarkStart w:id="36" w:name="_Toc256000045"/>
      <w:r w:rsidRPr="005565F8">
        <w:t>3.1.1. Ilgtspējīga budžeta veidošana</w:t>
      </w:r>
      <w:bookmarkEnd w:id="36"/>
      <w:bookmarkEnd w:id="35"/>
      <w:bookmarkEnd w:id="34"/>
    </w:p>
    <w:p w:rsidR="009C339C" w:rsidRPr="005565F8" w:rsidP="00951581" w14:paraId="36CB326A" w14:textId="77777777">
      <w:pPr>
        <w:pBdr>
          <w:bottom w:val="single" w:sz="18" w:space="1" w:color="228B9D"/>
        </w:pBdr>
        <w:ind w:firstLine="567"/>
        <w:sectPr w:rsidSect="003D0310">
          <w:type w:val="continuous"/>
          <w:pgSz w:w="11906" w:h="16838" w:code="9"/>
          <w:pgMar w:top="1134" w:right="1134" w:bottom="1134" w:left="1134" w:header="709" w:footer="709" w:gutter="0"/>
          <w:cols w:space="708"/>
          <w:titlePg/>
          <w:docGrid w:linePitch="360"/>
        </w:sectPr>
      </w:pPr>
    </w:p>
    <w:p w:rsidR="001B7768" w:rsidRPr="005565F8" w:rsidP="001B7768" w14:paraId="2C59CB60" w14:textId="77777777">
      <w:r w:rsidRPr="005565F8">
        <w:t>Fiskālās politikas vispārējais mērķis ir</w:t>
      </w:r>
      <w:r w:rsidRPr="005565F8">
        <w:rPr>
          <w:rFonts w:eastAsia="Times New Roman"/>
        </w:rPr>
        <w:t xml:space="preserve"> ilgtspējīgi </w:t>
      </w:r>
      <w:r w:rsidRPr="005565F8">
        <w:t>kāpināt iedzīvotāju dzīves kvalitāti. Ilgtspējīga dzīves kvalitātes kāpināšana nozīmē, ka publiskie finanšu resursi tiek novirzīti ne tikai pašreizējiem dzīves kvalitātes uzlabošanas pasākumiem, bet tiek plānoti un sadalīti tā, lai tiktu nodrošināti apstākļi, ka valsts varēs dzīves kvalitāti kāpināt ilgtermiņā. To var panākt, pirmkārt, atsakoties no pašreizējo izdevumu segšanas uz nākamo paaudžu rēķina jeb atsakoties no publisko izdevumu palielināšanas uz deficīta rēķina</w:t>
      </w:r>
      <w:r w:rsidRPr="005565F8" w:rsidR="00216623">
        <w:t>.</w:t>
      </w:r>
      <w:r w:rsidRPr="005565F8">
        <w:t xml:space="preserve"> </w:t>
      </w:r>
      <w:r w:rsidRPr="005565F8" w:rsidR="00216623">
        <w:t>O</w:t>
      </w:r>
      <w:r w:rsidRPr="005565F8">
        <w:t>trkārt, novirzot publiskos resursus labvēlīgas vides veidošanai ekonomikas attīstībai un nevienlīdzības mazināšanai.</w:t>
      </w:r>
    </w:p>
    <w:p w:rsidR="001B7768" w:rsidRPr="005565F8" w:rsidP="001B7768" w14:paraId="0BDBE491" w14:textId="77777777">
      <w:pPr>
        <w:rPr>
          <w:color w:val="000000"/>
        </w:rPr>
      </w:pPr>
      <w:r w:rsidRPr="005565F8">
        <w:rPr>
          <w:color w:val="000000"/>
        </w:rPr>
        <w:t>Valsts budžeta bāzes izdevumi nodrošina valsts funkciju izpildi nemainīgā līmenī un pie nosacījuma, ja nerodas negatīvi ārēji apstākļi, kas samazinātu dzīves kvalitāti, var teikt, ka tā paliek nemainīgā līmenī. Tātad, lai novērstu negatīvu apstākļu ietekmi uz sabiedrības vidējo dzīves kvalitāti, vai, lai to paaugstinātu, nepieciešami papildu publisko finanšu resursi, bet, lai samazinātu nevienlīdzību dzīves kvalitātē, nepieciešama publisko finanšu resursu pārdale.</w:t>
      </w:r>
    </w:p>
    <w:p w:rsidR="001B7768" w:rsidRPr="005565F8" w:rsidP="001B7768" w14:paraId="0DDC351E" w14:textId="77777777">
      <w:r w:rsidRPr="005565F8">
        <w:rPr>
          <w:i/>
        </w:rPr>
        <w:t xml:space="preserve">Likums </w:t>
      </w:r>
      <w:r w:rsidRPr="005565F8" w:rsidR="00216623">
        <w:rPr>
          <w:i/>
        </w:rPr>
        <w:t>p</w:t>
      </w:r>
      <w:r w:rsidRPr="005565F8">
        <w:rPr>
          <w:i/>
        </w:rPr>
        <w:t>ar vidēja termiņa budžeta ietvaru 2018., 2019. un 2020.gadam</w:t>
      </w:r>
      <w:r w:rsidRPr="005565F8" w:rsidR="00216623">
        <w:rPr>
          <w:i/>
        </w:rPr>
        <w:t xml:space="preserve"> </w:t>
      </w:r>
      <w:r w:rsidRPr="005565F8" w:rsidR="00216623">
        <w:t>(</w:t>
      </w:r>
      <w:r w:rsidRPr="005565F8">
        <w:t xml:space="preserve">stājās spēkā </w:t>
      </w:r>
      <w:r w:rsidRPr="005565F8" w:rsidR="00216623">
        <w:t>2018.</w:t>
      </w:r>
      <w:r w:rsidRPr="005565F8">
        <w:t>gada 1.janvārī</w:t>
      </w:r>
      <w:r w:rsidRPr="005565F8" w:rsidR="00216623">
        <w:t>)</w:t>
      </w:r>
      <w:r w:rsidRPr="005565F8">
        <w:t xml:space="preserve">, noteica vispārējo fiskālās politikas mērķi </w:t>
      </w:r>
      <w:r w:rsidRPr="005565F8" w:rsidR="00216623">
        <w:t>–</w:t>
      </w:r>
      <w:r w:rsidRPr="005565F8">
        <w:rPr>
          <w:rFonts w:eastAsia="Times New Roman"/>
        </w:rPr>
        <w:t xml:space="preserve"> ilgtspējīgi </w:t>
      </w:r>
      <w:r w:rsidRPr="005565F8">
        <w:t>kāpināt iedzīvotāju dzīves kvalitāti. Lai sasniegtu vispārējo mērķi, tika noteikti četri vidēja termiņa budžeta politikas prioritāri attīstības virzieni (detalizētāk skat</w:t>
      </w:r>
      <w:r w:rsidRPr="005565F8" w:rsidR="00216623">
        <w:t xml:space="preserve">. </w:t>
      </w:r>
      <w:r w:rsidRPr="005565F8">
        <w:rPr>
          <w:rFonts w:eastAsiaTheme="minorHAnsi"/>
          <w:i/>
        </w:rPr>
        <w:t>Latvijas Stabilitātes programmu 2018.-2021.gadam</w:t>
      </w:r>
      <w:r w:rsidRPr="005565F8">
        <w:t xml:space="preserve">): </w:t>
      </w:r>
    </w:p>
    <w:p w:rsidR="001B7768" w:rsidRPr="005565F8" w:rsidP="00735883" w14:paraId="53EE7A57" w14:textId="77777777">
      <w:pPr>
        <w:numPr>
          <w:ilvl w:val="0"/>
          <w:numId w:val="39"/>
        </w:numPr>
        <w:spacing w:after="0"/>
        <w:ind w:left="284" w:hanging="284"/>
      </w:pPr>
      <w:r w:rsidRPr="005565F8">
        <w:t>valsts aizsardzības spēju palielināšana, nodrošinot valsts aizsardzības finansējumu pret IKP 2</w:t>
      </w:r>
      <w:r w:rsidRPr="005565F8" w:rsidR="00BF69C0">
        <w:t>%</w:t>
      </w:r>
      <w:r w:rsidRPr="005565F8">
        <w:t xml:space="preserve"> apmērā;</w:t>
      </w:r>
    </w:p>
    <w:p w:rsidR="001B7768" w:rsidRPr="005565F8" w:rsidP="00735883" w14:paraId="7ED84F84" w14:textId="77777777">
      <w:pPr>
        <w:numPr>
          <w:ilvl w:val="0"/>
          <w:numId w:val="39"/>
        </w:numPr>
        <w:spacing w:after="0"/>
        <w:ind w:left="284" w:hanging="284"/>
      </w:pPr>
      <w:r w:rsidRPr="005565F8">
        <w:t xml:space="preserve">ilgtspējīgas un sabalansētas valsts ekonomiskās attīstības veicināšana, ieviešot </w:t>
      </w:r>
      <w:r w:rsidRPr="005565F8" w:rsidR="00670AD8">
        <w:t xml:space="preserve">atlikto </w:t>
      </w:r>
      <w:r w:rsidRPr="005565F8" w:rsidR="000D706F">
        <w:t xml:space="preserve">UIN </w:t>
      </w:r>
      <w:r w:rsidRPr="005565F8" w:rsidR="00670AD8">
        <w:t>uzņēmumu peļņai, kas tiek maksāts uzņēmuma peļņas sadales brīdī (</w:t>
      </w:r>
      <w:r w:rsidRPr="005565F8">
        <w:t>reinvestētai</w:t>
      </w:r>
      <w:r w:rsidRPr="005565F8">
        <w:t xml:space="preserve"> peļņai</w:t>
      </w:r>
      <w:r w:rsidRPr="005565F8" w:rsidR="00670AD8">
        <w:t xml:space="preserve"> UIN netiek piemērots)</w:t>
      </w:r>
      <w:r w:rsidRPr="005565F8">
        <w:t>,</w:t>
      </w:r>
      <w:r w:rsidRPr="005565F8" w:rsidR="006C3AC7">
        <w:t xml:space="preserve"> </w:t>
      </w:r>
      <w:r w:rsidRPr="005565F8">
        <w:t>samazinot darbaspēka nodokļa slogu un valsts budžeta iespēju robežās primāri nodrošinot finansējuma pieaugumu aizsardzībai, veselībai, demogrāfijai un autoceļu uzturēšanai;</w:t>
      </w:r>
    </w:p>
    <w:p w:rsidR="001B7768" w:rsidRPr="005565F8" w:rsidP="00735883" w14:paraId="4B6F7B15" w14:textId="77777777">
      <w:pPr>
        <w:numPr>
          <w:ilvl w:val="0"/>
          <w:numId w:val="39"/>
        </w:numPr>
        <w:spacing w:after="0"/>
        <w:ind w:left="284" w:hanging="284"/>
      </w:pPr>
      <w:r w:rsidRPr="005565F8">
        <w:t>iedzīvotāju ienākumu nevienlīdzības mazināšana, palielinot minimālo algu, ieviešot progresīvo IIN neapliekamo minimumu un diferencējot IIN likmi;</w:t>
      </w:r>
    </w:p>
    <w:p w:rsidR="001B7768" w:rsidRPr="005565F8" w:rsidP="00735883" w14:paraId="0ED19F7C" w14:textId="77777777">
      <w:pPr>
        <w:numPr>
          <w:ilvl w:val="0"/>
          <w:numId w:val="39"/>
        </w:numPr>
        <w:spacing w:after="0"/>
        <w:ind w:left="284" w:hanging="284"/>
      </w:pPr>
      <w:r w:rsidRPr="005565F8">
        <w:t xml:space="preserve">nodokļu ieņēmumu apjoma pret IKP pakāpeniska palielināšana līdz 1/3 no IKP, pamatā uzlabojot nodokļu </w:t>
      </w:r>
      <w:r w:rsidRPr="005565F8">
        <w:t>iekasējamību</w:t>
      </w:r>
      <w:r w:rsidRPr="005565F8">
        <w:t>.</w:t>
      </w:r>
    </w:p>
    <w:p w:rsidR="001B7768" w:rsidRPr="005565F8" w:rsidP="001B7768" w14:paraId="22CA66F6" w14:textId="77777777">
      <w:r w:rsidRPr="005565F8">
        <w:rPr>
          <w:color w:val="000000"/>
        </w:rPr>
        <w:t>S</w:t>
      </w:r>
      <w:r w:rsidRPr="005565F8">
        <w:t xml:space="preserve">ākot ar 2016.gadu </w:t>
      </w:r>
      <w:r w:rsidRPr="005565F8">
        <w:rPr>
          <w:i/>
        </w:rPr>
        <w:t>Likumā par budžetu un finanšu vadību</w:t>
      </w:r>
      <w:r w:rsidRPr="005565F8">
        <w:t xml:space="preserve"> ir iekļauta norma, kas paredz valdībai nodrošināt pastāvīgu un sistemātisku valsts budžeta izdevumu pārskatīšanu, ļaujot efektīvāk un ekonomiskāk īstenot valsts politiku, kā arī optimizēt budžeta izdevumus un izvērtēt to atbilstību attīstības plānošanas dokumentos noteiktajām prioritātēm un mērķiem. Valdība ik gadu pieņem lēmumu par valsts budžeta izdevumu pārskatīšanas nākamo tvērumu, un balstoties uz to finanšu ministrs iesniedz valdībai valsts budžeta izdevumu pārskatīšanas rezultātus un priekšlikumus par šo rezultātu izmantošanu valsts budžeta plānošanai. </w:t>
      </w:r>
    </w:p>
    <w:p w:rsidR="001B7768" w:rsidRPr="005565F8" w:rsidP="001B7768" w14:paraId="49DCBB64" w14:textId="77777777">
      <w:r w:rsidRPr="005565F8">
        <w:rPr>
          <w:bCs/>
          <w:shd w:val="clear" w:color="auto" w:fill="FFFFFF"/>
        </w:rPr>
        <w:t xml:space="preserve">2017.gadam izdevumu pārskatīšanas rezultātā iegūtie resursi veidoja 61,3 milj. </w:t>
      </w:r>
      <w:r w:rsidRPr="005565F8">
        <w:rPr>
          <w:bCs/>
          <w:i/>
          <w:shd w:val="clear" w:color="auto" w:fill="FFFFFF"/>
        </w:rPr>
        <w:t>euro</w:t>
      </w:r>
      <w:r w:rsidRPr="005565F8">
        <w:rPr>
          <w:bCs/>
          <w:shd w:val="clear" w:color="auto" w:fill="FFFFFF"/>
        </w:rPr>
        <w:t xml:space="preserve">, kas pēc pielietojuma veida tika sadalīti attiecīgi 32,6 milj. </w:t>
      </w:r>
      <w:r w:rsidRPr="005565F8">
        <w:rPr>
          <w:bCs/>
          <w:i/>
          <w:shd w:val="clear" w:color="auto" w:fill="FFFFFF"/>
        </w:rPr>
        <w:t>euro</w:t>
      </w:r>
      <w:r w:rsidRPr="005565F8">
        <w:rPr>
          <w:bCs/>
          <w:shd w:val="clear" w:color="auto" w:fill="FFFFFF"/>
        </w:rPr>
        <w:t xml:space="preserve"> kopējām prioritātēm un 28,7 milj. </w:t>
      </w:r>
      <w:r w:rsidRPr="005565F8">
        <w:rPr>
          <w:bCs/>
          <w:i/>
          <w:shd w:val="clear" w:color="auto" w:fill="FFFFFF"/>
        </w:rPr>
        <w:t>euro</w:t>
      </w:r>
      <w:r w:rsidRPr="005565F8">
        <w:rPr>
          <w:bCs/>
          <w:shd w:val="clear" w:color="auto" w:fill="FFFFFF"/>
        </w:rPr>
        <w:t xml:space="preserve"> tika novirzīti kā iekšējie resursi pašu nozaru prioritāšu finansēšanai. Atbilstoši FM veiktajam novērtējumam 2017.gada izdevumu pārskatīšanas rezultāti 2018.gadā veido 81,1 milj. </w:t>
      </w:r>
      <w:r w:rsidRPr="005565F8">
        <w:rPr>
          <w:bCs/>
          <w:i/>
          <w:shd w:val="clear" w:color="auto" w:fill="FFFFFF"/>
        </w:rPr>
        <w:t>euro</w:t>
      </w:r>
      <w:r w:rsidRPr="005565F8">
        <w:rPr>
          <w:bCs/>
          <w:shd w:val="clear" w:color="auto" w:fill="FFFFFF"/>
        </w:rPr>
        <w:t xml:space="preserve">, 2019.gadā  73,1 milj. </w:t>
      </w:r>
      <w:r w:rsidRPr="005565F8">
        <w:rPr>
          <w:bCs/>
          <w:i/>
          <w:shd w:val="clear" w:color="auto" w:fill="FFFFFF"/>
        </w:rPr>
        <w:t>euro</w:t>
      </w:r>
      <w:r w:rsidRPr="005565F8">
        <w:rPr>
          <w:bCs/>
          <w:shd w:val="clear" w:color="auto" w:fill="FFFFFF"/>
        </w:rPr>
        <w:t xml:space="preserve">. Izdevumu pārskatīšanas rezultāti atspoguļo ministrijām potenciāli pieejamos (iekšējos) finanšu resursus aktuālo prioritāšu finansēšanai, </w:t>
      </w:r>
      <w:r w:rsidRPr="005565F8" w:rsidR="00216623">
        <w:rPr>
          <w:bCs/>
          <w:shd w:val="clear" w:color="auto" w:fill="FFFFFF"/>
        </w:rPr>
        <w:t>t.sk.</w:t>
      </w:r>
      <w:r w:rsidRPr="005565F8">
        <w:rPr>
          <w:bCs/>
          <w:shd w:val="clear" w:color="auto" w:fill="FFFFFF"/>
        </w:rPr>
        <w:t xml:space="preserve"> resursus, ko ministrijas ir novirzījušas tādu mērķu finansēšanai, kas ir atšķirīgi no resursu sākotnējā piešķiršanas mērķa. Norādītie rezultāti izriet no iepriekšējo periodu prioritāro pasākumu aktualitātes, sasniedzamo rezultātu un mērķu atbilstības pārskatīšanas; iespējas izdevumu segšanai izmantot uzkrātos maksas pakalpojumu un citu pašu ieņēmumu naudas līdzekļu atlikumus; valsts pārvaldes funkciju un finanšu vadības procesu pilnveidošanas; ilgstošo vakanču pārvērtēšanas; maksas pakalpojumu cenrāžu aktualizēšanas atbilstoši dabiskajam izmaksu pieaugumam; zemākās prioritātes administratīvo izdevumu pārskatīšanas.</w:t>
      </w:r>
    </w:p>
    <w:p w:rsidR="001B7768" w:rsidRPr="005565F8" w:rsidP="001B7768" w14:paraId="340DC4DE" w14:textId="77777777">
      <w:pPr>
        <w:spacing w:before="120"/>
      </w:pPr>
      <w:r w:rsidRPr="005565F8">
        <w:rPr>
          <w:color w:val="000000"/>
        </w:rPr>
        <w:t xml:space="preserve">2017.gadā ir </w:t>
      </w:r>
      <w:r w:rsidRPr="005565F8">
        <w:t xml:space="preserve">mainīta arī līdzšinējā kārtība, kādā ministrijas nosaka nākamā budžeta prioritāros pasākumus, kā arī tiek nodrošināts, lai prioritāro pasākumu iesniegšanas un izvērtēšanas process būtu vienkāršāks, efektīvāks, akcentētu prioritāro pasākumu ietekmi uz ekonomisko izaugsmi un tautsaimniecību. Papildus tam, jaunā pieeja iespēju robežās sekmē ministriju iekšējo resursu pārorientēšanu valsts attīstībai. </w:t>
      </w:r>
    </w:p>
    <w:p w:rsidR="000C2443" w:rsidRPr="005565F8" w:rsidP="001B7768" w14:paraId="0F4654D0" w14:textId="77777777">
      <w:pPr>
        <w:spacing w:before="120"/>
        <w:sectPr w:rsidSect="003D0310">
          <w:type w:val="continuous"/>
          <w:pgSz w:w="11906" w:h="16838" w:code="9"/>
          <w:pgMar w:top="1134" w:right="1134" w:bottom="1134" w:left="1134" w:header="709" w:footer="709" w:gutter="0"/>
          <w:cols w:num="2" w:space="340"/>
          <w:titlePg/>
          <w:docGrid w:linePitch="360"/>
        </w:sectPr>
      </w:pPr>
    </w:p>
    <w:p w:rsidR="00BD02FF" w:rsidRPr="005565F8" w:rsidP="001B7768" w14:paraId="18307313" w14:textId="77777777">
      <w:pPr>
        <w:spacing w:before="120"/>
      </w:pPr>
    </w:p>
    <w:p w:rsidR="001B7768" w:rsidRPr="005565F8" w:rsidP="00731C86" w14:paraId="15BB6CA2" w14:textId="77777777">
      <w:pPr>
        <w:spacing w:before="120" w:after="240"/>
        <w:rPr>
          <w:rFonts w:ascii="Segoe UI" w:hAnsi="Segoe UI" w:cs="Segoe UI"/>
          <w:b/>
          <w:u w:val="double"/>
        </w:rPr>
      </w:pPr>
      <w:r w:rsidRPr="005565F8">
        <w:rPr>
          <w:rFonts w:ascii="Segoe UI" w:hAnsi="Segoe UI" w:cs="Segoe UI"/>
          <w:b/>
          <w:u w:val="double"/>
        </w:rPr>
        <w:br w:type="column"/>
      </w:r>
      <w:r w:rsidRPr="005565F8">
        <w:rPr>
          <w:rFonts w:ascii="Segoe UI" w:hAnsi="Segoe UI" w:cs="Segoe UI"/>
          <w:b/>
          <w:u w:val="double"/>
        </w:rPr>
        <w:t>Galvenie politikas virzieni un pasākumi:</w:t>
      </w:r>
    </w:p>
    <w:p w:rsidR="00731C86" w:rsidRPr="005565F8" w:rsidP="00731C86" w14:paraId="52433654"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 xml:space="preserve">Fiskālās disciplīnas stiprināšana </w:t>
      </w:r>
    </w:p>
    <w:p w:rsidR="001B7768" w:rsidRPr="005565F8" w:rsidP="00BD02FF" w14:paraId="7788062F" w14:textId="77777777">
      <w:pPr>
        <w:pBdr>
          <w:left w:val="single" w:sz="24" w:space="4" w:color="00879B"/>
        </w:pBdr>
        <w:spacing w:before="120"/>
        <w:rPr>
          <w:rFonts w:eastAsia="+mn-ea"/>
          <w:b/>
          <w:i/>
          <w:color w:val="595959" w:themeColor="text1" w:themeTint="A6"/>
          <w:sz w:val="16"/>
        </w:rPr>
      </w:pPr>
      <w:r w:rsidRPr="005565F8">
        <w:rPr>
          <w:rFonts w:eastAsia="+mn-ea"/>
          <w:color w:val="595959" w:themeColor="text1" w:themeTint="A6"/>
          <w:sz w:val="16"/>
        </w:rPr>
        <w:t>/</w:t>
      </w:r>
      <w:r w:rsidRPr="005565F8">
        <w:rPr>
          <w:rFonts w:eastAsia="+mn-ea"/>
          <w:color w:val="595959" w:themeColor="text1" w:themeTint="A6"/>
          <w:sz w:val="16"/>
        </w:rPr>
        <w:t>atbildīgā institūcija – FM</w:t>
      </w:r>
      <w:r w:rsidRPr="005565F8">
        <w:rPr>
          <w:rFonts w:eastAsia="+mn-ea"/>
          <w:color w:val="595959" w:themeColor="text1" w:themeTint="A6"/>
          <w:sz w:val="16"/>
        </w:rPr>
        <w:t>/</w:t>
      </w:r>
    </w:p>
    <w:p w:rsidR="000C2443" w:rsidRPr="005565F8" w:rsidP="00BF69C0" w14:paraId="386238D4" w14:textId="77777777">
      <w:pPr>
        <w:spacing w:before="240"/>
        <w:rPr>
          <w:i/>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1B7768" w:rsidRPr="005565F8" w:rsidP="00BF69C0" w14:paraId="2B2AEB51" w14:textId="77777777">
      <w:pPr>
        <w:spacing w:before="240"/>
      </w:pPr>
      <w:r w:rsidRPr="005565F8">
        <w:rPr>
          <w:i/>
        </w:rPr>
        <w:t>Fiskālās disciplīnas likums</w:t>
      </w:r>
      <w:r w:rsidRPr="005565F8">
        <w:t xml:space="preserve"> (turpmāk – FDL) ir izstrādāts saskaņā ar </w:t>
      </w:r>
      <w:r w:rsidRPr="005565F8">
        <w:rPr>
          <w:i/>
        </w:rPr>
        <w:t xml:space="preserve">Stabilitātes un izaugsmes </w:t>
      </w:r>
      <w:r w:rsidRPr="005565F8">
        <w:rPr>
          <w:i/>
        </w:rPr>
        <w:t>pakta</w:t>
      </w:r>
      <w:r w:rsidRPr="005565F8">
        <w:t xml:space="preserve"> nosacījumiem un kopš FDL stāšanās spēkā 2013.gada 6.martā tiek nodrošināta fiskālo nosacījumu ieviešana valsts budžeta un vidēja termiņa budžeta ietvara </w:t>
      </w:r>
      <w:r w:rsidRPr="005565F8">
        <w:t>veidošanas procesā. Vienlaikus ir ieviesta fiskālo risku vispārējā vadība un izveidota Fiskālās disciplīnas padome, kas atbild par fiskālās disciplīnas normu ievērošanu gan budžeta plānošanas procesā, gan arī izpildes stadijā.</w:t>
      </w:r>
    </w:p>
    <w:p w:rsidR="000C2443" w:rsidRPr="005565F8" w:rsidP="00BD02FF" w14:paraId="28925526" w14:textId="77777777">
      <w:pPr>
        <w:spacing w:before="120"/>
        <w:sectPr w:rsidSect="003D0310">
          <w:type w:val="continuous"/>
          <w:pgSz w:w="11906" w:h="16838" w:code="9"/>
          <w:pgMar w:top="1134" w:right="1134" w:bottom="1134" w:left="1134" w:header="709" w:footer="709" w:gutter="0"/>
          <w:cols w:num="2" w:space="340"/>
          <w:titlePg/>
          <w:docGrid w:linePitch="360"/>
        </w:sectPr>
      </w:pPr>
    </w:p>
    <w:p w:rsidR="00BD02FF" w:rsidRPr="005565F8" w:rsidP="00BD02FF" w14:paraId="10D95AAA" w14:textId="77777777">
      <w:pPr>
        <w:spacing w:before="120"/>
      </w:pPr>
    </w:p>
    <w:p w:rsidR="00BD02FF" w:rsidRPr="005565F8" w:rsidP="00BD02FF" w14:paraId="7D77E6A6"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Pensiju sistēmas ilgtspējas nodrošināšana</w:t>
      </w:r>
    </w:p>
    <w:p w:rsidR="00BD02FF" w:rsidRPr="005565F8" w:rsidP="00BD02FF" w14:paraId="7BD865AA"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w:t>
      </w:r>
    </w:p>
    <w:p w:rsidR="000C2443" w:rsidRPr="005565F8" w:rsidP="00B22046" w14:paraId="37C1123C"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1B7768" w:rsidRPr="005565F8" w:rsidP="00BF69C0" w14:paraId="04E55BCC" w14:textId="77777777">
      <w:pPr>
        <w:spacing w:before="240"/>
      </w:pPr>
      <w:r w:rsidRPr="005565F8">
        <w:rPr>
          <w:rFonts w:eastAsia="Times New Roman"/>
          <w:lang w:eastAsia="lv-LV"/>
        </w:rPr>
        <w:t>Sākot ar 2014.gadu, speciālais budžets ir ar pozitīvu bilanci, ko veicinājuši virkne ne tikai uz īstermiņu, bet arī uz ilgtermiņu vērstu finansiāli stabilizējošu pasākumu: piemaksu finansēšanas avota maiņa uz pamatbudžetu, pensionēšanās vecuma pakāpeniska celšana, minimālā apdrošināšanas stāža tiesību iegūšanai uz vecuma pensiju paaugstināšana</w:t>
      </w:r>
      <w:r>
        <w:rPr>
          <w:rStyle w:val="FootnoteReference"/>
        </w:rPr>
        <w:footnoteReference w:id="20"/>
      </w:r>
      <w:r w:rsidRPr="005565F8">
        <w:rPr>
          <w:rFonts w:eastAsia="Times New Roman"/>
          <w:lang w:eastAsia="lv-LV"/>
        </w:rPr>
        <w:t>.</w:t>
      </w:r>
      <w:r w:rsidRPr="005565F8">
        <w:rPr>
          <w:sz w:val="18"/>
          <w:szCs w:val="18"/>
        </w:rPr>
        <w:t xml:space="preserve"> </w:t>
      </w:r>
      <w:r w:rsidRPr="005565F8">
        <w:t>Arī turpmākajos gados plānota pozitīva budžeta bilance.</w:t>
      </w:r>
    </w:p>
    <w:p w:rsidR="001B7768" w:rsidRPr="005565F8" w:rsidP="001B7768" w14:paraId="6DFF45F9" w14:textId="77777777">
      <w:r w:rsidRPr="005565F8">
        <w:t xml:space="preserve">Līdztekus pensiju sistēmas finansiālās ilgtspējas aspektiem, kuru stiprināšanu paredz no 2014.gada īstenotie </w:t>
      </w:r>
      <w:r w:rsidRPr="005565F8" w:rsidR="00216623">
        <w:rPr>
          <w:i/>
        </w:rPr>
        <w:t xml:space="preserve">Grozījumi </w:t>
      </w:r>
      <w:r w:rsidRPr="005565F8">
        <w:rPr>
          <w:i/>
        </w:rPr>
        <w:t>likum</w:t>
      </w:r>
      <w:r w:rsidRPr="005565F8" w:rsidR="00216623">
        <w:rPr>
          <w:i/>
        </w:rPr>
        <w:t>ā</w:t>
      </w:r>
      <w:r w:rsidRPr="005565F8">
        <w:rPr>
          <w:i/>
        </w:rPr>
        <w:t xml:space="preserve"> </w:t>
      </w:r>
      <w:r w:rsidRPr="005565F8" w:rsidR="00216623">
        <w:rPr>
          <w:i/>
        </w:rPr>
        <w:t>p</w:t>
      </w:r>
      <w:r w:rsidRPr="005565F8">
        <w:rPr>
          <w:i/>
        </w:rPr>
        <w:t>ar valsts pensijām</w:t>
      </w:r>
      <w:r>
        <w:rPr>
          <w:rStyle w:val="FootnoteReference"/>
        </w:rPr>
        <w:footnoteReference w:id="21"/>
      </w:r>
      <w:r w:rsidRPr="005565F8">
        <w:t xml:space="preserve">, kopš 2015.gada ir aktualizēts arī pensiju adekvātuma </w:t>
      </w:r>
      <w:r w:rsidRPr="005565F8">
        <w:t>jautājums (</w:t>
      </w:r>
      <w:r w:rsidRPr="005565F8">
        <w:rPr>
          <w:i/>
        </w:rPr>
        <w:t>skat. 3.5.1.nodaļu</w:t>
      </w:r>
      <w:r w:rsidRPr="005565F8">
        <w:t>, pasākumi ienākumu nevienlīdzības samazināšanai un pensionāru ienākumu līmeņa palielināšanai).</w:t>
      </w:r>
    </w:p>
    <w:p w:rsidR="009D62DD" w:rsidRPr="005565F8" w:rsidP="009C339C" w14:paraId="752C4961" w14:textId="77777777">
      <w:pPr>
        <w:autoSpaceDE w:val="0"/>
        <w:autoSpaceDN w:val="0"/>
        <w:adjustRightInd w:val="0"/>
        <w:rPr>
          <w:rFonts w:eastAsia="Times New Roman"/>
        </w:rPr>
      </w:pPr>
      <w:bookmarkStart w:id="37" w:name="pn21"/>
      <w:bookmarkStart w:id="38" w:name="p-609073"/>
      <w:bookmarkEnd w:id="37"/>
      <w:bookmarkEnd w:id="38"/>
      <w:r w:rsidRPr="005565F8">
        <w:rPr>
          <w:rFonts w:eastAsia="Times New Roman"/>
        </w:rPr>
        <w:t xml:space="preserve">2018.gadā tiek ieviesti virkne pasākumu, kuru mērķis ir paaugstināt noteiktu personu grupu sociālo nodrošinājumu, motivēt valsts sociālās apdrošināšanas </w:t>
      </w:r>
      <w:r w:rsidRPr="005565F8" w:rsidR="006A4213">
        <w:rPr>
          <w:rFonts w:eastAsia="Times New Roman"/>
        </w:rPr>
        <w:t xml:space="preserve">obligāto </w:t>
      </w:r>
      <w:r w:rsidRPr="005565F8">
        <w:rPr>
          <w:rFonts w:eastAsia="Times New Roman"/>
        </w:rPr>
        <w:t>iemaksu (turpmāk –</w:t>
      </w:r>
      <w:r w:rsidRPr="005565F8">
        <w:rPr>
          <w:shd w:val="clear" w:color="auto" w:fill="FFFFFF"/>
        </w:rPr>
        <w:t xml:space="preserve"> VSAOI)</w:t>
      </w:r>
      <w:r w:rsidRPr="005565F8">
        <w:rPr>
          <w:rFonts w:eastAsia="Times New Roman"/>
        </w:rPr>
        <w:t xml:space="preserve"> veikšanu, kā arī vidējā un ilgtermiņā sekmēt sociālās apdrošināšanas sistēmas adekvātuma un finansiālās ilgtspējas palielināšanos </w:t>
      </w:r>
      <w:r w:rsidRPr="005565F8">
        <w:rPr>
          <w:rFonts w:eastAsia="Times New Roman"/>
          <w:i/>
        </w:rPr>
        <w:t>(skat</w:t>
      </w:r>
      <w:r w:rsidRPr="005565F8" w:rsidR="00216623">
        <w:rPr>
          <w:rFonts w:eastAsia="Times New Roman"/>
          <w:i/>
        </w:rPr>
        <w:t>.</w:t>
      </w:r>
      <w:r w:rsidRPr="005565F8">
        <w:rPr>
          <w:rFonts w:eastAsia="Times New Roman"/>
          <w:i/>
        </w:rPr>
        <w:t xml:space="preserve"> </w:t>
      </w:r>
      <w:r w:rsidRPr="005565F8" w:rsidR="000C2443">
        <w:rPr>
          <w:rFonts w:eastAsia="Times New Roman"/>
          <w:i/>
        </w:rPr>
        <w:t>3.1</w:t>
      </w:r>
      <w:r w:rsidRPr="005565F8">
        <w:rPr>
          <w:rFonts w:eastAsia="Times New Roman"/>
          <w:i/>
        </w:rPr>
        <w:t>.ielikumu)</w:t>
      </w:r>
      <w:r w:rsidRPr="005565F8">
        <w:rPr>
          <w:rFonts w:eastAsia="Times New Roman"/>
        </w:rPr>
        <w:t>.</w:t>
      </w:r>
    </w:p>
    <w:p w:rsidR="009C339C" w:rsidRPr="005565F8" w:rsidP="009D62DD" w14:paraId="3F080C0B" w14:textId="77777777">
      <w:pPr>
        <w:shd w:val="clear" w:color="auto" w:fill="FFFFFF"/>
        <w:ind w:left="567" w:right="28"/>
        <w:rPr>
          <w:rFonts w:ascii="Garamond" w:eastAsia="Times New Roman" w:hAnsi="Garamond"/>
          <w:color w:val="0F0F0F"/>
          <w:szCs w:val="21"/>
          <w:lang w:eastAsia="ja-JP"/>
        </w:rPr>
        <w:sectPr w:rsidSect="003D0310">
          <w:type w:val="continuous"/>
          <w:pgSz w:w="11906" w:h="16838" w:code="9"/>
          <w:pgMar w:top="1134" w:right="1134" w:bottom="1134" w:left="1134" w:header="709" w:footer="709" w:gutter="0"/>
          <w:cols w:num="2" w:space="340"/>
          <w:titlePg/>
          <w:docGrid w:linePitch="360"/>
        </w:sectPr>
      </w:pPr>
    </w:p>
    <w:p w:rsidR="009D62DD" w:rsidRPr="005565F8" w:rsidP="009D62DD" w14:paraId="32C2DAF0" w14:textId="77777777">
      <w:pPr>
        <w:shd w:val="clear" w:color="auto" w:fill="FFFFFF"/>
        <w:ind w:left="567" w:right="28"/>
        <w:rPr>
          <w:rFonts w:ascii="Garamond" w:eastAsia="Times New Roman" w:hAnsi="Garamond"/>
          <w:color w:val="0F0F0F"/>
          <w:szCs w:val="21"/>
          <w:lang w:eastAsia="ja-JP"/>
        </w:rPr>
      </w:pPr>
    </w:p>
    <w:p w:rsidR="009D62DD" w:rsidRPr="005565F8" w:rsidP="00BD02FF" w14:paraId="7855F3F6"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0"/>
        <w:rPr>
          <w:rFonts w:ascii="Calibri Light" w:eastAsia="Times New Roman" w:hAnsi="Calibri Light"/>
          <w:color w:val="0F0F0F"/>
          <w:sz w:val="4"/>
          <w:szCs w:val="16"/>
          <w:lang w:eastAsia="lv-LV"/>
        </w:rPr>
      </w:pPr>
    </w:p>
    <w:p w:rsidR="00BD02FF" w:rsidRPr="005565F8" w:rsidP="00BD02FF" w14:paraId="147D2F36"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60"/>
        <w:jc w:val="right"/>
        <w:rPr>
          <w:rFonts w:ascii="Calibri Light" w:eastAsia="Times New Roman" w:hAnsi="Calibri Light"/>
          <w:color w:val="0F0F0F"/>
          <w:sz w:val="16"/>
          <w:szCs w:val="16"/>
          <w:lang w:eastAsia="lv-LV"/>
        </w:rPr>
      </w:pPr>
      <w:r w:rsidRPr="005565F8">
        <w:rPr>
          <w:rFonts w:ascii="Calibri Light" w:eastAsia="Times New Roman" w:hAnsi="Calibri Light"/>
          <w:color w:val="0F0F0F"/>
          <w:sz w:val="16"/>
          <w:szCs w:val="16"/>
          <w:lang w:eastAsia="lv-LV"/>
        </w:rPr>
        <w:t>3.</w:t>
      </w:r>
      <w:r w:rsidRPr="005565F8">
        <w:rPr>
          <w:rFonts w:ascii="Calibri Light" w:eastAsia="Times New Roman" w:hAnsi="Calibri Light"/>
          <w:color w:val="0F0F0F"/>
          <w:sz w:val="16"/>
          <w:szCs w:val="16"/>
          <w:lang w:eastAsia="lv-LV"/>
        </w:rPr>
        <w:t>1. ielikums</w:t>
      </w:r>
    </w:p>
    <w:p w:rsidR="00BD02FF" w:rsidRPr="005565F8" w:rsidP="00BF69C0" w14:paraId="2188F46C"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rPr>
          <w:rFonts w:ascii="Calibri Light" w:eastAsia="Times New Roman" w:hAnsi="Calibri Light"/>
          <w:b/>
          <w:szCs w:val="16"/>
        </w:rPr>
      </w:pPr>
      <w:r w:rsidRPr="005565F8">
        <w:rPr>
          <w:rFonts w:ascii="Calibri Light" w:hAnsi="Calibri Light"/>
          <w:b/>
          <w:szCs w:val="16"/>
        </w:rPr>
        <w:t>P</w:t>
      </w:r>
      <w:r w:rsidRPr="005565F8" w:rsidR="001B7768">
        <w:rPr>
          <w:rFonts w:ascii="Calibri Light" w:hAnsi="Calibri Light"/>
          <w:b/>
          <w:szCs w:val="16"/>
        </w:rPr>
        <w:t xml:space="preserve">asākumi </w:t>
      </w:r>
      <w:r w:rsidRPr="005565F8" w:rsidR="001B7768">
        <w:rPr>
          <w:rFonts w:ascii="Calibri Light" w:eastAsia="Times New Roman" w:hAnsi="Calibri Light"/>
          <w:b/>
          <w:szCs w:val="16"/>
        </w:rPr>
        <w:t>noteiktu personu grupu sociāl</w:t>
      </w:r>
      <w:r w:rsidRPr="005565F8">
        <w:rPr>
          <w:rFonts w:ascii="Calibri Light" w:eastAsia="Times New Roman" w:hAnsi="Calibri Light"/>
          <w:b/>
          <w:szCs w:val="16"/>
        </w:rPr>
        <w:t>ā</w:t>
      </w:r>
      <w:r w:rsidRPr="005565F8" w:rsidR="001B7768">
        <w:rPr>
          <w:rFonts w:ascii="Calibri Light" w:eastAsia="Times New Roman" w:hAnsi="Calibri Light"/>
          <w:b/>
          <w:szCs w:val="16"/>
        </w:rPr>
        <w:t xml:space="preserve"> nodrošinājum</w:t>
      </w:r>
      <w:r w:rsidRPr="005565F8">
        <w:rPr>
          <w:rFonts w:ascii="Calibri Light" w:eastAsia="Times New Roman" w:hAnsi="Calibri Light"/>
          <w:b/>
          <w:szCs w:val="16"/>
        </w:rPr>
        <w:t>a paaugstināšanai</w:t>
      </w:r>
    </w:p>
    <w:p w:rsidR="001B7768" w:rsidRPr="005565F8" w:rsidP="00BD02FF" w14:paraId="1E15A9DB"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tabs>
          <w:tab w:val="left" w:pos="284"/>
        </w:tabs>
        <w:spacing w:after="0"/>
        <w:ind w:left="284" w:hanging="284"/>
        <w:rPr>
          <w:rFonts w:ascii="Calibri Light" w:eastAsia="Times New Roman" w:hAnsi="Calibri Light"/>
          <w:sz w:val="16"/>
          <w:szCs w:val="16"/>
        </w:rPr>
      </w:pPr>
      <w:r w:rsidRPr="005565F8">
        <w:rPr>
          <w:rFonts w:ascii="Calibri Light" w:eastAsia="Times New Roman" w:hAnsi="Calibri Light"/>
          <w:sz w:val="16"/>
          <w:szCs w:val="16"/>
        </w:rPr>
        <w:t>–</w:t>
      </w:r>
      <w:r w:rsidRPr="005565F8">
        <w:rPr>
          <w:rFonts w:ascii="Calibri Light" w:eastAsia="Times New Roman" w:hAnsi="Calibri Light"/>
          <w:sz w:val="16"/>
          <w:szCs w:val="16"/>
        </w:rPr>
        <w:tab/>
        <w:t>ir ieviests kvalifikācijas periods slimības pabalsta saņemšanai – tiesības uz slimības pabalstu ir sociāli apdrošinātajai personai, kura ir veikusi VSAOI slimības apdrošināšanai ne mazāk kā 3 mēnešus pēdējo 6 mēnešu periodā vai ne mazāk kā 6 mēnešus pēdējo 24 mēnešu laikā pirms mēneša, kurā iestājies apdrošināšanas gadījums (pirmā darbnespējas diena);</w:t>
      </w:r>
    </w:p>
    <w:p w:rsidR="001B7768" w:rsidRPr="005565F8" w:rsidP="00BD02FF" w14:paraId="4021E923"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tabs>
          <w:tab w:val="left" w:pos="284"/>
        </w:tabs>
        <w:spacing w:after="0"/>
        <w:ind w:left="284" w:hanging="284"/>
        <w:rPr>
          <w:rFonts w:ascii="Calibri Light" w:eastAsia="Times New Roman" w:hAnsi="Calibri Light"/>
          <w:sz w:val="16"/>
          <w:szCs w:val="16"/>
        </w:rPr>
      </w:pPr>
      <w:r w:rsidRPr="005565F8">
        <w:rPr>
          <w:rFonts w:ascii="Calibri Light" w:eastAsia="Times New Roman" w:hAnsi="Calibri Light"/>
          <w:sz w:val="16"/>
          <w:szCs w:val="16"/>
        </w:rPr>
        <w:t>–</w:t>
      </w:r>
      <w:r w:rsidRPr="005565F8">
        <w:rPr>
          <w:rFonts w:ascii="Calibri Light" w:eastAsia="Times New Roman" w:hAnsi="Calibri Light"/>
          <w:sz w:val="16"/>
          <w:szCs w:val="16"/>
        </w:rPr>
        <w:tab/>
        <w:t xml:space="preserve">veiktas izmaiņas VSAOI veikšanas kārtībā saimnieciskas darbības veicējiem. Līdz šim saimnieciskās darbības veicējam pienākums veikt obligātās iemaksas kā </w:t>
      </w:r>
      <w:r w:rsidRPr="005565F8">
        <w:rPr>
          <w:rFonts w:ascii="Calibri Light" w:eastAsia="Times New Roman" w:hAnsi="Calibri Light"/>
          <w:sz w:val="16"/>
          <w:szCs w:val="16"/>
        </w:rPr>
        <w:t>pašnodarbinātai</w:t>
      </w:r>
      <w:r w:rsidRPr="005565F8">
        <w:rPr>
          <w:rFonts w:ascii="Calibri Light" w:eastAsia="Times New Roman" w:hAnsi="Calibri Light"/>
          <w:sz w:val="16"/>
          <w:szCs w:val="16"/>
        </w:rPr>
        <w:t xml:space="preserve"> personai iestājās tad, ja viņa ienākumi sasniedza valstī noteikto minimālo darba algu mēnesī. No 2018.gada 1.janvāra - </w:t>
      </w:r>
      <w:r w:rsidRPr="005565F8">
        <w:rPr>
          <w:rFonts w:ascii="Calibri Light" w:eastAsia="Times New Roman" w:hAnsi="Calibri Light"/>
          <w:sz w:val="16"/>
          <w:szCs w:val="16"/>
        </w:rPr>
        <w:t>pašnodarbinātajiem</w:t>
      </w:r>
      <w:r w:rsidRPr="005565F8">
        <w:rPr>
          <w:rFonts w:ascii="Calibri Light" w:eastAsia="Times New Roman" w:hAnsi="Calibri Light"/>
          <w:sz w:val="16"/>
          <w:szCs w:val="16"/>
        </w:rPr>
        <w:t xml:space="preserve">, kuru ienākums mēnesī nesasniedz minimālās algas apmēru, no ienākumiem ir jāveic VSAOI 5% apmērā pensiju apdrošināšanai. Ja </w:t>
      </w:r>
      <w:r w:rsidRPr="005565F8">
        <w:rPr>
          <w:rFonts w:ascii="Calibri Light" w:eastAsia="Times New Roman" w:hAnsi="Calibri Light"/>
          <w:sz w:val="16"/>
          <w:szCs w:val="16"/>
        </w:rPr>
        <w:t>pašnodarbinātā</w:t>
      </w:r>
      <w:r w:rsidRPr="005565F8">
        <w:rPr>
          <w:rFonts w:ascii="Calibri Light" w:eastAsia="Times New Roman" w:hAnsi="Calibri Light"/>
          <w:sz w:val="16"/>
          <w:szCs w:val="16"/>
        </w:rPr>
        <w:t xml:space="preserve"> ienākums visa kalendāra gada laikā nesasniedz 50 </w:t>
      </w:r>
      <w:r w:rsidRPr="005565F8" w:rsidR="00372EF4">
        <w:rPr>
          <w:rFonts w:ascii="Calibri Light" w:eastAsia="Times New Roman" w:hAnsi="Calibri Light"/>
          <w:sz w:val="16"/>
          <w:szCs w:val="16"/>
        </w:rPr>
        <w:t>EUR</w:t>
      </w:r>
      <w:r w:rsidRPr="005565F8">
        <w:rPr>
          <w:rFonts w:ascii="Calibri Light" w:eastAsia="Times New Roman" w:hAnsi="Calibri Light"/>
          <w:sz w:val="16"/>
          <w:szCs w:val="16"/>
        </w:rPr>
        <w:t xml:space="preserve">, tad VSAOI 5% apmērā var neveikt. Savukārt </w:t>
      </w:r>
      <w:r w:rsidRPr="005565F8">
        <w:rPr>
          <w:rFonts w:ascii="Calibri Light" w:eastAsia="Times New Roman" w:hAnsi="Calibri Light"/>
          <w:sz w:val="16"/>
          <w:szCs w:val="16"/>
        </w:rPr>
        <w:t>pašnodarbinātajiem</w:t>
      </w:r>
      <w:r w:rsidRPr="005565F8">
        <w:rPr>
          <w:rFonts w:ascii="Calibri Light" w:eastAsia="Times New Roman" w:hAnsi="Calibri Light"/>
          <w:sz w:val="16"/>
          <w:szCs w:val="16"/>
        </w:rPr>
        <w:t xml:space="preserve">, kuru ienākums mēnesī sasniedz un pārsniedz minimālās algas apmēru, no brīvi izraudzīta objekta, kas nav mazāks par minimālās algas apmēru, ir jāveic VSAOI. 2018.gadā VSAOI likme </w:t>
      </w:r>
      <w:r w:rsidRPr="005565F8">
        <w:rPr>
          <w:rFonts w:ascii="Calibri Light" w:eastAsia="Times New Roman" w:hAnsi="Calibri Light"/>
          <w:sz w:val="16"/>
          <w:szCs w:val="16"/>
        </w:rPr>
        <w:t>pašnodarbinātajam</w:t>
      </w:r>
      <w:r w:rsidRPr="005565F8">
        <w:rPr>
          <w:rFonts w:ascii="Calibri Light" w:eastAsia="Times New Roman" w:hAnsi="Calibri Light"/>
          <w:sz w:val="16"/>
          <w:szCs w:val="16"/>
        </w:rPr>
        <w:t xml:space="preserve"> vispārējā gadījumā 32,15%. No starpības starp ienākumiem un brīvi izraudzītā objekta, ir jāveic VSAOI 5% apmērā (pensiju apdrošināšanai). </w:t>
      </w:r>
      <w:r w:rsidRPr="005565F8">
        <w:rPr>
          <w:rFonts w:ascii="Calibri Light" w:eastAsia="Times New Roman" w:hAnsi="Calibri Light"/>
          <w:sz w:val="16"/>
          <w:szCs w:val="16"/>
        </w:rPr>
        <w:t>Pašnodarbinātajiem</w:t>
      </w:r>
      <w:r w:rsidRPr="005565F8">
        <w:rPr>
          <w:rFonts w:ascii="Calibri Light" w:eastAsia="Times New Roman" w:hAnsi="Calibri Light"/>
          <w:sz w:val="16"/>
          <w:szCs w:val="16"/>
        </w:rPr>
        <w:t xml:space="preserve">, kuri gūst ienākumu no lauksaimnieciskās ražošanas un, kuru ienākums mēnesī sasniedz vai pārsniedz minimālās algas apmēru, valsts sociālās apdrošināšanas obligātās iemaksas (2018.gadā VSAOI likme vispārējā gadījumā </w:t>
      </w:r>
      <w:r w:rsidRPr="005565F8">
        <w:rPr>
          <w:rFonts w:ascii="Calibri Light" w:eastAsia="Times New Roman" w:hAnsi="Calibri Light"/>
          <w:sz w:val="16"/>
          <w:szCs w:val="16"/>
        </w:rPr>
        <w:t>pašnodarbinātajam</w:t>
      </w:r>
      <w:r w:rsidRPr="005565F8">
        <w:rPr>
          <w:rFonts w:ascii="Calibri Light" w:eastAsia="Times New Roman" w:hAnsi="Calibri Light"/>
          <w:sz w:val="16"/>
          <w:szCs w:val="16"/>
        </w:rPr>
        <w:t xml:space="preserve"> 32,15% un persona ir pakļauta pensiju apdrošināšanai, invaliditātes apdrošināšanai, vecāku apdrošināšanai, maternitātes un slimības apdrošināšanai un veselības apdrošināšanai) ir jāveic no brīvi izraudzīta objekta, kas nav mazāks par minimālās algas apmēru. Savukārt no starpības starp ienākumiem un brīvi izraudzītā objekta, VSAOI 5% apmērā jāaprēķina par visu kalendāra gadu (visa gada ienākumu no lauksaimnieciskās ražošanas un visa gada izdevumu, kas saistīti ar lauksaimniecisko ražošanu, starpība) un jāveic VSAOI 5%  apmērā (pensiju apdrošināšanai) par iepriekšējo gadu līdz kārtējā gada 15.aprīlim;</w:t>
      </w:r>
    </w:p>
    <w:p w:rsidR="000E2942" w:rsidRPr="005565F8" w:rsidP="000E2942" w14:paraId="6FF9AE7E" w14:textId="51A59F6D">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tabs>
          <w:tab w:val="left" w:pos="284"/>
        </w:tabs>
        <w:spacing w:after="0"/>
        <w:ind w:left="284" w:hanging="284"/>
        <w:rPr>
          <w:rFonts w:ascii="Calibri Light" w:eastAsia="Times New Roman" w:hAnsi="Calibri Light"/>
          <w:sz w:val="16"/>
          <w:szCs w:val="16"/>
        </w:rPr>
      </w:pPr>
      <w:r w:rsidRPr="005565F8">
        <w:rPr>
          <w:rFonts w:ascii="Calibri Light" w:eastAsia="Times New Roman" w:hAnsi="Calibri Light"/>
          <w:sz w:val="16"/>
          <w:szCs w:val="16"/>
        </w:rPr>
        <w:t>–</w:t>
      </w:r>
      <w:r w:rsidRPr="005565F8">
        <w:rPr>
          <w:rFonts w:ascii="Calibri Light" w:eastAsia="Times New Roman" w:hAnsi="Calibri Light"/>
          <w:sz w:val="16"/>
          <w:szCs w:val="16"/>
        </w:rPr>
        <w:tab/>
        <w:t xml:space="preserve">veiktas izmaiņas VSAOI objektā profesionālajiem sportistiem </w:t>
      </w:r>
      <w:r w:rsidR="001519E3">
        <w:rPr>
          <w:rFonts w:ascii="Calibri Light" w:eastAsia="Times New Roman" w:hAnsi="Calibri Light"/>
          <w:sz w:val="16"/>
          <w:szCs w:val="16"/>
        </w:rPr>
        <w:t>–</w:t>
      </w:r>
      <w:r w:rsidRPr="005565F8">
        <w:rPr>
          <w:rFonts w:ascii="Calibri Light" w:eastAsia="Times New Roman" w:hAnsi="Calibri Light"/>
          <w:sz w:val="16"/>
          <w:szCs w:val="16"/>
        </w:rPr>
        <w:t xml:space="preserve"> kā iemaksu objekts ir noteiktas divas minimālās mēnešalgas. Ja profesionālā sportista alga būs mazāka par divām minimālajām mēnešalgām, tad darba devējam par saviem līdzekļiem būs pienākums veikt iemaksu starpību</w:t>
      </w:r>
      <w:r w:rsidRPr="005565F8" w:rsidR="00372EF4">
        <w:rPr>
          <w:rFonts w:ascii="Calibri Light" w:eastAsia="Times New Roman" w:hAnsi="Calibri Light"/>
          <w:sz w:val="16"/>
          <w:szCs w:val="16"/>
        </w:rPr>
        <w:t>;</w:t>
      </w:r>
    </w:p>
    <w:p w:rsidR="00372EF4" w:rsidRPr="005565F8" w:rsidP="000E2942" w14:paraId="58A7FC40"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tabs>
          <w:tab w:val="left" w:pos="284"/>
        </w:tabs>
        <w:spacing w:after="0"/>
        <w:ind w:left="284" w:hanging="284"/>
        <w:rPr>
          <w:rFonts w:ascii="Calibri Light" w:eastAsia="Times New Roman" w:hAnsi="Calibri Light"/>
          <w:sz w:val="16"/>
          <w:szCs w:val="16"/>
        </w:rPr>
      </w:pPr>
      <w:r w:rsidRPr="005565F8">
        <w:rPr>
          <w:rFonts w:ascii="Calibri Light" w:eastAsia="Times New Roman" w:hAnsi="Calibri Light"/>
          <w:sz w:val="16"/>
          <w:szCs w:val="16"/>
        </w:rPr>
        <w:t>–</w:t>
      </w:r>
      <w:r w:rsidRPr="005565F8">
        <w:rPr>
          <w:rFonts w:ascii="Calibri Light" w:eastAsia="Times New Roman" w:hAnsi="Calibri Light"/>
          <w:sz w:val="16"/>
          <w:szCs w:val="16"/>
        </w:rPr>
        <w:tab/>
        <w:t xml:space="preserve">veiktas izmaiņas VSAOI </w:t>
      </w:r>
      <w:r w:rsidRPr="005565F8">
        <w:rPr>
          <w:rFonts w:ascii="Calibri Light" w:eastAsia="Times New Roman" w:hAnsi="Calibri Light"/>
          <w:sz w:val="16"/>
          <w:szCs w:val="16"/>
        </w:rPr>
        <w:t xml:space="preserve">veikšanas kārtībā autoratlīdzību izmaksātājiem un saņēmējiem. No 2018.gada 1.janvāra autoratlīdzības izmaksātājam no saviem līdzekļiem no autoratlīdzības par autoratlīdzības saņēmēju veic 5% VSAOI pensiju apdrošināšanai (5% VSAOI var neveikt par autoratlīdzības saņēmēju, kuram ir piešķirta I vai II grupas invaliditāte, vecuma pensionāru, par autoratlīdzības saņēmēju, kuru pastāvīgā dzīvesvieta nav Latvijas Republikā un autortiesību mantiniekiem un citu autortiesību pārņēmējiem).  Ja autoratlīdzības saņēmējs paralēli ir darba ņēmējs un alga viņam pie viena vai vairākiem darba devējiem kopā sasniedz vai pārsniedz minimālās algas apmēru, tad no autoratlīdzības kā </w:t>
      </w:r>
      <w:r w:rsidRPr="005565F8">
        <w:rPr>
          <w:rFonts w:ascii="Calibri Light" w:eastAsia="Times New Roman" w:hAnsi="Calibri Light"/>
          <w:sz w:val="16"/>
          <w:szCs w:val="16"/>
        </w:rPr>
        <w:t>pašnodarbinātajam</w:t>
      </w:r>
      <w:r w:rsidRPr="005565F8">
        <w:rPr>
          <w:rFonts w:ascii="Calibri Light" w:eastAsia="Times New Roman" w:hAnsi="Calibri Light"/>
          <w:sz w:val="16"/>
          <w:szCs w:val="16"/>
        </w:rPr>
        <w:t xml:space="preserve"> VSAOI nav jāveic (neatkarīgi no saņemtā autoratlīdzības apmēra). Jāatzīmē, ka iepriekš minētais nosacījums par darba algu attiecas tikai uz algu, no kuras ir veiktas VSAOI, t.i., tas neattiecas uz algu, ko persona saņem </w:t>
      </w:r>
      <w:r w:rsidRPr="005565F8">
        <w:rPr>
          <w:rFonts w:ascii="Calibri Light" w:eastAsia="Times New Roman" w:hAnsi="Calibri Light"/>
          <w:sz w:val="16"/>
          <w:szCs w:val="16"/>
        </w:rPr>
        <w:t>mikrouzņēmumā</w:t>
      </w:r>
      <w:r w:rsidRPr="005565F8">
        <w:rPr>
          <w:rFonts w:ascii="Calibri Light" w:eastAsia="Times New Roman" w:hAnsi="Calibri Light"/>
          <w:sz w:val="16"/>
          <w:szCs w:val="16"/>
        </w:rPr>
        <w:t xml:space="preserve"> vai uz ienākumu, ko persona gūst sezonas lauksaimniecības darbā. Ja autoratlīdzības saņēmējs paralēli ir darba ņēmējs, bet alga viņam pie viena vai vairākiem darba devējiem kopā nesasniedz minimālās algas apmēru, tad no autoratlīdzības, kas mēnesī sasniedz vai pārsniedz minimālās algas apmēru, ir jāveic VSAOI kā </w:t>
      </w:r>
      <w:r w:rsidRPr="005565F8">
        <w:rPr>
          <w:rFonts w:ascii="Calibri Light" w:eastAsia="Times New Roman" w:hAnsi="Calibri Light"/>
          <w:sz w:val="16"/>
          <w:szCs w:val="16"/>
        </w:rPr>
        <w:t>pašnodarbinātajam</w:t>
      </w:r>
      <w:r w:rsidRPr="005565F8">
        <w:rPr>
          <w:rFonts w:ascii="Calibri Light" w:eastAsia="Times New Roman" w:hAnsi="Calibri Light"/>
          <w:sz w:val="16"/>
          <w:szCs w:val="16"/>
        </w:rPr>
        <w:t>.</w:t>
      </w:r>
    </w:p>
    <w:p w:rsidR="00C623A8" w:rsidRPr="005565F8" w:rsidP="00BD02FF" w14:paraId="3F85136B"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tabs>
          <w:tab w:val="left" w:pos="284"/>
        </w:tabs>
        <w:spacing w:after="0"/>
        <w:ind w:left="284" w:hanging="284"/>
        <w:rPr>
          <w:rFonts w:ascii="Calibri Light" w:eastAsia="Times New Roman" w:hAnsi="Calibri Light"/>
          <w:sz w:val="4"/>
          <w:szCs w:val="16"/>
        </w:rPr>
      </w:pPr>
    </w:p>
    <w:p w:rsidR="009D62DD" w:rsidRPr="001519E3" w:rsidP="001519E3" w14:paraId="6F46C67C" w14:textId="77777777">
      <w:pPr>
        <w:autoSpaceDE w:val="0"/>
        <w:autoSpaceDN w:val="0"/>
        <w:adjustRightInd w:val="0"/>
        <w:spacing w:after="0"/>
        <w:ind w:firstLine="567"/>
        <w:rPr>
          <w:rFonts w:eastAsia="Times New Roman"/>
          <w:sz w:val="2"/>
        </w:rPr>
      </w:pPr>
    </w:p>
    <w:p w:rsidR="009C339C" w:rsidRPr="001519E3" w:rsidP="001519E3" w14:paraId="0939825B" w14:textId="77777777">
      <w:pPr>
        <w:autoSpaceDE w:val="0"/>
        <w:autoSpaceDN w:val="0"/>
        <w:adjustRightInd w:val="0"/>
        <w:spacing w:after="0"/>
        <w:ind w:firstLine="567"/>
        <w:rPr>
          <w:sz w:val="2"/>
        </w:rPr>
        <w:sectPr w:rsidSect="003D0310">
          <w:type w:val="continuous"/>
          <w:pgSz w:w="11906" w:h="16838" w:code="9"/>
          <w:pgMar w:top="1134" w:right="1134" w:bottom="1134" w:left="1134" w:header="709" w:footer="709" w:gutter="0"/>
          <w:cols w:space="708"/>
          <w:titlePg/>
          <w:docGrid w:linePitch="360"/>
        </w:sectPr>
      </w:pPr>
    </w:p>
    <w:p w:rsidR="00C623A8" w:rsidRPr="005565F8" w:rsidP="00BD02FF" w14:paraId="7E4A818C" w14:textId="77777777">
      <w:pPr>
        <w:autoSpaceDE w:val="0"/>
        <w:autoSpaceDN w:val="0"/>
        <w:adjustRightInd w:val="0"/>
      </w:pPr>
      <w:r w:rsidRPr="005565F8">
        <w:t xml:space="preserve">Pēdējos gados ir veiktas būtiskas izmaiņas </w:t>
      </w:r>
      <w:r w:rsidRPr="005565F8">
        <w:rPr>
          <w:i/>
          <w:iCs/>
        </w:rPr>
        <w:t>Mikrouzņēmumu</w:t>
      </w:r>
      <w:r w:rsidRPr="005565F8">
        <w:rPr>
          <w:i/>
          <w:iCs/>
        </w:rPr>
        <w:t xml:space="preserve"> nodokļa likumā</w:t>
      </w:r>
      <w:r w:rsidRPr="005565F8">
        <w:t xml:space="preserve">, tostarp 2016.gadā 20.decembrī Saeima pieņēma likuma grozījumus, kas paredz, ka no 2017.gada 1.janvāra </w:t>
      </w:r>
      <w:r w:rsidRPr="005565F8">
        <w:t>mikrouzņēmumu</w:t>
      </w:r>
      <w:r w:rsidRPr="005565F8">
        <w:t xml:space="preserve"> nodokļa likme </w:t>
      </w:r>
      <w:r w:rsidRPr="005565F8">
        <w:t>mikrouzņēmuma</w:t>
      </w:r>
      <w:r w:rsidRPr="005565F8">
        <w:t xml:space="preserve"> apgrozījumam līdz 7000 EUR ir 12% un </w:t>
      </w:r>
      <w:r w:rsidRPr="005565F8">
        <w:t>mikrouzņēmumu</w:t>
      </w:r>
      <w:r w:rsidRPr="005565F8">
        <w:t xml:space="preserve"> nodokļa likme </w:t>
      </w:r>
      <w:r w:rsidRPr="005565F8">
        <w:t>mikrouzņēmuma</w:t>
      </w:r>
      <w:r w:rsidRPr="005565F8">
        <w:t xml:space="preserve"> apgrozījumam no 7000,01 līdz 100 </w:t>
      </w:r>
      <w:r w:rsidRPr="005565F8">
        <w:t xml:space="preserve">000 EUR ir 15%. Savukārt, sākot ar 2018.gada 1.janvāri, </w:t>
      </w:r>
      <w:r w:rsidRPr="005565F8">
        <w:t>mikrouzņēmumu</w:t>
      </w:r>
      <w:r w:rsidRPr="005565F8">
        <w:t xml:space="preserve"> nodokļa likme </w:t>
      </w:r>
      <w:r w:rsidRPr="005565F8">
        <w:t>mikrouzņēmuma</w:t>
      </w:r>
      <w:r w:rsidRPr="005565F8">
        <w:t xml:space="preserve"> apgrozījumam līdz 40 000 EUR ir 15%.</w:t>
      </w:r>
      <w:r w:rsidRPr="005565F8">
        <w:rPr>
          <w:rFonts w:eastAsia="Times New Roman"/>
        </w:rPr>
        <w:t xml:space="preserve"> 2017.gadā no </w:t>
      </w:r>
      <w:r w:rsidRPr="005565F8">
        <w:rPr>
          <w:rFonts w:eastAsia="Times New Roman"/>
        </w:rPr>
        <w:t>mikrouzņēmumu</w:t>
      </w:r>
      <w:r w:rsidRPr="005565F8">
        <w:rPr>
          <w:rFonts w:eastAsia="Times New Roman"/>
        </w:rPr>
        <w:t xml:space="preserve"> nodokļ</w:t>
      </w:r>
      <w:r w:rsidRPr="005565F8" w:rsidR="00532006">
        <w:rPr>
          <w:rFonts w:eastAsia="Times New Roman"/>
        </w:rPr>
        <w:t>a 70,4</w:t>
      </w:r>
      <w:r w:rsidRPr="005565F8">
        <w:rPr>
          <w:rFonts w:eastAsia="Times New Roman"/>
        </w:rPr>
        <w:t>% tika novirzīti valsts sociālās apdrošināšanas obligātajām iemaksām, no 2018.gada – 80%</w:t>
      </w:r>
      <w:r>
        <w:rPr>
          <w:rStyle w:val="FootnoteReference"/>
        </w:rPr>
        <w:footnoteReference w:id="22"/>
      </w:r>
      <w:r w:rsidRPr="005565F8">
        <w:rPr>
          <w:rFonts w:eastAsia="Times New Roman"/>
        </w:rPr>
        <w:t>.</w:t>
      </w:r>
    </w:p>
    <w:p w:rsidR="00951581" w:rsidRPr="005565F8" w:rsidP="00C623A8" w14:paraId="0B58C34F" w14:textId="77777777">
      <w:pPr>
        <w:pStyle w:val="Heading3"/>
        <w:sectPr w:rsidSect="003D0310">
          <w:type w:val="continuous"/>
          <w:pgSz w:w="11906" w:h="16838" w:code="9"/>
          <w:pgMar w:top="1134" w:right="1134" w:bottom="1134" w:left="1134" w:header="709" w:footer="709" w:gutter="0"/>
          <w:cols w:num="2" w:space="340"/>
          <w:titlePg/>
          <w:docGrid w:linePitch="360"/>
        </w:sectPr>
      </w:pPr>
      <w:bookmarkStart w:id="39" w:name="_Toc256000044"/>
      <w:bookmarkStart w:id="40" w:name="_Toc256000010"/>
      <w:bookmarkStart w:id="41" w:name="_Toc505242295"/>
    </w:p>
    <w:p w:rsidR="00951581" w:rsidRPr="005565F8" w:rsidP="00951581" w14:paraId="67497375" w14:textId="77777777"/>
    <w:p w:rsidR="00C623A8" w:rsidRPr="005565F8" w:rsidP="00C623A8" w14:paraId="07DF2D78" w14:textId="77777777">
      <w:pPr>
        <w:pStyle w:val="Heading3"/>
        <w:rPr>
          <w:b w:val="0"/>
          <w:color w:val="000000"/>
        </w:rPr>
      </w:pPr>
      <w:bookmarkStart w:id="42" w:name="_Toc510687743"/>
      <w:bookmarkStart w:id="43" w:name="_Toc256000011"/>
      <w:bookmarkStart w:id="44" w:name="_Toc256000046"/>
      <w:r w:rsidRPr="005565F8">
        <w:t>3.1.2. Banku sektora stabilitātes nodrošināšana</w:t>
      </w:r>
      <w:bookmarkEnd w:id="44"/>
      <w:bookmarkEnd w:id="43"/>
      <w:bookmarkEnd w:id="39"/>
      <w:bookmarkEnd w:id="40"/>
      <w:bookmarkEnd w:id="41"/>
      <w:bookmarkEnd w:id="42"/>
    </w:p>
    <w:p w:rsidR="00951581" w:rsidRPr="005565F8" w:rsidP="00C623A8" w14:paraId="17DFFF88" w14:textId="77777777">
      <w:pPr>
        <w:sectPr w:rsidSect="003D0310">
          <w:type w:val="continuous"/>
          <w:pgSz w:w="11906" w:h="16838" w:code="9"/>
          <w:pgMar w:top="1134" w:right="1134" w:bottom="1134" w:left="1134" w:header="709" w:footer="709" w:gutter="0"/>
          <w:cols w:space="340"/>
          <w:titlePg/>
          <w:docGrid w:linePitch="360"/>
        </w:sectPr>
      </w:pPr>
    </w:p>
    <w:p w:rsidR="00C623A8" w:rsidRPr="005565F8" w:rsidP="00C623A8" w14:paraId="075ABAF5" w14:textId="77777777">
      <w:r w:rsidRPr="005565F8">
        <w:t xml:space="preserve">Latvijas bankas </w:t>
      </w:r>
      <w:r w:rsidRPr="005565F8">
        <w:t>pēckrīzes</w:t>
      </w:r>
      <w:r w:rsidRPr="005565F8">
        <w:t xml:space="preserve"> periodā veica būtiskus pasākumus kapitāla stiprināšanai. Tādējādi tās varēja uzturēt pietiekamu kapitālu savai darbībai piemītošo un varbūtējo risku segšanai. Banku sektors kopumā ir pietiekami kapitalizēts. Banku sektora kapitāla pietiekamības rādītājs 2017. gadā saglabājās augstā līmenī un gada beigās sasniedza 21,4% (minimālā kapitāla prasība – 8%), savukārt 1.līmeņa pamata kapitāla rādītājs bija 19%.</w:t>
      </w:r>
    </w:p>
    <w:p w:rsidR="00C623A8" w:rsidRPr="005565F8" w:rsidP="00C623A8" w14:paraId="3EC30579" w14:textId="77777777">
      <w:r w:rsidRPr="005565F8">
        <w:t>Neskatoties uz likvīdo aktīvu samazinājumu, banku sektora kopējais likviditātes rādītājs saglabājās augstā līmenī un gada beigās bijis 59,5% apmērā. Likviditātes rādītājs gandrīz divas reizes pārsniedz minimālā likviditātes rādītāja prasību (30%).</w:t>
      </w:r>
    </w:p>
    <w:p w:rsidR="00C623A8" w:rsidRPr="005565F8" w:rsidP="00C623A8" w14:paraId="5AB5BCD6" w14:textId="77777777">
      <w:r w:rsidRPr="005565F8">
        <w:t xml:space="preserve">Līdz ar ekonomiskās konjunktūras uzlabošanos kopš 2010. gada otrās puses vērojama pakāpeniska kredītu kvalitātes uzlabošanās. Kredītu ar kavējumu ilgāk par 90 dienām apmēram samazinoties 2017. gada laikā, </w:t>
      </w:r>
      <w:r w:rsidRPr="005565F8">
        <w:t>saruka arī šādu kredītu īpatsvars banku sektora kredītportfelī no 4,4% līdz 4,1%. Uzkrājumu un virs 90 dienām kavēto kredītu attiecība ir augstā līmenī – 2017. gada beigās tā bija 93,2%.</w:t>
      </w:r>
    </w:p>
    <w:p w:rsidR="00C623A8" w:rsidRPr="005565F8" w:rsidP="00C623A8" w14:paraId="091A3B55" w14:textId="77777777">
      <w:r w:rsidRPr="005565F8">
        <w:t xml:space="preserve">Augstākas </w:t>
      </w:r>
      <w:r w:rsidRPr="005565F8">
        <w:rPr>
          <w:bCs/>
          <w:shd w:val="clear" w:color="auto" w:fill="FFFFFF"/>
        </w:rPr>
        <w:t>noziedzīgi iegūtu līdzekļu legalizācijas un terorisma finansēšanas novēršanas</w:t>
      </w:r>
      <w:r w:rsidRPr="005565F8">
        <w:t xml:space="preserve"> (turpmāk – NILLTFN) prasības un vāja ekonomiskā attīstība klientu izcelsmes valstīs noteica ārvalstu noguldījumu apmēra un īpatsvara samazinājumu banku pasīvu struktūrā. 2017. gada laikā ārvalstu noguldījumu apmērs samazinājās par 1,1 miljardu EUR jeb 12,0%. Turpretim iekšzemes mājsaimniecību noguldījumi gada laikā auguši par 8,2%, tādējādi pārskata gada beigās kopējais iekšzemes klientu noguldījumu apmērs saglabājās praktiski nemainīgs 12,2 miljardu EUR apmērā.</w:t>
      </w:r>
    </w:p>
    <w:p w:rsidR="000C2443" w:rsidRPr="005565F8" w:rsidP="00C623A8" w14:paraId="4E62DA55" w14:textId="77777777">
      <w:pPr>
        <w:sectPr w:rsidSect="003D0310">
          <w:type w:val="continuous"/>
          <w:pgSz w:w="11906" w:h="16838" w:code="9"/>
          <w:pgMar w:top="1134" w:right="1134" w:bottom="1134" w:left="1134" w:header="709" w:footer="709" w:gutter="0"/>
          <w:cols w:num="2" w:space="340"/>
          <w:titlePg/>
          <w:docGrid w:linePitch="360"/>
        </w:sectPr>
      </w:pPr>
    </w:p>
    <w:p w:rsidR="00BD02FF" w:rsidRPr="005565F8" w:rsidP="00C623A8" w14:paraId="415EE065" w14:textId="77777777"/>
    <w:p w:rsidR="00BD02FF" w:rsidRPr="005565F8" w:rsidP="00BD02FF" w14:paraId="6FD363A5" w14:textId="77777777">
      <w:pPr>
        <w:spacing w:before="120" w:after="240"/>
        <w:rPr>
          <w:rFonts w:ascii="Segoe UI" w:hAnsi="Segoe UI" w:cs="Segoe UI"/>
          <w:b/>
          <w:u w:val="double"/>
        </w:rPr>
      </w:pPr>
      <w:r w:rsidRPr="005565F8">
        <w:rPr>
          <w:rFonts w:ascii="Segoe UI" w:hAnsi="Segoe UI" w:cs="Segoe UI"/>
          <w:b/>
          <w:u w:val="double"/>
        </w:rPr>
        <w:t>Galvenie politikas virzieni un pasākumi:</w:t>
      </w:r>
    </w:p>
    <w:p w:rsidR="00BD02FF" w:rsidRPr="005565F8" w:rsidP="00BD02FF" w14:paraId="1BA2B2CB"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Kredītiestāžu kapitāla bāzes stiprināšana un stingrāku likviditātes prasību noteikšana</w:t>
      </w:r>
    </w:p>
    <w:p w:rsidR="00BD02FF" w:rsidRPr="005565F8" w:rsidP="00BD02FF" w14:paraId="4BB1E758"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FKTK/</w:t>
      </w:r>
    </w:p>
    <w:p w:rsidR="000C2443" w:rsidRPr="005565F8" w:rsidP="00B22046" w14:paraId="0304ED65"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C623A8" w:rsidRPr="005565F8" w:rsidP="00D21D71" w14:paraId="6F13E7AC" w14:textId="77777777">
      <w:pPr>
        <w:spacing w:before="240"/>
      </w:pPr>
      <w:r w:rsidRPr="005565F8">
        <w:t>Atbilstoši 2013.gada 26.jūnija Eiropas Parlamenta un Padomes Regulai</w:t>
      </w:r>
      <w:r>
        <w:rPr>
          <w:color w:val="000000"/>
          <w:vertAlign w:val="superscript"/>
        </w:rPr>
        <w:footnoteReference w:id="23"/>
      </w:r>
      <w:r w:rsidRPr="005565F8">
        <w:t xml:space="preserve">, sākot ar 2014.gada 1.janvāri, tiek pastiprinātas kapitāla pietiekamības prasības, piemēram, kvalitatīvās prasības kapitāla elementiem, kurus var iekļaut attiecīgajā pašu kapitāla līmenī, noteikti ierobežojumi atsevišķu elementu iekļaušanai pašu kapitālā un papildus pašu kapitāla samazinājumi </w:t>
      </w:r>
      <w:r w:rsidRPr="005565F8">
        <w:rPr>
          <w:i/>
        </w:rPr>
        <w:t>(</w:t>
      </w:r>
      <w:r w:rsidRPr="005565F8">
        <w:rPr>
          <w:i/>
        </w:rPr>
        <w:t>deductions</w:t>
      </w:r>
      <w:r w:rsidRPr="005565F8">
        <w:rPr>
          <w:i/>
        </w:rPr>
        <w:t>)</w:t>
      </w:r>
      <w:r w:rsidRPr="005565F8">
        <w:t>, kā arī papildus kopējam 8% kapitāla pietiekamības rādītājam ieviests pirmā līmeņa pamata kapitāla rādītājs 4,5% apmērā un pirmā līmeņa kapitāla pietiekamības rādītājs 6% apmērā.</w:t>
      </w:r>
    </w:p>
    <w:p w:rsidR="00C623A8" w:rsidRPr="005565F8" w:rsidP="00C623A8" w14:paraId="69ABA33A" w14:textId="77777777">
      <w:r w:rsidRPr="005565F8">
        <w:t>Sākot ar 2015.gada 1.oktobri, tika ieviests ES līmenī harmonizēts likviditātes seguma rādītājs, savukārt kopš 2015.gada 1.janvāra kredītiestādēm jāpublisko informācija par sviras rādītāju, kuru nākotnē plānots padarīt par saistošu.</w:t>
      </w:r>
    </w:p>
    <w:p w:rsidR="00C623A8" w:rsidRPr="005565F8" w:rsidP="00C623A8" w14:paraId="78A1CEA5" w14:textId="77777777">
      <w:r w:rsidRPr="005565F8">
        <w:rPr>
          <w:i/>
        </w:rPr>
        <w:t>Kredītiestāžu likums</w:t>
      </w:r>
      <w:r w:rsidRPr="005565F8">
        <w:t xml:space="preserve"> paredz pilnvarojumu FKTK veikt pasākumus, lai nodrošinātu kredītiestāžu stabilu un regulējumam atbilstošu darbību. Saskaņā ar </w:t>
      </w:r>
      <w:r w:rsidRPr="005565F8" w:rsidR="00D65521">
        <w:rPr>
          <w:i/>
        </w:rPr>
        <w:t>G</w:t>
      </w:r>
      <w:r w:rsidRPr="005565F8">
        <w:rPr>
          <w:i/>
        </w:rPr>
        <w:t>rozījumiem</w:t>
      </w:r>
      <w:r w:rsidRPr="005565F8">
        <w:t xml:space="preserve"> </w:t>
      </w:r>
      <w:r w:rsidRPr="005565F8" w:rsidR="00D65521">
        <w:rPr>
          <w:i/>
        </w:rPr>
        <w:t>k</w:t>
      </w:r>
      <w:r w:rsidRPr="005565F8">
        <w:rPr>
          <w:i/>
        </w:rPr>
        <w:t>redītiestāžu likumā</w:t>
      </w:r>
      <w:r w:rsidRPr="005565F8" w:rsidR="00D65521">
        <w:rPr>
          <w:i/>
        </w:rPr>
        <w:t xml:space="preserve"> </w:t>
      </w:r>
      <w:r w:rsidRPr="005565F8" w:rsidR="00D65521">
        <w:t>(</w:t>
      </w:r>
      <w:r w:rsidRPr="005565F8">
        <w:t>stājās spēkā 2014.gada 28.maijā</w:t>
      </w:r>
      <w:r w:rsidRPr="005565F8" w:rsidR="00D65521">
        <w:t>)</w:t>
      </w:r>
      <w:r w:rsidRPr="005565F8">
        <w:t xml:space="preserve">, FKTK ir noteikta kā par </w:t>
      </w:r>
      <w:r w:rsidRPr="005565F8">
        <w:t>makrouzraudzības</w:t>
      </w:r>
      <w:r w:rsidRPr="005565F8">
        <w:t xml:space="preserve"> instrumentu piemērošanu atbildīgā iestāde, t.sk. par </w:t>
      </w:r>
      <w:r w:rsidRPr="005565F8">
        <w:t>pretcikliskās</w:t>
      </w:r>
      <w:r w:rsidRPr="005565F8">
        <w:t xml:space="preserve"> kapitāla rezerves normas noteikšanu ar mērķi ierobežot pārmērīgus kreditēšanas pieauguma tempus un sistēmiskā riska kapitāla rezerves prasību ar mērķi mazināt strukturālos riskus. </w:t>
      </w:r>
      <w:r w:rsidRPr="005565F8">
        <w:t>Makrouzraudzības</w:t>
      </w:r>
      <w:r w:rsidRPr="005565F8">
        <w:t xml:space="preserve"> pasākumu ietvaros FKTK 2017.gada 31.oktobrī atkārtoti identificēja sešas bankas kā citas sistēmiski nozīmīgas iestādes (C-SNI) un, sākot ar 2017.gada 30.jūniju, identificētajām iestādēm ir jāuztur C-SNI kapitāla rezerve 1,5%-2% apmērā (ar 12 mēnešu pārejas periodu). Kopš 2016.gada 1.februāra ir spēkā FKTK noteiktā </w:t>
      </w:r>
      <w:r w:rsidRPr="005565F8">
        <w:t>pretcikliskās</w:t>
      </w:r>
      <w:r w:rsidRPr="005565F8">
        <w:t xml:space="preserve"> kapitāla rezerves norma 0% apmērā.</w:t>
      </w:r>
    </w:p>
    <w:p w:rsidR="000C2443" w:rsidRPr="005565F8" w:rsidP="00C623A8" w14:paraId="72818354" w14:textId="77777777">
      <w:pPr>
        <w:sectPr w:rsidSect="003D0310">
          <w:type w:val="continuous"/>
          <w:pgSz w:w="11906" w:h="16838" w:code="9"/>
          <w:pgMar w:top="1134" w:right="1134" w:bottom="1134" w:left="1134" w:header="709" w:footer="709" w:gutter="0"/>
          <w:cols w:num="2" w:space="340"/>
          <w:titlePg/>
          <w:docGrid w:linePitch="360"/>
        </w:sectPr>
      </w:pPr>
    </w:p>
    <w:p w:rsidR="00BD02FF" w:rsidRPr="005565F8" w:rsidP="00BD02FF" w14:paraId="008C4FB3"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Valstij piederošo banku pārveide/pārdošana</w:t>
      </w:r>
    </w:p>
    <w:p w:rsidR="00BD02FF" w:rsidRPr="005565F8" w:rsidP="00BD02FF" w14:paraId="21DA419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FM, EM/</w:t>
      </w:r>
    </w:p>
    <w:p w:rsidR="000C2443" w:rsidRPr="005565F8" w:rsidP="00B22046" w14:paraId="4D134D92"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C623A8" w:rsidRPr="005565F8" w:rsidP="00BF69C0" w14:paraId="7893A7D9" w14:textId="77777777">
      <w:pPr>
        <w:spacing w:before="240"/>
        <w:rPr>
          <w:bCs/>
          <w:iCs/>
        </w:rPr>
      </w:pPr>
      <w:r w:rsidRPr="005565F8">
        <w:t xml:space="preserve">Mērķis ir valsts ieguldīto līdzekļu atgūšana maksimāli efektīvā veidā, augstas kvalitātes finanšu pakalpojumu sniegšana, valsts finanšu sistēmas stabilitātes nodrošināšana, kā arī atbilstība EK apstiprinātajam valsts atbalsta restrukturizācijas plānam. </w:t>
      </w:r>
      <w:r w:rsidRPr="005565F8">
        <w:rPr>
          <w:bCs/>
          <w:iCs/>
        </w:rPr>
        <w:t>Mērķa sasniegšanai tiek veikti šādi pasākumi:</w:t>
      </w:r>
    </w:p>
    <w:p w:rsidR="00C623A8" w:rsidRPr="005565F8" w:rsidP="00735883" w14:paraId="539B3534" w14:textId="77777777">
      <w:pPr>
        <w:pStyle w:val="ListParagraph"/>
        <w:numPr>
          <w:ilvl w:val="0"/>
          <w:numId w:val="17"/>
        </w:numPr>
        <w:spacing w:after="60"/>
        <w:ind w:left="284" w:hanging="284"/>
        <w:contextualSpacing w:val="0"/>
      </w:pPr>
      <w:r w:rsidRPr="005565F8">
        <w:t>2014.-2015.g</w:t>
      </w:r>
      <w:r w:rsidRPr="005565F8" w:rsidR="00AF628D">
        <w:t>adā</w:t>
      </w:r>
      <w:r w:rsidRPr="005565F8">
        <w:t xml:space="preserve"> tika izveidota attīstības finanšu institūcij</w:t>
      </w:r>
      <w:r w:rsidRPr="005565F8" w:rsidR="00AF628D">
        <w:t>a</w:t>
      </w:r>
      <w:r w:rsidRPr="005565F8">
        <w:t xml:space="preserve"> (turpmāk – AFI). 2017.gada septembrī stājās spēkā MK noteikumi, kas paredz AFI programmas uzsākšanu, lai nodrošinātu </w:t>
      </w:r>
      <w:r w:rsidRPr="005565F8">
        <w:t>portfeļgarantijas</w:t>
      </w:r>
      <w:r w:rsidRPr="005565F8">
        <w:t xml:space="preserve"> sīko (mikro), mazo un vidējo komersantu kreditēšanas veicināšanai, ar plānoto kopējo finansējumu 7,8 milj. </w:t>
      </w:r>
      <w:r w:rsidRPr="005565F8">
        <w:rPr>
          <w:i/>
        </w:rPr>
        <w:t>euro</w:t>
      </w:r>
      <w:r w:rsidRPr="005565F8">
        <w:t xml:space="preserve"> apmērā. 2017.gadā AFI ir emitējis zaļās obligācijas 20 milj. </w:t>
      </w:r>
      <w:r w:rsidRPr="005565F8">
        <w:rPr>
          <w:i/>
        </w:rPr>
        <w:t>euro</w:t>
      </w:r>
      <w:r w:rsidRPr="005565F8">
        <w:t> vērtībā videi un klimatam draudzīgu projektu finansēšanai. Papildus 2017.gadā tika atlasīti finanšu starpniek</w:t>
      </w:r>
      <w:r w:rsidRPr="005565F8" w:rsidR="00AF628D">
        <w:t>i</w:t>
      </w:r>
      <w:r w:rsidRPr="005565F8">
        <w:t xml:space="preserve"> trim akcelerācijas fondiem, diviem sēklas un sākuma fondiem un vienam izaugsmes fondam;</w:t>
      </w:r>
    </w:p>
    <w:p w:rsidR="00C623A8" w:rsidRPr="005565F8" w:rsidP="00735883" w14:paraId="0454F206" w14:textId="77777777">
      <w:pPr>
        <w:pStyle w:val="ListParagraph"/>
        <w:numPr>
          <w:ilvl w:val="0"/>
          <w:numId w:val="17"/>
        </w:numPr>
        <w:spacing w:after="60"/>
        <w:ind w:left="284" w:hanging="284"/>
        <w:contextualSpacing w:val="0"/>
      </w:pPr>
      <w:r w:rsidRPr="005565F8">
        <w:t>sākot ar 2012.gada maiju, AS “</w:t>
      </w:r>
      <w:r w:rsidRPr="005565F8">
        <w:t>Reverta</w:t>
      </w:r>
      <w:r w:rsidRPr="005565F8">
        <w:t xml:space="preserve">” strādā kā profesionāls problemātisko aktīvu pārvaldīšanas uzņēmums, ņemot vērā FKTK atbalstīto bankas </w:t>
      </w:r>
      <w:r w:rsidRPr="005565F8">
        <w:t>statusa maiņu un atteikšanos no kredītiestādes licences. Saskaņā ar EK apstiprināto restrukturizācijas plānu AS “</w:t>
      </w:r>
      <w:r w:rsidRPr="005565F8">
        <w:t>Reverta</w:t>
      </w:r>
      <w:r w:rsidRPr="005565F8">
        <w:t xml:space="preserve">” darbības periods tika noteikts līdz 2017.gada beigām. 2017.gada 2.februārī Saeima pieņēma </w:t>
      </w:r>
      <w:r w:rsidRPr="005565F8">
        <w:rPr>
          <w:i/>
        </w:rPr>
        <w:t>Grozījum</w:t>
      </w:r>
      <w:r w:rsidRPr="005565F8" w:rsidR="00AF628D">
        <w:rPr>
          <w:i/>
        </w:rPr>
        <w:t>us</w:t>
      </w:r>
      <w:r w:rsidRPr="005565F8">
        <w:rPr>
          <w:i/>
        </w:rPr>
        <w:t xml:space="preserve"> </w:t>
      </w:r>
      <w:r w:rsidRPr="005565F8" w:rsidR="00AF628D">
        <w:rPr>
          <w:i/>
        </w:rPr>
        <w:t>k</w:t>
      </w:r>
      <w:r w:rsidRPr="005565F8">
        <w:rPr>
          <w:i/>
        </w:rPr>
        <w:t>omercdarbības atbalsta kontroles likumā</w:t>
      </w:r>
      <w:r w:rsidRPr="005565F8">
        <w:t>, kas skar arī AS “</w:t>
      </w:r>
      <w:r w:rsidRPr="005565F8">
        <w:t>Reverta</w:t>
      </w:r>
      <w:r w:rsidRPr="005565F8">
        <w:t>” darbības izbeigšanas nosacījumus. 2017.gada 7.jūlijā tika uzsākts AS “</w:t>
      </w:r>
      <w:r w:rsidRPr="005565F8">
        <w:t>Reveta</w:t>
      </w:r>
      <w:r w:rsidRPr="005565F8">
        <w:t>” likvidācijas process.</w:t>
      </w:r>
      <w:r w:rsidRPr="005565F8">
        <w:rPr>
          <w:lang w:eastAsia="lv-LV"/>
        </w:rPr>
        <w:t xml:space="preserve"> 2017.gadā noslēdzās AS “</w:t>
      </w:r>
      <w:r w:rsidRPr="005565F8">
        <w:rPr>
          <w:lang w:eastAsia="lv-LV"/>
        </w:rPr>
        <w:t>Reverta</w:t>
      </w:r>
      <w:r w:rsidRPr="005565F8">
        <w:rPr>
          <w:lang w:eastAsia="lv-LV"/>
        </w:rPr>
        <w:t>” kredītportfeļa pārdošanas process, un tā ietvaros 2017.gada 22.jūnijā AS “</w:t>
      </w:r>
      <w:r w:rsidRPr="005565F8">
        <w:rPr>
          <w:lang w:eastAsia="lv-LV"/>
        </w:rPr>
        <w:t>Reverta</w:t>
      </w:r>
      <w:r w:rsidRPr="005565F8">
        <w:rPr>
          <w:lang w:eastAsia="lv-LV"/>
        </w:rPr>
        <w:t>” noslēdza kredītportfeļu (izņemot NVS kredītportfeli) pārdošanas līgumu ar SIA “</w:t>
      </w:r>
      <w:r w:rsidRPr="005565F8">
        <w:rPr>
          <w:lang w:eastAsia="lv-LV"/>
        </w:rPr>
        <w:t>Gelvora</w:t>
      </w:r>
      <w:r w:rsidRPr="005565F8">
        <w:rPr>
          <w:lang w:eastAsia="lv-LV"/>
        </w:rPr>
        <w:t>” un UAB “</w:t>
      </w:r>
      <w:r w:rsidRPr="005565F8">
        <w:rPr>
          <w:lang w:eastAsia="lv-LV"/>
        </w:rPr>
        <w:t>Gelvora</w:t>
      </w:r>
      <w:r w:rsidRPr="005565F8">
        <w:rPr>
          <w:lang w:eastAsia="lv-LV"/>
        </w:rPr>
        <w:t>”. Līdz 2017.gada beigām notika aktīvu nodošana pircējam. 2017.gada 1.jūlijā tika uzsākta AS “</w:t>
      </w:r>
      <w:r w:rsidRPr="005565F8">
        <w:rPr>
          <w:lang w:eastAsia="lv-LV"/>
        </w:rPr>
        <w:t>Reverta</w:t>
      </w:r>
      <w:r w:rsidRPr="005565F8">
        <w:rPr>
          <w:lang w:eastAsia="lv-LV"/>
        </w:rPr>
        <w:t>” likvidācija, kas vēl netika pabeigta līdz gada beigām. Lai nodrošinātu dažu no AS “</w:t>
      </w:r>
      <w:r w:rsidRPr="005565F8">
        <w:rPr>
          <w:lang w:eastAsia="lv-LV"/>
        </w:rPr>
        <w:t>Reverta</w:t>
      </w:r>
      <w:r w:rsidRPr="005565F8">
        <w:rPr>
          <w:lang w:eastAsia="lv-LV"/>
        </w:rPr>
        <w:t xml:space="preserve">” pārņemto aktīvu, </w:t>
      </w:r>
      <w:r w:rsidRPr="005565F8" w:rsidR="00AF628D">
        <w:rPr>
          <w:lang w:eastAsia="lv-LV"/>
        </w:rPr>
        <w:t>t.sk.</w:t>
      </w:r>
      <w:r w:rsidRPr="005565F8">
        <w:rPr>
          <w:lang w:eastAsia="lv-LV"/>
        </w:rPr>
        <w:t xml:space="preserve"> prasījumu tiesību, pārvaldīšanu pēc AS “</w:t>
      </w:r>
      <w:r w:rsidRPr="005565F8">
        <w:rPr>
          <w:lang w:eastAsia="lv-LV"/>
        </w:rPr>
        <w:t>Reverta</w:t>
      </w:r>
      <w:r w:rsidRPr="005565F8">
        <w:rPr>
          <w:lang w:eastAsia="lv-LV"/>
        </w:rPr>
        <w:t>” likvidācijas, 2017.gada 17.novembrī tika dibināta VAS “Privatizācijas aģentūra” meitas sabiedrība SIA “REAP”. Līdz 2017.gada beigām SIA “REAP” no AS “</w:t>
      </w:r>
      <w:r w:rsidRPr="005565F8">
        <w:rPr>
          <w:lang w:eastAsia="lv-LV"/>
        </w:rPr>
        <w:t>Reverta</w:t>
      </w:r>
      <w:r w:rsidRPr="005565F8">
        <w:rPr>
          <w:lang w:eastAsia="lv-LV"/>
        </w:rPr>
        <w:t>” pārņēma prasījuma tiesības un neizstrādātos aktīvus.</w:t>
      </w:r>
    </w:p>
    <w:p w:rsidR="000C2443" w:rsidRPr="005565F8" w:rsidP="00BD02FF" w14:paraId="49D57365" w14:textId="77777777">
      <w:pPr>
        <w:sectPr w:rsidSect="003D0310">
          <w:type w:val="continuous"/>
          <w:pgSz w:w="11906" w:h="16838" w:code="9"/>
          <w:pgMar w:top="1134" w:right="1134" w:bottom="1134" w:left="1134" w:header="709" w:footer="709" w:gutter="0"/>
          <w:cols w:num="2" w:space="340"/>
          <w:titlePg/>
          <w:docGrid w:linePitch="360"/>
        </w:sectPr>
      </w:pPr>
    </w:p>
    <w:p w:rsidR="00BD02FF" w:rsidRPr="005565F8" w:rsidP="00BD02FF" w14:paraId="1CB8D1C5" w14:textId="77777777"/>
    <w:p w:rsidR="00BD02FF" w:rsidRPr="005565F8" w:rsidP="00BD02FF" w14:paraId="79543181"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Finanšu sektora stabilitātes stiprināšana</w:t>
      </w:r>
    </w:p>
    <w:p w:rsidR="00BD02FF" w:rsidRPr="005565F8" w:rsidP="00BD02FF" w14:paraId="2DFC11E2"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FM/</w:t>
      </w:r>
    </w:p>
    <w:p w:rsidR="000C2443" w:rsidRPr="005565F8" w:rsidP="00B22046" w14:paraId="3A46D3DC"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C623A8" w:rsidRPr="005565F8" w:rsidP="00BF69C0" w14:paraId="4A3A60B5" w14:textId="77777777">
      <w:pPr>
        <w:spacing w:before="240"/>
        <w:rPr>
          <w:color w:val="000000"/>
          <w:lang w:eastAsia="lv-LV"/>
        </w:rPr>
      </w:pPr>
      <w:r w:rsidRPr="005565F8">
        <w:rPr>
          <w:color w:val="000000"/>
          <w:lang w:eastAsia="lv-LV"/>
        </w:rPr>
        <w:t>Mērķis ir sekmēt finanšu sektora stabilitāti, kas veicina Latvijas ekonomikas ilgtspējīgu attīstību.</w:t>
      </w:r>
    </w:p>
    <w:p w:rsidR="00C623A8" w:rsidRPr="005565F8" w:rsidP="00C623A8" w14:paraId="3C9CEC07" w14:textId="77777777">
      <w:pPr>
        <w:autoSpaceDE w:val="0"/>
        <w:autoSpaceDN w:val="0"/>
        <w:adjustRightInd w:val="0"/>
        <w:rPr>
          <w:b/>
        </w:rPr>
      </w:pPr>
      <w:r w:rsidRPr="005565F8">
        <w:t xml:space="preserve">2017.gada sākumā </w:t>
      </w:r>
      <w:r w:rsidRPr="005565F8" w:rsidR="00AF628D">
        <w:t>MK</w:t>
      </w:r>
      <w:r w:rsidRPr="005565F8">
        <w:t xml:space="preserve"> </w:t>
      </w:r>
      <w:r w:rsidRPr="005565F8" w:rsidR="00AF628D">
        <w:t>apstiprināja</w:t>
      </w:r>
      <w:r w:rsidRPr="005565F8">
        <w:t xml:space="preserve"> </w:t>
      </w:r>
      <w:r w:rsidRPr="005565F8">
        <w:rPr>
          <w:i/>
          <w:color w:val="000000"/>
          <w:lang w:eastAsia="lv-LV"/>
        </w:rPr>
        <w:t>Finanšu sektora attīstības plān</w:t>
      </w:r>
      <w:r w:rsidRPr="005565F8" w:rsidR="00AF628D">
        <w:rPr>
          <w:i/>
          <w:color w:val="000000"/>
          <w:lang w:eastAsia="lv-LV"/>
        </w:rPr>
        <w:t>u</w:t>
      </w:r>
      <w:r w:rsidRPr="005565F8">
        <w:rPr>
          <w:i/>
          <w:color w:val="000000"/>
          <w:lang w:eastAsia="lv-LV"/>
        </w:rPr>
        <w:t xml:space="preserve"> </w:t>
      </w:r>
      <w:r w:rsidRPr="005565F8">
        <w:rPr>
          <w:i/>
        </w:rPr>
        <w:t>2017.-2019.gadam</w:t>
      </w:r>
      <w:r w:rsidRPr="005565F8">
        <w:t>, kurā ir definēti specifiski rīcības virzieni un uzdevumi četrām atsevišķi izdalītām finanšu sektora nozarēm:</w:t>
      </w:r>
    </w:p>
    <w:p w:rsidR="00C623A8" w:rsidRPr="005565F8" w:rsidP="009A65A4" w14:paraId="6B178E13" w14:textId="77777777">
      <w:pPr>
        <w:pStyle w:val="ListParagraph"/>
        <w:numPr>
          <w:ilvl w:val="0"/>
          <w:numId w:val="6"/>
        </w:numPr>
        <w:autoSpaceDE w:val="0"/>
        <w:autoSpaceDN w:val="0"/>
        <w:adjustRightInd w:val="0"/>
        <w:spacing w:after="60"/>
        <w:ind w:left="284" w:hanging="284"/>
        <w:contextualSpacing w:val="0"/>
        <w:jc w:val="both"/>
        <w:rPr>
          <w:color w:val="000000"/>
          <w:lang w:eastAsia="lv-LV"/>
        </w:rPr>
      </w:pPr>
      <w:r w:rsidRPr="005565F8">
        <w:t>banku nozare (stratēģiskais politikas virziens kreditēšanas aktivizēšana)</w:t>
      </w:r>
      <w:r w:rsidRPr="005565F8" w:rsidR="00AF628D">
        <w:t>;</w:t>
      </w:r>
    </w:p>
    <w:p w:rsidR="00C623A8" w:rsidRPr="005565F8" w:rsidP="009A65A4" w14:paraId="01B25E53" w14:textId="77777777">
      <w:pPr>
        <w:pStyle w:val="ListParagraph"/>
        <w:numPr>
          <w:ilvl w:val="0"/>
          <w:numId w:val="6"/>
        </w:numPr>
        <w:autoSpaceDE w:val="0"/>
        <w:autoSpaceDN w:val="0"/>
        <w:adjustRightInd w:val="0"/>
        <w:spacing w:after="60"/>
        <w:ind w:left="284" w:hanging="284"/>
        <w:contextualSpacing w:val="0"/>
        <w:rPr>
          <w:color w:val="000000"/>
          <w:lang w:eastAsia="lv-LV"/>
        </w:rPr>
      </w:pPr>
      <w:r w:rsidRPr="005565F8">
        <w:t>kapitāla tirgus nozare (stratēģiskais politikas virziens – palielināt uzņēmumu skaitu, kas izmanto kapitāla instrumentus finansējuma piesaistei, attīstīt kapitāla instrumentus finansējuma piesaistes un ieguldījumu iespēju paplašināšanai, palielināt institucionālo un privāto investoru aktivitāti vietējā kapitāla tirgū)</w:t>
      </w:r>
      <w:r w:rsidRPr="005565F8" w:rsidR="00AF628D">
        <w:t>;</w:t>
      </w:r>
      <w:r w:rsidRPr="005565F8">
        <w:t xml:space="preserve"> </w:t>
      </w:r>
    </w:p>
    <w:p w:rsidR="00C623A8" w:rsidRPr="005565F8" w:rsidP="009A65A4" w14:paraId="32D94D87" w14:textId="0428BDF3">
      <w:pPr>
        <w:pStyle w:val="ListParagraph"/>
        <w:numPr>
          <w:ilvl w:val="0"/>
          <w:numId w:val="6"/>
        </w:numPr>
        <w:autoSpaceDE w:val="0"/>
        <w:autoSpaceDN w:val="0"/>
        <w:adjustRightInd w:val="0"/>
        <w:spacing w:after="60"/>
        <w:ind w:left="284" w:hanging="284"/>
        <w:contextualSpacing w:val="0"/>
        <w:rPr>
          <w:color w:val="000000"/>
          <w:lang w:eastAsia="lv-LV"/>
        </w:rPr>
      </w:pPr>
      <w:r w:rsidRPr="005565F8">
        <w:t>alternatīvo finanšu pakalpojumu sniedzēju nozare un apdrošināšana (stratēģiskais politikas virziens</w:t>
      </w:r>
      <w:r w:rsidR="00D434C9">
        <w:t xml:space="preserve"> </w:t>
      </w:r>
      <w:r w:rsidRPr="005565F8" w:rsidR="00BD02FF">
        <w:t>–</w:t>
      </w:r>
      <w:r w:rsidRPr="005565F8">
        <w:t xml:space="preserve"> kolektīvās finansēšanas platformu darbības regulējuma pieņemšana, inovatīvo finanšu pakalpojumu attīstība un risku pārvaldība)</w:t>
      </w:r>
      <w:r w:rsidRPr="005565F8" w:rsidR="00AF628D">
        <w:t>;</w:t>
      </w:r>
    </w:p>
    <w:p w:rsidR="00C623A8" w:rsidRPr="005565F8" w:rsidP="009A65A4" w14:paraId="557FF070" w14:textId="77777777">
      <w:pPr>
        <w:pStyle w:val="ListParagraph"/>
        <w:numPr>
          <w:ilvl w:val="0"/>
          <w:numId w:val="6"/>
        </w:numPr>
        <w:autoSpaceDE w:val="0"/>
        <w:autoSpaceDN w:val="0"/>
        <w:adjustRightInd w:val="0"/>
        <w:spacing w:after="60"/>
        <w:ind w:left="284" w:hanging="284"/>
        <w:contextualSpacing w:val="0"/>
        <w:rPr>
          <w:color w:val="000000"/>
          <w:lang w:eastAsia="lv-LV"/>
        </w:rPr>
      </w:pPr>
      <w:r w:rsidRPr="005565F8">
        <w:t>apdrošināšanas un pārapdrošināšanas nozare (apdrošināšanas pakalpojumu izmantošanas paplašināšana, efektīva informācijas apmaiņa risku izvērtēšanai un saistību izpildei piedāvājuma paplašināšana pilnīgākai apdrošināšanas vajadzību apmierināšanai).</w:t>
      </w:r>
    </w:p>
    <w:p w:rsidR="00C623A8" w:rsidRPr="005565F8" w:rsidP="00C623A8" w14:paraId="2837D29A" w14:textId="77777777">
      <w:pPr>
        <w:autoSpaceDE w:val="0"/>
        <w:autoSpaceDN w:val="0"/>
        <w:adjustRightInd w:val="0"/>
        <w:rPr>
          <w:color w:val="000000"/>
          <w:lang w:eastAsia="lv-LV"/>
        </w:rPr>
      </w:pPr>
      <w:r w:rsidRPr="005565F8">
        <w:t>Kā vadmotīvs šo tālāko rīcības virzienu un uzdevumu noteikšanai ir definētas trīs horizontālas prioritātes, atspoguļojot plānošanas perioda finanšu tirgus attīstībai būtiskākos aspektus:</w:t>
      </w:r>
    </w:p>
    <w:p w:rsidR="00C623A8" w:rsidRPr="005565F8" w:rsidP="009A65A4" w14:paraId="00973697" w14:textId="77777777">
      <w:pPr>
        <w:numPr>
          <w:ilvl w:val="0"/>
          <w:numId w:val="6"/>
        </w:numPr>
        <w:spacing w:after="60"/>
        <w:ind w:left="284" w:hanging="284"/>
      </w:pPr>
      <w:r w:rsidRPr="005565F8">
        <w:t>digitalizācija</w:t>
      </w:r>
      <w:r w:rsidRPr="005565F8">
        <w:t xml:space="preserve"> un inovācija;</w:t>
      </w:r>
    </w:p>
    <w:p w:rsidR="00C623A8" w:rsidRPr="005565F8" w:rsidP="009A65A4" w14:paraId="4415EDC3" w14:textId="77777777">
      <w:pPr>
        <w:numPr>
          <w:ilvl w:val="0"/>
          <w:numId w:val="6"/>
        </w:numPr>
        <w:spacing w:after="60"/>
        <w:ind w:left="284" w:hanging="284"/>
      </w:pPr>
      <w:r w:rsidRPr="005565F8">
        <w:t>finanšu sektora NILLTFN atbilstības un valsts reputācijas paaugstināšana;</w:t>
      </w:r>
    </w:p>
    <w:p w:rsidR="00C623A8" w:rsidRPr="005565F8" w:rsidP="009A65A4" w14:paraId="184F2072" w14:textId="77777777">
      <w:pPr>
        <w:numPr>
          <w:ilvl w:val="0"/>
          <w:numId w:val="6"/>
        </w:numPr>
        <w:spacing w:after="60"/>
        <w:ind w:left="284" w:hanging="284"/>
      </w:pPr>
      <w:r w:rsidRPr="005565F8">
        <w:t>starptautiskā konkurētspēja.</w:t>
      </w:r>
    </w:p>
    <w:p w:rsidR="00C623A8" w:rsidRPr="005565F8" w:rsidP="00C623A8" w14:paraId="2E9C62BF" w14:textId="77777777">
      <w:pPr>
        <w:ind w:firstLine="568"/>
      </w:pPr>
    </w:p>
    <w:p w:rsidR="00C623A8" w:rsidRPr="005565F8" w:rsidP="00C623A8" w14:paraId="40850F1B" w14:textId="77777777">
      <w:r w:rsidRPr="005565F8">
        <w:t>Lai</w:t>
      </w:r>
      <w:r w:rsidRPr="005565F8">
        <w:rPr>
          <w:rFonts w:eastAsia="Times New Roman"/>
          <w:lang w:eastAsia="lv-LV"/>
        </w:rPr>
        <w:t xml:space="preserve"> Latvijā tiktu uzlabota kredītspējas vērtēšanai nepieciešamo ziņu pieejamība un kvalitāte, n</w:t>
      </w:r>
      <w:r w:rsidRPr="005565F8">
        <w:t xml:space="preserve">o 2015.gada 1.janvāra spēkā ir </w:t>
      </w:r>
      <w:r w:rsidRPr="005565F8">
        <w:rPr>
          <w:i/>
        </w:rPr>
        <w:t>Kredītbiroju</w:t>
      </w:r>
      <w:r w:rsidRPr="005565F8">
        <w:rPr>
          <w:i/>
        </w:rPr>
        <w:t xml:space="preserve"> likums</w:t>
      </w:r>
      <w:r w:rsidRPr="005565F8">
        <w:t xml:space="preserve"> un ar 2016.gada 1.martu stājas spēkā </w:t>
      </w:r>
      <w:r w:rsidRPr="005565F8">
        <w:rPr>
          <w:i/>
        </w:rPr>
        <w:t xml:space="preserve">Grozījumi likumā </w:t>
      </w:r>
      <w:r w:rsidRPr="005565F8" w:rsidR="00AF628D">
        <w:rPr>
          <w:i/>
        </w:rPr>
        <w:t>p</w:t>
      </w:r>
      <w:r w:rsidRPr="005565F8">
        <w:rPr>
          <w:i/>
        </w:rPr>
        <w:t>ar nodokļiem un nodevām</w:t>
      </w:r>
      <w:r w:rsidRPr="005565F8">
        <w:t xml:space="preserve">, kas nosaka VID tiesības sniegt tā rīcībā esošo informāciju par fiziskās personas ienākumiem </w:t>
      </w:r>
      <w:r w:rsidRPr="005565F8">
        <w:t>kredītinformācijas</w:t>
      </w:r>
      <w:r w:rsidRPr="005565F8">
        <w:t xml:space="preserve"> birojam.</w:t>
      </w:r>
    </w:p>
    <w:p w:rsidR="00C623A8" w:rsidRPr="005565F8" w:rsidP="00C623A8" w14:paraId="4BA150DB" w14:textId="3C5F4D0F">
      <w:pPr>
        <w:autoSpaceDE w:val="0"/>
        <w:autoSpaceDN w:val="0"/>
        <w:adjustRightInd w:val="0"/>
      </w:pPr>
      <w:r w:rsidRPr="005565F8">
        <w:t xml:space="preserve">Ar mērķi paaugstināt finanšu sektora NILLTFN atbilstību, 2017.gada 9.novembrī stājās spēkā </w:t>
      </w:r>
      <w:r w:rsidRPr="005565F8">
        <w:rPr>
          <w:i/>
        </w:rPr>
        <w:t>Grozījumi Noziedzīgi iegūtu līdzekļu legalizācijas un terorisma finansēšanas novēršanas likumā</w:t>
      </w:r>
      <w:r w:rsidRPr="005565F8">
        <w:t xml:space="preserve">, kas paredz </w:t>
      </w:r>
      <w:r w:rsidRPr="005565F8" w:rsidR="00AF628D">
        <w:t>ES</w:t>
      </w:r>
      <w:r w:rsidRPr="005565F8">
        <w:t xml:space="preserve"> Naudas atmazgāšanas novēršanas 4.direktīvas</w:t>
      </w:r>
      <w:r>
        <w:rPr>
          <w:rStyle w:val="FootnoteReference"/>
        </w:rPr>
        <w:footnoteReference w:id="24"/>
      </w:r>
      <w:r w:rsidRPr="005565F8">
        <w:t xml:space="preserve"> prasību ieviešanu. Likuma grozījumi paplašināja patiesā labuma guvēja definīciju atbilstoši starptautiskajiem standartiem, nosakot, ka identificējami visu juridisko personu patiesie labuma guvēji </w:t>
      </w:r>
      <w:r w:rsidRPr="005565F8" w:rsidR="00EA7E3F">
        <w:t>–</w:t>
      </w:r>
      <w:r w:rsidRPr="005565F8">
        <w:t xml:space="preserve"> fiziska persona, kura īsteno īpašumtiesības vai kontroli pār to. Likuma grozījumi nosaka arī sodus un pasākumu klāstu saistībā ar nopietniem, atkārtotiem vai sistemātiskiem prasību pārkāpumiem </w:t>
      </w:r>
      <w:r w:rsidRPr="005565F8">
        <w:t xml:space="preserve">attiecībā uz klienta izpētes pasākumiem, informācijas uzglabāšanu, ziņošanu par aizdomīgiem darījumiem un atbildīgo likuma subjektu iekšējo kontroli, nosakot šo sankciju klāstu, ļaujot kompetentajām iestādēm ņemt vērā atšķirības starp atbildīgajiem likuma subjektiem, jo īpaši starp kredītiestādēm un finanšu iestādēm un citiem atbildīgajiem subjektiem, ņemot vērā apmēru, iezīmes un </w:t>
      </w:r>
      <w:r w:rsidRPr="005565F8">
        <w:t>darījumdarbības</w:t>
      </w:r>
      <w:r w:rsidRPr="005565F8">
        <w:t xml:space="preserve"> būtību.</w:t>
      </w:r>
    </w:p>
    <w:p w:rsidR="000C2443" w:rsidRPr="005565F8" w:rsidP="00BD02FF" w14:paraId="06A7B76E" w14:textId="77777777">
      <w:pPr>
        <w:sectPr w:rsidSect="003D0310">
          <w:type w:val="continuous"/>
          <w:pgSz w:w="11906" w:h="16838" w:code="9"/>
          <w:pgMar w:top="1134" w:right="1134" w:bottom="1134" w:left="1134" w:header="709" w:footer="709" w:gutter="0"/>
          <w:cols w:num="2" w:space="340"/>
          <w:titlePg/>
          <w:docGrid w:linePitch="360"/>
        </w:sectPr>
      </w:pPr>
    </w:p>
    <w:p w:rsidR="00BD02FF" w:rsidRPr="005565F8" w:rsidP="00BD02FF" w14:paraId="6B34B094" w14:textId="77777777"/>
    <w:p w:rsidR="00BD02FF" w:rsidRPr="005565F8" w:rsidP="00BD02FF" w14:paraId="5F6711C1"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Sabiedrības informēšana finanšu pakalpojumu jautājumos un patērētāju tiesību aizsardzības regulējuma pilnveidošana patērētāju kreditēšanas jomā</w:t>
      </w:r>
    </w:p>
    <w:p w:rsidR="00BD02FF" w:rsidRPr="005565F8" w:rsidP="00BD02FF" w14:paraId="1020F9D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 xml:space="preserve">/atbildīgā institūcija – </w:t>
      </w:r>
      <w:r w:rsidRPr="005565F8" w:rsidR="00EA7E3F">
        <w:rPr>
          <w:rFonts w:eastAsia="+mn-ea"/>
          <w:color w:val="595959" w:themeColor="text1" w:themeTint="A6"/>
          <w:sz w:val="16"/>
        </w:rPr>
        <w:t>FKTK, EM</w:t>
      </w:r>
      <w:r w:rsidRPr="005565F8">
        <w:rPr>
          <w:rFonts w:eastAsia="+mn-ea"/>
          <w:color w:val="595959" w:themeColor="text1" w:themeTint="A6"/>
          <w:sz w:val="16"/>
        </w:rPr>
        <w:t>/</w:t>
      </w:r>
    </w:p>
    <w:p w:rsidR="000C2443" w:rsidRPr="005565F8" w:rsidP="00B22046" w14:paraId="5C1DC06A"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C623A8" w:rsidRPr="005565F8" w:rsidP="00BF69C0" w14:paraId="7C6B8064" w14:textId="1289FE22">
      <w:pPr>
        <w:spacing w:before="240"/>
        <w:rPr>
          <w:lang w:eastAsia="lv-LV"/>
        </w:rPr>
      </w:pPr>
      <w:r w:rsidRPr="005565F8">
        <w:rPr>
          <w:lang w:eastAsia="lv-LV"/>
        </w:rPr>
        <w:t xml:space="preserve">Mērķis ir sniegt potenciālajiem un esošajiem finanšu pakalpojumu saņēmējiem pilnvērtīgu priekšstatu par finanšu sektoru un tā attīstības tendencēm, lai nodrošinātu patērētājiem pieejamus un viņu vajadzībām un iespējām atbilstošus finanšu </w:t>
      </w:r>
      <w:r w:rsidRPr="005565F8">
        <w:rPr>
          <w:lang w:eastAsia="lv-LV"/>
        </w:rPr>
        <w:t>pakalpojumus, kā arī brīdinātu par nelikumīgu pakalpojumu sniedzējiem un krāpniecisku finanšu darījumu jaunām formām īpaši e-vidē. Mērķa sasniegšanai tiek veikti dažādi pasākumi</w:t>
      </w:r>
      <w:r w:rsidRPr="005565F8" w:rsidR="00EA7E3F">
        <w:rPr>
          <w:lang w:eastAsia="lv-LV"/>
        </w:rPr>
        <w:t xml:space="preserve">, piemēram, sabiedrības informēšanas pasākumi finanšu </w:t>
      </w:r>
      <w:r w:rsidRPr="005565F8" w:rsidR="00EA7E3F">
        <w:rPr>
          <w:lang w:eastAsia="lv-LV"/>
        </w:rPr>
        <w:t>pratības</w:t>
      </w:r>
      <w:r w:rsidRPr="005565F8" w:rsidR="00EA7E3F">
        <w:rPr>
          <w:lang w:eastAsia="lv-LV"/>
        </w:rPr>
        <w:t xml:space="preserve"> uzlabošanai un aptaujas</w:t>
      </w:r>
      <w:r w:rsidRPr="005565F8">
        <w:rPr>
          <w:lang w:eastAsia="lv-LV"/>
        </w:rPr>
        <w:t xml:space="preserve"> (skat</w:t>
      </w:r>
      <w:r w:rsidRPr="005565F8" w:rsidR="00EA7E3F">
        <w:rPr>
          <w:lang w:eastAsia="lv-LV"/>
        </w:rPr>
        <w:t>.</w:t>
      </w:r>
      <w:r w:rsidRPr="005565F8">
        <w:rPr>
          <w:lang w:eastAsia="lv-LV"/>
        </w:rPr>
        <w:t xml:space="preserve"> </w:t>
      </w:r>
      <w:r w:rsidR="00D434C9">
        <w:rPr>
          <w:lang w:eastAsia="lv-LV"/>
        </w:rPr>
        <w:t>3.</w:t>
      </w:r>
      <w:r w:rsidRPr="005565F8">
        <w:rPr>
          <w:lang w:eastAsia="lv-LV"/>
        </w:rPr>
        <w:t>2.ielikumu).</w:t>
      </w:r>
    </w:p>
    <w:p w:rsidR="009C339C" w:rsidRPr="005565F8" w:rsidP="009D62DD" w14:paraId="43296D05" w14:textId="77777777">
      <w:pPr>
        <w:shd w:val="clear" w:color="auto" w:fill="FFFFFF"/>
        <w:ind w:left="567" w:right="28"/>
        <w:rPr>
          <w:rFonts w:ascii="Garamond" w:eastAsia="Times New Roman" w:hAnsi="Garamond"/>
          <w:color w:val="0F0F0F"/>
          <w:szCs w:val="21"/>
          <w:lang w:eastAsia="ja-JP"/>
        </w:rPr>
        <w:sectPr w:rsidSect="003D0310">
          <w:type w:val="continuous"/>
          <w:pgSz w:w="11906" w:h="16838" w:code="9"/>
          <w:pgMar w:top="1134" w:right="1134" w:bottom="1134" w:left="1134" w:header="709" w:footer="709" w:gutter="0"/>
          <w:cols w:num="2" w:space="340"/>
          <w:titlePg/>
          <w:docGrid w:linePitch="360"/>
        </w:sectPr>
      </w:pPr>
    </w:p>
    <w:p w:rsidR="009D62DD" w:rsidRPr="005565F8" w:rsidP="00951581" w14:paraId="274839DA" w14:textId="77777777">
      <w:pPr>
        <w:autoSpaceDE w:val="0"/>
        <w:autoSpaceDN w:val="0"/>
        <w:adjustRightInd w:val="0"/>
        <w:rPr>
          <w:lang w:eastAsia="lv-LV"/>
        </w:rPr>
      </w:pPr>
    </w:p>
    <w:p w:rsidR="00951581" w:rsidRPr="005565F8" w:rsidP="00BF69C0" w14:paraId="18E01C4A"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20"/>
        <w:rPr>
          <w:rFonts w:ascii="Calibri Light" w:eastAsia="Times New Roman" w:hAnsi="Calibri Light"/>
          <w:color w:val="0F0F0F"/>
          <w:sz w:val="4"/>
          <w:szCs w:val="16"/>
          <w:lang w:eastAsia="lv-LV"/>
        </w:rPr>
      </w:pPr>
    </w:p>
    <w:p w:rsidR="00BF69C0" w:rsidRPr="005565F8" w:rsidP="00BF69C0" w14:paraId="68AA1048"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jc w:val="right"/>
        <w:rPr>
          <w:rFonts w:ascii="Calibri Light" w:eastAsia="Times New Roman" w:hAnsi="Calibri Light"/>
          <w:color w:val="0F0F0F"/>
          <w:sz w:val="16"/>
          <w:szCs w:val="16"/>
          <w:lang w:eastAsia="lv-LV"/>
        </w:rPr>
      </w:pPr>
      <w:r w:rsidRPr="005565F8">
        <w:rPr>
          <w:rFonts w:ascii="Calibri Light" w:eastAsia="Times New Roman" w:hAnsi="Calibri Light"/>
          <w:color w:val="0F0F0F"/>
          <w:sz w:val="16"/>
          <w:szCs w:val="16"/>
          <w:lang w:eastAsia="lv-LV"/>
        </w:rPr>
        <w:t>3.</w:t>
      </w:r>
      <w:r w:rsidRPr="005565F8">
        <w:rPr>
          <w:rFonts w:ascii="Calibri Light" w:eastAsia="Times New Roman" w:hAnsi="Calibri Light"/>
          <w:color w:val="0F0F0F"/>
          <w:sz w:val="16"/>
          <w:szCs w:val="16"/>
          <w:lang w:eastAsia="lv-LV"/>
        </w:rPr>
        <w:t>2.ielikums</w:t>
      </w:r>
    </w:p>
    <w:p w:rsidR="00BF69C0" w:rsidRPr="005565F8" w:rsidP="00BF69C0" w14:paraId="5F3F8C58"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rPr>
          <w:rFonts w:ascii="Calibri Light" w:hAnsi="Calibri Light"/>
          <w:b/>
          <w:szCs w:val="16"/>
        </w:rPr>
      </w:pPr>
      <w:r w:rsidRPr="005565F8">
        <w:rPr>
          <w:rFonts w:ascii="Calibri Light" w:hAnsi="Calibri Light"/>
          <w:b/>
          <w:szCs w:val="16"/>
        </w:rPr>
        <w:t xml:space="preserve">Pasākumi sabiedrības informēšanai finanšu pakalpojumu jautājumos </w:t>
      </w:r>
    </w:p>
    <w:p w:rsidR="00C623A8" w:rsidRPr="005565F8" w:rsidP="00BF69C0" w14:paraId="23F80548"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20"/>
        <w:ind w:left="284" w:hanging="284"/>
        <w:rPr>
          <w:rFonts w:ascii="Calibri Light" w:hAnsi="Calibri Light"/>
          <w:sz w:val="16"/>
          <w:szCs w:val="16"/>
          <w:lang w:eastAsia="lv-LV"/>
        </w:rPr>
      </w:pPr>
      <w:r w:rsidRPr="005565F8">
        <w:rPr>
          <w:rFonts w:ascii="Calibri Light" w:eastAsia="Times New Roman" w:hAnsi="Calibri Light"/>
          <w:sz w:val="16"/>
          <w:szCs w:val="16"/>
        </w:rPr>
        <w:t>–</w:t>
      </w:r>
      <w:r w:rsidRPr="005565F8">
        <w:rPr>
          <w:rFonts w:ascii="Calibri Light" w:eastAsia="Times New Roman" w:hAnsi="Calibri Light"/>
          <w:sz w:val="16"/>
          <w:szCs w:val="16"/>
        </w:rPr>
        <w:tab/>
      </w:r>
      <w:r w:rsidRPr="005565F8">
        <w:rPr>
          <w:rFonts w:ascii="Calibri Light" w:hAnsi="Calibri Light"/>
          <w:sz w:val="16"/>
          <w:szCs w:val="16"/>
          <w:lang w:eastAsia="lv-LV"/>
        </w:rPr>
        <w:t xml:space="preserve">FKTK pastāvīgi pilnveido izglītojošo interneta vortālu </w:t>
      </w:r>
      <w:r w:rsidRPr="005565F8">
        <w:rPr>
          <w:rFonts w:ascii="Calibri Light" w:hAnsi="Calibri Light"/>
          <w:i/>
          <w:sz w:val="16"/>
          <w:szCs w:val="16"/>
          <w:lang w:eastAsia="lv-LV"/>
        </w:rPr>
        <w:t>Klientu skola</w:t>
      </w:r>
      <w:r w:rsidRPr="005565F8">
        <w:rPr>
          <w:rFonts w:ascii="Calibri Light" w:hAnsi="Calibri Light"/>
          <w:sz w:val="16"/>
          <w:szCs w:val="16"/>
          <w:lang w:eastAsia="lv-LV"/>
        </w:rPr>
        <w:t xml:space="preserve"> (</w:t>
      </w:r>
      <w:r w:rsidRPr="005565F8">
        <w:rPr>
          <w:rFonts w:ascii="Calibri Light" w:hAnsi="Calibri Light"/>
          <w:sz w:val="16"/>
          <w:szCs w:val="16"/>
          <w:u w:val="single"/>
          <w:lang w:eastAsia="lv-LV"/>
        </w:rPr>
        <w:t>www.klientuskola.lv</w:t>
      </w:r>
      <w:r w:rsidRPr="005565F8">
        <w:rPr>
          <w:rFonts w:ascii="Calibri Light" w:hAnsi="Calibri Light"/>
          <w:sz w:val="16"/>
          <w:szCs w:val="16"/>
          <w:lang w:eastAsia="lv-LV"/>
        </w:rPr>
        <w:t xml:space="preserve">), kurā pieejami skaidrojoši materiāli par Latvijā pieejamajiem  finanšu pakalpojumiem un to riskiem, kā arī par jaunajiem pakalpojumiem un e-drošības būtiskiem aspektiem. Papildus </w:t>
      </w:r>
      <w:r w:rsidRPr="005565F8">
        <w:rPr>
          <w:rFonts w:ascii="Calibri Light" w:hAnsi="Calibri Light"/>
          <w:i/>
          <w:sz w:val="16"/>
          <w:szCs w:val="16"/>
          <w:lang w:eastAsia="lv-LV"/>
        </w:rPr>
        <w:t>Klientu skolas Ābecē</w:t>
      </w:r>
      <w:r w:rsidRPr="005565F8">
        <w:rPr>
          <w:rFonts w:ascii="Calibri Light" w:hAnsi="Calibri Light"/>
          <w:sz w:val="16"/>
          <w:szCs w:val="16"/>
          <w:lang w:eastAsia="lv-LV"/>
        </w:rPr>
        <w:t xml:space="preserve"> pieejami vairāk nekā 70 izglītojoši materiāli dažādos finanšu </w:t>
      </w:r>
      <w:r w:rsidRPr="005565F8">
        <w:rPr>
          <w:rFonts w:ascii="Calibri Light" w:hAnsi="Calibri Light"/>
          <w:sz w:val="16"/>
          <w:szCs w:val="16"/>
          <w:lang w:eastAsia="lv-LV"/>
        </w:rPr>
        <w:t>pratības</w:t>
      </w:r>
      <w:r w:rsidRPr="005565F8">
        <w:rPr>
          <w:rFonts w:ascii="Calibri Light" w:hAnsi="Calibri Light"/>
          <w:sz w:val="16"/>
          <w:szCs w:val="16"/>
          <w:lang w:eastAsia="lv-LV"/>
        </w:rPr>
        <w:t xml:space="preserve"> tematos. Vortāls nodrošina iespēju ikvienam lietotājam saņemt FKTK ekspertu e-pasta konsultācijas; </w:t>
      </w:r>
    </w:p>
    <w:p w:rsidR="00C623A8" w:rsidRPr="005565F8" w:rsidP="00BF69C0" w14:paraId="7CEF518D"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20"/>
        <w:ind w:left="284" w:hanging="284"/>
        <w:rPr>
          <w:rFonts w:ascii="Calibri Light" w:hAnsi="Calibri Light"/>
          <w:sz w:val="16"/>
          <w:szCs w:val="16"/>
          <w:lang w:eastAsia="lv-LV"/>
        </w:rPr>
      </w:pPr>
      <w:r w:rsidRPr="005565F8">
        <w:rPr>
          <w:rFonts w:ascii="Calibri Light" w:eastAsia="Times New Roman" w:hAnsi="Calibri Light"/>
          <w:sz w:val="16"/>
          <w:szCs w:val="16"/>
        </w:rPr>
        <w:t>–</w:t>
      </w:r>
      <w:r w:rsidRPr="005565F8">
        <w:rPr>
          <w:rFonts w:ascii="Calibri Light" w:eastAsia="Times New Roman" w:hAnsi="Calibri Light"/>
          <w:sz w:val="16"/>
          <w:szCs w:val="16"/>
        </w:rPr>
        <w:tab/>
      </w:r>
      <w:r w:rsidRPr="005565F8">
        <w:rPr>
          <w:rFonts w:ascii="Calibri Light" w:hAnsi="Calibri Light"/>
          <w:sz w:val="16"/>
          <w:szCs w:val="16"/>
          <w:lang w:eastAsia="lv-LV"/>
        </w:rPr>
        <w:t xml:space="preserve">2017.gadā trešo gadu tika vērtēta </w:t>
      </w:r>
      <w:r w:rsidRPr="005565F8">
        <w:rPr>
          <w:rFonts w:ascii="Calibri Light" w:hAnsi="Calibri Light"/>
          <w:i/>
          <w:sz w:val="16"/>
          <w:szCs w:val="16"/>
          <w:lang w:eastAsia="lv-LV"/>
        </w:rPr>
        <w:t xml:space="preserve">Latvijas iedzīvotāju finanšu </w:t>
      </w:r>
      <w:r w:rsidRPr="005565F8">
        <w:rPr>
          <w:rFonts w:ascii="Calibri Light" w:hAnsi="Calibri Light"/>
          <w:i/>
          <w:sz w:val="16"/>
          <w:szCs w:val="16"/>
          <w:lang w:eastAsia="lv-LV"/>
        </w:rPr>
        <w:t>pratības</w:t>
      </w:r>
      <w:r w:rsidRPr="005565F8">
        <w:rPr>
          <w:rFonts w:ascii="Calibri Light" w:hAnsi="Calibri Light"/>
          <w:i/>
          <w:sz w:val="16"/>
          <w:szCs w:val="16"/>
          <w:lang w:eastAsia="lv-LV"/>
        </w:rPr>
        <w:t xml:space="preserve"> stratēģija</w:t>
      </w:r>
      <w:r w:rsidRPr="005565F8" w:rsidR="009A1546">
        <w:rPr>
          <w:rFonts w:ascii="Calibri Light" w:hAnsi="Calibri Light"/>
          <w:i/>
          <w:sz w:val="16"/>
          <w:szCs w:val="16"/>
          <w:lang w:eastAsia="lv-LV"/>
        </w:rPr>
        <w:t>s</w:t>
      </w:r>
      <w:r w:rsidRPr="005565F8">
        <w:rPr>
          <w:rFonts w:ascii="Calibri Light" w:hAnsi="Calibri Light"/>
          <w:i/>
          <w:sz w:val="16"/>
          <w:szCs w:val="16"/>
          <w:lang w:eastAsia="lv-LV"/>
        </w:rPr>
        <w:t xml:space="preserve"> 2014</w:t>
      </w:r>
      <w:r w:rsidRPr="005565F8" w:rsidR="009A1546">
        <w:rPr>
          <w:rFonts w:ascii="Calibri Light" w:hAnsi="Calibri Light"/>
          <w:i/>
          <w:sz w:val="16"/>
          <w:szCs w:val="16"/>
          <w:lang w:eastAsia="lv-LV"/>
        </w:rPr>
        <w:t>.</w:t>
      </w:r>
      <w:r w:rsidRPr="005565F8">
        <w:rPr>
          <w:rFonts w:ascii="Calibri Light" w:hAnsi="Calibri Light"/>
          <w:i/>
          <w:sz w:val="16"/>
          <w:szCs w:val="16"/>
          <w:lang w:eastAsia="lv-LV"/>
        </w:rPr>
        <w:t>-2020</w:t>
      </w:r>
      <w:r w:rsidRPr="005565F8" w:rsidR="009A1546">
        <w:rPr>
          <w:rFonts w:ascii="Calibri Light" w:hAnsi="Calibri Light"/>
          <w:i/>
          <w:sz w:val="16"/>
          <w:szCs w:val="16"/>
          <w:lang w:eastAsia="lv-LV"/>
        </w:rPr>
        <w:t>.g.</w:t>
      </w:r>
      <w:r w:rsidRPr="005565F8">
        <w:rPr>
          <w:rFonts w:ascii="Calibri Light" w:hAnsi="Calibri Light"/>
          <w:sz w:val="16"/>
          <w:szCs w:val="16"/>
          <w:lang w:eastAsia="lv-LV"/>
        </w:rPr>
        <w:t xml:space="preserve"> ieviešanas gaita </w:t>
      </w:r>
      <w:r w:rsidRPr="005565F8" w:rsidR="00661341">
        <w:rPr>
          <w:rFonts w:ascii="Calibri Light" w:hAnsi="Calibri Light"/>
          <w:sz w:val="16"/>
          <w:szCs w:val="16"/>
          <w:lang w:eastAsia="lv-LV"/>
        </w:rPr>
        <w:t xml:space="preserve">– </w:t>
      </w:r>
      <w:r w:rsidRPr="005565F8">
        <w:rPr>
          <w:rFonts w:ascii="Calibri Light" w:hAnsi="Calibri Light"/>
          <w:sz w:val="16"/>
          <w:szCs w:val="16"/>
          <w:lang w:eastAsia="lv-LV"/>
        </w:rPr>
        <w:t xml:space="preserve">vērojama trīs stratēģisko mērķu izpildes indikatoru plānotā virzība </w:t>
      </w:r>
      <w:r w:rsidRPr="005565F8" w:rsidR="00661341">
        <w:rPr>
          <w:rFonts w:ascii="Calibri Light" w:hAnsi="Calibri Light"/>
          <w:sz w:val="16"/>
          <w:szCs w:val="16"/>
          <w:lang w:eastAsia="lv-LV"/>
        </w:rPr>
        <w:t xml:space="preserve">– </w:t>
      </w:r>
      <w:r w:rsidRPr="005565F8">
        <w:rPr>
          <w:rFonts w:ascii="Calibri Light" w:hAnsi="Calibri Light"/>
          <w:sz w:val="16"/>
          <w:szCs w:val="16"/>
          <w:lang w:eastAsia="lv-LV"/>
        </w:rPr>
        <w:t>iedzīvotāji ir aktīvāki un drošāki e-pakalpojumu vidē (</w:t>
      </w:r>
      <w:r w:rsidRPr="005565F8">
        <w:rPr>
          <w:rFonts w:ascii="Calibri Light" w:hAnsi="Calibri Light"/>
          <w:sz w:val="16"/>
          <w:szCs w:val="16"/>
          <w:lang w:eastAsia="lv-LV"/>
        </w:rPr>
        <w:t>digitalizācija</w:t>
      </w:r>
      <w:r w:rsidRPr="005565F8">
        <w:rPr>
          <w:rFonts w:ascii="Calibri Light" w:hAnsi="Calibri Light"/>
          <w:sz w:val="16"/>
          <w:szCs w:val="16"/>
          <w:lang w:eastAsia="lv-LV"/>
        </w:rPr>
        <w:t>), kopumā uzkrājumi pārsniedz saistības un mazāk ir kavētu saistību, pakāpeniski pieaug arī mājsaimniecību kredītportfelis;</w:t>
      </w:r>
    </w:p>
    <w:p w:rsidR="00C623A8" w:rsidRPr="005565F8" w:rsidP="00BF69C0" w14:paraId="0418897C" w14:textId="4E20C43E">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20"/>
        <w:ind w:left="284" w:hanging="284"/>
        <w:rPr>
          <w:rFonts w:ascii="Calibri Light" w:hAnsi="Calibri Light"/>
          <w:sz w:val="16"/>
          <w:szCs w:val="16"/>
          <w:lang w:eastAsia="lv-LV"/>
        </w:rPr>
      </w:pPr>
      <w:r w:rsidRPr="005565F8">
        <w:rPr>
          <w:rFonts w:ascii="Calibri Light" w:eastAsia="Times New Roman" w:hAnsi="Calibri Light"/>
          <w:sz w:val="16"/>
          <w:szCs w:val="16"/>
        </w:rPr>
        <w:t>–</w:t>
      </w:r>
      <w:r w:rsidRPr="005565F8">
        <w:rPr>
          <w:rFonts w:ascii="Calibri Light" w:eastAsia="Times New Roman" w:hAnsi="Calibri Light"/>
          <w:sz w:val="16"/>
          <w:szCs w:val="16"/>
        </w:rPr>
        <w:tab/>
      </w:r>
      <w:r w:rsidRPr="005565F8">
        <w:rPr>
          <w:rFonts w:ascii="Calibri Light" w:hAnsi="Calibri Light"/>
          <w:sz w:val="16"/>
          <w:szCs w:val="16"/>
          <w:lang w:eastAsia="lv-LV"/>
        </w:rPr>
        <w:t xml:space="preserve">2018.gadā plānots veikt trešo Latvijas iedzīvotāju aptauju finanšu </w:t>
      </w:r>
      <w:r w:rsidRPr="005565F8">
        <w:rPr>
          <w:rFonts w:ascii="Calibri Light" w:hAnsi="Calibri Light"/>
          <w:sz w:val="16"/>
          <w:szCs w:val="16"/>
          <w:lang w:eastAsia="lv-LV"/>
        </w:rPr>
        <w:t>pratībā</w:t>
      </w:r>
      <w:r w:rsidRPr="005565F8">
        <w:rPr>
          <w:rFonts w:ascii="Calibri Light" w:hAnsi="Calibri Light"/>
          <w:sz w:val="16"/>
          <w:szCs w:val="16"/>
          <w:lang w:eastAsia="lv-LV"/>
        </w:rPr>
        <w:t xml:space="preserve">, kurā tiks noteikts aktuālais finanšu </w:t>
      </w:r>
      <w:r w:rsidRPr="005565F8">
        <w:rPr>
          <w:rFonts w:ascii="Calibri Light" w:hAnsi="Calibri Light"/>
          <w:sz w:val="16"/>
          <w:szCs w:val="16"/>
          <w:lang w:eastAsia="lv-LV"/>
        </w:rPr>
        <w:t>pratības</w:t>
      </w:r>
      <w:r w:rsidRPr="005565F8">
        <w:rPr>
          <w:rFonts w:ascii="Calibri Light" w:hAnsi="Calibri Light"/>
          <w:sz w:val="16"/>
          <w:szCs w:val="16"/>
          <w:lang w:eastAsia="lv-LV"/>
        </w:rPr>
        <w:t xml:space="preserve"> indekss. FKTK ikgadējais mērījums par Latvijas mājsaimniecību finanšu ilgtspēju 2016.gada beigās liecina, ka rādītājs pirmo reizi pārsniedz vēlamo attīstības zonu pozitīvajā virzienā. To ietekmējis gan bezdarba sarukums, gan mājsaimniecību noguldījumu pārsvars pār banku sektora izsniegtajiem kredītiem. Tomēr visbūtiskākā ietekme bijusi negatīvajai starpbanku procentu likmei </w:t>
      </w:r>
      <w:r w:rsidRPr="005565F8">
        <w:rPr>
          <w:rFonts w:ascii="Calibri Light" w:hAnsi="Calibri Light"/>
          <w:sz w:val="16"/>
          <w:szCs w:val="16"/>
          <w:lang w:eastAsia="lv-LV"/>
        </w:rPr>
        <w:t>eirozonā</w:t>
      </w:r>
      <w:r w:rsidRPr="005565F8">
        <w:rPr>
          <w:rFonts w:ascii="Calibri Light" w:hAnsi="Calibri Light"/>
          <w:sz w:val="16"/>
          <w:szCs w:val="16"/>
          <w:lang w:eastAsia="lv-LV"/>
        </w:rPr>
        <w:t>, kas samazināja arī Latvijas kredītņēmēju procentu maksājumus;</w:t>
      </w:r>
    </w:p>
    <w:p w:rsidR="00C623A8" w:rsidRPr="005565F8" w:rsidP="00BF69C0" w14:paraId="3C5F05E1"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20"/>
        <w:ind w:left="284" w:hanging="284"/>
        <w:rPr>
          <w:rFonts w:ascii="Calibri Light" w:hAnsi="Calibri Light"/>
          <w:sz w:val="16"/>
          <w:szCs w:val="16"/>
          <w:lang w:eastAsia="lv-LV"/>
        </w:rPr>
      </w:pPr>
      <w:r w:rsidRPr="005565F8">
        <w:rPr>
          <w:rFonts w:ascii="Calibri Light" w:eastAsia="Times New Roman" w:hAnsi="Calibri Light"/>
          <w:sz w:val="16"/>
          <w:szCs w:val="16"/>
        </w:rPr>
        <w:t>–</w:t>
      </w:r>
      <w:r w:rsidRPr="005565F8">
        <w:rPr>
          <w:rFonts w:ascii="Calibri Light" w:eastAsia="Times New Roman" w:hAnsi="Calibri Light"/>
          <w:sz w:val="16"/>
          <w:szCs w:val="16"/>
        </w:rPr>
        <w:tab/>
      </w:r>
      <w:r w:rsidRPr="005565F8">
        <w:rPr>
          <w:rFonts w:ascii="Calibri Light" w:hAnsi="Calibri Light"/>
          <w:sz w:val="16"/>
          <w:szCs w:val="16"/>
          <w:lang w:eastAsia="lv-LV"/>
        </w:rPr>
        <w:t>2017. gada martā notika jau pie</w:t>
      </w:r>
      <w:r w:rsidRPr="005565F8" w:rsidR="009A1546">
        <w:rPr>
          <w:rFonts w:ascii="Calibri Light" w:hAnsi="Calibri Light"/>
          <w:sz w:val="16"/>
          <w:szCs w:val="16"/>
          <w:lang w:eastAsia="lv-LV"/>
        </w:rPr>
        <w:t>ktā Finanšu izglītības nedēļa (</w:t>
      </w:r>
      <w:r w:rsidRPr="005565F8">
        <w:rPr>
          <w:rFonts w:ascii="Calibri Light" w:hAnsi="Calibri Light"/>
          <w:i/>
          <w:sz w:val="16"/>
          <w:szCs w:val="16"/>
          <w:lang w:eastAsia="lv-LV"/>
        </w:rPr>
        <w:t xml:space="preserve">Ceļojums finanšu </w:t>
      </w:r>
      <w:r w:rsidRPr="005565F8">
        <w:rPr>
          <w:rFonts w:ascii="Calibri Light" w:hAnsi="Calibri Light"/>
          <w:i/>
          <w:sz w:val="16"/>
          <w:szCs w:val="16"/>
          <w:lang w:eastAsia="lv-LV"/>
        </w:rPr>
        <w:t>pratībā</w:t>
      </w:r>
      <w:r w:rsidRPr="005565F8">
        <w:rPr>
          <w:rFonts w:ascii="Calibri Light" w:hAnsi="Calibri Light"/>
          <w:i/>
          <w:sz w:val="16"/>
          <w:szCs w:val="16"/>
          <w:lang w:eastAsia="lv-LV"/>
        </w:rPr>
        <w:t xml:space="preserve"> 2017 – Gudrītes revīzija!</w:t>
      </w:r>
      <w:r w:rsidRPr="005565F8" w:rsidR="009A1546">
        <w:rPr>
          <w:rFonts w:ascii="Calibri Light" w:hAnsi="Calibri Light"/>
          <w:sz w:val="16"/>
          <w:szCs w:val="16"/>
          <w:lang w:eastAsia="lv-LV"/>
        </w:rPr>
        <w:t>)</w:t>
      </w:r>
      <w:r w:rsidRPr="005565F8">
        <w:rPr>
          <w:rFonts w:ascii="Calibri Light" w:hAnsi="Calibri Light"/>
          <w:sz w:val="16"/>
          <w:szCs w:val="16"/>
          <w:lang w:eastAsia="lv-LV"/>
        </w:rPr>
        <w:t xml:space="preserve"> Tās mērķis bija aicināt ikvienu ieskatīties savās finanšu lietās – paradumos, plānos, budžetos, lai saprastu, kas būtu maināms, kas papildināms vai no kā būtu turpmāk jāatsakās vēl efektīvākai saimniekošanai. Finanšu </w:t>
      </w:r>
      <w:r w:rsidRPr="005565F8">
        <w:rPr>
          <w:rFonts w:ascii="Calibri Light" w:hAnsi="Calibri Light"/>
          <w:sz w:val="16"/>
          <w:szCs w:val="16"/>
          <w:lang w:eastAsia="lv-LV"/>
        </w:rPr>
        <w:t>pratības</w:t>
      </w:r>
      <w:r w:rsidRPr="005565F8">
        <w:rPr>
          <w:rFonts w:ascii="Calibri Light" w:hAnsi="Calibri Light"/>
          <w:sz w:val="16"/>
          <w:szCs w:val="16"/>
          <w:lang w:eastAsia="lv-LV"/>
        </w:rPr>
        <w:t xml:space="preserve"> vēstnešu kopīgs aicinājums: "Plāno? Revidē! Pelni."), kuras ietvaros otro  reizi finanšu </w:t>
      </w:r>
      <w:r w:rsidRPr="005565F8">
        <w:rPr>
          <w:rFonts w:ascii="Calibri Light" w:hAnsi="Calibri Light"/>
          <w:sz w:val="16"/>
          <w:szCs w:val="16"/>
          <w:lang w:eastAsia="lv-LV"/>
        </w:rPr>
        <w:t>pratības</w:t>
      </w:r>
      <w:r w:rsidRPr="005565F8">
        <w:rPr>
          <w:rFonts w:ascii="Calibri Light" w:hAnsi="Calibri Light"/>
          <w:sz w:val="16"/>
          <w:szCs w:val="16"/>
          <w:lang w:eastAsia="lv-LV"/>
        </w:rPr>
        <w:t xml:space="preserve"> aktivitātes sadarbībā ar pašvaldībām aptvēra vairākus reģionus (Cēsis, Kuldīga, Rīga);</w:t>
      </w:r>
    </w:p>
    <w:p w:rsidR="00C623A8" w:rsidRPr="005565F8" w:rsidP="00BF69C0" w14:paraId="24716C8B"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20"/>
        <w:ind w:left="284" w:hanging="284"/>
        <w:rPr>
          <w:rFonts w:ascii="Calibri Light" w:hAnsi="Calibri Light"/>
          <w:sz w:val="16"/>
          <w:szCs w:val="16"/>
          <w:lang w:eastAsia="lv-LV"/>
        </w:rPr>
      </w:pPr>
      <w:r w:rsidRPr="005565F8">
        <w:rPr>
          <w:rFonts w:ascii="Calibri Light" w:eastAsia="Times New Roman" w:hAnsi="Calibri Light"/>
          <w:sz w:val="16"/>
          <w:szCs w:val="16"/>
        </w:rPr>
        <w:t>–</w:t>
      </w:r>
      <w:r w:rsidRPr="005565F8">
        <w:rPr>
          <w:rFonts w:ascii="Calibri Light" w:eastAsia="Times New Roman" w:hAnsi="Calibri Light"/>
          <w:sz w:val="16"/>
          <w:szCs w:val="16"/>
        </w:rPr>
        <w:tab/>
      </w:r>
      <w:r w:rsidRPr="005565F8">
        <w:rPr>
          <w:rFonts w:ascii="Calibri Light" w:hAnsi="Calibri Light"/>
          <w:sz w:val="16"/>
          <w:szCs w:val="16"/>
          <w:lang w:eastAsia="lv-LV"/>
        </w:rPr>
        <w:t xml:space="preserve">iesākot 5.Finanšu izglītības nedēļu Latvijā, klājā tika laists jauns dokuments iedzīvotāju finanšu </w:t>
      </w:r>
      <w:r w:rsidRPr="005565F8">
        <w:rPr>
          <w:rFonts w:ascii="Calibri Light" w:hAnsi="Calibri Light"/>
          <w:sz w:val="16"/>
          <w:szCs w:val="16"/>
          <w:lang w:eastAsia="lv-LV"/>
        </w:rPr>
        <w:t>pratības</w:t>
      </w:r>
      <w:r w:rsidRPr="005565F8">
        <w:rPr>
          <w:rFonts w:ascii="Calibri Light" w:hAnsi="Calibri Light"/>
          <w:sz w:val="16"/>
          <w:szCs w:val="16"/>
          <w:lang w:eastAsia="lv-LV"/>
        </w:rPr>
        <w:t xml:space="preserve"> veicināšanai </w:t>
      </w:r>
      <w:r w:rsidRPr="005565F8">
        <w:rPr>
          <w:rFonts w:ascii="Calibri Light" w:hAnsi="Calibri Light"/>
          <w:i/>
          <w:sz w:val="16"/>
          <w:szCs w:val="16"/>
          <w:lang w:eastAsia="lv-LV"/>
        </w:rPr>
        <w:t xml:space="preserve">Pamata kompetenču standarts finanšu </w:t>
      </w:r>
      <w:r w:rsidRPr="005565F8">
        <w:rPr>
          <w:rFonts w:ascii="Calibri Light" w:hAnsi="Calibri Light"/>
          <w:i/>
          <w:sz w:val="16"/>
          <w:szCs w:val="16"/>
          <w:lang w:eastAsia="lv-LV"/>
        </w:rPr>
        <w:t>pratībā</w:t>
      </w:r>
      <w:r w:rsidRPr="005565F8">
        <w:rPr>
          <w:rFonts w:ascii="Calibri Light" w:hAnsi="Calibri Light"/>
          <w:i/>
          <w:sz w:val="16"/>
          <w:szCs w:val="16"/>
          <w:lang w:eastAsia="lv-LV"/>
        </w:rPr>
        <w:t xml:space="preserve"> pieaugušajiem</w:t>
      </w:r>
      <w:r w:rsidRPr="005565F8">
        <w:rPr>
          <w:rFonts w:ascii="Calibri Light" w:hAnsi="Calibri Light"/>
          <w:sz w:val="16"/>
          <w:szCs w:val="16"/>
          <w:lang w:eastAsia="lv-LV"/>
        </w:rPr>
        <w:t xml:space="preserve">, balstoties pasaules attīstīto valstu pieejā – OECD INFE finanšu </w:t>
      </w:r>
      <w:r w:rsidRPr="005565F8">
        <w:rPr>
          <w:rFonts w:ascii="Calibri Light" w:hAnsi="Calibri Light"/>
          <w:sz w:val="16"/>
          <w:szCs w:val="16"/>
          <w:lang w:eastAsia="lv-LV"/>
        </w:rPr>
        <w:t>pratības</w:t>
      </w:r>
      <w:r w:rsidRPr="005565F8">
        <w:rPr>
          <w:rFonts w:ascii="Calibri Light" w:hAnsi="Calibri Light"/>
          <w:sz w:val="16"/>
          <w:szCs w:val="16"/>
          <w:lang w:eastAsia="lv-LV"/>
        </w:rPr>
        <w:t xml:space="preserve"> kompetenču ietvarā</w:t>
      </w:r>
      <w:r w:rsidRPr="005565F8" w:rsidR="009A1546">
        <w:rPr>
          <w:rFonts w:ascii="Calibri Light" w:hAnsi="Calibri Light"/>
          <w:sz w:val="16"/>
          <w:szCs w:val="16"/>
          <w:lang w:eastAsia="lv-LV"/>
        </w:rPr>
        <w:t>.</w:t>
      </w:r>
      <w:r w:rsidRPr="005565F8">
        <w:rPr>
          <w:rFonts w:ascii="Calibri Light" w:hAnsi="Calibri Light"/>
          <w:sz w:val="16"/>
          <w:szCs w:val="16"/>
          <w:lang w:eastAsia="lv-LV"/>
        </w:rPr>
        <w:t xml:space="preserve"> Standarts pieejams ikvienam interesentam FKTK mājas lapā;</w:t>
      </w:r>
    </w:p>
    <w:p w:rsidR="009D62DD" w:rsidRPr="005565F8" w:rsidP="00BF69C0" w14:paraId="2E5DE83D"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20"/>
        <w:ind w:left="284" w:hanging="284"/>
        <w:rPr>
          <w:rFonts w:ascii="Calibri Light" w:hAnsi="Calibri Light"/>
          <w:sz w:val="16"/>
          <w:szCs w:val="16"/>
          <w:lang w:eastAsia="lv-LV"/>
        </w:rPr>
      </w:pPr>
      <w:r w:rsidRPr="005565F8">
        <w:rPr>
          <w:rFonts w:ascii="Calibri Light" w:eastAsia="Times New Roman" w:hAnsi="Calibri Light"/>
          <w:sz w:val="16"/>
          <w:szCs w:val="16"/>
        </w:rPr>
        <w:t>–</w:t>
      </w:r>
      <w:r w:rsidRPr="005565F8">
        <w:rPr>
          <w:rFonts w:ascii="Calibri Light" w:eastAsia="Times New Roman" w:hAnsi="Calibri Light"/>
          <w:sz w:val="16"/>
          <w:szCs w:val="16"/>
        </w:rPr>
        <w:tab/>
      </w:r>
      <w:r w:rsidRPr="005565F8" w:rsidR="009A1546">
        <w:rPr>
          <w:rFonts w:ascii="Calibri Light" w:eastAsia="Times New Roman" w:hAnsi="Calibri Light"/>
          <w:sz w:val="16"/>
          <w:szCs w:val="16"/>
        </w:rPr>
        <w:t>2017.gada 28.aprīlī</w:t>
      </w:r>
      <w:r w:rsidRPr="005565F8">
        <w:rPr>
          <w:rFonts w:ascii="Calibri Light" w:hAnsi="Calibri Light"/>
          <w:sz w:val="16"/>
          <w:szCs w:val="16"/>
          <w:lang w:eastAsia="lv-LV"/>
        </w:rPr>
        <w:t xml:space="preserve"> Rīgā notik</w:t>
      </w:r>
      <w:r w:rsidRPr="005565F8" w:rsidR="009A1546">
        <w:rPr>
          <w:rFonts w:ascii="Calibri Light" w:hAnsi="Calibri Light"/>
          <w:sz w:val="16"/>
          <w:szCs w:val="16"/>
          <w:lang w:eastAsia="lv-LV"/>
        </w:rPr>
        <w:t xml:space="preserve">a starptautiska diskusija </w:t>
      </w:r>
      <w:r w:rsidRPr="005565F8">
        <w:rPr>
          <w:rFonts w:ascii="Calibri Light" w:hAnsi="Calibri Light"/>
          <w:i/>
          <w:sz w:val="16"/>
          <w:szCs w:val="16"/>
          <w:lang w:eastAsia="lv-LV"/>
        </w:rPr>
        <w:t xml:space="preserve">Finanšu </w:t>
      </w:r>
      <w:r w:rsidRPr="005565F8">
        <w:rPr>
          <w:rFonts w:ascii="Calibri Light" w:hAnsi="Calibri Light"/>
          <w:i/>
          <w:sz w:val="16"/>
          <w:szCs w:val="16"/>
          <w:lang w:eastAsia="lv-LV"/>
        </w:rPr>
        <w:t>pratības</w:t>
      </w:r>
      <w:r w:rsidRPr="005565F8">
        <w:rPr>
          <w:rFonts w:ascii="Calibri Light" w:hAnsi="Calibri Light"/>
          <w:i/>
          <w:sz w:val="16"/>
          <w:szCs w:val="16"/>
          <w:lang w:eastAsia="lv-LV"/>
        </w:rPr>
        <w:t xml:space="preserve"> aktualitātes Baltijā</w:t>
      </w:r>
      <w:r w:rsidRPr="005565F8">
        <w:rPr>
          <w:rFonts w:ascii="Calibri Light" w:hAnsi="Calibri Light"/>
          <w:sz w:val="16"/>
          <w:szCs w:val="16"/>
          <w:lang w:eastAsia="lv-LV"/>
        </w:rPr>
        <w:t>.</w:t>
      </w:r>
    </w:p>
    <w:p w:rsidR="00661341" w:rsidRPr="005565F8" w:rsidP="00BF69C0" w14:paraId="63A33A89" w14:textId="77777777">
      <w:pPr>
        <w:pBdr>
          <w:top w:val="single" w:sz="2" w:space="1" w:color="auto" w:shadow="1"/>
          <w:left w:val="single" w:sz="2" w:space="4" w:color="auto" w:shadow="1"/>
          <w:bottom w:val="single" w:sz="2" w:space="1" w:color="auto" w:shadow="1"/>
          <w:right w:val="single" w:sz="2" w:space="4" w:color="auto" w:shadow="1"/>
        </w:pBdr>
        <w:shd w:val="clear" w:color="auto" w:fill="B8CCE4" w:themeFill="accent1" w:themeFillTint="66"/>
        <w:spacing w:after="20"/>
        <w:ind w:left="284" w:hanging="284"/>
        <w:rPr>
          <w:rFonts w:ascii="Calibri Light" w:eastAsia="Times New Roman" w:hAnsi="Calibri Light"/>
          <w:color w:val="0F0F0F"/>
          <w:sz w:val="4"/>
          <w:szCs w:val="16"/>
          <w:lang w:eastAsia="lv-LV"/>
        </w:rPr>
      </w:pPr>
    </w:p>
    <w:p w:rsidR="009D62DD" w:rsidRPr="005565F8" w:rsidP="009D62DD" w14:paraId="08097376" w14:textId="77777777">
      <w:pPr>
        <w:autoSpaceDE w:val="0"/>
        <w:autoSpaceDN w:val="0"/>
        <w:adjustRightInd w:val="0"/>
        <w:ind w:firstLine="567"/>
        <w:rPr>
          <w:rFonts w:eastAsia="Times New Roman"/>
        </w:rPr>
      </w:pPr>
    </w:p>
    <w:p w:rsidR="009C339C" w:rsidRPr="005565F8" w:rsidP="009D62DD" w14:paraId="6D9F399A" w14:textId="77777777">
      <w:pPr>
        <w:ind w:firstLine="567"/>
        <w:sectPr w:rsidSect="003D0310">
          <w:type w:val="continuous"/>
          <w:pgSz w:w="11906" w:h="16838" w:code="9"/>
          <w:pgMar w:top="1134" w:right="1134" w:bottom="1134" w:left="1134" w:header="709" w:footer="709" w:gutter="0"/>
          <w:cols w:space="708"/>
          <w:titlePg/>
          <w:docGrid w:linePitch="360"/>
        </w:sectPr>
      </w:pPr>
    </w:p>
    <w:p w:rsidR="009D62DD" w:rsidRPr="005565F8" w:rsidP="00661341" w14:paraId="1071AA95" w14:textId="556879C3">
      <w:pPr>
        <w:rPr>
          <w:u w:val="single"/>
        </w:rPr>
      </w:pPr>
      <w:r w:rsidRPr="005565F8">
        <w:t xml:space="preserve">No 2011.gada novembra ir ieviesta </w:t>
      </w:r>
      <w:r w:rsidRPr="005565F8">
        <w:rPr>
          <w:i/>
        </w:rPr>
        <w:t>nebanku</w:t>
      </w:r>
      <w:r w:rsidRPr="005565F8">
        <w:rPr>
          <w:i/>
        </w:rPr>
        <w:t xml:space="preserve"> kredītu devēju licencēšanas sistēma</w:t>
      </w:r>
      <w:r w:rsidRPr="005565F8">
        <w:t xml:space="preserve">, garantējot patērētājam ilgtermiņā finansiāli stabilu kredītu devēju esamību tirgū. 2013.gadā tika izstrādāti un virzīti vairāki priekšlikumi patērētāju kreditēšanas tirgus sakārtošanai, galvenokārt uzmanību veltot „ātro kredītu” </w:t>
      </w:r>
      <w:r w:rsidRPr="005565F8">
        <w:rPr>
          <w:i/>
        </w:rPr>
        <w:t>(</w:t>
      </w:r>
      <w:r w:rsidRPr="005565F8">
        <w:rPr>
          <w:i/>
        </w:rPr>
        <w:t>payday</w:t>
      </w:r>
      <w:r w:rsidRPr="005565F8">
        <w:rPr>
          <w:i/>
        </w:rPr>
        <w:t xml:space="preserve"> </w:t>
      </w:r>
      <w:r w:rsidRPr="005565F8">
        <w:rPr>
          <w:i/>
        </w:rPr>
        <w:t>loans</w:t>
      </w:r>
      <w:r w:rsidRPr="005565F8">
        <w:rPr>
          <w:i/>
        </w:rPr>
        <w:t>)</w:t>
      </w:r>
      <w:r w:rsidRPr="005565F8">
        <w:t xml:space="preserve"> nozarei. 2016.gada 1.janvār</w:t>
      </w:r>
      <w:r w:rsidRPr="005565F8" w:rsidR="00A3230E">
        <w:t>ī</w:t>
      </w:r>
      <w:r w:rsidRPr="005565F8">
        <w:t xml:space="preserve"> stājušies spēkā arī </w:t>
      </w:r>
      <w:r w:rsidRPr="005565F8" w:rsidR="00A3230E">
        <w:rPr>
          <w:i/>
        </w:rPr>
        <w:t>G</w:t>
      </w:r>
      <w:r w:rsidRPr="005565F8">
        <w:rPr>
          <w:i/>
        </w:rPr>
        <w:t>rozījumi</w:t>
      </w:r>
      <w:r w:rsidRPr="005565F8">
        <w:t xml:space="preserve"> </w:t>
      </w:r>
      <w:r w:rsidRPr="005565F8" w:rsidR="00A3230E">
        <w:rPr>
          <w:i/>
        </w:rPr>
        <w:t>p</w:t>
      </w:r>
      <w:r w:rsidRPr="005565F8">
        <w:rPr>
          <w:i/>
        </w:rPr>
        <w:t>atērētāju tiesību aizsardzības likumā</w:t>
      </w:r>
      <w:r w:rsidRPr="005565F8">
        <w:t xml:space="preserve"> atbildīgas aizdošanas veicināšanai, kā arī procentu likmju ierobežošanai. 2016.gadā ir veiktas izmaiņas vairākos normatīvajos </w:t>
      </w:r>
      <w:r w:rsidRPr="005565F8">
        <w:t xml:space="preserve">aktos, kas saistītas ar </w:t>
      </w:r>
      <w:r w:rsidRPr="005565F8">
        <w:rPr>
          <w:rFonts w:eastAsia="Times New Roman"/>
          <w:lang w:eastAsia="lv-LV"/>
        </w:rPr>
        <w:t xml:space="preserve">Eiropas Parlamenta un Padomes 2014.gada 4.februāra direktīvas 2014/17/ES  </w:t>
      </w:r>
      <w:r w:rsidRPr="005565F8">
        <w:rPr>
          <w:i/>
        </w:rPr>
        <w:t>par patērētāju kredītlīgumiem saistībā ar mājokļa nekustamo īpašumu un ar ko groza Direktīvas 2008/48/EK un 2013/36/ES un Regulu (ES) Nr. 1093/2010</w:t>
      </w:r>
      <w:r w:rsidRPr="005565F8">
        <w:rPr>
          <w:rFonts w:eastAsia="Times New Roman"/>
          <w:lang w:eastAsia="lv-LV"/>
        </w:rPr>
        <w:t xml:space="preserve"> prasību ieviešanu nacionālajos tiesību aktos. 2017.gadā turpinājās darbs pie Patērētāju tiesību aizsardzības centra vadlīniju izstrādes patērētāja spējas atmaksāt kredītu novērtēšanai kredītu devējiem, kas sniedz kreditēšanas pakalpojumus patērētājiem.</w:t>
      </w:r>
    </w:p>
    <w:p w:rsidR="009C339C" w:rsidRPr="005565F8" w:rsidP="003D4F31" w14:paraId="73A9BD50" w14:textId="77777777">
      <w:pPr>
        <w:pStyle w:val="Heading2"/>
        <w:spacing w:after="120"/>
        <w:jc w:val="center"/>
        <w:rPr>
          <w:rFonts w:ascii="Times New Roman Bold" w:hAnsi="Times New Roman Bold"/>
          <w:smallCaps/>
          <w:szCs w:val="24"/>
        </w:rPr>
        <w:sectPr w:rsidSect="003D0310">
          <w:type w:val="continuous"/>
          <w:pgSz w:w="11906" w:h="16838" w:code="9"/>
          <w:pgMar w:top="1134" w:right="1134" w:bottom="1134" w:left="1134" w:header="709" w:footer="709" w:gutter="0"/>
          <w:cols w:num="2" w:space="340"/>
          <w:titlePg/>
          <w:docGrid w:linePitch="360"/>
        </w:sectPr>
      </w:pPr>
    </w:p>
    <w:p w:rsidR="008F2EE4" w:rsidRPr="005565F8" w:rsidP="00CA580D" w14:paraId="4C8470A7" w14:textId="77777777">
      <w:pPr>
        <w:pStyle w:val="Heading2"/>
        <w:keepNext w:val="0"/>
        <w:pBdr>
          <w:bottom w:val="single" w:sz="24" w:space="1" w:color="228B9D"/>
        </w:pBdr>
        <w:contextualSpacing w:val="0"/>
      </w:pPr>
      <w:bookmarkStart w:id="45" w:name="_Toc510687744"/>
      <w:bookmarkStart w:id="46" w:name="_Toc256000012"/>
      <w:bookmarkStart w:id="47" w:name="_Toc256000047"/>
      <w:r w:rsidRPr="005565F8">
        <w:t>3.2. Konkurētspējas veicināšana</w:t>
      </w:r>
      <w:bookmarkEnd w:id="47"/>
      <w:bookmarkEnd w:id="46"/>
      <w:bookmarkEnd w:id="45"/>
    </w:p>
    <w:p w:rsidR="00ED0FCB" w:rsidRPr="005565F8" w:rsidP="00ED0FCB" w14:paraId="0FE2A21E" w14:textId="77777777">
      <w:pPr>
        <w:pStyle w:val="Heading3"/>
      </w:pPr>
      <w:bookmarkStart w:id="48" w:name="_Toc510687745"/>
      <w:bookmarkStart w:id="49" w:name="_Toc256000013"/>
      <w:bookmarkStart w:id="50" w:name="_Toc256000048"/>
      <w:r w:rsidRPr="005565F8">
        <w:t>3.2.1. Uzņēmējdarbības vide un valsts pārvaldes modernizācija</w:t>
      </w:r>
      <w:bookmarkEnd w:id="50"/>
      <w:bookmarkEnd w:id="49"/>
      <w:bookmarkEnd w:id="48"/>
    </w:p>
    <w:p w:rsidR="00951581" w:rsidRPr="005565F8" w:rsidP="00CA580D" w14:paraId="04721E83" w14:textId="77777777">
      <w:pPr>
        <w:sectPr w:rsidSect="003D0310">
          <w:type w:val="continuous"/>
          <w:pgSz w:w="11906" w:h="16838" w:code="9"/>
          <w:pgMar w:top="1134" w:right="1134" w:bottom="1134" w:left="1134" w:header="709" w:footer="709" w:gutter="0"/>
          <w:cols w:space="340"/>
          <w:titlePg/>
          <w:docGrid w:linePitch="360"/>
        </w:sectPr>
      </w:pPr>
    </w:p>
    <w:p w:rsidR="00CA580D" w:rsidRPr="005565F8" w:rsidP="00CA580D" w14:paraId="29093140" w14:textId="77777777">
      <w:r w:rsidRPr="005565F8">
        <w:t xml:space="preserve">Lai novērtētu veikto reformu ietekmi uzņēmējdarbības vides uzlabošanā, Latvijā izplatītākie instrumenti ir starptautiskie pētījumi </w:t>
      </w:r>
      <w:r w:rsidRPr="005565F8">
        <w:rPr>
          <w:i/>
        </w:rPr>
        <w:t>Doing</w:t>
      </w:r>
      <w:r w:rsidRPr="005565F8">
        <w:rPr>
          <w:i/>
        </w:rPr>
        <w:t xml:space="preserve"> </w:t>
      </w:r>
      <w:r w:rsidRPr="005565F8">
        <w:rPr>
          <w:i/>
        </w:rPr>
        <w:t>Business</w:t>
      </w:r>
      <w:r w:rsidRPr="005565F8">
        <w:t xml:space="preserve"> un G</w:t>
      </w:r>
      <w:r w:rsidRPr="005565F8" w:rsidR="009F303A">
        <w:t xml:space="preserve">lobālās konkurētspējas indekss, </w:t>
      </w:r>
      <w:r w:rsidRPr="005565F8" w:rsidR="002623D6">
        <w:t>kas ietver vērtējumu dažādās ar uzņēmējdarbību saistītajās jomās. Uz augstākminēto indeksu analīzes bāzes</w:t>
      </w:r>
      <w:r w:rsidRPr="005565F8">
        <w:t xml:space="preserve"> katru gadu tiek sagatavots veicamo pasākumu saraksts </w:t>
      </w:r>
      <w:r w:rsidRPr="005565F8">
        <w:rPr>
          <w:i/>
        </w:rPr>
        <w:t>Uzņēmējdarbības vides pilnveidošanas pasākumu plāna</w:t>
      </w:r>
      <w:r w:rsidRPr="005565F8">
        <w:t xml:space="preserve"> ietvaros.</w:t>
      </w:r>
    </w:p>
    <w:p w:rsidR="00CA580D" w:rsidRPr="005565F8" w:rsidP="00CA580D" w14:paraId="60B33DCA" w14:textId="77777777">
      <w:r w:rsidRPr="005565F8">
        <w:t xml:space="preserve">Pasaules Bankas </w:t>
      </w:r>
      <w:r w:rsidRPr="005565F8">
        <w:rPr>
          <w:i/>
        </w:rPr>
        <w:t>Doing</w:t>
      </w:r>
      <w:r w:rsidRPr="005565F8">
        <w:rPr>
          <w:i/>
        </w:rPr>
        <w:t xml:space="preserve"> </w:t>
      </w:r>
      <w:r w:rsidRPr="005565F8">
        <w:rPr>
          <w:i/>
        </w:rPr>
        <w:t>Business</w:t>
      </w:r>
      <w:r w:rsidRPr="005565F8">
        <w:t xml:space="preserve"> </w:t>
      </w:r>
      <w:r w:rsidRPr="005565F8">
        <w:rPr>
          <w:i/>
        </w:rPr>
        <w:t>2018</w:t>
      </w:r>
      <w:r w:rsidRPr="005565F8">
        <w:t xml:space="preserve"> pētījumā 190 valstu konkurencē Latvija ierindota 19.vietā vai 8.vietā ES dalībvalstu vidū. Salīdzinot ar iepriekšējo gadu, kāpums reitingā novērots uzņēmējdarbības uzsākšanas, nodokļu nomaksas un līgumsaistību izpildes jomās, bet kritums būvniecības atļauju, elektrības </w:t>
      </w:r>
      <w:r w:rsidRPr="005565F8">
        <w:t>pieslēguma</w:t>
      </w:r>
      <w:r w:rsidRPr="005565F8">
        <w:t xml:space="preserve"> un maksātnespējas jomās. Savukārt atbilstoši Pasaules Ekonomikas foruma </w:t>
      </w:r>
      <w:r w:rsidRPr="005565F8">
        <w:rPr>
          <w:i/>
        </w:rPr>
        <w:t>Globālās konkurētspējas ziņojumā 2017.-2018.gadam</w:t>
      </w:r>
      <w:r w:rsidRPr="005565F8">
        <w:t xml:space="preserve"> publicētajam Globālās konkurētspējas indeksam Latvija ieņem 54.vietu 137 valstu starpā.</w:t>
      </w:r>
    </w:p>
    <w:p w:rsidR="000C2443" w:rsidRPr="005565F8" w:rsidP="00BF69C0" w14:paraId="57564A8B" w14:textId="77777777">
      <w:pPr>
        <w:sectPr w:rsidSect="003D0310">
          <w:type w:val="continuous"/>
          <w:pgSz w:w="11906" w:h="16838" w:code="9"/>
          <w:pgMar w:top="1134" w:right="1134" w:bottom="1134" w:left="1134" w:header="709" w:footer="709" w:gutter="0"/>
          <w:cols w:num="2" w:space="340"/>
          <w:titlePg/>
          <w:docGrid w:linePitch="360"/>
        </w:sectPr>
      </w:pPr>
    </w:p>
    <w:p w:rsidR="00BF69C0" w:rsidRPr="005565F8" w:rsidP="00E04703" w14:paraId="2476A05F" w14:textId="77777777"/>
    <w:p w:rsidR="00BF69C0" w:rsidRPr="005565F8" w:rsidP="00BF69C0" w14:paraId="75F3293C" w14:textId="77777777">
      <w:pPr>
        <w:spacing w:before="120" w:after="240"/>
        <w:rPr>
          <w:rFonts w:ascii="Segoe UI" w:hAnsi="Segoe UI" w:cs="Segoe UI"/>
          <w:b/>
          <w:u w:val="double"/>
        </w:rPr>
      </w:pPr>
      <w:r w:rsidRPr="005565F8">
        <w:rPr>
          <w:rFonts w:ascii="Segoe UI" w:hAnsi="Segoe UI" w:cs="Segoe UI"/>
          <w:b/>
          <w:u w:val="double"/>
        </w:rPr>
        <w:t>Galvenie politikas virzieni un pasākumi:</w:t>
      </w:r>
    </w:p>
    <w:p w:rsidR="00BF69C0" w:rsidRPr="005565F8" w:rsidP="00BF69C0" w14:paraId="0C81E301"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Administratīvo šķēršļu mazināšana</w:t>
      </w:r>
    </w:p>
    <w:p w:rsidR="00BF69C0" w:rsidRPr="005565F8" w:rsidP="00B22046" w14:paraId="6DEE48BF"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 TM, VARAM, VK, PKC/</w:t>
      </w:r>
    </w:p>
    <w:p w:rsidR="000C2443" w:rsidRPr="005565F8" w:rsidP="00B22046" w14:paraId="6969A7BE"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CA580D" w:rsidRPr="005565F8" w:rsidP="00BF69C0" w14:paraId="155514A5" w14:textId="77777777">
      <w:pPr>
        <w:spacing w:before="240"/>
      </w:pPr>
      <w:r w:rsidRPr="005565F8">
        <w:t>Mērķis ir sadarbībā ar uzņēmējiem pastāvīgi pilnveidot uzņēmējdarbības vides regulējošo normatīvo aktu bāzi un attīstīt uzņēmēju vajadzībām atbilstošus elektroniskos pakalpojumus.</w:t>
      </w:r>
    </w:p>
    <w:p w:rsidR="00163844" w:rsidRPr="005565F8" w:rsidP="00163844" w14:paraId="7C05B1A3" w14:textId="27B279A4">
      <w:r w:rsidRPr="005565F8">
        <w:t xml:space="preserve">2017.gada 15.martā MK apstiprināja 2017.gada </w:t>
      </w:r>
      <w:r w:rsidRPr="005565F8">
        <w:rPr>
          <w:i/>
        </w:rPr>
        <w:t>Uzņēmējdarbības vides pilnveidošanas pasākumu plānu</w:t>
      </w:r>
      <w:r w:rsidRPr="005565F8">
        <w:t xml:space="preserve"> (turpmāk – Plāns). Plāna mērķis ir vienkārši un kvalitatīvi pakalpojumi uzņēmējdarbībā: vairāk e-pakalpojumu un tajā iekļauti 46 pasākumi, par kuru izpildi noteiktos termiņos ir noteiktas dažādas institūcijas (skat. </w:t>
      </w:r>
      <w:r w:rsidR="001519E3">
        <w:t>3.</w:t>
      </w:r>
      <w:r w:rsidRPr="005565F8">
        <w:t>3.ielikumu).</w:t>
      </w:r>
    </w:p>
    <w:p w:rsidR="00577A33" w:rsidRPr="005565F8" w:rsidP="00163844" w14:paraId="017CC729" w14:textId="1F022964">
      <w:r w:rsidRPr="005565F8">
        <w:t>Uzņēmējdarbības vides uzlabošanai 2017.-2018.g. periodā tika īstenoti vairāki pasākumi, kas uzlabo sadarbību starp dažādām iestādēm (“konsultē vispirms” un “klusēšanas-piekrišanas” princips), tika uzlabota nodokļu sistēma (piemēram, ievie</w:t>
      </w:r>
      <w:r w:rsidRPr="005565F8" w:rsidR="00670AD8">
        <w:t>šot</w:t>
      </w:r>
      <w:r w:rsidRPr="005565F8" w:rsidR="00DA1EE0">
        <w:t xml:space="preserve"> </w:t>
      </w:r>
      <w:r w:rsidRPr="005565F8" w:rsidR="00670AD8">
        <w:t xml:space="preserve">atlikto </w:t>
      </w:r>
      <w:r w:rsidRPr="005565F8" w:rsidR="009130DB">
        <w:t>UIN</w:t>
      </w:r>
      <w:r w:rsidRPr="005565F8" w:rsidR="00670AD8">
        <w:t xml:space="preserve"> uzņēmumu peļņai, kas tiek maksāts uzņēmuma peļņas sadales brīdī (</w:t>
      </w:r>
      <w:r w:rsidRPr="005565F8">
        <w:t>reinvestētai</w:t>
      </w:r>
      <w:r w:rsidRPr="005565F8">
        <w:t xml:space="preserve"> peļņai</w:t>
      </w:r>
      <w:r w:rsidRPr="005565F8" w:rsidR="00670AD8">
        <w:t xml:space="preserve"> UIN netiek piemērots)</w:t>
      </w:r>
      <w:r w:rsidRPr="005565F8">
        <w:t>,</w:t>
      </w:r>
      <w:r w:rsidRPr="005565F8" w:rsidR="00DA1EE0">
        <w:t xml:space="preserve"> </w:t>
      </w:r>
      <w:r w:rsidRPr="005565F8">
        <w:t xml:space="preserve">ieviests jauns UIN modelis), tika uzlabota VID EDS sistēma, vienkāršots gada pārskatu sagatavošanas un iesniegšanas process, īstenoti vairāki pasākumi </w:t>
      </w:r>
      <w:r w:rsidRPr="005565F8">
        <w:t>jaunuzņēmumu</w:t>
      </w:r>
      <w:r w:rsidRPr="005565F8">
        <w:t xml:space="preserve"> </w:t>
      </w:r>
      <w:r w:rsidRPr="005565F8">
        <w:rPr>
          <w:i/>
        </w:rPr>
        <w:t>(start-</w:t>
      </w:r>
      <w:r w:rsidRPr="005565F8">
        <w:rPr>
          <w:i/>
        </w:rPr>
        <w:t>up</w:t>
      </w:r>
      <w:r w:rsidRPr="005565F8">
        <w:rPr>
          <w:i/>
        </w:rPr>
        <w:t>)</w:t>
      </w:r>
      <w:r w:rsidRPr="005565F8">
        <w:t xml:space="preserve"> attīstībai, kā arī stiprināts tiesiskais regulējums (skat. </w:t>
      </w:r>
      <w:r w:rsidR="001519E3">
        <w:t>3.</w:t>
      </w:r>
      <w:r w:rsidRPr="005565F8" w:rsidR="00163844">
        <w:t>3</w:t>
      </w:r>
      <w:r w:rsidRPr="005565F8">
        <w:t>.ielikumu).</w:t>
      </w:r>
    </w:p>
    <w:p w:rsidR="00577A33" w:rsidRPr="005565F8" w:rsidP="00577A33" w14:paraId="2AF116A2" w14:textId="77777777">
      <w:pPr>
        <w:ind w:firstLine="311"/>
        <w:rPr>
          <w:b/>
          <w:szCs w:val="20"/>
        </w:rPr>
        <w:sectPr w:rsidSect="003D0310">
          <w:type w:val="continuous"/>
          <w:pgSz w:w="11906" w:h="16838" w:code="9"/>
          <w:pgMar w:top="1134" w:right="1134" w:bottom="1134" w:left="1134" w:header="709" w:footer="709" w:gutter="0"/>
          <w:cols w:num="2" w:space="340"/>
          <w:titlePg/>
          <w:docGrid w:linePitch="360"/>
        </w:sectPr>
      </w:pPr>
    </w:p>
    <w:p w:rsidR="00577A33" w:rsidRPr="005565F8" w:rsidP="00BF69C0" w14:paraId="7DFE1B2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b/>
          <w:sz w:val="4"/>
          <w:szCs w:val="16"/>
        </w:rPr>
      </w:pPr>
    </w:p>
    <w:p w:rsidR="00BF69C0" w:rsidRPr="005565F8" w:rsidP="00BF69C0" w14:paraId="18652F8E" w14:textId="27D06E1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w:t>
      </w:r>
      <w:r w:rsidRPr="005565F8" w:rsidR="00163844">
        <w:rPr>
          <w:rFonts w:ascii="Calibri Light" w:hAnsi="Calibri Light"/>
          <w:sz w:val="16"/>
          <w:szCs w:val="16"/>
        </w:rPr>
        <w:t>3</w:t>
      </w:r>
      <w:r w:rsidRPr="005565F8">
        <w:rPr>
          <w:rFonts w:ascii="Calibri Light" w:hAnsi="Calibri Light"/>
          <w:sz w:val="16"/>
          <w:szCs w:val="16"/>
        </w:rPr>
        <w:t>.ielikums</w:t>
      </w:r>
    </w:p>
    <w:p w:rsidR="00BF69C0" w:rsidRPr="005565F8" w:rsidP="00BF69C0" w14:paraId="7CDE1E3E"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rPr>
          <w:rFonts w:ascii="Calibri Light" w:hAnsi="Calibri Light"/>
          <w:szCs w:val="16"/>
        </w:rPr>
      </w:pPr>
      <w:r w:rsidRPr="005565F8">
        <w:rPr>
          <w:rFonts w:ascii="Calibri Light" w:hAnsi="Calibri Light"/>
          <w:b/>
          <w:szCs w:val="16"/>
        </w:rPr>
        <w:t>Uzņēmējdarbības vides uzlabošanas pasākumu īstenošana 2017.-2018.gadā</w:t>
      </w:r>
    </w:p>
    <w:p w:rsidR="00577A33" w:rsidRPr="005565F8" w:rsidP="00BF69C0" w14:paraId="703B318C"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sidR="006A25A6">
        <w:rPr>
          <w:rFonts w:ascii="Calibri Light" w:eastAsia="Verdana" w:hAnsi="Calibri Light"/>
          <w:color w:val="000000"/>
          <w:kern w:val="24"/>
          <w:sz w:val="16"/>
          <w:szCs w:val="16"/>
          <w:lang w:eastAsia="lv-LV"/>
        </w:rPr>
        <w:t>I</w:t>
      </w:r>
      <w:r w:rsidRPr="005565F8">
        <w:rPr>
          <w:rFonts w:ascii="Calibri Light" w:eastAsia="Verdana" w:hAnsi="Calibri Light"/>
          <w:color w:val="000000"/>
          <w:kern w:val="24"/>
          <w:sz w:val="16"/>
          <w:szCs w:val="16"/>
          <w:lang w:eastAsia="lv-LV"/>
        </w:rPr>
        <w:t>eviests “Konsultē vispirms” princips valsts pārvaldes iestāžu darbībā, kas nodrošina efektīvu un pozitīvu uzņēmēju komunikāciju ar valsts iestādēm;</w:t>
      </w:r>
    </w:p>
    <w:p w:rsidR="00577A33" w:rsidRPr="005565F8" w:rsidP="00BF69C0" w14:paraId="29E8BFF9"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ieviests “klusēšanas-piekrišanas” princips, kas būtiski atvieglo dažādu procesu norisi, piemēram, sertificēšanas pakalpojumos;</w:t>
      </w:r>
    </w:p>
    <w:p w:rsidR="00D02608" w:rsidRPr="005565F8" w:rsidP="00BF69C0" w14:paraId="61196D8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ieviest</w:t>
      </w:r>
      <w:r w:rsidRPr="005565F8" w:rsidR="00153E53">
        <w:rPr>
          <w:rFonts w:ascii="Calibri Light" w:eastAsia="Verdana" w:hAnsi="Calibri Light"/>
          <w:color w:val="000000"/>
          <w:kern w:val="24"/>
          <w:sz w:val="16"/>
          <w:szCs w:val="16"/>
          <w:lang w:eastAsia="lv-LV"/>
        </w:rPr>
        <w:t xml:space="preserve">s atliktais </w:t>
      </w:r>
      <w:r w:rsidRPr="005565F8" w:rsidR="009130DB">
        <w:rPr>
          <w:rFonts w:ascii="Calibri Light" w:eastAsia="Verdana" w:hAnsi="Calibri Light"/>
          <w:color w:val="000000"/>
          <w:kern w:val="24"/>
          <w:sz w:val="16"/>
          <w:szCs w:val="16"/>
          <w:lang w:eastAsia="lv-LV"/>
        </w:rPr>
        <w:t>UIN</w:t>
      </w:r>
      <w:r w:rsidRPr="005565F8" w:rsidR="00153E53">
        <w:rPr>
          <w:rFonts w:ascii="Calibri Light" w:eastAsia="Verdana" w:hAnsi="Calibri Light"/>
          <w:color w:val="000000"/>
          <w:kern w:val="24"/>
          <w:sz w:val="16"/>
          <w:szCs w:val="16"/>
          <w:lang w:eastAsia="lv-LV"/>
        </w:rPr>
        <w:t xml:space="preserve"> uzņēmuma peļņai, kas tiek maksāts uzņēmuma peļņas sadales brīdī (</w:t>
      </w:r>
      <w:r w:rsidRPr="005565F8">
        <w:rPr>
          <w:rFonts w:ascii="Calibri Light" w:eastAsia="Verdana" w:hAnsi="Calibri Light"/>
          <w:color w:val="000000"/>
          <w:kern w:val="24"/>
          <w:sz w:val="16"/>
          <w:szCs w:val="16"/>
          <w:lang w:eastAsia="lv-LV"/>
        </w:rPr>
        <w:t>reinvestētai</w:t>
      </w:r>
      <w:r w:rsidRPr="005565F8">
        <w:rPr>
          <w:rFonts w:ascii="Calibri Light" w:eastAsia="Verdana" w:hAnsi="Calibri Light"/>
          <w:color w:val="000000"/>
          <w:kern w:val="24"/>
          <w:sz w:val="16"/>
          <w:szCs w:val="16"/>
          <w:lang w:eastAsia="lv-LV"/>
        </w:rPr>
        <w:t xml:space="preserve"> peļņai</w:t>
      </w:r>
      <w:r w:rsidRPr="005565F8" w:rsidR="00153E53">
        <w:rPr>
          <w:rFonts w:ascii="Calibri Light" w:eastAsia="Verdana" w:hAnsi="Calibri Light"/>
          <w:color w:val="000000"/>
          <w:kern w:val="24"/>
          <w:sz w:val="16"/>
          <w:szCs w:val="16"/>
          <w:lang w:eastAsia="lv-LV"/>
        </w:rPr>
        <w:t xml:space="preserve"> UIN netiek piemērots)</w:t>
      </w:r>
      <w:r w:rsidRPr="005565F8">
        <w:rPr>
          <w:rFonts w:ascii="Calibri Light" w:eastAsia="Verdana" w:hAnsi="Calibri Light"/>
          <w:color w:val="000000"/>
          <w:kern w:val="24"/>
          <w:sz w:val="16"/>
          <w:szCs w:val="16"/>
          <w:lang w:eastAsia="lv-LV"/>
        </w:rPr>
        <w:t>;</w:t>
      </w:r>
    </w:p>
    <w:p w:rsidR="00577A33" w:rsidRPr="005565F8" w:rsidP="00BF69C0" w14:paraId="278BA51E"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sidR="000C2443">
        <w:rPr>
          <w:rFonts w:ascii="Calibri Light" w:eastAsia="Verdana" w:hAnsi="Calibri Light"/>
          <w:color w:val="000000"/>
          <w:kern w:val="24"/>
          <w:sz w:val="16"/>
          <w:szCs w:val="16"/>
          <w:lang w:eastAsia="lv-LV"/>
        </w:rPr>
        <w:tab/>
      </w:r>
      <w:r w:rsidRPr="005565F8">
        <w:rPr>
          <w:rFonts w:ascii="Calibri Light" w:eastAsia="Verdana" w:hAnsi="Calibri Light"/>
          <w:color w:val="000000"/>
          <w:kern w:val="24"/>
          <w:sz w:val="16"/>
          <w:szCs w:val="16"/>
          <w:lang w:eastAsia="lv-LV"/>
        </w:rPr>
        <w:t>sākot ar 2018.gada 1.janvāri, stājās spēkā jauns UIN modelis, kas turpmāk neparedz UIN avansa maksājumus, bet UIN veikšanu tikai par to mēnesi, kurā veikti izdevumi, kas nav novirzīti uzņēmuma attīstībai. Lai samazinātu administratīvo slogu, lielākā daļa izdevumu veidu ir jāiekļauj tikai pārskata gada pēdējā mēneša UIN deklarācijā;</w:t>
      </w:r>
      <w:r w:rsidRPr="005565F8">
        <w:rPr>
          <w:rFonts w:ascii="Calibri Light" w:eastAsia="Verdana" w:hAnsi="Calibri Light"/>
          <w:color w:val="000000"/>
          <w:kern w:val="24"/>
          <w:sz w:val="16"/>
          <w:szCs w:val="16"/>
          <w:lang w:eastAsia="lv-LV"/>
        </w:rPr>
        <w:t xml:space="preserve"> </w:t>
      </w:r>
    </w:p>
    <w:p w:rsidR="00577A33" w:rsidRPr="005565F8" w:rsidP="00BF69C0" w14:paraId="334A37E8"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ieviests Zemesgrāmatu nodalījuma datu monitorings par juridiskai personai piederošiem nekustamajiem īpašumiem, nosūtot elektroniskos paziņojumus par veiktajiem nostiprinājumiem;</w:t>
      </w:r>
    </w:p>
    <w:p w:rsidR="00577A33" w:rsidRPr="005565F8" w:rsidP="00BF69C0" w14:paraId="414F881D"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veikta virkne VID EDS attīstības pasākumu, piemēram, darba devējiem nodrošināts pārskats par slēgtajām un anulētajām darbnespējas lapām, ieviesta iespēja EDS iesniegt vairākus iesniedzamos dokumentus vienlaicīgi u.c.</w:t>
      </w:r>
    </w:p>
    <w:p w:rsidR="00577A33" w:rsidRPr="005565F8" w:rsidP="00BF69C0" w14:paraId="2325894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ieviesta Elektroniskā maksātnespējas uzraudzības sistēma, kas ļauj uzraudzīt maksātnespējas procesu un iegūt nepieciešamos rādītājus, lai gūtu priekšstatu par sistēmas efektivitāti un pilnveidošanu;</w:t>
      </w:r>
    </w:p>
    <w:p w:rsidR="001519E3" w:rsidP="00BF69C0" w14:paraId="7210C408" w14:textId="7123B8E2">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color w:val="000000"/>
          <w:kern w:val="24"/>
          <w:sz w:val="16"/>
          <w:szCs w:val="16"/>
          <w:lang w:eastAsia="lv-LV"/>
        </w:rPr>
        <w:t>jaunuzņēmumu</w:t>
      </w:r>
      <w:r w:rsidRPr="005565F8">
        <w:rPr>
          <w:rFonts w:ascii="Calibri Light" w:eastAsia="Verdana" w:hAnsi="Calibri Light"/>
          <w:color w:val="000000"/>
          <w:kern w:val="24"/>
          <w:sz w:val="16"/>
          <w:szCs w:val="16"/>
          <w:lang w:eastAsia="lv-LV"/>
        </w:rPr>
        <w:t xml:space="preserve"> </w:t>
      </w:r>
      <w:r w:rsidRPr="005565F8">
        <w:rPr>
          <w:rFonts w:ascii="Calibri Light" w:eastAsia="Verdana" w:hAnsi="Calibri Light"/>
          <w:i/>
          <w:color w:val="000000"/>
          <w:kern w:val="24"/>
          <w:sz w:val="16"/>
          <w:szCs w:val="16"/>
          <w:lang w:eastAsia="lv-LV"/>
        </w:rPr>
        <w:t>(start-</w:t>
      </w:r>
      <w:r w:rsidRPr="005565F8">
        <w:rPr>
          <w:rFonts w:ascii="Calibri Light" w:eastAsia="Verdana" w:hAnsi="Calibri Light"/>
          <w:i/>
          <w:color w:val="000000"/>
          <w:kern w:val="24"/>
          <w:sz w:val="16"/>
          <w:szCs w:val="16"/>
          <w:lang w:eastAsia="lv-LV"/>
        </w:rPr>
        <w:t>up</w:t>
      </w:r>
      <w:r w:rsidRPr="005565F8">
        <w:rPr>
          <w:rFonts w:ascii="Calibri Light" w:eastAsia="Verdana" w:hAnsi="Calibri Light"/>
          <w:i/>
          <w:color w:val="000000"/>
          <w:kern w:val="24"/>
          <w:sz w:val="16"/>
          <w:szCs w:val="16"/>
          <w:lang w:eastAsia="lv-LV"/>
        </w:rPr>
        <w:t>)</w:t>
      </w:r>
      <w:r w:rsidRPr="005565F8">
        <w:rPr>
          <w:rFonts w:ascii="Calibri Light" w:eastAsia="Verdana" w:hAnsi="Calibri Light"/>
          <w:color w:val="000000"/>
          <w:kern w:val="24"/>
          <w:sz w:val="16"/>
          <w:szCs w:val="16"/>
          <w:lang w:eastAsia="lv-LV"/>
        </w:rPr>
        <w:t xml:space="preserve"> attīstībai parakstīts sadarbības memorands ar Latvijas </w:t>
      </w:r>
      <w:r w:rsidRPr="005565F8">
        <w:rPr>
          <w:rFonts w:ascii="Calibri Light" w:eastAsia="Verdana" w:hAnsi="Calibri Light"/>
          <w:color w:val="000000"/>
          <w:kern w:val="24"/>
          <w:sz w:val="16"/>
          <w:szCs w:val="16"/>
          <w:lang w:eastAsia="lv-LV"/>
        </w:rPr>
        <w:t>jaunuzņēmumu</w:t>
      </w:r>
      <w:r w:rsidRPr="005565F8">
        <w:rPr>
          <w:rFonts w:ascii="Calibri Light" w:eastAsia="Verdana" w:hAnsi="Calibri Light"/>
          <w:color w:val="000000"/>
          <w:kern w:val="24"/>
          <w:sz w:val="16"/>
          <w:szCs w:val="16"/>
          <w:lang w:eastAsia="lv-LV"/>
        </w:rPr>
        <w:t xml:space="preserve"> asociāciju “Startin.lv”, izstrādāts </w:t>
      </w:r>
      <w:r w:rsidRPr="005565F8">
        <w:rPr>
          <w:rFonts w:ascii="Calibri Light" w:eastAsia="Verdana" w:hAnsi="Calibri Light"/>
          <w:i/>
          <w:color w:val="000000"/>
          <w:kern w:val="24"/>
          <w:sz w:val="16"/>
          <w:szCs w:val="16"/>
          <w:lang w:eastAsia="lv-LV"/>
        </w:rPr>
        <w:t xml:space="preserve">Rīcības plāns </w:t>
      </w:r>
      <w:r w:rsidRPr="005565F8">
        <w:rPr>
          <w:rFonts w:ascii="Calibri Light" w:eastAsia="Verdana" w:hAnsi="Calibri Light"/>
          <w:i/>
          <w:color w:val="000000"/>
          <w:kern w:val="24"/>
          <w:sz w:val="16"/>
          <w:szCs w:val="16"/>
          <w:lang w:eastAsia="lv-LV"/>
        </w:rPr>
        <w:t>jaunuzņēmumu</w:t>
      </w:r>
      <w:r w:rsidRPr="005565F8">
        <w:rPr>
          <w:rFonts w:ascii="Calibri Light" w:eastAsia="Verdana" w:hAnsi="Calibri Light"/>
          <w:i/>
          <w:color w:val="000000"/>
          <w:kern w:val="24"/>
          <w:sz w:val="16"/>
          <w:szCs w:val="16"/>
          <w:lang w:eastAsia="lv-LV"/>
        </w:rPr>
        <w:t xml:space="preserve"> ekosistēmas attīstībai</w:t>
      </w:r>
      <w:r w:rsidRPr="005565F8">
        <w:rPr>
          <w:rFonts w:ascii="Calibri Light" w:eastAsia="Verdana" w:hAnsi="Calibri Light"/>
          <w:color w:val="000000"/>
          <w:kern w:val="24"/>
          <w:sz w:val="16"/>
          <w:szCs w:val="16"/>
          <w:lang w:eastAsia="lv-LV"/>
        </w:rPr>
        <w:t xml:space="preserve">. 2017.gadā spēkā stājušies </w:t>
      </w:r>
      <w:r w:rsidRPr="005565F8">
        <w:rPr>
          <w:rFonts w:ascii="Calibri Light" w:eastAsia="Verdana" w:hAnsi="Calibri Light"/>
          <w:i/>
          <w:color w:val="000000"/>
          <w:kern w:val="24"/>
          <w:sz w:val="16"/>
          <w:szCs w:val="16"/>
          <w:lang w:eastAsia="lv-LV"/>
        </w:rPr>
        <w:t>Grozījumi Imigrācijas likumā</w:t>
      </w:r>
      <w:r w:rsidRPr="005565F8">
        <w:rPr>
          <w:rFonts w:ascii="Calibri Light" w:eastAsia="Verdana" w:hAnsi="Calibri Light"/>
          <w:color w:val="000000"/>
          <w:kern w:val="24"/>
          <w:sz w:val="16"/>
          <w:szCs w:val="16"/>
          <w:lang w:eastAsia="lv-LV"/>
        </w:rPr>
        <w:t xml:space="preserve">, kas ļauj </w:t>
      </w:r>
      <w:r w:rsidRPr="005565F8">
        <w:rPr>
          <w:rFonts w:ascii="Calibri Light" w:eastAsia="Verdana" w:hAnsi="Calibri Light"/>
          <w:color w:val="000000"/>
          <w:kern w:val="24"/>
          <w:sz w:val="16"/>
          <w:szCs w:val="16"/>
          <w:lang w:eastAsia="lv-LV"/>
        </w:rPr>
        <w:t>jaunuzņēmumiem</w:t>
      </w:r>
      <w:r w:rsidRPr="005565F8">
        <w:rPr>
          <w:rFonts w:ascii="Calibri Light" w:eastAsia="Verdana" w:hAnsi="Calibri Light"/>
          <w:color w:val="000000"/>
          <w:kern w:val="24"/>
          <w:sz w:val="16"/>
          <w:szCs w:val="16"/>
          <w:lang w:eastAsia="lv-LV"/>
        </w:rPr>
        <w:t xml:space="preserve"> piesaistīt augsti kvalificētus speciālistus no trešajām valstīm, paredzot īpašu </w:t>
      </w:r>
      <w:r w:rsidRPr="005565F8">
        <w:rPr>
          <w:rFonts w:ascii="Calibri Light" w:eastAsia="Verdana" w:hAnsi="Calibri Light"/>
          <w:color w:val="000000"/>
          <w:kern w:val="24"/>
          <w:sz w:val="16"/>
          <w:szCs w:val="16"/>
          <w:lang w:eastAsia="lv-LV"/>
        </w:rPr>
        <w:t>termiņuzturēšanās</w:t>
      </w:r>
      <w:r w:rsidRPr="005565F8">
        <w:rPr>
          <w:rFonts w:ascii="Calibri Light" w:eastAsia="Verdana" w:hAnsi="Calibri Light"/>
          <w:color w:val="000000"/>
          <w:kern w:val="24"/>
          <w:sz w:val="16"/>
          <w:szCs w:val="16"/>
          <w:lang w:eastAsia="lv-LV"/>
        </w:rPr>
        <w:t xml:space="preserve"> atļauju </w:t>
      </w:r>
      <w:r w:rsidRPr="005565F8">
        <w:rPr>
          <w:rFonts w:ascii="Calibri Light" w:eastAsia="Verdana" w:hAnsi="Calibri Light"/>
          <w:color w:val="000000"/>
          <w:kern w:val="24"/>
          <w:sz w:val="16"/>
          <w:szCs w:val="16"/>
          <w:lang w:eastAsia="lv-LV"/>
        </w:rPr>
        <w:t>jaunuzņēmumu</w:t>
      </w:r>
      <w:r w:rsidRPr="005565F8">
        <w:rPr>
          <w:rFonts w:ascii="Calibri Light" w:eastAsia="Verdana" w:hAnsi="Calibri Light"/>
          <w:color w:val="000000"/>
          <w:kern w:val="24"/>
          <w:sz w:val="16"/>
          <w:szCs w:val="16"/>
          <w:lang w:eastAsia="lv-LV"/>
        </w:rPr>
        <w:t xml:space="preserve"> dibinātājiem. Tāpat izstrādāti </w:t>
      </w:r>
      <w:r w:rsidRPr="005565F8">
        <w:rPr>
          <w:rFonts w:ascii="Calibri Light" w:eastAsia="Verdana" w:hAnsi="Calibri Light"/>
          <w:i/>
          <w:color w:val="000000"/>
          <w:kern w:val="24"/>
          <w:sz w:val="16"/>
          <w:szCs w:val="16"/>
          <w:lang w:eastAsia="lv-LV"/>
        </w:rPr>
        <w:t xml:space="preserve">Grozījumi </w:t>
      </w:r>
      <w:r w:rsidRPr="005565F8">
        <w:rPr>
          <w:rFonts w:ascii="Calibri Light" w:eastAsia="Verdana" w:hAnsi="Calibri Light"/>
          <w:i/>
          <w:color w:val="000000"/>
          <w:kern w:val="24"/>
          <w:sz w:val="16"/>
          <w:szCs w:val="16"/>
          <w:lang w:eastAsia="lv-LV"/>
        </w:rPr>
        <w:t>Jaunuzņēmumu</w:t>
      </w:r>
      <w:r w:rsidRPr="005565F8">
        <w:rPr>
          <w:rFonts w:ascii="Calibri Light" w:eastAsia="Verdana" w:hAnsi="Calibri Light"/>
          <w:i/>
          <w:color w:val="000000"/>
          <w:kern w:val="24"/>
          <w:sz w:val="16"/>
          <w:szCs w:val="16"/>
          <w:lang w:eastAsia="lv-LV"/>
        </w:rPr>
        <w:t xml:space="preserve"> darbības atbalsta  likumā</w:t>
      </w:r>
      <w:r w:rsidRPr="005565F8">
        <w:rPr>
          <w:rFonts w:ascii="Calibri Light" w:eastAsia="Verdana" w:hAnsi="Calibri Light"/>
          <w:color w:val="000000"/>
          <w:kern w:val="24"/>
          <w:sz w:val="16"/>
          <w:szCs w:val="16"/>
          <w:lang w:eastAsia="lv-LV"/>
        </w:rPr>
        <w:t xml:space="preserve">, kas būtiski paplašinās likuma tvērumu, ļaujot uz pieejamo atbalstu nodokļu atlaižu veidā un augsti kvalificētu darbinieku piesaistei pretendēt plašākam </w:t>
      </w:r>
      <w:r w:rsidRPr="005565F8">
        <w:rPr>
          <w:rFonts w:ascii="Calibri Light" w:eastAsia="Verdana" w:hAnsi="Calibri Light"/>
          <w:color w:val="000000"/>
          <w:kern w:val="24"/>
          <w:sz w:val="16"/>
          <w:szCs w:val="16"/>
          <w:lang w:eastAsia="lv-LV"/>
        </w:rPr>
        <w:t>jaunuzņēmumu</w:t>
      </w:r>
      <w:r w:rsidRPr="005565F8">
        <w:rPr>
          <w:rFonts w:ascii="Calibri Light" w:eastAsia="Verdana" w:hAnsi="Calibri Light"/>
          <w:color w:val="000000"/>
          <w:kern w:val="24"/>
          <w:sz w:val="16"/>
          <w:szCs w:val="16"/>
          <w:lang w:eastAsia="lv-LV"/>
        </w:rPr>
        <w:t xml:space="preserve"> lokam. Pilnveidots tiesiskais regulējums, kas atbalsta inovatīvu uzņēmumu rašanos Latvijā tādās jomās kā </w:t>
      </w:r>
      <w:r w:rsidRPr="005565F8">
        <w:rPr>
          <w:rFonts w:ascii="Calibri Light" w:eastAsia="Verdana" w:hAnsi="Calibri Light"/>
          <w:color w:val="000000"/>
          <w:kern w:val="24"/>
          <w:sz w:val="16"/>
          <w:szCs w:val="16"/>
          <w:lang w:eastAsia="lv-LV"/>
        </w:rPr>
        <w:t>kopbraukšana</w:t>
      </w:r>
      <w:r w:rsidRPr="005565F8">
        <w:rPr>
          <w:rFonts w:ascii="Calibri Light" w:eastAsia="Verdana" w:hAnsi="Calibri Light"/>
          <w:color w:val="000000"/>
          <w:kern w:val="24"/>
          <w:sz w:val="16"/>
          <w:szCs w:val="16"/>
          <w:lang w:eastAsia="lv-LV"/>
        </w:rPr>
        <w:t xml:space="preserve"> un </w:t>
      </w:r>
      <w:r w:rsidRPr="005565F8">
        <w:rPr>
          <w:rFonts w:ascii="Calibri Light" w:eastAsia="Verdana" w:hAnsi="Calibri Light"/>
          <w:color w:val="000000"/>
          <w:kern w:val="24"/>
          <w:sz w:val="16"/>
          <w:szCs w:val="16"/>
          <w:lang w:eastAsia="lv-LV"/>
        </w:rPr>
        <w:t>kopfinansēšana</w:t>
      </w:r>
      <w:r w:rsidRPr="005565F8">
        <w:rPr>
          <w:rFonts w:ascii="Calibri Light" w:eastAsia="Verdana" w:hAnsi="Calibri Light"/>
          <w:color w:val="000000"/>
          <w:kern w:val="24"/>
          <w:sz w:val="16"/>
          <w:szCs w:val="16"/>
          <w:lang w:eastAsia="lv-LV"/>
        </w:rPr>
        <w:t xml:space="preserve">. Strādāts pie esošo atbalsta instrumentu pilnveides iespējām esošajās valsts atbalsta programmās. 2018.gadā </w:t>
      </w:r>
      <w:r w:rsidRPr="005565F8">
        <w:rPr>
          <w:rFonts w:ascii="Calibri Light" w:eastAsia="Verdana" w:hAnsi="Calibri Light"/>
          <w:color w:val="000000"/>
          <w:kern w:val="24"/>
          <w:sz w:val="16"/>
          <w:szCs w:val="16"/>
          <w:lang w:eastAsia="lv-LV"/>
        </w:rPr>
        <w:t>jaunuzņēmumiem</w:t>
      </w:r>
      <w:r w:rsidRPr="005565F8">
        <w:rPr>
          <w:rFonts w:ascii="Calibri Light" w:eastAsia="Verdana" w:hAnsi="Calibri Light"/>
          <w:color w:val="000000"/>
          <w:kern w:val="24"/>
          <w:sz w:val="16"/>
          <w:szCs w:val="16"/>
          <w:lang w:eastAsia="lv-LV"/>
        </w:rPr>
        <w:t xml:space="preserve"> Latvijā būs pieejams riska kapitāla finansējums 2 sākuma un 2 izaugsmes riska kapitāla fondos ar publisko līdzfinansējumu 60 milj. EUR, kā arī 3 akcelerācijas fondi ar publisko līdzfinansējumu 15 milj. EUR;</w:t>
      </w:r>
    </w:p>
    <w:p w:rsidR="00577A33" w:rsidRPr="00D434C9" w:rsidP="00BF69C0" w14:paraId="2EFE698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4"/>
          <w:szCs w:val="16"/>
          <w:lang w:eastAsia="lv-LV"/>
        </w:rPr>
      </w:pPr>
    </w:p>
    <w:p w:rsidR="00D434C9" w14:paraId="4007EEB0" w14:textId="77777777">
      <w:pPr>
        <w:spacing w:after="0"/>
        <w:rPr>
          <w:rFonts w:ascii="Calibri Light" w:eastAsia="Verdana" w:hAnsi="Calibri Light"/>
          <w:color w:val="000000"/>
          <w:kern w:val="24"/>
          <w:sz w:val="16"/>
          <w:szCs w:val="16"/>
          <w:lang w:eastAsia="lv-LV"/>
        </w:rPr>
      </w:pPr>
      <w:r>
        <w:rPr>
          <w:rFonts w:ascii="Calibri Light" w:eastAsia="Verdana" w:hAnsi="Calibri Light"/>
          <w:color w:val="000000"/>
          <w:kern w:val="24"/>
          <w:sz w:val="16"/>
          <w:szCs w:val="16"/>
          <w:lang w:eastAsia="lv-LV"/>
        </w:rPr>
        <w:br w:type="page"/>
      </w:r>
    </w:p>
    <w:p w:rsidR="00D434C9" w:rsidRPr="005565F8" w:rsidP="00D434C9" w14:paraId="205C4459"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b/>
          <w:sz w:val="4"/>
          <w:szCs w:val="16"/>
        </w:rPr>
      </w:pPr>
    </w:p>
    <w:p w:rsidR="00D434C9" w:rsidRPr="005565F8" w:rsidP="00D434C9" w14:paraId="0EB6D2CB" w14:textId="1318C516">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3.3.ielikum</w:t>
      </w:r>
      <w:r>
        <w:rPr>
          <w:rFonts w:ascii="Calibri Light" w:hAnsi="Calibri Light"/>
          <w:sz w:val="16"/>
          <w:szCs w:val="16"/>
        </w:rPr>
        <w:t>a turpinājum</w:t>
      </w:r>
      <w:r w:rsidRPr="005565F8">
        <w:rPr>
          <w:rFonts w:ascii="Calibri Light" w:hAnsi="Calibri Light"/>
          <w:sz w:val="16"/>
          <w:szCs w:val="16"/>
        </w:rPr>
        <w:t>s</w:t>
      </w:r>
    </w:p>
    <w:p w:rsidR="00577A33" w:rsidRPr="005565F8" w:rsidP="00BF69C0" w14:paraId="083D532E" w14:textId="396DB00E">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 xml:space="preserve">tika pilnveidots gada pārskatu sagatavošanas process, piemēram, paplašināts sabiedrību loks, kurām ir jāsagatavo vai ir iespēja sagatavot gada pārskatu un/vai konsolidēto gada pārskatu saskaņā ar Starptautiskajiem grāmatvedības standartiem (SGS) . Tāpat tika noteiktas atvieglotas prasības finanšu pārskatu sagatavošanā strukturizētā tabulu veidā visām </w:t>
      </w:r>
      <w:r w:rsidRPr="005565F8">
        <w:rPr>
          <w:rFonts w:ascii="Calibri Light" w:eastAsia="Verdana" w:hAnsi="Calibri Light"/>
          <w:color w:val="000000"/>
          <w:kern w:val="24"/>
          <w:sz w:val="16"/>
          <w:szCs w:val="16"/>
          <w:lang w:eastAsia="lv-LV"/>
        </w:rPr>
        <w:t>mikrosabiedrībām</w:t>
      </w:r>
      <w:r w:rsidRPr="005565F8">
        <w:rPr>
          <w:rFonts w:ascii="Calibri Light" w:eastAsia="Verdana" w:hAnsi="Calibri Light"/>
          <w:color w:val="000000"/>
          <w:kern w:val="24"/>
          <w:sz w:val="16"/>
          <w:szCs w:val="16"/>
          <w:lang w:eastAsia="lv-LV"/>
        </w:rPr>
        <w:t>, mazām sabiedrībām, vidējām sabiedrībām. Saglabāta iespēja visām sabiedrībām neatkarīgi no to lieluma iesniegt VID EDS finanšu pārskata pielikumu skenētā veidā vēl arī par 2017.pārskata gadu;</w:t>
      </w:r>
    </w:p>
    <w:p w:rsidR="00577A33" w:rsidRPr="005565F8" w:rsidP="00BF69C0" w14:paraId="33ACD152"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 xml:space="preserve">īstenoti vairāki EDS uzlabojumi, piemēram, nodrošināta informācija par prognozēto mēneša neapliekamā minimuma apmēru, integrēts </w:t>
      </w:r>
      <w:r w:rsidRPr="005565F8">
        <w:rPr>
          <w:rFonts w:ascii="Calibri Light" w:eastAsia="Verdana" w:hAnsi="Calibri Light"/>
          <w:color w:val="000000"/>
          <w:kern w:val="24"/>
          <w:sz w:val="16"/>
          <w:szCs w:val="16"/>
          <w:lang w:eastAsia="lv-LV"/>
        </w:rPr>
        <w:t>mašīntulkošanas</w:t>
      </w:r>
      <w:r w:rsidRPr="005565F8">
        <w:rPr>
          <w:rFonts w:ascii="Calibri Light" w:eastAsia="Verdana" w:hAnsi="Calibri Light"/>
          <w:color w:val="000000"/>
          <w:kern w:val="24"/>
          <w:sz w:val="16"/>
          <w:szCs w:val="16"/>
          <w:lang w:eastAsia="lv-LV"/>
        </w:rPr>
        <w:t xml:space="preserve"> serviss ar iespējām attēlot EDS </w:t>
      </w:r>
      <w:r w:rsidRPr="005565F8">
        <w:rPr>
          <w:rFonts w:ascii="Calibri Light" w:eastAsia="Verdana" w:hAnsi="Calibri Light"/>
          <w:color w:val="000000"/>
          <w:kern w:val="24"/>
          <w:sz w:val="16"/>
          <w:szCs w:val="16"/>
          <w:lang w:eastAsia="lv-LV"/>
        </w:rPr>
        <w:t>saskarni</w:t>
      </w:r>
      <w:r w:rsidRPr="005565F8">
        <w:rPr>
          <w:rFonts w:ascii="Calibri Light" w:eastAsia="Verdana" w:hAnsi="Calibri Light"/>
          <w:color w:val="000000"/>
          <w:kern w:val="24"/>
          <w:sz w:val="16"/>
          <w:szCs w:val="16"/>
          <w:lang w:eastAsia="lv-LV"/>
        </w:rPr>
        <w:t xml:space="preserve"> angļu un krievu valodā, ieviests risinājums, kas nodrošina muitas klientiem tiešu piekļuvi Eiropas informācijas sistēmām;</w:t>
      </w:r>
    </w:p>
    <w:p w:rsidR="00577A33" w:rsidRPr="005565F8" w:rsidP="00BF69C0" w14:paraId="07E706D1"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turpināta Elektroniskās muitas datu apstrādes sistēmas (EMDAS) pilnveidošana, piemēram, nodrošināta sasaiste ar EK centrālo Muitas lēmumu sistēmu, nodrošinot visu Savienības Muitas kodeksā paredzēto muitas atļauju un apliecību elektronisku pieteikšanu un saņemšanu, ieviesta  eksporta deklarāciju labojumu un anulēšanas pieprasījumu elektroniska iesniegšana u.c.</w:t>
      </w:r>
    </w:p>
    <w:p w:rsidR="00577A33" w:rsidRPr="005565F8" w:rsidP="00BF69C0" w14:paraId="44FD331A"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 xml:space="preserve">2017.gada 1.janvārī stājās spēkā </w:t>
      </w:r>
      <w:r w:rsidRPr="005565F8">
        <w:rPr>
          <w:rFonts w:ascii="Calibri Light" w:eastAsia="Verdana" w:hAnsi="Calibri Light"/>
          <w:i/>
          <w:color w:val="000000"/>
          <w:kern w:val="24"/>
          <w:sz w:val="16"/>
          <w:szCs w:val="16"/>
          <w:lang w:eastAsia="lv-LV"/>
        </w:rPr>
        <w:t>Grozījumi Civillikumā</w:t>
      </w:r>
      <w:r w:rsidRPr="005565F8">
        <w:rPr>
          <w:rFonts w:ascii="Calibri Light" w:eastAsia="Verdana" w:hAnsi="Calibri Light"/>
          <w:color w:val="000000"/>
          <w:kern w:val="24"/>
          <w:sz w:val="16"/>
          <w:szCs w:val="16"/>
          <w:lang w:eastAsia="lv-LV"/>
        </w:rPr>
        <w:t xml:space="preserve"> un citos likumos, kas ievieš apbūves tiesību un izslēdz iespēju būvēt ēkas kā patstāvīgus īpašuma objektus uz nomas līguma pamata. Apbūves tiesības regulējums noteic, kad ir pieļaujams būvēt ēkas uz svešas zemes, kādas ir zemes īpašnieka un apbūves tiesīgā attiecības utt. 2018.gadā tiek turpināts darbs pie likumprojekta, lai izbeigtu sarežģītās piespiedu dalītā īpašuma attiecības starp daudzdzīvokļu privatizēto dzīvokļu īpašniekiem un zemes īpašniekiem;</w:t>
      </w:r>
    </w:p>
    <w:p w:rsidR="00577A33" w:rsidRPr="005565F8" w:rsidP="00BF69C0" w14:paraId="409E489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 xml:space="preserve">2017.gada 1.jūlijā stājušies spēkā </w:t>
      </w:r>
      <w:r w:rsidRPr="005565F8">
        <w:rPr>
          <w:rFonts w:ascii="Calibri Light" w:eastAsia="Verdana" w:hAnsi="Calibri Light"/>
          <w:i/>
          <w:color w:val="000000"/>
          <w:kern w:val="24"/>
          <w:sz w:val="16"/>
          <w:szCs w:val="16"/>
          <w:lang w:eastAsia="lv-LV"/>
        </w:rPr>
        <w:t>Grozījumi Civilprocesa likumā</w:t>
      </w:r>
      <w:r w:rsidRPr="005565F8">
        <w:rPr>
          <w:rFonts w:ascii="Calibri Light" w:eastAsia="Verdana" w:hAnsi="Calibri Light"/>
          <w:color w:val="000000"/>
          <w:kern w:val="24"/>
          <w:sz w:val="16"/>
          <w:szCs w:val="16"/>
          <w:lang w:eastAsia="lv-LV"/>
        </w:rPr>
        <w:t>, kas noteic pienākumu pārstāvjiem, kuru dzīvesvieta vai norādītā adrese atrodas ārvalstīs, saziņai ar tiesu norādīt elektroniskā pasta adresi vai paziņot par savas dalības reģistrēšanu tiešsaistes sistēmā</w:t>
      </w:r>
      <w:r w:rsidRPr="005565F8" w:rsidR="00891203">
        <w:rPr>
          <w:rFonts w:ascii="Calibri Light" w:eastAsia="Verdana" w:hAnsi="Calibri Light"/>
          <w:color w:val="000000"/>
          <w:kern w:val="24"/>
          <w:sz w:val="16"/>
          <w:szCs w:val="16"/>
          <w:lang w:eastAsia="lv-LV"/>
        </w:rPr>
        <w:t xml:space="preserve"> </w:t>
      </w:r>
      <w:r w:rsidRPr="005565F8" w:rsidR="00891203">
        <w:rPr>
          <w:rFonts w:asciiTheme="minorHAnsi" w:hAnsiTheme="minorHAnsi"/>
          <w:sz w:val="16"/>
          <w:szCs w:val="16"/>
        </w:rPr>
        <w:t>(grozījumu mērķi</w:t>
      </w:r>
      <w:r w:rsidRPr="005565F8" w:rsidR="00891203">
        <w:rPr>
          <w:rFonts w:eastAsia="Verdana" w:asciiTheme="minorHAnsi" w:hAnsiTheme="minorHAnsi"/>
          <w:color w:val="000000"/>
          <w:kern w:val="24"/>
          <w:sz w:val="16"/>
          <w:szCs w:val="16"/>
          <w:lang w:eastAsia="lv-LV"/>
        </w:rPr>
        <w:t xml:space="preserve">s ir turpināt vienkāršot un </w:t>
      </w:r>
      <w:r w:rsidRPr="005565F8" w:rsidR="00891203">
        <w:rPr>
          <w:rFonts w:eastAsia="Verdana" w:asciiTheme="minorHAnsi" w:hAnsiTheme="minorHAnsi"/>
          <w:color w:val="000000"/>
          <w:kern w:val="24"/>
          <w:sz w:val="16"/>
          <w:szCs w:val="16"/>
          <w:lang w:eastAsia="lv-LV"/>
        </w:rPr>
        <w:t>efektīvizēt</w:t>
      </w:r>
      <w:r w:rsidRPr="005565F8" w:rsidR="00891203">
        <w:rPr>
          <w:rFonts w:eastAsia="Verdana" w:asciiTheme="minorHAnsi" w:hAnsiTheme="minorHAnsi"/>
          <w:color w:val="000000"/>
          <w:kern w:val="24"/>
          <w:sz w:val="16"/>
          <w:szCs w:val="16"/>
          <w:lang w:eastAsia="lv-LV"/>
        </w:rPr>
        <w:t xml:space="preserve"> tiesas dokumentu apriti, saziņu)</w:t>
      </w:r>
      <w:r w:rsidRPr="005565F8">
        <w:rPr>
          <w:rFonts w:ascii="Calibri Light" w:eastAsia="Verdana" w:hAnsi="Calibri Light"/>
          <w:color w:val="000000"/>
          <w:kern w:val="24"/>
          <w:sz w:val="16"/>
          <w:szCs w:val="16"/>
          <w:lang w:eastAsia="lv-LV"/>
        </w:rPr>
        <w:t xml:space="preserve">. 2018.gada 24.janvārī iesniegti Saeimā </w:t>
      </w:r>
      <w:r w:rsidRPr="005565F8">
        <w:rPr>
          <w:rFonts w:ascii="Calibri Light" w:eastAsia="Verdana" w:hAnsi="Calibri Light"/>
          <w:i/>
          <w:color w:val="000000"/>
          <w:kern w:val="24"/>
          <w:sz w:val="16"/>
          <w:szCs w:val="16"/>
          <w:lang w:eastAsia="lv-LV"/>
        </w:rPr>
        <w:t>Grozījumi Kriminālprocesa likumā</w:t>
      </w:r>
      <w:r w:rsidRPr="005565F8">
        <w:rPr>
          <w:rFonts w:ascii="Calibri Light" w:eastAsia="Verdana" w:hAnsi="Calibri Light"/>
          <w:color w:val="000000"/>
          <w:kern w:val="24"/>
          <w:sz w:val="16"/>
          <w:szCs w:val="16"/>
          <w:lang w:eastAsia="lv-LV"/>
        </w:rPr>
        <w:t>, kas paredz elektroniskās paziņošanas, izmantojot e-adresi, prioritātes principa, ieviešanu kriminālprocesā, tādējādi procesa virzītājam būs pienākums prioritāri izmantot e-adreses risinājumu, ja lietas dalībnieks būs paziņojis procesa virzītājam, ka vēlas sazināties, izmantojot elektronisko adresi;</w:t>
      </w:r>
    </w:p>
    <w:p w:rsidR="00891203" w:rsidRPr="005565F8" w:rsidP="00891203" w14:paraId="13544C2F"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jc w:val="both"/>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 xml:space="preserve">tiek īstenots ES fondu projekts </w:t>
      </w:r>
      <w:r w:rsidRPr="005565F8">
        <w:rPr>
          <w:rFonts w:ascii="Calibri Light" w:eastAsia="Verdana" w:hAnsi="Calibri Light"/>
          <w:i/>
          <w:color w:val="000000"/>
          <w:kern w:val="24"/>
          <w:sz w:val="16"/>
          <w:szCs w:val="16"/>
          <w:lang w:eastAsia="lv-LV"/>
        </w:rPr>
        <w:t>“Justīcija attīstībai”</w:t>
      </w:r>
      <w:r w:rsidRPr="005565F8">
        <w:rPr>
          <w:rFonts w:ascii="Calibri Light" w:eastAsia="Verdana" w:hAnsi="Calibri Light"/>
          <w:color w:val="000000"/>
          <w:kern w:val="24"/>
          <w:sz w:val="16"/>
          <w:szCs w:val="16"/>
          <w:lang w:eastAsia="lv-LV"/>
        </w:rPr>
        <w:t xml:space="preserve"> ar mērķi  paaugstināt tiesu un </w:t>
      </w:r>
      <w:r w:rsidRPr="005565F8">
        <w:rPr>
          <w:rFonts w:ascii="Calibri Light" w:eastAsia="Verdana" w:hAnsi="Calibri Light"/>
          <w:color w:val="000000"/>
          <w:kern w:val="24"/>
          <w:sz w:val="16"/>
          <w:szCs w:val="16"/>
          <w:lang w:eastAsia="lv-LV"/>
        </w:rPr>
        <w:t>tiesībsargājošo</w:t>
      </w:r>
      <w:r w:rsidRPr="005565F8">
        <w:rPr>
          <w:rFonts w:ascii="Calibri Light" w:eastAsia="Verdana" w:hAnsi="Calibri Light"/>
          <w:color w:val="000000"/>
          <w:kern w:val="24"/>
          <w:sz w:val="16"/>
          <w:szCs w:val="16"/>
          <w:lang w:eastAsia="lv-LV"/>
        </w:rPr>
        <w:t xml:space="preserve"> institūciju personāla kompetenci komercdarbības vides uzlabošanas sekmēšanai. Projekta ietvaros </w:t>
      </w:r>
      <w:r w:rsidRPr="005565F8" w:rsidR="00CA45EE">
        <w:rPr>
          <w:rFonts w:ascii="Calibri Light" w:eastAsia="Verdana" w:hAnsi="Calibri Light"/>
          <w:color w:val="000000"/>
          <w:kern w:val="24"/>
          <w:sz w:val="16"/>
          <w:szCs w:val="16"/>
          <w:lang w:eastAsia="lv-LV"/>
        </w:rPr>
        <w:t>tiek īstenots</w:t>
      </w:r>
      <w:r w:rsidRPr="005565F8">
        <w:rPr>
          <w:rFonts w:ascii="Calibri Light" w:eastAsia="Verdana" w:hAnsi="Calibri Light"/>
          <w:color w:val="000000"/>
          <w:kern w:val="24"/>
          <w:sz w:val="16"/>
          <w:szCs w:val="16"/>
          <w:lang w:eastAsia="lv-LV"/>
        </w:rPr>
        <w:t xml:space="preserve"> Latvijas tieslietu sistēmas novērtējums</w:t>
      </w:r>
      <w:r w:rsidRPr="005565F8" w:rsidR="00D34DB1">
        <w:rPr>
          <w:rFonts w:ascii="Calibri Light" w:eastAsia="Verdana" w:hAnsi="Calibri Light"/>
          <w:color w:val="000000"/>
          <w:kern w:val="24"/>
          <w:sz w:val="16"/>
          <w:szCs w:val="16"/>
          <w:lang w:eastAsia="lv-LV"/>
        </w:rPr>
        <w:t>, kas</w:t>
      </w:r>
      <w:r w:rsidRPr="005565F8">
        <w:rPr>
          <w:rFonts w:ascii="Calibri Light" w:eastAsia="Verdana" w:hAnsi="Calibri Light"/>
          <w:color w:val="000000"/>
          <w:kern w:val="24"/>
          <w:sz w:val="16"/>
          <w:szCs w:val="16"/>
          <w:lang w:eastAsia="lv-LV"/>
        </w:rPr>
        <w:t xml:space="preserve"> kalpos par pamatu ilgtermiņa politikas plānošanas dokumentu izstrādei un normatīvo aktu iespējamiem grozījumiem. </w:t>
      </w:r>
      <w:r w:rsidRPr="005565F8">
        <w:rPr>
          <w:rFonts w:ascii="Calibri Light" w:eastAsia="Verdana" w:hAnsi="Calibri Light"/>
          <w:color w:val="000000"/>
          <w:kern w:val="24"/>
          <w:sz w:val="16"/>
          <w:szCs w:val="16"/>
          <w:lang w:eastAsia="lv-LV"/>
        </w:rPr>
        <w:t>Tāpat, cita starpā, projekta ietvaros</w:t>
      </w:r>
      <w:r w:rsidRPr="005565F8">
        <w:t xml:space="preserve"> </w:t>
      </w:r>
      <w:r w:rsidRPr="005565F8">
        <w:rPr>
          <w:rFonts w:ascii="Calibri Light" w:eastAsia="Verdana" w:hAnsi="Calibri Light"/>
          <w:color w:val="000000"/>
          <w:kern w:val="24"/>
          <w:sz w:val="16"/>
          <w:szCs w:val="16"/>
          <w:lang w:eastAsia="lv-LV"/>
        </w:rPr>
        <w:t>tiek īstenotas arī plašas mācību programmas, kā rezultātā tiks apmācītas vairāk nekā 11</w:t>
      </w:r>
      <w:r w:rsidRPr="005565F8" w:rsidR="00DE7B56">
        <w:rPr>
          <w:rFonts w:ascii="Calibri Light" w:eastAsia="Verdana" w:hAnsi="Calibri Light"/>
          <w:color w:val="000000"/>
          <w:kern w:val="24"/>
          <w:sz w:val="16"/>
          <w:szCs w:val="16"/>
          <w:lang w:eastAsia="lv-LV"/>
        </w:rPr>
        <w:t> </w:t>
      </w:r>
      <w:r w:rsidRPr="005565F8">
        <w:rPr>
          <w:rFonts w:ascii="Calibri Light" w:eastAsia="Verdana" w:hAnsi="Calibri Light"/>
          <w:color w:val="000000"/>
          <w:kern w:val="24"/>
          <w:sz w:val="16"/>
          <w:szCs w:val="16"/>
          <w:lang w:eastAsia="lv-LV"/>
        </w:rPr>
        <w:t>000</w:t>
      </w:r>
      <w:r w:rsidRPr="005565F8" w:rsidR="00DE7B56">
        <w:rPr>
          <w:rFonts w:ascii="Calibri Light" w:eastAsia="Verdana" w:hAnsi="Calibri Light"/>
          <w:color w:val="000000"/>
          <w:kern w:val="24"/>
          <w:sz w:val="16"/>
          <w:szCs w:val="16"/>
          <w:lang w:eastAsia="lv-LV"/>
        </w:rPr>
        <w:t xml:space="preserve"> </w:t>
      </w:r>
      <w:r w:rsidRPr="005565F8">
        <w:rPr>
          <w:rFonts w:ascii="Calibri Light" w:eastAsia="Verdana" w:hAnsi="Calibri Light"/>
          <w:color w:val="000000"/>
          <w:kern w:val="24"/>
          <w:sz w:val="16"/>
          <w:szCs w:val="16"/>
          <w:lang w:eastAsia="lv-LV"/>
        </w:rPr>
        <w:t xml:space="preserve">personas, kas sniegs nenovērtējamu ieguldījumu turpmākā tiesu darba kvalitātes uzlabošanā, </w:t>
      </w:r>
      <w:r w:rsidRPr="005565F8" w:rsidR="009130DB">
        <w:rPr>
          <w:rFonts w:ascii="Calibri Light" w:eastAsia="Verdana" w:hAnsi="Calibri Light"/>
          <w:color w:val="000000"/>
          <w:kern w:val="24"/>
          <w:sz w:val="16"/>
          <w:szCs w:val="16"/>
          <w:lang w:eastAsia="lv-LV"/>
        </w:rPr>
        <w:t>t.sk.</w:t>
      </w:r>
      <w:r w:rsidRPr="005565F8">
        <w:rPr>
          <w:rFonts w:ascii="Calibri Light" w:eastAsia="Verdana" w:hAnsi="Calibri Light"/>
          <w:color w:val="000000"/>
          <w:kern w:val="24"/>
          <w:sz w:val="16"/>
          <w:szCs w:val="16"/>
          <w:lang w:eastAsia="lv-LV"/>
        </w:rPr>
        <w:t xml:space="preserve"> veicinās sabiedrības uzticēšanos tiesu varai. Sadarbībā ar Eiropas Tiesību akadēmiju plānots apmācīt ap 2300 tiesnešu, tiesu darbinieku, izmeklētāju, prokuroru un ierēdņu par dažādām juridiskām tēmām. Projekta ietvaros apgūtais finansējums 2016. un 2017.gadā ir 2,5 milj. EUR, un tā īstenošana plānota līdz 2022.gadam;</w:t>
      </w:r>
    </w:p>
    <w:p w:rsidR="00577A33" w:rsidRPr="005565F8" w:rsidP="00BF69C0" w14:paraId="23FB73CE"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ieviests jauns e-pakalpojumu portāls https://manas.tiesas.lv/eTiesas/, kurā lietotājiem ērtā, pārskatāmā veidā vienkopus pieejami tiesu sniegtie e-pakalpojumi. Turpinās darbs pie nozīmēto tiesas sēžu monitoringa uzlabošanas;</w:t>
      </w:r>
    </w:p>
    <w:p w:rsidR="00577A33" w:rsidRPr="005565F8" w:rsidP="00BF69C0" w14:paraId="00965951"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 xml:space="preserve">2017.gada 28.novembrī MK apstiprināja priekšlikumus iekšējā administratīvā sloga starp iestādēm mazināšanai, kas paredz konkrētus uzdevumus savstarpējo pieprasījumu par finansēm un valsts budžetu, </w:t>
      </w:r>
      <w:r w:rsidRPr="005565F8">
        <w:rPr>
          <w:rFonts w:ascii="Calibri Light" w:eastAsia="Verdana" w:hAnsi="Calibri Light"/>
          <w:color w:val="000000"/>
          <w:kern w:val="24"/>
          <w:sz w:val="16"/>
          <w:szCs w:val="16"/>
          <w:lang w:eastAsia="lv-LV"/>
        </w:rPr>
        <w:t>personālvadības</w:t>
      </w:r>
      <w:r w:rsidRPr="005565F8">
        <w:rPr>
          <w:rFonts w:ascii="Calibri Light" w:eastAsia="Verdana" w:hAnsi="Calibri Light"/>
          <w:color w:val="000000"/>
          <w:kern w:val="24"/>
          <w:sz w:val="16"/>
          <w:szCs w:val="16"/>
          <w:lang w:eastAsia="lv-LV"/>
        </w:rPr>
        <w:t xml:space="preserve"> un statistiskas datiem vienkāršošanai un informatīvo ziņojumu skaita samazināšanai. Tas atbrīvos resursus iestādēm pamatfunkciju īstenošanai;</w:t>
      </w:r>
    </w:p>
    <w:p w:rsidR="00BF69C0" w:rsidP="00075259" w14:paraId="22ED23BD" w14:textId="74504D3C">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lai veicinātu un uzlabotu kapitāla piesaisti Latvijas tautsaimniecībā, 2017.gadā noslēdzās darbs pie akciju sabiedrību normatīvā regulējuma caurskatīšanas ar mērķi atvieglot kapitāla piesaisti sabiedrībai, kā arī stiprināt kapitāla devēju (obligacionāru) tiesību aizsardzību. Tāpat tiek pārskatīta kārtība, kādā akcijas piešķiramas sabiedrības darbiniekiem, tādējādi dodot sabiedrībai plašākas tiesības lemt par pasākumiem, kādus tā vēlas īstenot darbinieku motivēšanai.</w:t>
      </w:r>
    </w:p>
    <w:p w:rsidR="00D434C9" w:rsidRPr="00D434C9" w:rsidP="00075259" w14:paraId="47AFEB89"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tabs>
          <w:tab w:val="left" w:pos="284"/>
        </w:tabs>
        <w:spacing w:after="20"/>
        <w:ind w:left="284" w:hanging="284"/>
        <w:rPr>
          <w:rFonts w:ascii="Calibri Light" w:eastAsia="Verdana" w:hAnsi="Calibri Light"/>
          <w:color w:val="000000"/>
          <w:kern w:val="24"/>
          <w:sz w:val="4"/>
          <w:szCs w:val="16"/>
          <w:lang w:eastAsia="lv-LV"/>
        </w:rPr>
      </w:pPr>
    </w:p>
    <w:p w:rsidR="00577A33" w:rsidRPr="005565F8" w:rsidP="00577A33" w14:paraId="7E80BCAF" w14:textId="77777777"/>
    <w:p w:rsidR="001D2B89" w:rsidRPr="005565F8" w:rsidP="001D2B89" w14:paraId="2BD385AA"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Valsts pārvaldes modernizācija</w:t>
      </w:r>
    </w:p>
    <w:p w:rsidR="001D2B89" w:rsidRPr="005565F8" w:rsidP="001D2B89" w14:paraId="6CBBA532"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FM, VARAM, EM, VK/</w:t>
      </w:r>
    </w:p>
    <w:p w:rsidR="00577A33" w:rsidRPr="005565F8" w:rsidP="00B22046" w14:paraId="75BD5237"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ED0FCB" w:rsidRPr="005565F8" w:rsidP="00BF69C0" w14:paraId="7B080D46" w14:textId="77777777">
      <w:pPr>
        <w:spacing w:before="240"/>
        <w:rPr>
          <w:lang w:bidi="lo-LA"/>
        </w:rPr>
      </w:pPr>
      <w:r w:rsidRPr="005565F8">
        <w:rPr>
          <w:lang w:bidi="lo-LA"/>
        </w:rPr>
        <w:t xml:space="preserve">Mērķis </w:t>
      </w:r>
      <w:r w:rsidRPr="005565F8" w:rsidR="00577A33">
        <w:rPr>
          <w:lang w:bidi="lo-LA"/>
        </w:rPr>
        <w:t>–</w:t>
      </w:r>
      <w:r w:rsidRPr="005565F8">
        <w:rPr>
          <w:lang w:bidi="lo-LA"/>
        </w:rPr>
        <w:t xml:space="preserve"> veidot efektīvāku un ekonomiskāku valsts pārvaldi. Galvenie rīcības virzieni ir:</w:t>
      </w:r>
    </w:p>
    <w:p w:rsidR="00577A33" w:rsidRPr="005565F8" w:rsidP="009A65A4" w14:paraId="7EF23C06" w14:textId="77777777">
      <w:pPr>
        <w:numPr>
          <w:ilvl w:val="0"/>
          <w:numId w:val="1"/>
        </w:numPr>
        <w:spacing w:after="0"/>
        <w:ind w:left="284" w:hanging="284"/>
        <w:contextualSpacing/>
        <w:jc w:val="both"/>
      </w:pPr>
      <w:r w:rsidRPr="005565F8">
        <w:rPr>
          <w:b/>
        </w:rPr>
        <w:t>e-pārvaldes un e-pakalpojumu attīstība, vienas pieturas aģentūras princips</w:t>
      </w:r>
      <w:r w:rsidRPr="005565F8">
        <w:t>. Pasākumu mērķis ir padarīt efektīvākus valsts pārvaldes procesus, nodrošinot pieejamākus valsts pakalpojumus iedzīvotājiem un komersantiem.</w:t>
      </w:r>
    </w:p>
    <w:p w:rsidR="00C43808" w:rsidRPr="005565F8" w:rsidP="00C43808" w14:paraId="2DF5AD4A" w14:textId="161F5FE4">
      <w:pPr>
        <w:ind w:left="284"/>
      </w:pPr>
      <w:r w:rsidRPr="005565F8">
        <w:t>T</w:t>
      </w:r>
      <w:r w:rsidRPr="005565F8" w:rsidR="00577A33">
        <w:t xml:space="preserve">urpinās darbs pie vienoto klientu apkalpošanas centru izveides. </w:t>
      </w:r>
      <w:r w:rsidRPr="005565F8" w:rsidR="0093032A">
        <w:t>N</w:t>
      </w:r>
      <w:r w:rsidRPr="005565F8" w:rsidR="003C7137">
        <w:t>o 2015.</w:t>
      </w:r>
      <w:r w:rsidRPr="005565F8" w:rsidR="0093032A">
        <w:t xml:space="preserve"> līdz </w:t>
      </w:r>
      <w:r w:rsidRPr="005565F8" w:rsidR="00577A33">
        <w:t>2017.</w:t>
      </w:r>
      <w:r w:rsidRPr="005565F8" w:rsidR="00DE5EE6">
        <w:t>gada</w:t>
      </w:r>
      <w:r w:rsidRPr="005565F8" w:rsidR="003C7137">
        <w:t xml:space="preserve">m </w:t>
      </w:r>
      <w:r w:rsidRPr="005565F8" w:rsidR="00577A33">
        <w:t xml:space="preserve">izveidoti </w:t>
      </w:r>
      <w:r w:rsidRPr="005565F8" w:rsidR="00DE5EE6">
        <w:t>78</w:t>
      </w:r>
      <w:r w:rsidRPr="005565F8" w:rsidR="00577A33">
        <w:t xml:space="preserve"> centri. Pilnībā darbus ir plānots pabeigt līdz 2020.gadam</w:t>
      </w:r>
      <w:r w:rsidRPr="005565F8">
        <w:t>.</w:t>
      </w:r>
      <w:r w:rsidRPr="005565F8" w:rsidR="00577A33">
        <w:br/>
      </w:r>
      <w:r w:rsidRPr="005565F8">
        <w:t>Atbilstoši</w:t>
      </w:r>
      <w:r w:rsidRPr="005565F8" w:rsidR="00577A33">
        <w:t xml:space="preserve"> </w:t>
      </w:r>
      <w:r w:rsidRPr="005565F8" w:rsidR="00577A33">
        <w:rPr>
          <w:i/>
        </w:rPr>
        <w:t>Grozījum</w:t>
      </w:r>
      <w:r w:rsidRPr="005565F8">
        <w:rPr>
          <w:i/>
        </w:rPr>
        <w:t>iem</w:t>
      </w:r>
      <w:r w:rsidRPr="005565F8" w:rsidR="00577A33">
        <w:rPr>
          <w:i/>
        </w:rPr>
        <w:t xml:space="preserve"> </w:t>
      </w:r>
      <w:r w:rsidRPr="005565F8">
        <w:rPr>
          <w:i/>
        </w:rPr>
        <w:t>v</w:t>
      </w:r>
      <w:r w:rsidRPr="005565F8" w:rsidR="00577A33">
        <w:rPr>
          <w:i/>
        </w:rPr>
        <w:t>alsts pārvaldes iekārtas likumā</w:t>
      </w:r>
      <w:r w:rsidRPr="005565F8" w:rsidR="00577A33">
        <w:t>, kas vērsti uz iedzīvotāju un uzņēmēju vajadzībām atbilstošu valsts un pašvaldību p</w:t>
      </w:r>
      <w:r w:rsidRPr="005565F8" w:rsidR="00606AE2">
        <w:t>akalpojumu izveidi un sniegšanu</w:t>
      </w:r>
      <w:r w:rsidRPr="005565F8" w:rsidR="00DE5EE6">
        <w:t xml:space="preserve">, </w:t>
      </w:r>
      <w:r w:rsidRPr="005565F8" w:rsidR="00577A33">
        <w:t>2017.gada 4.jūlijā MK pieņēm</w:t>
      </w:r>
      <w:r w:rsidR="00D434C9">
        <w:t>a</w:t>
      </w:r>
      <w:r w:rsidRPr="005565F8" w:rsidR="00577A33">
        <w:t xml:space="preserve"> četrus savstarpēji saistītus noteikumus, kas reglamentē valsts pārvaldes </w:t>
      </w:r>
      <w:r w:rsidRPr="005565F8" w:rsidR="00577A33">
        <w:t>pakalpojumus, t.sk. e-pakalpojumus, un vienas pieturas aģentūras principa lietošanu</w:t>
      </w:r>
      <w:r>
        <w:rPr>
          <w:rStyle w:val="FootnoteReference"/>
        </w:rPr>
        <w:footnoteReference w:id="25"/>
      </w:r>
      <w:r w:rsidRPr="005565F8" w:rsidR="00577A33">
        <w:t>.</w:t>
      </w:r>
      <w:r w:rsidRPr="005565F8" w:rsidR="00C71E56">
        <w:br/>
      </w:r>
      <w:r w:rsidRPr="005565F8" w:rsidR="00577A33">
        <w:t xml:space="preserve">Latvija ir nodrošinājusi </w:t>
      </w:r>
      <w:r w:rsidRPr="005565F8">
        <w:t>visu iedzīvotājiem un uzņēmējiem nepieciešamo pamatpakalpojumu pieejamību elektroniski.</w:t>
      </w:r>
      <w:r w:rsidRPr="005565F8" w:rsidR="00577A33">
        <w:t xml:space="preserve"> Ir nodrošināta praktiski visu pakalpojumu, kas attiecināmi uz </w:t>
      </w:r>
      <w:r>
        <w:fldChar w:fldCharType="begin"/>
      </w:r>
      <w:r>
        <w:instrText xml:space="preserve"> HYPERLINK "http://eur-lex.europa.eu/LexUriServ/LexUriServ.do?uri=OJ:L:2006:376:0036:0068:LV:PDF" \o "http://eur-lex.europa.eu/LexUriServ/LexUriServ.do?uri=OJ:L:2006:376:0036:0068:LV:PDF" </w:instrText>
      </w:r>
      <w:r>
        <w:fldChar w:fldCharType="separate"/>
      </w:r>
      <w:r w:rsidRPr="005565F8" w:rsidR="00577A33">
        <w:rPr>
          <w:i/>
          <w:lang w:bidi="lo-LA"/>
        </w:rPr>
        <w:t>Eiropas Parlamenta un Padomes</w:t>
      </w:r>
      <w:r w:rsidRPr="005565F8" w:rsidR="00577A33">
        <w:rPr>
          <w:lang w:bidi="lo-LA"/>
        </w:rPr>
        <w:t xml:space="preserve"> </w:t>
      </w:r>
      <w:r w:rsidRPr="005565F8" w:rsidR="00577A33">
        <w:rPr>
          <w:i/>
          <w:lang w:bidi="lo-LA"/>
        </w:rPr>
        <w:t>Direktīvu 2006/123/EK par pakalpojumiem iekšējā tirgū</w:t>
      </w:r>
      <w:r>
        <w:fldChar w:fldCharType="end"/>
      </w:r>
      <w:r w:rsidRPr="005565F8" w:rsidR="00577A33">
        <w:rPr>
          <w:i/>
          <w:lang w:bidi="lo-LA"/>
        </w:rPr>
        <w:t xml:space="preserve"> </w:t>
      </w:r>
      <w:r w:rsidRPr="005565F8" w:rsidR="00577A33">
        <w:rPr>
          <w:lang w:bidi="lo-LA"/>
        </w:rPr>
        <w:t>(turpmāk – Pakalpojumu direktīva)</w:t>
      </w:r>
      <w:r w:rsidRPr="005565F8" w:rsidR="00577A33">
        <w:t xml:space="preserve"> pieprasīšana vai saņemšana elektroniskā veidā (</w:t>
      </w:r>
      <w:r w:rsidRPr="005565F8" w:rsidR="00577A33">
        <w:rPr>
          <w:lang w:bidi="lo-LA"/>
        </w:rPr>
        <w:t xml:space="preserve">Vienotajā pakalpojumu kontaktpunktā – </w:t>
      </w:r>
      <w:r w:rsidRPr="005565F8" w:rsidR="00577A33">
        <w:rPr>
          <w:u w:val="single"/>
          <w:lang w:bidi="lo-LA"/>
        </w:rPr>
        <w:t>www.latvija.lv).</w:t>
      </w:r>
      <w:r w:rsidRPr="005565F8" w:rsidR="00577A33">
        <w:t xml:space="preserve"> Notiek regulāra portālā </w:t>
      </w:r>
      <w:r w:rsidRPr="005565F8" w:rsidR="00577A33">
        <w:rPr>
          <w:u w:val="single"/>
        </w:rPr>
        <w:t>www.latvija.lv</w:t>
      </w:r>
      <w:r w:rsidRPr="005565F8" w:rsidR="00577A33">
        <w:t xml:space="preserve"> iekļautās informācijas pārskatīšana un aktualizēšana, piemēram, noteikta portāla izmantošanas un pārvaldības kārtība, pārziņa un valsts pārvaldes iestāžu pienākumi un atbildība, informācijas apmaiņas un aktualizēšanas kārtība u.tml. Norit darbs pie portāla a</w:t>
      </w:r>
      <w:r w:rsidRPr="005565F8" w:rsidR="009449AB">
        <w:t>ttīstības koncepcijas izstrādes.</w:t>
      </w:r>
      <w:r w:rsidRPr="005565F8" w:rsidR="00C71E56">
        <w:br/>
      </w:r>
      <w:r w:rsidRPr="005565F8" w:rsidR="00577A33">
        <w:t xml:space="preserve">2018.gada 1.martā stājies spēkā </w:t>
      </w:r>
      <w:r w:rsidRPr="005565F8" w:rsidR="00577A33">
        <w:rPr>
          <w:i/>
        </w:rPr>
        <w:t>Oficiālās elektroniskās adreses likums</w:t>
      </w:r>
      <w:r w:rsidRPr="005565F8" w:rsidR="00577A33">
        <w:t xml:space="preserve">, kas nosaka iespēju </w:t>
      </w:r>
      <w:r w:rsidRPr="005565F8">
        <w:t>oficiālo saziņu starp</w:t>
      </w:r>
      <w:r w:rsidRPr="005565F8" w:rsidR="00577A33">
        <w:t xml:space="preserve"> publisko pārvaldi un tās klientiem </w:t>
      </w:r>
      <w:r w:rsidRPr="005565F8">
        <w:t xml:space="preserve">organizēt </w:t>
      </w:r>
      <w:r w:rsidRPr="005565F8" w:rsidR="00577A33">
        <w:t>tikai elektroniskā formā</w:t>
      </w:r>
      <w:r w:rsidRPr="005565F8">
        <w:t xml:space="preserve"> un vienuviet</w:t>
      </w:r>
      <w:r w:rsidRPr="005565F8" w:rsidR="00577A33">
        <w:t>.</w:t>
      </w:r>
      <w:r w:rsidRPr="005565F8">
        <w:t xml:space="preserve"> </w:t>
      </w:r>
      <w:r w:rsidRPr="005565F8" w:rsidR="00F941D1">
        <w:t xml:space="preserve">Savukārt, </w:t>
      </w:r>
      <w:r w:rsidRPr="005565F8">
        <w:rPr>
          <w:i/>
        </w:rPr>
        <w:t>Oficiālās adreses likums</w:t>
      </w:r>
      <w:r w:rsidRPr="005565F8">
        <w:t xml:space="preserve"> paredz noteiktus termiņus, kuros e-adrese būs pieejama iedzīvotājiem un uzņēmējiem brīvprātīgā lietošanas režīmā, kā arī nosaka termiņus e-adreses obligātai saziņai ar valsti uzņēmējiem.</w:t>
      </w:r>
    </w:p>
    <w:p w:rsidR="00577A33" w:rsidRPr="005565F8" w:rsidP="00735883" w14:paraId="4505B424" w14:textId="77777777">
      <w:pPr>
        <w:pStyle w:val="ListParagraph"/>
        <w:numPr>
          <w:ilvl w:val="0"/>
          <w:numId w:val="46"/>
        </w:numPr>
        <w:ind w:left="284" w:hanging="284"/>
        <w:contextualSpacing w:val="0"/>
      </w:pPr>
      <w:r w:rsidRPr="005565F8">
        <w:rPr>
          <w:b/>
        </w:rPr>
        <w:t>“</w:t>
      </w:r>
      <w:r w:rsidRPr="005565F8">
        <w:rPr>
          <w:b/>
        </w:rPr>
        <w:t>Klusēšanas-piekrišanas” princips</w:t>
      </w:r>
      <w:r w:rsidRPr="005565F8">
        <w:t xml:space="preserve"> ir viens no publiskās pārvaldes modernizāciju veicinošiem instrumentiem, lai samazinātu iestāžu kavēšanos lēmumu pieņemšanā, izmaksas un nelabvēlīgas sekas, kas rodas maziem un vidējiem komersantiem. 2017.gadā “klusēšanas-piekrišanas” princips tika ieviests 7 publiskajos pakalpojumos. Paredzēts, ka līdz 2018.gada beigām “klusēšanas-piekrišanas” princips tiks ieviests vēl 8 publiskajos pakalpojumos.</w:t>
      </w:r>
    </w:p>
    <w:p w:rsidR="00577A33" w:rsidRPr="005565F8" w:rsidP="009A65A4" w14:paraId="06DCB521" w14:textId="77777777">
      <w:pPr>
        <w:numPr>
          <w:ilvl w:val="0"/>
          <w:numId w:val="1"/>
        </w:numPr>
        <w:ind w:left="284" w:hanging="284"/>
      </w:pPr>
      <w:r w:rsidRPr="005565F8">
        <w:rPr>
          <w:b/>
        </w:rPr>
        <w:t>Efektivitātes un produktivitātes veicināšana.</w:t>
      </w:r>
      <w:r w:rsidRPr="005565F8">
        <w:t xml:space="preserve"> 2017.gadā tika izstrādāta </w:t>
      </w:r>
      <w:r w:rsidRPr="005565F8">
        <w:rPr>
          <w:i/>
        </w:rPr>
        <w:t>“Nozarēs veikto ieguldījumu efektivitātes analīzes metodika”</w:t>
      </w:r>
      <w:r w:rsidRPr="005565F8" w:rsidR="00606AE2">
        <w:t xml:space="preserve">, kas </w:t>
      </w:r>
      <w:r w:rsidRPr="005565F8">
        <w:rPr>
          <w:shd w:val="clear" w:color="auto" w:fill="FFFFFF"/>
        </w:rPr>
        <w:t>palīdzēs gan nozaru politikas veidotājiem, gan nodokļu maksātājiem pilnveidot izpratni par ieguldītajiem valsts budžeta resursiem un sabiedrības ieguvumiem no tā, kā arī par vēlamo rezultātu sasniegšanu, pēc iespējas racionāli izlietojot piešķirto finansējumu.</w:t>
      </w:r>
      <w:r w:rsidRPr="005565F8" w:rsidR="00C71E56">
        <w:br/>
      </w:r>
      <w:r w:rsidRPr="005565F8">
        <w:t xml:space="preserve">2017.gadā tika veikts atbalsta funkciju (algu grāmatvedība, </w:t>
      </w:r>
      <w:r w:rsidRPr="005565F8">
        <w:t>personālvadība</w:t>
      </w:r>
      <w:r w:rsidRPr="005565F8">
        <w:t xml:space="preserve">, iepirkumi) efektivitātes </w:t>
      </w:r>
      <w:r w:rsidRPr="005565F8">
        <w:t>izvērtējums</w:t>
      </w:r>
      <w:r w:rsidRPr="005565F8">
        <w:t xml:space="preserve">, kā arī izstrādāts pasākumu plāns atbalsta funkciju centralizācijai resoros un noteikti sasniedzamie mērķa rādītāji. Valsts kanceleja, Valsts kase un Iepirkumu uzraudzības birojs ir uzsācis procesu standartizāciju. 2018.gadā darbs turpinās pie valsts tiešās pārvaldes autoparka efektivitātes </w:t>
      </w:r>
      <w:r w:rsidRPr="005565F8">
        <w:t>izvērtējuma</w:t>
      </w:r>
      <w:r w:rsidRPr="005565F8">
        <w:t>.</w:t>
      </w:r>
      <w:r w:rsidRPr="005565F8" w:rsidR="00C71E56">
        <w:br/>
      </w:r>
      <w:r w:rsidRPr="005565F8">
        <w:t>2017.gadā Valsts kontrole veica “</w:t>
      </w:r>
      <w:r w:rsidRPr="005565F8">
        <w:t>Izvērtējumu</w:t>
      </w:r>
      <w:r w:rsidRPr="005565F8">
        <w:t xml:space="preserve"> par ļoti mazo un mazo valsts tiešās pārvaldes iestāžu darbību”, kā arī </w:t>
      </w:r>
      <w:r w:rsidRPr="005565F8">
        <w:rPr>
          <w:i/>
        </w:rPr>
        <w:t>Valsts pārvaldes reformu plānā 2020</w:t>
      </w:r>
      <w:r w:rsidRPr="005565F8">
        <w:t xml:space="preserve"> ir paredzēts pārskatīt ļoti mazo un mazo iestāžu darbību. Izvērtēšana tiks uzsākta 2018.gadā.</w:t>
      </w:r>
    </w:p>
    <w:p w:rsidR="00577A33" w:rsidRPr="005565F8" w:rsidP="00735883" w14:paraId="5C1D639E" w14:textId="77777777">
      <w:pPr>
        <w:pStyle w:val="ListParagraph"/>
        <w:numPr>
          <w:ilvl w:val="0"/>
          <w:numId w:val="45"/>
        </w:numPr>
        <w:ind w:left="284" w:hanging="284"/>
      </w:pPr>
      <w:r w:rsidRPr="005565F8">
        <w:rPr>
          <w:b/>
        </w:rPr>
        <w:t>Informācijas par budžetu pieejamība</w:t>
      </w:r>
      <w:r w:rsidRPr="005565F8">
        <w:t>. FM tīmekļvietnē, sākot ar 2017.gadu un turpmāk ik gadu, tiek atspoguļots valsts budžets interaktīvā veidā, tādējādi sniedzot informāciju par valsts budžetu kā pol</w:t>
      </w:r>
      <w:r w:rsidRPr="005565F8" w:rsidR="00606AE2">
        <w:t>itikas realizācijas instrumentu</w:t>
      </w:r>
      <w:r w:rsidRPr="005565F8" w:rsidR="009449AB">
        <w:t>.</w:t>
      </w:r>
      <w:r w:rsidRPr="005565F8">
        <w:t xml:space="preserve"> </w:t>
      </w:r>
    </w:p>
    <w:p w:rsidR="00577A33" w:rsidRPr="005565F8" w:rsidP="009A65A4" w14:paraId="6E8379D0" w14:textId="77777777">
      <w:pPr>
        <w:numPr>
          <w:ilvl w:val="0"/>
          <w:numId w:val="1"/>
        </w:numPr>
        <w:ind w:left="284" w:hanging="284"/>
      </w:pPr>
      <w:r w:rsidRPr="005565F8">
        <w:rPr>
          <w:b/>
        </w:rPr>
        <w:t>Uz pierādījumiem balstīta lēmumu pieņemšana.</w:t>
      </w:r>
      <w:r w:rsidRPr="005565F8">
        <w:t xml:space="preserve"> 2018.gada 1.janvārī ir stājušies spēkā </w:t>
      </w:r>
      <w:r w:rsidRPr="005565F8">
        <w:rPr>
          <w:i/>
        </w:rPr>
        <w:t>Grozījumi tiesību aktu projektu sākotnējās izvērtēšanas (</w:t>
      </w:r>
      <w:r w:rsidRPr="005565F8">
        <w:rPr>
          <w:i/>
        </w:rPr>
        <w:t>ex-ante</w:t>
      </w:r>
      <w:r w:rsidRPr="005565F8">
        <w:rPr>
          <w:i/>
        </w:rPr>
        <w:t>) kārtībā</w:t>
      </w:r>
      <w:r w:rsidRPr="005565F8">
        <w:t xml:space="preserve">. Tie paredz pilnveidot iekļaujamās informācijas apjomu un saturu </w:t>
      </w:r>
      <w:r w:rsidRPr="005565F8">
        <w:rPr>
          <w:i/>
        </w:rPr>
        <w:t>ex-ante</w:t>
      </w:r>
      <w:r w:rsidRPr="005565F8">
        <w:t xml:space="preserve"> </w:t>
      </w:r>
      <w:r w:rsidRPr="005565F8">
        <w:t>izvērtējumā</w:t>
      </w:r>
      <w:r w:rsidRPr="005565F8">
        <w:t xml:space="preserve">, t.sk. analizēt ietekmi uz konkurenci, MVU, </w:t>
      </w:r>
      <w:r w:rsidRPr="005565F8">
        <w:t>mikrouzņēmumiem</w:t>
      </w:r>
      <w:r w:rsidRPr="005565F8">
        <w:t xml:space="preserve"> un </w:t>
      </w:r>
      <w:r w:rsidRPr="005565F8">
        <w:t>jaunuzņēmumiem</w:t>
      </w:r>
      <w:r w:rsidRPr="005565F8">
        <w:t>, veselību, NVO un vidi, ietekmi uz esošiem pakalpojumiem vai jaunu izveidi un informācijas sistēmām</w:t>
      </w:r>
      <w:r w:rsidRPr="005565F8" w:rsidR="00F309E7">
        <w:t xml:space="preserve">, kā arī </w:t>
      </w:r>
      <w:r w:rsidRPr="005565F8" w:rsidR="00F57DDE">
        <w:t xml:space="preserve">nepieciešamību </w:t>
      </w:r>
      <w:r w:rsidRPr="005565F8" w:rsidR="00F57DDE">
        <w:t>aprēķināt atbilstības izmaksas</w:t>
      </w:r>
      <w:r w:rsidRPr="005565F8" w:rsidR="00F309E7">
        <w:t>.</w:t>
      </w:r>
      <w:r w:rsidRPr="005565F8">
        <w:t xml:space="preserve"> 2017.gada decembrī tika īstenoti apmācību pasākumi un 2018.gada sākumā tiek pilnveidota </w:t>
      </w:r>
      <w:r w:rsidRPr="005565F8">
        <w:rPr>
          <w:i/>
        </w:rPr>
        <w:t>ex-ante</w:t>
      </w:r>
      <w:r w:rsidRPr="005565F8">
        <w:t xml:space="preserve"> </w:t>
      </w:r>
      <w:r w:rsidRPr="005565F8">
        <w:t>izvērtējuma</w:t>
      </w:r>
      <w:r w:rsidRPr="005565F8">
        <w:t xml:space="preserve"> veikšanas metodika.</w:t>
      </w:r>
    </w:p>
    <w:p w:rsidR="00577A33" w:rsidRPr="005565F8" w:rsidP="009A65A4" w14:paraId="44E52376" w14:textId="77777777">
      <w:pPr>
        <w:numPr>
          <w:ilvl w:val="0"/>
          <w:numId w:val="1"/>
        </w:numPr>
        <w:spacing w:after="0"/>
        <w:ind w:left="284" w:hanging="284"/>
      </w:pPr>
      <w:r w:rsidRPr="005565F8">
        <w:rPr>
          <w:b/>
        </w:rPr>
        <w:t>Godprātības veicināšana valsts pārvaldē.</w:t>
      </w:r>
      <w:r w:rsidRPr="005565F8">
        <w:t xml:space="preserve"> 2017.gada 7.martā MK tika apstiprināts </w:t>
      </w:r>
      <w:r w:rsidRPr="005565F8">
        <w:rPr>
          <w:i/>
        </w:rPr>
        <w:t>Trauksmes cēlēju aizsardzības likumprojekts</w:t>
      </w:r>
      <w:r w:rsidRPr="005565F8">
        <w:t>. 2017.gada 9.oktobrī Valsts kanceleja kopā ar Saeimu organizēja starptautisku konferenci par trauksmes celšanu un trauksmes cēlēju aizsardzību. Saeimas Valsts pārvaldes un pašvaldību lietu komisija pieņēma lēmumu veidot darba grupu, lai pilnveidotu likumprojektu, un Valsts kanceleja 2018.gadā ir sagatavojusi priekšli</w:t>
      </w:r>
      <w:r w:rsidRPr="005565F8" w:rsidR="009449AB">
        <w:t>kumus likumprojekta pilnveidei.</w:t>
      </w:r>
    </w:p>
    <w:p w:rsidR="00577A33" w:rsidRPr="005565F8" w:rsidP="00C71E56" w14:paraId="258E4C4C" w14:textId="77777777">
      <w:pPr>
        <w:ind w:left="284"/>
      </w:pPr>
      <w:r w:rsidRPr="005565F8">
        <w:t xml:space="preserve">Turpinās darbs pie </w:t>
      </w:r>
      <w:r w:rsidRPr="005565F8">
        <w:rPr>
          <w:i/>
        </w:rPr>
        <w:t>Valsts pārvaldē nodarbinātā ētikas kodeksa</w:t>
      </w:r>
      <w:r w:rsidRPr="005565F8" w:rsidR="00606AE2">
        <w:t xml:space="preserve"> izstrādes</w:t>
      </w:r>
      <w:r w:rsidRPr="005565F8">
        <w:t xml:space="preserve">. 2017.gada decembrī Eiropas Komisijas Strukturālo reformu atbalsta dienests apstiprināja Valsts kancelejas iesniegto projektu </w:t>
      </w:r>
      <w:r w:rsidRPr="005565F8">
        <w:rPr>
          <w:i/>
        </w:rPr>
        <w:t>“</w:t>
      </w:r>
      <w:r w:rsidRPr="005565F8">
        <w:rPr>
          <w:i/>
        </w:rPr>
        <w:t>ExCeL</w:t>
      </w:r>
      <w:r w:rsidRPr="005565F8">
        <w:rPr>
          <w:i/>
        </w:rPr>
        <w:t>!”</w:t>
      </w:r>
      <w:r w:rsidRPr="005565F8">
        <w:t xml:space="preserve"> (</w:t>
      </w:r>
      <w:r w:rsidRPr="005565F8">
        <w:rPr>
          <w:i/>
        </w:rPr>
        <w:t>Excellent</w:t>
      </w:r>
      <w:r w:rsidRPr="005565F8">
        <w:rPr>
          <w:i/>
        </w:rPr>
        <w:t xml:space="preserve"> </w:t>
      </w:r>
      <w:r w:rsidRPr="005565F8">
        <w:rPr>
          <w:i/>
        </w:rPr>
        <w:t>for</w:t>
      </w:r>
      <w:r w:rsidRPr="005565F8">
        <w:rPr>
          <w:i/>
        </w:rPr>
        <w:t xml:space="preserve"> </w:t>
      </w:r>
      <w:r w:rsidRPr="005565F8">
        <w:rPr>
          <w:i/>
        </w:rPr>
        <w:t>Centenary</w:t>
      </w:r>
      <w:r w:rsidRPr="005565F8">
        <w:rPr>
          <w:i/>
        </w:rPr>
        <w:t xml:space="preserve"> </w:t>
      </w:r>
      <w:r w:rsidRPr="005565F8">
        <w:rPr>
          <w:i/>
        </w:rPr>
        <w:t>of</w:t>
      </w:r>
      <w:r w:rsidRPr="005565F8">
        <w:rPr>
          <w:i/>
        </w:rPr>
        <w:t xml:space="preserve"> Latvia!</w:t>
      </w:r>
      <w:r w:rsidRPr="005565F8">
        <w:t xml:space="preserve">), kurā viens no atbalstāmajiem virzieniem ir Valsts pārvaldes tēla un reputācijas laboratorija ar mērķi atbalstīt ētikas kodeksa ieviešanas plāna sagatavošanu un tajā iekļauto pasākumu īstenošanu. 2018.gadā ir plānots kodeksu izskatīt MK un uzsākt tā ieviešanas pasākumus. </w:t>
      </w:r>
    </w:p>
    <w:p w:rsidR="00577A33" w:rsidRPr="005565F8" w:rsidP="009A65A4" w14:paraId="5F11BEB3" w14:textId="77777777">
      <w:pPr>
        <w:numPr>
          <w:ilvl w:val="0"/>
          <w:numId w:val="1"/>
        </w:numPr>
        <w:spacing w:after="0"/>
        <w:ind w:left="284" w:hanging="284"/>
      </w:pPr>
      <w:r w:rsidRPr="005565F8">
        <w:rPr>
          <w:b/>
        </w:rPr>
        <w:t>Valsts pārvaldes cilvēkresursu attīstība.</w:t>
      </w:r>
      <w:r w:rsidRPr="005565F8">
        <w:t xml:space="preserve"> 2017.gadā tika parakstīta vienošanās par IKT rīka “Personāla vadības platforma” izstrādes finansēšanu un īstenošanu līdz 2020.gadam, lai </w:t>
      </w:r>
      <w:r w:rsidRPr="005565F8">
        <w:rPr>
          <w:shd w:val="clear" w:color="auto" w:fill="FFFFFF"/>
        </w:rPr>
        <w:t>nodrošinātu sekmīgu valsts pārvaldes cilvēkresursu vadības procesu norisi (atlīdzības vadība un analīze, novērtējumu vadība, talantu vadība, ieskaitot augstākā līmeņa vadītāju atlasi un attīstību, vakanču pārvaldība/mobilitāte, sadarbība un komunikācija, darba laika uzskaite).</w:t>
      </w:r>
    </w:p>
    <w:p w:rsidR="00577A33" w:rsidRPr="005565F8" w:rsidP="0068571F" w14:paraId="46CDB09E" w14:textId="77777777">
      <w:pPr>
        <w:ind w:left="284"/>
        <w:rPr>
          <w:bCs/>
        </w:rPr>
      </w:pPr>
      <w:r w:rsidRPr="005565F8">
        <w:rPr>
          <w:shd w:val="clear" w:color="auto" w:fill="FFFFFF"/>
        </w:rPr>
        <w:t xml:space="preserve">Lai pilnveidotu </w:t>
      </w:r>
      <w:r w:rsidRPr="005565F8">
        <w:rPr>
          <w:bCs/>
          <w:i/>
        </w:rPr>
        <w:t>Valsts un pašvaldību institūciju amatpersonu un darbinieku atlīdzības sistēmu</w:t>
      </w:r>
      <w:r w:rsidRPr="005565F8">
        <w:rPr>
          <w:bCs/>
        </w:rPr>
        <w:t xml:space="preserve">, izstrādāti grozījumi normatīvajā regulējumā ar mērķi valsts pārvaldē noturēt un piesaistīt kompetences ar lielāko atalgojuma starpību ar privāto sektoru. </w:t>
      </w:r>
      <w:r w:rsidRPr="005565F8" w:rsidR="00C71E56">
        <w:rPr>
          <w:bCs/>
        </w:rPr>
        <w:br/>
      </w:r>
      <w:r w:rsidRPr="005565F8">
        <w:rPr>
          <w:bCs/>
        </w:rPr>
        <w:t xml:space="preserve">Turpināta </w:t>
      </w:r>
      <w:r w:rsidRPr="005565F8">
        <w:rPr>
          <w:bCs/>
          <w:i/>
        </w:rPr>
        <w:t>Augstākā līmeņa vadītāju attīstības programmas</w:t>
      </w:r>
      <w:r w:rsidRPr="005565F8">
        <w:rPr>
          <w:bCs/>
        </w:rPr>
        <w:t xml:space="preserve"> īstenošana, kuras mērķis ir mērķtiecīgi un kompleksi attīstīt valsts pārvaldes augstākā līmeņa vadī</w:t>
      </w:r>
      <w:r w:rsidRPr="005565F8" w:rsidR="00F56471">
        <w:rPr>
          <w:bCs/>
        </w:rPr>
        <w:t>tāju kompetences.</w:t>
      </w:r>
    </w:p>
    <w:p w:rsidR="009F76ED" w:rsidRPr="005565F8" w:rsidP="00735883" w14:paraId="5BFD8433" w14:textId="77777777">
      <w:pPr>
        <w:pStyle w:val="ListParagraph"/>
        <w:numPr>
          <w:ilvl w:val="0"/>
          <w:numId w:val="37"/>
        </w:numPr>
        <w:ind w:left="284" w:hanging="284"/>
        <w:contextualSpacing w:val="0"/>
        <w:rPr>
          <w:b/>
          <w:i/>
        </w:rPr>
      </w:pPr>
      <w:r w:rsidRPr="005565F8">
        <w:rPr>
          <w:b/>
        </w:rPr>
        <w:t>Sadarbības starp iestādēm vienkāršošana</w:t>
      </w:r>
      <w:r w:rsidRPr="005565F8" w:rsidR="0093032A">
        <w:rPr>
          <w:b/>
        </w:rPr>
        <w:t xml:space="preserve"> </w:t>
      </w:r>
      <w:r w:rsidRPr="005565F8" w:rsidR="0093032A">
        <w:t>–</w:t>
      </w:r>
      <w:r w:rsidRPr="005565F8" w:rsidR="0068571F">
        <w:rPr>
          <w:b/>
        </w:rPr>
        <w:t xml:space="preserve"> </w:t>
      </w:r>
      <w:r w:rsidRPr="005565F8" w:rsidR="0093032A">
        <w:t>šis politikas virziens paredz mazināt i</w:t>
      </w:r>
      <w:r w:rsidRPr="005565F8" w:rsidR="0068571F">
        <w:t>ekšēj</w:t>
      </w:r>
      <w:r w:rsidRPr="005565F8" w:rsidR="0093032A">
        <w:t>o</w:t>
      </w:r>
      <w:r w:rsidRPr="005565F8" w:rsidR="0068571F">
        <w:t xml:space="preserve"> administratīv</w:t>
      </w:r>
      <w:r w:rsidRPr="005565F8" w:rsidR="0093032A">
        <w:t>o</w:t>
      </w:r>
      <w:r w:rsidRPr="005565F8" w:rsidR="0068571F">
        <w:t xml:space="preserve"> slog</w:t>
      </w:r>
      <w:r w:rsidRPr="005565F8" w:rsidR="0093032A">
        <w:t>u</w:t>
      </w:r>
      <w:r w:rsidRPr="005565F8" w:rsidR="0068571F">
        <w:t xml:space="preserve"> starp iestādēm (</w:t>
      </w:r>
      <w:r w:rsidRPr="005565F8" w:rsidR="0068571F">
        <w:rPr>
          <w:i/>
        </w:rPr>
        <w:t>skat. 2.3.</w:t>
      </w:r>
      <w:r w:rsidRPr="005565F8" w:rsidR="0093032A">
        <w:rPr>
          <w:i/>
        </w:rPr>
        <w:t>no</w:t>
      </w:r>
      <w:r w:rsidRPr="005565F8" w:rsidR="0068571F">
        <w:rPr>
          <w:i/>
        </w:rPr>
        <w:t>daļu).</w:t>
      </w:r>
    </w:p>
    <w:p w:rsidR="00577A33" w:rsidRPr="005565F8" w:rsidP="00735883" w14:paraId="27C57A76" w14:textId="77777777">
      <w:pPr>
        <w:pStyle w:val="ListParagraph"/>
        <w:numPr>
          <w:ilvl w:val="0"/>
          <w:numId w:val="44"/>
        </w:numPr>
        <w:spacing w:after="0"/>
        <w:ind w:left="284" w:hanging="284"/>
      </w:pPr>
      <w:r w:rsidRPr="005565F8">
        <w:rPr>
          <w:b/>
        </w:rPr>
        <w:t>“Konsultē vispirms” principa ieviešana valsts pārvaldē.</w:t>
      </w:r>
      <w:r w:rsidRPr="005565F8">
        <w:t xml:space="preserve"> </w:t>
      </w:r>
      <w:r w:rsidRPr="005565F8" w:rsidR="009449AB">
        <w:t>G</w:t>
      </w:r>
      <w:r w:rsidRPr="005565F8">
        <w:t xml:space="preserve">alvenais mērķis ir panākt savstarpējo sapratni starp uzņēmējiem un uzraugošajām iestādēm, veicinot noteikto prasību izpildi, nevis sodu likšanu. Lai nodrošinātu vienotu izpratni par „Konsultē vispirms” principu, ir izstrādātas vadlīnijas par principa piemērošanu valsts iestāžu darbā, kurā apkopoti ieteikumi un labās prakses piemēri principa piemērošanai. 2017.gada 15.jūnijā 23 Latvijas iestādes, premjerministrs, </w:t>
      </w:r>
      <w:r w:rsidRPr="005565F8">
        <w:t xml:space="preserve">ekonomikas ministrs, kā arī četras lielākās uzņēmēju asociācijas parakstīja sadarbības memorandu, apņemoties ieviest „Konsultē vispirms” principu Latvijas uzraugošo iestāžu darbā. 2017.gadā tika izstrādātas arī „Konsultē </w:t>
      </w:r>
      <w:r w:rsidRPr="005565F8">
        <w:t>vispirms” apmācības</w:t>
      </w:r>
      <w:r w:rsidRPr="005565F8" w:rsidR="009449AB">
        <w:t xml:space="preserve"> uzraugošo iestāžu darbiniekiem</w:t>
      </w:r>
      <w:r w:rsidRPr="005565F8">
        <w:t>. 2018.gadā plānoti pirmie rezultāt</w:t>
      </w:r>
      <w:r w:rsidRPr="005565F8" w:rsidR="00143959">
        <w:t>u</w:t>
      </w:r>
      <w:r w:rsidRPr="005565F8">
        <w:t xml:space="preserve"> novērtējum</w:t>
      </w:r>
      <w:r w:rsidRPr="005565F8" w:rsidR="00143959">
        <w:t>i</w:t>
      </w:r>
      <w:r w:rsidRPr="005565F8">
        <w:t>, kas parādīs kā iestādēm veicies, piemērojot „Konsultē vispirms” principu un sniegs ieteikumus rezultātu uzlabošanai nākotnē.</w:t>
      </w:r>
    </w:p>
    <w:p w:rsidR="001D2B89" w:rsidRPr="005565F8" w:rsidP="00BF69C0" w14:paraId="5DF7C3DA" w14:textId="77777777">
      <w:pPr>
        <w:sectPr w:rsidSect="003D0310">
          <w:type w:val="continuous"/>
          <w:pgSz w:w="11906" w:h="16838" w:code="9"/>
          <w:pgMar w:top="1134" w:right="1134" w:bottom="1134" w:left="1134" w:header="709" w:footer="709" w:gutter="0"/>
          <w:cols w:num="2" w:space="340"/>
          <w:titlePg/>
          <w:docGrid w:linePitch="360"/>
        </w:sectPr>
      </w:pPr>
    </w:p>
    <w:p w:rsidR="00BF69C0" w:rsidRPr="005565F8" w:rsidP="00BF69C0" w14:paraId="05216AE0" w14:textId="77777777"/>
    <w:p w:rsidR="00BF69C0" w:rsidRPr="005565F8" w:rsidP="00BF69C0" w14:paraId="6E0DBD55"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Darba tiesisko attiecību un darba aizsardzības normatīvā regulējuma un tā piemērošanas pilnveidošana</w:t>
      </w:r>
    </w:p>
    <w:p w:rsidR="00BF69C0" w:rsidRPr="005565F8" w:rsidP="00BF69C0" w14:paraId="20255B4B"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w:t>
      </w:r>
    </w:p>
    <w:p w:rsidR="001D2B89" w:rsidRPr="005565F8" w:rsidP="00B22046" w14:paraId="542C17FF"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577A33" w:rsidRPr="005565F8" w:rsidP="00BF69C0" w14:paraId="3AA183FA" w14:textId="77777777">
      <w:pPr>
        <w:tabs>
          <w:tab w:val="left" w:pos="0"/>
        </w:tabs>
        <w:spacing w:before="240"/>
        <w:rPr>
          <w:rFonts w:eastAsia="MS Mincho"/>
          <w:lang w:eastAsia="ja-JP"/>
        </w:rPr>
      </w:pPr>
      <w:r w:rsidRPr="005565F8">
        <w:rPr>
          <w:rFonts w:eastAsia="MS Mincho"/>
          <w:lang w:eastAsia="ja-JP"/>
        </w:rPr>
        <w:t>Lai turpinātu pilnveidot regulējumu darba tiesisko attiecību un darba aizsardzības jomā, sadarbībā ar sociālajiem partneriem:</w:t>
      </w:r>
    </w:p>
    <w:p w:rsidR="00577A33" w:rsidRPr="005565F8" w:rsidP="008665C3" w14:paraId="6150EEB3" w14:textId="77777777">
      <w:pPr>
        <w:numPr>
          <w:ilvl w:val="0"/>
          <w:numId w:val="4"/>
        </w:numPr>
        <w:ind w:left="284" w:hanging="284"/>
        <w:rPr>
          <w:rFonts w:eastAsia="MS Mincho"/>
          <w:color w:val="000000" w:themeColor="text1"/>
          <w:lang w:eastAsia="ja-JP"/>
        </w:rPr>
      </w:pPr>
      <w:r w:rsidRPr="005565F8">
        <w:rPr>
          <w:rFonts w:eastAsia="MS Mincho"/>
        </w:rPr>
        <w:t xml:space="preserve">turpinās darba tiesisko attiecību regulējuma pilnveidošana, kas ietverts </w:t>
      </w:r>
      <w:r w:rsidRPr="005565F8">
        <w:rPr>
          <w:rFonts w:eastAsia="MS Mincho"/>
          <w:i/>
        </w:rPr>
        <w:t>Darba likumā</w:t>
      </w:r>
      <w:r w:rsidRPr="005565F8">
        <w:rPr>
          <w:rFonts w:eastAsia="MS Mincho"/>
        </w:rPr>
        <w:t xml:space="preserve">. 2017.gada16.augustā stājās spēkā </w:t>
      </w:r>
      <w:r w:rsidRPr="005565F8">
        <w:rPr>
          <w:rFonts w:eastAsia="MS Mincho"/>
          <w:i/>
        </w:rPr>
        <w:t>Grozījumi Darba likumā</w:t>
      </w:r>
      <w:r w:rsidRPr="005565F8">
        <w:rPr>
          <w:rFonts w:eastAsia="MS Mincho"/>
        </w:rPr>
        <w:t xml:space="preserve">, ar kuriem tika pārņemtas atsevišķas </w:t>
      </w:r>
      <w:r w:rsidRPr="005565F8">
        <w:rPr>
          <w:i/>
        </w:rPr>
        <w:t>Eiropas Parlamenta un Padomes 2015.gada 6.oktobra direktīvas (ES) 2015/1794</w:t>
      </w:r>
      <w:r>
        <w:rPr>
          <w:rStyle w:val="FootnoteReference"/>
          <w:i/>
        </w:rPr>
        <w:footnoteReference w:id="26"/>
      </w:r>
      <w:r w:rsidRPr="005565F8">
        <w:t xml:space="preserve"> prasības. </w:t>
      </w:r>
      <w:r w:rsidRPr="005565F8">
        <w:rPr>
          <w:rFonts w:eastAsia="Times New Roman"/>
          <w:lang w:eastAsia="lv-LV"/>
        </w:rPr>
        <w:t>Vienlaikus tika pilnveidots darba tiesisko attiecību regulējums, ņemot vērā gan sociālo partneru priekšlikumus, gan arī tiesu prakses un doktrīnas atziņas. Tāpat</w:t>
      </w:r>
      <w:r w:rsidRPr="005565F8">
        <w:rPr>
          <w:rFonts w:eastAsia="MS Mincho"/>
          <w:color w:val="000000" w:themeColor="text1"/>
          <w:lang w:eastAsia="ja-JP"/>
        </w:rPr>
        <w:t xml:space="preserve"> </w:t>
      </w:r>
      <w:r w:rsidRPr="005565F8">
        <w:rPr>
          <w:rFonts w:eastAsia="MS Mincho"/>
          <w:i/>
          <w:color w:val="000000" w:themeColor="text1"/>
          <w:lang w:eastAsia="ja-JP"/>
        </w:rPr>
        <w:t>Grozījumi Darba likumā</w:t>
      </w:r>
      <w:r w:rsidRPr="005565F8">
        <w:rPr>
          <w:rFonts w:eastAsia="MS Mincho"/>
          <w:color w:val="000000" w:themeColor="text1"/>
          <w:lang w:eastAsia="ja-JP"/>
        </w:rPr>
        <w:t xml:space="preserve"> pilnveidoja koplīgumu regulējumu, precizēja normas, kas attiecas uz konkurences ierobežojumu un blakus darba veikšanu, kā arī darba un atpūtas laiku</w:t>
      </w:r>
      <w:r w:rsidRPr="005565F8" w:rsidR="009449AB">
        <w:rPr>
          <w:rFonts w:eastAsia="MS Mincho"/>
          <w:color w:val="000000" w:themeColor="text1"/>
          <w:lang w:eastAsia="ja-JP"/>
        </w:rPr>
        <w:t>;</w:t>
      </w:r>
    </w:p>
    <w:p w:rsidR="008665C3" w:rsidRPr="005565F8" w:rsidP="008665C3" w14:paraId="78E243E8" w14:textId="77777777">
      <w:pPr>
        <w:numPr>
          <w:ilvl w:val="0"/>
          <w:numId w:val="4"/>
        </w:numPr>
        <w:ind w:left="284" w:hanging="284"/>
        <w:rPr>
          <w:rFonts w:eastAsia="MS Mincho"/>
          <w:lang w:eastAsia="ja-JP"/>
        </w:rPr>
      </w:pPr>
      <w:r w:rsidRPr="005565F8">
        <w:rPr>
          <w:rFonts w:eastAsia="Times New Roman"/>
          <w:lang w:eastAsia="lv-LV"/>
        </w:rPr>
        <w:t xml:space="preserve">turpinās ESF līdzfinansētā specifiskā atbalsta mērķa </w:t>
      </w:r>
      <w:r w:rsidRPr="005565F8">
        <w:rPr>
          <w:rFonts w:eastAsia="Times New Roman"/>
          <w:i/>
          <w:lang w:eastAsia="lv-LV"/>
        </w:rPr>
        <w:t>„Uzlabot darba drošību, it īpaši bīstamo nozaru uzņēmumos”</w:t>
      </w:r>
      <w:r w:rsidRPr="005565F8">
        <w:rPr>
          <w:rFonts w:eastAsia="Times New Roman"/>
          <w:lang w:eastAsia="lv-LV"/>
        </w:rPr>
        <w:t xml:space="preserve"> īstenošana</w:t>
      </w:r>
      <w:r>
        <w:rPr>
          <w:rStyle w:val="FootnoteReference"/>
          <w:rFonts w:eastAsia="Times New Roman"/>
          <w:lang w:eastAsia="lv-LV"/>
        </w:rPr>
        <w:footnoteReference w:id="27"/>
      </w:r>
      <w:r w:rsidRPr="005565F8">
        <w:rPr>
          <w:rFonts w:eastAsia="Times New Roman"/>
          <w:lang w:eastAsia="lv-LV"/>
        </w:rPr>
        <w:t xml:space="preserve">. Kopējais </w:t>
      </w:r>
      <w:r w:rsidRPr="005565F8">
        <w:rPr>
          <w:rFonts w:eastAsia="Times New Roman"/>
          <w:lang w:eastAsia="lv-LV"/>
        </w:rPr>
        <w:t xml:space="preserve">projekta finansējums ir 12,64 milj. EUR, </w:t>
      </w:r>
      <w:r w:rsidRPr="005565F8" w:rsidR="005578A6">
        <w:rPr>
          <w:rFonts w:eastAsia="Times New Roman"/>
          <w:lang w:eastAsia="lv-LV"/>
        </w:rPr>
        <w:t>t.sk.</w:t>
      </w:r>
      <w:r w:rsidRPr="005565F8">
        <w:rPr>
          <w:rFonts w:eastAsia="Times New Roman"/>
          <w:lang w:eastAsia="lv-LV"/>
        </w:rPr>
        <w:t xml:space="preserve"> ESF līdzfinansējums 10,75 milj. EUR un valsts budžeta finansējums – 1,89 milj. EUR. Projekta ietvaros līdz 2022.gada 31.decembrim kopumā tiks atbalstīti 4700 bīstamo nozaru uzņēmumi, sniedzot konsultatīvu atbalstu darba aizsardzības sistēmas sakārtošanai, darba vides risku novērtēšanai, kā arī tiks sniegts atbalsts l</w:t>
      </w:r>
      <w:r w:rsidRPr="005565F8" w:rsidR="00143959">
        <w:rPr>
          <w:rFonts w:eastAsia="Times New Roman"/>
          <w:lang w:eastAsia="lv-LV"/>
        </w:rPr>
        <w:t>aboratorisko mērījumu veikšanai</w:t>
      </w:r>
      <w:r w:rsidRPr="005565F8">
        <w:rPr>
          <w:color w:val="000000"/>
          <w:lang w:eastAsia="lv-LV"/>
        </w:rPr>
        <w:t>;</w:t>
      </w:r>
    </w:p>
    <w:p w:rsidR="008665C3" w:rsidRPr="005565F8" w:rsidP="00E04703" w14:paraId="1B54174A" w14:textId="77777777">
      <w:pPr>
        <w:numPr>
          <w:ilvl w:val="0"/>
          <w:numId w:val="4"/>
        </w:numPr>
        <w:spacing w:after="0"/>
        <w:ind w:left="284" w:hanging="284"/>
      </w:pPr>
      <w:r w:rsidRPr="005565F8">
        <w:t xml:space="preserve">turpinās darbs pie </w:t>
      </w:r>
      <w:r w:rsidRPr="005565F8">
        <w:rPr>
          <w:i/>
        </w:rPr>
        <w:t xml:space="preserve">Grozījumu Darba likumā, Grozījumu Darba aizsardzības likumā, Grozījumu Streiku likumā </w:t>
      </w:r>
      <w:r w:rsidRPr="005565F8">
        <w:t>un</w:t>
      </w:r>
      <w:r w:rsidRPr="005565F8">
        <w:rPr>
          <w:i/>
        </w:rPr>
        <w:t xml:space="preserve"> Grozījumu Eiropas Savienības mēroga komercsabiedrību un Eiropas Savienības mēroga komercsabiedrību grupu darbinieku informēšanas un konsultēšanas likumā </w:t>
      </w:r>
      <w:r w:rsidRPr="005565F8">
        <w:t>izstrādes</w:t>
      </w:r>
      <w:r w:rsidRPr="005565F8">
        <w:rPr>
          <w:i/>
        </w:rPr>
        <w:t xml:space="preserve">, </w:t>
      </w:r>
      <w:r w:rsidRPr="005565F8">
        <w:t>kuru mērķis ir nodrošināt nozaru administratīvo pārkāpumu kodifikācijas sistēmas (</w:t>
      </w:r>
      <w:r w:rsidRPr="005565F8">
        <w:t>dekodifikācijas</w:t>
      </w:r>
      <w:r w:rsidRPr="005565F8">
        <w:t>) ieviešanu. Visi četri likumprojekti šobrīd tiek skatīti Saeimas atbildīgajā komisijā.</w:t>
      </w:r>
    </w:p>
    <w:p w:rsidR="001D2B89" w:rsidRPr="005565F8" w:rsidP="00BF69C0" w14:paraId="040E3D0A" w14:textId="77777777">
      <w:pPr>
        <w:sectPr w:rsidSect="003D0310">
          <w:type w:val="continuous"/>
          <w:pgSz w:w="11906" w:h="16838" w:code="9"/>
          <w:pgMar w:top="1134" w:right="1134" w:bottom="1134" w:left="1134" w:header="709" w:footer="709" w:gutter="0"/>
          <w:cols w:num="2" w:space="340"/>
          <w:titlePg/>
          <w:docGrid w:linePitch="360"/>
        </w:sectPr>
      </w:pPr>
    </w:p>
    <w:p w:rsidR="00BF69C0" w:rsidRPr="005565F8" w:rsidP="00BF69C0" w14:paraId="3148633A" w14:textId="77777777"/>
    <w:p w:rsidR="00BF69C0" w:rsidRPr="005565F8" w:rsidP="00BF69C0" w14:paraId="4113838F"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Ēnu ekonomikas apkarošana</w:t>
      </w:r>
    </w:p>
    <w:p w:rsidR="00BF69C0" w:rsidRPr="005565F8" w:rsidP="00BF69C0" w14:paraId="24AAD67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FM/</w:t>
      </w:r>
    </w:p>
    <w:p w:rsidR="001D2B89" w:rsidRPr="005565F8" w:rsidP="00B22046" w14:paraId="48F2AB69"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577A33" w:rsidRPr="005565F8" w:rsidP="00BF69C0" w14:paraId="20A6B19D" w14:textId="77777777">
      <w:pPr>
        <w:spacing w:before="240"/>
      </w:pPr>
      <w:r w:rsidRPr="005565F8">
        <w:rPr>
          <w:i/>
        </w:rPr>
        <w:t>Valsts iestāžu darba plān</w:t>
      </w:r>
      <w:r w:rsidRPr="005565F8" w:rsidR="00143959">
        <w:rPr>
          <w:i/>
        </w:rPr>
        <w:t>a</w:t>
      </w:r>
      <w:r w:rsidRPr="005565F8">
        <w:rPr>
          <w:i/>
        </w:rPr>
        <w:t xml:space="preserve"> ēnu ekonomikas ierobežošanai 2016.–2020.gadam </w:t>
      </w:r>
      <w:r w:rsidRPr="005565F8">
        <w:t>(turpmāk tekstā – Ēnu ekonomikas ierobežošanas plāns)</w:t>
      </w:r>
      <w:r w:rsidRPr="005565F8">
        <w:rPr>
          <w:i/>
        </w:rPr>
        <w:t xml:space="preserve"> </w:t>
      </w:r>
      <w:r w:rsidRPr="005565F8" w:rsidR="00143959">
        <w:t>g</w:t>
      </w:r>
      <w:r w:rsidRPr="005565F8">
        <w:t>alvenie uzdevumi ir vērsti uz ēnu ekonomikas mazināšanu noteiktajās tautsaimniecības nozarēs (piemēram, būvniecībā, transportā, tirdzniecībā un citos pakalpojumos).</w:t>
      </w:r>
    </w:p>
    <w:p w:rsidR="00577A33" w:rsidRPr="005565F8" w:rsidP="00C71E56" w14:paraId="35F89F0A" w14:textId="2CCC7C4A">
      <w:r w:rsidRPr="005565F8">
        <w:t xml:space="preserve">Līdztekus uzmanība tiek pievērsta arī atbilstošo iestāžu kapacitātes stiprināšanai, informācijas apmaiņai starp iestādēm, piemēram, aizdomīgu darījumu gadījumā, jaunu uzņēmumu reģistrācijai, godīgas konkurences veicināšanai, skaidras naudas apgrozījuma kontrolei, sodu piemērošanai, e-pavadzīmju ieviešanai, PVN </w:t>
      </w:r>
      <w:r w:rsidRPr="005565F8">
        <w:t>krāpniecības</w:t>
      </w:r>
      <w:r w:rsidRPr="005565F8">
        <w:t xml:space="preserve"> risku novēršanai, noziedzīgi iegūtu līdzekļu legalizācijas </w:t>
      </w:r>
      <w:r w:rsidRPr="005565F8">
        <w:t>novēršanai, regulējuma vienkāršošanai, komunikācijai un izglītošanai</w:t>
      </w:r>
      <w:r w:rsidRPr="005565F8" w:rsidR="005578A6">
        <w:t xml:space="preserve"> (skat. </w:t>
      </w:r>
      <w:r w:rsidR="00AD5CFE">
        <w:t>3.</w:t>
      </w:r>
      <w:r w:rsidRPr="005565F8" w:rsidR="005578A6">
        <w:t>4.ielikumu)</w:t>
      </w:r>
      <w:r w:rsidRPr="005565F8">
        <w:t>.</w:t>
      </w:r>
    </w:p>
    <w:p w:rsidR="00C71E56" w:rsidRPr="005565F8" w:rsidP="007547EA" w14:paraId="1DFA15A8" w14:textId="77777777">
      <w:pPr>
        <w:rPr>
          <w:b/>
          <w:szCs w:val="20"/>
        </w:rPr>
        <w:sectPr w:rsidSect="003D0310">
          <w:type w:val="continuous"/>
          <w:pgSz w:w="11906" w:h="16838" w:code="9"/>
          <w:pgMar w:top="1134" w:right="1134" w:bottom="1134" w:left="1134" w:header="709" w:footer="709" w:gutter="0"/>
          <w:cols w:num="2" w:space="340"/>
          <w:titlePg/>
          <w:docGrid w:linePitch="360"/>
        </w:sectPr>
      </w:pPr>
      <w:r w:rsidRPr="005565F8">
        <w:t>2017.</w:t>
      </w:r>
      <w:r w:rsidRPr="005565F8" w:rsidR="007547EA">
        <w:t xml:space="preserve">gadā LBAS un LDDK uzsāka īstenot ESF </w:t>
      </w:r>
      <w:r w:rsidRPr="005565F8" w:rsidR="007547EA">
        <w:t>līdzdzfinansētu</w:t>
      </w:r>
      <w:r w:rsidRPr="005565F8" w:rsidR="007547EA">
        <w:t xml:space="preserve"> projektu </w:t>
      </w:r>
      <w:r w:rsidRPr="005565F8" w:rsidR="007547EA">
        <w:rPr>
          <w:i/>
        </w:rPr>
        <w:t>Sociālā dialoga attīstība labāka tiesiskā regulējuma izstrādē uzņēmējdarbības atbalsta jomā</w:t>
      </w:r>
      <w:r w:rsidRPr="005565F8" w:rsidR="007547EA">
        <w:t>, kura mērķis ir nodrošināt divpusējā nozaru sociālā dialoga attīst</w:t>
      </w:r>
      <w:r w:rsidRPr="005565F8" w:rsidR="007B1411">
        <w:t xml:space="preserve">ību prioritāri piecās nozarēs – </w:t>
      </w:r>
      <w:r w:rsidRPr="005565F8" w:rsidR="007547EA">
        <w:t>kokrūpniecībā, ķīmiskajā rūpniecībā un tās saskarnozarēs, būvniecībā, transportā un loģistikā, telekomunikācijās un sakaros. Projekta rezultātā</w:t>
      </w:r>
      <w:r w:rsidRPr="005565F8" w:rsidR="00E07F59">
        <w:t xml:space="preserve"> </w:t>
      </w:r>
      <w:r w:rsidRPr="005565F8" w:rsidR="000739F1">
        <w:t xml:space="preserve">katrā no </w:t>
      </w:r>
      <w:r w:rsidRPr="005565F8" w:rsidR="00E07F59">
        <w:t>minētaj</w:t>
      </w:r>
      <w:r w:rsidRPr="005565F8" w:rsidR="000739F1">
        <w:t>ām</w:t>
      </w:r>
      <w:r w:rsidRPr="005565F8" w:rsidR="00E07F59">
        <w:t xml:space="preserve"> nozarē</w:t>
      </w:r>
      <w:r w:rsidRPr="005565F8" w:rsidR="000739F1">
        <w:t>m</w:t>
      </w:r>
      <w:r w:rsidRPr="005565F8" w:rsidR="00E07F59">
        <w:t xml:space="preserve"> </w:t>
      </w:r>
      <w:r w:rsidRPr="005565F8" w:rsidR="007547EA">
        <w:t xml:space="preserve">plānots noslēgt </w:t>
      </w:r>
      <w:r w:rsidRPr="005565F8" w:rsidR="007547EA">
        <w:t>ģenerālvienošan</w:t>
      </w:r>
      <w:r w:rsidRPr="005565F8" w:rsidR="00E07F59">
        <w:t>o</w:t>
      </w:r>
      <w:r w:rsidRPr="005565F8" w:rsidR="007547EA">
        <w:t>s</w:t>
      </w:r>
      <w:r w:rsidRPr="005565F8" w:rsidR="007547EA">
        <w:t>, tiesiski regulējot nozar</w:t>
      </w:r>
      <w:r w:rsidRPr="005565F8" w:rsidR="000739F1">
        <w:t>ei svarīgu</w:t>
      </w:r>
      <w:r w:rsidRPr="005565F8" w:rsidR="007547EA">
        <w:t xml:space="preserve">s jautājumus. </w:t>
      </w:r>
    </w:p>
    <w:p w:rsidR="00AD5CFE" w:rsidRPr="00AD5CFE" w:rsidP="00AD5CFE" w14:paraId="670D5810" w14:textId="30D7EE10">
      <w:pPr>
        <w:spacing w:after="0"/>
        <w:rPr>
          <w:sz w:val="2"/>
        </w:rPr>
      </w:pPr>
      <w:r w:rsidRPr="00AD5CFE">
        <w:rPr>
          <w:b/>
          <w:szCs w:val="20"/>
        </w:rPr>
        <w:br w:type="column"/>
      </w:r>
    </w:p>
    <w:p w:rsidR="00AD5CFE" w:rsidRPr="00AD5CFE" w:rsidP="00AD5CFE" w14:paraId="66D4B9EC"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sz w:val="4"/>
          <w:szCs w:val="4"/>
        </w:rPr>
      </w:pPr>
    </w:p>
    <w:p w:rsidR="00BF69C0" w:rsidRPr="005565F8" w:rsidP="00BF69C0" w14:paraId="49E8CF83" w14:textId="1AF29365">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w:t>
      </w:r>
      <w:r w:rsidRPr="005565F8" w:rsidR="005578A6">
        <w:rPr>
          <w:rFonts w:ascii="Calibri Light" w:hAnsi="Calibri Light"/>
          <w:sz w:val="16"/>
          <w:szCs w:val="16"/>
        </w:rPr>
        <w:t>4</w:t>
      </w:r>
      <w:r w:rsidRPr="005565F8">
        <w:rPr>
          <w:rFonts w:ascii="Calibri Light" w:hAnsi="Calibri Light"/>
          <w:sz w:val="16"/>
          <w:szCs w:val="16"/>
        </w:rPr>
        <w:t>.ielikums.</w:t>
      </w:r>
    </w:p>
    <w:p w:rsidR="00BF69C0" w:rsidRPr="005565F8" w:rsidP="00BF69C0" w14:paraId="036DADFC"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rPr>
          <w:rFonts w:ascii="Calibri Light" w:eastAsia="Verdana" w:hAnsi="Calibri Light"/>
          <w:color w:val="000000"/>
          <w:kern w:val="24"/>
          <w:sz w:val="16"/>
          <w:szCs w:val="16"/>
          <w:lang w:eastAsia="lv-LV"/>
        </w:rPr>
      </w:pPr>
      <w:r w:rsidRPr="005565F8">
        <w:rPr>
          <w:rFonts w:ascii="Calibri Light" w:hAnsi="Calibri Light"/>
          <w:b/>
          <w:szCs w:val="16"/>
        </w:rPr>
        <w:t>Ēnu ekonomikas apkarošanas pasākumi</w:t>
      </w:r>
      <w:r w:rsidRPr="005565F8">
        <w:rPr>
          <w:rFonts w:ascii="Calibri Light" w:eastAsia="Verdana" w:hAnsi="Calibri Light"/>
          <w:color w:val="000000"/>
          <w:kern w:val="24"/>
          <w:sz w:val="16"/>
          <w:szCs w:val="16"/>
          <w:lang w:eastAsia="lv-LV"/>
        </w:rPr>
        <w:t xml:space="preserve"> </w:t>
      </w:r>
    </w:p>
    <w:p w:rsidR="00C71E56" w:rsidRPr="005565F8" w:rsidP="00BF69C0" w14:paraId="21B84469"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i/>
          <w:color w:val="000000"/>
          <w:kern w:val="24"/>
          <w:sz w:val="16"/>
          <w:szCs w:val="16"/>
          <w:lang w:eastAsia="lv-LV"/>
        </w:rPr>
        <w:t>Ēnu ekonomikas ierobežošanas plāna</w:t>
      </w:r>
      <w:r w:rsidRPr="005565F8">
        <w:rPr>
          <w:rFonts w:ascii="Calibri Light" w:eastAsia="Verdana" w:hAnsi="Calibri Light"/>
          <w:color w:val="000000"/>
          <w:kern w:val="24"/>
          <w:sz w:val="16"/>
          <w:szCs w:val="16"/>
          <w:lang w:eastAsia="lv-LV"/>
        </w:rPr>
        <w:t xml:space="preserve"> īstenošanas ietvaros tika stiprināta VID sadarbība ar citām institūcijām, efektīvi izmantojot datu apmaiņas iespēju ar nolūku nodrošināt preventīvas darbības attiecībā uz nodokļu nemaksāšanas risku novēršanu un veicināt noziedzīgu darījumu atklāšanu.</w:t>
      </w:r>
    </w:p>
    <w:p w:rsidR="00C71E56" w:rsidRPr="005565F8" w:rsidP="00BF69C0" w14:paraId="35253BE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Tika veikti </w:t>
      </w:r>
      <w:r w:rsidRPr="005565F8">
        <w:rPr>
          <w:rFonts w:ascii="Calibri Light" w:eastAsia="Verdana" w:hAnsi="Calibri Light"/>
          <w:i/>
          <w:color w:val="000000"/>
          <w:kern w:val="24"/>
          <w:sz w:val="16"/>
          <w:szCs w:val="16"/>
          <w:lang w:eastAsia="lv-LV"/>
        </w:rPr>
        <w:t>Grozījumi likumā par nodokļiem un nodevām</w:t>
      </w:r>
      <w:r w:rsidRPr="005565F8">
        <w:rPr>
          <w:rFonts w:ascii="Calibri Light" w:eastAsia="Verdana" w:hAnsi="Calibri Light"/>
          <w:color w:val="000000"/>
          <w:kern w:val="24"/>
          <w:sz w:val="16"/>
          <w:szCs w:val="16"/>
          <w:lang w:eastAsia="lv-LV"/>
        </w:rPr>
        <w:t>, kas nosaka, ka ar 2017.gada 1.janvāri visi likuma subjekti sniedz informāciju</w:t>
      </w:r>
      <w:r w:rsidRPr="005565F8" w:rsidR="007E1D70">
        <w:rPr>
          <w:rFonts w:ascii="Calibri Light" w:eastAsia="Verdana" w:hAnsi="Calibri Light"/>
          <w:color w:val="000000"/>
          <w:kern w:val="24"/>
          <w:sz w:val="16"/>
          <w:szCs w:val="16"/>
          <w:lang w:eastAsia="lv-LV"/>
        </w:rPr>
        <w:t xml:space="preserve"> VID</w:t>
      </w:r>
      <w:r w:rsidRPr="005565F8">
        <w:rPr>
          <w:rFonts w:ascii="Calibri Light" w:eastAsia="Verdana" w:hAnsi="Calibri Light"/>
          <w:color w:val="000000"/>
          <w:kern w:val="24"/>
          <w:sz w:val="16"/>
          <w:szCs w:val="16"/>
          <w:lang w:eastAsia="lv-LV"/>
        </w:rPr>
        <w:t xml:space="preserve"> par aizdomīgiem darījumiem nodokļu jomā. Likuma subjektu sniegtā informācija par klientu veiktajiem aizdomīgajiem darījumiem tiek izvērtēta kopsakarā ar VID rīcībā esošo informāciju, veicot nodokļu maksātāju datu analīzi un plānojot kontroles pasākumus, lai atklātu un novērstu likumpārkāpumus. Nodokļu maksātāju datu analīzes rezultātā tiek vērtēta fizisko personu un juridisko personu darījumu apjoma atbilstība gūto ienākumu apjomam, nodokļu maksātāja darījumi bez acīmredzama likumīga nolūka vai saistības ar norādīto saimniecisko darbību, kā arī neskaidru darījumos izmantoto līdzekļu izcelsme, fiktīvie darījuma partneri un nenosakāmi patiesā labuma guvēji. Uzmanība tiek pievērsta arī ziņojumos iekļautajai informācijai, kur darījumu kopējā vērtība ir lielāka par 50 minimālo mēnešalgu kopsummu, kā arī personām, kuras saņem darba algas ieskaitījumus (pārsvarā nelielus) un papildus regulāri katru mēnesi veic skaidras naudas iemaksas savos privātajos kontos, kā rezultātā ir konstatēti vairāki “aplokšņu” algu izmaksu gadījumi. </w:t>
      </w:r>
    </w:p>
    <w:p w:rsidR="00C71E56" w:rsidRPr="005565F8" w:rsidP="00BF69C0" w14:paraId="7077B288"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Lai mazinātu fiktīvu uzņēmumu piesaisti, neidentificētu darbinieku nodarbināšanu un uzlabotu situāciju attiecībā uz nodokļu nomaksu par nodarbinātajiem būvniecībā, sākot ar 2017.gada 1.oktobri ir ieviesta brīvprātīgā elektroniskā darba laika uzskaite būvlaukumā.</w:t>
      </w:r>
    </w:p>
    <w:p w:rsidR="00C71E56" w:rsidRPr="005565F8" w:rsidP="00BF69C0" w14:paraId="3B08EC4A"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Lai ierobežotu iespēju personām legalizēt naudas līdzekļus, kas iegūti, iesaistoties ēnu ekonomikā, kā arī samazinot iespēju personai izvairīties no nodokļu nomaksas, ieviesti papildu nosacījumi skaidras naudas darījumiem starp fiziskām personām un mantošanas procesā saņemtas kustāmās nereģistrētās mantas (t.sk. naudas) izcelsmes pārbaude. </w:t>
      </w:r>
    </w:p>
    <w:p w:rsidR="00C71E56" w:rsidRPr="005565F8" w:rsidP="00BF69C0" w14:paraId="605DA77A"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Skaidras naudas apgrozījuma kontroles pastiprināšanai plānots organizēt arī </w:t>
      </w:r>
      <w:r w:rsidRPr="005565F8">
        <w:rPr>
          <w:rFonts w:ascii="Calibri Light" w:eastAsia="Verdana" w:hAnsi="Calibri Light"/>
          <w:i/>
          <w:color w:val="000000"/>
          <w:kern w:val="24"/>
          <w:sz w:val="16"/>
          <w:szCs w:val="16"/>
          <w:lang w:eastAsia="lv-LV"/>
        </w:rPr>
        <w:t xml:space="preserve">Čeku </w:t>
      </w:r>
      <w:r w:rsidRPr="005565F8" w:rsidR="00CD5D5A">
        <w:rPr>
          <w:rFonts w:ascii="Calibri Light" w:eastAsia="Verdana" w:hAnsi="Calibri Light"/>
          <w:i/>
          <w:color w:val="000000"/>
          <w:kern w:val="24"/>
          <w:sz w:val="16"/>
          <w:szCs w:val="16"/>
          <w:lang w:eastAsia="lv-LV"/>
        </w:rPr>
        <w:t>spēl</w:t>
      </w:r>
      <w:r w:rsidRPr="005565F8" w:rsidR="00565C8A">
        <w:rPr>
          <w:rFonts w:ascii="Calibri Light" w:eastAsia="Verdana" w:hAnsi="Calibri Light"/>
          <w:i/>
          <w:color w:val="000000"/>
          <w:kern w:val="24"/>
          <w:sz w:val="16"/>
          <w:szCs w:val="16"/>
          <w:lang w:eastAsia="lv-LV"/>
        </w:rPr>
        <w:t>i</w:t>
      </w:r>
      <w:r w:rsidRPr="005565F8" w:rsidR="00565C8A">
        <w:rPr>
          <w:rFonts w:ascii="Calibri Light" w:eastAsia="Verdana" w:hAnsi="Calibri Light"/>
          <w:color w:val="000000"/>
          <w:kern w:val="24"/>
          <w:sz w:val="16"/>
          <w:szCs w:val="16"/>
          <w:lang w:eastAsia="lv-LV"/>
        </w:rPr>
        <w:t xml:space="preserve">, </w:t>
      </w:r>
      <w:r w:rsidRPr="005565F8">
        <w:rPr>
          <w:rFonts w:ascii="Calibri Light" w:eastAsia="Verdana" w:hAnsi="Calibri Light"/>
          <w:color w:val="000000"/>
          <w:kern w:val="24"/>
          <w:sz w:val="16"/>
          <w:szCs w:val="16"/>
          <w:lang w:eastAsia="lv-LV"/>
        </w:rPr>
        <w:t xml:space="preserve">kuras mērķis </w:t>
      </w:r>
      <w:r w:rsidRPr="005565F8" w:rsidR="00565C8A">
        <w:rPr>
          <w:rFonts w:ascii="Calibri Light" w:eastAsia="Verdana" w:hAnsi="Calibri Light"/>
          <w:color w:val="000000"/>
          <w:kern w:val="24"/>
          <w:sz w:val="16"/>
          <w:szCs w:val="16"/>
          <w:lang w:eastAsia="lv-LV"/>
        </w:rPr>
        <w:t xml:space="preserve">veicināt </w:t>
      </w:r>
      <w:r w:rsidRPr="005565F8" w:rsidR="00CD5D5A">
        <w:rPr>
          <w:rFonts w:ascii="Calibri Light" w:eastAsia="Verdana" w:hAnsi="Calibri Light"/>
          <w:color w:val="000000"/>
          <w:kern w:val="24"/>
          <w:sz w:val="16"/>
          <w:szCs w:val="16"/>
          <w:lang w:eastAsia="lv-LV"/>
        </w:rPr>
        <w:t>nodokļu saistību brīvprātīgu izpildi, mazinot ēnu ekonomiku un aicinot iedzīvotājus pieprasīt no saimnieciskās darbības veicējiem un komersantiem darījumu apliecinošu dokumentu</w:t>
      </w:r>
      <w:r w:rsidRPr="005565F8">
        <w:rPr>
          <w:rFonts w:ascii="Calibri Light" w:eastAsia="Verdana" w:hAnsi="Calibri Light"/>
          <w:color w:val="000000"/>
          <w:kern w:val="24"/>
          <w:sz w:val="16"/>
          <w:szCs w:val="16"/>
          <w:lang w:eastAsia="lv-LV"/>
        </w:rPr>
        <w:t>.</w:t>
      </w:r>
    </w:p>
    <w:p w:rsidR="00C71E56" w:rsidRPr="005565F8" w:rsidP="00BF69C0" w14:paraId="03EECFF0"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Tāpat plānots izveidot transporta kustības kontroles sistēmu, nodrošinot e-pavadzīmju ieviešanu, lai samazinātu iespējamo neuzrādīto preču kustību. Transporta jomā plānots arī pilnveidot taksometru un citu pārvadātāju licencēšanas noteikumus, lai nodrošinātu vienoto uzraudzību par veiktā darba apjomu un nodokļu nomaksu pasažieru pārvadājumos ar vieglajiem automobiļiem, ņemot vērā, ka taksometru pakalpojumu sniegšana ir visvairāk pakļauta ēnu ekonomikai un tajā ir augsts nodokļu nemaksāšanas risks.</w:t>
      </w:r>
    </w:p>
    <w:p w:rsidR="00C71E56" w:rsidRPr="005565F8" w:rsidP="00BF69C0" w14:paraId="7BABCAC7"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Ar mērķi mazināt </w:t>
      </w:r>
      <w:r w:rsidRPr="005565F8" w:rsidR="003B4AEE">
        <w:rPr>
          <w:rFonts w:ascii="Calibri Light" w:eastAsia="Verdana" w:hAnsi="Calibri Light"/>
          <w:color w:val="000000"/>
          <w:kern w:val="24"/>
          <w:sz w:val="16"/>
          <w:szCs w:val="16"/>
          <w:lang w:eastAsia="lv-LV"/>
        </w:rPr>
        <w:t xml:space="preserve">PVN </w:t>
      </w:r>
      <w:r w:rsidRPr="005565F8">
        <w:rPr>
          <w:rFonts w:ascii="Calibri Light" w:eastAsia="Verdana" w:hAnsi="Calibri Light"/>
          <w:color w:val="000000"/>
          <w:kern w:val="24"/>
          <w:sz w:val="16"/>
          <w:szCs w:val="16"/>
          <w:lang w:eastAsia="lv-LV"/>
        </w:rPr>
        <w:t>krāp</w:t>
      </w:r>
      <w:r w:rsidRPr="005565F8" w:rsidR="003B4AEE">
        <w:rPr>
          <w:rFonts w:ascii="Calibri Light" w:eastAsia="Verdana" w:hAnsi="Calibri Light"/>
          <w:color w:val="000000"/>
          <w:kern w:val="24"/>
          <w:sz w:val="16"/>
          <w:szCs w:val="16"/>
          <w:lang w:eastAsia="lv-LV"/>
        </w:rPr>
        <w:t>niecības</w:t>
      </w:r>
      <w:r w:rsidRPr="005565F8">
        <w:rPr>
          <w:rFonts w:ascii="Calibri Light" w:eastAsia="Verdana" w:hAnsi="Calibri Light"/>
          <w:color w:val="000000"/>
          <w:kern w:val="24"/>
          <w:sz w:val="16"/>
          <w:szCs w:val="16"/>
          <w:lang w:eastAsia="lv-LV"/>
        </w:rPr>
        <w:t xml:space="preserve"> gadījumus darījumos ar transportlīdzekļiem, sākot ar 2017.gada 1.janvāri tika noteikts, ka juridiskai personai savā īpašumā vai valdījumā reģistrējot transportlīdzekli, kura izlaiduma gads ir kārtējais gads vai pieci iepriekšējie gadi un kura kategorija ir M1 (</w:t>
      </w:r>
      <w:r w:rsidRPr="005565F8" w:rsidR="001F103B">
        <w:rPr>
          <w:rFonts w:ascii="Calibri Light" w:eastAsia="Verdana" w:hAnsi="Calibri Light"/>
          <w:color w:val="000000"/>
          <w:kern w:val="24"/>
          <w:sz w:val="16"/>
          <w:szCs w:val="16"/>
          <w:lang w:eastAsia="lv-LV"/>
        </w:rPr>
        <w:t>t.sk.</w:t>
      </w:r>
      <w:r w:rsidRPr="005565F8">
        <w:rPr>
          <w:rFonts w:ascii="Calibri Light" w:eastAsia="Verdana" w:hAnsi="Calibri Light"/>
          <w:color w:val="000000"/>
          <w:kern w:val="24"/>
          <w:sz w:val="16"/>
          <w:szCs w:val="16"/>
          <w:lang w:eastAsia="lv-LV"/>
        </w:rPr>
        <w:t xml:space="preserve"> M1G) vai N1 (</w:t>
      </w:r>
      <w:r w:rsidRPr="005565F8" w:rsidR="001F103B">
        <w:rPr>
          <w:rFonts w:ascii="Calibri Light" w:eastAsia="Verdana" w:hAnsi="Calibri Light"/>
          <w:color w:val="000000"/>
          <w:kern w:val="24"/>
          <w:sz w:val="16"/>
          <w:szCs w:val="16"/>
          <w:lang w:eastAsia="lv-LV"/>
        </w:rPr>
        <w:t>t.sk.</w:t>
      </w:r>
      <w:r w:rsidRPr="005565F8">
        <w:rPr>
          <w:rFonts w:ascii="Calibri Light" w:eastAsia="Verdana" w:hAnsi="Calibri Light"/>
          <w:color w:val="000000"/>
          <w:kern w:val="24"/>
          <w:sz w:val="16"/>
          <w:szCs w:val="16"/>
          <w:lang w:eastAsia="lv-LV"/>
        </w:rPr>
        <w:t xml:space="preserve"> N1G) un kas iegādāts citā ES dalībvalstī un tiek pirmoreiz reģistrēts Latvijā, vai kas gada laikā pēc tā pirmās reģistrācijas Latvijā atkārtoti iegādāts citā ES dalībvalstī un tiek atkārtoti reģistrēts Latvijā, CSDD vienlaikus ar transportlīdzekļa reģistrāciju reģistrē atsavināšanas aizliegumu uz 15 dienām</w:t>
      </w:r>
      <w:r w:rsidRPr="005565F8" w:rsidR="00A3572A">
        <w:rPr>
          <w:rFonts w:ascii="Calibri Light" w:eastAsia="Verdana" w:hAnsi="Calibri Light"/>
          <w:color w:val="000000"/>
          <w:kern w:val="24"/>
          <w:sz w:val="16"/>
          <w:szCs w:val="16"/>
          <w:lang w:eastAsia="lv-LV"/>
        </w:rPr>
        <w:t>,</w:t>
      </w:r>
      <w:r w:rsidRPr="005565F8" w:rsidR="00B92070">
        <w:rPr>
          <w:rFonts w:ascii="Calibri Light" w:eastAsia="Verdana" w:hAnsi="Calibri Light"/>
          <w:color w:val="000000"/>
          <w:kern w:val="24"/>
          <w:sz w:val="16"/>
          <w:szCs w:val="16"/>
          <w:lang w:eastAsia="lv-LV"/>
        </w:rPr>
        <w:t xml:space="preserve"> </w:t>
      </w:r>
      <w:r w:rsidRPr="005565F8" w:rsidR="00A3572A">
        <w:rPr>
          <w:rFonts w:ascii="Calibri Light" w:eastAsia="Verdana" w:hAnsi="Calibri Light"/>
          <w:color w:val="000000"/>
          <w:kern w:val="24"/>
          <w:sz w:val="16"/>
          <w:szCs w:val="16"/>
          <w:lang w:eastAsia="lv-LV"/>
        </w:rPr>
        <w:t>kuru laikā</w:t>
      </w:r>
      <w:r w:rsidRPr="005565F8">
        <w:rPr>
          <w:rFonts w:ascii="Calibri Light" w:eastAsia="Verdana" w:hAnsi="Calibri Light"/>
          <w:color w:val="000000"/>
          <w:kern w:val="24"/>
          <w:sz w:val="16"/>
          <w:szCs w:val="16"/>
          <w:lang w:eastAsia="lv-LV"/>
        </w:rPr>
        <w:t xml:space="preserve"> </w:t>
      </w:r>
      <w:r w:rsidRPr="005565F8" w:rsidR="00A3572A">
        <w:rPr>
          <w:rFonts w:ascii="Calibri Light" w:eastAsia="Verdana" w:hAnsi="Calibri Light"/>
          <w:color w:val="000000"/>
          <w:kern w:val="24"/>
          <w:sz w:val="16"/>
          <w:szCs w:val="16"/>
          <w:lang w:eastAsia="lv-LV"/>
        </w:rPr>
        <w:t>VID saskaņā ar normatīvajiem aktiem par nodokļiem un nodevām saistībā ar šo transportlīdzekli veic nodokļu administrēšanas pasākumus</w:t>
      </w:r>
      <w:r w:rsidRPr="005565F8" w:rsidR="00B92070">
        <w:rPr>
          <w:rFonts w:ascii="Calibri Light" w:eastAsia="Verdana" w:hAnsi="Calibri Light"/>
          <w:color w:val="000000"/>
          <w:kern w:val="24"/>
          <w:sz w:val="16"/>
          <w:szCs w:val="16"/>
          <w:lang w:eastAsia="lv-LV"/>
        </w:rPr>
        <w:t>.</w:t>
      </w:r>
    </w:p>
    <w:p w:rsidR="00C71E56" w:rsidRPr="005565F8" w:rsidP="00BF69C0" w14:paraId="088F350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VID no citu valstu nodokļu administrācijām saņem informāciju par Latvijas rezidentu atvērtajiem kontiem attiecīgajās ārvalstu finanšu iestādēs. 2017.gadā ir veikta pirmā informācijas apmaiņa par nerezidentu finanšu kontiem</w:t>
      </w:r>
      <w:r>
        <w:rPr>
          <w:rStyle w:val="FootnoteReference"/>
          <w:rFonts w:ascii="Calibri Light" w:eastAsia="Verdana" w:hAnsi="Calibri Light"/>
          <w:color w:val="000000"/>
          <w:kern w:val="24"/>
          <w:sz w:val="16"/>
          <w:szCs w:val="16"/>
          <w:lang w:eastAsia="lv-LV"/>
        </w:rPr>
        <w:footnoteReference w:id="28"/>
      </w:r>
      <w:r w:rsidRPr="005565F8">
        <w:rPr>
          <w:rFonts w:ascii="Calibri Light" w:eastAsia="Verdana" w:hAnsi="Calibri Light"/>
          <w:color w:val="000000"/>
          <w:kern w:val="24"/>
          <w:sz w:val="16"/>
          <w:szCs w:val="16"/>
          <w:lang w:eastAsia="lv-LV"/>
        </w:rPr>
        <w:t>. Rezultātā ir saņemti dati par Latvijas rezidentu finanšu kontiem no 27 ES dalībvalstīm un 14 trešajām valstīm. Datu noliktavas sistēmā šobrīd ir pieejami no Latvijas finanšu iestādēm saņemtie dati. Notiek darbs pie izmaiņu veikšanas VID IS, lai būtu iespējams saņemtos datus izmantot VID darbā.</w:t>
      </w:r>
    </w:p>
    <w:p w:rsidR="00C71E56" w:rsidRPr="005565F8" w:rsidP="00BF69C0" w14:paraId="78F1DD0D"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2016.gadā visām nodokļu plaisām saglabājās samazinājuma tendence. PVN plaisa deklarēšanās posmā  samazinājās par 0,5 procentpunktiem, IIN plaisa deklarēšanās posmā samazinājās par 2,5 procentpunktiem, VSAOI plaisa deklarēšanās posmā samazinājās par 2,4 procentpunktiem. 2018.gadā tiks veikti nodokļu plaisu aprēķini par 2017.gadu. Tiek prognozēts, ka šo nodokļu plaisas turpinās samazināties par 0,7-0,9 procentpunktiem. </w:t>
      </w:r>
    </w:p>
    <w:p w:rsidR="00C71E56" w:rsidRPr="005565F8" w:rsidP="00BF69C0" w14:paraId="71BA2C90"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Ar mērķi mazināt </w:t>
      </w:r>
      <w:r w:rsidRPr="005565F8">
        <w:rPr>
          <w:rFonts w:ascii="Calibri Light" w:eastAsia="Verdana" w:hAnsi="Calibri Light"/>
          <w:color w:val="000000"/>
          <w:kern w:val="24"/>
          <w:sz w:val="16"/>
          <w:szCs w:val="16"/>
          <w:lang w:eastAsia="lv-LV"/>
        </w:rPr>
        <w:t>krāpniecības</w:t>
      </w:r>
      <w:r w:rsidRPr="005565F8">
        <w:rPr>
          <w:rFonts w:ascii="Calibri Light" w:eastAsia="Verdana" w:hAnsi="Calibri Light"/>
          <w:color w:val="000000"/>
          <w:kern w:val="24"/>
          <w:sz w:val="16"/>
          <w:szCs w:val="16"/>
          <w:lang w:eastAsia="lv-LV"/>
        </w:rPr>
        <w:t xml:space="preserve"> riskus PVN jomā nozarēs, kurās ir konstatēts augsts PVN krāpšanas risks, 2018.gadā turpina darboties uz ierobežotu laika periodu ieviestā tā sauktā reversā jeb apgrieztā PVN maksāšanas kārtība. </w:t>
      </w:r>
    </w:p>
    <w:p w:rsidR="00C71E56" w:rsidRPr="005565F8" w:rsidP="00BF69C0" w14:paraId="0E4C7F6F"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Lai veicinātu godīgu konkurenci uzņēmējdarbībā un veicinātu ekonomikas attīstību, samazināts ar PVN apliekamo darījumu slieksnis reģistrācijai VID PVN maksātāju reģistrā no 50 tūkst. EUR uz 40 tūkst. EUR. Tāpat ir samazināts PVN deklarācijas pielikumos atšifrējamo darījumu slieksnis darījumos starp reģistrētiem iekšzemes PVN maksātājiem no 1 430 EUR uz 150 EUR. Tas veicinās PVN plaisas samazināšanu un līdz ar to PVN </w:t>
      </w:r>
      <w:r w:rsidRPr="005565F8">
        <w:rPr>
          <w:rFonts w:ascii="Calibri Light" w:eastAsia="Verdana" w:hAnsi="Calibri Light"/>
          <w:color w:val="000000"/>
          <w:kern w:val="24"/>
          <w:sz w:val="16"/>
          <w:szCs w:val="16"/>
          <w:lang w:eastAsia="lv-LV"/>
        </w:rPr>
        <w:t>krāpniecības</w:t>
      </w:r>
      <w:r w:rsidRPr="005565F8">
        <w:rPr>
          <w:rFonts w:ascii="Calibri Light" w:eastAsia="Verdana" w:hAnsi="Calibri Light"/>
          <w:color w:val="000000"/>
          <w:kern w:val="24"/>
          <w:sz w:val="16"/>
          <w:szCs w:val="16"/>
          <w:lang w:eastAsia="lv-LV"/>
        </w:rPr>
        <w:t xml:space="preserve"> apkarošanu, kā arī izvairīšanos no PVN samaksas valsts budžetā novēršanu.</w:t>
      </w:r>
    </w:p>
    <w:p w:rsidR="00C71E56" w:rsidRPr="005565F8" w:rsidP="00BF69C0" w14:paraId="27C18730"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Ar 2018.gada 1.janvāri līdz 2020.gada 31.decembrim ir ieviesta PVN samazinātā likme 5% apmērā konkrēti noteiktu svaigu augļu, ogu un dārzeņu piegādēm, paredzot, ka tas pozitīvi ietekmēs tautsaimniecību un mazinās ēnu ekonomikas īpatsvaru. </w:t>
      </w:r>
    </w:p>
    <w:p w:rsidR="00C71E56" w:rsidRPr="005565F8" w:rsidP="00BF69C0" w14:paraId="466C0950"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2017.gada 1.augustā spēkā stājās virkne likumprojektu</w:t>
      </w:r>
      <w:r>
        <w:rPr>
          <w:rStyle w:val="FootnoteReference"/>
          <w:rFonts w:ascii="Calibri Light" w:eastAsia="Verdana" w:hAnsi="Calibri Light"/>
          <w:color w:val="000000"/>
          <w:kern w:val="24"/>
          <w:sz w:val="16"/>
          <w:szCs w:val="16"/>
          <w:lang w:eastAsia="lv-LV"/>
        </w:rPr>
        <w:footnoteReference w:id="29"/>
      </w:r>
      <w:r w:rsidRPr="005565F8">
        <w:rPr>
          <w:rFonts w:ascii="Calibri Light" w:eastAsia="Verdana" w:hAnsi="Calibri Light"/>
          <w:color w:val="000000"/>
          <w:kern w:val="24"/>
          <w:sz w:val="16"/>
          <w:szCs w:val="16"/>
          <w:lang w:eastAsia="lv-LV"/>
        </w:rPr>
        <w:t>, kas tika izstrādāti noziedzīgi iegūtas mantas konfiskācijas tiesiskā regulējuma pilnveidei, lai nodrošinātu veiksmīgāku cīņu ar noziedzīgi iegūtu līdzekļu legalizāciju, kā arī uzlabotu finanšu sektora un valsts reputāciju starptautiskā līmenī.</w:t>
      </w:r>
    </w:p>
    <w:p w:rsidR="00C71E56" w:rsidRPr="005565F8" w:rsidP="00BF69C0" w14:paraId="39AE29D7"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Ņemot vērā 4.novērtēšanas kārtas Eiropas Padomes Noziedzīgi iegūtu līdzekļu legalizācijas novēršanas pasākumu novērtēšanas ekspertu komitejas (MONEYVAL) 2012.gada 5.jūlija ziņojuma par Latviju rekomendācijas, 2018.gada 1.februārī Saeimā 2.lasījumā atbalstīts priekšlikums </w:t>
      </w:r>
      <w:r w:rsidRPr="005565F8">
        <w:rPr>
          <w:rFonts w:ascii="Calibri Light" w:eastAsia="Verdana" w:hAnsi="Calibri Light"/>
          <w:i/>
          <w:color w:val="000000"/>
          <w:kern w:val="24"/>
          <w:sz w:val="16"/>
          <w:szCs w:val="16"/>
          <w:lang w:eastAsia="lv-LV"/>
        </w:rPr>
        <w:t>Grozījumiem Kriminālprocesa likumā</w:t>
      </w:r>
      <w:r w:rsidRPr="005565F8">
        <w:rPr>
          <w:rFonts w:ascii="Calibri Light" w:eastAsia="Verdana" w:hAnsi="Calibri Light"/>
          <w:color w:val="000000"/>
          <w:kern w:val="24"/>
          <w:sz w:val="16"/>
          <w:szCs w:val="16"/>
          <w:lang w:eastAsia="lv-LV"/>
        </w:rPr>
        <w:t xml:space="preserve">, kas paredz precizēt pierādīšanas slieksni predikatīvajos noziedzīgajos nodarījumos, lai </w:t>
      </w:r>
      <w:r w:rsidRPr="005565F8">
        <w:rPr>
          <w:rFonts w:ascii="Calibri Light" w:eastAsia="Verdana" w:hAnsi="Calibri Light"/>
          <w:color w:val="000000"/>
          <w:kern w:val="24"/>
          <w:sz w:val="16"/>
          <w:szCs w:val="16"/>
          <w:lang w:eastAsia="lv-LV"/>
        </w:rPr>
        <w:t>efektivizētu</w:t>
      </w:r>
      <w:r w:rsidRPr="005565F8">
        <w:rPr>
          <w:rFonts w:ascii="Calibri Light" w:eastAsia="Verdana" w:hAnsi="Calibri Light"/>
          <w:color w:val="000000"/>
          <w:kern w:val="24"/>
          <w:sz w:val="16"/>
          <w:szCs w:val="16"/>
          <w:lang w:eastAsia="lv-LV"/>
        </w:rPr>
        <w:t xml:space="preserve"> noziedzīgi iegūtu līdzekļu legalizēšanas apkarošanu.</w:t>
      </w:r>
    </w:p>
    <w:p w:rsidR="00C71E56" w:rsidRPr="005565F8" w:rsidP="00BF69C0" w14:paraId="6987E688"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2018.gadā ir paredzēts izstrādāt jaunu nodokļu kontroles regulējumu. Pašlaik </w:t>
      </w:r>
      <w:r w:rsidRPr="005565F8">
        <w:rPr>
          <w:rFonts w:ascii="Calibri Light" w:eastAsia="Verdana" w:hAnsi="Calibri Light"/>
          <w:i/>
          <w:color w:val="000000"/>
          <w:kern w:val="24"/>
          <w:sz w:val="16"/>
          <w:szCs w:val="16"/>
          <w:lang w:eastAsia="lv-LV"/>
        </w:rPr>
        <w:t>Likums par nodokļiem un nodevām</w:t>
      </w:r>
      <w:r w:rsidRPr="005565F8">
        <w:rPr>
          <w:rFonts w:ascii="Calibri Light" w:eastAsia="Verdana" w:hAnsi="Calibri Light"/>
          <w:color w:val="000000"/>
          <w:kern w:val="24"/>
          <w:sz w:val="16"/>
          <w:szCs w:val="16"/>
          <w:lang w:eastAsia="lv-LV"/>
        </w:rPr>
        <w:t xml:space="preserve"> paredz vairākus nodokļu kontroles pasākumu veidus, kuriem ir noteiktas dažādas definīcijas un atšķirīgi procesuālie nosacījumi, kas ne tikai apgrūtina nodokļu administrēšanu, bet arī mulsina nodokļu maksātājus. Ar jaunu nodokļu kontroles regulējumu ir paredzēts padarīt nodokļu kontroles procesu efektīvāku gan rezultātu, gan patērēto resursu ziņā, kā arī saprotamāku nodokļu maksātājiem.</w:t>
      </w:r>
    </w:p>
    <w:p w:rsidR="00C71E56" w:rsidRPr="005565F8" w:rsidP="00BF69C0" w14:paraId="1DA3EFE9"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Papildus minētajam tikts turpinātas arī publiskās kampaņas nodokļu maksāšanas disciplīnas ievērošanai un iedzīvotāju izpratnes paaugstināšanai par godprātīgas nodokļu nomaksas nozīmīgumu valsts ilgtermiņa attīstībai.</w:t>
      </w:r>
    </w:p>
    <w:p w:rsidR="00BF69C0" w:rsidRPr="005565F8" w:rsidP="00BF69C0" w14:paraId="353784D4"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4"/>
          <w:szCs w:val="16"/>
          <w:lang w:eastAsia="lv-LV"/>
        </w:rPr>
      </w:pPr>
    </w:p>
    <w:p w:rsidR="00C71E56" w:rsidRPr="005565F8" w:rsidP="00C71E56" w14:paraId="2DEF81EC" w14:textId="77777777">
      <w:pPr>
        <w:sectPr w:rsidSect="003D0310">
          <w:type w:val="continuous"/>
          <w:pgSz w:w="11906" w:h="16838" w:code="9"/>
          <w:pgMar w:top="1134" w:right="1134" w:bottom="1134" w:left="1134" w:header="709" w:footer="709" w:gutter="0"/>
          <w:cols w:space="340"/>
          <w:titlePg/>
          <w:docGrid w:linePitch="360"/>
        </w:sectPr>
      </w:pPr>
    </w:p>
    <w:p w:rsidR="00ED0FCB" w:rsidRPr="005565F8" w:rsidP="00ED0FCB" w14:paraId="58580A75" w14:textId="3929D1CB">
      <w:pPr>
        <w:pStyle w:val="Heading3"/>
      </w:pPr>
      <w:r>
        <w:br w:type="column"/>
      </w:r>
      <w:bookmarkStart w:id="51" w:name="_Toc510687746"/>
      <w:bookmarkStart w:id="52" w:name="_Toc256000014"/>
      <w:bookmarkStart w:id="53" w:name="_Toc256000049"/>
      <w:r w:rsidRPr="005565F8">
        <w:t>3.2.2. Produktīvo investīciju un eksporta veicināšana</w:t>
      </w:r>
      <w:bookmarkEnd w:id="53"/>
      <w:bookmarkEnd w:id="52"/>
      <w:bookmarkEnd w:id="51"/>
    </w:p>
    <w:p w:rsidR="00951581" w:rsidRPr="005565F8" w:rsidP="007E545F" w14:paraId="44960E89" w14:textId="77777777">
      <w:pPr>
        <w:spacing w:before="120"/>
        <w:sectPr w:rsidSect="003D0310">
          <w:type w:val="continuous"/>
          <w:pgSz w:w="11906" w:h="16838" w:code="9"/>
          <w:pgMar w:top="1134" w:right="1134" w:bottom="1134" w:left="1134" w:header="709" w:footer="709" w:gutter="0"/>
          <w:cols w:space="340"/>
          <w:titlePg/>
          <w:docGrid w:linePitch="360"/>
        </w:sectPr>
      </w:pPr>
    </w:p>
    <w:p w:rsidR="007E545F" w:rsidRPr="005565F8" w:rsidP="006F60DE" w14:paraId="4BB8640D" w14:textId="77777777">
      <w:pPr>
        <w:spacing w:before="120"/>
      </w:pPr>
      <w:r w:rsidRPr="005565F8">
        <w:t xml:space="preserve">Lai veicinātu ekonomikas strukturālās izmaiņas par labu preču un pakalpojumu ar augstāku pievienoto vērtību ražošanu 2013.gadā tika apstiprinātas </w:t>
      </w:r>
      <w:r w:rsidRPr="005565F8">
        <w:rPr>
          <w:i/>
        </w:rPr>
        <w:t>Nacionālās industriālās politikas pamatnostādnes 2014.-2020.gadam</w:t>
      </w:r>
      <w:r w:rsidRPr="005565F8" w:rsidR="006F60DE">
        <w:rPr>
          <w:i/>
        </w:rPr>
        <w:t xml:space="preserve">, </w:t>
      </w:r>
      <w:r w:rsidRPr="005565F8">
        <w:rPr>
          <w:i/>
        </w:rPr>
        <w:t>Latvijas preču un pakalpojumu eksporta veicināšanas un ārvalstu investīciju piesaistes pamatnostād</w:t>
      </w:r>
      <w:r w:rsidRPr="005565F8" w:rsidR="006F60DE">
        <w:rPr>
          <w:i/>
        </w:rPr>
        <w:t>nes</w:t>
      </w:r>
      <w:r w:rsidRPr="005565F8">
        <w:rPr>
          <w:i/>
        </w:rPr>
        <w:t xml:space="preserve"> 2013.-2019.gadam </w:t>
      </w:r>
      <w:r w:rsidRPr="005565F8">
        <w:t xml:space="preserve">un </w:t>
      </w:r>
      <w:r w:rsidRPr="005565F8">
        <w:rPr>
          <w:i/>
        </w:rPr>
        <w:t>Rīcības plān</w:t>
      </w:r>
      <w:r w:rsidRPr="005565F8" w:rsidR="006F60DE">
        <w:rPr>
          <w:i/>
        </w:rPr>
        <w:t>s</w:t>
      </w:r>
      <w:r w:rsidRPr="005565F8" w:rsidR="00143959">
        <w:rPr>
          <w:i/>
        </w:rPr>
        <w:t xml:space="preserve"> </w:t>
      </w:r>
      <w:r w:rsidRPr="005565F8">
        <w:t xml:space="preserve">to </w:t>
      </w:r>
      <w:r w:rsidRPr="005565F8">
        <w:t>ieviešanai</w:t>
      </w:r>
      <w:r w:rsidRPr="005565F8" w:rsidR="006F60DE">
        <w:t>. Augstākminēto dokumentu</w:t>
      </w:r>
      <w:r w:rsidRPr="005565F8">
        <w:t xml:space="preserve"> mērķis ir veicināt Latvijas tautsaimniecības konkurētspēju atvērtos produktu (preču un pakalpojumu) un kapitāla tirgos, sekmējot augsto un vidēji augsto tehnoloģiju nozaru produkcijas pieaugumu Latvijas eksportā, un ĀTI piesaistē fokusējoties uz ārējo pieprasījumu orientētajām nozarēm.</w:t>
      </w:r>
    </w:p>
    <w:p w:rsidR="001D2B89" w:rsidRPr="005565F8" w:rsidP="00925AED" w14:paraId="7BE32F18" w14:textId="77777777">
      <w:pPr>
        <w:sectPr w:rsidSect="003D0310">
          <w:type w:val="continuous"/>
          <w:pgSz w:w="11906" w:h="16838" w:code="9"/>
          <w:pgMar w:top="1134" w:right="1134" w:bottom="1134" w:left="1134" w:header="709" w:footer="709" w:gutter="0"/>
          <w:cols w:num="2" w:space="340"/>
          <w:titlePg/>
          <w:docGrid w:linePitch="360"/>
        </w:sectPr>
      </w:pPr>
    </w:p>
    <w:p w:rsidR="00E04703" w:rsidRPr="005565F8" w:rsidP="00E04703" w14:paraId="5592ACE5" w14:textId="77777777">
      <w:pPr>
        <w:rPr>
          <w:rFonts w:ascii="Segoe UI" w:hAnsi="Segoe UI" w:cs="Segoe UI"/>
          <w:b/>
          <w:u w:val="double"/>
        </w:rPr>
      </w:pPr>
    </w:p>
    <w:p w:rsidR="00925AED" w:rsidRPr="005565F8" w:rsidP="00925AED" w14:paraId="76FFACB9" w14:textId="77777777">
      <w:pPr>
        <w:spacing w:before="120" w:after="240"/>
        <w:rPr>
          <w:rFonts w:ascii="Segoe UI" w:hAnsi="Segoe UI" w:cs="Segoe UI"/>
          <w:b/>
          <w:u w:val="double"/>
        </w:rPr>
      </w:pPr>
      <w:r w:rsidRPr="005565F8">
        <w:rPr>
          <w:rFonts w:ascii="Segoe UI" w:hAnsi="Segoe UI" w:cs="Segoe UI"/>
          <w:b/>
          <w:u w:val="double"/>
        </w:rPr>
        <w:t>Galvenie politikas virzieni un pasākumi:</w:t>
      </w:r>
    </w:p>
    <w:p w:rsidR="00925AED" w:rsidRPr="005565F8" w:rsidP="00925AED" w14:paraId="499225C0"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Finanšu pieejamības veicināšana</w:t>
      </w:r>
    </w:p>
    <w:p w:rsidR="00925AED" w:rsidRPr="005565F8" w:rsidP="00925AED" w14:paraId="06BF0A00"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 FM, ZM/</w:t>
      </w:r>
    </w:p>
    <w:p w:rsidR="001D2B89" w:rsidRPr="005565F8" w:rsidP="00B22046" w14:paraId="69EF4DE8"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ED0FCB" w:rsidRPr="005565F8" w:rsidP="00925AED" w14:paraId="1C8CA80E" w14:textId="77777777">
      <w:pPr>
        <w:spacing w:before="240"/>
        <w:rPr>
          <w:lang w:eastAsia="lv-LV"/>
        </w:rPr>
      </w:pPr>
      <w:r w:rsidRPr="005565F8">
        <w:rPr>
          <w:lang w:eastAsia="lv-LV"/>
        </w:rPr>
        <w:t>Mērķis ir sekmēt pieejamību finansējumam komercdarbības uzsākšanai un attīstībai, sniedzot aizdevumus un riska investīcijas.</w:t>
      </w:r>
    </w:p>
    <w:p w:rsidR="007E545F" w:rsidRPr="005565F8" w:rsidP="007E545F" w14:paraId="5B17F4B4" w14:textId="77777777">
      <w:r w:rsidRPr="005565F8">
        <w:t xml:space="preserve">Lai uzlabotu finanšu resursu pieejamību (ņemot vērā veikto tirgus nepilnību </w:t>
      </w:r>
      <w:r w:rsidRPr="005565F8">
        <w:t>izvērtējuma</w:t>
      </w:r>
      <w:r w:rsidRPr="005565F8">
        <w:t xml:space="preserve"> secinājumus par komersantu pieeju finansējumam), komersantiem tiek piedāvāti </w:t>
      </w:r>
      <w:r w:rsidRPr="005565F8" w:rsidR="004B2E44">
        <w:t>dažādi</w:t>
      </w:r>
      <w:r w:rsidRPr="005565F8">
        <w:t xml:space="preserve"> atbalsta veidi finanšu instrumentu ietvaros</w:t>
      </w:r>
      <w:r w:rsidRPr="005565F8" w:rsidR="00B8108C">
        <w:t xml:space="preserve"> (skat. </w:t>
      </w:r>
      <w:r w:rsidRPr="005565F8" w:rsidR="001D2B89">
        <w:t>3.5</w:t>
      </w:r>
      <w:r w:rsidRPr="005565F8" w:rsidR="00B8108C">
        <w:t>.ielikumu).</w:t>
      </w:r>
    </w:p>
    <w:p w:rsidR="001D2B89" w:rsidRPr="005565F8" w:rsidP="007E545F" w14:paraId="41139281" w14:textId="77777777">
      <w:pPr>
        <w:sectPr w:rsidSect="003D0310">
          <w:type w:val="continuous"/>
          <w:pgSz w:w="11906" w:h="16838" w:code="9"/>
          <w:pgMar w:top="1134" w:right="1134" w:bottom="1134" w:left="1134" w:header="709" w:footer="709" w:gutter="0"/>
          <w:cols w:num="2" w:space="340"/>
          <w:titlePg/>
          <w:docGrid w:linePitch="360"/>
        </w:sectPr>
      </w:pPr>
    </w:p>
    <w:p w:rsidR="001D2B89" w:rsidRPr="005565F8" w:rsidP="001D2B89" w14:paraId="35474967"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b/>
          <w:sz w:val="4"/>
          <w:szCs w:val="16"/>
        </w:rPr>
      </w:pPr>
      <w:bookmarkStart w:id="54" w:name="_Hlk508953203"/>
    </w:p>
    <w:p w:rsidR="001D2B89" w:rsidRPr="005565F8" w:rsidP="001D2B89" w14:paraId="0AD7B190"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3.5.ielikums.</w:t>
      </w:r>
    </w:p>
    <w:p w:rsidR="001D2B89" w:rsidRPr="005565F8" w:rsidP="001D2B89" w14:paraId="0FC39D2F"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rPr>
          <w:rFonts w:ascii="Calibri Light" w:eastAsia="Verdana" w:hAnsi="Calibri Light"/>
          <w:color w:val="000000"/>
          <w:kern w:val="24"/>
          <w:sz w:val="16"/>
          <w:szCs w:val="16"/>
          <w:lang w:eastAsia="lv-LV"/>
        </w:rPr>
      </w:pPr>
      <w:r w:rsidRPr="005565F8">
        <w:rPr>
          <w:rFonts w:ascii="Calibri Light" w:hAnsi="Calibri Light"/>
          <w:b/>
          <w:szCs w:val="16"/>
        </w:rPr>
        <w:t>Dažādi komersantiem pieejamie atbalsta veidi finanšu instrumentu ietvaros</w:t>
      </w:r>
    </w:p>
    <w:p w:rsidR="001D2B89" w:rsidRPr="005565F8" w:rsidP="00AD5CFE" w14:paraId="5E71CC92"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Eksporta kredītu garantijas</w:t>
      </w:r>
      <w:r w:rsidRPr="005565F8">
        <w:rPr>
          <w:rFonts w:ascii="Calibri Light" w:eastAsia="Verdana" w:hAnsi="Calibri Light"/>
          <w:color w:val="000000"/>
          <w:kern w:val="24"/>
          <w:sz w:val="16"/>
          <w:szCs w:val="16"/>
          <w:lang w:eastAsia="lv-LV"/>
        </w:rPr>
        <w:t>, kuru mērķis ir eksportētājam nodrošināties pret ārvalstu pircēja maksātnespēju vai ilgstošu nemaksāšanu, pārdodot preces vai sniedzot pakalpojumus ar atlikto maksājumu. 2016.gada decembrī tika apstiprināti jauni MK noteikumi īstermiņa eksporta kredīta garantiju sniegšanai, saskaņā ar kuriem tiek nodrošināti labvēlīgāki nosacījumi saimnieciskās darbības veicējiem eksporta garantiju saņemšanai palielinot darījumu apmēru.</w:t>
      </w:r>
    </w:p>
    <w:p w:rsidR="001D2B89" w:rsidRPr="005565F8" w:rsidP="00AD5CFE" w14:paraId="4EC1D53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ab/>
        <w:t>Kopš 2010. gada ar valsts palīdzību ir garantēts eksports uz trešajām valstīm vairāk nekā 140 milj. EUR apmērā un šo atbalstu saņēmuši 62 uzņēmēji ~250 darījumiem – vidēji 24 milj. EUR gadā.</w:t>
      </w:r>
    </w:p>
    <w:p w:rsidR="001D2B89" w:rsidRPr="005565F8" w:rsidP="001D2B89" w14:paraId="7D1E0A40" w14:textId="75500A5E">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ab/>
        <w:t>No 2017.gada 30.maija komersantiem pieejamas arī vidēja un ilgtermiņa eksporta kredīta garantijas, kuras sedz līdz 95% no ražošanas perioda riska vai eksporta kredīta riska zaudējumiem, un līdz 100% no eksporta kredīta riska vai ražošanas perioda riska zaudējumiem;</w:t>
      </w:r>
    </w:p>
    <w:p w:rsidR="001D2B89" w:rsidRPr="005565F8" w:rsidP="001D2B89" w14:paraId="047C46F2"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Portfeļgarantijas</w:t>
      </w:r>
      <w:r w:rsidRPr="005565F8">
        <w:rPr>
          <w:rFonts w:ascii="Calibri Light" w:eastAsia="Verdana" w:hAnsi="Calibri Light"/>
          <w:color w:val="000000"/>
          <w:kern w:val="24"/>
          <w:sz w:val="16"/>
          <w:szCs w:val="16"/>
          <w:lang w:eastAsia="lv-LV"/>
        </w:rPr>
        <w:t xml:space="preserve">. 2017.gadā tika izstrādāta jauna programma – </w:t>
      </w:r>
      <w:r w:rsidRPr="005565F8">
        <w:rPr>
          <w:rFonts w:ascii="Calibri Light" w:eastAsia="Verdana" w:hAnsi="Calibri Light"/>
          <w:color w:val="000000"/>
          <w:kern w:val="24"/>
          <w:sz w:val="16"/>
          <w:szCs w:val="16"/>
          <w:lang w:eastAsia="lv-LV"/>
        </w:rPr>
        <w:t>portfeļgarantijas</w:t>
      </w:r>
      <w:r w:rsidRPr="005565F8">
        <w:rPr>
          <w:rFonts w:ascii="Calibri Light" w:eastAsia="Verdana" w:hAnsi="Calibri Light"/>
          <w:color w:val="000000"/>
          <w:kern w:val="24"/>
          <w:sz w:val="16"/>
          <w:szCs w:val="16"/>
          <w:lang w:eastAsia="lv-LV"/>
        </w:rPr>
        <w:t xml:space="preserve">, kuru mērķis ir  veicināt finansējuma pieejamību komersantiem. Programmas ietvaros 2018.gadā atlasītās kredītiestādes piedāvās komersantiem finanšu pakalpojumus ar samazinātu aizdevumu procentu likmi. Būtiskākie ieguvēji no programmas ir sīkie un mazie komersanti, kuri līdz šim nevarēja saņemt aizdevumus nepietiekama nodrošinājuma dēļ, bet kredītiestādes </w:t>
      </w:r>
      <w:r w:rsidRPr="005565F8" w:rsidR="00CF0FF1">
        <w:rPr>
          <w:rFonts w:ascii="Calibri Light" w:eastAsia="Verdana" w:hAnsi="Calibri Light"/>
          <w:color w:val="000000"/>
          <w:kern w:val="24"/>
          <w:sz w:val="16"/>
          <w:szCs w:val="16"/>
          <w:lang w:eastAsia="lv-LV"/>
        </w:rPr>
        <w:t xml:space="preserve">nepiešķīra </w:t>
      </w:r>
      <w:r w:rsidRPr="005565F8">
        <w:rPr>
          <w:rFonts w:ascii="Calibri Light" w:eastAsia="Verdana" w:hAnsi="Calibri Light"/>
          <w:color w:val="000000"/>
          <w:kern w:val="24"/>
          <w:sz w:val="16"/>
          <w:szCs w:val="16"/>
          <w:lang w:eastAsia="lv-LV"/>
        </w:rPr>
        <w:t>individuāl</w:t>
      </w:r>
      <w:r w:rsidRPr="005565F8" w:rsidR="00CF0FF1">
        <w:rPr>
          <w:rFonts w:ascii="Calibri Light" w:eastAsia="Verdana" w:hAnsi="Calibri Light"/>
          <w:color w:val="000000"/>
          <w:kern w:val="24"/>
          <w:sz w:val="16"/>
          <w:szCs w:val="16"/>
          <w:lang w:eastAsia="lv-LV"/>
        </w:rPr>
        <w:t>ās</w:t>
      </w:r>
      <w:r w:rsidRPr="005565F8">
        <w:rPr>
          <w:rFonts w:ascii="Calibri Light" w:eastAsia="Verdana" w:hAnsi="Calibri Light"/>
          <w:color w:val="000000"/>
          <w:kern w:val="24"/>
          <w:sz w:val="16"/>
          <w:szCs w:val="16"/>
          <w:lang w:eastAsia="lv-LV"/>
        </w:rPr>
        <w:t xml:space="preserve"> garantij</w:t>
      </w:r>
      <w:r w:rsidRPr="005565F8" w:rsidR="00CF0FF1">
        <w:rPr>
          <w:rFonts w:ascii="Calibri Light" w:eastAsia="Verdana" w:hAnsi="Calibri Light"/>
          <w:color w:val="000000"/>
          <w:kern w:val="24"/>
          <w:sz w:val="16"/>
          <w:szCs w:val="16"/>
          <w:lang w:eastAsia="lv-LV"/>
        </w:rPr>
        <w:t>as</w:t>
      </w:r>
      <w:r w:rsidRPr="005565F8">
        <w:rPr>
          <w:rFonts w:ascii="Calibri Light" w:eastAsia="Verdana" w:hAnsi="Calibri Light"/>
          <w:color w:val="000000"/>
          <w:kern w:val="24"/>
          <w:sz w:val="16"/>
          <w:szCs w:val="16"/>
          <w:lang w:eastAsia="lv-LV"/>
        </w:rPr>
        <w:t xml:space="preserve"> mazo darījumu apjomam neproporcionālā laika patēriņa dēļ;</w:t>
      </w:r>
    </w:p>
    <w:p w:rsidR="001D2B89" w:rsidRPr="005565F8" w:rsidP="00376448" w14:paraId="2EBA519C"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Akcelerācijas fondi</w:t>
      </w:r>
      <w:r w:rsidRPr="005565F8">
        <w:rPr>
          <w:rFonts w:ascii="Calibri Light" w:eastAsia="Verdana" w:hAnsi="Calibri Light"/>
          <w:color w:val="000000"/>
          <w:kern w:val="24"/>
          <w:sz w:val="16"/>
          <w:szCs w:val="16"/>
          <w:lang w:eastAsia="lv-LV"/>
        </w:rPr>
        <w:t xml:space="preserve">. Latvijai tas ir jauns finanšu instruments, kura mērķis ir sekmēt saimnieciskās darbības veicēju attīstību un konkurētspēju, sniedzot akcelerācijas (bezmaksas palīdzību </w:t>
      </w:r>
      <w:r w:rsidRPr="005565F8">
        <w:rPr>
          <w:rFonts w:ascii="Calibri Light" w:eastAsia="Verdana" w:hAnsi="Calibri Light"/>
          <w:color w:val="000000"/>
          <w:kern w:val="24"/>
          <w:sz w:val="16"/>
          <w:szCs w:val="16"/>
          <w:lang w:eastAsia="lv-LV"/>
        </w:rPr>
        <w:t>mentoringa</w:t>
      </w:r>
      <w:r w:rsidRPr="005565F8">
        <w:rPr>
          <w:rFonts w:ascii="Calibri Light" w:eastAsia="Verdana" w:hAnsi="Calibri Light"/>
          <w:color w:val="000000"/>
          <w:kern w:val="24"/>
          <w:sz w:val="16"/>
          <w:szCs w:val="16"/>
          <w:lang w:eastAsia="lv-LV"/>
        </w:rPr>
        <w:t>, nozares ekspertu, partneru, nākamo investoru piesaistē u.c.) pakalpojumus un finansējumu (līdz 250 tūkst. EUR) uzņēmējdarbības projektiem, kas paredz tehnoloģiskos vai rūpnieciskos neizdošanās riskus. Akcelerācijas fondi paredzēti biznesa idejas attīstībai to agrīnajā attīstības stadijā. Kopumā 2014.-2020.gada plānošanas periodā trīs akcelerācijas fondu īstenošanai paredzēti</w:t>
      </w:r>
      <w:r w:rsidRPr="005565F8" w:rsidR="00376448">
        <w:rPr>
          <w:rFonts w:ascii="Calibri Light" w:eastAsia="Verdana" w:hAnsi="Calibri Light"/>
          <w:color w:val="000000"/>
          <w:kern w:val="24"/>
          <w:sz w:val="16"/>
          <w:szCs w:val="16"/>
          <w:lang w:eastAsia="lv-LV"/>
        </w:rPr>
        <w:t xml:space="preserve"> 13 miljoni EUR (ERAF) un 2 miljoni EUR atmaksātā publiskā finansējuma, </w:t>
      </w:r>
      <w:r w:rsidRPr="005565F8">
        <w:rPr>
          <w:rFonts w:ascii="Calibri Light" w:eastAsia="Verdana" w:hAnsi="Calibri Light"/>
          <w:color w:val="000000"/>
          <w:kern w:val="24"/>
          <w:sz w:val="16"/>
          <w:szCs w:val="16"/>
          <w:lang w:eastAsia="lv-LV"/>
        </w:rPr>
        <w:t>attiecīgi 5 miljoni EUR katram fondam. Finanšu instrumenta ieviešana paredzēta ar finanšu starpnieku līdzdalīb</w:t>
      </w:r>
      <w:r w:rsidRPr="005565F8" w:rsidR="00376448">
        <w:rPr>
          <w:rFonts w:ascii="Calibri Light" w:eastAsia="Verdana" w:hAnsi="Calibri Light"/>
          <w:color w:val="000000"/>
          <w:kern w:val="24"/>
          <w:sz w:val="16"/>
          <w:szCs w:val="16"/>
          <w:lang w:eastAsia="lv-LV"/>
        </w:rPr>
        <w:t>u. Fondi darbību ir</w:t>
      </w:r>
      <w:r w:rsidRPr="005565F8">
        <w:rPr>
          <w:rFonts w:ascii="Calibri Light" w:eastAsia="Verdana" w:hAnsi="Calibri Light"/>
          <w:color w:val="000000"/>
          <w:kern w:val="24"/>
          <w:sz w:val="16"/>
          <w:szCs w:val="16"/>
          <w:lang w:eastAsia="lv-LV"/>
        </w:rPr>
        <w:t xml:space="preserve"> </w:t>
      </w:r>
      <w:r w:rsidRPr="005565F8" w:rsidR="00376448">
        <w:rPr>
          <w:rFonts w:ascii="Calibri Light" w:eastAsia="Verdana" w:hAnsi="Calibri Light"/>
          <w:color w:val="000000"/>
          <w:kern w:val="24"/>
          <w:sz w:val="16"/>
          <w:szCs w:val="16"/>
          <w:lang w:eastAsia="lv-LV"/>
        </w:rPr>
        <w:t xml:space="preserve">uzsākuši </w:t>
      </w:r>
      <w:r w:rsidRPr="005565F8">
        <w:rPr>
          <w:rFonts w:ascii="Calibri Light" w:eastAsia="Verdana" w:hAnsi="Calibri Light"/>
          <w:color w:val="000000"/>
          <w:kern w:val="24"/>
          <w:sz w:val="16"/>
          <w:szCs w:val="16"/>
          <w:lang w:eastAsia="lv-LV"/>
        </w:rPr>
        <w:t xml:space="preserve">2018.gadā; </w:t>
      </w:r>
    </w:p>
    <w:p w:rsidR="001D2B89" w:rsidRPr="005565F8" w:rsidP="001D2B89" w14:paraId="3CD9A124"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Sēklas kapitāla, sākuma kapitāla un izaugsmes kapitāla fondi</w:t>
      </w:r>
      <w:r w:rsidRPr="005565F8">
        <w:rPr>
          <w:rFonts w:ascii="Calibri Light" w:eastAsia="Verdana" w:hAnsi="Calibri Light"/>
          <w:color w:val="000000"/>
          <w:kern w:val="24"/>
          <w:sz w:val="16"/>
          <w:szCs w:val="16"/>
          <w:lang w:eastAsia="lv-LV"/>
        </w:rPr>
        <w:t xml:space="preserve"> – finanšu instrumentu mērķis ir sekmēt saimnieciskās darbības veicēju attīstību. Sēklas kapitāla, sākuma kapitāla un izaugsmes kapitāla fondu īstenošanai 2014.–2020.gada ES fondu plānošanas periodā ir pieejams finansējums </w:t>
      </w:r>
      <w:r w:rsidRPr="005565F8" w:rsidR="00376448">
        <w:rPr>
          <w:rFonts w:ascii="Calibri Light" w:eastAsia="Verdana" w:hAnsi="Calibri Light"/>
          <w:color w:val="000000"/>
          <w:kern w:val="24"/>
          <w:sz w:val="16"/>
          <w:szCs w:val="16"/>
          <w:lang w:eastAsia="lv-LV"/>
        </w:rPr>
        <w:t xml:space="preserve">60 miljoni EUR (32,2 milj. EUR  ERAF finansējums un  27,8 </w:t>
      </w:r>
      <w:r w:rsidRPr="005565F8" w:rsidR="00376448">
        <w:rPr>
          <w:rFonts w:ascii="Calibri Light" w:eastAsia="Verdana" w:hAnsi="Calibri Light"/>
          <w:color w:val="000000"/>
          <w:kern w:val="24"/>
          <w:sz w:val="16"/>
          <w:szCs w:val="16"/>
          <w:lang w:eastAsia="lv-LV"/>
        </w:rPr>
        <w:t>milj</w:t>
      </w:r>
      <w:r w:rsidRPr="005565F8" w:rsidR="00376448">
        <w:rPr>
          <w:rFonts w:ascii="Calibri Light" w:eastAsia="Verdana" w:hAnsi="Calibri Light"/>
          <w:color w:val="000000"/>
          <w:kern w:val="24"/>
          <w:sz w:val="16"/>
          <w:szCs w:val="16"/>
          <w:lang w:eastAsia="lv-LV"/>
        </w:rPr>
        <w:t xml:space="preserve"> EUR atmaksātais publiskais finansējums). Sēklas un sākuma kapitāla fondi darbību ir uzsākuši, un, paredzams, ka izaugsmes fondi </w:t>
      </w:r>
      <w:r w:rsidRPr="005565F8">
        <w:rPr>
          <w:rFonts w:ascii="Calibri Light" w:eastAsia="Verdana" w:hAnsi="Calibri Light"/>
          <w:color w:val="000000"/>
          <w:kern w:val="24"/>
          <w:sz w:val="16"/>
          <w:szCs w:val="16"/>
          <w:lang w:eastAsia="lv-LV"/>
        </w:rPr>
        <w:t xml:space="preserve">uzsāks savu darbību 2018.gada 2.pusgadā; </w:t>
      </w:r>
    </w:p>
    <w:p w:rsidR="001D2B89" w:rsidRPr="005565F8" w:rsidP="001D2B89" w14:paraId="0407C942" w14:textId="61799418">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Mikrokreditēšana</w:t>
      </w:r>
      <w:r w:rsidRPr="005565F8">
        <w:rPr>
          <w:rFonts w:ascii="Calibri Light" w:eastAsia="Verdana" w:hAnsi="Calibri Light"/>
          <w:color w:val="000000"/>
          <w:kern w:val="24"/>
          <w:sz w:val="16"/>
          <w:szCs w:val="16"/>
          <w:lang w:eastAsia="lv-LV"/>
        </w:rPr>
        <w:t xml:space="preserve"> –</w:t>
      </w:r>
      <w:r w:rsidR="00AD5CFE">
        <w:rPr>
          <w:rFonts w:ascii="Calibri Light" w:eastAsia="Verdana" w:hAnsi="Calibri Light"/>
          <w:color w:val="000000"/>
          <w:kern w:val="24"/>
          <w:sz w:val="16"/>
          <w:szCs w:val="16"/>
          <w:lang w:eastAsia="lv-LV"/>
        </w:rPr>
        <w:t xml:space="preserve"> </w:t>
      </w:r>
      <w:r w:rsidRPr="005565F8">
        <w:rPr>
          <w:rFonts w:ascii="Calibri Light" w:eastAsia="Verdana" w:hAnsi="Calibri Light"/>
          <w:color w:val="000000"/>
          <w:kern w:val="24"/>
          <w:sz w:val="16"/>
          <w:szCs w:val="16"/>
          <w:lang w:eastAsia="lv-LV"/>
        </w:rPr>
        <w:t xml:space="preserve">mērķis ir veicināt iedzīvotāju iesaistīšanos komercdarbībā un palielināt komersantu iespēju saņemt finansiālo atbalstu </w:t>
      </w:r>
      <w:r w:rsidR="00AD5CFE">
        <w:rPr>
          <w:rFonts w:ascii="Calibri Light" w:eastAsia="Verdana" w:hAnsi="Calibri Light"/>
          <w:color w:val="000000"/>
          <w:kern w:val="24"/>
          <w:sz w:val="16"/>
          <w:szCs w:val="16"/>
          <w:lang w:eastAsia="lv-LV"/>
        </w:rPr>
        <w:t>tās</w:t>
      </w:r>
      <w:r w:rsidRPr="005565F8">
        <w:rPr>
          <w:rFonts w:ascii="Calibri Light" w:eastAsia="Verdana" w:hAnsi="Calibri Light"/>
          <w:color w:val="000000"/>
          <w:kern w:val="24"/>
          <w:sz w:val="16"/>
          <w:szCs w:val="16"/>
          <w:lang w:eastAsia="lv-LV"/>
        </w:rPr>
        <w:t xml:space="preserve"> uzsākšanai un attīstībai. Tiek sniegts atbalsts </w:t>
      </w:r>
      <w:r w:rsidRPr="005565F8">
        <w:rPr>
          <w:rFonts w:ascii="Calibri Light" w:eastAsia="Verdana" w:hAnsi="Calibri Light"/>
          <w:color w:val="000000"/>
          <w:kern w:val="24"/>
          <w:sz w:val="16"/>
          <w:szCs w:val="16"/>
          <w:lang w:eastAsia="lv-LV"/>
        </w:rPr>
        <w:t>mikroaizdevumu</w:t>
      </w:r>
      <w:r w:rsidRPr="005565F8">
        <w:rPr>
          <w:rFonts w:ascii="Calibri Light" w:eastAsia="Verdana" w:hAnsi="Calibri Light"/>
          <w:color w:val="000000"/>
          <w:kern w:val="24"/>
          <w:sz w:val="16"/>
          <w:szCs w:val="16"/>
          <w:lang w:eastAsia="lv-LV"/>
        </w:rPr>
        <w:t xml:space="preserve"> un starta aizdevumu veidā jaundibinātiem komersantiem, sīkajiem (mikro), mazajiem un vidējiem komersantiem. Jaunās programmas ietvaros līdz 2017.gada </w:t>
      </w:r>
      <w:r w:rsidR="00AD5CFE">
        <w:rPr>
          <w:rFonts w:ascii="Calibri Light" w:eastAsia="Verdana" w:hAnsi="Calibri Light"/>
          <w:color w:val="000000"/>
          <w:kern w:val="24"/>
          <w:sz w:val="16"/>
          <w:szCs w:val="16"/>
          <w:lang w:eastAsia="lv-LV"/>
        </w:rPr>
        <w:t>beigām</w:t>
      </w:r>
      <w:r w:rsidRPr="005565F8">
        <w:rPr>
          <w:rFonts w:ascii="Calibri Light" w:eastAsia="Verdana" w:hAnsi="Calibri Light"/>
          <w:color w:val="000000"/>
          <w:kern w:val="24"/>
          <w:sz w:val="16"/>
          <w:szCs w:val="16"/>
          <w:lang w:eastAsia="lv-LV"/>
        </w:rPr>
        <w:t xml:space="preserve"> piešķirti aizdevumi par kopējo summu 6,6 milj. EUR;</w:t>
      </w:r>
    </w:p>
    <w:p w:rsidR="001D2B89" w:rsidRPr="005565F8" w:rsidP="001D2B89" w14:paraId="39C0A106" w14:textId="2C364E1D">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 xml:space="preserve">Latvijas un Šveices </w:t>
      </w:r>
      <w:r w:rsidRPr="005565F8">
        <w:rPr>
          <w:rFonts w:ascii="Calibri Light" w:eastAsia="Verdana" w:hAnsi="Calibri Light"/>
          <w:b/>
          <w:color w:val="000000"/>
          <w:kern w:val="24"/>
          <w:sz w:val="16"/>
          <w:szCs w:val="16"/>
          <w:lang w:eastAsia="lv-LV"/>
        </w:rPr>
        <w:t>mikrokreditēšanas</w:t>
      </w:r>
      <w:r w:rsidRPr="005565F8">
        <w:rPr>
          <w:rFonts w:ascii="Calibri Light" w:eastAsia="Verdana" w:hAnsi="Calibri Light"/>
          <w:b/>
          <w:color w:val="000000"/>
          <w:kern w:val="24"/>
          <w:sz w:val="16"/>
          <w:szCs w:val="16"/>
          <w:lang w:eastAsia="lv-LV"/>
        </w:rPr>
        <w:t xml:space="preserve"> programma</w:t>
      </w:r>
      <w:r w:rsidRPr="005565F8">
        <w:rPr>
          <w:rFonts w:ascii="Calibri Light" w:eastAsia="Verdana" w:hAnsi="Calibri Light"/>
          <w:color w:val="000000"/>
          <w:kern w:val="24"/>
          <w:sz w:val="16"/>
          <w:szCs w:val="16"/>
          <w:lang w:eastAsia="lv-LV"/>
        </w:rPr>
        <w:t>. Finansiālais atbalsts (līdz 14 tūkst. EUR) paredzēts investīcijām un apgrozāmajiem līdzekļiem. Aizdevuma fonda kopējais finansējums ir 7,1 milj. EUR, no kuriem 6,5 milj. EUR bija paredzēti aizdevumiem (80% Šveices līdzfinansējums) un 0,6</w:t>
      </w:r>
      <w:r w:rsidR="00AD5CFE">
        <w:rPr>
          <w:rFonts w:ascii="Calibri Light" w:eastAsia="Verdana" w:hAnsi="Calibri Light"/>
          <w:color w:val="000000"/>
          <w:kern w:val="24"/>
          <w:sz w:val="16"/>
          <w:szCs w:val="16"/>
          <w:lang w:eastAsia="lv-LV"/>
        </w:rPr>
        <w:t> </w:t>
      </w:r>
      <w:r w:rsidRPr="005565F8">
        <w:rPr>
          <w:rFonts w:ascii="Calibri Light" w:eastAsia="Verdana" w:hAnsi="Calibri Light"/>
          <w:color w:val="000000"/>
          <w:kern w:val="24"/>
          <w:sz w:val="16"/>
          <w:szCs w:val="16"/>
          <w:lang w:eastAsia="lv-LV"/>
        </w:rPr>
        <w:t xml:space="preserve">milj. EUR – </w:t>
      </w:r>
      <w:r w:rsidRPr="005565F8">
        <w:rPr>
          <w:rFonts w:ascii="Calibri Light" w:eastAsia="Verdana" w:hAnsi="Calibri Light"/>
          <w:color w:val="000000"/>
          <w:kern w:val="24"/>
          <w:sz w:val="16"/>
          <w:szCs w:val="16"/>
          <w:lang w:eastAsia="lv-LV"/>
        </w:rPr>
        <w:t>grantiem</w:t>
      </w:r>
      <w:r w:rsidRPr="005565F8">
        <w:rPr>
          <w:rFonts w:ascii="Calibri Light" w:eastAsia="Verdana" w:hAnsi="Calibri Light"/>
          <w:color w:val="000000"/>
          <w:kern w:val="24"/>
          <w:sz w:val="16"/>
          <w:szCs w:val="16"/>
          <w:lang w:eastAsia="lv-LV"/>
        </w:rPr>
        <w:t xml:space="preserve">. </w:t>
      </w:r>
      <w:r w:rsidRPr="005565F8" w:rsidR="00117FCD">
        <w:rPr>
          <w:rFonts w:ascii="Calibri Light" w:eastAsia="Verdana" w:hAnsi="Calibri Light"/>
          <w:color w:val="000000"/>
          <w:kern w:val="24"/>
          <w:sz w:val="16"/>
          <w:szCs w:val="16"/>
          <w:lang w:eastAsia="lv-LV"/>
        </w:rPr>
        <w:t xml:space="preserve">Līdz 2015.gada </w:t>
      </w:r>
      <w:r w:rsidRPr="005565F8">
        <w:rPr>
          <w:rFonts w:ascii="Calibri Light" w:eastAsia="Verdana" w:hAnsi="Calibri Light"/>
          <w:color w:val="000000"/>
          <w:kern w:val="24"/>
          <w:sz w:val="16"/>
          <w:szCs w:val="16"/>
          <w:lang w:eastAsia="lv-LV"/>
        </w:rPr>
        <w:t>beigām ir noslēgti 1</w:t>
      </w:r>
      <w:r w:rsidR="00AD5CFE">
        <w:rPr>
          <w:rFonts w:ascii="Calibri Light" w:eastAsia="Verdana" w:hAnsi="Calibri Light"/>
          <w:color w:val="000000"/>
          <w:kern w:val="24"/>
          <w:sz w:val="16"/>
          <w:szCs w:val="16"/>
          <w:lang w:eastAsia="lv-LV"/>
        </w:rPr>
        <w:t> </w:t>
      </w:r>
      <w:r w:rsidRPr="005565F8">
        <w:rPr>
          <w:rFonts w:ascii="Calibri Light" w:eastAsia="Verdana" w:hAnsi="Calibri Light"/>
          <w:color w:val="000000"/>
          <w:kern w:val="24"/>
          <w:sz w:val="16"/>
          <w:szCs w:val="16"/>
          <w:lang w:eastAsia="lv-LV"/>
        </w:rPr>
        <w:t>309 aizdevuma līgumi par 10,8 milj. EUR</w:t>
      </w:r>
      <w:r w:rsidRPr="005565F8" w:rsidR="00544046">
        <w:rPr>
          <w:rFonts w:ascii="Calibri Light" w:eastAsia="Verdana" w:hAnsi="Calibri Light"/>
          <w:color w:val="000000"/>
          <w:kern w:val="24"/>
          <w:sz w:val="16"/>
          <w:szCs w:val="16"/>
          <w:lang w:eastAsia="lv-LV"/>
        </w:rPr>
        <w:t>, savukārt t</w:t>
      </w:r>
      <w:r w:rsidRPr="005565F8">
        <w:rPr>
          <w:rFonts w:ascii="Calibri Light" w:eastAsia="Verdana" w:hAnsi="Calibri Light"/>
          <w:color w:val="000000"/>
          <w:kern w:val="24"/>
          <w:sz w:val="16"/>
          <w:szCs w:val="16"/>
          <w:lang w:eastAsia="lv-LV"/>
        </w:rPr>
        <w:t>urpmāka finansēšana tiek veikta no atmaksām</w:t>
      </w:r>
      <w:r w:rsidRPr="005565F8" w:rsidR="00C9663E">
        <w:rPr>
          <w:rFonts w:ascii="Calibri Light" w:eastAsia="Verdana" w:hAnsi="Calibri Light"/>
          <w:color w:val="000000"/>
          <w:kern w:val="24"/>
          <w:sz w:val="16"/>
          <w:szCs w:val="16"/>
          <w:lang w:eastAsia="lv-LV"/>
        </w:rPr>
        <w:t>,</w:t>
      </w:r>
      <w:r w:rsidRPr="005565F8" w:rsidR="00544046">
        <w:rPr>
          <w:rFonts w:ascii="Calibri Light" w:eastAsia="Verdana" w:hAnsi="Calibri Light"/>
          <w:color w:val="000000"/>
          <w:kern w:val="24"/>
          <w:sz w:val="16"/>
          <w:szCs w:val="16"/>
          <w:lang w:eastAsia="lv-LV"/>
        </w:rPr>
        <w:t xml:space="preserve"> un līdz 2017.gada </w:t>
      </w:r>
      <w:r w:rsidR="00AD5CFE">
        <w:rPr>
          <w:rFonts w:ascii="Calibri Light" w:eastAsia="Verdana" w:hAnsi="Calibri Light"/>
          <w:color w:val="000000"/>
          <w:kern w:val="24"/>
          <w:sz w:val="16"/>
          <w:szCs w:val="16"/>
          <w:lang w:eastAsia="lv-LV"/>
        </w:rPr>
        <w:t>beigām</w:t>
      </w:r>
      <w:r w:rsidRPr="005565F8" w:rsidR="00544046">
        <w:rPr>
          <w:rFonts w:ascii="Calibri Light" w:eastAsia="Verdana" w:hAnsi="Calibri Light"/>
          <w:color w:val="000000"/>
          <w:kern w:val="24"/>
          <w:sz w:val="16"/>
          <w:szCs w:val="16"/>
          <w:lang w:eastAsia="lv-LV"/>
        </w:rPr>
        <w:t xml:space="preserve"> noslēgti 106 līgumi ar gala saņēmējiem par 839 tūkst</w:t>
      </w:r>
      <w:r w:rsidRPr="005565F8" w:rsidR="00117FCD">
        <w:rPr>
          <w:rFonts w:ascii="Calibri Light" w:eastAsia="Verdana" w:hAnsi="Calibri Light"/>
          <w:color w:val="000000"/>
          <w:kern w:val="24"/>
          <w:sz w:val="16"/>
          <w:szCs w:val="16"/>
          <w:lang w:eastAsia="lv-LV"/>
        </w:rPr>
        <w:t>. EUR</w:t>
      </w:r>
      <w:r w:rsidRPr="005565F8">
        <w:rPr>
          <w:rFonts w:ascii="Calibri Light" w:eastAsia="Verdana" w:hAnsi="Calibri Light"/>
          <w:color w:val="000000"/>
          <w:kern w:val="24"/>
          <w:sz w:val="16"/>
          <w:szCs w:val="16"/>
          <w:lang w:eastAsia="lv-LV"/>
        </w:rPr>
        <w:t>. Atbalsta sniegšana turpināsies līdz 2019.gada 30.jūnijam;</w:t>
      </w:r>
    </w:p>
    <w:p w:rsidR="001D2B89" w:rsidRPr="005565F8" w:rsidP="001D2B89" w14:paraId="2DEE37ED"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Aizdevumu garantiju programmas</w:t>
      </w:r>
      <w:r w:rsidRPr="005565F8">
        <w:rPr>
          <w:rFonts w:ascii="Calibri Light" w:eastAsia="Verdana" w:hAnsi="Calibri Light"/>
          <w:color w:val="000000"/>
          <w:kern w:val="24"/>
          <w:sz w:val="16"/>
          <w:szCs w:val="16"/>
          <w:lang w:eastAsia="lv-LV"/>
        </w:rPr>
        <w:t xml:space="preserve"> – mērķis ir nodrošināt kredītresursus saimnieciskās darbības veicējiem sava biznesa īstenošanai, ja esošais nodrošinājums nav pietiekams bankas finansējuma saņemšanai. Programmas ietvaros līdz 2017.gada beigām ir izsniegtas 239 aizdevumu garantijas 38,8 milj. EUR apmērā. 2017.gada februārī veikti grozījumi valsts atbalsta programmā, ar kuriem saimnieciskās darbības veicējiem </w:t>
      </w:r>
      <w:r w:rsidRPr="005565F8" w:rsidR="003C34C7">
        <w:rPr>
          <w:rFonts w:ascii="Calibri Light" w:eastAsia="Verdana" w:hAnsi="Calibri Light"/>
          <w:color w:val="000000"/>
          <w:kern w:val="24"/>
          <w:sz w:val="16"/>
          <w:szCs w:val="16"/>
          <w:lang w:eastAsia="lv-LV"/>
        </w:rPr>
        <w:t xml:space="preserve">tika nodrošināta </w:t>
      </w:r>
      <w:r w:rsidRPr="005565F8">
        <w:rPr>
          <w:rFonts w:ascii="Calibri Light" w:eastAsia="Verdana" w:hAnsi="Calibri Light"/>
          <w:color w:val="000000"/>
          <w:kern w:val="24"/>
          <w:sz w:val="16"/>
          <w:szCs w:val="16"/>
          <w:lang w:eastAsia="lv-LV"/>
        </w:rPr>
        <w:t>pieeja aizdevumu garantij</w:t>
      </w:r>
      <w:r w:rsidRPr="005565F8" w:rsidR="000E17FD">
        <w:rPr>
          <w:rFonts w:ascii="Calibri Light" w:eastAsia="Verdana" w:hAnsi="Calibri Light"/>
          <w:color w:val="000000"/>
          <w:kern w:val="24"/>
          <w:sz w:val="16"/>
          <w:szCs w:val="16"/>
          <w:lang w:eastAsia="lv-LV"/>
        </w:rPr>
        <w:t>ām</w:t>
      </w:r>
      <w:r w:rsidRPr="005565F8">
        <w:rPr>
          <w:rFonts w:ascii="Calibri Light" w:eastAsia="Verdana" w:hAnsi="Calibri Light"/>
          <w:color w:val="000000"/>
          <w:kern w:val="24"/>
          <w:sz w:val="16"/>
          <w:szCs w:val="16"/>
          <w:lang w:eastAsia="lv-LV"/>
        </w:rPr>
        <w:t xml:space="preserve"> līdz 3 milj. EUR līdzšinēji esošo 1,5 milj. EUR vietā. </w:t>
      </w:r>
      <w:r w:rsidRPr="005565F8" w:rsidR="000E17FD">
        <w:rPr>
          <w:rFonts w:ascii="Calibri Light" w:eastAsia="Verdana" w:hAnsi="Calibri Light"/>
          <w:color w:val="000000"/>
          <w:kern w:val="24"/>
          <w:sz w:val="16"/>
          <w:szCs w:val="16"/>
          <w:lang w:eastAsia="lv-LV"/>
        </w:rPr>
        <w:t>Šobrīd</w:t>
      </w:r>
      <w:r w:rsidRPr="005565F8" w:rsidR="000E17FD">
        <w:rPr>
          <w:rFonts w:ascii="Calibri Light" w:eastAsia="Verdana" w:hAnsi="Calibri Light"/>
          <w:color w:val="000000"/>
          <w:kern w:val="24"/>
          <w:sz w:val="16"/>
          <w:szCs w:val="16"/>
          <w:lang w:eastAsia="lv-LV"/>
        </w:rPr>
        <w:t xml:space="preserve"> </w:t>
      </w:r>
      <w:r w:rsidRPr="005565F8">
        <w:rPr>
          <w:rFonts w:ascii="Calibri Light" w:eastAsia="Verdana" w:hAnsi="Calibri Light"/>
          <w:color w:val="000000"/>
          <w:kern w:val="24"/>
          <w:sz w:val="16"/>
          <w:szCs w:val="16"/>
          <w:lang w:eastAsia="lv-LV"/>
        </w:rPr>
        <w:t>tiek veikti grozījumi, lai palielinātu kopējo ERAF finansējumu līdz 44,8 milj. EUR iepriekšējo 15 milj. EUR vietā.</w:t>
      </w:r>
    </w:p>
    <w:p w:rsidR="001D2B89" w:rsidRPr="005565F8" w:rsidP="001D2B89" w14:paraId="26E44349"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Paralēlie aizdevumi</w:t>
      </w:r>
      <w:r w:rsidRPr="005565F8">
        <w:rPr>
          <w:rFonts w:ascii="Calibri Light" w:eastAsia="Verdana" w:hAnsi="Calibri Light"/>
          <w:color w:val="000000"/>
          <w:kern w:val="24"/>
          <w:sz w:val="16"/>
          <w:szCs w:val="16"/>
          <w:lang w:eastAsia="lv-LV"/>
        </w:rPr>
        <w:t xml:space="preserve"> – programmas mērķis ir sekmēt saimnieciskās darbības veicēju attīstību un konkurētspēju, sniedzot finansējumu </w:t>
      </w:r>
      <w:r w:rsidRPr="005565F8">
        <w:rPr>
          <w:rFonts w:ascii="Calibri Light" w:eastAsia="Verdana" w:hAnsi="Calibri Light"/>
          <w:color w:val="000000"/>
          <w:kern w:val="24"/>
          <w:sz w:val="16"/>
          <w:szCs w:val="16"/>
          <w:lang w:eastAsia="lv-LV"/>
        </w:rPr>
        <w:t>mezanīna</w:t>
      </w:r>
      <w:r w:rsidRPr="005565F8">
        <w:rPr>
          <w:rFonts w:ascii="Calibri Light" w:eastAsia="Verdana" w:hAnsi="Calibri Light"/>
          <w:color w:val="000000"/>
          <w:kern w:val="24"/>
          <w:sz w:val="16"/>
          <w:szCs w:val="16"/>
          <w:lang w:eastAsia="lv-LV"/>
        </w:rPr>
        <w:t xml:space="preserve"> aizdevumu veidā (t.i. kopā ar Latvijā reģistrētas kredītiestādes vai tās meitas sabiedrības finansējumu) dzīvotspējīgu uzņēmējdarbības projektu īstenošanai. Līdz 2017.gada 31.decembrim piešķirti 9 paralēlie aizdevumi par kopējo summu 3,3 milj. EUR;</w:t>
      </w:r>
    </w:p>
    <w:p w:rsidR="001D2B89" w:rsidRPr="005565F8" w:rsidP="00AD5CFE" w14:paraId="025A06EA" w14:textId="0CC943D4">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4"/>
          <w:szCs w:val="16"/>
          <w:lang w:eastAsia="lv-LV"/>
        </w:rPr>
      </w:pP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Atbalsts lauksaimniecībai, lauku un zivsaimniecības attīstībai</w:t>
      </w:r>
      <w:r w:rsidRPr="005565F8">
        <w:rPr>
          <w:rFonts w:ascii="Calibri Light" w:eastAsia="Verdana" w:hAnsi="Calibri Light"/>
          <w:color w:val="000000"/>
          <w:kern w:val="24"/>
          <w:sz w:val="16"/>
          <w:szCs w:val="16"/>
          <w:lang w:eastAsia="lv-LV"/>
        </w:rPr>
        <w:t>. Lauksaimniecības produktu ražotājiem ir paredzēts atbalsts apgrozāmo līdzekļu iegādei (kredītlīnijas apmērs – 25,6 milj. EUR). 2017.gadā tika piešķirti 138 aizdevumi par 5,2 milj. EUR. Kopš 2012.gada ir pieejams arī finansējums lauksaimniecībā izmantojamas zemes iegādei (kopējais pieejamais finansējuma apmērs – 70 milj. EUR). Līdz 2017.gada beigām bija piešķirti 1 373 aizdevumi par kopējo finansējumu 67,4 milj. EUR, t.sk. 2017.gadā tika piešķirti 256 aizdevumi par 11,2 milj. EUR.</w:t>
      </w:r>
    </w:p>
    <w:p w:rsidR="001D2B89" w:rsidRPr="005565F8" w:rsidP="001D2B89" w14:paraId="5AF658FF" w14:textId="77777777">
      <w:pPr>
        <w:pBdr>
          <w:left w:val="single" w:sz="24" w:space="4" w:color="228B9D"/>
        </w:pBdr>
        <w:spacing w:before="120"/>
        <w:rPr>
          <w:rFonts w:ascii="Calibri Light" w:hAnsi="Calibri Light"/>
          <w:b/>
          <w:color w:val="228B9D"/>
          <w:sz w:val="24"/>
        </w:rPr>
      </w:pPr>
      <w:bookmarkEnd w:id="54"/>
      <w:r w:rsidRPr="005565F8">
        <w:rPr>
          <w:rFonts w:ascii="Calibri Light" w:hAnsi="Calibri Light"/>
          <w:b/>
          <w:color w:val="228B9D"/>
          <w:sz w:val="24"/>
        </w:rPr>
        <w:t>Investīciju veicināšana, t.sk., ārvalstu tiešo investīciju piesaistīšana</w:t>
      </w:r>
    </w:p>
    <w:p w:rsidR="001D2B89" w:rsidRPr="005565F8" w:rsidP="001D2B89" w14:paraId="37C11A3C"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w:t>
      </w:r>
    </w:p>
    <w:p w:rsidR="001D2B89" w:rsidRPr="005565F8" w:rsidP="00B22046" w14:paraId="06184359"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ED0FCB" w:rsidRPr="005565F8" w:rsidP="00925AED" w14:paraId="6BDC4EBF" w14:textId="77777777">
      <w:pPr>
        <w:spacing w:before="240"/>
        <w:ind w:right="-57"/>
        <w:rPr>
          <w:rFonts w:eastAsia="Times New Roman"/>
          <w:bCs/>
        </w:rPr>
      </w:pPr>
      <w:r w:rsidRPr="005565F8">
        <w:rPr>
          <w:rFonts w:eastAsia="Times New Roman"/>
          <w:bCs/>
        </w:rPr>
        <w:t>Mērķis ir piesaistīt ārvalstu tiešās investīcijas (turpmāk – ĀTI) uz ārējo pieprasījumu orientētām nozarēm.</w:t>
      </w:r>
    </w:p>
    <w:p w:rsidR="009F0D87" w:rsidRPr="005565F8" w:rsidP="009F0D87" w14:paraId="7DC5F609" w14:textId="77777777">
      <w:pPr>
        <w:ind w:right="-57"/>
        <w:rPr>
          <w:rFonts w:eastAsia="Times New Roman"/>
          <w:bCs/>
        </w:rPr>
      </w:pPr>
      <w:r w:rsidRPr="005565F8">
        <w:rPr>
          <w:rFonts w:eastAsia="Times New Roman"/>
          <w:bCs/>
          <w:i/>
        </w:rPr>
        <w:t>Latvijas Investīciju un attīstības aģentūra</w:t>
      </w:r>
      <w:r w:rsidRPr="005565F8">
        <w:rPr>
          <w:rFonts w:eastAsia="Times New Roman"/>
          <w:bCs/>
        </w:rPr>
        <w:t xml:space="preserve"> (turpmāk – LIAA) un Latvijas Ārējās ekonomiskās pārstāvniecības</w:t>
      </w:r>
      <w:r w:rsidRPr="005565F8" w:rsidR="00535008">
        <w:rPr>
          <w:rFonts w:eastAsia="Times New Roman"/>
          <w:bCs/>
        </w:rPr>
        <w:t xml:space="preserve"> nodrošina</w:t>
      </w:r>
      <w:r w:rsidRPr="005565F8">
        <w:rPr>
          <w:rFonts w:eastAsia="Times New Roman"/>
          <w:bCs/>
        </w:rPr>
        <w:t xml:space="preserve"> pakalpojumus Latvijas komersantiem un ārvalstu investoriem pēc vienas pieturas aģentūras principa. LIAA un Latvijas Ārējās ekonomiskās pārstāvniecības darbojas potenciālo un esošo investoru apkalpošanā – nodrošina ar nepieciešamo informāciju, komunicē ar attiecīgajām institūcijām, piedāvā investīciju projektu īstenošanas vietas un atbilstošos investīciju stimulus. Savukārt, saskaņotu starpresoru sadarbību sekmīgai investīciju projektu īstenošanai nodrošina Lielo un stratēģiski nozīmīgo investīciju projektu koordinācijas padome, kuras sastāvā darbojas ieinteresēto ministriju ministri, kā arī pieaicināti valsts un pašvaldību institūciju, infrastruktūras uzņēmumu, nevalstisko organizāciju pārstāvji un citi eksperti.</w:t>
      </w:r>
    </w:p>
    <w:p w:rsidR="009F0D87" w:rsidRPr="005565F8" w:rsidP="00925AED" w14:paraId="2E7CB2D4" w14:textId="77777777">
      <w:pPr>
        <w:ind w:right="-57"/>
        <w:rPr>
          <w:rFonts w:eastAsia="Times New Roman"/>
          <w:bCs/>
        </w:rPr>
      </w:pPr>
      <w:r w:rsidRPr="005565F8">
        <w:rPr>
          <w:rFonts w:eastAsia="Times New Roman"/>
          <w:bCs/>
        </w:rPr>
        <w:t xml:space="preserve">2017.gadā ir turpinātas ĀTI piesaistes aktivitātes, kas orientētas uz uzņēmējdarbības vides uzlabošanas pasākumiem, ārvalstu investīciju piesaistes procesa uzlabošanu un valsts iestāžu sadarbības stiprināšanu. </w:t>
      </w:r>
      <w:r w:rsidRPr="005565F8">
        <w:rPr>
          <w:rFonts w:eastAsia="Times New Roman"/>
          <w:bCs/>
        </w:rPr>
        <w:t xml:space="preserve">Tās ietvertas </w:t>
      </w:r>
      <w:r w:rsidRPr="005565F8">
        <w:rPr>
          <w:rFonts w:eastAsia="Times New Roman"/>
          <w:bCs/>
          <w:i/>
        </w:rPr>
        <w:t>Latvijas preču un pakalpojumu eksporta veicināšanas un ārvalstu investīciju piesaistes pamatnostādņu īstenošanas paredzēto uzdevumu un pasākumu plānā 2016.-2019.gadam</w:t>
      </w:r>
      <w:r w:rsidRPr="005565F8">
        <w:rPr>
          <w:rFonts w:eastAsia="Times New Roman"/>
          <w:bCs/>
        </w:rPr>
        <w:t xml:space="preserve"> (apstiprināts 2017.gada 14.martā). LIAA aktivitātes ārvalstu investīciju piesaistē prioritā</w:t>
      </w:r>
      <w:r w:rsidRPr="005565F8" w:rsidR="00535008">
        <w:rPr>
          <w:rFonts w:eastAsia="Times New Roman"/>
          <w:bCs/>
        </w:rPr>
        <w:t>r</w:t>
      </w:r>
      <w:r w:rsidRPr="005565F8">
        <w:rPr>
          <w:rFonts w:eastAsia="Times New Roman"/>
          <w:bCs/>
        </w:rPr>
        <w:t xml:space="preserve">i tiek īstenotas trīs virzienos: ienākošo investīciju reaktīva apkalpošana, </w:t>
      </w:r>
      <w:r w:rsidRPr="005565F8">
        <w:rPr>
          <w:rFonts w:eastAsia="Times New Roman"/>
          <w:bCs/>
        </w:rPr>
        <w:t>pēcapkalpošana</w:t>
      </w:r>
      <w:r w:rsidRPr="005565F8">
        <w:rPr>
          <w:rFonts w:eastAsia="Times New Roman"/>
          <w:bCs/>
        </w:rPr>
        <w:t xml:space="preserve">, kā arī </w:t>
      </w:r>
      <w:r w:rsidRPr="005565F8">
        <w:rPr>
          <w:rFonts w:eastAsia="Times New Roman"/>
          <w:bCs/>
        </w:rPr>
        <w:t>proaktīva</w:t>
      </w:r>
      <w:r w:rsidRPr="005565F8">
        <w:rPr>
          <w:rFonts w:eastAsia="Times New Roman"/>
          <w:bCs/>
        </w:rPr>
        <w:t xml:space="preserve"> rīcība investīciju piesaistē. </w:t>
      </w:r>
    </w:p>
    <w:p w:rsidR="001D2B89" w:rsidRPr="005565F8" w:rsidP="003D0310" w14:paraId="00E536BA" w14:textId="4F60D600">
      <w:pPr>
        <w:sectPr w:rsidSect="003D0310">
          <w:type w:val="continuous"/>
          <w:pgSz w:w="11906" w:h="16838" w:code="9"/>
          <w:pgMar w:top="1134" w:right="1134" w:bottom="1134" w:left="1134" w:header="709" w:footer="709" w:gutter="0"/>
          <w:cols w:num="2" w:space="340"/>
          <w:titlePg/>
          <w:docGrid w:linePitch="360"/>
        </w:sectPr>
      </w:pPr>
      <w:r w:rsidRPr="005565F8">
        <w:rPr>
          <w:rFonts w:eastAsia="Times New Roman"/>
          <w:bCs/>
        </w:rPr>
        <w:t xml:space="preserve">Investoru piesaisti uzlabos arī ES fondu pasākums </w:t>
      </w:r>
      <w:r w:rsidRPr="005565F8">
        <w:rPr>
          <w:i/>
        </w:rPr>
        <w:t>“Atbalsts ieguldījumiem ražošanas telpu un infrastruktūras izveidei vai rekonstrukcijai”</w:t>
      </w:r>
      <w:r w:rsidRPr="005565F8">
        <w:t>.</w:t>
      </w:r>
      <w:r w:rsidRPr="005565F8" w:rsidR="00535008">
        <w:t xml:space="preserve"> </w:t>
      </w:r>
      <w:r w:rsidRPr="005565F8" w:rsidR="00633FA1">
        <w:t>Pasākuma pirmās kārtas ietvaros atbalstīti 39 projekta iesniegumi, no kuriem 10 industriālo te</w:t>
      </w:r>
      <w:r w:rsidRPr="005565F8" w:rsidR="00AB6664">
        <w:t>ritoriju attīstītāju projekti. Noslēgti</w:t>
      </w:r>
      <w:r w:rsidRPr="005565F8" w:rsidR="00633FA1">
        <w:t xml:space="preserve"> līgumi pa</w:t>
      </w:r>
      <w:r w:rsidRPr="005565F8" w:rsidR="00CC2B7D">
        <w:t>r projektu īstenošanu par kopējo</w:t>
      </w:r>
      <w:r w:rsidRPr="005565F8" w:rsidR="00633FA1">
        <w:t xml:space="preserve"> summu 55</w:t>
      </w:r>
      <w:r w:rsidRPr="005565F8" w:rsidR="00AB6664">
        <w:t>,3 milj. EUR,</w:t>
      </w:r>
      <w:r w:rsidRPr="005565F8" w:rsidR="00633FA1">
        <w:t xml:space="preserve"> </w:t>
      </w:r>
      <w:r w:rsidRPr="005565F8" w:rsidR="00CC2B7D">
        <w:t>t.sk.</w:t>
      </w:r>
      <w:r w:rsidRPr="005565F8" w:rsidR="00633FA1">
        <w:t xml:space="preserve"> ERAF finansējums – 2</w:t>
      </w:r>
      <w:r w:rsidRPr="005565F8" w:rsidR="00AB6664">
        <w:t>3 milj. EUR</w:t>
      </w:r>
      <w:r w:rsidRPr="005565F8" w:rsidR="00633FA1">
        <w:t xml:space="preserve"> un privātais līdzfinansējums – 32</w:t>
      </w:r>
      <w:r w:rsidRPr="005565F8" w:rsidR="00AB6664">
        <w:t>,4 milj. EUR</w:t>
      </w:r>
      <w:r w:rsidRPr="005565F8" w:rsidR="00633FA1">
        <w:t xml:space="preserve">. No 39 atbalstītajiem projektiem viens projekts ir jau īstenots par kopējo summu 1 </w:t>
      </w:r>
      <w:r w:rsidRPr="005565F8" w:rsidR="00AB6664">
        <w:t>milj. EUR,</w:t>
      </w:r>
      <w:r w:rsidRPr="005565F8" w:rsidR="00633FA1">
        <w:t xml:space="preserve"> </w:t>
      </w:r>
      <w:r w:rsidRPr="005565F8" w:rsidR="00CC2B7D">
        <w:t>t.sk.</w:t>
      </w:r>
      <w:r w:rsidRPr="005565F8" w:rsidR="00633FA1">
        <w:t xml:space="preserve"> ERAF finansējums </w:t>
      </w:r>
      <w:r w:rsidRPr="005565F8" w:rsidR="00AB6664">
        <w:t>–</w:t>
      </w:r>
      <w:r w:rsidRPr="005565F8" w:rsidR="00633FA1">
        <w:t xml:space="preserve"> 454</w:t>
      </w:r>
      <w:r w:rsidRPr="005565F8" w:rsidR="00AB6664">
        <w:t>,4 tūkst.</w:t>
      </w:r>
      <w:r w:rsidRPr="005565F8" w:rsidR="00633FA1">
        <w:t xml:space="preserve"> </w:t>
      </w:r>
      <w:r w:rsidRPr="005565F8" w:rsidR="00AB6664">
        <w:t>EUR</w:t>
      </w:r>
      <w:r w:rsidRPr="005565F8" w:rsidR="00633FA1">
        <w:t xml:space="preserve"> un privātais līdzfinansējums -</w:t>
      </w:r>
      <w:r w:rsidRPr="005565F8" w:rsidR="00AB6664">
        <w:t xml:space="preserve"> </w:t>
      </w:r>
      <w:r w:rsidRPr="005565F8" w:rsidR="00633FA1">
        <w:t>555</w:t>
      </w:r>
      <w:r w:rsidRPr="005565F8" w:rsidR="00AB6664">
        <w:t>,4 tūkst. EUR</w:t>
      </w:r>
      <w:r w:rsidRPr="005565F8" w:rsidR="00633FA1">
        <w:t>.</w:t>
      </w:r>
      <w:r w:rsidRPr="005565F8" w:rsidR="00E16A8C">
        <w:t xml:space="preserve"> </w:t>
      </w:r>
      <w:r w:rsidRPr="005565F8" w:rsidR="00D918C0">
        <w:t xml:space="preserve">Pasākuma otrās atlases kārtas </w:t>
      </w:r>
      <w:r w:rsidR="00390138">
        <w:t xml:space="preserve">koncepts ir saskaņots ar EK un </w:t>
      </w:r>
      <w:r w:rsidRPr="005565F8" w:rsidR="003305A4">
        <w:t xml:space="preserve">noteikumi ir </w:t>
      </w:r>
      <w:r w:rsidR="00390138">
        <w:t>izsludināti VSS</w:t>
      </w:r>
      <w:r w:rsidRPr="005565F8" w:rsidR="003305A4">
        <w:t xml:space="preserve"> 2018.gada 15.martā</w:t>
      </w:r>
      <w:r w:rsidRPr="005565F8" w:rsidR="00633FA1">
        <w:t>.</w:t>
      </w:r>
    </w:p>
    <w:p w:rsidR="00925AED" w:rsidRPr="005565F8" w:rsidP="00925AED" w14:paraId="74712A86" w14:textId="77777777"/>
    <w:p w:rsidR="00925AED" w:rsidRPr="005565F8" w:rsidP="00925AED" w14:paraId="34795649"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Atbalsts ārējo tirgu apgūšanai</w:t>
      </w:r>
    </w:p>
    <w:p w:rsidR="00925AED" w:rsidRPr="005565F8" w:rsidP="00925AED" w14:paraId="2DEFFA6C"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 ĀM/</w:t>
      </w:r>
    </w:p>
    <w:p w:rsidR="001D2B89" w:rsidRPr="005565F8" w:rsidP="00B22046" w14:paraId="6A66DB25"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ED0FCB" w:rsidRPr="005565F8" w:rsidP="00925AED" w14:paraId="06F21973" w14:textId="77777777">
      <w:pPr>
        <w:spacing w:before="240"/>
        <w:rPr>
          <w:iCs/>
        </w:rPr>
      </w:pPr>
      <w:r w:rsidRPr="005565F8">
        <w:rPr>
          <w:iCs/>
        </w:rPr>
        <w:t>Lai veicinātu Latvijas uzņēmumu eksporta apjomu palielināšanu un jaunu tirgu apgūšanu, tiek īstenoti šādi pasākumi:</w:t>
      </w:r>
    </w:p>
    <w:p w:rsidR="009F0D87" w:rsidRPr="005565F8" w:rsidP="009A65A4" w14:paraId="10C6FFB0" w14:textId="0DB5041D">
      <w:pPr>
        <w:numPr>
          <w:ilvl w:val="0"/>
          <w:numId w:val="3"/>
        </w:numPr>
        <w:suppressAutoHyphens/>
        <w:spacing w:after="0"/>
        <w:ind w:left="284" w:hanging="284"/>
        <w:rPr>
          <w:bCs/>
        </w:rPr>
      </w:pPr>
      <w:r w:rsidRPr="005565F8">
        <w:rPr>
          <w:b/>
          <w:bCs/>
        </w:rPr>
        <w:t>ārējās ekonomiskās politikas koordinācija</w:t>
      </w:r>
      <w:r w:rsidRPr="005565F8">
        <w:rPr>
          <w:bCs/>
        </w:rPr>
        <w:t xml:space="preserve"> un Latvijas Ārējo ekonomisko pārstāvniecību tīkla nodrošināšana – </w:t>
      </w:r>
      <w:r w:rsidRPr="005565F8">
        <w:t>201</w:t>
      </w:r>
      <w:r w:rsidR="00A8090C">
        <w:t>8</w:t>
      </w:r>
      <w:r w:rsidRPr="005565F8">
        <w:t xml:space="preserve">.gadā darbojās 47 Latvijas diplomātiskās un konsulārās pārstāvniecības. Sekojot līdzi Latvijas uzņēmēju interesēm, </w:t>
      </w:r>
      <w:r w:rsidRPr="005565F8" w:rsidR="0048300B">
        <w:t>tiek</w:t>
      </w:r>
      <w:r w:rsidRPr="005565F8">
        <w:t xml:space="preserve"> paplašināt</w:t>
      </w:r>
      <w:r w:rsidRPr="005565F8" w:rsidR="0048300B">
        <w:t>s</w:t>
      </w:r>
      <w:r w:rsidRPr="005565F8">
        <w:t xml:space="preserve"> vēstniecību un goda konsulātu tīkl</w:t>
      </w:r>
      <w:r w:rsidRPr="005565F8" w:rsidR="0048300B">
        <w:t>s</w:t>
      </w:r>
      <w:r w:rsidRPr="005565F8">
        <w:t xml:space="preserve">. </w:t>
      </w:r>
      <w:r w:rsidRPr="005565F8" w:rsidR="00947814">
        <w:t>Lielākais</w:t>
      </w:r>
      <w:r w:rsidRPr="005565F8">
        <w:t xml:space="preserve"> uzsvar</w:t>
      </w:r>
      <w:r w:rsidRPr="005565F8" w:rsidR="00947814">
        <w:t>s tiek</w:t>
      </w:r>
      <w:r w:rsidRPr="005565F8">
        <w:t xml:space="preserve"> likt</w:t>
      </w:r>
      <w:r w:rsidRPr="005565F8" w:rsidR="00947814">
        <w:t>s</w:t>
      </w:r>
      <w:r w:rsidRPr="005565F8">
        <w:t xml:space="preserve"> uz transporta un loģistikas, pārtikas rūpniecības, </w:t>
      </w:r>
      <w:r w:rsidRPr="005565F8" w:rsidR="0048300B">
        <w:t>IKT</w:t>
      </w:r>
      <w:r w:rsidRPr="005565F8">
        <w:t xml:space="preserve">, farmācijas, kokrūpniecības, tūrisma un augstākās izglītības eksporta nozarēm. Ģeogrāfiskā </w:t>
      </w:r>
      <w:r w:rsidRPr="005565F8" w:rsidR="00947814">
        <w:br/>
      </w:r>
      <w:r w:rsidRPr="005565F8">
        <w:t>griezumā</w:t>
      </w:r>
      <w:r w:rsidRPr="005565F8" w:rsidR="00947814">
        <w:t xml:space="preserve"> – </w:t>
      </w:r>
      <w:r w:rsidRPr="005565F8">
        <w:t xml:space="preserve">uz tradicionālajiem tirgiem Baltijas jūras reģionā, kā arī strauji augošajiem eksporta tirgiem Ziemeļamerikā, Ķīnā, Līča valstīs, </w:t>
      </w:r>
      <w:r w:rsidRPr="005565F8">
        <w:t>Dienvidaustrumāzijā</w:t>
      </w:r>
      <w:r w:rsidRPr="005565F8">
        <w:t xml:space="preserve"> un Tālajos Austrumos; </w:t>
      </w:r>
    </w:p>
    <w:p w:rsidR="009F0D87" w:rsidRPr="005565F8" w:rsidP="009A65A4" w14:paraId="3D4BAB2D" w14:textId="33BF567E">
      <w:pPr>
        <w:numPr>
          <w:ilvl w:val="0"/>
          <w:numId w:val="3"/>
        </w:numPr>
        <w:suppressAutoHyphens/>
        <w:spacing w:after="0"/>
        <w:ind w:left="284" w:hanging="284"/>
        <w:rPr>
          <w:bCs/>
        </w:rPr>
      </w:pPr>
      <w:r w:rsidRPr="005565F8">
        <w:rPr>
          <w:b/>
          <w:bCs/>
        </w:rPr>
        <w:t>ekonomisko jautājumu risināšanai</w:t>
      </w:r>
      <w:r w:rsidRPr="005565F8">
        <w:rPr>
          <w:bCs/>
        </w:rPr>
        <w:t xml:space="preserve"> un Latvijas uzņēmēju atbalstam </w:t>
      </w:r>
      <w:r w:rsidRPr="005565F8">
        <w:t xml:space="preserve">2017.gadā darbojās 20 patstāvīgās ārvalstu pārstāvniecības (Baltkrievijā, Dānijā, Francijā, Krievijā, </w:t>
      </w:r>
      <w:r w:rsidRPr="005565F8" w:rsidR="0048300B">
        <w:t>Ķīnā (</w:t>
      </w:r>
      <w:r w:rsidRPr="005565F8">
        <w:t xml:space="preserve">Pekinā </w:t>
      </w:r>
      <w:r w:rsidRPr="005565F8" w:rsidR="0048300B">
        <w:t>un Šanhajā)</w:t>
      </w:r>
      <w:r w:rsidRPr="005565F8">
        <w:t>, Japānā, Lielbritānijā, Lietuvā, Nīderlandē, Norvēģijā, Polijā, Vācijā, Zviedrijā, Somijā, Itālijā, Singapūrā, Apvienotajos Arābu Emirātos, Kazahstānā, ASV</w:t>
      </w:r>
      <w:r w:rsidR="00A8090C">
        <w:t>)</w:t>
      </w:r>
      <w:r w:rsidRPr="005565F8">
        <w:t>;</w:t>
      </w:r>
    </w:p>
    <w:p w:rsidR="009F0D87" w:rsidRPr="005565F8" w:rsidP="00735883" w14:paraId="1AF2A595" w14:textId="77777777">
      <w:pPr>
        <w:pStyle w:val="ListParagraph"/>
        <w:numPr>
          <w:ilvl w:val="0"/>
          <w:numId w:val="42"/>
        </w:numPr>
        <w:suppressAutoHyphens/>
        <w:spacing w:after="0"/>
        <w:ind w:left="284" w:hanging="284"/>
        <w:rPr>
          <w:bCs/>
        </w:rPr>
      </w:pPr>
      <w:r w:rsidRPr="005565F8">
        <w:rPr>
          <w:b/>
          <w:bCs/>
        </w:rPr>
        <w:t xml:space="preserve">Latvijas uzņēmēju pārrobežu sadarbības paplašināšanai un padziļināšanai eksporta </w:t>
      </w:r>
      <w:r w:rsidRPr="005565F8">
        <w:rPr>
          <w:b/>
          <w:bCs/>
        </w:rPr>
        <w:t>tirgos</w:t>
      </w:r>
      <w:r w:rsidRPr="005565F8">
        <w:rPr>
          <w:bCs/>
        </w:rPr>
        <w:t xml:space="preserve"> 2017.gadā un 2018.gada sākumā tika noorganizētas augstāko valsts amatpersonu vizītes kopā ar uzņēmējiem uz Eiropas valstīm –Nīderlandi, Lietuvu, Zviedriju, Somiju, kā arī trešo valstu tirgiem </w:t>
      </w:r>
      <w:r w:rsidRPr="005565F8" w:rsidR="00791114">
        <w:rPr>
          <w:bCs/>
        </w:rPr>
        <w:t>–</w:t>
      </w:r>
      <w:r w:rsidRPr="005565F8">
        <w:rPr>
          <w:bCs/>
        </w:rPr>
        <w:t xml:space="preserve"> ASV, Japānu, Izraēlu, Apvienotajiem Arābu Emirātiem, Ķīnu, Koreju, Baltkrieviju, Kuveitu, Uzbekistānu, Moldovu, Krievijas reģioniem u.c.</w:t>
      </w:r>
      <w:r w:rsidRPr="005565F8" w:rsidR="00791114">
        <w:rPr>
          <w:bCs/>
        </w:rPr>
        <w:t>;</w:t>
      </w:r>
    </w:p>
    <w:p w:rsidR="009F0D87" w:rsidRPr="005565F8" w:rsidP="00735883" w14:paraId="69C6FC80" w14:textId="77777777">
      <w:pPr>
        <w:pStyle w:val="ListParagraph"/>
        <w:numPr>
          <w:ilvl w:val="0"/>
          <w:numId w:val="43"/>
        </w:numPr>
        <w:suppressAutoHyphens/>
        <w:spacing w:after="0"/>
        <w:ind w:left="284" w:hanging="284"/>
        <w:rPr>
          <w:bCs/>
        </w:rPr>
      </w:pPr>
      <w:r w:rsidRPr="005565F8">
        <w:rPr>
          <w:b/>
          <w:bCs/>
        </w:rPr>
        <w:t xml:space="preserve">ekonomiskās </w:t>
      </w:r>
      <w:r w:rsidRPr="005565F8">
        <w:rPr>
          <w:b/>
          <w:bCs/>
        </w:rPr>
        <w:t>līgumtiesiskās</w:t>
      </w:r>
      <w:r w:rsidRPr="005565F8">
        <w:rPr>
          <w:b/>
          <w:bCs/>
        </w:rPr>
        <w:t xml:space="preserve"> bāzes uzlabošanai ar trešajām valstīm</w:t>
      </w:r>
      <w:r w:rsidRPr="005565F8">
        <w:rPr>
          <w:bCs/>
        </w:rPr>
        <w:t>. 2017. gadā tika parakstīts starpvaldību ekonomiskās sadarbības līgums ar Kuveitu, savukārt 2018. gada sākumā starpvaldību saprašanās memorands par ekonomiskās sadarb</w:t>
      </w:r>
      <w:r w:rsidRPr="005565F8" w:rsidR="00791114">
        <w:rPr>
          <w:bCs/>
        </w:rPr>
        <w:t>ības virzieniem ar Baltkrieviju;</w:t>
      </w:r>
      <w:r w:rsidRPr="005565F8">
        <w:rPr>
          <w:bCs/>
        </w:rPr>
        <w:t xml:space="preserve"> </w:t>
      </w:r>
    </w:p>
    <w:p w:rsidR="009F0D87" w:rsidRPr="005565F8" w:rsidP="009A65A4" w14:paraId="11D19D42" w14:textId="77777777">
      <w:pPr>
        <w:numPr>
          <w:ilvl w:val="0"/>
          <w:numId w:val="3"/>
        </w:numPr>
        <w:suppressAutoHyphens/>
        <w:spacing w:after="0"/>
        <w:ind w:left="284" w:hanging="284"/>
        <w:rPr>
          <w:bCs/>
        </w:rPr>
      </w:pPr>
      <w:r w:rsidRPr="005565F8">
        <w:rPr>
          <w:b/>
          <w:bCs/>
        </w:rPr>
        <w:t>Latvijas ekonomisko interešu aizstāvēšanai,</w:t>
      </w:r>
      <w:r w:rsidRPr="005565F8">
        <w:rPr>
          <w:bCs/>
        </w:rPr>
        <w:t xml:space="preserve"> </w:t>
      </w:r>
      <w:r w:rsidRPr="005565F8" w:rsidR="00791114">
        <w:rPr>
          <w:bCs/>
        </w:rPr>
        <w:t>t.sk.</w:t>
      </w:r>
      <w:r w:rsidRPr="005565F8">
        <w:rPr>
          <w:bCs/>
        </w:rPr>
        <w:t xml:space="preserve"> valdības un uzņēmēju līmenī risinot abām pusēm aktuālus divpusējās ekonomiskās sadarbības projektus, 2017.gadā tika organizētas Starpvaldību komisijas vai Apvienotās komitejas un to ietvaros notikušas amatpersonu divpusējās tikšanās ar Baltkrievijas, Ķīnas, Gruzijas, Moldovas, Azerbaidžānas, Krievijas, Uzbekistānas, Armēnijas pārstāvjiem</w:t>
      </w:r>
      <w:r w:rsidRPr="005565F8" w:rsidR="00791114">
        <w:rPr>
          <w:bCs/>
        </w:rPr>
        <w:t>;</w:t>
      </w:r>
    </w:p>
    <w:p w:rsidR="009F0D87" w:rsidRPr="005565F8" w:rsidP="009A65A4" w14:paraId="318AAFE4" w14:textId="77777777">
      <w:pPr>
        <w:numPr>
          <w:ilvl w:val="0"/>
          <w:numId w:val="3"/>
        </w:numPr>
        <w:suppressAutoHyphens/>
        <w:spacing w:after="0"/>
        <w:ind w:left="284" w:hanging="284"/>
        <w:rPr>
          <w:bCs/>
          <w:u w:val="single"/>
        </w:rPr>
      </w:pPr>
      <w:r w:rsidRPr="005565F8">
        <w:rPr>
          <w:b/>
          <w:bCs/>
        </w:rPr>
        <w:t>atbalsts komersantiem ārējā mārketinga pasākumu īstenošanai</w:t>
      </w:r>
      <w:r w:rsidRPr="005565F8">
        <w:rPr>
          <w:bCs/>
        </w:rPr>
        <w:t xml:space="preserve">, sniedzot atbalstu komersantu dalībai nacionālajos stendos starptautiskās izstādēs ārvalstīs. 2017.gadā noorganizēti 26 nacionālie stendi, kuros </w:t>
      </w:r>
      <w:r w:rsidRPr="005565F8">
        <w:rPr>
          <w:bCs/>
        </w:rPr>
        <w:t>piedalījušies 200 uzņēmumi (stendi organizēti Vācijā, Francijā, AAE, Japānā, Lielbritānijā, Itālijā, Ķīn</w:t>
      </w:r>
      <w:r w:rsidRPr="005565F8" w:rsidR="00493F90">
        <w:rPr>
          <w:bCs/>
        </w:rPr>
        <w:t>ā</w:t>
      </w:r>
      <w:r w:rsidRPr="005565F8">
        <w:rPr>
          <w:bCs/>
        </w:rPr>
        <w:t>, ASV, Zviedrij</w:t>
      </w:r>
      <w:r w:rsidRPr="005565F8" w:rsidR="00493F90">
        <w:rPr>
          <w:bCs/>
        </w:rPr>
        <w:t>ā</w:t>
      </w:r>
      <w:r w:rsidRPr="005565F8">
        <w:rPr>
          <w:bCs/>
        </w:rPr>
        <w:t xml:space="preserve"> un Norvēģij</w:t>
      </w:r>
      <w:r w:rsidRPr="005565F8" w:rsidR="00493F90">
        <w:rPr>
          <w:bCs/>
        </w:rPr>
        <w:t>ā</w:t>
      </w:r>
      <w:r w:rsidRPr="005565F8">
        <w:rPr>
          <w:bCs/>
        </w:rPr>
        <w:t xml:space="preserve">). Ņemot vērā uzņēmumu lielo interesi par dalību nacionālajos stendos dažādos tirgos, 2017.gadā papildus lielajiem nacionālajiem stendiem ar speciāli izstrādātu dizaina risinājumu, </w:t>
      </w:r>
      <w:r w:rsidRPr="005565F8" w:rsidR="00493F90">
        <w:rPr>
          <w:bCs/>
        </w:rPr>
        <w:t xml:space="preserve">tika </w:t>
      </w:r>
      <w:r w:rsidRPr="005565F8">
        <w:rPr>
          <w:bCs/>
        </w:rPr>
        <w:t>organizēt</w:t>
      </w:r>
      <w:r w:rsidRPr="005565F8" w:rsidR="00493F90">
        <w:rPr>
          <w:bCs/>
        </w:rPr>
        <w:t>i</w:t>
      </w:r>
      <w:r w:rsidRPr="005565F8">
        <w:rPr>
          <w:bCs/>
        </w:rPr>
        <w:t xml:space="preserve"> arī maz</w:t>
      </w:r>
      <w:r w:rsidRPr="005565F8" w:rsidR="00493F90">
        <w:rPr>
          <w:bCs/>
        </w:rPr>
        <w:t>ie</w:t>
      </w:r>
      <w:r w:rsidRPr="005565F8">
        <w:rPr>
          <w:bCs/>
        </w:rPr>
        <w:t xml:space="preserve"> nacionāl</w:t>
      </w:r>
      <w:r w:rsidRPr="005565F8" w:rsidR="00493F90">
        <w:rPr>
          <w:bCs/>
        </w:rPr>
        <w:t>ie</w:t>
      </w:r>
      <w:r w:rsidRPr="005565F8">
        <w:rPr>
          <w:bCs/>
        </w:rPr>
        <w:t xml:space="preserve"> stend</w:t>
      </w:r>
      <w:r w:rsidRPr="005565F8" w:rsidR="00493F90">
        <w:rPr>
          <w:bCs/>
        </w:rPr>
        <w:t>i</w:t>
      </w:r>
      <w:r w:rsidRPr="005565F8">
        <w:rPr>
          <w:bCs/>
        </w:rPr>
        <w:t>, kuros tiek izmantotas st</w:t>
      </w:r>
      <w:r w:rsidRPr="005565F8" w:rsidR="00493F90">
        <w:rPr>
          <w:bCs/>
        </w:rPr>
        <w:t>andarta stenda konstrukcijas. Šajos stendos</w:t>
      </w:r>
      <w:r w:rsidRPr="005565F8">
        <w:rPr>
          <w:bCs/>
        </w:rPr>
        <w:t xml:space="preserve"> piedalījās 93 uzņēmumi (Polij</w:t>
      </w:r>
      <w:r w:rsidRPr="005565F8" w:rsidR="00493F90">
        <w:rPr>
          <w:bCs/>
        </w:rPr>
        <w:t>ā</w:t>
      </w:r>
      <w:r w:rsidRPr="005565F8">
        <w:rPr>
          <w:bCs/>
        </w:rPr>
        <w:t>, Baltkrievij</w:t>
      </w:r>
      <w:r w:rsidRPr="005565F8" w:rsidR="00493F90">
        <w:rPr>
          <w:bCs/>
        </w:rPr>
        <w:t>ā</w:t>
      </w:r>
      <w:r w:rsidRPr="005565F8">
        <w:rPr>
          <w:bCs/>
        </w:rPr>
        <w:t>, Lielbritānij</w:t>
      </w:r>
      <w:r w:rsidRPr="005565F8" w:rsidR="00493F90">
        <w:rPr>
          <w:bCs/>
        </w:rPr>
        <w:t>ā</w:t>
      </w:r>
      <w:r w:rsidRPr="005565F8">
        <w:rPr>
          <w:bCs/>
        </w:rPr>
        <w:t>, Somij</w:t>
      </w:r>
      <w:r w:rsidRPr="005565F8" w:rsidR="00493F90">
        <w:rPr>
          <w:bCs/>
        </w:rPr>
        <w:t>ā</w:t>
      </w:r>
      <w:r w:rsidRPr="005565F8">
        <w:rPr>
          <w:bCs/>
        </w:rPr>
        <w:t>, Ķīn</w:t>
      </w:r>
      <w:r w:rsidRPr="005565F8" w:rsidR="00493F90">
        <w:rPr>
          <w:bCs/>
        </w:rPr>
        <w:t>ā</w:t>
      </w:r>
      <w:r w:rsidRPr="005565F8">
        <w:rPr>
          <w:bCs/>
        </w:rPr>
        <w:t>, Dānij</w:t>
      </w:r>
      <w:r w:rsidRPr="005565F8" w:rsidR="00493F90">
        <w:rPr>
          <w:bCs/>
        </w:rPr>
        <w:t>ā</w:t>
      </w:r>
      <w:r w:rsidRPr="005565F8">
        <w:rPr>
          <w:bCs/>
        </w:rPr>
        <w:t>, Ukrain</w:t>
      </w:r>
      <w:r w:rsidRPr="005565F8" w:rsidR="00493F90">
        <w:rPr>
          <w:bCs/>
        </w:rPr>
        <w:t>ā</w:t>
      </w:r>
      <w:r w:rsidRPr="005565F8">
        <w:rPr>
          <w:bCs/>
        </w:rPr>
        <w:t xml:space="preserve"> un Indij</w:t>
      </w:r>
      <w:r w:rsidRPr="005565F8" w:rsidR="00493F90">
        <w:rPr>
          <w:bCs/>
        </w:rPr>
        <w:t>ā</w:t>
      </w:r>
      <w:r w:rsidRPr="005565F8" w:rsidR="00947814">
        <w:rPr>
          <w:bCs/>
        </w:rPr>
        <w:t>)</w:t>
      </w:r>
      <w:r w:rsidRPr="005565F8" w:rsidR="00493F90">
        <w:rPr>
          <w:bCs/>
        </w:rPr>
        <w:t>;</w:t>
      </w:r>
      <w:r w:rsidRPr="005565F8">
        <w:rPr>
          <w:bCs/>
        </w:rPr>
        <w:t xml:space="preserve"> </w:t>
      </w:r>
    </w:p>
    <w:p w:rsidR="009F0D87" w:rsidRPr="005565F8" w:rsidP="009A65A4" w14:paraId="308A792C" w14:textId="77777777">
      <w:pPr>
        <w:numPr>
          <w:ilvl w:val="0"/>
          <w:numId w:val="3"/>
        </w:numPr>
        <w:suppressAutoHyphens/>
        <w:spacing w:after="0"/>
        <w:ind w:left="284" w:hanging="284"/>
        <w:rPr>
          <w:bCs/>
        </w:rPr>
      </w:pPr>
      <w:r w:rsidRPr="005565F8">
        <w:rPr>
          <w:b/>
          <w:bCs/>
        </w:rPr>
        <w:t>tiešie eksporta atbalsta pakalpojumi komersantiem</w:t>
      </w:r>
      <w:r w:rsidRPr="005565F8">
        <w:rPr>
          <w:bCs/>
        </w:rPr>
        <w:t xml:space="preserve">, kurus sniedz LIAA. Tie ietver vispārējās konsultācijas, informatīvu semināru par ārējiem tirgiem un ārējās tirdzniecības jautājumiem organizēšanu, kā arī nozaru tirgus apskatu, pētījumu un informatīvo ziņojumu </w:t>
      </w:r>
      <w:r w:rsidRPr="005565F8">
        <w:rPr>
          <w:bCs/>
        </w:rPr>
        <w:t>sagatavošanu. Tiek organizēt</w:t>
      </w:r>
      <w:r w:rsidRPr="005565F8" w:rsidR="00493F90">
        <w:rPr>
          <w:bCs/>
        </w:rPr>
        <w:t xml:space="preserve">i </w:t>
      </w:r>
      <w:r w:rsidRPr="005565F8">
        <w:rPr>
          <w:bCs/>
        </w:rPr>
        <w:t>biznesa forumi, tirdzniecības misijas un individuālās biznesa vizītes pie potenciālajiem sadarbības partneriem ārvalstīs;</w:t>
      </w:r>
    </w:p>
    <w:p w:rsidR="00156B09" w:rsidRPr="005565F8" w:rsidP="00156B09" w14:paraId="4B57616E" w14:textId="77777777">
      <w:pPr>
        <w:pStyle w:val="ListParagraph"/>
        <w:numPr>
          <w:ilvl w:val="0"/>
          <w:numId w:val="3"/>
        </w:numPr>
        <w:spacing w:after="0"/>
        <w:ind w:left="284" w:hanging="284"/>
        <w:rPr>
          <w:bCs/>
        </w:rPr>
      </w:pPr>
      <w:r w:rsidRPr="005565F8">
        <w:rPr>
          <w:bCs/>
        </w:rPr>
        <w:t xml:space="preserve">komersantiem ir pieejamas </w:t>
      </w:r>
      <w:r w:rsidRPr="005565F8">
        <w:rPr>
          <w:b/>
          <w:bCs/>
        </w:rPr>
        <w:t>īstermiņa eksporta kredīta garantijas</w:t>
      </w:r>
      <w:r w:rsidRPr="005565F8">
        <w:rPr>
          <w:bCs/>
        </w:rPr>
        <w:t xml:space="preserve"> eksporta veicināšanai</w:t>
      </w:r>
      <w:r w:rsidRPr="005565F8" w:rsidR="00493F90">
        <w:rPr>
          <w:bCs/>
        </w:rPr>
        <w:t xml:space="preserve"> </w:t>
      </w:r>
      <w:r w:rsidRPr="005565F8" w:rsidR="00493F90">
        <w:rPr>
          <w:bCs/>
          <w:i/>
        </w:rPr>
        <w:t xml:space="preserve">(skat. </w:t>
      </w:r>
      <w:r w:rsidRPr="005565F8" w:rsidR="005E1287">
        <w:rPr>
          <w:bCs/>
          <w:i/>
        </w:rPr>
        <w:t>3.5.</w:t>
      </w:r>
      <w:r w:rsidRPr="005565F8" w:rsidR="00947814">
        <w:rPr>
          <w:bCs/>
          <w:i/>
        </w:rPr>
        <w:t>ielikumu augstāk</w:t>
      </w:r>
      <w:r w:rsidRPr="005565F8" w:rsidR="00493F90">
        <w:rPr>
          <w:bCs/>
          <w:i/>
        </w:rPr>
        <w:t>)</w:t>
      </w:r>
      <w:r w:rsidRPr="005565F8">
        <w:rPr>
          <w:bCs/>
        </w:rPr>
        <w:t>;</w:t>
      </w:r>
    </w:p>
    <w:p w:rsidR="009F0D87" w:rsidRPr="005565F8" w:rsidP="00156B09" w14:paraId="724187A2" w14:textId="77777777">
      <w:pPr>
        <w:pStyle w:val="ListParagraph"/>
        <w:numPr>
          <w:ilvl w:val="0"/>
          <w:numId w:val="3"/>
        </w:numPr>
        <w:spacing w:after="0"/>
        <w:ind w:left="284" w:hanging="284"/>
        <w:rPr>
          <w:bCs/>
        </w:rPr>
      </w:pPr>
      <w:r w:rsidRPr="005565F8">
        <w:rPr>
          <w:b/>
          <w:bCs/>
        </w:rPr>
        <w:t>Starptautiskās konkurētspējas veicināšana</w:t>
      </w:r>
      <w:r w:rsidRPr="005565F8" w:rsidR="009F3847">
        <w:rPr>
          <w:b/>
          <w:bCs/>
        </w:rPr>
        <w:t>s</w:t>
      </w:r>
      <w:r w:rsidRPr="005565F8" w:rsidR="009F3847">
        <w:rPr>
          <w:bCs/>
        </w:rPr>
        <w:t xml:space="preserve"> pasākuma mērķis</w:t>
      </w:r>
      <w:r w:rsidRPr="005565F8">
        <w:rPr>
          <w:bCs/>
        </w:rPr>
        <w:t xml:space="preserve"> ir veicināt nozaru starptautisko konkurētspēju, atbalstot uzņēmējdarbību un ieiešanu ārvalstu tirgos, nodrošinot Latvijas Ārējo ekonomisko pārstāvniecību darbību un attīstot Latvijas starptautisko konkurētspēju prioritārajos tūrisma sektoros.</w:t>
      </w:r>
      <w:r w:rsidRPr="005565F8">
        <w:t xml:space="preserve"> </w:t>
      </w:r>
      <w:r w:rsidRPr="005565F8">
        <w:rPr>
          <w:bCs/>
        </w:rPr>
        <w:t>Līdz 2017.gada 31. decembrim ir noslēgti 1617 līgumi par atbalsta saņemšanu un apmaksāti 2516 maksājumu pieprasījumi par kopējo atbalsta summu (granti) 10,9</w:t>
      </w:r>
      <w:r w:rsidRPr="005565F8" w:rsidR="00445259">
        <w:rPr>
          <w:bCs/>
        </w:rPr>
        <w:t xml:space="preserve"> </w:t>
      </w:r>
      <w:r w:rsidRPr="005565F8">
        <w:rPr>
          <w:bCs/>
        </w:rPr>
        <w:t xml:space="preserve">milj. EUR. </w:t>
      </w:r>
    </w:p>
    <w:p w:rsidR="001D2B89" w:rsidRPr="005565F8" w:rsidP="009F0D87" w14:paraId="56FD476A" w14:textId="77777777">
      <w:pPr>
        <w:suppressAutoHyphens/>
        <w:rPr>
          <w:bCs/>
        </w:rPr>
        <w:sectPr w:rsidSect="003D0310">
          <w:type w:val="continuous"/>
          <w:pgSz w:w="11906" w:h="16838" w:code="9"/>
          <w:pgMar w:top="1134" w:right="1134" w:bottom="1134" w:left="1134" w:header="709" w:footer="709" w:gutter="0"/>
          <w:cols w:num="2" w:space="340"/>
          <w:titlePg/>
          <w:docGrid w:linePitch="360"/>
        </w:sectPr>
      </w:pPr>
    </w:p>
    <w:p w:rsidR="00925AED" w:rsidRPr="005565F8" w:rsidP="009F0D87" w14:paraId="4DA98732" w14:textId="77777777">
      <w:pPr>
        <w:suppressAutoHyphens/>
        <w:rPr>
          <w:bCs/>
        </w:rPr>
      </w:pPr>
    </w:p>
    <w:p w:rsidR="00925AED" w:rsidRPr="005565F8" w:rsidP="00925AED" w14:paraId="7BB47342"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Pašvaldību kapacitātes stiprināšana uzņēmumu un investīciju piesaistē</w:t>
      </w:r>
    </w:p>
    <w:p w:rsidR="00925AED" w:rsidRPr="005565F8" w:rsidP="00925AED" w14:paraId="54B6B2F8"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VARAM, SM, EM/</w:t>
      </w:r>
    </w:p>
    <w:p w:rsidR="001D2B89" w:rsidRPr="005565F8" w:rsidP="00B22046" w14:paraId="7FFCC801"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ED0FCB" w:rsidRPr="005565F8" w:rsidP="00925AED" w14:paraId="1F91CE7E" w14:textId="77777777">
      <w:pPr>
        <w:spacing w:before="240"/>
      </w:pPr>
      <w:r w:rsidRPr="005565F8">
        <w:t>Pasākuma mērķis ir stiprināt pašvaldību lomu investīciju piesaistē un uzņēmējdarbības veicināšanā:</w:t>
      </w:r>
    </w:p>
    <w:p w:rsidR="009F0D87" w:rsidRPr="005565F8" w:rsidP="009A65A4" w14:paraId="37AB82A1" w14:textId="77777777">
      <w:pPr>
        <w:numPr>
          <w:ilvl w:val="0"/>
          <w:numId w:val="2"/>
        </w:numPr>
        <w:suppressAutoHyphens/>
        <w:spacing w:after="0"/>
        <w:ind w:left="284" w:hanging="284"/>
      </w:pPr>
      <w:r w:rsidRPr="005565F8">
        <w:t xml:space="preserve">pilnveidota </w:t>
      </w:r>
      <w:r w:rsidRPr="005565F8">
        <w:rPr>
          <w:b/>
        </w:rPr>
        <w:t>pašvaldību finanšu sistēma</w:t>
      </w:r>
      <w:r w:rsidRPr="005565F8">
        <w:t xml:space="preserve"> un</w:t>
      </w:r>
      <w:r w:rsidRPr="005565F8">
        <w:t xml:space="preserve"> paplašinātas</w:t>
      </w:r>
      <w:r w:rsidRPr="005565F8">
        <w:t xml:space="preserve"> pašvaldību tiesīb</w:t>
      </w:r>
      <w:r w:rsidRPr="005565F8">
        <w:t>as</w:t>
      </w:r>
      <w:r w:rsidRPr="005565F8">
        <w:t xml:space="preserve"> rīkoties ar savu mantu. 2015.gada 2.jūlijā ir stājies spēkā </w:t>
      </w:r>
      <w:r w:rsidRPr="005565F8">
        <w:rPr>
          <w:i/>
        </w:rPr>
        <w:t>Pašvaldību finanšu izlīdzināšanas likums</w:t>
      </w:r>
      <w:r w:rsidRPr="005565F8" w:rsidR="006C3FF8">
        <w:t>,</w:t>
      </w:r>
      <w:r w:rsidRPr="005565F8">
        <w:t xml:space="preserve"> </w:t>
      </w:r>
      <w:r w:rsidRPr="005565F8" w:rsidR="006C3FF8">
        <w:t xml:space="preserve">kas ļāva veikt </w:t>
      </w:r>
      <w:r w:rsidRPr="005565F8">
        <w:t>aprēķin</w:t>
      </w:r>
      <w:r w:rsidRPr="005565F8" w:rsidR="006C3FF8">
        <w:t>u</w:t>
      </w:r>
      <w:r w:rsidRPr="005565F8">
        <w:t xml:space="preserve"> ar vienkāršu formulu, </w:t>
      </w:r>
      <w:r w:rsidRPr="005565F8" w:rsidR="006C3FF8">
        <w:t xml:space="preserve">līdz ar to </w:t>
      </w:r>
      <w:r w:rsidRPr="005565F8">
        <w:t>pašvaldības tiek novērtētas vienādi, kā arī pašvaldību vērtētie ieņēmu</w:t>
      </w:r>
      <w:r w:rsidRPr="005565F8" w:rsidR="006C3FF8">
        <w:t>mi tiek izlīdzināti vienmērīgāk</w:t>
      </w:r>
      <w:r w:rsidRPr="005565F8">
        <w:t>. Veikti grozījumi MK noteikumos, kas dod pašvaldībām lielākas iespējas elastīgāk noteikt nomas maksu apbūvētam zemesgabalam gadījumos, ja tas tiek iznomāts ražošanas objekta būvniecībai vai saimnieciskās darbības veikšanai, saistošajos noteikumos izvirzot specifiskus kritērijus (nosacījumus);</w:t>
      </w:r>
    </w:p>
    <w:p w:rsidR="009F0D87" w:rsidRPr="005565F8" w:rsidP="009A65A4" w14:paraId="49BF1F92" w14:textId="77777777">
      <w:pPr>
        <w:numPr>
          <w:ilvl w:val="0"/>
          <w:numId w:val="2"/>
        </w:numPr>
        <w:suppressAutoHyphens/>
        <w:spacing w:after="0"/>
        <w:ind w:left="284" w:hanging="284"/>
      </w:pPr>
      <w:r w:rsidRPr="005565F8">
        <w:t>paaugstin</w:t>
      </w:r>
      <w:r w:rsidRPr="005565F8" w:rsidR="00FC732D">
        <w:t>āta</w:t>
      </w:r>
      <w:r w:rsidRPr="005565F8">
        <w:t xml:space="preserve"> </w:t>
      </w:r>
      <w:r w:rsidRPr="005565F8">
        <w:rPr>
          <w:b/>
        </w:rPr>
        <w:t>pašvaldību sniegto pakalpojumu pieejamīb</w:t>
      </w:r>
      <w:r w:rsidRPr="005565F8" w:rsidR="00FC732D">
        <w:rPr>
          <w:b/>
        </w:rPr>
        <w:t>a</w:t>
      </w:r>
      <w:r w:rsidRPr="005565F8">
        <w:rPr>
          <w:b/>
        </w:rPr>
        <w:t xml:space="preserve"> un kvalitāt</w:t>
      </w:r>
      <w:r w:rsidRPr="005565F8" w:rsidR="00FC732D">
        <w:rPr>
          <w:b/>
        </w:rPr>
        <w:t>e</w:t>
      </w:r>
      <w:r w:rsidRPr="005565F8">
        <w:t xml:space="preserve">, ieviešot vienas pieturas aģentūras principu </w:t>
      </w:r>
      <w:r w:rsidRPr="005565F8">
        <w:rPr>
          <w:i/>
        </w:rPr>
        <w:t>(skat. 3.2.1.nodaļu)</w:t>
      </w:r>
      <w:r w:rsidRPr="005565F8">
        <w:t>, mazinot administratīvo slogu uzņēmējiem un iedzīvotājiem pašvaldību sniegtajos pakalpojumos;</w:t>
      </w:r>
    </w:p>
    <w:p w:rsidR="009F0D87" w:rsidRPr="005565F8" w:rsidP="009A65A4" w14:paraId="442B1003" w14:textId="77777777">
      <w:pPr>
        <w:numPr>
          <w:ilvl w:val="0"/>
          <w:numId w:val="2"/>
        </w:numPr>
        <w:suppressAutoHyphens/>
        <w:spacing w:after="0"/>
        <w:ind w:left="284" w:hanging="284"/>
      </w:pPr>
      <w:r w:rsidRPr="005565F8">
        <w:t>nodrošin</w:t>
      </w:r>
      <w:r w:rsidRPr="005565F8" w:rsidR="00FC732D">
        <w:t>ātas</w:t>
      </w:r>
      <w:r w:rsidRPr="005565F8">
        <w:t xml:space="preserve"> </w:t>
      </w:r>
      <w:r w:rsidRPr="005565F8">
        <w:rPr>
          <w:b/>
        </w:rPr>
        <w:t>bezmaksas ātrgaitas bezvadu elektronisko sakaru piekļuves vietas pašvaldību sabiedriski pieejamās vietās</w:t>
      </w:r>
      <w:r w:rsidRPr="005565F8">
        <w:t xml:space="preserve"> (bibliotēkās, pētniecības centros, biznesa centros, dzelzceļa stacijās, ostās, lidostās, valsts pārvaldes un pašvaldību ēkās</w:t>
      </w:r>
      <w:r w:rsidRPr="005565F8" w:rsidR="00FC732D">
        <w:t xml:space="preserve"> u.c.</w:t>
      </w:r>
      <w:r w:rsidRPr="005565F8">
        <w:t xml:space="preserve">), izmantojot Eiropas Savienošanas instrumenta </w:t>
      </w:r>
      <w:r w:rsidRPr="005565F8">
        <w:rPr>
          <w:i/>
        </w:rPr>
        <w:t>(</w:t>
      </w:r>
      <w:r w:rsidRPr="005565F8">
        <w:rPr>
          <w:i/>
        </w:rPr>
        <w:t>Connecting</w:t>
      </w:r>
      <w:r w:rsidRPr="005565F8">
        <w:rPr>
          <w:i/>
        </w:rPr>
        <w:t xml:space="preserve"> </w:t>
      </w:r>
      <w:r w:rsidRPr="005565F8">
        <w:rPr>
          <w:i/>
        </w:rPr>
        <w:t>Europe</w:t>
      </w:r>
      <w:r w:rsidRPr="005565F8">
        <w:rPr>
          <w:i/>
        </w:rPr>
        <w:t xml:space="preserve"> </w:t>
      </w:r>
      <w:r w:rsidRPr="005565F8">
        <w:rPr>
          <w:i/>
        </w:rPr>
        <w:t>Facility</w:t>
      </w:r>
      <w:r w:rsidRPr="005565F8">
        <w:rPr>
          <w:i/>
        </w:rPr>
        <w:t xml:space="preserve"> – CEF</w:t>
      </w:r>
      <w:r w:rsidRPr="005565F8">
        <w:t>) finansējumu;</w:t>
      </w:r>
    </w:p>
    <w:p w:rsidR="009F0D87" w:rsidRPr="005565F8" w:rsidP="009A65A4" w14:paraId="4312131D" w14:textId="77777777">
      <w:pPr>
        <w:numPr>
          <w:ilvl w:val="0"/>
          <w:numId w:val="2"/>
        </w:numPr>
        <w:suppressAutoHyphens/>
        <w:spacing w:after="0"/>
        <w:ind w:left="284" w:hanging="284"/>
      </w:pPr>
      <w:r w:rsidRPr="005565F8">
        <w:t>sakārto</w:t>
      </w:r>
      <w:r w:rsidRPr="005565F8" w:rsidR="00FC732D">
        <w:t>ta</w:t>
      </w:r>
      <w:r w:rsidRPr="005565F8">
        <w:t xml:space="preserve"> un attīst</w:t>
      </w:r>
      <w:r w:rsidRPr="005565F8" w:rsidR="00FC732D">
        <w:t>īta</w:t>
      </w:r>
      <w:r w:rsidRPr="005565F8">
        <w:t xml:space="preserve"> </w:t>
      </w:r>
      <w:r w:rsidRPr="005565F8">
        <w:rPr>
          <w:b/>
        </w:rPr>
        <w:t>pašvaldību transporta un vides infrastruktūr</w:t>
      </w:r>
      <w:r w:rsidRPr="005565F8" w:rsidR="00FC732D">
        <w:rPr>
          <w:b/>
        </w:rPr>
        <w:t>a</w:t>
      </w:r>
      <w:r w:rsidRPr="005565F8">
        <w:t xml:space="preserve"> </w:t>
      </w:r>
      <w:r w:rsidRPr="005565F8">
        <w:rPr>
          <w:i/>
        </w:rPr>
        <w:t>(skat. 3.2.5.nodaļu)</w:t>
      </w:r>
      <w:r w:rsidRPr="005565F8">
        <w:t>;</w:t>
      </w:r>
    </w:p>
    <w:p w:rsidR="006E5C89" w:rsidRPr="005565F8" w:rsidP="006E5C89" w14:paraId="27741914" w14:textId="77777777">
      <w:pPr>
        <w:numPr>
          <w:ilvl w:val="0"/>
          <w:numId w:val="2"/>
        </w:numPr>
        <w:suppressAutoHyphens/>
        <w:spacing w:after="0"/>
        <w:ind w:left="284" w:hanging="284"/>
      </w:pPr>
      <w:r w:rsidRPr="005565F8">
        <w:t>tiek sakārtota</w:t>
      </w:r>
      <w:r w:rsidRPr="005565F8" w:rsidR="009F0D87">
        <w:t xml:space="preserve"> </w:t>
      </w:r>
      <w:r w:rsidRPr="005565F8" w:rsidR="009F0D87">
        <w:rPr>
          <w:b/>
        </w:rPr>
        <w:t>pašvaldību publiskās uzņēmējdarbības infrastruktūra</w:t>
      </w:r>
      <w:r w:rsidRPr="005565F8" w:rsidR="009F0D87">
        <w:t xml:space="preserve">. 2017. gadā turpinājās projektu iesnieguma atlase ES fondu 2014.-2020.g. ieviešanai reģionālās attīstības jomā. </w:t>
      </w:r>
      <w:r w:rsidRPr="005565F8" w:rsidR="009F0D87">
        <w:rPr>
          <w:color w:val="000000" w:themeColor="text1"/>
        </w:rPr>
        <w:t xml:space="preserve">Pašvaldībām paredzēts atbalsts privāto investīciju apjoma palielināšanai, veicot ieguldījumus uzņēmējdarbības attīstībai atbilstoši teritoriju </w:t>
      </w:r>
      <w:r w:rsidRPr="005565F8" w:rsidR="009F0D87">
        <w:rPr>
          <w:color w:val="000000" w:themeColor="text1"/>
        </w:rPr>
        <w:t xml:space="preserve">specializācijai, un atbalsts degradēto teritoriju atjaunošanai, kā arī atbalsts pašvaldību ēku energoefektivitātes paaugstināšanai. Kopējais šim mērķim paredzētais ES fondu finansējums </w:t>
      </w:r>
      <w:r w:rsidRPr="005565F8" w:rsidR="009F0D87">
        <w:t xml:space="preserve">sasniedz </w:t>
      </w:r>
      <w:r w:rsidRPr="005565F8">
        <w:t>350,9 milj. EUR (ERAF</w:t>
      </w:r>
      <w:r w:rsidRPr="005565F8">
        <w:rPr>
          <w:color w:val="000000" w:themeColor="text1"/>
        </w:rPr>
        <w:t>).</w:t>
      </w:r>
    </w:p>
    <w:p w:rsidR="009F0D87" w:rsidRPr="005565F8" w:rsidP="00964C43" w14:paraId="2BF2CA11" w14:textId="78137750">
      <w:pPr>
        <w:numPr>
          <w:ilvl w:val="0"/>
          <w:numId w:val="2"/>
        </w:numPr>
        <w:suppressAutoHyphens/>
        <w:spacing w:after="0"/>
        <w:ind w:left="284" w:hanging="284"/>
      </w:pPr>
      <w:r w:rsidRPr="005565F8">
        <w:rPr>
          <w:color w:val="000000" w:themeColor="text1"/>
        </w:rPr>
        <w:t xml:space="preserve">Plānots, ka šo investīciju rezultātā tiks radītas vismaz 4 985 jaunas darbavietas privātajā sektorā, piesaistītas investīcijas vismaz 303,9 milj. EUR apjomā un atbalstīti vismaz 202 komersanti privātajā sektorā, atjaunoti vismaz 563 ha degradētu teritoriju. </w:t>
      </w:r>
      <w:r w:rsidRPr="005565F8" w:rsidR="00FC732D">
        <w:t xml:space="preserve">Ar ES fondu atbalstu </w:t>
      </w:r>
      <w:r w:rsidRPr="005565F8">
        <w:t>75</w:t>
      </w:r>
      <w:r w:rsidR="00AD5CFE">
        <w:t> </w:t>
      </w:r>
      <w:r w:rsidRPr="005565F8">
        <w:t>pašvaldības plāno īstenot publiskās infrastruktūras attīstības projektus uzņēmējdarbības atbalstam. Šīs pašvaldības līdz 2018.gada 1.februārim vērtēšanai bija iesniegušas 130 projektus ar ERAF finansējumu 174,6 milj. EUR, kas ir 57% no kopējā plānotā ERAF finansējuma (</w:t>
      </w:r>
      <w:r w:rsidRPr="005565F8">
        <w:rPr>
          <w:color w:val="000000" w:themeColor="text1"/>
        </w:rPr>
        <w:t>noslēgti līgumi par 65 projektu īstenošanu par ERAF finansējumu – 76,8 milj. EUR</w:t>
      </w:r>
      <w:r w:rsidRPr="005565F8" w:rsidR="002D63BF">
        <w:rPr>
          <w:color w:val="000000" w:themeColor="text1"/>
        </w:rPr>
        <w:t>)</w:t>
      </w:r>
      <w:r w:rsidRPr="005565F8">
        <w:t xml:space="preserve">. Minētajos investīciju projektos līdz 2018.gada 1.februārim ir radītas 544 jaunas darba vietas un piesaistītas privātās </w:t>
      </w:r>
      <w:r w:rsidRPr="005565F8">
        <w:t>nefinanšu</w:t>
      </w:r>
      <w:r w:rsidRPr="005565F8">
        <w:t xml:space="preserve"> investīcijas 34,</w:t>
      </w:r>
      <w:r w:rsidR="00AD5CFE">
        <w:t>6</w:t>
      </w:r>
      <w:r w:rsidRPr="005565F8">
        <w:t xml:space="preserve"> milj</w:t>
      </w:r>
      <w:r w:rsidRPr="005565F8" w:rsidR="00FC732D">
        <w:t>.</w:t>
      </w:r>
      <w:r w:rsidRPr="005565F8">
        <w:t xml:space="preserve"> EUR apmērā. </w:t>
      </w:r>
      <w:r w:rsidRPr="005565F8">
        <w:rPr>
          <w:color w:val="000000" w:themeColor="text1"/>
        </w:rPr>
        <w:t xml:space="preserve">Savukārt energoefektivitātes jomā paredzēts sasniegt primārās enerģijas gada patēriņa samazinājumu </w:t>
      </w:r>
      <w:r w:rsidRPr="005565F8">
        <w:rPr>
          <w:color w:val="000000" w:themeColor="text1"/>
        </w:rPr>
        <w:t xml:space="preserve">pašvaldību </w:t>
      </w:r>
      <w:r w:rsidRPr="005565F8">
        <w:rPr>
          <w:color w:val="000000" w:themeColor="text1"/>
        </w:rPr>
        <w:t xml:space="preserve">ēkās – 20,54 </w:t>
      </w:r>
      <w:r w:rsidRPr="005565F8">
        <w:rPr>
          <w:color w:val="000000" w:themeColor="text1"/>
        </w:rPr>
        <w:t>GWh</w:t>
      </w:r>
      <w:r w:rsidRPr="005565F8">
        <w:rPr>
          <w:color w:val="000000" w:themeColor="text1"/>
        </w:rPr>
        <w:t>/gadā un siltumnīcefekta gāzu emisiju samazinājumu – vismaz 5</w:t>
      </w:r>
      <w:r w:rsidR="00AD5CFE">
        <w:rPr>
          <w:color w:val="000000" w:themeColor="text1"/>
        </w:rPr>
        <w:t> </w:t>
      </w:r>
      <w:r w:rsidRPr="005565F8">
        <w:rPr>
          <w:color w:val="000000" w:themeColor="text1"/>
        </w:rPr>
        <w:t xml:space="preserve">180 </w:t>
      </w:r>
      <w:r w:rsidRPr="005565F8" w:rsidR="00FC732D">
        <w:rPr>
          <w:color w:val="000000" w:themeColor="text1"/>
        </w:rPr>
        <w:t xml:space="preserve">t </w:t>
      </w:r>
      <w:r w:rsidRPr="005565F8">
        <w:rPr>
          <w:color w:val="000000" w:themeColor="text1"/>
        </w:rPr>
        <w:t>CO</w:t>
      </w:r>
      <w:r w:rsidRPr="005565F8">
        <w:rPr>
          <w:color w:val="000000" w:themeColor="text1"/>
          <w:vertAlign w:val="subscript"/>
        </w:rPr>
        <w:t>2</w:t>
      </w:r>
      <w:r w:rsidRPr="005565F8">
        <w:rPr>
          <w:color w:val="000000" w:themeColor="text1"/>
        </w:rPr>
        <w:t xml:space="preserve"> ekvivalenta gadā</w:t>
      </w:r>
      <w:r w:rsidRPr="005565F8" w:rsidR="00FC732D">
        <w:rPr>
          <w:color w:val="000000" w:themeColor="text1"/>
        </w:rPr>
        <w:t xml:space="preserve"> </w:t>
      </w:r>
      <w:r w:rsidRPr="005565F8" w:rsidR="00FC732D">
        <w:rPr>
          <w:i/>
          <w:color w:val="000000" w:themeColor="text1"/>
        </w:rPr>
        <w:t>(skat. arī 3.6.2.nodaļu)</w:t>
      </w:r>
      <w:r w:rsidRPr="005565F8">
        <w:rPr>
          <w:color w:val="000000" w:themeColor="text1"/>
        </w:rPr>
        <w:t>;</w:t>
      </w:r>
    </w:p>
    <w:p w:rsidR="00ED0FCB" w:rsidRPr="005565F8" w:rsidP="009C3DDE" w14:paraId="1C3EB1B0" w14:textId="77777777">
      <w:pPr>
        <w:numPr>
          <w:ilvl w:val="0"/>
          <w:numId w:val="2"/>
        </w:numPr>
        <w:suppressAutoHyphens/>
        <w:spacing w:after="0"/>
        <w:ind w:left="284" w:hanging="284"/>
        <w:rPr>
          <w:color w:val="000000" w:themeColor="text1"/>
        </w:rPr>
      </w:pPr>
      <w:r w:rsidRPr="005565F8">
        <w:t xml:space="preserve">veikti pasākumi </w:t>
      </w:r>
      <w:r w:rsidRPr="005565F8" w:rsidR="009F0D87">
        <w:rPr>
          <w:rFonts w:eastAsia="+mn-ea"/>
          <w:b/>
        </w:rPr>
        <w:t>uzņēmējdarbības un inovāciju sistēma</w:t>
      </w:r>
      <w:r w:rsidRPr="005565F8">
        <w:rPr>
          <w:rFonts w:eastAsia="+mn-ea"/>
          <w:b/>
        </w:rPr>
        <w:t>s attīstībai Latgales</w:t>
      </w:r>
      <w:r w:rsidRPr="005565F8" w:rsidR="009F0D87">
        <w:rPr>
          <w:b/>
        </w:rPr>
        <w:t xml:space="preserve"> r</w:t>
      </w:r>
      <w:r w:rsidRPr="005565F8" w:rsidR="009F0D87">
        <w:rPr>
          <w:rFonts w:eastAsia="+mn-ea"/>
          <w:b/>
        </w:rPr>
        <w:t>eģionā</w:t>
      </w:r>
      <w:r w:rsidRPr="005565F8">
        <w:rPr>
          <w:rFonts w:eastAsia="+mn-ea"/>
          <w:b/>
        </w:rPr>
        <w:t>.</w:t>
      </w:r>
      <w:r w:rsidRPr="005565F8" w:rsidR="009F0D87">
        <w:t xml:space="preserve"> </w:t>
      </w:r>
      <w:r w:rsidRPr="005565F8">
        <w:t xml:space="preserve">Izmantojot </w:t>
      </w:r>
      <w:r w:rsidRPr="005565F8" w:rsidR="009F0D87">
        <w:t>Norvēģijas</w:t>
      </w:r>
      <w:r w:rsidRPr="005565F8" w:rsidR="00DD7C57">
        <w:t xml:space="preserve"> sniegto atbalstu</w:t>
      </w:r>
      <w:r w:rsidRPr="005565F8" w:rsidR="009F0D87">
        <w:t xml:space="preserve">, </w:t>
      </w:r>
      <w:r w:rsidRPr="005565F8">
        <w:t>līdz</w:t>
      </w:r>
      <w:r w:rsidRPr="005565F8" w:rsidR="00EB64B8">
        <w:t xml:space="preserve"> 2017.</w:t>
      </w:r>
      <w:r w:rsidRPr="005565F8">
        <w:t xml:space="preserve">gada aprīlim tika </w:t>
      </w:r>
      <w:r w:rsidRPr="005565F8" w:rsidR="009F0D87">
        <w:rPr>
          <w:rFonts w:eastAsia="+mn-ea"/>
        </w:rPr>
        <w:t xml:space="preserve">realizēts pilotprojekts </w:t>
      </w:r>
      <w:r w:rsidRPr="005565F8" w:rsidR="009F0D87">
        <w:rPr>
          <w:kern w:val="1"/>
          <w:lang w:eastAsia="ar-SA"/>
        </w:rPr>
        <w:t xml:space="preserve">uzņēmējdarbības un inovāciju sistēmas ieviešanai Latgales plānošanas reģionā (turpmāk – LPR). </w:t>
      </w:r>
      <w:r w:rsidRPr="005565F8" w:rsidR="00922B71">
        <w:rPr>
          <w:kern w:val="1"/>
          <w:lang w:eastAsia="ar-SA"/>
        </w:rPr>
        <w:t>A</w:t>
      </w:r>
      <w:r w:rsidRPr="005565F8" w:rsidR="009F0D87">
        <w:t xml:space="preserve">ktivitātes ietvaros </w:t>
      </w:r>
      <w:r w:rsidRPr="005565F8" w:rsidR="00DD7C57">
        <w:rPr>
          <w:iCs/>
        </w:rPr>
        <w:t>LPR</w:t>
      </w:r>
      <w:r w:rsidRPr="005565F8" w:rsidR="009F0D87">
        <w:rPr>
          <w:iCs/>
        </w:rPr>
        <w:t xml:space="preserve"> nodrošināta Latgales uzņēmējdarbības centra darbība. </w:t>
      </w:r>
      <w:r w:rsidRPr="005565F8" w:rsidR="009F0D87">
        <w:rPr>
          <w:kern w:val="1"/>
          <w:lang w:eastAsia="ar-SA"/>
        </w:rPr>
        <w:t xml:space="preserve">Ar Norvēģijas partnera Norvēģijas Pašvaldību un modernizācijas ministrijas iesaisti 2017.gadā ir izstrādāts </w:t>
      </w:r>
      <w:r w:rsidRPr="005565F8" w:rsidR="00642899">
        <w:rPr>
          <w:i/>
          <w:kern w:val="1"/>
          <w:lang w:eastAsia="ar-SA"/>
        </w:rPr>
        <w:t>Z</w:t>
      </w:r>
      <w:r w:rsidRPr="005565F8" w:rsidR="009F0D87">
        <w:rPr>
          <w:i/>
          <w:kern w:val="1"/>
          <w:lang w:eastAsia="ar-SA"/>
        </w:rPr>
        <w:t xml:space="preserve">iņojums par Norvēģijas </w:t>
      </w:r>
      <w:r w:rsidRPr="005565F8" w:rsidR="009F0D87">
        <w:rPr>
          <w:i/>
          <w:kern w:val="1"/>
          <w:lang w:eastAsia="ar-SA"/>
        </w:rPr>
        <w:t>labo praksi atbalsta pasākumu izstrādei attāliem un mazapdzīvotiem reģioniem</w:t>
      </w:r>
      <w:r w:rsidRPr="005565F8" w:rsidR="009F0D87">
        <w:rPr>
          <w:kern w:val="1"/>
          <w:lang w:eastAsia="ar-SA"/>
        </w:rPr>
        <w:t>.</w:t>
      </w:r>
    </w:p>
    <w:p w:rsidR="00951581" w:rsidRPr="005565F8" w:rsidP="00ED0FCB" w14:paraId="2C3379AA" w14:textId="77777777">
      <w:pPr>
        <w:pStyle w:val="Heading3"/>
        <w:sectPr w:rsidSect="003D0310">
          <w:type w:val="continuous"/>
          <w:pgSz w:w="11906" w:h="16838" w:code="9"/>
          <w:pgMar w:top="1134" w:right="1134" w:bottom="1134" w:left="1134" w:header="709" w:footer="709" w:gutter="0"/>
          <w:cols w:num="2" w:space="340"/>
          <w:titlePg/>
          <w:docGrid w:linePitch="360"/>
        </w:sectPr>
      </w:pPr>
    </w:p>
    <w:p w:rsidR="00964C43" w:rsidRPr="005565F8" w:rsidP="00CA3F88" w14:paraId="4DCF4899" w14:textId="77777777"/>
    <w:p w:rsidR="00ED0FCB" w:rsidRPr="005565F8" w:rsidP="00ED0FCB" w14:paraId="2420E742" w14:textId="77777777">
      <w:pPr>
        <w:pStyle w:val="Heading3"/>
      </w:pPr>
      <w:bookmarkStart w:id="55" w:name="_Toc510687747"/>
      <w:bookmarkStart w:id="56" w:name="_Toc256000015"/>
      <w:bookmarkStart w:id="57" w:name="_Toc256000050"/>
      <w:r w:rsidRPr="005565F8">
        <w:t>3.2.3. Inovācijas, pētniecība un attīstība</w:t>
      </w:r>
      <w:bookmarkEnd w:id="57"/>
      <w:bookmarkEnd w:id="56"/>
      <w:bookmarkEnd w:id="55"/>
    </w:p>
    <w:p w:rsidR="00951581" w:rsidRPr="005565F8" w:rsidP="00D26935" w14:paraId="1D548201" w14:textId="77777777">
      <w:pPr>
        <w:pBdr>
          <w:left w:val="single" w:sz="24" w:space="4" w:color="228B9D"/>
        </w:pBdr>
        <w:rPr>
          <w:rFonts w:ascii="Calibri Light" w:hAnsi="Calibri Light"/>
          <w:b/>
          <w:color w:val="228B9D"/>
          <w:sz w:val="24"/>
        </w:rPr>
        <w:sectPr w:rsidSect="003D0310">
          <w:type w:val="continuous"/>
          <w:pgSz w:w="11906" w:h="16838" w:code="9"/>
          <w:pgMar w:top="1134" w:right="1134" w:bottom="1134" w:left="1134" w:header="709" w:footer="709" w:gutter="0"/>
          <w:cols w:space="340"/>
          <w:titlePg/>
          <w:docGrid w:linePitch="360"/>
        </w:sectPr>
      </w:pPr>
    </w:p>
    <w:p w:rsidR="00ED0FCB" w:rsidRPr="005565F8" w:rsidP="00CA3F88" w14:paraId="4E0C2E96" w14:textId="77777777">
      <w:r w:rsidRPr="005565F8">
        <w:t>Latvijas NRP mērķa rādītājs ieguldījumiem pētniecībā un attīstībā (P&amp;A) 2020.gadam noteikts 1,5% apmērā no IKP.</w:t>
      </w:r>
    </w:p>
    <w:p w:rsidR="00F56ABC" w:rsidRPr="005565F8" w:rsidP="00F56ABC" w14:paraId="4464229C" w14:textId="77777777">
      <w:r w:rsidRPr="005565F8">
        <w:t xml:space="preserve">Saskaņā ar </w:t>
      </w:r>
      <w:r w:rsidRPr="005565F8">
        <w:rPr>
          <w:i/>
        </w:rPr>
        <w:t>European</w:t>
      </w:r>
      <w:r w:rsidRPr="005565F8">
        <w:rPr>
          <w:i/>
        </w:rPr>
        <w:t xml:space="preserve"> </w:t>
      </w:r>
      <w:r w:rsidRPr="005565F8">
        <w:rPr>
          <w:i/>
        </w:rPr>
        <w:t>Innovation</w:t>
      </w:r>
      <w:r w:rsidRPr="005565F8">
        <w:rPr>
          <w:i/>
        </w:rPr>
        <w:t xml:space="preserve"> </w:t>
      </w:r>
      <w:r w:rsidRPr="005565F8">
        <w:rPr>
          <w:i/>
        </w:rPr>
        <w:t>Scoreboard</w:t>
      </w:r>
      <w:r w:rsidRPr="005565F8">
        <w:rPr>
          <w:i/>
        </w:rPr>
        <w:t xml:space="preserve"> 2017</w:t>
      </w:r>
      <w:r w:rsidRPr="005565F8">
        <w:t xml:space="preserve"> novērtējumu Latvija salīdzinājumā ar iepriekšējo gadu </w:t>
      </w:r>
      <w:r w:rsidRPr="005565F8">
        <w:t xml:space="preserve">atkārtoti ir pakāpusies par vienu vietu un ierindojas 24.vietā starp 28 pētījumā iekļautām ES dalībvalstīm, saglabājot pozīciju grupā </w:t>
      </w:r>
      <w:r w:rsidRPr="005565F8">
        <w:rPr>
          <w:i/>
        </w:rPr>
        <w:t xml:space="preserve">vidējie </w:t>
      </w:r>
      <w:r w:rsidRPr="005565F8">
        <w:rPr>
          <w:i/>
        </w:rPr>
        <w:t>inovatori</w:t>
      </w:r>
      <w:r w:rsidRPr="005565F8">
        <w:rPr>
          <w:i/>
        </w:rPr>
        <w:t xml:space="preserve">, </w:t>
      </w:r>
      <w:r w:rsidRPr="005565F8">
        <w:t>kuru sniegums inovācijas jomā ir no 50-90% no ES vidējā līmeņa. Tomēr ieguldījumu P&amp;A mērķa sasniegšana joprojām uzskatāma par lielu izaicinājumu.</w:t>
      </w:r>
    </w:p>
    <w:p w:rsidR="00F56ABC" w:rsidRPr="005565F8" w:rsidP="00054F1E" w14:paraId="509086A6" w14:textId="77777777">
      <w:pPr>
        <w:pStyle w:val="ListParagraph"/>
        <w:keepNext/>
        <w:spacing w:before="240"/>
        <w:ind w:left="0"/>
        <w:contextualSpacing w:val="0"/>
        <w:jc w:val="right"/>
        <w:rPr>
          <w:rFonts w:ascii="Calibri Light" w:hAnsi="Calibri Light"/>
        </w:rPr>
        <w:sectPr w:rsidSect="003D0310">
          <w:type w:val="continuous"/>
          <w:pgSz w:w="11906" w:h="16838" w:code="9"/>
          <w:pgMar w:top="1134" w:right="1134" w:bottom="1134" w:left="1134" w:header="709" w:footer="709" w:gutter="0"/>
          <w:cols w:num="2" w:space="340"/>
          <w:titlePg/>
          <w:docGrid w:linePitch="360"/>
        </w:sectPr>
      </w:pPr>
    </w:p>
    <w:p w:rsidR="00F5398E" w:rsidRPr="005565F8" w:rsidP="00C413AB" w14:paraId="538A6F30" w14:textId="77777777"/>
    <w:p w:rsidR="00964C43" w:rsidRPr="005565F8" w:rsidP="00AD5CFE" w14:paraId="06D984A7" w14:textId="77777777">
      <w:pPr>
        <w:pStyle w:val="ListParagraph"/>
        <w:keepNext/>
        <w:shd w:val="clear" w:color="auto" w:fill="FFFFFF" w:themeFill="background1"/>
        <w:tabs>
          <w:tab w:val="right" w:pos="9639"/>
        </w:tabs>
        <w:spacing w:after="0"/>
        <w:ind w:left="1418" w:right="-1"/>
        <w:contextualSpacing w:val="0"/>
        <w:rPr>
          <w:rFonts w:ascii="Calibri Light" w:hAnsi="Calibri Light"/>
          <w:b/>
          <w:i/>
          <w:sz w:val="16"/>
        </w:rPr>
      </w:pPr>
      <w:r w:rsidRPr="005565F8">
        <w:rPr>
          <w:rFonts w:ascii="Calibri Light" w:hAnsi="Calibri Light"/>
        </w:rPr>
        <w:tab/>
        <w:t>3.1.attēls</w:t>
      </w:r>
      <w:r w:rsidRPr="005565F8">
        <w:rPr>
          <w:rFonts w:ascii="Calibri Light" w:hAnsi="Calibri Light"/>
        </w:rPr>
        <w:br/>
      </w:r>
      <w:r w:rsidRPr="005565F8">
        <w:rPr>
          <w:rFonts w:ascii="Calibri Light" w:hAnsi="Calibri Light"/>
          <w:b/>
          <w:sz w:val="24"/>
        </w:rPr>
        <w:tab/>
      </w:r>
      <w:r w:rsidRPr="005565F8">
        <w:rPr>
          <w:rFonts w:ascii="Calibri Light" w:hAnsi="Calibri Light"/>
          <w:b/>
          <w:sz w:val="24"/>
        </w:rPr>
        <w:t>Ieguldījumu P&amp;A mērķ</w:t>
      </w:r>
      <w:r w:rsidRPr="005565F8" w:rsidR="00F659E2">
        <w:rPr>
          <w:rFonts w:ascii="Calibri Light" w:hAnsi="Calibri Light"/>
          <w:b/>
          <w:sz w:val="24"/>
        </w:rPr>
        <w:t xml:space="preserve">is </w:t>
      </w:r>
      <w:r w:rsidRPr="005565F8">
        <w:rPr>
          <w:rFonts w:ascii="Calibri Light" w:hAnsi="Calibri Light"/>
          <w:b/>
          <w:sz w:val="24"/>
        </w:rPr>
        <w:br/>
      </w:r>
      <w:r w:rsidRPr="005565F8">
        <w:rPr>
          <w:rFonts w:ascii="Calibri Light" w:hAnsi="Calibri Light"/>
          <w:i/>
          <w:sz w:val="16"/>
        </w:rPr>
        <w:tab/>
      </w:r>
      <w:r w:rsidRPr="005565F8">
        <w:rPr>
          <w:rFonts w:ascii="Calibri Light" w:hAnsi="Calibri Light"/>
          <w:i/>
          <w:sz w:val="16"/>
        </w:rPr>
        <w:t>Kopējais finansējums P&amp;A</w:t>
      </w:r>
    </w:p>
    <w:p w:rsidR="00964C43" w:rsidRPr="005565F8" w:rsidP="00AD5CFE" w14:paraId="61C29F62" w14:textId="77777777">
      <w:pPr>
        <w:pStyle w:val="ListParagraph"/>
        <w:shd w:val="clear" w:color="auto" w:fill="FFFFFF" w:themeFill="background1"/>
        <w:spacing w:after="0"/>
        <w:ind w:left="1418" w:right="1418"/>
        <w:contextualSpacing w:val="0"/>
        <w:jc w:val="center"/>
        <w:rPr>
          <w:rFonts w:ascii="Calibri Light" w:hAnsi="Calibri Light"/>
          <w:sz w:val="16"/>
          <w:szCs w:val="20"/>
        </w:rPr>
      </w:pPr>
    </w:p>
    <w:p w:rsidR="00E776A7" w:rsidP="00E776A7" w14:paraId="0C056451" w14:textId="77777777">
      <w:pPr>
        <w:pStyle w:val="ListParagraph"/>
        <w:shd w:val="clear" w:color="auto" w:fill="B8CCE4" w:themeFill="accent1" w:themeFillTint="66"/>
        <w:spacing w:after="0"/>
        <w:ind w:left="0" w:right="-1"/>
        <w:contextualSpacing w:val="0"/>
        <w:jc w:val="center"/>
        <w:rPr>
          <w:rFonts w:ascii="Calibri Light" w:hAnsi="Calibri Light"/>
          <w:sz w:val="16"/>
          <w:szCs w:val="20"/>
        </w:rPr>
      </w:pPr>
    </w:p>
    <w:p w:rsidR="00964C43" w:rsidRPr="005565F8" w:rsidP="00E776A7" w14:paraId="02695819" w14:textId="01E6BDA0">
      <w:pPr>
        <w:pStyle w:val="ListParagraph"/>
        <w:shd w:val="clear" w:color="auto" w:fill="B8CCE4" w:themeFill="accent1" w:themeFillTint="66"/>
        <w:spacing w:after="0"/>
        <w:ind w:left="0" w:right="-1"/>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5760000" cy="216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413AB" w:rsidP="00E776A7" w14:paraId="1E6558A7" w14:textId="4AB30944">
      <w:pPr>
        <w:pStyle w:val="ListParagraph"/>
        <w:shd w:val="clear" w:color="auto" w:fill="B8CCE4" w:themeFill="accent1" w:themeFillTint="66"/>
        <w:tabs>
          <w:tab w:val="left" w:pos="426"/>
        </w:tabs>
        <w:spacing w:after="0"/>
        <w:ind w:left="0" w:right="-1" w:firstLine="142"/>
        <w:contextualSpacing w:val="0"/>
        <w:rPr>
          <w:rFonts w:ascii="Calibri Light" w:hAnsi="Calibri Light"/>
          <w:i/>
          <w:color w:val="595959" w:themeColor="text1" w:themeTint="A6"/>
          <w:sz w:val="16"/>
          <w:szCs w:val="20"/>
        </w:rPr>
      </w:pPr>
      <w:r w:rsidRPr="005565F8">
        <w:rPr>
          <w:rFonts w:ascii="Calibri Light" w:hAnsi="Calibri Light"/>
          <w:color w:val="595959" w:themeColor="text1" w:themeTint="A6"/>
          <w:sz w:val="16"/>
          <w:szCs w:val="20"/>
        </w:rPr>
        <w:t xml:space="preserve">Avots: </w:t>
      </w:r>
      <w:r w:rsidRPr="005565F8">
        <w:rPr>
          <w:rFonts w:ascii="Calibri Light" w:hAnsi="Calibri Light"/>
          <w:i/>
          <w:color w:val="595959" w:themeColor="text1" w:themeTint="A6"/>
          <w:sz w:val="16"/>
          <w:szCs w:val="20"/>
        </w:rPr>
        <w:t>Eurostat</w:t>
      </w:r>
    </w:p>
    <w:p w:rsidR="00E776A7" w:rsidRPr="00E776A7" w:rsidP="00E776A7" w14:paraId="51774919" w14:textId="77777777">
      <w:pPr>
        <w:pStyle w:val="ListParagraph"/>
        <w:shd w:val="clear" w:color="auto" w:fill="B8CCE4" w:themeFill="accent1" w:themeFillTint="66"/>
        <w:spacing w:after="0"/>
        <w:ind w:left="0" w:right="-1"/>
        <w:contextualSpacing w:val="0"/>
        <w:rPr>
          <w:rFonts w:ascii="Calibri Light" w:hAnsi="Calibri Light"/>
          <w:i/>
          <w:color w:val="595959" w:themeColor="text1" w:themeTint="A6"/>
          <w:sz w:val="4"/>
          <w:szCs w:val="20"/>
        </w:rPr>
      </w:pPr>
    </w:p>
    <w:p w:rsidR="00C413AB" w:rsidRPr="00E776A7" w:rsidP="00E776A7" w14:paraId="3106C089" w14:textId="77777777"/>
    <w:p w:rsidR="00895721" w:rsidRPr="005565F8" w:rsidP="00E776A7" w14:paraId="6B150549" w14:textId="77777777">
      <w:pPr>
        <w:sectPr w:rsidSect="003D0310">
          <w:type w:val="continuous"/>
          <w:pgSz w:w="11906" w:h="16838" w:code="9"/>
          <w:pgMar w:top="1134" w:right="1134" w:bottom="1134" w:left="1134" w:header="709" w:footer="709" w:gutter="0"/>
          <w:cols w:space="340"/>
          <w:titlePg/>
          <w:docGrid w:linePitch="360"/>
        </w:sectPr>
      </w:pPr>
    </w:p>
    <w:p w:rsidR="00D26935" w:rsidRPr="005565F8" w:rsidP="00D26935" w14:paraId="2078A03B" w14:textId="77777777">
      <w:r w:rsidRPr="005565F8">
        <w:t>Latvijas kopējie izdevumi P&amp;A 2016. gadā bija 110,4</w:t>
      </w:r>
      <w:r w:rsidRPr="005565F8">
        <w:t xml:space="preserve">milj. EUR un veidoja 0,44% no IKP. Tas ir ne tikai ievērojami mazāk kā 2016.gadā bija plānots (1,1%), bet arī mazāk nekā vidēji iepriekšējos gados. Vislielākais kritums (par 55%) novērojams kopējā P&amp;A ārvalstu finansējumā, galvenokārt – ārvalstu finansējuma uzņēmējdarbības sektorā. To lielā mērā ietekmēja </w:t>
      </w:r>
      <w:r w:rsidRPr="005565F8">
        <w:rPr>
          <w:i/>
        </w:rPr>
        <w:t>pārejas periods</w:t>
      </w:r>
      <w:r w:rsidRPr="005565F8">
        <w:t xml:space="preserve"> starp diviem ES fondu plānošanas periodiem, kad 2007.-2013.gada plānošanas perioda zinātnes atbalsta aktivitātes tika pabeigtas, bet jaunā plānošanas perioda (2014.-2020.gads) zinātnes, </w:t>
      </w:r>
      <w:r w:rsidRPr="005565F8" w:rsidR="003D5B50">
        <w:t>P&amp;A</w:t>
      </w:r>
      <w:r w:rsidRPr="005565F8">
        <w:t xml:space="preserve"> un inovāciju atbalsta pasākumu ieviešana vēl nebija uzsākta. P&amp;A finansēšanas struktūra un dinamika liecina, ka P&amp;A ieguldījumu apjoms Latvijā būtiski ir atkarīgs no ES fondu ieguldījuma, kamēr uzņēmēju ieguldījumi P&amp;A ilgstoši saglabājās zemā līmenī.</w:t>
      </w:r>
    </w:p>
    <w:p w:rsidR="00D26935" w:rsidRPr="005565F8" w:rsidP="00D26935" w14:paraId="4EA7C1B0" w14:textId="77777777">
      <w:r w:rsidRPr="005565F8">
        <w:t xml:space="preserve">Ieguldījumu apmērs P&amp;A ir nepietiekams un joprojām atpaliek no noteiktā NRP mērķa. </w:t>
      </w:r>
      <w:r w:rsidRPr="005565F8" w:rsidR="001C39BC">
        <w:t>Tā, piemēram, l</w:t>
      </w:r>
      <w:r w:rsidRPr="005565F8">
        <w:t>ai Latvijas P&amp;A izdevumi veidotu 1,5% no IKP, tiem 2020.gadā jābūt aptuveni 462,6 milj. EUR, no kuriem 50% jābūt publiskajam finansējumam.</w:t>
      </w:r>
      <w:r w:rsidRPr="005565F8" w:rsidR="009A2723">
        <w:t xml:space="preserve"> </w:t>
      </w:r>
      <w:r w:rsidRPr="005565F8" w:rsidR="0061793A">
        <w:t xml:space="preserve">Latvijas </w:t>
      </w:r>
      <w:r w:rsidRPr="005565F8" w:rsidR="00B033CB">
        <w:t xml:space="preserve">zinātnes institucionālais finansējums - </w:t>
      </w:r>
      <w:r w:rsidRPr="005565F8">
        <w:t>zinātnes bāzes finansējums</w:t>
      </w:r>
      <w:r w:rsidRPr="005565F8" w:rsidR="00B033CB">
        <w:t xml:space="preserve"> -</w:t>
      </w:r>
      <w:r w:rsidRPr="005565F8">
        <w:t xml:space="preserve"> netiek izmaksāts 100% apmērā no aprēķinātā saskaņā ar normatīvo regulējumu</w:t>
      </w:r>
      <w:r>
        <w:rPr>
          <w:vertAlign w:val="superscript"/>
        </w:rPr>
        <w:footnoteReference w:id="30"/>
      </w:r>
      <w:r w:rsidRPr="005565F8">
        <w:t xml:space="preserve">. 2017.gadā </w:t>
      </w:r>
      <w:r w:rsidRPr="005565F8" w:rsidR="00B033CB">
        <w:t>ir piešķirti vien</w:t>
      </w:r>
      <w:r w:rsidRPr="005565F8">
        <w:t xml:space="preserve"> 52% </w:t>
      </w:r>
      <w:r w:rsidRPr="005565F8" w:rsidR="00B033CB">
        <w:t>no aprēķinātā zinātnes bāzes finansējuma</w:t>
      </w:r>
      <w:r w:rsidRPr="005565F8">
        <w:t xml:space="preserve">, </w:t>
      </w:r>
      <w:r w:rsidRPr="005565F8" w:rsidR="00B033CB">
        <w:t>iztrūkstot</w:t>
      </w:r>
      <w:r w:rsidRPr="005565F8">
        <w:t xml:space="preserve"> vismaz  21,4 milj. EUR. Turklāt, jāņem vērā, ka </w:t>
      </w:r>
      <w:r w:rsidRPr="005565F8" w:rsidR="00B033CB">
        <w:t xml:space="preserve">ilgstošā </w:t>
      </w:r>
      <w:r w:rsidRPr="005565F8">
        <w:t xml:space="preserve">P&amp;A finansējuma </w:t>
      </w:r>
      <w:r w:rsidRPr="005565F8" w:rsidR="00B033CB">
        <w:t xml:space="preserve">deficīta rezultātā ir </w:t>
      </w:r>
      <w:r w:rsidRPr="005565F8">
        <w:t xml:space="preserve">būtiski samazinājies arī P&amp;A nodarbināto zinātnisko darbinieku skaits, </w:t>
      </w:r>
      <w:r w:rsidRPr="005565F8" w:rsidR="003B1D14">
        <w:t xml:space="preserve">kas </w:t>
      </w:r>
      <w:r w:rsidRPr="005565F8">
        <w:t>2016.</w:t>
      </w:r>
      <w:r w:rsidRPr="005565F8" w:rsidR="003B1D14">
        <w:t>gadā samazinājās par 8,8%</w:t>
      </w:r>
      <w:r w:rsidRPr="005565F8">
        <w:t xml:space="preserve"> salīdzinājumā ar 2015.gadu. </w:t>
      </w:r>
    </w:p>
    <w:p w:rsidR="001F3913" w:rsidRPr="005565F8" w:rsidP="00D26935" w14:paraId="14BE5701" w14:textId="77777777">
      <w:r w:rsidRPr="005565F8">
        <w:t xml:space="preserve">Latvija ir noslīdējusi uz pēdējo vietu starp ES valstīm pēc </w:t>
      </w:r>
      <w:r w:rsidRPr="005565F8" w:rsidR="00BA6C98">
        <w:t>P&amp;A finansējuma pret</w:t>
      </w:r>
      <w:r w:rsidRPr="005565F8">
        <w:t xml:space="preserve"> IKP. Zemie ieguldījumi </w:t>
      </w:r>
      <w:r w:rsidRPr="005565F8" w:rsidR="00BA6C98">
        <w:t>P&amp;A</w:t>
      </w:r>
      <w:r w:rsidRPr="005565F8">
        <w:t xml:space="preserve"> negatīvi ietekmēs Latvijas izaugsmi ilgtermiņā, ierobežojot iespējas attīstīt zināšanu ietilpīgas nozares un sasniegt augstāku produkti</w:t>
      </w:r>
      <w:r w:rsidRPr="005565F8" w:rsidR="0092476A">
        <w:t>vitāti</w:t>
      </w:r>
      <w:r w:rsidRPr="005565F8">
        <w:t>.</w:t>
      </w:r>
    </w:p>
    <w:p w:rsidR="00D26935" w:rsidRPr="005565F8" w:rsidP="00D26935" w14:paraId="651C8193" w14:textId="77777777">
      <w:pPr>
        <w:spacing w:before="120"/>
      </w:pPr>
      <w:r w:rsidRPr="005565F8">
        <w:rPr>
          <w:b/>
        </w:rPr>
        <w:t>Galven</w:t>
      </w:r>
      <w:r w:rsidRPr="005565F8" w:rsidR="009A2723">
        <w:rPr>
          <w:b/>
        </w:rPr>
        <w:t>ās</w:t>
      </w:r>
      <w:r w:rsidRPr="005565F8">
        <w:rPr>
          <w:b/>
        </w:rPr>
        <w:t xml:space="preserve"> </w:t>
      </w:r>
      <w:r w:rsidRPr="005565F8" w:rsidR="009A2723">
        <w:rPr>
          <w:b/>
        </w:rPr>
        <w:t>problēmas</w:t>
      </w:r>
      <w:r w:rsidRPr="005565F8">
        <w:rPr>
          <w:b/>
        </w:rPr>
        <w:t>, kas pastāv P&amp;A jomā Latvijā</w:t>
      </w:r>
      <w:r w:rsidRPr="005565F8">
        <w:t>:</w:t>
      </w:r>
    </w:p>
    <w:p w:rsidR="00D26935" w:rsidRPr="005565F8" w:rsidP="00735883" w14:paraId="11A3D7CC" w14:textId="77777777">
      <w:pPr>
        <w:numPr>
          <w:ilvl w:val="0"/>
          <w:numId w:val="10"/>
        </w:numPr>
        <w:spacing w:after="0"/>
        <w:ind w:left="284" w:hanging="284"/>
      </w:pPr>
      <w:r w:rsidRPr="005565F8">
        <w:t>Latvijas tautsaimniecības struktūru galvenokārt veido mikro</w:t>
      </w:r>
      <w:r w:rsidRPr="005565F8" w:rsidR="009A2723">
        <w:t>,</w:t>
      </w:r>
      <w:r w:rsidRPr="005565F8">
        <w:t xml:space="preserve"> mazie un vidējie uzņēmumi, kuriem nav kapacitātes investēt P&amp;A, un neliels augsto tehnoloģiju uzņēmumu skaits;</w:t>
      </w:r>
    </w:p>
    <w:p w:rsidR="00D26935" w:rsidRPr="005565F8" w:rsidP="00735883" w14:paraId="559A5618" w14:textId="77777777">
      <w:pPr>
        <w:numPr>
          <w:ilvl w:val="0"/>
          <w:numId w:val="10"/>
        </w:numPr>
        <w:spacing w:after="0"/>
        <w:ind w:left="284" w:hanging="284"/>
      </w:pPr>
      <w:r w:rsidRPr="005565F8">
        <w:t>ilgstoši nepietiekams valsts budžeta finansējums zinātnei;</w:t>
      </w:r>
    </w:p>
    <w:p w:rsidR="00D26935" w:rsidRPr="005565F8" w:rsidP="00735883" w14:paraId="1CE5BE46" w14:textId="77777777">
      <w:pPr>
        <w:numPr>
          <w:ilvl w:val="0"/>
          <w:numId w:val="10"/>
        </w:numPr>
        <w:spacing w:after="0"/>
        <w:ind w:left="284" w:hanging="284"/>
      </w:pPr>
      <w:r w:rsidRPr="005565F8">
        <w:t>mazs nodarbināto skaits zinātnē, pētniecībā, tehnoloģiju attīstībā un inovācijā</w:t>
      </w:r>
      <w:r w:rsidRPr="005565F8" w:rsidR="009A2723">
        <w:t>,</w:t>
      </w:r>
      <w:r w:rsidRPr="005565F8">
        <w:t xml:space="preserve"> un nepietiekama šajās jomās iesaistītā personāla atjaunotne;</w:t>
      </w:r>
    </w:p>
    <w:p w:rsidR="00D26935" w:rsidRPr="005565F8" w:rsidP="00735883" w14:paraId="34C137F5" w14:textId="77777777">
      <w:pPr>
        <w:numPr>
          <w:ilvl w:val="0"/>
          <w:numId w:val="10"/>
        </w:numPr>
        <w:spacing w:after="0"/>
        <w:ind w:left="284" w:hanging="284"/>
        <w:rPr>
          <w:b/>
          <w:bCs/>
        </w:rPr>
      </w:pPr>
      <w:r w:rsidRPr="005565F8">
        <w:t xml:space="preserve">finanšu ieguldījumi infrastruktūrā nav sabalansēti ar ieguldījumiem cilvēkresursu uzturēšanā un attīstībā; </w:t>
      </w:r>
    </w:p>
    <w:p w:rsidR="00D26935" w:rsidRPr="005565F8" w:rsidP="00735883" w14:paraId="738C7224" w14:textId="77777777">
      <w:pPr>
        <w:numPr>
          <w:ilvl w:val="0"/>
          <w:numId w:val="10"/>
        </w:numPr>
        <w:spacing w:after="0"/>
        <w:ind w:left="284" w:hanging="284"/>
        <w:rPr>
          <w:b/>
          <w:bCs/>
        </w:rPr>
      </w:pPr>
      <w:r w:rsidRPr="005565F8">
        <w:t>nepietiekama sadarbība un koordinācija starp zinātnes, tehnoloģiju attīstības un inovāciju institūcijām, augstākās izglītības iestādēm, valsts pārvaldes iestādēm un industriju;</w:t>
      </w:r>
    </w:p>
    <w:p w:rsidR="00D26935" w:rsidRPr="005565F8" w:rsidP="00735883" w14:paraId="6E03BB7F" w14:textId="77777777">
      <w:pPr>
        <w:numPr>
          <w:ilvl w:val="0"/>
          <w:numId w:val="10"/>
        </w:numPr>
        <w:spacing w:after="0"/>
        <w:ind w:left="284" w:hanging="284"/>
        <w:rPr>
          <w:bCs/>
        </w:rPr>
      </w:pPr>
      <w:r w:rsidRPr="005565F8">
        <w:rPr>
          <w:bCs/>
        </w:rPr>
        <w:t>nepietiekami attīstīta starptautiskā sadarbība;</w:t>
      </w:r>
    </w:p>
    <w:p w:rsidR="00D26935" w:rsidRPr="005565F8" w:rsidP="00735883" w14:paraId="203CF10C" w14:textId="77777777">
      <w:pPr>
        <w:numPr>
          <w:ilvl w:val="0"/>
          <w:numId w:val="10"/>
        </w:numPr>
        <w:spacing w:after="0"/>
        <w:ind w:left="284" w:hanging="284"/>
        <w:jc w:val="both"/>
        <w:rPr>
          <w:bCs/>
        </w:rPr>
      </w:pPr>
      <w:r w:rsidRPr="005565F8">
        <w:rPr>
          <w:bCs/>
        </w:rPr>
        <w:t xml:space="preserve">nepietiekami attīstītas P&amp;A procesa rezultātā radīto izgudrojumu </w:t>
      </w:r>
      <w:r w:rsidRPr="005565F8">
        <w:rPr>
          <w:bCs/>
        </w:rPr>
        <w:t>komercializācijas</w:t>
      </w:r>
      <w:r w:rsidRPr="005565F8">
        <w:rPr>
          <w:bCs/>
        </w:rPr>
        <w:t xml:space="preserve"> iespējas.</w:t>
      </w:r>
    </w:p>
    <w:p w:rsidR="00D26935" w:rsidRPr="005565F8" w:rsidP="00E04703" w14:paraId="5CF82137" w14:textId="77777777">
      <w:pPr>
        <w:spacing w:before="120"/>
      </w:pPr>
      <w:r w:rsidRPr="005565F8">
        <w:rPr>
          <w:i/>
        </w:rPr>
        <w:t>Zinātnes, tehnoloģijas attīstības un inovācijas pamatnostādnes 2014.-2020. gadam</w:t>
      </w:r>
      <w:r w:rsidRPr="005565F8">
        <w:t xml:space="preserve"> (turpmāk – ZTAI</w:t>
      </w:r>
      <w:r w:rsidRPr="005565F8" w:rsidR="009A2723">
        <w:t>)</w:t>
      </w:r>
      <w:r>
        <w:rPr>
          <w:rStyle w:val="FootnoteReference"/>
        </w:rPr>
        <w:footnoteReference w:id="31"/>
      </w:r>
      <w:r w:rsidRPr="005565F8">
        <w:t xml:space="preserve">, nosaka šādus </w:t>
      </w:r>
      <w:r w:rsidRPr="005565F8">
        <w:rPr>
          <w:b/>
        </w:rPr>
        <w:t>ZTAI nozares politikas galvenos rīcības virzienus</w:t>
      </w:r>
      <w:r w:rsidRPr="005565F8">
        <w:t xml:space="preserve">: </w:t>
      </w:r>
    </w:p>
    <w:p w:rsidR="00D26935" w:rsidRPr="005565F8" w:rsidP="00735883" w14:paraId="361F1C3D" w14:textId="77777777">
      <w:pPr>
        <w:pStyle w:val="ListParagraph"/>
        <w:numPr>
          <w:ilvl w:val="0"/>
          <w:numId w:val="27"/>
        </w:numPr>
        <w:spacing w:after="0"/>
        <w:ind w:left="284" w:hanging="284"/>
      </w:pPr>
      <w:r w:rsidRPr="005565F8">
        <w:t>nozares konkurētspējas paaugstināšana;</w:t>
      </w:r>
    </w:p>
    <w:p w:rsidR="00D26935" w:rsidRPr="005565F8" w:rsidP="00735883" w14:paraId="628B2128" w14:textId="77777777">
      <w:pPr>
        <w:pStyle w:val="ListParagraph"/>
        <w:numPr>
          <w:ilvl w:val="0"/>
          <w:numId w:val="27"/>
        </w:numPr>
        <w:spacing w:after="0"/>
        <w:ind w:left="284" w:hanging="284"/>
      </w:pPr>
      <w:r w:rsidRPr="005565F8">
        <w:t>nozares sasaiste ar sabiedrības un tautsaimniecības attīstības vajadzībām;</w:t>
      </w:r>
    </w:p>
    <w:p w:rsidR="00D26935" w:rsidRPr="005565F8" w:rsidP="00735883" w14:paraId="0E83E2F0" w14:textId="77777777">
      <w:pPr>
        <w:pStyle w:val="ListParagraph"/>
        <w:numPr>
          <w:ilvl w:val="0"/>
          <w:numId w:val="27"/>
        </w:numPr>
        <w:spacing w:after="0"/>
        <w:ind w:left="284" w:hanging="284"/>
      </w:pPr>
      <w:r w:rsidRPr="005565F8">
        <w:t>nozares efektīva pārvaldība;</w:t>
      </w:r>
    </w:p>
    <w:p w:rsidR="00D26935" w:rsidRPr="005565F8" w:rsidP="00735883" w14:paraId="74A5B7C6" w14:textId="77777777">
      <w:pPr>
        <w:pStyle w:val="ListParagraph"/>
        <w:numPr>
          <w:ilvl w:val="0"/>
          <w:numId w:val="27"/>
        </w:numPr>
        <w:spacing w:after="0"/>
        <w:ind w:left="284" w:hanging="284"/>
      </w:pPr>
      <w:r w:rsidRPr="005565F8">
        <w:t>sabiedrības izpratnes veicināšana, zinātnes un inovācijas popularizēšana.</w:t>
      </w:r>
    </w:p>
    <w:p w:rsidR="00E04703" w:rsidRPr="005565F8" w:rsidP="00E04703" w14:paraId="148815AD" w14:textId="77777777">
      <w:pPr>
        <w:pStyle w:val="ListParagraph"/>
        <w:spacing w:after="0"/>
        <w:ind w:left="284"/>
      </w:pPr>
    </w:p>
    <w:p w:rsidR="00D26935" w:rsidRPr="005565F8" w:rsidP="00D26935" w14:paraId="43B4534E" w14:textId="77777777">
      <w:r w:rsidRPr="005565F8">
        <w:t xml:space="preserve">Vienlaikus tiek realizēta ZTAI ietvertā </w:t>
      </w:r>
      <w:r w:rsidRPr="005565F8">
        <w:rPr>
          <w:i/>
        </w:rPr>
        <w:t>Viedās specializācijas stratēģija</w:t>
      </w:r>
      <w:r w:rsidRPr="005565F8">
        <w:t xml:space="preserve"> (turpmāk – </w:t>
      </w:r>
      <w:r w:rsidRPr="005565F8">
        <w:rPr>
          <w:i/>
        </w:rPr>
        <w:t>RIS3 stratēģija</w:t>
      </w:r>
      <w:r w:rsidRPr="005565F8">
        <w:t xml:space="preserve">) – nacionālā ekonomiskās attīstības stratēģija, kurā noteikti tautsaimniecības transformācijas virzieni, izaugsmes prioritātes un viedās specializācijas jomas, paredzot mērķtiecīgu pētniecības un inovāciju resursu koncentrēšanu zināšanu jomās, kur valstij ir salīdzinošas priekšrocības vai ir bāze šādu priekšrocību radīšanai. Galvenais virziens ir ekonomikas transformācija uz zinātnes un tehnoloģiju virzīto izaugsmi un virzība uz zināšanām balstītu </w:t>
      </w:r>
      <w:r w:rsidRPr="005565F8">
        <w:t xml:space="preserve">spēju attīstību. </w:t>
      </w:r>
      <w:r w:rsidRPr="005565F8">
        <w:rPr>
          <w:b/>
          <w:i/>
        </w:rPr>
        <w:t>RIS3 stratēģijā</w:t>
      </w:r>
      <w:r w:rsidRPr="005565F8">
        <w:rPr>
          <w:b/>
        </w:rPr>
        <w:t xml:space="preserve"> ir noteiktas šādas specializāciju jomas</w:t>
      </w:r>
      <w:r w:rsidRPr="005565F8">
        <w:t>:</w:t>
      </w:r>
    </w:p>
    <w:p w:rsidR="00D26935" w:rsidRPr="005565F8" w:rsidP="00BC79D5" w14:paraId="77ECBFC8" w14:textId="77777777">
      <w:pPr>
        <w:pStyle w:val="ListParagraph"/>
        <w:numPr>
          <w:ilvl w:val="0"/>
          <w:numId w:val="50"/>
        </w:numPr>
        <w:spacing w:after="0"/>
        <w:ind w:left="284" w:hanging="284"/>
        <w:contextualSpacing w:val="0"/>
      </w:pPr>
      <w:r w:rsidRPr="005565F8">
        <w:t xml:space="preserve">zināšanu ietilpīga </w:t>
      </w:r>
      <w:r w:rsidRPr="005565F8">
        <w:t>bio</w:t>
      </w:r>
      <w:r w:rsidRPr="005565F8">
        <w:t>-ekonomika</w:t>
      </w:r>
      <w:r w:rsidRPr="005565F8" w:rsidR="009A2723">
        <w:t>;</w:t>
      </w:r>
    </w:p>
    <w:p w:rsidR="00D26935" w:rsidRPr="005565F8" w:rsidP="00BC79D5" w14:paraId="508663CD" w14:textId="77777777">
      <w:pPr>
        <w:pStyle w:val="ListParagraph"/>
        <w:numPr>
          <w:ilvl w:val="0"/>
          <w:numId w:val="50"/>
        </w:numPr>
        <w:spacing w:after="0"/>
        <w:ind w:left="284" w:hanging="284"/>
        <w:contextualSpacing w:val="0"/>
      </w:pPr>
      <w:r w:rsidRPr="005565F8">
        <w:t>biomedicīna</w:t>
      </w:r>
      <w:r w:rsidRPr="005565F8">
        <w:t xml:space="preserve">, medicīnas tehnoloģijas, </w:t>
      </w:r>
      <w:r w:rsidRPr="005565F8">
        <w:t>biofarmācija</w:t>
      </w:r>
      <w:r w:rsidRPr="005565F8">
        <w:t xml:space="preserve"> un biotehnoloģijas</w:t>
      </w:r>
      <w:r w:rsidRPr="005565F8" w:rsidR="009A2723">
        <w:t>;</w:t>
      </w:r>
      <w:r w:rsidRPr="005565F8">
        <w:t xml:space="preserve"> </w:t>
      </w:r>
    </w:p>
    <w:p w:rsidR="00D26935" w:rsidRPr="005565F8" w:rsidP="00BC79D5" w14:paraId="4EAF8AF6" w14:textId="77777777">
      <w:pPr>
        <w:pStyle w:val="ListParagraph"/>
        <w:numPr>
          <w:ilvl w:val="0"/>
          <w:numId w:val="50"/>
        </w:numPr>
        <w:spacing w:after="0"/>
        <w:ind w:left="284" w:hanging="284"/>
        <w:contextualSpacing w:val="0"/>
      </w:pPr>
      <w:r w:rsidRPr="005565F8">
        <w:t xml:space="preserve">viedie materiāli, tehnoloģijas un </w:t>
      </w:r>
      <w:r w:rsidRPr="005565F8">
        <w:t>inženiersistēmas</w:t>
      </w:r>
      <w:r w:rsidRPr="005565F8" w:rsidR="009A2723">
        <w:t>;</w:t>
      </w:r>
      <w:r w:rsidRPr="005565F8">
        <w:t xml:space="preserve"> </w:t>
      </w:r>
    </w:p>
    <w:p w:rsidR="00D26935" w:rsidRPr="005565F8" w:rsidP="00BC79D5" w14:paraId="3F72D0E4" w14:textId="77777777">
      <w:pPr>
        <w:pStyle w:val="ListParagraph"/>
        <w:numPr>
          <w:ilvl w:val="0"/>
          <w:numId w:val="50"/>
        </w:numPr>
        <w:spacing w:after="0"/>
        <w:ind w:left="284" w:hanging="284"/>
        <w:contextualSpacing w:val="0"/>
      </w:pPr>
      <w:r w:rsidRPr="005565F8">
        <w:t>viedā enerģētika</w:t>
      </w:r>
      <w:r w:rsidRPr="005565F8" w:rsidR="009A2723">
        <w:t>;</w:t>
      </w:r>
      <w:r w:rsidRPr="005565F8">
        <w:t xml:space="preserve"> </w:t>
      </w:r>
    </w:p>
    <w:p w:rsidR="00D26935" w:rsidRPr="005565F8" w:rsidP="007968D8" w14:paraId="32C48648" w14:textId="77777777">
      <w:pPr>
        <w:pStyle w:val="ListParagraph"/>
        <w:numPr>
          <w:ilvl w:val="0"/>
          <w:numId w:val="50"/>
        </w:numPr>
        <w:ind w:left="284" w:hanging="284"/>
        <w:contextualSpacing w:val="0"/>
      </w:pPr>
      <w:r w:rsidRPr="005565F8">
        <w:t>IKT.</w:t>
      </w:r>
    </w:p>
    <w:p w:rsidR="0092476A" w:rsidRPr="005565F8" w:rsidP="00BA6C98" w14:paraId="38604EA0" w14:textId="77777777">
      <w:pPr>
        <w:spacing w:after="0"/>
      </w:pPr>
      <w:r w:rsidRPr="005565F8">
        <w:t>2017.</w:t>
      </w:r>
      <w:r w:rsidRPr="005565F8">
        <w:t xml:space="preserve">gadā ir uzsākts EK </w:t>
      </w:r>
      <w:r w:rsidRPr="005565F8">
        <w:rPr>
          <w:i/>
        </w:rPr>
        <w:t>Apvārsnis 2020</w:t>
      </w:r>
      <w:r w:rsidRPr="005565F8">
        <w:t xml:space="preserve"> </w:t>
      </w:r>
      <w:r w:rsidRPr="005565F8">
        <w:rPr>
          <w:i/>
        </w:rPr>
        <w:t>Policy</w:t>
      </w:r>
      <w:r w:rsidRPr="005565F8">
        <w:rPr>
          <w:i/>
        </w:rPr>
        <w:t xml:space="preserve"> </w:t>
      </w:r>
      <w:r w:rsidRPr="005565F8">
        <w:rPr>
          <w:i/>
        </w:rPr>
        <w:t>Support</w:t>
      </w:r>
      <w:r w:rsidRPr="005565F8">
        <w:rPr>
          <w:i/>
        </w:rPr>
        <w:t xml:space="preserve"> </w:t>
      </w:r>
      <w:r w:rsidRPr="005565F8">
        <w:rPr>
          <w:i/>
        </w:rPr>
        <w:t>Facility</w:t>
      </w:r>
      <w:r w:rsidRPr="005565F8">
        <w:rPr>
          <w:i/>
        </w:rPr>
        <w:t xml:space="preserve"> </w:t>
      </w:r>
      <w:r w:rsidRPr="005565F8">
        <w:rPr>
          <w:i/>
        </w:rPr>
        <w:t>izvērtējums</w:t>
      </w:r>
      <w:r w:rsidRPr="005565F8">
        <w:rPr>
          <w:i/>
        </w:rPr>
        <w:t xml:space="preserve"> </w:t>
      </w:r>
      <w:r w:rsidRPr="005565F8">
        <w:t xml:space="preserve">par Latvijas zinātnes finansējumu. Galvenās rekomendācijas: </w:t>
      </w:r>
    </w:p>
    <w:p w:rsidR="0092476A" w:rsidRPr="005565F8" w:rsidP="00BC79D5" w14:paraId="61B51B20" w14:textId="77777777">
      <w:pPr>
        <w:pStyle w:val="ListParagraph"/>
        <w:numPr>
          <w:ilvl w:val="1"/>
          <w:numId w:val="55"/>
        </w:numPr>
        <w:ind w:left="284" w:hanging="284"/>
      </w:pPr>
      <w:r w:rsidRPr="005565F8">
        <w:t>jāpalielina P&amp;A finansējums, it īpaši no valsts budžeta;</w:t>
      </w:r>
    </w:p>
    <w:p w:rsidR="0092476A" w:rsidRPr="005565F8" w:rsidP="00BC79D5" w14:paraId="7BDE9401" w14:textId="77777777">
      <w:pPr>
        <w:pStyle w:val="ListParagraph"/>
        <w:numPr>
          <w:ilvl w:val="1"/>
          <w:numId w:val="55"/>
        </w:numPr>
        <w:ind w:left="284" w:hanging="284"/>
      </w:pPr>
      <w:r w:rsidRPr="005565F8">
        <w:t xml:space="preserve">jāturpina augstākās izglītības iestāžu pārvaldības modernizācija (šim mērķim tiks veiktas investīcijas </w:t>
      </w:r>
      <w:r w:rsidRPr="005565F8" w:rsidR="00D04E79">
        <w:t xml:space="preserve">pasākuma </w:t>
      </w:r>
      <w:r w:rsidRPr="005565F8">
        <w:rPr>
          <w:i/>
        </w:rPr>
        <w:t>Nodrošināt labāku pārvaldību aug</w:t>
      </w:r>
      <w:r w:rsidRPr="005565F8" w:rsidR="00D04E79">
        <w:rPr>
          <w:i/>
        </w:rPr>
        <w:t>stākās izglītības institūcijās</w:t>
      </w:r>
      <w:r w:rsidRPr="005565F8" w:rsidR="00D04E79">
        <w:t xml:space="preserve"> ietvaros</w:t>
      </w:r>
      <w:r w:rsidRPr="005565F8" w:rsidR="007968D8">
        <w:t>,</w:t>
      </w:r>
      <w:r w:rsidRPr="005565F8" w:rsidR="00D04E79">
        <w:t xml:space="preserve"> </w:t>
      </w:r>
      <w:r w:rsidRPr="005565F8">
        <w:t xml:space="preserve">skat. arī </w:t>
      </w:r>
      <w:r w:rsidRPr="005565F8">
        <w:rPr>
          <w:i/>
        </w:rPr>
        <w:t>3.4.4.</w:t>
      </w:r>
      <w:r w:rsidRPr="005565F8" w:rsidR="00BA6C98">
        <w:rPr>
          <w:i/>
        </w:rPr>
        <w:t>nodaļu</w:t>
      </w:r>
      <w:r w:rsidRPr="005565F8">
        <w:t>);</w:t>
      </w:r>
    </w:p>
    <w:p w:rsidR="0092476A" w:rsidRPr="005565F8" w:rsidP="00BC79D5" w14:paraId="24E0F475" w14:textId="77777777">
      <w:pPr>
        <w:pStyle w:val="ListParagraph"/>
        <w:numPr>
          <w:ilvl w:val="1"/>
          <w:numId w:val="55"/>
        </w:numPr>
        <w:ind w:left="284" w:hanging="284"/>
      </w:pPr>
      <w:r w:rsidRPr="005565F8">
        <w:t xml:space="preserve">investīciju apjoms inovācijās ir jāpalielina arī uzņēmējdarbības sektorā, </w:t>
      </w:r>
      <w:r w:rsidRPr="005565F8" w:rsidR="00BA6C98">
        <w:t>t.sk.</w:t>
      </w:r>
      <w:r w:rsidRPr="005565F8">
        <w:t xml:space="preserve"> valsts kapitāla uzņēmumos (IZM ierosina nozaru ministriju va</w:t>
      </w:r>
      <w:r w:rsidRPr="005565F8" w:rsidR="00D04E79">
        <w:t>l</w:t>
      </w:r>
      <w:r w:rsidRPr="005565F8">
        <w:t xml:space="preserve">sts pētījumu programmas, </w:t>
      </w:r>
      <w:r w:rsidRPr="005565F8" w:rsidR="007968D8">
        <w:t xml:space="preserve">2018.gadā </w:t>
      </w:r>
      <w:r w:rsidRPr="005565F8">
        <w:t xml:space="preserve">tiks uzsākta </w:t>
      </w:r>
      <w:r w:rsidRPr="005565F8" w:rsidR="00D04E79">
        <w:t xml:space="preserve">EM </w:t>
      </w:r>
      <w:r w:rsidRPr="005565F8">
        <w:t>valsts pētījumu programma enerģētikas jomā);</w:t>
      </w:r>
    </w:p>
    <w:p w:rsidR="0092476A" w:rsidRPr="005565F8" w:rsidP="00BC79D5" w14:paraId="650EFD59" w14:textId="77777777">
      <w:pPr>
        <w:pStyle w:val="ListParagraph"/>
        <w:numPr>
          <w:ilvl w:val="1"/>
          <w:numId w:val="55"/>
        </w:numPr>
        <w:ind w:left="284" w:hanging="284"/>
      </w:pPr>
      <w:r w:rsidRPr="005565F8">
        <w:t>jāpalielina konkursa kārtībā iegūstamais projektu P&amp;A finansējums, tos salāgojot ar nacionālajām vajadzībām (tiks īstenots sākot ar 2018.gadu ar jauniem nosacījumiem fundamentālo un lietišķo pētījumu projektu, kā arī valsts pētījumu programmu finansējumā);</w:t>
      </w:r>
    </w:p>
    <w:p w:rsidR="0092476A" w:rsidRPr="005565F8" w:rsidP="00A7588E" w14:paraId="5B2F82FC" w14:textId="7577C1D4">
      <w:pPr>
        <w:pStyle w:val="ListParagraph"/>
        <w:numPr>
          <w:ilvl w:val="1"/>
          <w:numId w:val="55"/>
        </w:numPr>
        <w:ind w:left="284" w:hanging="284"/>
      </w:pPr>
      <w:r w:rsidRPr="005565F8">
        <w:t xml:space="preserve">valsts iestāžu struktūra un pārvaldība ir jāsalāgo ar nacionālajām vajadzībām (piemēram, </w:t>
      </w:r>
      <w:r w:rsidRPr="005565F8">
        <w:t>apsvērot</w:t>
      </w:r>
      <w:r w:rsidRPr="005565F8">
        <w:t xml:space="preserve"> iespēju izveidojot vienas pieturas aģentūru pētniecības projektu administrēšanai, kas ir izvērtējams </w:t>
      </w:r>
      <w:r w:rsidRPr="00E776A7" w:rsidR="00BA6C98">
        <w:rPr>
          <w:i/>
        </w:rPr>
        <w:t>V</w:t>
      </w:r>
      <w:r w:rsidRPr="00E776A7">
        <w:rPr>
          <w:i/>
        </w:rPr>
        <w:t>alsts pārvaldes reformu plāna</w:t>
      </w:r>
      <w:r w:rsidRPr="005565F8">
        <w:t xml:space="preserve"> ietvaros). </w:t>
      </w:r>
    </w:p>
    <w:p w:rsidR="0092476A" w:rsidRPr="005565F8" w:rsidP="00F56ABC" w14:paraId="48C0F043" w14:textId="77777777">
      <w:pPr>
        <w:sectPr w:rsidSect="003D0310">
          <w:type w:val="continuous"/>
          <w:pgSz w:w="11906" w:h="16838" w:code="9"/>
          <w:pgMar w:top="1134" w:right="1134" w:bottom="1134" w:left="1134" w:header="709" w:footer="709" w:gutter="0"/>
          <w:cols w:num="2" w:space="340"/>
          <w:titlePg/>
          <w:docGrid w:linePitch="360"/>
        </w:sectPr>
      </w:pPr>
    </w:p>
    <w:p w:rsidR="00F56ABC" w:rsidRPr="005565F8" w:rsidP="00F56ABC" w14:paraId="2CCE17B4" w14:textId="77777777"/>
    <w:p w:rsidR="00F56ABC" w:rsidRPr="005565F8" w:rsidP="00F56ABC" w14:paraId="7970144D" w14:textId="77777777">
      <w:pPr>
        <w:spacing w:before="120" w:after="240"/>
        <w:rPr>
          <w:rFonts w:ascii="Segoe UI" w:hAnsi="Segoe UI" w:cs="Segoe UI"/>
          <w:b/>
          <w:u w:val="double"/>
        </w:rPr>
      </w:pPr>
      <w:r w:rsidRPr="005565F8">
        <w:rPr>
          <w:rFonts w:ascii="Segoe UI" w:hAnsi="Segoe UI" w:cs="Segoe UI"/>
          <w:b/>
          <w:u w:val="double"/>
        </w:rPr>
        <w:t>Galvenie politikas virzieni un pasākumi:</w:t>
      </w:r>
    </w:p>
    <w:p w:rsidR="00F56ABC" w:rsidRPr="005565F8" w:rsidP="00F56ABC" w14:paraId="5BC7CBDA"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ZTAI nozares konkurētspējas paaugstināšana</w:t>
      </w:r>
    </w:p>
    <w:p w:rsidR="00F56ABC" w:rsidRPr="005565F8" w:rsidP="00F56ABC" w14:paraId="1AE44A08"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1D2B89" w:rsidRPr="005565F8" w:rsidP="00B22046" w14:paraId="42F8D498"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ED0FCB" w:rsidRPr="005565F8" w:rsidP="00F56ABC" w14:paraId="5F00B431" w14:textId="77777777">
      <w:pPr>
        <w:pStyle w:val="ListParagraph"/>
        <w:spacing w:before="240"/>
        <w:ind w:left="0"/>
        <w:contextualSpacing w:val="0"/>
      </w:pPr>
      <w:r w:rsidRPr="005565F8">
        <w:t xml:space="preserve">Šī politikas virziena galvenie uzdevumi ir: </w:t>
      </w:r>
    </w:p>
    <w:p w:rsidR="00D26935" w:rsidRPr="005565F8" w:rsidP="00735883" w14:paraId="390DA7FF" w14:textId="77777777">
      <w:pPr>
        <w:pStyle w:val="ListParagraph"/>
        <w:numPr>
          <w:ilvl w:val="0"/>
          <w:numId w:val="28"/>
        </w:numPr>
        <w:spacing w:after="60"/>
        <w:ind w:left="284" w:hanging="284"/>
        <w:contextualSpacing w:val="0"/>
      </w:pPr>
      <w:r w:rsidRPr="005565F8">
        <w:t xml:space="preserve">izveidot nacionālo </w:t>
      </w:r>
      <w:r w:rsidRPr="005565F8">
        <w:t>pēcdoktorantūras</w:t>
      </w:r>
      <w:r w:rsidRPr="005565F8">
        <w:t xml:space="preserve"> pētniecības atbalsta sistēmu; </w:t>
      </w:r>
    </w:p>
    <w:p w:rsidR="00D26935" w:rsidRPr="005565F8" w:rsidP="00735883" w14:paraId="5BF2C690" w14:textId="77777777">
      <w:pPr>
        <w:pStyle w:val="ListParagraph"/>
        <w:numPr>
          <w:ilvl w:val="0"/>
          <w:numId w:val="28"/>
        </w:numPr>
        <w:spacing w:after="60"/>
        <w:ind w:left="284" w:hanging="284"/>
        <w:contextualSpacing w:val="0"/>
      </w:pPr>
      <w:r w:rsidRPr="005565F8">
        <w:t xml:space="preserve">atbalstīt praktiskus pētījumus nozares vai sabiedrības problēmu risināšanai; </w:t>
      </w:r>
    </w:p>
    <w:p w:rsidR="00D26935" w:rsidRPr="005565F8" w:rsidP="00735883" w14:paraId="0BB875DB" w14:textId="77777777">
      <w:pPr>
        <w:pStyle w:val="ListParagraph"/>
        <w:numPr>
          <w:ilvl w:val="0"/>
          <w:numId w:val="28"/>
        </w:numPr>
        <w:spacing w:after="60"/>
        <w:ind w:left="284" w:hanging="284"/>
        <w:contextualSpacing w:val="0"/>
      </w:pPr>
      <w:r w:rsidRPr="005565F8">
        <w:t xml:space="preserve">atbalstīt individuālu </w:t>
      </w:r>
      <w:r w:rsidRPr="005565F8">
        <w:t>pēcdoktorantūras</w:t>
      </w:r>
      <w:r w:rsidRPr="005565F8">
        <w:t xml:space="preserve"> P&amp;A projektu īstenošanu, tai skaitā atbalstot </w:t>
      </w:r>
      <w:r w:rsidRPr="005565F8">
        <w:t>pēcdoktorantu</w:t>
      </w:r>
      <w:r w:rsidRPr="005565F8">
        <w:t xml:space="preserve"> darba vietas uzņēmumos; </w:t>
      </w:r>
    </w:p>
    <w:p w:rsidR="00D26935" w:rsidRPr="005565F8" w:rsidP="00735883" w14:paraId="3E8E097B" w14:textId="77777777">
      <w:pPr>
        <w:pStyle w:val="ListParagraph"/>
        <w:numPr>
          <w:ilvl w:val="0"/>
          <w:numId w:val="28"/>
        </w:numPr>
        <w:spacing w:after="60"/>
        <w:ind w:left="284" w:hanging="284"/>
        <w:contextualSpacing w:val="0"/>
      </w:pPr>
      <w:r w:rsidRPr="005565F8">
        <w:t xml:space="preserve">nodrošināt zinātnes bāzes finansējuma piešķiršanu 100% apmērā un pakāpenisku palielināšanu; </w:t>
      </w:r>
    </w:p>
    <w:p w:rsidR="00D26935" w:rsidRPr="005565F8" w:rsidP="00735883" w14:paraId="6A0E92FD" w14:textId="77777777">
      <w:pPr>
        <w:pStyle w:val="ListParagraph"/>
        <w:numPr>
          <w:ilvl w:val="0"/>
          <w:numId w:val="28"/>
        </w:numPr>
        <w:spacing w:after="60"/>
        <w:ind w:left="284" w:hanging="284"/>
        <w:contextualSpacing w:val="0"/>
      </w:pPr>
      <w:r w:rsidRPr="005565F8">
        <w:t xml:space="preserve">ieviest pedagoģiskā un pētnieciskā darba vienotību; </w:t>
      </w:r>
    </w:p>
    <w:p w:rsidR="00D26935" w:rsidRPr="005565F8" w:rsidP="00735883" w14:paraId="4C29F5E9" w14:textId="77777777">
      <w:pPr>
        <w:pStyle w:val="ListParagraph"/>
        <w:numPr>
          <w:ilvl w:val="0"/>
          <w:numId w:val="28"/>
        </w:numPr>
        <w:spacing w:after="60"/>
        <w:ind w:left="284" w:hanging="284"/>
        <w:contextualSpacing w:val="0"/>
      </w:pPr>
      <w:r w:rsidRPr="005565F8">
        <w:t xml:space="preserve">ieviest uz pētniecības ekselenci vērstus kritērijus bāzes finansējuma un projektu finansējuma piešķiršanā; </w:t>
      </w:r>
    </w:p>
    <w:p w:rsidR="00D26935" w:rsidRPr="005565F8" w:rsidP="00735883" w14:paraId="00CBCB1B" w14:textId="77777777">
      <w:pPr>
        <w:pStyle w:val="ListParagraph"/>
        <w:numPr>
          <w:ilvl w:val="0"/>
          <w:numId w:val="28"/>
        </w:numPr>
        <w:spacing w:after="60"/>
        <w:ind w:left="284" w:hanging="284"/>
        <w:contextualSpacing w:val="0"/>
      </w:pPr>
      <w:r w:rsidRPr="005565F8">
        <w:t xml:space="preserve"> atbalstīt Latvijas zinātnisko institūciju dalību ES un citās starptautiskās zinātniskās sadarbības organizācijās u.c. </w:t>
      </w:r>
    </w:p>
    <w:p w:rsidR="00D26935" w:rsidRPr="005565F8" w:rsidP="00D26935" w14:paraId="253B8E05" w14:textId="77777777">
      <w:pPr>
        <w:pStyle w:val="ListParagraph"/>
        <w:ind w:left="0" w:firstLine="567"/>
        <w:contextualSpacing w:val="0"/>
      </w:pPr>
    </w:p>
    <w:p w:rsidR="00D26935" w:rsidRPr="005565F8" w:rsidP="00D26935" w14:paraId="78C42D08" w14:textId="77777777">
      <w:pPr>
        <w:pStyle w:val="ListParagraph"/>
        <w:ind w:left="0"/>
        <w:contextualSpacing w:val="0"/>
      </w:pPr>
      <w:r w:rsidRPr="005565F8">
        <w:t>Šī politikas virziena uzdevumu 1), 2), 3) un 7) īstenošanai plānots izmantot ES fondu</w:t>
      </w:r>
      <w:r w:rsidRPr="005565F8" w:rsidR="009A2723">
        <w:t xml:space="preserve"> 2014.-2020.g.</w:t>
      </w:r>
      <w:r w:rsidRPr="005565F8">
        <w:t xml:space="preserve">  specifiskā atbalsta mērķa „</w:t>
      </w:r>
      <w:r w:rsidRPr="005565F8">
        <w:rPr>
          <w:i/>
        </w:rPr>
        <w:t>Palielināt Latvijas zinātnisko institūciju pētniecisko un inovatīvo kapacitāti un spēju piesaistīt ārējo finansējumu, ieguldot cilvēkresursos un infrastruktūrā</w:t>
      </w:r>
      <w:r w:rsidRPr="005565F8">
        <w:t xml:space="preserve">” pasākumu </w:t>
      </w:r>
      <w:r w:rsidRPr="005565F8">
        <w:t xml:space="preserve">finansējumu. Ir ieviesta jauna pieeja zinātnes projektu vērtēšanā, </w:t>
      </w:r>
      <w:r w:rsidRPr="005565F8" w:rsidR="00290B98">
        <w:t>t.sk.</w:t>
      </w:r>
      <w:r w:rsidRPr="005565F8">
        <w:t xml:space="preserve"> tika pārņemta ES pētniecības un inovāciju programmas </w:t>
      </w:r>
      <w:r w:rsidRPr="005565F8">
        <w:rPr>
          <w:i/>
        </w:rPr>
        <w:t>“Apvārsnis 2020”</w:t>
      </w:r>
      <w:r w:rsidRPr="005565F8">
        <w:t xml:space="preserve"> vērtēšanas pieeja un kritēriji projektu zinātniskās kvalitātes izvērtēšanai, t.sk. zinātnes projektu zinātniskās ekselences novērtēšanā tiek piesaistīti ārējie eksperti, </w:t>
      </w:r>
      <w:r w:rsidRPr="005565F8">
        <w:t>kas reģistrēti starptautiski atzītā zinātnisko ekspertu datu bāzē.</w:t>
      </w:r>
    </w:p>
    <w:p w:rsidR="002E5FE7" w:rsidRPr="005565F8" w:rsidP="00D26935" w14:paraId="190081BC" w14:textId="77777777">
      <w:pPr>
        <w:pStyle w:val="ListParagraph"/>
        <w:ind w:left="0"/>
        <w:contextualSpacing w:val="0"/>
      </w:pPr>
      <w:r w:rsidRPr="005565F8">
        <w:t xml:space="preserve">Pasākumi ZTAI nozares konkurētspējas paaugstināšanai ir atspoguļoti </w:t>
      </w:r>
      <w:r w:rsidRPr="005565F8" w:rsidR="001D2B89">
        <w:t>3.6</w:t>
      </w:r>
      <w:r w:rsidRPr="005565F8">
        <w:t>.ielikumā.</w:t>
      </w:r>
    </w:p>
    <w:p w:rsidR="001D2B89" w:rsidRPr="005565F8" w:rsidP="00D26935" w14:paraId="437DC1DE" w14:textId="77777777">
      <w:pPr>
        <w:pStyle w:val="ListParagraph"/>
        <w:ind w:left="0"/>
        <w:contextualSpacing w:val="0"/>
        <w:sectPr w:rsidSect="003D0310">
          <w:type w:val="continuous"/>
          <w:pgSz w:w="11906" w:h="16838" w:code="9"/>
          <w:pgMar w:top="1134" w:right="1134" w:bottom="1134" w:left="1134" w:header="709" w:footer="709" w:gutter="0"/>
          <w:cols w:num="2" w:space="340"/>
          <w:titlePg/>
          <w:docGrid w:linePitch="360"/>
        </w:sectPr>
      </w:pPr>
    </w:p>
    <w:p w:rsidR="001D2B89" w:rsidRPr="005565F8" w:rsidP="00D26935" w14:paraId="4A8340CF" w14:textId="77777777">
      <w:pPr>
        <w:pStyle w:val="ListParagraph"/>
        <w:ind w:left="0"/>
        <w:contextualSpacing w:val="0"/>
      </w:pPr>
    </w:p>
    <w:p w:rsidR="001D2B89" w:rsidRPr="005565F8" w:rsidP="001D2B89" w14:paraId="285A12E7"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b/>
          <w:sz w:val="4"/>
          <w:szCs w:val="16"/>
        </w:rPr>
      </w:pPr>
    </w:p>
    <w:p w:rsidR="001D2B89" w:rsidRPr="005565F8" w:rsidP="001D2B89" w14:paraId="2293E942"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3.6.ielikums.</w:t>
      </w:r>
    </w:p>
    <w:p w:rsidR="001D2B89" w:rsidRPr="005565F8" w:rsidP="001D2B89" w14:paraId="1F684B71"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rPr>
          <w:rFonts w:ascii="Calibri Light" w:eastAsia="Verdana" w:hAnsi="Calibri Light"/>
          <w:color w:val="000000"/>
          <w:kern w:val="24"/>
          <w:sz w:val="16"/>
          <w:szCs w:val="16"/>
          <w:lang w:eastAsia="lv-LV"/>
        </w:rPr>
      </w:pPr>
      <w:r w:rsidRPr="005565F8">
        <w:rPr>
          <w:rFonts w:ascii="Calibri Light" w:hAnsi="Calibri Light"/>
          <w:b/>
          <w:szCs w:val="16"/>
        </w:rPr>
        <w:t>Pasākumi ZTAI nozares konkurētspējas paaugstināšanai</w:t>
      </w:r>
    </w:p>
    <w:p w:rsidR="001D2B89" w:rsidRPr="005565F8" w:rsidP="001D2B89" w14:paraId="7F22E5F2"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2017.gadā turpinājās darbs pie šādu ES fondu 2014.-2020.g. pasākumu ieviešanas:</w:t>
      </w:r>
    </w:p>
    <w:p w:rsidR="001D2B89" w:rsidRPr="005565F8" w:rsidP="001D2B89" w14:paraId="78DC6215"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 xml:space="preserve">Atbalsts </w:t>
      </w:r>
      <w:r w:rsidRPr="005565F8">
        <w:rPr>
          <w:rFonts w:ascii="Calibri Light" w:eastAsia="Verdana" w:hAnsi="Calibri Light"/>
          <w:b/>
          <w:color w:val="000000"/>
          <w:kern w:val="24"/>
          <w:sz w:val="16"/>
          <w:szCs w:val="16"/>
          <w:lang w:eastAsia="lv-LV"/>
        </w:rPr>
        <w:t>pēcdoktorantūras</w:t>
      </w:r>
      <w:r w:rsidRPr="005565F8">
        <w:rPr>
          <w:rFonts w:ascii="Calibri Light" w:eastAsia="Verdana" w:hAnsi="Calibri Light"/>
          <w:b/>
          <w:color w:val="000000"/>
          <w:kern w:val="24"/>
          <w:sz w:val="16"/>
          <w:szCs w:val="16"/>
          <w:lang w:eastAsia="lv-LV"/>
        </w:rPr>
        <w:t xml:space="preserve"> pētījumiem</w:t>
      </w:r>
      <w:r w:rsidRPr="005565F8">
        <w:rPr>
          <w:rFonts w:ascii="Calibri Light" w:eastAsia="Verdana" w:hAnsi="Calibri Light"/>
          <w:color w:val="000000"/>
          <w:kern w:val="24"/>
          <w:sz w:val="16"/>
          <w:szCs w:val="16"/>
          <w:lang w:eastAsia="lv-LV"/>
        </w:rPr>
        <w:t xml:space="preserve">. Nodrošināta </w:t>
      </w:r>
      <w:r w:rsidRPr="005565F8">
        <w:rPr>
          <w:rFonts w:ascii="Calibri Light" w:eastAsia="Verdana" w:hAnsi="Calibri Light"/>
          <w:color w:val="000000"/>
          <w:kern w:val="24"/>
          <w:sz w:val="16"/>
          <w:szCs w:val="16"/>
          <w:lang w:eastAsia="lv-LV"/>
        </w:rPr>
        <w:t>pēcdoktorantu</w:t>
      </w:r>
      <w:r w:rsidRPr="005565F8">
        <w:rPr>
          <w:rFonts w:ascii="Calibri Light" w:eastAsia="Verdana" w:hAnsi="Calibri Light"/>
          <w:color w:val="000000"/>
          <w:kern w:val="24"/>
          <w:sz w:val="16"/>
          <w:szCs w:val="16"/>
          <w:lang w:eastAsia="lv-LV"/>
        </w:rPr>
        <w:t xml:space="preserve"> pētniecības projektu 1.atlases kārtā iesniegto pieteikumu vērtēšana, un noslēgti 124 līgumi par kopējo attiecināmo finansējumu 16,5 milj. EUR, t.sk. ERAF finansējums 14,01 milj. EUR. 2018.gada 5.februārī izsludināts </w:t>
      </w:r>
      <w:r w:rsidRPr="005565F8">
        <w:rPr>
          <w:rFonts w:ascii="Calibri Light" w:eastAsia="Verdana" w:hAnsi="Calibri Light"/>
          <w:color w:val="000000"/>
          <w:kern w:val="24"/>
          <w:sz w:val="16"/>
          <w:szCs w:val="16"/>
          <w:lang w:eastAsia="lv-LV"/>
        </w:rPr>
        <w:t>pēcdoktorantūras</w:t>
      </w:r>
      <w:r w:rsidRPr="005565F8">
        <w:rPr>
          <w:rFonts w:ascii="Calibri Light" w:eastAsia="Verdana" w:hAnsi="Calibri Light"/>
          <w:color w:val="000000"/>
          <w:kern w:val="24"/>
          <w:sz w:val="16"/>
          <w:szCs w:val="16"/>
          <w:lang w:eastAsia="lv-LV"/>
        </w:rPr>
        <w:t xml:space="preserve"> pētījumu 2.atlases konkurss par kopējo attiecināmo finansējumu 15,22 milj. EUR apmērā. Atbalstu programmas ietvaros kopumā plānots sniegt aptuveni 450 </w:t>
      </w:r>
      <w:r w:rsidRPr="005565F8">
        <w:rPr>
          <w:rFonts w:ascii="Calibri Light" w:eastAsia="Verdana" w:hAnsi="Calibri Light"/>
          <w:color w:val="000000"/>
          <w:kern w:val="24"/>
          <w:sz w:val="16"/>
          <w:szCs w:val="16"/>
          <w:lang w:eastAsia="lv-LV"/>
        </w:rPr>
        <w:t>pēcdoktorantiem</w:t>
      </w:r>
      <w:r w:rsidRPr="005565F8">
        <w:rPr>
          <w:rFonts w:ascii="Calibri Light" w:eastAsia="Verdana" w:hAnsi="Calibri Light"/>
          <w:color w:val="000000"/>
          <w:kern w:val="24"/>
          <w:sz w:val="16"/>
          <w:szCs w:val="16"/>
          <w:lang w:eastAsia="lv-LV"/>
        </w:rPr>
        <w:t>, konkursu organizējot ikgadēji (plānotais kopējais finansējums 64 milj. EUR, t.sk. ERAF 54,4 milj. EUR);</w:t>
      </w:r>
    </w:p>
    <w:p w:rsidR="001D2B89" w:rsidRPr="005565F8" w:rsidP="001D2B89" w14:paraId="39ABB27F"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Atbalsts praktiskas ievirzes pētījumiem</w:t>
      </w:r>
      <w:r w:rsidRPr="005565F8">
        <w:rPr>
          <w:rFonts w:ascii="Calibri Light" w:eastAsia="Verdana" w:hAnsi="Calibri Light"/>
          <w:color w:val="000000"/>
          <w:kern w:val="24"/>
          <w:sz w:val="16"/>
          <w:szCs w:val="16"/>
          <w:lang w:eastAsia="lv-LV"/>
        </w:rPr>
        <w:t>. Projektu pieteikumu konkurss paredzēts vairākās kārtās. Pirmās kārtas ietvaros 2017.gadā noslēgti 74 līgumi par projektu īstenošanu par kopējo finansējumu 44,22 milj. EUR, t.sk. ERAF finansējums 36,78 milj. EUR. Otro kārtu plānots izsludināt 2018.gada 2.ceturksnī par kopējo publisko finansējumu 25 milj. EUR, t.sk. ERAF finansējums 19,23 milj. EUR. Praktiskas ievirzes pētījumu īstenošanā tiks iesaistīti ne tikai institūcijās nodarbinātie zinātniskie darbinieki, bet arī studējošie un zinātniskā grāda pretendenti, lai veicinātu arī jaunu pētnieku iesaisti pētniecībā (plānotais kopējais finansējums 76,5 milj. EUR, t.sk. ERAF finansējums 65 milj. EUR).</w:t>
      </w:r>
    </w:p>
    <w:p w:rsidR="001D2B89" w:rsidRPr="005565F8" w:rsidP="001F61DB" w14:paraId="0AEB772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Izstrādāta jauna </w:t>
      </w:r>
      <w:r w:rsidRPr="005565F8">
        <w:rPr>
          <w:rFonts w:ascii="Calibri Light" w:eastAsia="Verdana" w:hAnsi="Calibri Light"/>
          <w:i/>
          <w:color w:val="000000"/>
          <w:kern w:val="24"/>
          <w:sz w:val="16"/>
          <w:szCs w:val="16"/>
          <w:lang w:eastAsia="lv-LV"/>
        </w:rPr>
        <w:t>Fundamentālo un lietišķo pētījumu projektu izvērtēšanas un finansējuma administrēšanas kārtība</w:t>
      </w:r>
      <w:r w:rsidRPr="005565F8">
        <w:rPr>
          <w:rFonts w:ascii="Calibri Light" w:eastAsia="Verdana" w:hAnsi="Calibri Light"/>
          <w:color w:val="000000"/>
          <w:kern w:val="24"/>
          <w:sz w:val="16"/>
          <w:szCs w:val="16"/>
          <w:lang w:eastAsia="lv-LV"/>
        </w:rPr>
        <w:t xml:space="preserve">, kā galveno projektu vērtēšanas kritēriju nosakot zinātnisko ekselenci. Programmas mērķis ir jaunu zināšanu radīšana visās zinātnes nozarēs un </w:t>
      </w:r>
      <w:r w:rsidRPr="005565F8">
        <w:rPr>
          <w:rFonts w:ascii="Calibri Light" w:eastAsia="Verdana" w:hAnsi="Calibri Light"/>
          <w:color w:val="000000"/>
          <w:kern w:val="24"/>
          <w:sz w:val="16"/>
          <w:szCs w:val="16"/>
          <w:lang w:eastAsia="lv-LV"/>
        </w:rPr>
        <w:t>cilvēkkapitāla</w:t>
      </w:r>
      <w:r w:rsidRPr="005565F8">
        <w:rPr>
          <w:rFonts w:ascii="Calibri Light" w:eastAsia="Verdana" w:hAnsi="Calibri Light"/>
          <w:color w:val="000000"/>
          <w:kern w:val="24"/>
          <w:sz w:val="16"/>
          <w:szCs w:val="16"/>
          <w:lang w:eastAsia="lv-LV"/>
        </w:rPr>
        <w:t xml:space="preserve"> attīstība zinātnes nozarē. Visu projektu zinātnisko ekspertīzi nodrošinās ārvalstu eksperti.</w:t>
      </w:r>
    </w:p>
    <w:p w:rsidR="001D2B89" w:rsidRPr="005565F8" w:rsidP="001F61DB" w14:paraId="0646AB73"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2017.gadā noslēdzās 2015.gadā uzsākto 11 pētniecības projektu īstenošana Eiropas Ekonomikas zonas finanšu instrumenta un Norvēģijas finanšu instrumenta 2009.-2014.gada perioda aktivitātē “</w:t>
      </w:r>
      <w:r w:rsidRPr="005565F8">
        <w:rPr>
          <w:rFonts w:ascii="Calibri Light" w:eastAsia="Verdana" w:hAnsi="Calibri Light"/>
          <w:i/>
          <w:color w:val="000000"/>
          <w:kern w:val="24"/>
          <w:sz w:val="16"/>
          <w:szCs w:val="16"/>
          <w:lang w:eastAsia="lv-LV"/>
        </w:rPr>
        <w:t>Pētniecība</w:t>
      </w:r>
      <w:r w:rsidRPr="005565F8">
        <w:rPr>
          <w:rFonts w:ascii="Calibri Light" w:eastAsia="Verdana" w:hAnsi="Calibri Light"/>
          <w:color w:val="000000"/>
          <w:kern w:val="24"/>
          <w:sz w:val="16"/>
          <w:szCs w:val="16"/>
          <w:lang w:eastAsia="lv-LV"/>
        </w:rPr>
        <w:t xml:space="preserve">”. Tās mērķis bija veicināt uz pētniecību balstītu zināšanu attīstību Latvijā, Norvēģijai un Latvijai sadarbojoties fundamentālo un lietišķo pētījumu jomā. Aktivitātes ietvaros sadarbojās vairāk kā 150 zinātnieki no 35 Latvijas un Norvēģijas zinātniskajām institūcijām. Ir publicēta 41 starptautiski recenzēta zinātniskā publikācija, kā arī kopīgi ir izstrādātas 13 publikācijas. Projektu īstenošanas gaitā iesaistīti 56 doktorantūras studenti. </w:t>
      </w:r>
    </w:p>
    <w:p w:rsidR="00D04E79" w:rsidRPr="005565F8" w:rsidP="001F61DB" w14:paraId="602C088F" w14:textId="42C7A635">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246F82">
        <w:rPr>
          <w:rFonts w:ascii="Calibri Light" w:eastAsia="Verdana" w:hAnsi="Calibri Light"/>
          <w:color w:val="000000"/>
          <w:kern w:val="24"/>
          <w:sz w:val="16"/>
          <w:szCs w:val="16"/>
          <w:lang w:eastAsia="lv-LV"/>
        </w:rPr>
        <w:t xml:space="preserve">2018.gadā tiks sagatavoti arī </w:t>
      </w:r>
      <w:r w:rsidRPr="00243CDE">
        <w:rPr>
          <w:rFonts w:ascii="Calibri Light" w:eastAsia="Verdana" w:hAnsi="Calibri Light"/>
          <w:i/>
          <w:color w:val="000000"/>
          <w:kern w:val="24"/>
          <w:sz w:val="16"/>
          <w:szCs w:val="16"/>
          <w:lang w:eastAsia="lv-LV"/>
        </w:rPr>
        <w:t>Valsts pētījumu programmu jauni īstenošanas noteikumi</w:t>
      </w:r>
      <w:r w:rsidRPr="00246F82">
        <w:rPr>
          <w:rFonts w:ascii="Calibri Light" w:eastAsia="Verdana" w:hAnsi="Calibri Light"/>
          <w:color w:val="000000"/>
          <w:kern w:val="24"/>
          <w:sz w:val="16"/>
          <w:szCs w:val="16"/>
          <w:lang w:eastAsia="lv-LV"/>
        </w:rPr>
        <w:t xml:space="preserve">. Projektu izvērtēšanā lielāks īpatsvars tiks piešķirts zinātniskās kvalitātes kritērijam un vietējo ekspertu vietā tiks ieviesta neatkarīga starptautiskā ekspertīze, piesaistot ārvalstu ekspertus no EK ekspertu datu bāzes, pārņemot labāko praksi </w:t>
      </w:r>
      <w:r w:rsidRPr="00243CDE">
        <w:rPr>
          <w:rFonts w:ascii="Calibri Light" w:eastAsia="Verdana" w:hAnsi="Calibri Light"/>
          <w:i/>
          <w:color w:val="000000"/>
          <w:kern w:val="24"/>
          <w:sz w:val="16"/>
          <w:szCs w:val="16"/>
          <w:lang w:eastAsia="lv-LV"/>
        </w:rPr>
        <w:t>“Apvārsnis 2020”</w:t>
      </w:r>
      <w:r w:rsidRPr="00246F82">
        <w:rPr>
          <w:rFonts w:ascii="Calibri Light" w:eastAsia="Verdana" w:hAnsi="Calibri Light"/>
          <w:color w:val="000000"/>
          <w:kern w:val="24"/>
          <w:sz w:val="16"/>
          <w:szCs w:val="16"/>
          <w:lang w:eastAsia="lv-LV"/>
        </w:rPr>
        <w:t xml:space="preserve"> projektu vērtēšanā</w:t>
      </w:r>
      <w:r w:rsidRPr="005565F8">
        <w:rPr>
          <w:rFonts w:ascii="Calibri Light" w:eastAsia="Verdana" w:hAnsi="Calibri Light"/>
          <w:color w:val="000000"/>
          <w:kern w:val="24"/>
          <w:sz w:val="16"/>
          <w:szCs w:val="16"/>
          <w:lang w:eastAsia="lv-LV"/>
        </w:rPr>
        <w:t>.</w:t>
      </w:r>
    </w:p>
    <w:p w:rsidR="001D2B89" w:rsidRPr="005565F8" w:rsidP="001F61DB" w14:paraId="14512F1E"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Lai veicinātu Latvijas dalību Eiropas pētniecības telpas un Eiropas pētniecības infrastruktūru stratēģiskā foruma infrastruktūrā un projektu īstenošanā, tādējādi sekmējot </w:t>
      </w:r>
      <w:r w:rsidRPr="005565F8">
        <w:rPr>
          <w:rFonts w:ascii="Calibri Light" w:eastAsia="Verdana" w:hAnsi="Calibri Light"/>
          <w:b/>
          <w:color w:val="000000"/>
          <w:kern w:val="24"/>
          <w:sz w:val="16"/>
          <w:szCs w:val="16"/>
          <w:lang w:eastAsia="lv-LV"/>
        </w:rPr>
        <w:t>starptautisko sadarbību pētniecības un tehnoloģiju jomā</w:t>
      </w:r>
      <w:r w:rsidRPr="005565F8">
        <w:rPr>
          <w:rFonts w:ascii="Calibri Light" w:eastAsia="Verdana" w:hAnsi="Calibri Light"/>
          <w:color w:val="000000"/>
          <w:kern w:val="24"/>
          <w:sz w:val="16"/>
          <w:szCs w:val="16"/>
          <w:lang w:eastAsia="lv-LV"/>
        </w:rPr>
        <w:t>:</w:t>
      </w:r>
    </w:p>
    <w:p w:rsidR="001F61DB" w:rsidRPr="005565F8" w:rsidP="001F61DB" w14:paraId="09894B39"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2017. gada 6. jūnijā apstiprināti ES fondu pasākuma „</w:t>
      </w:r>
      <w:r w:rsidRPr="005565F8">
        <w:rPr>
          <w:rFonts w:ascii="Calibri Light" w:eastAsia="Verdana" w:hAnsi="Calibri Light"/>
          <w:i/>
          <w:color w:val="000000"/>
          <w:kern w:val="24"/>
          <w:sz w:val="16"/>
          <w:szCs w:val="16"/>
          <w:lang w:eastAsia="lv-LV"/>
        </w:rPr>
        <w:t>Atbalsts starptautiskās sadarbības projektiem pētniecībā un inovācijās</w:t>
      </w:r>
      <w:r w:rsidRPr="005565F8">
        <w:rPr>
          <w:rFonts w:ascii="Calibri Light" w:eastAsia="Verdana" w:hAnsi="Calibri Light"/>
          <w:color w:val="000000"/>
          <w:kern w:val="24"/>
          <w:sz w:val="16"/>
          <w:szCs w:val="16"/>
          <w:lang w:eastAsia="lv-LV"/>
        </w:rPr>
        <w:t>” īstenošanas nosacījumi. Plānotais kopējais finansējums 32,6 milj. EUR, t.sk. ERAF finansējums 27,7 milj. EUR. Pasākuma ietvaros plānota valsts līmeņa un institūciju līmeņa savstarpēji papildinošu pasākumu īstenošana starptautiskās sadarbības attīstībai. 2017. gada augustā-septembrī izsludināta projektu iesniegumu atlase, bet 2018.gada 1.ceturksnī norisinās projektu iesniegumu vērtēšana un līgumu/vienošanās slēgšana par projektu īstenošanu;</w:t>
      </w:r>
    </w:p>
    <w:p w:rsidR="001F61DB" w:rsidRPr="005565F8" w:rsidP="00FB3747" w14:paraId="73177B75"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color w:val="000000"/>
          <w:kern w:val="24"/>
          <w:sz w:val="16"/>
          <w:szCs w:val="16"/>
          <w:lang w:eastAsia="lv-LV"/>
        </w:rPr>
        <w:t>pasākuma „</w:t>
      </w:r>
      <w:r w:rsidRPr="005565F8">
        <w:rPr>
          <w:rFonts w:ascii="Calibri Light" w:eastAsia="Verdana" w:hAnsi="Calibri Light"/>
          <w:i/>
          <w:color w:val="000000"/>
          <w:kern w:val="24"/>
          <w:sz w:val="16"/>
          <w:szCs w:val="16"/>
          <w:lang w:eastAsia="lv-LV"/>
        </w:rPr>
        <w:t>P&amp;A infrastruktūras attīstīšana viedās specializācijas jomās un zinātnisko institūciju institucionālās kapacitātes stiprināšana</w:t>
      </w:r>
      <w:r w:rsidRPr="005565F8">
        <w:rPr>
          <w:rFonts w:ascii="Calibri Light" w:eastAsia="Verdana" w:hAnsi="Calibri Light"/>
          <w:color w:val="000000"/>
          <w:kern w:val="24"/>
          <w:sz w:val="16"/>
          <w:szCs w:val="16"/>
          <w:lang w:eastAsia="lv-LV"/>
        </w:rPr>
        <w:t>” ietvaros 2017. gadā izvērtētas un saskaņotas zinātnisko institūciju attīstības stratēģijas, kas bija priekšnoteikums ES fondu investīcijām. No 2017.gada septembra līdz 2018. gada janvārim noslēgti 14 līgumi ar zinātniskajām institūcijām par projektu īstenošanu par kopējo attiecināmo finansējumu  129,12 milj. EUR, t.sk. publiskais finansējums 120,25 milj. EUR (no tā ERAF finansējums 102,96 milj. EUR un valsts budžeta finansējums 17,29 milj. EUR). Projektu īstenošana p</w:t>
      </w:r>
      <w:r w:rsidRPr="005565F8">
        <w:rPr>
          <w:rFonts w:ascii="Calibri Light" w:eastAsia="Verdana" w:hAnsi="Calibri Light"/>
          <w:color w:val="000000"/>
          <w:kern w:val="24"/>
          <w:sz w:val="16"/>
          <w:szCs w:val="16"/>
          <w:lang w:eastAsia="lv-LV"/>
        </w:rPr>
        <w:t>lānota līdz 2021.gada decembrim;</w:t>
      </w:r>
    </w:p>
    <w:p w:rsidR="001F61DB" w:rsidRPr="005565F8" w:rsidP="00FB3747" w14:paraId="66E828B8"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color w:val="000000"/>
          <w:kern w:val="24"/>
          <w:sz w:val="16"/>
          <w:szCs w:val="16"/>
          <w:lang w:eastAsia="lv-LV"/>
        </w:rPr>
        <w:t>2017. gada 1</w:t>
      </w:r>
      <w:r w:rsidRPr="005565F8" w:rsidR="000E17FD">
        <w:rPr>
          <w:rFonts w:ascii="Calibri Light" w:eastAsia="Verdana" w:hAnsi="Calibri Light"/>
          <w:color w:val="000000"/>
          <w:kern w:val="24"/>
          <w:sz w:val="16"/>
          <w:szCs w:val="16"/>
          <w:lang w:eastAsia="lv-LV"/>
        </w:rPr>
        <w:t>4</w:t>
      </w:r>
      <w:r w:rsidRPr="005565F8" w:rsidR="00C8180C">
        <w:rPr>
          <w:rFonts w:ascii="Calibri Light" w:eastAsia="Verdana" w:hAnsi="Calibri Light"/>
          <w:color w:val="000000"/>
          <w:kern w:val="24"/>
          <w:sz w:val="16"/>
          <w:szCs w:val="16"/>
          <w:lang w:eastAsia="lv-LV"/>
        </w:rPr>
        <w:t xml:space="preserve">. </w:t>
      </w:r>
      <w:r w:rsidRPr="005565F8">
        <w:rPr>
          <w:rFonts w:ascii="Calibri Light" w:eastAsia="Verdana" w:hAnsi="Calibri Light"/>
          <w:color w:val="000000"/>
          <w:kern w:val="24"/>
          <w:sz w:val="16"/>
          <w:szCs w:val="16"/>
          <w:lang w:eastAsia="lv-LV"/>
        </w:rPr>
        <w:t>decembrī tika noslēgti sadarbības memorandi par Norvēģijas un Eiropas Ekonomiskās zonas finanšu instrumentiem 2014.-2021. gadam. Programmā “</w:t>
      </w:r>
      <w:r w:rsidRPr="005565F8">
        <w:rPr>
          <w:rFonts w:ascii="Calibri Light" w:eastAsia="Verdana" w:hAnsi="Calibri Light"/>
          <w:i/>
          <w:color w:val="000000"/>
          <w:kern w:val="24"/>
          <w:sz w:val="16"/>
          <w:szCs w:val="16"/>
          <w:lang w:eastAsia="lv-LV"/>
        </w:rPr>
        <w:t>Pētniecība un izglītība</w:t>
      </w:r>
      <w:r w:rsidRPr="005565F8">
        <w:rPr>
          <w:rFonts w:ascii="Calibri Light" w:eastAsia="Verdana" w:hAnsi="Calibri Light"/>
          <w:color w:val="000000"/>
          <w:kern w:val="24"/>
          <w:sz w:val="16"/>
          <w:szCs w:val="16"/>
          <w:lang w:eastAsia="lv-LV"/>
        </w:rPr>
        <w:t xml:space="preserve">” ir paredzēta </w:t>
      </w:r>
      <w:r w:rsidRPr="005565F8">
        <w:rPr>
          <w:rFonts w:ascii="Calibri Light" w:eastAsia="Verdana" w:hAnsi="Calibri Light"/>
          <w:color w:val="000000"/>
          <w:kern w:val="24"/>
          <w:sz w:val="16"/>
          <w:szCs w:val="16"/>
          <w:lang w:eastAsia="lv-LV"/>
        </w:rPr>
        <w:t>apakšprogarmma</w:t>
      </w:r>
      <w:r w:rsidRPr="005565F8">
        <w:rPr>
          <w:rFonts w:ascii="Calibri Light" w:eastAsia="Verdana" w:hAnsi="Calibri Light"/>
          <w:color w:val="000000"/>
          <w:kern w:val="24"/>
          <w:sz w:val="16"/>
          <w:szCs w:val="16"/>
          <w:lang w:eastAsia="lv-LV"/>
        </w:rPr>
        <w:t xml:space="preserve"> “</w:t>
      </w:r>
      <w:r w:rsidRPr="005565F8">
        <w:rPr>
          <w:rFonts w:ascii="Calibri Light" w:eastAsia="Verdana" w:hAnsi="Calibri Light"/>
          <w:i/>
          <w:color w:val="000000"/>
          <w:kern w:val="24"/>
          <w:sz w:val="16"/>
          <w:szCs w:val="16"/>
          <w:lang w:eastAsia="lv-LV"/>
        </w:rPr>
        <w:t>Baltijas pētniecības programmas</w:t>
      </w:r>
      <w:r w:rsidRPr="005565F8">
        <w:rPr>
          <w:rFonts w:ascii="Calibri Light" w:eastAsia="Verdana" w:hAnsi="Calibri Light"/>
          <w:color w:val="000000"/>
          <w:kern w:val="24"/>
          <w:sz w:val="16"/>
          <w:szCs w:val="16"/>
          <w:lang w:eastAsia="lv-LV"/>
        </w:rPr>
        <w:t xml:space="preserve">”, kuras mērķis ir veicināt Baltijas un Ziemeļvalstu pētniecības telpu. Paredzēts, ka projektos piedalīsies zinātniskās institūcijas no vismaz divām Baltijas valstīm un </w:t>
      </w:r>
      <w:r w:rsidRPr="005565F8">
        <w:rPr>
          <w:rFonts w:ascii="Calibri Light" w:eastAsia="Verdana" w:hAnsi="Calibri Light"/>
          <w:color w:val="000000"/>
          <w:kern w:val="24"/>
          <w:sz w:val="16"/>
          <w:szCs w:val="16"/>
          <w:lang w:eastAsia="lv-LV"/>
        </w:rPr>
        <w:t>donorvalstīm</w:t>
      </w:r>
      <w:r w:rsidRPr="005565F8">
        <w:rPr>
          <w:rFonts w:ascii="Calibri Light" w:eastAsia="Verdana" w:hAnsi="Calibri Light"/>
          <w:color w:val="000000"/>
          <w:kern w:val="24"/>
          <w:sz w:val="16"/>
          <w:szCs w:val="16"/>
          <w:lang w:eastAsia="lv-LV"/>
        </w:rPr>
        <w:t>. Plānots, ka 2018.gadā tiks izstrādāts programmas koncepcijas dokuments un atbilstošais regulējums, lai 2019. gadā Latvijā varētu izsludināt projektu konkursu (Igaunija izsludinās konkursu 2018. gada rudenī, kurā varēs piedalīties arī Latvijas zinātniskās institūcijas).</w:t>
      </w:r>
    </w:p>
    <w:p w:rsidR="001D2B89" w:rsidRPr="005565F8" w:rsidP="001F61DB" w14:paraId="736F065D"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Lai sekmētu līderības, inovācijas un </w:t>
      </w:r>
      <w:r w:rsidRPr="005565F8">
        <w:rPr>
          <w:rFonts w:ascii="Calibri Light" w:eastAsia="Verdana" w:hAnsi="Calibri Light"/>
          <w:color w:val="000000"/>
          <w:kern w:val="24"/>
          <w:sz w:val="16"/>
          <w:szCs w:val="16"/>
          <w:lang w:eastAsia="lv-LV"/>
        </w:rPr>
        <w:t>uzņēmējspēju</w:t>
      </w:r>
      <w:r w:rsidRPr="005565F8">
        <w:rPr>
          <w:rFonts w:ascii="Calibri Light" w:eastAsia="Verdana" w:hAnsi="Calibri Light"/>
          <w:color w:val="000000"/>
          <w:kern w:val="24"/>
          <w:sz w:val="16"/>
          <w:szCs w:val="16"/>
          <w:lang w:eastAsia="lv-LV"/>
        </w:rPr>
        <w:t xml:space="preserve"> attīstību studējošajiem, attīstītu inovatīvu ideju izstrādi, kā arī veicinātu augstskolu un komersantu sadarbību, 2017. gadā izstrādāti ES fondu pasākuma „Inovāciju granti studentiem” ieviešanas nosacījumi. Kopējais indikatīvais finansējums pasākuma īstenošanai – 38,5 milj. EUR, t.sk. ERAF finansējums 28,9 milj. EUR. Līgumus par projektu īstenošanu plānots slēgt 2018. gada 4. ceturksnī.</w:t>
      </w:r>
    </w:p>
    <w:p w:rsidR="001D2B89" w:rsidRPr="005565F8" w:rsidP="00E776A7" w14:paraId="055410B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4"/>
          <w:szCs w:val="16"/>
          <w:lang w:eastAsia="lv-LV"/>
        </w:rPr>
      </w:pPr>
    </w:p>
    <w:p w:rsidR="001D2B89" w:rsidRPr="005565F8" w:rsidP="00D26935" w14:paraId="05127BA0" w14:textId="77777777">
      <w:pPr>
        <w:pStyle w:val="ListParagraph"/>
        <w:ind w:left="0"/>
        <w:contextualSpacing w:val="0"/>
      </w:pPr>
    </w:p>
    <w:p w:rsidR="001F61DB" w:rsidRPr="005565F8" w:rsidP="001F61DB" w14:paraId="311D6A9D"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ZTAI nozares sasaiste ar sabiedrības un tautsaimniecības attīstības vajadzībām</w:t>
      </w:r>
    </w:p>
    <w:p w:rsidR="001F61DB" w:rsidRPr="005565F8" w:rsidP="001F61DB" w14:paraId="508FD96F"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 IZM/</w:t>
      </w:r>
    </w:p>
    <w:p w:rsidR="001D2B89" w:rsidRPr="005565F8" w:rsidP="00B22046" w14:paraId="39954D58"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D26935" w:rsidRPr="005565F8" w:rsidP="00F56ABC" w14:paraId="2FC4F087" w14:textId="77777777">
      <w:pPr>
        <w:pStyle w:val="ListParagraph"/>
        <w:spacing w:before="240"/>
        <w:ind w:left="0"/>
        <w:contextualSpacing w:val="0"/>
      </w:pPr>
      <w:r w:rsidRPr="005565F8">
        <w:t xml:space="preserve">Šī politikas virziena galvenie uzdevumi ir: </w:t>
      </w:r>
    </w:p>
    <w:p w:rsidR="00D26935" w:rsidRPr="005565F8" w:rsidP="00735883" w14:paraId="314C306E" w14:textId="77777777">
      <w:pPr>
        <w:pStyle w:val="ListParagraph"/>
        <w:numPr>
          <w:ilvl w:val="0"/>
          <w:numId w:val="29"/>
        </w:numPr>
        <w:spacing w:after="60"/>
        <w:ind w:left="284" w:hanging="284"/>
        <w:contextualSpacing w:val="0"/>
      </w:pPr>
      <w:r w:rsidRPr="005565F8">
        <w:t xml:space="preserve">piešķirt prioritāti doktorantūras un </w:t>
      </w:r>
      <w:r w:rsidRPr="005565F8">
        <w:t>pēcdoktorantūras</w:t>
      </w:r>
      <w:r w:rsidRPr="005565F8">
        <w:t xml:space="preserve"> pētījumiem, kas saistīti ar industrijas identificētu zinātnisko vai tehnoloģisko problēmu risināšanu; </w:t>
      </w:r>
    </w:p>
    <w:p w:rsidR="00D26935" w:rsidRPr="005565F8" w:rsidP="00735883" w14:paraId="52EAA714" w14:textId="77777777">
      <w:pPr>
        <w:pStyle w:val="ListParagraph"/>
        <w:numPr>
          <w:ilvl w:val="0"/>
          <w:numId w:val="29"/>
        </w:numPr>
        <w:spacing w:after="60"/>
        <w:ind w:left="284" w:hanging="284"/>
        <w:contextualSpacing w:val="0"/>
      </w:pPr>
      <w:r w:rsidRPr="005565F8">
        <w:t xml:space="preserve">turpināt īstenot valsts pētījumu programmas; </w:t>
      </w:r>
    </w:p>
    <w:p w:rsidR="00D26935" w:rsidRPr="005565F8" w:rsidP="00735883" w14:paraId="0F18902C" w14:textId="77777777">
      <w:pPr>
        <w:pStyle w:val="ListParagraph"/>
        <w:numPr>
          <w:ilvl w:val="0"/>
          <w:numId w:val="29"/>
        </w:numPr>
        <w:spacing w:after="60"/>
        <w:ind w:left="284" w:hanging="284"/>
        <w:contextualSpacing w:val="0"/>
      </w:pPr>
      <w:r w:rsidRPr="005565F8">
        <w:t xml:space="preserve">turpināt attīstīt kompetences centrus kā zinātnisko institūciju un komersantu ilgtermiņa sadarbības platformu; </w:t>
      </w:r>
    </w:p>
    <w:p w:rsidR="00D26935" w:rsidRPr="005565F8" w:rsidP="00735883" w14:paraId="3C5F9CA9" w14:textId="77777777">
      <w:pPr>
        <w:pStyle w:val="ListParagraph"/>
        <w:numPr>
          <w:ilvl w:val="0"/>
          <w:numId w:val="29"/>
        </w:numPr>
        <w:spacing w:after="60"/>
        <w:ind w:left="284" w:hanging="284"/>
        <w:contextualSpacing w:val="0"/>
      </w:pPr>
      <w:r w:rsidRPr="005565F8">
        <w:t xml:space="preserve">turpināt attīstīt tehnoloģiju </w:t>
      </w:r>
      <w:r w:rsidRPr="005565F8">
        <w:t>pārneses</w:t>
      </w:r>
      <w:r w:rsidRPr="005565F8">
        <w:t xml:space="preserve"> un inovāciju atbalstam pie augstskolām izveidoto Tehnoloģijas </w:t>
      </w:r>
      <w:r w:rsidRPr="005565F8">
        <w:t>pārneses</w:t>
      </w:r>
      <w:r w:rsidRPr="005565F8">
        <w:t xml:space="preserve"> kontaktpunktu attīstību; ieviest Vienotu tehnoloģiju </w:t>
      </w:r>
      <w:r w:rsidRPr="005565F8">
        <w:t>pārneses</w:t>
      </w:r>
      <w:r w:rsidRPr="005565F8">
        <w:t xml:space="preserve"> platformu; </w:t>
      </w:r>
    </w:p>
    <w:p w:rsidR="00D26935" w:rsidRPr="005565F8" w:rsidP="00735883" w14:paraId="3B09CD78" w14:textId="77777777">
      <w:pPr>
        <w:pStyle w:val="ListParagraph"/>
        <w:numPr>
          <w:ilvl w:val="0"/>
          <w:numId w:val="29"/>
        </w:numPr>
        <w:spacing w:after="60"/>
        <w:ind w:left="284" w:hanging="284"/>
        <w:contextualSpacing w:val="0"/>
      </w:pPr>
      <w:r w:rsidRPr="005565F8">
        <w:t>veicināt augstskolu sadarbību ar uzņēmumiem un uz</w:t>
      </w:r>
      <w:r w:rsidRPr="005565F8" w:rsidR="001746E8">
        <w:t xml:space="preserve">ņēmumu sadarbību ar citu valstu uzņēmumiem dažādu inovatīvu produktu radīšanā un </w:t>
      </w:r>
      <w:r w:rsidRPr="005565F8" w:rsidR="001746E8">
        <w:t>komercizalizācijā</w:t>
      </w:r>
      <w:r w:rsidRPr="005565F8">
        <w:t>.</w:t>
      </w:r>
    </w:p>
    <w:p w:rsidR="00E776A7" w:rsidP="00D26935" w14:paraId="25FD447B" w14:textId="77777777">
      <w:pPr>
        <w:pStyle w:val="ListParagraph"/>
        <w:ind w:left="0"/>
        <w:contextualSpacing w:val="0"/>
      </w:pPr>
    </w:p>
    <w:p w:rsidR="00D26935" w:rsidRPr="005565F8" w:rsidP="00D26935" w14:paraId="021C58C7" w14:textId="64DDA484">
      <w:pPr>
        <w:pStyle w:val="ListParagraph"/>
        <w:ind w:left="0"/>
        <w:contextualSpacing w:val="0"/>
      </w:pPr>
      <w:r w:rsidRPr="005565F8">
        <w:t>Uzdevumu 1), 3),</w:t>
      </w:r>
      <w:r w:rsidRPr="005565F8" w:rsidR="00D45D19">
        <w:t xml:space="preserve"> 4) un 5</w:t>
      </w:r>
      <w:r w:rsidRPr="005565F8">
        <w:t>) īstenošanai plānots izmantot ES fondu 2014</w:t>
      </w:r>
      <w:r w:rsidRPr="005565F8" w:rsidR="00B4552B">
        <w:t>.</w:t>
      </w:r>
      <w:r w:rsidRPr="005565F8">
        <w:t>-2020</w:t>
      </w:r>
      <w:r w:rsidRPr="005565F8" w:rsidR="00B4552B">
        <w:t>.g.</w:t>
      </w:r>
      <w:r w:rsidRPr="005565F8">
        <w:t xml:space="preserve">  specifiskā atbalsta mērķ</w:t>
      </w:r>
      <w:r w:rsidRPr="005565F8" w:rsidR="00B4552B">
        <w:t>a</w:t>
      </w:r>
      <w:r w:rsidRPr="005565F8">
        <w:t xml:space="preserve"> „</w:t>
      </w:r>
      <w:r w:rsidRPr="005565F8">
        <w:rPr>
          <w:i/>
        </w:rPr>
        <w:t xml:space="preserve">Palielināt Latvijas zinātnisko institūciju </w:t>
      </w:r>
      <w:r w:rsidRPr="005565F8">
        <w:rPr>
          <w:i/>
        </w:rPr>
        <w:t>pētniecisko un inovatīvo kapacitāti un spēju piesaistīt ārējo finansējumu, ieguldot cilvēkresursos un infrastruktūrā</w:t>
      </w:r>
      <w:r w:rsidRPr="005565F8">
        <w:t>” un “</w:t>
      </w:r>
      <w:r w:rsidRPr="005565F8">
        <w:rPr>
          <w:i/>
        </w:rPr>
        <w:t>Palielināt privātā sektora investīcijas P&amp;A</w:t>
      </w:r>
      <w:r w:rsidRPr="005565F8">
        <w:t>” pasākumu finansējumu.</w:t>
      </w:r>
    </w:p>
    <w:p w:rsidR="000421C5" w:rsidRPr="005565F8" w:rsidP="00D26935" w14:paraId="14867827" w14:textId="77777777">
      <w:pPr>
        <w:pStyle w:val="ListParagraph"/>
        <w:ind w:left="0"/>
        <w:contextualSpacing w:val="0"/>
      </w:pPr>
      <w:r w:rsidRPr="005565F8">
        <w:t xml:space="preserve">Pasākumi ZTAI nozares sasaistei ar sabiedrības un tautsaimniecības attīstības vajadzībām ir atspoguļoti </w:t>
      </w:r>
      <w:r w:rsidRPr="005565F8" w:rsidR="001F61DB">
        <w:t>3.7</w:t>
      </w:r>
      <w:r w:rsidRPr="005565F8">
        <w:t>.ielikumā.</w:t>
      </w:r>
    </w:p>
    <w:p w:rsidR="001F61DB" w:rsidRPr="005565F8" w:rsidP="00D26935" w14:paraId="05BC29F2" w14:textId="77777777">
      <w:pPr>
        <w:pStyle w:val="ListParagraph"/>
        <w:ind w:left="0"/>
        <w:contextualSpacing w:val="0"/>
        <w:sectPr w:rsidSect="003D0310">
          <w:type w:val="continuous"/>
          <w:pgSz w:w="11906" w:h="16838" w:code="9"/>
          <w:pgMar w:top="1134" w:right="1134" w:bottom="1134" w:left="1134" w:header="709" w:footer="709" w:gutter="0"/>
          <w:cols w:num="2" w:space="340"/>
          <w:titlePg/>
          <w:docGrid w:linePitch="360"/>
        </w:sectPr>
      </w:pPr>
    </w:p>
    <w:p w:rsidR="001F61DB" w:rsidRPr="005565F8" w:rsidP="00D26935" w14:paraId="1EA1CEC1" w14:textId="77777777">
      <w:pPr>
        <w:pStyle w:val="ListParagraph"/>
        <w:ind w:left="0"/>
        <w:contextualSpacing w:val="0"/>
      </w:pPr>
    </w:p>
    <w:p w:rsidR="001F61DB" w:rsidRPr="005565F8" w:rsidP="001F61DB" w14:paraId="4085918A"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b/>
          <w:sz w:val="4"/>
          <w:szCs w:val="16"/>
        </w:rPr>
      </w:pPr>
    </w:p>
    <w:p w:rsidR="001F61DB" w:rsidRPr="005565F8" w:rsidP="001F61DB" w14:paraId="5F2D234A"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3.7.ielikums.</w:t>
      </w:r>
    </w:p>
    <w:p w:rsidR="001F61DB" w:rsidRPr="005565F8" w:rsidP="001F61DB" w14:paraId="61AFA4A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rPr>
          <w:rFonts w:ascii="Calibri Light" w:eastAsia="Verdana" w:hAnsi="Calibri Light"/>
          <w:color w:val="000000"/>
          <w:kern w:val="24"/>
          <w:sz w:val="16"/>
          <w:szCs w:val="16"/>
          <w:lang w:eastAsia="lv-LV"/>
        </w:rPr>
      </w:pPr>
      <w:r w:rsidRPr="005565F8">
        <w:rPr>
          <w:rFonts w:ascii="Calibri Light" w:hAnsi="Calibri Light"/>
          <w:b/>
          <w:szCs w:val="16"/>
        </w:rPr>
        <w:t>Pasākumi ZTAI nozares sasaistei ar sabiedrības un tautsaimniecības attīstības vajadzībām</w:t>
      </w:r>
    </w:p>
    <w:p w:rsidR="001F61DB" w:rsidRPr="005565F8" w:rsidP="001F61DB" w14:paraId="2A4C5B2F"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ES fondu 2014.-2020.g. atbalsta mērķa „</w:t>
      </w:r>
      <w:r w:rsidRPr="005565F8">
        <w:rPr>
          <w:rFonts w:ascii="Calibri Light" w:eastAsia="Verdana" w:hAnsi="Calibri Light"/>
          <w:i/>
          <w:color w:val="000000"/>
          <w:kern w:val="24"/>
          <w:sz w:val="16"/>
          <w:szCs w:val="16"/>
          <w:lang w:eastAsia="lv-LV"/>
        </w:rPr>
        <w:t>Palielināt Latvijas zinātnisko institūciju pētniecisko un inovatīvo kapacitāti un spēju piesaistīt ārējo finansējumu, ieguldot cilvēkresursos un infrastruktūrā</w:t>
      </w:r>
      <w:r w:rsidRPr="005565F8">
        <w:rPr>
          <w:rFonts w:ascii="Calibri Light" w:eastAsia="Verdana" w:hAnsi="Calibri Light"/>
          <w:color w:val="000000"/>
          <w:kern w:val="24"/>
          <w:sz w:val="16"/>
          <w:szCs w:val="16"/>
          <w:lang w:eastAsia="lv-LV"/>
        </w:rPr>
        <w:t xml:space="preserve">” īstenošanas rezultātā līdz 2023.gadam plānots piesaistīt 16 milj. EUR privātās investīcijas, kā arī plānots, ka 450 komersanti sadarbosies ar pētniecības institūcijām. </w:t>
      </w:r>
    </w:p>
    <w:p w:rsidR="001F61DB" w:rsidRPr="005565F8" w:rsidP="001F61DB" w14:paraId="4E52DC9C"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Uzņēmumu un zinātnieku ilgtermiņa sadarbības sekmēšanai tiek īstenots pasākums “</w:t>
      </w:r>
      <w:r w:rsidRPr="005565F8">
        <w:rPr>
          <w:rFonts w:ascii="Calibri Light" w:eastAsia="Verdana" w:hAnsi="Calibri Light"/>
          <w:i/>
          <w:color w:val="000000"/>
          <w:kern w:val="24"/>
          <w:sz w:val="16"/>
          <w:szCs w:val="16"/>
          <w:lang w:eastAsia="lv-LV"/>
        </w:rPr>
        <w:t>Atbalsts jaunu produktu un tehnoloģiju izstrādei kompetences centru ietvaros</w:t>
      </w:r>
      <w:r w:rsidRPr="005565F8">
        <w:rPr>
          <w:rFonts w:ascii="Calibri Light" w:eastAsia="Verdana" w:hAnsi="Calibri Light"/>
          <w:color w:val="000000"/>
          <w:kern w:val="24"/>
          <w:sz w:val="16"/>
          <w:szCs w:val="16"/>
          <w:lang w:eastAsia="lv-LV"/>
        </w:rPr>
        <w:t xml:space="preserve">”. Pasākuma mērķis ir komersantu konkurētspējas paaugstināšana, veicinot pētniecības un rūpniecības sektoru sadarbību rūpniecisko pētījumu, jaunu produktu un tehnoloģiju attīstības projektu īstenošanā. Kopējais programmā pieejamais ES fondu finansējums līdz 2021.gada nogalei ir 64,3 milj. EUR. Līdz 2023. gada nogalei programmā paredzēts atbalstīt 100 komersantus, kas saņem </w:t>
      </w:r>
      <w:r w:rsidRPr="005565F8">
        <w:rPr>
          <w:rFonts w:ascii="Calibri Light" w:eastAsia="Verdana" w:hAnsi="Calibri Light"/>
          <w:color w:val="000000"/>
          <w:kern w:val="24"/>
          <w:sz w:val="16"/>
          <w:szCs w:val="16"/>
          <w:lang w:eastAsia="lv-LV"/>
        </w:rPr>
        <w:t>grantus</w:t>
      </w:r>
      <w:r w:rsidRPr="005565F8">
        <w:rPr>
          <w:rFonts w:ascii="Calibri Light" w:eastAsia="Verdana" w:hAnsi="Calibri Light"/>
          <w:color w:val="000000"/>
          <w:kern w:val="24"/>
          <w:sz w:val="16"/>
          <w:szCs w:val="16"/>
          <w:lang w:eastAsia="lv-LV"/>
        </w:rPr>
        <w:t xml:space="preserve"> jaunu produktu un tehnoloģiju izstrādei un virzīšanai tirgū, tostarp piesaistot privātā sektora finansējumu P&amp;A vismaz 12,8 milj. EUR apmērā. Uz 2017. gada 31. decembri astoņos kompetences centros kopā uzsākta 146 projektu īstenošana. Līdz 2017. gada 31. decembrim pabeigti 39 pētījumi, kuru rezultātā radītie produkti ieviesti ražošanā vai plānota tuvākajā laikā. Atbalstu saņēmuši 132 uzņēmumi, lai ieviestu jaunus produktus un tehnoloģijas.</w:t>
      </w:r>
    </w:p>
    <w:p w:rsidR="001F61DB" w:rsidRPr="005565F8" w:rsidP="001F61DB" w14:paraId="5BE631E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ind w:left="284" w:hanging="284"/>
        <w:rPr>
          <w:rFonts w:ascii="Calibri Light" w:eastAsia="Verdana" w:hAnsi="Calibri Light"/>
          <w:color w:val="000000"/>
          <w:kern w:val="24"/>
          <w:sz w:val="16"/>
          <w:szCs w:val="16"/>
          <w:lang w:eastAsia="lv-LV"/>
        </w:rPr>
      </w:pPr>
      <w:bookmarkStart w:id="58" w:name="_Hlk509392877"/>
      <w:r w:rsidRPr="005565F8">
        <w:rPr>
          <w:rFonts w:ascii="Calibri Light" w:eastAsia="Verdana" w:hAnsi="Calibri Light"/>
          <w:color w:val="000000"/>
          <w:kern w:val="24"/>
          <w:sz w:val="16"/>
          <w:szCs w:val="16"/>
          <w:lang w:eastAsia="lv-LV"/>
        </w:rPr>
        <w:t xml:space="preserve">2017.gadā uzsākta praktiska </w:t>
      </w:r>
      <w:r w:rsidRPr="005565F8">
        <w:rPr>
          <w:rFonts w:ascii="Calibri Light" w:eastAsia="Verdana" w:hAnsi="Calibri Light"/>
          <w:i/>
          <w:color w:val="000000"/>
          <w:kern w:val="24"/>
          <w:sz w:val="16"/>
          <w:szCs w:val="16"/>
          <w:lang w:eastAsia="lv-LV"/>
        </w:rPr>
        <w:t xml:space="preserve">Tehnoloģiju </w:t>
      </w:r>
      <w:r w:rsidRPr="005565F8">
        <w:rPr>
          <w:rFonts w:ascii="Calibri Light" w:eastAsia="Verdana" w:hAnsi="Calibri Light"/>
          <w:i/>
          <w:color w:val="000000"/>
          <w:kern w:val="24"/>
          <w:sz w:val="16"/>
          <w:szCs w:val="16"/>
          <w:lang w:eastAsia="lv-LV"/>
        </w:rPr>
        <w:t>pārneses</w:t>
      </w:r>
      <w:r w:rsidRPr="005565F8">
        <w:rPr>
          <w:rFonts w:ascii="Calibri Light" w:eastAsia="Verdana" w:hAnsi="Calibri Light"/>
          <w:i/>
          <w:color w:val="000000"/>
          <w:kern w:val="24"/>
          <w:sz w:val="16"/>
          <w:szCs w:val="16"/>
          <w:lang w:eastAsia="lv-LV"/>
        </w:rPr>
        <w:t xml:space="preserve"> programmas īstenošana</w:t>
      </w:r>
      <w:r w:rsidRPr="005565F8">
        <w:rPr>
          <w:rFonts w:ascii="Calibri Light" w:eastAsia="Verdana" w:hAnsi="Calibri Light"/>
          <w:color w:val="000000"/>
          <w:kern w:val="24"/>
          <w:sz w:val="16"/>
          <w:szCs w:val="16"/>
          <w:lang w:eastAsia="lv-LV"/>
        </w:rPr>
        <w:t>. Programmas ietvaros atbalsts pieejams:</w:t>
      </w:r>
    </w:p>
    <w:p w:rsidR="001F61DB" w:rsidRPr="005565F8" w:rsidP="001F61DB" w14:paraId="29152D9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 xml:space="preserve">tehnoloģiju </w:t>
      </w:r>
      <w:r w:rsidRPr="005565F8">
        <w:rPr>
          <w:rFonts w:ascii="Calibri Light" w:eastAsia="Verdana" w:hAnsi="Calibri Light"/>
          <w:b/>
          <w:color w:val="000000"/>
          <w:kern w:val="24"/>
          <w:sz w:val="16"/>
          <w:szCs w:val="16"/>
          <w:lang w:eastAsia="lv-LV"/>
        </w:rPr>
        <w:t>pārneses</w:t>
      </w:r>
      <w:r w:rsidRPr="005565F8">
        <w:rPr>
          <w:rFonts w:ascii="Calibri Light" w:eastAsia="Verdana" w:hAnsi="Calibri Light"/>
          <w:b/>
          <w:color w:val="000000"/>
          <w:kern w:val="24"/>
          <w:sz w:val="16"/>
          <w:szCs w:val="16"/>
          <w:lang w:eastAsia="lv-LV"/>
        </w:rPr>
        <w:t xml:space="preserve"> procesa veicināšanai</w:t>
      </w:r>
      <w:r w:rsidRPr="005565F8">
        <w:rPr>
          <w:rFonts w:ascii="Calibri Light" w:eastAsia="Verdana" w:hAnsi="Calibri Light"/>
          <w:color w:val="000000"/>
          <w:kern w:val="24"/>
          <w:sz w:val="16"/>
          <w:szCs w:val="16"/>
          <w:lang w:eastAsia="lv-LV"/>
        </w:rPr>
        <w:t xml:space="preserve"> un koordinācijai (vienotā tehnoloģiju </w:t>
      </w:r>
      <w:r w:rsidRPr="005565F8">
        <w:rPr>
          <w:rFonts w:ascii="Calibri Light" w:eastAsia="Verdana" w:hAnsi="Calibri Light"/>
          <w:color w:val="000000"/>
          <w:kern w:val="24"/>
          <w:sz w:val="16"/>
          <w:szCs w:val="16"/>
          <w:lang w:eastAsia="lv-LV"/>
        </w:rPr>
        <w:t>pārneses</w:t>
      </w:r>
      <w:r w:rsidRPr="005565F8">
        <w:rPr>
          <w:rFonts w:ascii="Calibri Light" w:eastAsia="Verdana" w:hAnsi="Calibri Light"/>
          <w:color w:val="000000"/>
          <w:kern w:val="24"/>
          <w:sz w:val="16"/>
          <w:szCs w:val="16"/>
          <w:lang w:eastAsia="lv-LV"/>
        </w:rPr>
        <w:t xml:space="preserve"> centra izveide, kā arī atbalsts pētniecības organizāciju pētniecības rezultātu </w:t>
      </w:r>
      <w:r w:rsidRPr="005565F8">
        <w:rPr>
          <w:rFonts w:ascii="Calibri Light" w:eastAsia="Verdana" w:hAnsi="Calibri Light"/>
          <w:color w:val="000000"/>
          <w:kern w:val="24"/>
          <w:sz w:val="16"/>
          <w:szCs w:val="16"/>
          <w:lang w:eastAsia="lv-LV"/>
        </w:rPr>
        <w:t>komercializācijai</w:t>
      </w:r>
      <w:r w:rsidRPr="005565F8">
        <w:rPr>
          <w:rFonts w:ascii="Calibri Light" w:eastAsia="Verdana" w:hAnsi="Calibri Light"/>
          <w:color w:val="000000"/>
          <w:kern w:val="24"/>
          <w:sz w:val="16"/>
          <w:szCs w:val="16"/>
          <w:lang w:eastAsia="lv-LV"/>
        </w:rPr>
        <w:t xml:space="preserve"> un patentēšanai). Tādējādi programma loģiski papildina tās ES fondu programmas, kuru ietvaros tiek sniegts atbalsts pētījumu veikšanai, nodrošinot atbalstu un konsultācijas pētniecības organizāciju pētījumu rezultātu komercializēšanai;</w:t>
      </w:r>
    </w:p>
    <w:p w:rsidR="001F61DB" w:rsidRPr="005565F8" w:rsidP="00870EE9" w14:paraId="2C83601D"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i</w:t>
      </w:r>
      <w:r w:rsidRPr="005565F8">
        <w:rPr>
          <w:rFonts w:ascii="Calibri Light" w:eastAsia="Verdana" w:hAnsi="Calibri Light"/>
          <w:b/>
          <w:color w:val="000000"/>
          <w:kern w:val="24"/>
          <w:sz w:val="16"/>
          <w:szCs w:val="16"/>
          <w:lang w:eastAsia="lv-LV"/>
        </w:rPr>
        <w:t xml:space="preserve">novāciju </w:t>
      </w:r>
      <w:r w:rsidRPr="005565F8">
        <w:rPr>
          <w:rFonts w:ascii="Calibri Light" w:eastAsia="Verdana" w:hAnsi="Calibri Light"/>
          <w:b/>
          <w:color w:val="000000"/>
          <w:kern w:val="24"/>
          <w:sz w:val="16"/>
          <w:szCs w:val="16"/>
          <w:lang w:eastAsia="lv-LV"/>
        </w:rPr>
        <w:t>vaučeriem</w:t>
      </w:r>
      <w:r w:rsidRPr="005565F8">
        <w:rPr>
          <w:rFonts w:ascii="Calibri Light" w:eastAsia="Verdana" w:hAnsi="Calibri Light"/>
          <w:color w:val="000000"/>
          <w:kern w:val="24"/>
          <w:sz w:val="16"/>
          <w:szCs w:val="16"/>
          <w:lang w:eastAsia="lv-LV"/>
        </w:rPr>
        <w:t xml:space="preserve"> (atbalsts komersantiem ārpakalpojumu piesaistei jaunu vai būtiski uzlabotu produktu vai tehnoloģiju attīstībai tehnoloģiju </w:t>
      </w:r>
      <w:r w:rsidRPr="005565F8">
        <w:rPr>
          <w:rFonts w:ascii="Calibri Light" w:eastAsia="Verdana" w:hAnsi="Calibri Light"/>
          <w:color w:val="000000"/>
          <w:kern w:val="24"/>
          <w:sz w:val="16"/>
          <w:szCs w:val="16"/>
          <w:lang w:eastAsia="lv-LV"/>
        </w:rPr>
        <w:t>pārneses</w:t>
      </w:r>
      <w:r w:rsidRPr="005565F8">
        <w:rPr>
          <w:rFonts w:ascii="Calibri Light" w:eastAsia="Verdana" w:hAnsi="Calibri Light"/>
          <w:color w:val="000000"/>
          <w:kern w:val="24"/>
          <w:sz w:val="16"/>
          <w:szCs w:val="16"/>
          <w:lang w:eastAsia="lv-LV"/>
        </w:rPr>
        <w:t xml:space="preserve"> ceļā);</w:t>
      </w:r>
    </w:p>
    <w:p w:rsidR="001F61DB" w:rsidRPr="005565F8" w:rsidP="00870EE9" w14:paraId="470AF2F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augstas kvalifikācijas darbinieku piesaistei</w:t>
      </w:r>
      <w:r w:rsidRPr="005565F8">
        <w:rPr>
          <w:rFonts w:ascii="Calibri Light" w:eastAsia="Verdana" w:hAnsi="Calibri Light"/>
          <w:color w:val="000000"/>
          <w:kern w:val="24"/>
          <w:sz w:val="16"/>
          <w:szCs w:val="16"/>
          <w:lang w:eastAsia="lv-LV"/>
        </w:rPr>
        <w:t xml:space="preserve"> (konkrētu pētniecisku aktivitāšu, tehnoloģisku problēmu risināšanai vai jaunu vai būtiski uzlabotu produktu vai tehnoloģiju izstrādei);</w:t>
      </w:r>
    </w:p>
    <w:p w:rsidR="001F61DB" w:rsidRPr="005565F8" w:rsidP="00870EE9" w14:paraId="0A1854BD"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r>
      <w:r w:rsidRPr="005565F8">
        <w:rPr>
          <w:rFonts w:ascii="Calibri Light" w:eastAsia="Verdana" w:hAnsi="Calibri Light"/>
          <w:b/>
          <w:color w:val="000000"/>
          <w:kern w:val="24"/>
          <w:sz w:val="16"/>
          <w:szCs w:val="16"/>
          <w:lang w:eastAsia="lv-LV"/>
        </w:rPr>
        <w:t>jaunuzņēmumu</w:t>
      </w:r>
      <w:r w:rsidRPr="005565F8">
        <w:rPr>
          <w:rFonts w:ascii="Calibri Light" w:eastAsia="Verdana" w:hAnsi="Calibri Light"/>
          <w:b/>
          <w:color w:val="000000"/>
          <w:kern w:val="24"/>
          <w:sz w:val="16"/>
          <w:szCs w:val="16"/>
          <w:lang w:eastAsia="lv-LV"/>
        </w:rPr>
        <w:t xml:space="preserve"> atbalsta pasākumi</w:t>
      </w:r>
      <w:r w:rsidRPr="005565F8">
        <w:rPr>
          <w:rFonts w:ascii="Calibri Light" w:eastAsia="Verdana" w:hAnsi="Calibri Light"/>
          <w:color w:val="000000"/>
          <w:kern w:val="24"/>
          <w:sz w:val="16"/>
          <w:szCs w:val="16"/>
          <w:lang w:eastAsia="lv-LV"/>
        </w:rPr>
        <w:t xml:space="preserve"> (atbalsts </w:t>
      </w:r>
      <w:r w:rsidRPr="005565F8">
        <w:rPr>
          <w:rFonts w:ascii="Calibri Light" w:eastAsia="Verdana" w:hAnsi="Calibri Light"/>
          <w:color w:val="000000"/>
          <w:kern w:val="24"/>
          <w:sz w:val="16"/>
          <w:szCs w:val="16"/>
          <w:lang w:eastAsia="lv-LV"/>
        </w:rPr>
        <w:t>jaunuzņēmumu</w:t>
      </w:r>
      <w:r w:rsidRPr="005565F8">
        <w:rPr>
          <w:rFonts w:ascii="Calibri Light" w:eastAsia="Verdana" w:hAnsi="Calibri Light"/>
          <w:color w:val="000000"/>
          <w:kern w:val="24"/>
          <w:sz w:val="16"/>
          <w:szCs w:val="16"/>
          <w:lang w:eastAsia="lv-LV"/>
        </w:rPr>
        <w:t xml:space="preserve"> dalībai starptautiskajās izstādēs, </w:t>
      </w:r>
      <w:r w:rsidRPr="005565F8">
        <w:rPr>
          <w:rFonts w:ascii="Calibri Light" w:eastAsia="Verdana" w:hAnsi="Calibri Light"/>
          <w:color w:val="000000"/>
          <w:kern w:val="24"/>
          <w:sz w:val="16"/>
          <w:szCs w:val="16"/>
          <w:lang w:eastAsia="lv-LV"/>
        </w:rPr>
        <w:t>kontaktbiržās</w:t>
      </w:r>
      <w:r w:rsidRPr="005565F8">
        <w:rPr>
          <w:rFonts w:ascii="Calibri Light" w:eastAsia="Verdana" w:hAnsi="Calibri Light"/>
          <w:color w:val="000000"/>
          <w:kern w:val="24"/>
          <w:sz w:val="16"/>
          <w:szCs w:val="16"/>
          <w:lang w:eastAsia="lv-LV"/>
        </w:rPr>
        <w:t xml:space="preserve">, investoru piesaistes aktivitātēs, kā arī </w:t>
      </w:r>
      <w:r w:rsidRPr="005565F8">
        <w:rPr>
          <w:rFonts w:ascii="Calibri Light" w:eastAsia="Verdana" w:hAnsi="Calibri Light"/>
          <w:color w:val="000000"/>
          <w:kern w:val="24"/>
          <w:sz w:val="16"/>
          <w:szCs w:val="16"/>
          <w:lang w:eastAsia="lv-LV"/>
        </w:rPr>
        <w:t>jaunuzņēmumu</w:t>
      </w:r>
      <w:r w:rsidRPr="005565F8">
        <w:rPr>
          <w:rFonts w:ascii="Calibri Light" w:eastAsia="Verdana" w:hAnsi="Calibri Light"/>
          <w:color w:val="000000"/>
          <w:kern w:val="24"/>
          <w:sz w:val="16"/>
          <w:szCs w:val="16"/>
          <w:lang w:eastAsia="lv-LV"/>
        </w:rPr>
        <w:t xml:space="preserve"> pārstāvniecības atvēršanai ASV, Silīcija ielejā).</w:t>
      </w:r>
    </w:p>
    <w:p w:rsidR="001F61DB" w:rsidRPr="005565F8" w:rsidP="001F61DB" w14:paraId="62778A0F"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Kopējais </w:t>
      </w:r>
      <w:r w:rsidRPr="005565F8">
        <w:rPr>
          <w:rFonts w:ascii="Calibri Light" w:eastAsia="Verdana" w:hAnsi="Calibri Light"/>
          <w:i/>
          <w:color w:val="000000"/>
          <w:kern w:val="24"/>
          <w:sz w:val="16"/>
          <w:szCs w:val="16"/>
          <w:lang w:eastAsia="lv-LV"/>
        </w:rPr>
        <w:t xml:space="preserve">Tehnoloģiju </w:t>
      </w:r>
      <w:r w:rsidRPr="005565F8">
        <w:rPr>
          <w:rFonts w:ascii="Calibri Light" w:eastAsia="Verdana" w:hAnsi="Calibri Light"/>
          <w:i/>
          <w:color w:val="000000"/>
          <w:kern w:val="24"/>
          <w:sz w:val="16"/>
          <w:szCs w:val="16"/>
          <w:lang w:eastAsia="lv-LV"/>
        </w:rPr>
        <w:t>pārneses</w:t>
      </w:r>
      <w:r w:rsidRPr="005565F8">
        <w:rPr>
          <w:rFonts w:ascii="Calibri Light" w:eastAsia="Verdana" w:hAnsi="Calibri Light"/>
          <w:i/>
          <w:color w:val="000000"/>
          <w:kern w:val="24"/>
          <w:sz w:val="16"/>
          <w:szCs w:val="16"/>
          <w:lang w:eastAsia="lv-LV"/>
        </w:rPr>
        <w:t xml:space="preserve"> programmā</w:t>
      </w:r>
      <w:r w:rsidRPr="005565F8">
        <w:rPr>
          <w:rFonts w:ascii="Calibri Light" w:eastAsia="Verdana" w:hAnsi="Calibri Light"/>
          <w:color w:val="000000"/>
          <w:kern w:val="24"/>
          <w:sz w:val="16"/>
          <w:szCs w:val="16"/>
          <w:lang w:eastAsia="lv-LV"/>
        </w:rPr>
        <w:t xml:space="preserve"> pieejamais ES fondu finansējums paredzēts 40,6 milj. EUR. </w:t>
      </w:r>
      <w:r w:rsidRPr="005565F8">
        <w:rPr>
          <w:rFonts w:ascii="Calibri Light" w:eastAsia="Verdana" w:hAnsi="Calibri Light"/>
          <w:i/>
          <w:color w:val="000000"/>
          <w:kern w:val="24"/>
          <w:sz w:val="16"/>
          <w:szCs w:val="16"/>
          <w:lang w:eastAsia="lv-LV"/>
        </w:rPr>
        <w:t xml:space="preserve">Tehnoloģiju </w:t>
      </w:r>
      <w:r w:rsidRPr="005565F8">
        <w:rPr>
          <w:rFonts w:ascii="Calibri Light" w:eastAsia="Verdana" w:hAnsi="Calibri Light"/>
          <w:i/>
          <w:color w:val="000000"/>
          <w:kern w:val="24"/>
          <w:sz w:val="16"/>
          <w:szCs w:val="16"/>
          <w:lang w:eastAsia="lv-LV"/>
        </w:rPr>
        <w:t>pārneses</w:t>
      </w:r>
      <w:r w:rsidRPr="005565F8">
        <w:rPr>
          <w:rFonts w:ascii="Calibri Light" w:eastAsia="Verdana" w:hAnsi="Calibri Light"/>
          <w:i/>
          <w:color w:val="000000"/>
          <w:kern w:val="24"/>
          <w:sz w:val="16"/>
          <w:szCs w:val="16"/>
          <w:lang w:eastAsia="lv-LV"/>
        </w:rPr>
        <w:t xml:space="preserve"> programmas</w:t>
      </w:r>
      <w:r w:rsidRPr="005565F8">
        <w:rPr>
          <w:rFonts w:ascii="Calibri Light" w:eastAsia="Verdana" w:hAnsi="Calibri Light"/>
          <w:color w:val="000000"/>
          <w:kern w:val="24"/>
          <w:sz w:val="16"/>
          <w:szCs w:val="16"/>
          <w:lang w:eastAsia="lv-LV"/>
        </w:rPr>
        <w:t xml:space="preserve"> ietvaros līdz 2017.gada nogalei apstiprināti </w:t>
      </w:r>
      <w:r w:rsidRPr="005565F8" w:rsidR="00C44559">
        <w:rPr>
          <w:rFonts w:ascii="Calibri Light" w:eastAsia="Verdana" w:hAnsi="Calibri Light"/>
          <w:color w:val="000000"/>
          <w:kern w:val="24"/>
          <w:sz w:val="16"/>
          <w:szCs w:val="16"/>
          <w:lang w:eastAsia="lv-LV"/>
        </w:rPr>
        <w:t>4</w:t>
      </w:r>
      <w:r w:rsidRPr="005565F8">
        <w:rPr>
          <w:rFonts w:ascii="Calibri Light" w:eastAsia="Verdana" w:hAnsi="Calibri Light"/>
          <w:color w:val="000000"/>
          <w:kern w:val="24"/>
          <w:sz w:val="16"/>
          <w:szCs w:val="16"/>
          <w:lang w:eastAsia="lv-LV"/>
        </w:rPr>
        <w:t>0</w:t>
      </w:r>
      <w:r w:rsidRPr="005565F8" w:rsidR="00387A78">
        <w:rPr>
          <w:rFonts w:ascii="Calibri Light" w:eastAsia="Verdana" w:hAnsi="Calibri Light"/>
          <w:color w:val="000000"/>
          <w:kern w:val="24"/>
          <w:sz w:val="16"/>
          <w:szCs w:val="16"/>
          <w:lang w:eastAsia="lv-LV"/>
        </w:rPr>
        <w:t xml:space="preserve"> </w:t>
      </w:r>
      <w:r w:rsidRPr="005565F8">
        <w:rPr>
          <w:rFonts w:ascii="Calibri Light" w:eastAsia="Verdana" w:hAnsi="Calibri Light"/>
          <w:color w:val="000000"/>
          <w:kern w:val="24"/>
          <w:sz w:val="16"/>
          <w:szCs w:val="16"/>
          <w:lang w:eastAsia="lv-LV"/>
        </w:rPr>
        <w:t xml:space="preserve">zinātnisko ideju </w:t>
      </w:r>
      <w:r w:rsidRPr="005565F8">
        <w:rPr>
          <w:rFonts w:ascii="Calibri Light" w:eastAsia="Verdana" w:hAnsi="Calibri Light"/>
          <w:color w:val="000000"/>
          <w:kern w:val="24"/>
          <w:sz w:val="16"/>
          <w:szCs w:val="16"/>
          <w:lang w:eastAsia="lv-LV"/>
        </w:rPr>
        <w:t>komercializācijas</w:t>
      </w:r>
      <w:r w:rsidRPr="005565F8">
        <w:rPr>
          <w:rFonts w:ascii="Calibri Light" w:eastAsia="Verdana" w:hAnsi="Calibri Light"/>
          <w:color w:val="000000"/>
          <w:kern w:val="24"/>
          <w:sz w:val="16"/>
          <w:szCs w:val="16"/>
          <w:lang w:eastAsia="lv-LV"/>
        </w:rPr>
        <w:t xml:space="preserve"> projekti tehniski ekonomiskās </w:t>
      </w:r>
      <w:r w:rsidRPr="005565F8">
        <w:rPr>
          <w:rFonts w:ascii="Calibri Light" w:eastAsia="Verdana" w:hAnsi="Calibri Light"/>
          <w:color w:val="000000"/>
          <w:kern w:val="24"/>
          <w:sz w:val="16"/>
          <w:szCs w:val="16"/>
          <w:lang w:eastAsia="lv-LV"/>
        </w:rPr>
        <w:t>priekšizpētes</w:t>
      </w:r>
      <w:r w:rsidRPr="005565F8">
        <w:rPr>
          <w:rFonts w:ascii="Calibri Light" w:eastAsia="Verdana" w:hAnsi="Calibri Light"/>
          <w:color w:val="000000"/>
          <w:kern w:val="24"/>
          <w:sz w:val="16"/>
          <w:szCs w:val="16"/>
          <w:lang w:eastAsia="lv-LV"/>
        </w:rPr>
        <w:t xml:space="preserve"> un </w:t>
      </w:r>
      <w:r w:rsidRPr="005565F8">
        <w:rPr>
          <w:rFonts w:ascii="Calibri Light" w:eastAsia="Verdana" w:hAnsi="Calibri Light"/>
          <w:color w:val="000000"/>
          <w:kern w:val="24"/>
          <w:sz w:val="16"/>
          <w:szCs w:val="16"/>
          <w:lang w:eastAsia="lv-LV"/>
        </w:rPr>
        <w:t>komercializācijas</w:t>
      </w:r>
      <w:r w:rsidRPr="005565F8">
        <w:rPr>
          <w:rFonts w:ascii="Calibri Light" w:eastAsia="Verdana" w:hAnsi="Calibri Light"/>
          <w:color w:val="000000"/>
          <w:kern w:val="24"/>
          <w:sz w:val="16"/>
          <w:szCs w:val="16"/>
          <w:lang w:eastAsia="lv-LV"/>
        </w:rPr>
        <w:t xml:space="preserve"> stratēģijas izstrādei un apstiprināti </w:t>
      </w:r>
      <w:r w:rsidRPr="005565F8" w:rsidR="00ED4C41">
        <w:rPr>
          <w:rFonts w:ascii="Calibri Light" w:eastAsia="Verdana" w:hAnsi="Calibri Light"/>
          <w:color w:val="000000"/>
          <w:kern w:val="24"/>
          <w:sz w:val="16"/>
          <w:szCs w:val="16"/>
          <w:lang w:eastAsia="lv-LV"/>
        </w:rPr>
        <w:t>10</w:t>
      </w:r>
      <w:r w:rsidRPr="005565F8" w:rsidR="00387A78">
        <w:rPr>
          <w:rFonts w:ascii="Calibri Light" w:eastAsia="Verdana" w:hAnsi="Calibri Light"/>
          <w:color w:val="000000"/>
          <w:kern w:val="24"/>
          <w:sz w:val="16"/>
          <w:szCs w:val="16"/>
          <w:lang w:eastAsia="lv-LV"/>
        </w:rPr>
        <w:t xml:space="preserve"> </w:t>
      </w:r>
      <w:r w:rsidRPr="005565F8">
        <w:rPr>
          <w:rFonts w:ascii="Calibri Light" w:eastAsia="Verdana" w:hAnsi="Calibri Light"/>
          <w:color w:val="000000"/>
          <w:kern w:val="24"/>
          <w:sz w:val="16"/>
          <w:szCs w:val="16"/>
          <w:lang w:eastAsia="lv-LV"/>
        </w:rPr>
        <w:t xml:space="preserve">komersantu pieteikumi par inovācijas </w:t>
      </w:r>
      <w:r w:rsidRPr="005565F8">
        <w:rPr>
          <w:rFonts w:ascii="Calibri Light" w:eastAsia="Verdana" w:hAnsi="Calibri Light"/>
          <w:color w:val="000000"/>
          <w:kern w:val="24"/>
          <w:sz w:val="16"/>
          <w:szCs w:val="16"/>
          <w:lang w:eastAsia="lv-LV"/>
        </w:rPr>
        <w:t>vaučeru</w:t>
      </w:r>
      <w:r w:rsidRPr="005565F8">
        <w:rPr>
          <w:rFonts w:ascii="Calibri Light" w:eastAsia="Verdana" w:hAnsi="Calibri Light"/>
          <w:color w:val="000000"/>
          <w:kern w:val="24"/>
          <w:sz w:val="16"/>
          <w:szCs w:val="16"/>
          <w:lang w:eastAsia="lv-LV"/>
        </w:rPr>
        <w:t xml:space="preserve"> atbalsta piešķiršanu. Programmas ietvaros </w:t>
      </w:r>
      <w:r w:rsidRPr="005565F8">
        <w:rPr>
          <w:rFonts w:ascii="Calibri Light" w:eastAsia="Verdana" w:hAnsi="Calibri Light"/>
          <w:i/>
          <w:color w:val="000000"/>
          <w:kern w:val="24"/>
          <w:sz w:val="16"/>
          <w:szCs w:val="16"/>
          <w:lang w:eastAsia="lv-LV"/>
        </w:rPr>
        <w:t>pitch</w:t>
      </w:r>
      <w:r w:rsidRPr="005565F8">
        <w:rPr>
          <w:rFonts w:ascii="Calibri Light" w:eastAsia="Verdana" w:hAnsi="Calibri Light"/>
          <w:color w:val="000000"/>
          <w:kern w:val="24"/>
          <w:sz w:val="16"/>
          <w:szCs w:val="16"/>
          <w:lang w:eastAsia="lv-LV"/>
        </w:rPr>
        <w:t xml:space="preserve"> sesijās prezentētas 85 komercializējamu projektu idejas.</w:t>
      </w:r>
    </w:p>
    <w:p w:rsidR="001F61DB" w:rsidRPr="005565F8" w:rsidP="00E776A7" w14:paraId="1EF85285"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4"/>
          <w:szCs w:val="16"/>
          <w:lang w:eastAsia="lv-LV"/>
        </w:rPr>
      </w:pPr>
      <w:bookmarkEnd w:id="58"/>
    </w:p>
    <w:p w:rsidR="001F61DB" w:rsidRPr="005565F8" w:rsidP="00D26935" w14:paraId="37826F77" w14:textId="77777777">
      <w:pPr>
        <w:pStyle w:val="ListParagraph"/>
        <w:ind w:left="0"/>
        <w:contextualSpacing w:val="0"/>
      </w:pPr>
    </w:p>
    <w:p w:rsidR="001F61DB" w:rsidRPr="005565F8" w:rsidP="001F61DB" w14:paraId="21FAF615"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ZTAI nozares efektīva pārvaldība</w:t>
      </w:r>
    </w:p>
    <w:p w:rsidR="001F61DB" w:rsidRPr="005565F8" w:rsidP="001F61DB" w14:paraId="33BF52E7"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1F61DB" w:rsidRPr="005565F8" w:rsidP="00B22046" w14:paraId="4DDC4880"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D26935" w:rsidRPr="005565F8" w:rsidP="006A6DD0" w14:paraId="16D63583" w14:textId="77777777">
      <w:pPr>
        <w:pStyle w:val="ListParagraph"/>
        <w:spacing w:before="240"/>
        <w:ind w:left="0"/>
        <w:contextualSpacing w:val="0"/>
      </w:pPr>
      <w:r w:rsidRPr="005565F8">
        <w:t xml:space="preserve">Šī politikas virziena galvenie uzdevumi ir: </w:t>
      </w:r>
    </w:p>
    <w:p w:rsidR="00D26935" w:rsidRPr="005565F8" w:rsidP="00735883" w14:paraId="32CFA25B" w14:textId="77777777">
      <w:pPr>
        <w:pStyle w:val="ListParagraph"/>
        <w:numPr>
          <w:ilvl w:val="0"/>
          <w:numId w:val="30"/>
        </w:numPr>
        <w:spacing w:after="60"/>
        <w:ind w:left="284" w:hanging="284"/>
        <w:contextualSpacing w:val="0"/>
        <w:jc w:val="both"/>
      </w:pPr>
      <w:r w:rsidRPr="005565F8">
        <w:t>palielināt P&amp;A ieguldījumu efektivitāti</w:t>
      </w:r>
      <w:r w:rsidRPr="005565F8" w:rsidR="00D41B35">
        <w:t>;</w:t>
      </w:r>
      <w:r w:rsidRPr="005565F8">
        <w:t xml:space="preserve"> </w:t>
      </w:r>
    </w:p>
    <w:p w:rsidR="00D26935" w:rsidRPr="005565F8" w:rsidP="00735883" w14:paraId="629446A3" w14:textId="77777777">
      <w:pPr>
        <w:pStyle w:val="ListParagraph"/>
        <w:numPr>
          <w:ilvl w:val="0"/>
          <w:numId w:val="30"/>
        </w:numPr>
        <w:spacing w:after="60"/>
        <w:ind w:left="284" w:hanging="284"/>
        <w:contextualSpacing w:val="0"/>
      </w:pPr>
      <w:r w:rsidRPr="005565F8">
        <w:t>nodrošināt valsts budžeta finansējuma palielināšanu zinātnes, tehnoloģiju un inovāciju nozarei un piešķirt zinātnes bāzes finansējumu atbilstoši šiem uzstādījumiem</w:t>
      </w:r>
      <w:r w:rsidRPr="005565F8" w:rsidR="00D41B35">
        <w:t>;</w:t>
      </w:r>
      <w:r w:rsidRPr="005565F8">
        <w:t xml:space="preserve"> </w:t>
      </w:r>
    </w:p>
    <w:p w:rsidR="00D26935" w:rsidRPr="005565F8" w:rsidP="00735883" w14:paraId="6D66C34A" w14:textId="77777777">
      <w:pPr>
        <w:pStyle w:val="ListParagraph"/>
        <w:numPr>
          <w:ilvl w:val="0"/>
          <w:numId w:val="30"/>
        </w:numPr>
        <w:spacing w:after="60"/>
        <w:ind w:left="284" w:hanging="284"/>
        <w:contextualSpacing w:val="0"/>
        <w:jc w:val="both"/>
      </w:pPr>
      <w:r w:rsidRPr="005565F8">
        <w:t>ieviest politikas ieviešanas monitoringa un ietekmes novērtēšanas sistēmu.</w:t>
      </w:r>
    </w:p>
    <w:p w:rsidR="005B24E0" w:rsidRPr="005565F8" w:rsidP="006A6DD0" w14:paraId="1A5ED330" w14:textId="77777777">
      <w:pPr>
        <w:pStyle w:val="ListParagraph"/>
        <w:ind w:left="0" w:firstLine="567"/>
        <w:contextualSpacing w:val="0"/>
      </w:pPr>
    </w:p>
    <w:p w:rsidR="00D26935" w:rsidRPr="005565F8" w:rsidP="005B24E0" w14:paraId="42D8A218" w14:textId="77777777">
      <w:pPr>
        <w:pStyle w:val="ListParagraph"/>
        <w:ind w:left="0"/>
        <w:contextualSpacing w:val="0"/>
      </w:pPr>
      <w:r w:rsidRPr="005565F8">
        <w:t xml:space="preserve">2017. gadā izstrādāts pirmais </w:t>
      </w:r>
      <w:r w:rsidRPr="005565F8">
        <w:rPr>
          <w:i/>
        </w:rPr>
        <w:t>RIS3</w:t>
      </w:r>
      <w:r w:rsidRPr="005565F8" w:rsidR="00D41B35">
        <w:rPr>
          <w:i/>
        </w:rPr>
        <w:t xml:space="preserve"> stratēģijas</w:t>
      </w:r>
      <w:r w:rsidRPr="005565F8">
        <w:rPr>
          <w:i/>
        </w:rPr>
        <w:t xml:space="preserve"> monitoringa ziņojums</w:t>
      </w:r>
      <w:r w:rsidRPr="005565F8" w:rsidR="00D41B35">
        <w:t xml:space="preserve">, </w:t>
      </w:r>
      <w:r w:rsidRPr="005565F8" w:rsidR="000D7DF6">
        <w:t>kurā secināts</w:t>
      </w:r>
      <w:r w:rsidRPr="005565F8" w:rsidR="00D41B35">
        <w:t>, ka</w:t>
      </w:r>
      <w:r w:rsidRPr="005565F8">
        <w:t xml:space="preserve"> no 2014. gada līdz 2017. gadam ir paveikts nozīmīgs dar</w:t>
      </w:r>
      <w:r w:rsidRPr="005565F8" w:rsidR="00A9650C">
        <w:t xml:space="preserve">bs RIS3 </w:t>
      </w:r>
      <w:r w:rsidRPr="005565F8" w:rsidR="00A9650C">
        <w:t>ekosistēmas pilnveidē</w:t>
      </w:r>
      <w:r w:rsidRPr="005565F8" w:rsidR="00B276A1">
        <w:t xml:space="preserve">. </w:t>
      </w:r>
      <w:r w:rsidRPr="005565F8" w:rsidR="00140AA2">
        <w:t>Ī</w:t>
      </w:r>
      <w:r w:rsidRPr="005565F8" w:rsidR="00B276A1">
        <w:t>stenotas strukturālās reformas</w:t>
      </w:r>
      <w:r w:rsidRPr="005565F8" w:rsidR="00140AA2">
        <w:t xml:space="preserve"> </w:t>
      </w:r>
      <w:r w:rsidRPr="005565F8" w:rsidR="00BA6C98">
        <w:t>–</w:t>
      </w:r>
      <w:r w:rsidRPr="005565F8" w:rsidR="00A9650C">
        <w:t xml:space="preserve"> ir notikusi zinātnisko institūtu konsolidācija no 40 uz 22, ir mainīti zinātnes bāzes finansējuma piešķiršanas nosacījumi, finansējot tikai starptautiski konkurētspējīgas zinātniskās institūcijas un ieviešot finansējuma formulu, kas stimulē pētniecības kvalitāti un ārējā finansējuma piesaisti, ir</w:t>
      </w:r>
      <w:r w:rsidRPr="005565F8" w:rsidR="00140AA2">
        <w:t xml:space="preserve"> </w:t>
      </w:r>
      <w:r w:rsidRPr="005565F8" w:rsidR="00B276A1">
        <w:t xml:space="preserve">izstrādāti ieviešanas nosacījumi ES fondu un valsts </w:t>
      </w:r>
      <w:r w:rsidRPr="005565F8">
        <w:t>budžeta ieguldījumie</w:t>
      </w:r>
      <w:r w:rsidRPr="005565F8" w:rsidR="00DC03A4">
        <w:t>m zinātnē un inovācijās</w:t>
      </w:r>
      <w:r w:rsidRPr="005565F8">
        <w:t>. Vienlaikus secināts, ka galvenais zināšanu un tehnoloģiju ietilpību raksturojošais rādītājs – ieguldījumi P&amp;A – nav pieaudzis, tostarp valsts budžeta investīciju apmērs nav ticis nodrošināts saskaņā ar plānoto</w:t>
      </w:r>
      <w:r w:rsidRPr="005565F8" w:rsidR="00D41B35">
        <w:t>.</w:t>
      </w:r>
    </w:p>
    <w:p w:rsidR="001F61DB" w:rsidRPr="005565F8" w:rsidP="006A6DD0" w14:paraId="0BCF3B67" w14:textId="77777777">
      <w:pPr>
        <w:sectPr w:rsidSect="003D0310">
          <w:type w:val="continuous"/>
          <w:pgSz w:w="11906" w:h="16838" w:code="9"/>
          <w:pgMar w:top="1134" w:right="1134" w:bottom="1134" w:left="1134" w:header="709" w:footer="709" w:gutter="0"/>
          <w:cols w:num="2" w:space="340"/>
          <w:titlePg/>
          <w:docGrid w:linePitch="360"/>
        </w:sectPr>
      </w:pPr>
    </w:p>
    <w:p w:rsidR="006A6DD0" w:rsidRPr="005565F8" w:rsidP="006A6DD0" w14:paraId="2826993D" w14:textId="77777777"/>
    <w:p w:rsidR="006A6DD0" w:rsidRPr="005565F8" w:rsidP="006A6DD0" w14:paraId="6BD18330" w14:textId="7F1C526E">
      <w:pPr>
        <w:pBdr>
          <w:left w:val="single" w:sz="24" w:space="4" w:color="228B9D"/>
        </w:pBdr>
        <w:spacing w:before="120"/>
        <w:rPr>
          <w:rFonts w:ascii="Calibri Light" w:hAnsi="Calibri Light"/>
          <w:b/>
          <w:color w:val="228B9D"/>
          <w:sz w:val="24"/>
        </w:rPr>
      </w:pPr>
      <w:r>
        <w:rPr>
          <w:rFonts w:ascii="Calibri Light" w:hAnsi="Calibri Light"/>
          <w:b/>
          <w:color w:val="228B9D"/>
          <w:sz w:val="24"/>
        </w:rPr>
        <w:br w:type="column"/>
      </w:r>
      <w:r w:rsidRPr="005565F8">
        <w:rPr>
          <w:rFonts w:ascii="Calibri Light" w:hAnsi="Calibri Light"/>
          <w:b/>
          <w:color w:val="228B9D"/>
          <w:sz w:val="24"/>
        </w:rPr>
        <w:t>Atbalsts inovatīvu komersantu attīstībai</w:t>
      </w:r>
    </w:p>
    <w:p w:rsidR="006A6DD0" w:rsidRPr="005565F8" w:rsidP="006A6DD0" w14:paraId="5FA2B3F5"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 xml:space="preserve">/atbildīgā institūcija – </w:t>
      </w:r>
      <w:r w:rsidRPr="005565F8" w:rsidR="00D41B35">
        <w:rPr>
          <w:rFonts w:eastAsia="+mn-ea"/>
          <w:color w:val="595959" w:themeColor="text1" w:themeTint="A6"/>
          <w:sz w:val="16"/>
        </w:rPr>
        <w:t>EM</w:t>
      </w:r>
      <w:r w:rsidRPr="005565F8">
        <w:rPr>
          <w:rFonts w:eastAsia="+mn-ea"/>
          <w:color w:val="595959" w:themeColor="text1" w:themeTint="A6"/>
          <w:sz w:val="16"/>
        </w:rPr>
        <w:t>, FM/</w:t>
      </w:r>
    </w:p>
    <w:p w:rsidR="001F61DB" w:rsidRPr="005565F8" w:rsidP="00B22046" w14:paraId="7FDEB104"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D26935" w:rsidRPr="005565F8" w:rsidP="006A6DD0" w14:paraId="1D39DFB1" w14:textId="77777777">
      <w:pPr>
        <w:spacing w:before="240"/>
      </w:pPr>
      <w:r w:rsidRPr="005565F8">
        <w:t>Politikas virziena uzdevuma īstenošanai plānots izmantot ES fondu 2014</w:t>
      </w:r>
      <w:r w:rsidRPr="005565F8" w:rsidR="00BB626C">
        <w:t>.</w:t>
      </w:r>
      <w:r w:rsidRPr="005565F8">
        <w:t>-2020</w:t>
      </w:r>
      <w:r w:rsidRPr="005565F8" w:rsidR="00BB626C">
        <w:t>.g.</w:t>
      </w:r>
      <w:r w:rsidRPr="005565F8">
        <w:t xml:space="preserve">  specifiskā atbalsta mērķu </w:t>
      </w:r>
      <w:r w:rsidRPr="005565F8">
        <w:rPr>
          <w:i/>
        </w:rPr>
        <w:t>„Palielināt privātā sektora investīcijas P&amp;A”</w:t>
      </w:r>
      <w:r w:rsidRPr="005565F8">
        <w:t xml:space="preserve"> un </w:t>
      </w:r>
      <w:r w:rsidRPr="005565F8">
        <w:rPr>
          <w:i/>
        </w:rPr>
        <w:t>“Veicināt inovāciju ieviešanu komersantos”</w:t>
      </w:r>
      <w:r w:rsidRPr="005565F8">
        <w:t xml:space="preserve"> pasākumu finansējumu.</w:t>
      </w:r>
    </w:p>
    <w:p w:rsidR="00D26935" w:rsidRPr="005565F8" w:rsidP="005B24E0" w14:paraId="504738E1" w14:textId="77777777">
      <w:pPr>
        <w:spacing w:before="120"/>
      </w:pPr>
      <w:r w:rsidRPr="005565F8">
        <w:rPr>
          <w:b/>
        </w:rPr>
        <w:t>Inovatīvu komersantu attīstībai 2014.-2020.gada ES fondu periodā tiek īstenoti pasākumi</w:t>
      </w:r>
      <w:r w:rsidRPr="005565F8">
        <w:t>:</w:t>
      </w:r>
    </w:p>
    <w:p w:rsidR="00D26935" w:rsidRPr="005565F8" w:rsidP="00735883" w14:paraId="575DF6B0" w14:textId="77777777">
      <w:pPr>
        <w:pStyle w:val="ListParagraph"/>
        <w:numPr>
          <w:ilvl w:val="0"/>
          <w:numId w:val="19"/>
        </w:numPr>
        <w:spacing w:after="60"/>
        <w:ind w:left="284" w:hanging="284"/>
        <w:contextualSpacing w:val="0"/>
      </w:pPr>
      <w:r w:rsidRPr="005565F8">
        <w:rPr>
          <w:i/>
        </w:rPr>
        <w:t>a</w:t>
      </w:r>
      <w:r w:rsidRPr="005565F8">
        <w:rPr>
          <w:i/>
        </w:rPr>
        <w:t>tbalsts jaunu produktu ieviešanai ražošanā</w:t>
      </w:r>
      <w:r w:rsidRPr="005565F8">
        <w:rPr>
          <w:i/>
        </w:rPr>
        <w:t xml:space="preserve"> –</w:t>
      </w:r>
      <w:r w:rsidRPr="005565F8">
        <w:t xml:space="preserve">mērķis ir veicināt komersantu produktivitātes un konkurētspējas paaugstināšanu, izstrādājot un ieviešot ražošanā jaunus produktus un tehnoloģijas, kā arī palielinot privātā sektora ieguldījumus </w:t>
      </w:r>
      <w:r w:rsidRPr="005565F8">
        <w:t>P&amp;A</w:t>
      </w:r>
      <w:r w:rsidRPr="005565F8">
        <w:t xml:space="preserve"> un inovācijās. Atbalsts tiks piešķirts eksperimentālu tehnoloģiju izgatavošanai vai iegādei, kā arī uzstādīšanai un testēšanai reālā ražošanas vidē. Kopējais pieejamais finansējums ir 60 milj. EUR. Projektu iesniegumu atlases pirmās kārtas ietvaros apstiprināti 17 projekti par ERAF finansējumu 25,80 milj. EUR. </w:t>
      </w:r>
      <w:r w:rsidRPr="005565F8">
        <w:t>N</w:t>
      </w:r>
      <w:r w:rsidRPr="005565F8">
        <w:t xml:space="preserve">o </w:t>
      </w:r>
      <w:r w:rsidRPr="005565F8">
        <w:t xml:space="preserve">2017.gada 21.novembra līdz 2018.gada </w:t>
      </w:r>
      <w:r w:rsidRPr="005565F8" w:rsidR="003E4F71">
        <w:t>12</w:t>
      </w:r>
      <w:r w:rsidRPr="005565F8">
        <w:t>.</w:t>
      </w:r>
      <w:r w:rsidRPr="005565F8" w:rsidR="003E4F71">
        <w:t>aprīlim</w:t>
      </w:r>
      <w:r w:rsidRPr="005565F8">
        <w:t xml:space="preserve"> </w:t>
      </w:r>
      <w:r w:rsidRPr="005565F8">
        <w:t>izsludināta otrā projektu iesniegumu atlases kārta par kopējo finansējumu 34,2 milj. EUR;</w:t>
      </w:r>
    </w:p>
    <w:p w:rsidR="00D26935" w:rsidRPr="005565F8" w:rsidP="00735883" w14:paraId="4ACDADCE" w14:textId="77777777">
      <w:pPr>
        <w:pStyle w:val="ListParagraph"/>
        <w:numPr>
          <w:ilvl w:val="0"/>
          <w:numId w:val="19"/>
        </w:numPr>
        <w:spacing w:after="60"/>
        <w:ind w:left="284" w:hanging="284"/>
        <w:contextualSpacing w:val="0"/>
        <w:rPr>
          <w:i/>
        </w:rPr>
      </w:pPr>
      <w:r w:rsidRPr="005565F8">
        <w:rPr>
          <w:i/>
        </w:rPr>
        <w:t>Inovāciju motivācijas programma</w:t>
      </w:r>
      <w:r w:rsidRPr="005565F8" w:rsidR="00BA5341">
        <w:rPr>
          <w:i/>
        </w:rPr>
        <w:t xml:space="preserve"> – </w:t>
      </w:r>
      <w:r w:rsidRPr="005565F8">
        <w:t>mērķis ir informēt un iedrošināt (</w:t>
      </w:r>
      <w:r w:rsidRPr="005565F8" w:rsidR="00BA5341">
        <w:t>t.sk.</w:t>
      </w:r>
      <w:r w:rsidRPr="005565F8">
        <w:t xml:space="preserve"> piešķirot godalgas) pēc iespējas plašāku sabiedrības daļu uzsākt uzņēmējdarbību un inovāciju ieviešanu. Kopējais programmā pieejamais finansējums ir 5,7 milj. EUR. Programmas ietvaros 2017.gadā īstenota virkne pasākumu </w:t>
      </w:r>
      <w:r w:rsidRPr="005565F8">
        <w:rPr>
          <w:bCs/>
        </w:rPr>
        <w:t>inovatīvas uzņēmējdarbības uzsācēju un esošo inovatīvo uzņēmumu motivācijai, kā arī īstenotas programmas, kas vērstas uz uzņēmējdarbības un inovāciju attīstību</w:t>
      </w:r>
      <w:r w:rsidRPr="005565F8">
        <w:t>;</w:t>
      </w:r>
    </w:p>
    <w:p w:rsidR="003C750E" w:rsidRPr="005565F8" w:rsidP="00735883" w14:paraId="4F9198F1" w14:textId="77777777">
      <w:pPr>
        <w:pStyle w:val="ListParagraph"/>
        <w:numPr>
          <w:ilvl w:val="0"/>
          <w:numId w:val="19"/>
        </w:numPr>
        <w:spacing w:after="60"/>
        <w:ind w:left="284" w:hanging="284"/>
        <w:contextualSpacing w:val="0"/>
      </w:pPr>
      <w:r w:rsidRPr="005565F8">
        <w:t>p</w:t>
      </w:r>
      <w:r w:rsidRPr="005565F8" w:rsidR="00D26935">
        <w:t xml:space="preserve">apildus, lai veicinātu inovatīvu komersantu attīstību ir izstrādāti atbalsta pasākumi nodarbināto apmācībām </w:t>
      </w:r>
      <w:r w:rsidRPr="005565F8" w:rsidR="00D26935">
        <w:rPr>
          <w:i/>
        </w:rPr>
        <w:t>(skat. 3.4.5.nodaļ</w:t>
      </w:r>
      <w:r w:rsidRPr="005565F8" w:rsidR="00DA5153">
        <w:rPr>
          <w:i/>
        </w:rPr>
        <w:t>u</w:t>
      </w:r>
      <w:r w:rsidRPr="005565F8" w:rsidR="00D26935">
        <w:rPr>
          <w:i/>
        </w:rPr>
        <w:t>)</w:t>
      </w:r>
      <w:r w:rsidRPr="005565F8">
        <w:t>;</w:t>
      </w:r>
    </w:p>
    <w:p w:rsidR="003C750E" w:rsidRPr="005565F8" w:rsidP="00735883" w14:paraId="1FA53EFA" w14:textId="77777777">
      <w:pPr>
        <w:pStyle w:val="ListParagraph"/>
        <w:numPr>
          <w:ilvl w:val="0"/>
          <w:numId w:val="19"/>
        </w:numPr>
        <w:spacing w:after="60"/>
        <w:ind w:left="284" w:hanging="284"/>
        <w:contextualSpacing w:val="0"/>
      </w:pPr>
      <w:r w:rsidRPr="005565F8">
        <w:t>2017.gadā noslēdzās Norvēģijas finanšu instrumenta programmas “</w:t>
      </w:r>
      <w:r w:rsidRPr="005565F8">
        <w:rPr>
          <w:i/>
        </w:rPr>
        <w:t>Inovācijas “zaļās” ražošanas jomā</w:t>
      </w:r>
      <w:r w:rsidRPr="005565F8">
        <w:t xml:space="preserve">” īstenošana. Kopumā programmas ietvaros izveidotajā </w:t>
      </w:r>
      <w:r w:rsidRPr="005565F8">
        <w:rPr>
          <w:i/>
        </w:rPr>
        <w:t>Zaļo tehnoloģiju inkubatorā</w:t>
      </w:r>
      <w:r w:rsidRPr="005565F8">
        <w:t xml:space="preserve"> līdz 2017.gada nogalei 153 komandas saņēma </w:t>
      </w:r>
      <w:r w:rsidRPr="005565F8">
        <w:t>pirmsinkubācijas</w:t>
      </w:r>
      <w:r w:rsidRPr="005565F8">
        <w:t xml:space="preserve"> pakalpojumus videi draudzīgu un inovatīvu biznesa ideju dzīvotspējas pārbaudei. Vienlaikus </w:t>
      </w:r>
      <w:r w:rsidRPr="005565F8">
        <w:rPr>
          <w:i/>
        </w:rPr>
        <w:t>Zaļo tehnoloģiju inkubators</w:t>
      </w:r>
      <w:r w:rsidRPr="005565F8">
        <w:t xml:space="preserve"> nodrošinājis atbalstu inovatīvu produktu un tehnoloģiju komercializēšanai neliela apjoma </w:t>
      </w:r>
      <w:r w:rsidRPr="005565F8">
        <w:t>grantu</w:t>
      </w:r>
      <w:r w:rsidRPr="005565F8">
        <w:t xml:space="preserve"> shēmas </w:t>
      </w:r>
      <w:r w:rsidRPr="005565F8">
        <w:t>ietvaros, kur atbalstītas 24 projektu komandas. Atklātā konkursa aktivitātes ietvaros atbalstu saņēmuši 13 projektu īstenotāji, kas ievieš jaunas un videi draudzīgākas ražošanas iekārtas. 2017.gadā uzsāktas aktivitātes jaunā EEZ/Norvēģijas finanšu instrumentu perioda plānošana. 2017.gada 14.</w:t>
      </w:r>
      <w:r w:rsidRPr="005565F8" w:rsidR="000E17FD">
        <w:t>decembrī</w:t>
      </w:r>
      <w:r w:rsidRPr="005565F8">
        <w:t xml:space="preserve"> starp Latviju un Norvēģiju tika parakstīts Saprašanās memorands, kas paredz, ka programmas “</w:t>
      </w:r>
      <w:r w:rsidRPr="005565F8">
        <w:rPr>
          <w:i/>
        </w:rPr>
        <w:t>Uzņēmējdarbības attīstība, inovācijas un MVU</w:t>
      </w:r>
      <w:r w:rsidRPr="005565F8">
        <w:t>” ietvaros inovatīvām, videi draudzīgām uzņēmējdarbības aktivitātēm būs pieejami 12,5 milj. EUR, kopā ar valsts budžeta līdzfinansējumu veidojot 14,7 milj. EUR</w:t>
      </w:r>
      <w:r w:rsidRPr="005565F8">
        <w:t>;</w:t>
      </w:r>
    </w:p>
    <w:p w:rsidR="00096D58" w:rsidRPr="005565F8" w:rsidP="00735883" w14:paraId="216DC61A" w14:textId="77777777">
      <w:pPr>
        <w:pStyle w:val="ListParagraph"/>
        <w:numPr>
          <w:ilvl w:val="0"/>
          <w:numId w:val="19"/>
        </w:numPr>
        <w:spacing w:after="60"/>
        <w:ind w:left="284" w:hanging="284"/>
        <w:contextualSpacing w:val="0"/>
      </w:pPr>
      <w:bookmarkStart w:id="59" w:name="_Hlk509396056"/>
      <w:r w:rsidRPr="005565F8">
        <w:rPr>
          <w:b/>
        </w:rPr>
        <w:t>jaunuzņēmumu</w:t>
      </w:r>
      <w:r w:rsidRPr="005565F8">
        <w:t xml:space="preserve"> </w:t>
      </w:r>
      <w:r w:rsidRPr="005565F8">
        <w:rPr>
          <w:i/>
        </w:rPr>
        <w:t>(start-</w:t>
      </w:r>
      <w:r w:rsidRPr="005565F8">
        <w:rPr>
          <w:i/>
        </w:rPr>
        <w:t>up</w:t>
      </w:r>
      <w:r w:rsidRPr="005565F8">
        <w:rPr>
          <w:i/>
        </w:rPr>
        <w:t>)</w:t>
      </w:r>
      <w:r w:rsidRPr="005565F8">
        <w:t xml:space="preserve"> </w:t>
      </w:r>
      <w:r w:rsidRPr="005565F8" w:rsidR="003C750E">
        <w:t>attīstība</w:t>
      </w:r>
      <w:r w:rsidRPr="005565F8">
        <w:t xml:space="preserve"> Latvijā</w:t>
      </w:r>
      <w:r w:rsidRPr="005565F8" w:rsidR="003C750E">
        <w:t xml:space="preserve"> – mērķis </w:t>
      </w:r>
      <w:r w:rsidRPr="005565F8">
        <w:t>veicin</w:t>
      </w:r>
      <w:r w:rsidRPr="005565F8" w:rsidR="003C750E">
        <w:t>ā</w:t>
      </w:r>
      <w:r w:rsidRPr="005565F8">
        <w:t xml:space="preserve">t inovatīvas komercdarbības attīstību un pētniecību privātajā sektorā, kā arī pētniecības </w:t>
      </w:r>
      <w:r w:rsidRPr="005565F8">
        <w:t>komercializāciju</w:t>
      </w:r>
      <w:r w:rsidRPr="005565F8" w:rsidR="003C750E">
        <w:t>.</w:t>
      </w:r>
      <w:r w:rsidRPr="005565F8">
        <w:t xml:space="preserve"> </w:t>
      </w:r>
      <w:r w:rsidRPr="005565F8" w:rsidR="003C750E">
        <w:t>A</w:t>
      </w:r>
      <w:r w:rsidRPr="005565F8">
        <w:t xml:space="preserve">r 2017.gada 1.janvāri ir stājies spēkā </w:t>
      </w:r>
      <w:r w:rsidRPr="005565F8">
        <w:rPr>
          <w:i/>
        </w:rPr>
        <w:t>Jaunuzņēmumu</w:t>
      </w:r>
      <w:r w:rsidRPr="005565F8">
        <w:rPr>
          <w:i/>
        </w:rPr>
        <w:t xml:space="preserve"> darbības atbalsta likums</w:t>
      </w:r>
      <w:r w:rsidRPr="005565F8">
        <w:t xml:space="preserve">. Likums ir paredzēts </w:t>
      </w:r>
      <w:r w:rsidRPr="005565F8">
        <w:t>jaunuzņēmumiem</w:t>
      </w:r>
      <w:r w:rsidRPr="005565F8">
        <w:t xml:space="preserve"> – kapitālsabiedrībām ar augstas izaugsmes potenciālu, kuru pamatdarbība ir saistīta ar mērogojamu biznesa modeļu un inovatīvu  produktu izstrādi, ražošanu vai attīstību. Likuma ietvaros ir paredzēta atbalsta programma fiksētā maksājuma veikšanai ar papildus iespēju saņemt IIN un UIN atvieglojumu un atbalsta programma augsti kvalificētu darba ņēmēju piesaistei ar papildus iespēju piemērot UIN atvieglojumu. Lai paplašinātu likuma tvērumu, palielinot valsts atbalsta saņēmēju loku un pielāgojot likumu nozares praksei, 2017.gad</w:t>
      </w:r>
      <w:r w:rsidRPr="005565F8" w:rsidR="00D04038">
        <w:t>a</w:t>
      </w:r>
      <w:r w:rsidRPr="005565F8" w:rsidR="002723D5">
        <w:t xml:space="preserve"> </w:t>
      </w:r>
      <w:r w:rsidRPr="005565F8" w:rsidR="00C5409F">
        <w:t>29.martā Saeimā galīgajā lasījumā tika apstiprināti grozījumi likumā.</w:t>
      </w:r>
      <w:r w:rsidRPr="005565F8" w:rsidR="00D30252">
        <w:t xml:space="preserve"> Vienlaikus </w:t>
      </w:r>
      <w:r w:rsidRPr="005565F8" w:rsidR="00D30252">
        <w:t>jaunuzņēmumiem</w:t>
      </w:r>
      <w:r w:rsidRPr="005565F8" w:rsidR="00D30252">
        <w:t xml:space="preserve"> pieejams riska kapitāla finansējums – 15 milj. EUR ak</w:t>
      </w:r>
      <w:r w:rsidRPr="005565F8" w:rsidR="00041991">
        <w:t>celerācijas fondos un 60 milj. EUR sēklas un izaugsmes riska kapitāla fondos.</w:t>
      </w:r>
    </w:p>
    <w:p w:rsidR="006A6DD0" w:rsidRPr="005565F8" w:rsidP="00096D58" w14:paraId="0B559FA7" w14:textId="77777777">
      <w:pPr>
        <w:pStyle w:val="ListParagraph"/>
        <w:spacing w:after="60"/>
        <w:ind w:left="284"/>
        <w:contextualSpacing w:val="0"/>
      </w:pPr>
      <w:bookmarkStart w:id="60" w:name="_Hlk509397935"/>
      <w:bookmarkEnd w:id="59"/>
      <w:r w:rsidRPr="005565F8">
        <w:t xml:space="preserve">Programmas </w:t>
      </w:r>
      <w:r w:rsidRPr="005565F8">
        <w:rPr>
          <w:i/>
        </w:rPr>
        <w:t xml:space="preserve">“Atbalsts tehnoloģiju </w:t>
      </w:r>
      <w:r w:rsidRPr="005565F8">
        <w:rPr>
          <w:i/>
        </w:rPr>
        <w:t>pārneses</w:t>
      </w:r>
      <w:r w:rsidRPr="005565F8">
        <w:rPr>
          <w:i/>
        </w:rPr>
        <w:t xml:space="preserve"> sistēmas pilnveidošanai”</w:t>
      </w:r>
      <w:r w:rsidRPr="005565F8">
        <w:t xml:space="preserve"> ietvaros 2017.gadā </w:t>
      </w:r>
      <w:r w:rsidRPr="005565F8">
        <w:t>jaunuzņēmumiem</w:t>
      </w:r>
      <w:r w:rsidRPr="005565F8">
        <w:t xml:space="preserve"> tika nodrošināta iespēja piesaistīt finansējumu augsti kvalificētu darba ņēmēju piesaistei ar maksimālā atbalsta </w:t>
      </w:r>
      <w:r w:rsidRPr="005565F8" w:rsidR="00096D58">
        <w:br/>
      </w:r>
      <w:r w:rsidRPr="005565F8">
        <w:t>intensitāti – 45%. 2018.gadā paredzēts atbalsta saņēmēju loku paplašināt ar mazajiem un vidējiem uzņēmumiem, kuriem būs iespēja piesaistīt finansējumu tāda kvalificēta darba spēka piesaistei, ka sniedz ieguldījumu jaunu produktu vai tehnoloģiju attīstībai.</w:t>
      </w:r>
    </w:p>
    <w:p w:rsidR="001F61DB" w:rsidRPr="005565F8" w:rsidP="00D54CEA" w14:paraId="6EDA72BA" w14:textId="77777777">
      <w:pPr>
        <w:sectPr w:rsidSect="003D0310">
          <w:type w:val="continuous"/>
          <w:pgSz w:w="11906" w:h="16838" w:code="9"/>
          <w:pgMar w:top="1134" w:right="1134" w:bottom="1134" w:left="1134" w:header="709" w:footer="709" w:gutter="0"/>
          <w:cols w:num="2" w:space="340"/>
          <w:titlePg/>
          <w:docGrid w:linePitch="360"/>
        </w:sectPr>
      </w:pPr>
      <w:bookmarkEnd w:id="60"/>
    </w:p>
    <w:p w:rsidR="00D54CEA" w:rsidRPr="005565F8" w:rsidP="00D54CEA" w14:paraId="4D703817" w14:textId="77777777"/>
    <w:p w:rsidR="006A6DD0" w:rsidRPr="005565F8" w:rsidP="006A6DD0" w14:paraId="6524A132"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Sabiedrības izpratnes veicināšana, zinātnes un inovācijas popularizēšana</w:t>
      </w:r>
    </w:p>
    <w:p w:rsidR="006A6DD0" w:rsidRPr="005565F8" w:rsidP="006A6DD0" w14:paraId="4948E902"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1F61DB" w:rsidRPr="005565F8" w:rsidP="00B22046" w14:paraId="0D1FD682"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D26935" w:rsidRPr="005565F8" w:rsidP="006A6DD0" w14:paraId="1974F878" w14:textId="77777777">
      <w:pPr>
        <w:spacing w:before="240"/>
      </w:pPr>
      <w:r w:rsidRPr="005565F8">
        <w:t>M</w:t>
      </w:r>
      <w:r w:rsidRPr="005565F8">
        <w:t>ērķis ir zinātnes un inovāciju, kā arī nozares sasniegumu popularizēšana, kas varētu pozitīvi ietekmēt talantīgu jauniešu piesaisti zinātnei un tehnoloģiju attīstībai.</w:t>
      </w:r>
    </w:p>
    <w:p w:rsidR="00D26935" w:rsidRPr="005565F8" w:rsidP="005B24E0" w14:paraId="376CD2C2" w14:textId="77777777">
      <w:pPr>
        <w:tabs>
          <w:tab w:val="left" w:pos="3525"/>
          <w:tab w:val="center" w:pos="4895"/>
        </w:tabs>
      </w:pPr>
      <w:r w:rsidRPr="005565F8">
        <w:t xml:space="preserve">Sākot ar 2017.gadu līgumos ar zinātniskajām institūcijām, </w:t>
      </w:r>
      <w:r w:rsidRPr="005565F8" w:rsidR="00D27BCC">
        <w:t>t.sk.</w:t>
      </w:r>
      <w:r w:rsidRPr="005565F8">
        <w:t xml:space="preserve"> augstskolām, par zinātnes bāzes finansējumu ir iekļauts pienākums veidot piepras</w:t>
      </w:r>
      <w:r w:rsidRPr="005565F8" w:rsidR="007641B4">
        <w:t>ījumu pēc zinātnes un inovācijām</w:t>
      </w:r>
      <w:r w:rsidRPr="005565F8">
        <w:t xml:space="preserve">. </w:t>
      </w:r>
    </w:p>
    <w:p w:rsidR="00D26935" w:rsidRPr="005565F8" w:rsidP="005B24E0" w14:paraId="64DE3B09" w14:textId="77777777">
      <w:pPr>
        <w:tabs>
          <w:tab w:val="left" w:pos="3525"/>
          <w:tab w:val="center" w:pos="4895"/>
        </w:tabs>
      </w:pPr>
      <w:r w:rsidRPr="005565F8">
        <w:t xml:space="preserve">2017. gadā uzsākta gatavošanās </w:t>
      </w:r>
      <w:r w:rsidRPr="005565F8">
        <w:rPr>
          <w:i/>
        </w:rPr>
        <w:t>Pasaules latviešu zinātnieku kongresam</w:t>
      </w:r>
      <w:r w:rsidRPr="005565F8">
        <w:t>, kas paredzēts 2018. gada 18.-</w:t>
      </w:r>
      <w:r w:rsidRPr="005565F8">
        <w:t xml:space="preserve">21. jūnijā. </w:t>
      </w:r>
      <w:r w:rsidRPr="005565F8" w:rsidR="007641B4">
        <w:t>Kongresa mērķis ir</w:t>
      </w:r>
      <w:r w:rsidRPr="005565F8">
        <w:t xml:space="preserve"> savest kopā Latvijas un Latvijas izcelsmes zinātniekus un viņu draugus, lai diskutētu par Latvijas attīstību nākamajos simts un divsimt gados. Plānots, ka tajā piedalīsies 350-500 pasaules latviešu zinātn</w:t>
      </w:r>
      <w:r w:rsidRPr="005565F8" w:rsidR="00ED03C8">
        <w:t>ieku un to sadarbības partneru.</w:t>
      </w:r>
    </w:p>
    <w:p w:rsidR="00D26935" w:rsidRPr="005565F8" w:rsidP="005B24E0" w14:paraId="3C8BAAF3" w14:textId="77777777">
      <w:pPr>
        <w:tabs>
          <w:tab w:val="left" w:pos="3525"/>
          <w:tab w:val="center" w:pos="4895"/>
        </w:tabs>
      </w:pPr>
      <w:r w:rsidRPr="005565F8">
        <w:t>N</w:t>
      </w:r>
      <w:r w:rsidRPr="005565F8">
        <w:t>o 2018. gada līdz 2023. gadam plānots īstenot zinātnes popularizēšanas integrēto kampaņu, kas veicinās sabiedrības izpratnes veicināšanu par zinātnes nozīmīgumu labklājības veicināšanā un tautsaimniecības konkurētspējas sekmēšanā.</w:t>
      </w:r>
    </w:p>
    <w:p w:rsidR="00951581" w:rsidRPr="005565F8" w:rsidP="00E60B17" w14:paraId="552A0E95" w14:textId="77777777">
      <w:pPr>
        <w:pStyle w:val="Heading3"/>
        <w:keepNext w:val="0"/>
        <w:keepLines w:val="0"/>
        <w:spacing w:before="240"/>
        <w:rPr>
          <w:rFonts w:cs="Times New Roman"/>
          <w:color w:val="auto"/>
        </w:rPr>
        <w:sectPr w:rsidSect="003D0310">
          <w:type w:val="continuous"/>
          <w:pgSz w:w="11906" w:h="16838" w:code="9"/>
          <w:pgMar w:top="1134" w:right="1134" w:bottom="1134" w:left="1134" w:header="709" w:footer="709" w:gutter="0"/>
          <w:cols w:num="2" w:space="340"/>
          <w:titlePg/>
          <w:docGrid w:linePitch="360"/>
        </w:sectPr>
      </w:pPr>
    </w:p>
    <w:p w:rsidR="00E60B17" w:rsidRPr="005565F8" w:rsidP="006A6DD0" w14:paraId="497E4FF5" w14:textId="77777777"/>
    <w:p w:rsidR="00ED0FCB" w:rsidRPr="005565F8" w:rsidP="00ED0FCB" w14:paraId="0DCE3E14" w14:textId="77777777">
      <w:pPr>
        <w:pStyle w:val="Heading3"/>
        <w:spacing w:before="240"/>
        <w:rPr>
          <w:rFonts w:cs="Times New Roman"/>
          <w:color w:val="auto"/>
        </w:rPr>
      </w:pPr>
      <w:bookmarkStart w:id="61" w:name="_Toc510687748"/>
      <w:bookmarkStart w:id="62" w:name="_Toc256000016"/>
      <w:bookmarkStart w:id="63" w:name="_Toc256000051"/>
      <w:r w:rsidRPr="005565F8">
        <w:rPr>
          <w:rFonts w:cs="Times New Roman"/>
          <w:color w:val="auto"/>
        </w:rPr>
        <w:t>3.2.4. Informācijas un komunikācijas tehnoloģijas</w:t>
      </w:r>
      <w:bookmarkEnd w:id="63"/>
      <w:bookmarkEnd w:id="62"/>
      <w:bookmarkEnd w:id="61"/>
    </w:p>
    <w:p w:rsidR="006A6DD0" w:rsidRPr="005565F8" w:rsidP="006A6DD0" w14:paraId="3C303119" w14:textId="77777777">
      <w:pPr>
        <w:sectPr w:rsidSect="003D0310">
          <w:type w:val="continuous"/>
          <w:pgSz w:w="11906" w:h="16838" w:code="9"/>
          <w:pgMar w:top="1134" w:right="1134" w:bottom="1134" w:left="1134" w:header="709" w:footer="709" w:gutter="0"/>
          <w:cols w:space="340"/>
          <w:titlePg/>
          <w:docGrid w:linePitch="360"/>
        </w:sectPr>
      </w:pPr>
    </w:p>
    <w:p w:rsidR="006A6DD0" w:rsidRPr="005565F8" w:rsidP="008B263D" w14:paraId="1FD86FE4" w14:textId="77777777">
      <w:bookmarkStart w:id="64" w:name="_Toc446597832"/>
      <w:r w:rsidRPr="005565F8">
        <w:t xml:space="preserve">Mērķis ir nodrošināt elektronisko sakaru vienlīdzīgu pieejamību visā Latvijas teritorijā, paaugstināt </w:t>
      </w:r>
      <w:r w:rsidRPr="005565F8" w:rsidR="00655D7E">
        <w:t>IKT</w:t>
      </w:r>
      <w:r w:rsidRPr="005565F8">
        <w:t xml:space="preserve"> ieguldījumu visu tautsaimniecības nozaru izaugsmē un inovācijā. Rīcības virziens paredz </w:t>
      </w:r>
      <w:r w:rsidRPr="005565F8">
        <w:rPr>
          <w:i/>
        </w:rPr>
        <w:t>Eiropa 2020</w:t>
      </w:r>
      <w:r w:rsidRPr="005565F8">
        <w:t xml:space="preserve"> stratēģijas vadošās iniciatīvas digitālā programma Eiropai noteikto pasākumu ieviešanu Latvijā.</w:t>
      </w:r>
    </w:p>
    <w:p w:rsidR="008B263D" w:rsidRPr="005565F8" w:rsidP="008B263D" w14:paraId="4D492F35" w14:textId="31E0E4D5">
      <w:r w:rsidRPr="005565F8">
        <w:t>2017. gadā 78,5% Latvijas iedzīvotāju regulāri (vismaz reizi nedēļā) lietoja internetu. Mājsaimniecības ar pl</w:t>
      </w:r>
      <w:r w:rsidRPr="005565F8" w:rsidR="00AB7C51">
        <w:t>atjoslas piekļuvi Latvijā 2017.gadā bija 77</w:t>
      </w:r>
      <w:r w:rsidRPr="005565F8">
        <w:t xml:space="preserve">%, kas ir par </w:t>
      </w:r>
      <w:r w:rsidRPr="005565F8" w:rsidR="00AB7C51">
        <w:t>diviem</w:t>
      </w:r>
      <w:r w:rsidRPr="005565F8">
        <w:t xml:space="preserve"> p</w:t>
      </w:r>
      <w:r w:rsidRPr="005565F8" w:rsidR="00AB7C51">
        <w:t>rocentpunktiem vairāk, nekā 2016.</w:t>
      </w:r>
      <w:r w:rsidRPr="005565F8">
        <w:t>gadā. Savukārt 57% iedzīvotāju lieto mobilo internetu, kas ir par 9 procentpunktiem vairāk kā 2016.</w:t>
      </w:r>
      <w:r w:rsidRPr="005565F8" w:rsidR="00AB7C51">
        <w:t>gadā. 69% iedzīvotāju 2017.</w:t>
      </w:r>
      <w:r w:rsidRPr="005565F8">
        <w:t>gadā saziņa ar valsts un pašvaldību iestādēm norisinājās elektroniski (ES – 46%) un 39% iedzīvotāju aizpildīja tiešsaistes formas (ES – 30%).</w:t>
      </w:r>
    </w:p>
    <w:p w:rsidR="008B263D" w:rsidRPr="005565F8" w:rsidP="008B263D" w14:paraId="0BA4D2A2" w14:textId="77777777">
      <w:r w:rsidRPr="005565F8">
        <w:t xml:space="preserve">Saskaņā ar </w:t>
      </w:r>
      <w:r w:rsidRPr="005565F8" w:rsidR="00E61145">
        <w:t>EK</w:t>
      </w:r>
      <w:r w:rsidRPr="005565F8">
        <w:t xml:space="preserve"> Digitālās ekonomikas un sabiedrības indeksa 2017. gada datiem par Latviju 93% mājsaimniecību Latvijā pieejams fiksētās platjoslas pārklājums, bet fiksētos platjoslas </w:t>
      </w:r>
      <w:r w:rsidRPr="005565F8">
        <w:t>pieslēgumus</w:t>
      </w:r>
      <w:r w:rsidRPr="005565F8">
        <w:t xml:space="preserve"> izmanto 61% mājsaimniecību. Ātrdarbīgu platjoslas </w:t>
      </w:r>
      <w:r w:rsidRPr="005565F8">
        <w:t>pieslēgumu</w:t>
      </w:r>
      <w:r w:rsidRPr="005565F8">
        <w:t xml:space="preserve"> abonentu skaits ievērojami pārsniedz ES vidējo rādītāju. Latvijā tas ir 62% no visiem </w:t>
      </w:r>
      <w:r w:rsidRPr="005565F8">
        <w:t>pieslēgumiem</w:t>
      </w:r>
      <w:r w:rsidRPr="005565F8">
        <w:t xml:space="preserve">, bet vidēji ES – 37%. Pieaudzis arī </w:t>
      </w:r>
      <w:r w:rsidRPr="005565F8">
        <w:t xml:space="preserve">mobilo platjoslas </w:t>
      </w:r>
      <w:r w:rsidRPr="005565F8">
        <w:t>pieslēgumu</w:t>
      </w:r>
      <w:r w:rsidRPr="005565F8">
        <w:t xml:space="preserve"> lietotāju skaits uz 100 iedzīvotājiem.</w:t>
      </w:r>
    </w:p>
    <w:p w:rsidR="008B263D" w:rsidRPr="005565F8" w:rsidP="008B263D" w14:paraId="4D31442D" w14:textId="77777777">
      <w:r w:rsidRPr="005565F8">
        <w:rPr>
          <w:i/>
        </w:rPr>
        <w:t>Informācijas sabiedrības attīstības pamatnostādnes 2014.-2020. gadam</w:t>
      </w:r>
      <w:r>
        <w:rPr>
          <w:rStyle w:val="FootnoteReference"/>
          <w:i/>
        </w:rPr>
        <w:footnoteReference w:id="32"/>
      </w:r>
      <w:r w:rsidRPr="005565F8">
        <w:t xml:space="preserve"> (turpmāk – ISAP) – nosaka IKT jomas prioritātes ES fondu plānošanas periodam 2014.-2020. gadam. ISAP ņemti vērā </w:t>
      </w:r>
      <w:r w:rsidRPr="005565F8">
        <w:rPr>
          <w:i/>
        </w:rPr>
        <w:t xml:space="preserve">Eiropa 2020 </w:t>
      </w:r>
      <w:r w:rsidRPr="005565F8">
        <w:t xml:space="preserve">stratēģijas vadošās iniciatīvas </w:t>
      </w:r>
      <w:r w:rsidRPr="005565F8">
        <w:rPr>
          <w:i/>
        </w:rPr>
        <w:t>Digitālā programma Eiropai</w:t>
      </w:r>
      <w:r w:rsidRPr="005565F8">
        <w:t xml:space="preserve"> noteiktie mērķi.</w:t>
      </w:r>
      <w:r w:rsidRPr="005565F8" w:rsidR="00A5504A">
        <w:t xml:space="preserve"> </w:t>
      </w:r>
      <w:r w:rsidRPr="005565F8">
        <w:t xml:space="preserve">2017. gadā sagatavots </w:t>
      </w:r>
      <w:r w:rsidRPr="005565F8" w:rsidR="00A5504A">
        <w:rPr>
          <w:i/>
        </w:rPr>
        <w:t>ISAP</w:t>
      </w:r>
      <w:r w:rsidRPr="005565F8">
        <w:rPr>
          <w:i/>
        </w:rPr>
        <w:t xml:space="preserve"> starpposma </w:t>
      </w:r>
      <w:r w:rsidRPr="005565F8">
        <w:rPr>
          <w:i/>
        </w:rPr>
        <w:t>izvērtējuma</w:t>
      </w:r>
      <w:r w:rsidRPr="005565F8">
        <w:rPr>
          <w:i/>
        </w:rPr>
        <w:t xml:space="preserve"> ziņojums</w:t>
      </w:r>
      <w:r w:rsidRPr="005565F8">
        <w:t>.</w:t>
      </w:r>
    </w:p>
    <w:p w:rsidR="008B263D" w:rsidRPr="005565F8" w:rsidP="008B263D" w14:paraId="76115C71" w14:textId="77777777">
      <w:r w:rsidRPr="005565F8">
        <w:t xml:space="preserve">2018. gadā ir apstiprināts </w:t>
      </w:r>
      <w:r w:rsidRPr="005565F8">
        <w:rPr>
          <w:i/>
        </w:rPr>
        <w:t>Elektronisko sakaru nozares politikas plāns 2018.-2020. gadam</w:t>
      </w:r>
      <w:r w:rsidRPr="005565F8">
        <w:t xml:space="preserve">, kas nosaka galvenos veicamos uzdevumus divos rīcības virzienos: 1) sekmēt kvalitatīvu un uz galalietotāju vajadzībām orientētu pakalpojumu sniegšanu un nodrošināt stabilu investīciju vidi; 2) radīt nosacījumus inovatīvu tehnoloģiju izmantošanai. Plānā noteiktie uzdevumi atbilst ES prioritātēm elektronisko sakaru jomā, kas noteiktas EK 2016. gada 14. septembra </w:t>
      </w:r>
      <w:r w:rsidRPr="005565F8" w:rsidR="00A5504A">
        <w:rPr>
          <w:i/>
        </w:rPr>
        <w:t>P</w:t>
      </w:r>
      <w:r w:rsidRPr="005565F8">
        <w:rPr>
          <w:i/>
        </w:rPr>
        <w:t>aziņojumā „Konkurētspējīga digitālā vienotā tirgus savienojamība. Virzība uz Eiropas Gigabitu Sabiedrību”</w:t>
      </w:r>
      <w:r w:rsidRPr="005565F8">
        <w:t>. Plānā ietvertie pasākumi, piemēram, Latvijas 5G mobilo sakaru tīklu ieviešanas ceļveža izstrāde, sniegs ieguldījumu minētajā paziņojumā ietverto uzdevumu</w:t>
      </w:r>
      <w:r w:rsidRPr="005565F8" w:rsidR="00A5504A">
        <w:t xml:space="preserve"> izpildē</w:t>
      </w:r>
      <w:r w:rsidRPr="005565F8">
        <w:t xml:space="preserve">, kas ES dalībvalstīm veicami līdz </w:t>
      </w:r>
      <w:r w:rsidRPr="005565F8" w:rsidR="00A5504A">
        <w:t>2025. gadam</w:t>
      </w:r>
      <w:r w:rsidRPr="005565F8">
        <w:t>.</w:t>
      </w:r>
    </w:p>
    <w:p w:rsidR="001F61DB" w:rsidRPr="005565F8" w:rsidP="006A6DD0" w14:paraId="1314630C" w14:textId="77777777">
      <w:pPr>
        <w:sectPr w:rsidSect="003D0310">
          <w:type w:val="continuous"/>
          <w:pgSz w:w="11906" w:h="16838" w:code="9"/>
          <w:pgMar w:top="1134" w:right="1134" w:bottom="1134" w:left="1134" w:header="709" w:footer="709" w:gutter="0"/>
          <w:cols w:num="2" w:space="340"/>
          <w:titlePg/>
          <w:docGrid w:linePitch="360"/>
        </w:sectPr>
      </w:pPr>
    </w:p>
    <w:p w:rsidR="006A6DD0" w:rsidRPr="005565F8" w:rsidP="006A6DD0" w14:paraId="102890EA" w14:textId="77777777"/>
    <w:p w:rsidR="006A6DD0" w:rsidRPr="005565F8" w:rsidP="006A6DD0" w14:paraId="7F4C1468" w14:textId="77777777">
      <w:pPr>
        <w:spacing w:before="120" w:after="240"/>
        <w:rPr>
          <w:rFonts w:ascii="Segoe UI" w:hAnsi="Segoe UI" w:cs="Segoe UI"/>
          <w:b/>
          <w:u w:val="double"/>
        </w:rPr>
      </w:pPr>
      <w:r w:rsidRPr="005565F8">
        <w:rPr>
          <w:rFonts w:ascii="Segoe UI" w:hAnsi="Segoe UI" w:cs="Segoe UI"/>
          <w:b/>
          <w:u w:val="double"/>
        </w:rPr>
        <w:t>Galvenie politikas virzieni un pasākumi:</w:t>
      </w:r>
    </w:p>
    <w:p w:rsidR="006A6DD0" w:rsidRPr="005565F8" w:rsidP="006A6DD0" w14:paraId="24B7CADA"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Infrastruktūras attīstība</w:t>
      </w:r>
    </w:p>
    <w:p w:rsidR="006A6DD0" w:rsidRPr="005565F8" w:rsidP="006A6DD0" w14:paraId="39EDC46B"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SM/</w:t>
      </w:r>
    </w:p>
    <w:p w:rsidR="001F61DB" w:rsidRPr="005565F8" w:rsidP="00B22046" w14:paraId="719511B0"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8B263D" w:rsidRPr="005565F8" w:rsidP="006A6DD0" w14:paraId="7ED47E73" w14:textId="77777777">
      <w:pPr>
        <w:spacing w:before="240"/>
        <w:rPr>
          <w:bCs/>
        </w:rPr>
      </w:pPr>
      <w:r w:rsidRPr="005565F8">
        <w:rPr>
          <w:bCs/>
        </w:rPr>
        <w:t xml:space="preserve">Mērķis </w:t>
      </w:r>
      <w:r w:rsidRPr="005565F8" w:rsidR="00E60B17">
        <w:rPr>
          <w:bCs/>
        </w:rPr>
        <w:t>–</w:t>
      </w:r>
      <w:r w:rsidRPr="005565F8">
        <w:rPr>
          <w:bCs/>
        </w:rPr>
        <w:t xml:space="preserve"> nodrošināt elektronisko sakaru pakalpojumu vienlīdzīgu pieejamību visā Latvijas teritorijā.</w:t>
      </w:r>
    </w:p>
    <w:p w:rsidR="008B263D" w:rsidRPr="005565F8" w:rsidP="008B263D" w14:paraId="3904092C" w14:textId="77777777">
      <w:r w:rsidRPr="005565F8">
        <w:rPr>
          <w:bCs/>
        </w:rPr>
        <w:t>Platjoslas elektronisko</w:t>
      </w:r>
      <w:r w:rsidRPr="005565F8">
        <w:t xml:space="preserve"> sakaru tīkla attīstība ar valsts atbalstu tiek īstenota, ņemot vērā ES ieteikumus un tajās ģeogrāfiskajās teritorijās, kurās neeksistē efektīva konkurence un kur nākamās paaudzes elektronisko sakaru tīkli bez publiskā atbalsta tuvākajā laikā netiktu realizēti. Līdz 2020. gada beigām valsts atbalsta programmas </w:t>
      </w:r>
      <w:r w:rsidRPr="005565F8">
        <w:rPr>
          <w:i/>
        </w:rPr>
        <w:t xml:space="preserve">„Nākamās paaudzes tīkli lauku teritorijās” </w:t>
      </w:r>
      <w:r w:rsidRPr="005565F8">
        <w:t>otrās kārtas ietvaros plānots palielināt izbūvēto optisko kabeļu trašu garumu par aptuveni 2</w:t>
      </w:r>
      <w:r w:rsidRPr="005565F8" w:rsidR="009A5775">
        <w:t>2</w:t>
      </w:r>
      <w:r w:rsidRPr="005565F8">
        <w:t xml:space="preserve">00 km un izbūvēto optiskā </w:t>
      </w:r>
      <w:r w:rsidRPr="005565F8">
        <w:t xml:space="preserve">tīkla piekļuves punktu skaitu aptuveni par 220 punktiem. Izveidotajos optiskā tīkla piekļuves punktos tiek nodrošināta iespēja vismaz pieciem elektronisko sakaru komersantiem ar vienādiem, nediskriminējošiem nosacījumiem veidot „pēdējās jūdzes” </w:t>
      </w:r>
      <w:r w:rsidRPr="005565F8">
        <w:t>pieslēgumus</w:t>
      </w:r>
      <w:r w:rsidRPr="005565F8">
        <w:t>, lai sniegtu platjoslas interneta piekļuves pakalpojumus galalietotājiem. 2017. gadā ir veikti un 2018. gadā tiek turpināti iepirkumi, kas nepieciešami projekta īstenošanai. Optiskā tīkla infrastruktūras būvniecības darbus plānots uzsākt 2018. gada pavasarī.</w:t>
      </w:r>
    </w:p>
    <w:p w:rsidR="001F61DB" w:rsidRPr="005565F8" w:rsidP="008B263D" w14:paraId="6AE0BF83" w14:textId="77777777">
      <w:pPr>
        <w:sectPr w:rsidSect="003D0310">
          <w:type w:val="continuous"/>
          <w:pgSz w:w="11906" w:h="16838" w:code="9"/>
          <w:pgMar w:top="1134" w:right="1134" w:bottom="1134" w:left="1134" w:header="709" w:footer="709" w:gutter="0"/>
          <w:cols w:num="2" w:space="340"/>
          <w:titlePg/>
          <w:docGrid w:linePitch="360"/>
        </w:sectPr>
      </w:pPr>
    </w:p>
    <w:p w:rsidR="006A6DD0" w:rsidRPr="005565F8" w:rsidP="008B263D" w14:paraId="4B1FFF52" w14:textId="77777777"/>
    <w:p w:rsidR="006A6DD0" w:rsidRPr="005565F8" w:rsidP="006A6DD0" w14:paraId="2592DB03"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Digitālā satura un e-pakalpojumu pieejamības nodrošināšana</w:t>
      </w:r>
    </w:p>
    <w:p w:rsidR="006A6DD0" w:rsidRPr="005565F8" w:rsidP="006A6DD0" w14:paraId="0DE8BCFD"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VARAM, KM, VM /</w:t>
      </w:r>
    </w:p>
    <w:p w:rsidR="001F61DB" w:rsidRPr="005565F8" w:rsidP="00B22046" w14:paraId="34A6E08C" w14:textId="77777777">
      <w:pPr>
        <w:pBdr>
          <w:left w:val="single" w:sz="24" w:space="4" w:color="00879B"/>
        </w:pBdr>
        <w:spacing w:before="120"/>
        <w:rPr>
          <w:rFonts w:eastAsia="+mn-ea"/>
          <w:color w:val="595959" w:themeColor="text1" w:themeTint="A6"/>
          <w:sz w:val="16"/>
        </w:rPr>
        <w:sectPr w:rsidSect="003D0310">
          <w:type w:val="continuous"/>
          <w:pgSz w:w="11906" w:h="16838" w:code="9"/>
          <w:pgMar w:top="1134" w:right="1134" w:bottom="1134" w:left="1134" w:header="709" w:footer="709" w:gutter="0"/>
          <w:cols w:space="340"/>
          <w:titlePg/>
          <w:docGrid w:linePitch="360"/>
        </w:sectPr>
      </w:pPr>
    </w:p>
    <w:p w:rsidR="008B263D" w:rsidRPr="005565F8" w:rsidP="006A6DD0" w14:paraId="01011BE7" w14:textId="77777777">
      <w:pPr>
        <w:spacing w:before="240"/>
        <w:rPr>
          <w:bCs/>
        </w:rPr>
      </w:pPr>
      <w:r w:rsidRPr="005565F8">
        <w:rPr>
          <w:bCs/>
        </w:rPr>
        <w:t xml:space="preserve">Mērķis – palielināt digitālā satura apjomu un e-pakalpojumu daudzumu, nodrošinot to plašāku izmantošanu </w:t>
      </w:r>
      <w:r w:rsidRPr="005565F8">
        <w:rPr>
          <w:bCs/>
          <w:i/>
        </w:rPr>
        <w:t>(skat. arī 3.2.1. nodaļu)</w:t>
      </w:r>
      <w:r w:rsidRPr="005565F8">
        <w:rPr>
          <w:bCs/>
        </w:rPr>
        <w:t>.</w:t>
      </w:r>
    </w:p>
    <w:p w:rsidR="008B263D" w:rsidRPr="005565F8" w:rsidP="008B263D" w14:paraId="22981382" w14:textId="77777777">
      <w:r w:rsidRPr="005565F8">
        <w:rPr>
          <w:bCs/>
        </w:rPr>
        <w:t xml:space="preserve">ES fondu 2014.-2020. gada plānošanas perioda ietvaros </w:t>
      </w:r>
      <w:r w:rsidRPr="005565F8">
        <w:t xml:space="preserve">IKT projektu īstenošanai plānotais kopējais ES fondu finansējums ir 128,8 milj. EUR. Minēto ES fondu finansējumu plānots novirzīt pasākumiem, kas </w:t>
      </w:r>
      <w:r w:rsidRPr="005565F8">
        <w:rPr>
          <w:rFonts w:eastAsia="Times New Roman"/>
        </w:rPr>
        <w:t>uzlabotu un pilnveidotu publiskās pārvaldes datu apmaiņas, datu publicēšanas un uzturēšanas infrastruktūru, datu pieejamību un to izmantošanas iespējas, kā arī pilnveidotu publiskās pārvaldes procesus (ietverot pasākumus administratīvā sloga samazināšanai un valsts pārvaldes organizatoriskā procesa efektivitātes palielināšanai).</w:t>
      </w:r>
      <w:r w:rsidRPr="005565F8">
        <w:t xml:space="preserve"> Projektu ietvaros tiks atbalstīta arī pakalpojumu pielāgošana sadarbībai Eiropas vienotajā tirgū un kultūras mantojuma </w:t>
      </w:r>
      <w:r w:rsidRPr="005565F8">
        <w:t>digitalizācija</w:t>
      </w:r>
      <w:r w:rsidRPr="005565F8">
        <w:t>.</w:t>
      </w:r>
    </w:p>
    <w:p w:rsidR="008B263D" w:rsidRPr="005565F8" w:rsidP="008B263D" w14:paraId="3F312A9C" w14:textId="77777777">
      <w:pPr>
        <w:rPr>
          <w:color w:val="000000" w:themeColor="text1"/>
          <w:lang w:eastAsia="lv-LV"/>
        </w:rPr>
      </w:pPr>
      <w:r w:rsidRPr="005565F8">
        <w:rPr>
          <w:bCs/>
        </w:rPr>
        <w:t xml:space="preserve">ES </w:t>
      </w:r>
      <w:r w:rsidRPr="005565F8">
        <w:rPr>
          <w:color w:val="000000"/>
        </w:rPr>
        <w:t>fondu</w:t>
      </w:r>
      <w:r w:rsidRPr="005565F8">
        <w:rPr>
          <w:bCs/>
        </w:rPr>
        <w:t xml:space="preserve"> 2014.-2020. gada plānošanas perioda ietvaros 2017. gad</w:t>
      </w:r>
      <w:r w:rsidRPr="005565F8" w:rsidR="006D5D79">
        <w:rPr>
          <w:bCs/>
        </w:rPr>
        <w:t>ā</w:t>
      </w:r>
      <w:r w:rsidRPr="005565F8">
        <w:rPr>
          <w:bCs/>
        </w:rPr>
        <w:t xml:space="preserve"> ir sagatavoti un saskaņoti 40 publiskās pārvaldes IKT attīstības projekt</w:t>
      </w:r>
      <w:r w:rsidRPr="005565F8" w:rsidR="00E63130">
        <w:rPr>
          <w:bCs/>
        </w:rPr>
        <w:t>u apraksti</w:t>
      </w:r>
      <w:r w:rsidRPr="005565F8">
        <w:rPr>
          <w:bCs/>
        </w:rPr>
        <w:t>, iekļaujot tos valsts vienotajā IKT arhitektūrā</w:t>
      </w:r>
      <w:r w:rsidRPr="005565F8" w:rsidR="00E63130">
        <w:rPr>
          <w:bCs/>
        </w:rPr>
        <w:t xml:space="preserve"> (no tiem </w:t>
      </w:r>
      <w:r w:rsidRPr="005565F8" w:rsidR="00F07037">
        <w:rPr>
          <w:bCs/>
        </w:rPr>
        <w:t>2017.</w:t>
      </w:r>
      <w:r w:rsidRPr="005565F8" w:rsidR="00E63130">
        <w:rPr>
          <w:bCs/>
        </w:rPr>
        <w:t xml:space="preserve">gadā </w:t>
      </w:r>
      <w:r w:rsidRPr="005565F8" w:rsidR="00F07037">
        <w:rPr>
          <w:bCs/>
        </w:rPr>
        <w:t xml:space="preserve">MK </w:t>
      </w:r>
      <w:r w:rsidRPr="005565F8" w:rsidR="00E63130">
        <w:rPr>
          <w:bCs/>
        </w:rPr>
        <w:t>apstiprināti 39 projektu apraksti)</w:t>
      </w:r>
      <w:r w:rsidRPr="005565F8">
        <w:rPr>
          <w:bCs/>
        </w:rPr>
        <w:t>. 2017. gadā ir uzsākta 14 IKT attīstības projektu īstenošana par kopējo summu 47,4 milj. EUR, pārējo 26 projektu īstenošanu plānots uzsākt 2018. </w:t>
      </w:r>
      <w:r w:rsidRPr="005565F8" w:rsidR="00E63130">
        <w:rPr>
          <w:bCs/>
        </w:rPr>
        <w:t>-2019.</w:t>
      </w:r>
      <w:r w:rsidRPr="005565F8">
        <w:rPr>
          <w:bCs/>
        </w:rPr>
        <w:t xml:space="preserve">gadā. </w:t>
      </w:r>
    </w:p>
    <w:p w:rsidR="00E63130" w:rsidRPr="005565F8" w:rsidP="00E63130" w14:paraId="5C3C737B" w14:textId="77777777">
      <w:r w:rsidRPr="005565F8">
        <w:t>2017.</w:t>
      </w:r>
      <w:r w:rsidRPr="005565F8">
        <w:t xml:space="preserve">gadā tika pieņemts MK lēmums par 15 otrās kārtas IKT projektu īstenošanu, kuru ietvaros ES fondu investīcijas plānots novirzīt Kadastra informācijas sistēmas modernizācijai, Publisko pakalpojumu </w:t>
      </w:r>
      <w:r w:rsidRPr="005565F8">
        <w:t>daudzkanālu</w:t>
      </w:r>
      <w:r w:rsidRPr="005565F8">
        <w:t xml:space="preserve"> piegādes tehnoloģisko risinājumu izveidei Valsts sociālās apdrošināšanas aģentūras pakalpojumu nodrošināšanai un Ārējās tirdzniecības statistikas datu apstrādes sistēmas izveidei, kā arī plānota, piemēram, Būvniecības informācijas sistēmas, Nodokļu informācijas sistēmas u.c. sistēmu turpmāka attīstība.</w:t>
      </w:r>
      <w:r w:rsidRPr="005565F8">
        <w:rPr>
          <w:bCs/>
        </w:rPr>
        <w:t xml:space="preserve"> </w:t>
      </w:r>
      <w:r w:rsidRPr="005565F8" w:rsidR="00F74681">
        <w:rPr>
          <w:bCs/>
        </w:rPr>
        <w:t xml:space="preserve">Šo </w:t>
      </w:r>
      <w:r w:rsidRPr="005565F8">
        <w:rPr>
          <w:bCs/>
        </w:rPr>
        <w:t>projektu saskaņošan</w:t>
      </w:r>
      <w:r w:rsidRPr="005565F8">
        <w:rPr>
          <w:bCs/>
        </w:rPr>
        <w:t>as procesu plānots uzsākt 2018.</w:t>
      </w:r>
      <w:r w:rsidRPr="005565F8">
        <w:rPr>
          <w:bCs/>
        </w:rPr>
        <w:t>gadā.</w:t>
      </w:r>
    </w:p>
    <w:p w:rsidR="008B263D" w:rsidRPr="005565F8" w:rsidP="008B263D" w14:paraId="16271EE3" w14:textId="77777777">
      <w:pPr>
        <w:suppressAutoHyphens/>
      </w:pPr>
      <w:r w:rsidRPr="005565F8">
        <w:t xml:space="preserve">2017. gadā MK tika apstiprināti </w:t>
      </w:r>
      <w:r w:rsidRPr="005565F8" w:rsidR="006D5D79">
        <w:rPr>
          <w:i/>
        </w:rPr>
        <w:t>V</w:t>
      </w:r>
      <w:r w:rsidRPr="005565F8">
        <w:rPr>
          <w:i/>
        </w:rPr>
        <w:t>alsts pārvaldes e-pakalpojumu noteikumi</w:t>
      </w:r>
      <w:r w:rsidRPr="005565F8">
        <w:t>, kas nosaka kārtību, kādā tiek veikta valsts pārvaldes pakalpojumu elektronizācija un nodrošināta e</w:t>
      </w:r>
      <w:r w:rsidRPr="005565F8">
        <w:noBreakHyphen/>
        <w:t xml:space="preserve">pakalpojumu pieejamība un MK noteikumi </w:t>
      </w:r>
      <w:r w:rsidRPr="005565F8">
        <w:rPr>
          <w:i/>
        </w:rPr>
        <w:t xml:space="preserve">„Valsts pārvaldes pakalpojumu uzskaites, kvalitātes kontroles un sniegšanas kārtība”. </w:t>
      </w:r>
      <w:r w:rsidRPr="005565F8">
        <w:t xml:space="preserve">Lai ieviestu </w:t>
      </w:r>
      <w:r w:rsidRPr="005565F8">
        <w:t>proaktīvu</w:t>
      </w:r>
      <w:r w:rsidRPr="005565F8">
        <w:t xml:space="preserve"> pakalpojumu sniegšanas pieeju valsts pārvaldes pakalpojumu nodrošināšanā, 2017. gadā tika uzsākta portāla </w:t>
      </w:r>
      <w:r w:rsidRPr="005565F8">
        <w:rPr>
          <w:i/>
        </w:rPr>
        <w:t>Latvija.lv</w:t>
      </w:r>
      <w:r w:rsidRPr="005565F8">
        <w:t xml:space="preserve"> augsta līmeņa ilgtermiņa attīstības koncepcijas izstrāde.</w:t>
      </w:r>
    </w:p>
    <w:p w:rsidR="008B263D" w:rsidRPr="005565F8" w:rsidP="008B263D" w14:paraId="75D89ED6" w14:textId="77777777">
      <w:pPr>
        <w:suppressAutoHyphens/>
        <w:rPr>
          <w:color w:val="000000" w:themeColor="text1"/>
        </w:rPr>
      </w:pPr>
      <w:r w:rsidRPr="005565F8">
        <w:rPr>
          <w:color w:val="000000" w:themeColor="text1"/>
        </w:rPr>
        <w:t xml:space="preserve">2017. gadā turpinājās latviešu valodas integrācijas projekts digitālajā vidē, kas sevī ietver </w:t>
      </w:r>
      <w:r w:rsidRPr="005565F8">
        <w:rPr>
          <w:color w:val="000000" w:themeColor="text1"/>
        </w:rPr>
        <w:t>mašīntulkošanas</w:t>
      </w:r>
      <w:r w:rsidRPr="005565F8">
        <w:rPr>
          <w:color w:val="000000" w:themeColor="text1"/>
        </w:rPr>
        <w:t xml:space="preserve"> rīku, tulkošanas atmiņas attīstības un saglabāšanas tehnoloģiju un praktiskās izmantošanas aspektus. Valsts pārvaldes un pašvaldību e-pakalpojumu aprakstu, mājaslapu un </w:t>
      </w:r>
      <w:r w:rsidRPr="005565F8">
        <w:rPr>
          <w:color w:val="000000" w:themeColor="text1"/>
        </w:rPr>
        <w:t>citu Internet resursu automātisks tulkojums citā valodā, izmantojot valodu tehnoloģiskos rīkus</w:t>
      </w:r>
      <w:r w:rsidRPr="005565F8" w:rsidR="00D3235C">
        <w:rPr>
          <w:color w:val="000000" w:themeColor="text1"/>
        </w:rPr>
        <w:t>,</w:t>
      </w:r>
      <w:r w:rsidRPr="005565F8">
        <w:rPr>
          <w:color w:val="000000" w:themeColor="text1"/>
        </w:rPr>
        <w:t xml:space="preserve"> viennozīmīgi paplašina šo pakalpojumu saņēmēju loku, kā arī dod ieguldījumu vienotā digitālā tirgus valodu barjeras likvidēšanā. 2017. gadā uzsākta ERAF projekta īstenošana </w:t>
      </w:r>
      <w:r w:rsidRPr="005565F8">
        <w:rPr>
          <w:i/>
          <w:color w:val="000000" w:themeColor="text1"/>
        </w:rPr>
        <w:t>„</w:t>
      </w:r>
      <w:r w:rsidRPr="005565F8">
        <w:rPr>
          <w:i/>
          <w:color w:val="000000" w:themeColor="text1"/>
        </w:rPr>
        <w:t>Mašīntulkošana</w:t>
      </w:r>
      <w:r w:rsidRPr="005565F8">
        <w:rPr>
          <w:i/>
          <w:color w:val="000000" w:themeColor="text1"/>
        </w:rPr>
        <w:t>”</w:t>
      </w:r>
      <w:r w:rsidRPr="005565F8">
        <w:rPr>
          <w:color w:val="000000" w:themeColor="text1"/>
        </w:rPr>
        <w:t xml:space="preserve">, kura rezultātā </w:t>
      </w:r>
      <w:r w:rsidRPr="005565F8">
        <w:rPr>
          <w:color w:val="000000" w:themeColor="text1"/>
        </w:rPr>
        <w:t>mašīntulkošanas</w:t>
      </w:r>
      <w:r w:rsidRPr="005565F8">
        <w:rPr>
          <w:color w:val="000000" w:themeColor="text1"/>
        </w:rPr>
        <w:t xml:space="preserve"> sistēmai tiks uzlabota tulkojumu kvalitāte un tā tiks pielāgota divām papildu nozarēm – kultūrai un tieslietām. Projekta Hugo.lv ietvaros tiks ieviesta latviešu valodas runas atpazīšana un runas sintēze. Publiski piekļuve funkcionalitātei tiks nodrošināta līdz 2018. gada beigām. Tāpat plānots </w:t>
      </w:r>
      <w:r w:rsidRPr="005565F8" w:rsidR="006D5D79">
        <w:rPr>
          <w:color w:val="000000" w:themeColor="text1"/>
        </w:rPr>
        <w:t>2018.gada</w:t>
      </w:r>
      <w:r w:rsidRPr="005565F8">
        <w:rPr>
          <w:color w:val="000000" w:themeColor="text1"/>
        </w:rPr>
        <w:t xml:space="preserve"> vidū uzsākt projektu </w:t>
      </w:r>
      <w:r w:rsidRPr="005565F8">
        <w:rPr>
          <w:i/>
          <w:color w:val="000000" w:themeColor="text1"/>
        </w:rPr>
        <w:t>„</w:t>
      </w:r>
      <w:r w:rsidRPr="005565F8">
        <w:rPr>
          <w:i/>
          <w:color w:val="000000" w:themeColor="text1"/>
        </w:rPr>
        <w:t>Mašīntulkošana</w:t>
      </w:r>
      <w:r w:rsidRPr="005565F8">
        <w:rPr>
          <w:i/>
          <w:color w:val="000000" w:themeColor="text1"/>
        </w:rPr>
        <w:t xml:space="preserve"> 2. kārta”</w:t>
      </w:r>
      <w:r w:rsidRPr="005565F8">
        <w:rPr>
          <w:color w:val="000000" w:themeColor="text1"/>
        </w:rPr>
        <w:t>, kura ietvaros tiks izveidota publiskās pārvaldes virtuālo asistentu platforma, kas iedzīvotājiem sniedz informācijas pakalpojumus inovatīvā dabīgās valodas dialoga veidā, nodrošinot lietotājam draudzīgu izmantošanu tiešsaistes saziņas vidēs.</w:t>
      </w:r>
    </w:p>
    <w:p w:rsidR="008B263D" w:rsidRPr="005565F8" w:rsidP="008B263D" w14:paraId="125276AD" w14:textId="77777777">
      <w:pPr>
        <w:suppressAutoHyphens/>
        <w:rPr>
          <w:color w:val="000000" w:themeColor="text1"/>
        </w:rPr>
      </w:pPr>
      <w:r w:rsidRPr="005565F8">
        <w:rPr>
          <w:color w:val="000000" w:themeColor="text1"/>
        </w:rPr>
        <w:t xml:space="preserve">2017. gadā Latvijas Nacionālā bibliotēka sadarbībā ar Kultūras sistēmu informācijas centru, Latvijas Nacionālo arhīvu un Valsts kultūras pieminekļu aizsardzības inspekciju ir uzsākusi īstenot ERAF projektu </w:t>
      </w:r>
      <w:r w:rsidRPr="005565F8">
        <w:rPr>
          <w:i/>
          <w:color w:val="000000" w:themeColor="text1"/>
        </w:rPr>
        <w:t xml:space="preserve">„Kultūras mantojuma satura </w:t>
      </w:r>
      <w:r w:rsidRPr="005565F8">
        <w:rPr>
          <w:i/>
          <w:color w:val="000000" w:themeColor="text1"/>
        </w:rPr>
        <w:t>digitalizācija</w:t>
      </w:r>
      <w:r w:rsidRPr="005565F8">
        <w:rPr>
          <w:i/>
          <w:color w:val="000000" w:themeColor="text1"/>
        </w:rPr>
        <w:t xml:space="preserve"> (1. kārta)”</w:t>
      </w:r>
      <w:r w:rsidRPr="005565F8">
        <w:rPr>
          <w:color w:val="000000" w:themeColor="text1"/>
        </w:rPr>
        <w:t xml:space="preserve">. Plānots izstrādāt vienotas atvērtas informācijas sistēmu platformas 1. Kārtu un tās komponentes, izveidot kultūras mantojuma </w:t>
      </w:r>
      <w:r w:rsidRPr="005565F8">
        <w:rPr>
          <w:color w:val="000000" w:themeColor="text1"/>
        </w:rPr>
        <w:t>digitalizācijas</w:t>
      </w:r>
      <w:r w:rsidRPr="005565F8">
        <w:rPr>
          <w:color w:val="000000" w:themeColor="text1"/>
        </w:rPr>
        <w:t xml:space="preserve"> kompetenču centrus</w:t>
      </w:r>
      <w:r w:rsidRPr="005565F8" w:rsidR="006D5D79">
        <w:rPr>
          <w:color w:val="000000" w:themeColor="text1"/>
        </w:rPr>
        <w:t xml:space="preserve"> u.c</w:t>
      </w:r>
      <w:r w:rsidRPr="005565F8">
        <w:rPr>
          <w:color w:val="000000" w:themeColor="text1"/>
        </w:rPr>
        <w:t xml:space="preserve">. Projekta ietvaros tiks risināti arī autortiesību, digitālā kultūras mantojuma ilgstošas saglabāšanas un kultūras nozares atvērto datu veidošanas un </w:t>
      </w:r>
      <w:r w:rsidRPr="005565F8">
        <w:rPr>
          <w:color w:val="000000" w:themeColor="text1"/>
        </w:rPr>
        <w:t>atkalizmantošanas</w:t>
      </w:r>
      <w:r w:rsidRPr="005565F8">
        <w:rPr>
          <w:color w:val="000000" w:themeColor="text1"/>
        </w:rPr>
        <w:t xml:space="preserve"> jautājumi.</w:t>
      </w:r>
    </w:p>
    <w:p w:rsidR="008B263D" w:rsidRPr="005565F8" w:rsidP="008B263D" w14:paraId="009F72F0" w14:textId="77777777">
      <w:pPr>
        <w:rPr>
          <w:color w:val="000000"/>
        </w:rPr>
      </w:pPr>
      <w:r w:rsidRPr="005565F8">
        <w:rPr>
          <w:color w:val="000000"/>
        </w:rPr>
        <w:t>2017. gadā tika uzsākta visaptveroša portāla www.eveseliba.gov.lv darbība. Izmantojot ES fondu 2014.-2020. gada plānošanas perioda finansējumu tiek turpināta e-veselības sistēmas attīstība un modernizēta nozares informācijas sistēma (reģistri), integrējot tos vienotajā e-veselības vidē, vienlaicīgi veicot arī to optimizāciju</w:t>
      </w:r>
      <w:r w:rsidRPr="005565F8" w:rsidR="005961C5">
        <w:rPr>
          <w:color w:val="000000"/>
        </w:rPr>
        <w:t xml:space="preserve"> </w:t>
      </w:r>
      <w:r w:rsidRPr="005565F8" w:rsidR="005961C5">
        <w:rPr>
          <w:i/>
          <w:color w:val="000000"/>
        </w:rPr>
        <w:t>(skat. arī 3.5.2.nodaļu)</w:t>
      </w:r>
      <w:r w:rsidRPr="005565F8">
        <w:rPr>
          <w:color w:val="000000"/>
        </w:rPr>
        <w:t>.</w:t>
      </w:r>
    </w:p>
    <w:p w:rsidR="0071245D" w:rsidRPr="005565F8" w:rsidP="0071245D" w14:paraId="00091B7C" w14:textId="77777777">
      <w:pPr>
        <w:rPr>
          <w:rFonts w:asciiTheme="majorHAnsi" w:hAnsiTheme="majorHAnsi"/>
          <w:color w:val="000000"/>
          <w:szCs w:val="20"/>
        </w:rPr>
      </w:pPr>
      <w:r w:rsidRPr="005565F8">
        <w:rPr>
          <w:rFonts w:asciiTheme="majorHAnsi" w:hAnsiTheme="majorHAnsi"/>
          <w:color w:val="000000"/>
        </w:rPr>
        <w:t>2017</w:t>
      </w:r>
      <w:r w:rsidRPr="005565F8">
        <w:rPr>
          <w:rFonts w:asciiTheme="majorHAnsi" w:hAnsiTheme="majorHAnsi"/>
          <w:color w:val="000000"/>
        </w:rPr>
        <w:t xml:space="preserve">.gadā turpināja palielināties projektu skaits ar Latvijas partneru dalību, kuru izstrāde tiek nodrošināta ar </w:t>
      </w:r>
      <w:r w:rsidRPr="005565F8">
        <w:rPr>
          <w:rFonts w:asciiTheme="majorHAnsi" w:hAnsiTheme="majorHAnsi"/>
        </w:rPr>
        <w:t>Eiropas infrastruktūras savienošanas instrumenta (turpmāk –EISI) atbalstu</w:t>
      </w:r>
      <w:r w:rsidRPr="005565F8">
        <w:rPr>
          <w:rFonts w:asciiTheme="majorHAnsi" w:hAnsiTheme="majorHAnsi"/>
          <w:color w:val="000000"/>
        </w:rPr>
        <w:t xml:space="preserve">. To vidū tiek realizēti projekti digitālu rēķinu ieviešanai, </w:t>
      </w:r>
      <w:r w:rsidRPr="005565F8">
        <w:rPr>
          <w:rFonts w:asciiTheme="majorHAnsi" w:hAnsiTheme="majorHAnsi"/>
          <w:color w:val="000000"/>
          <w:szCs w:val="20"/>
        </w:rPr>
        <w:t>mašīntulkošanas</w:t>
      </w:r>
      <w:r w:rsidRPr="005565F8">
        <w:rPr>
          <w:rFonts w:asciiTheme="majorHAnsi" w:hAnsiTheme="majorHAnsi"/>
          <w:color w:val="000000"/>
          <w:szCs w:val="20"/>
        </w:rPr>
        <w:t xml:space="preserve"> rīku pilnveidošana, Latvijas drošāka interneta centra darbības nodrošināšana un aktivitāšu īstenošana, projekti labklājības, kultūras un tieslietu u.c.</w:t>
      </w:r>
      <w:r w:rsidRPr="005565F8" w:rsidR="005D1AD0">
        <w:rPr>
          <w:rFonts w:asciiTheme="majorHAnsi" w:hAnsiTheme="majorHAnsi"/>
          <w:color w:val="000000"/>
          <w:szCs w:val="20"/>
        </w:rPr>
        <w:t xml:space="preserve"> jomās.</w:t>
      </w:r>
    </w:p>
    <w:p w:rsidR="0071245D" w:rsidRPr="005565F8" w:rsidP="0071245D" w14:paraId="787023A9" w14:textId="77777777">
      <w:pPr>
        <w:rPr>
          <w:color w:val="000000"/>
        </w:rPr>
        <w:sectPr w:rsidSect="009C339C">
          <w:type w:val="continuous"/>
          <w:pgSz w:w="11906" w:h="16838" w:code="9"/>
          <w:pgMar w:top="1134" w:right="1134" w:bottom="1134" w:left="1134" w:header="709" w:footer="709" w:gutter="0"/>
          <w:cols w:num="2" w:space="340"/>
          <w:titlePg/>
          <w:docGrid w:linePitch="360"/>
        </w:sectPr>
      </w:pPr>
      <w:r w:rsidRPr="005565F8">
        <w:rPr>
          <w:color w:val="000000"/>
        </w:rPr>
        <w:t xml:space="preserve">2017.gadā Informācijas </w:t>
      </w:r>
      <w:r w:rsidRPr="005565F8" w:rsidR="00022D0B">
        <w:rPr>
          <w:color w:val="000000"/>
        </w:rPr>
        <w:t>s</w:t>
      </w:r>
      <w:r w:rsidRPr="005565F8">
        <w:rPr>
          <w:color w:val="000000"/>
        </w:rPr>
        <w:t xml:space="preserve">abiedrības </w:t>
      </w:r>
      <w:r w:rsidRPr="005565F8" w:rsidR="005D1AD0">
        <w:rPr>
          <w:color w:val="000000"/>
        </w:rPr>
        <w:t xml:space="preserve">padomes sēdē tika apstiprināts </w:t>
      </w:r>
      <w:r w:rsidRPr="005565F8" w:rsidR="005D1AD0">
        <w:rPr>
          <w:i/>
          <w:color w:val="000000"/>
        </w:rPr>
        <w:t>Datos balstītas sabiedrības</w:t>
      </w:r>
      <w:r w:rsidRPr="005565F8" w:rsidR="005D1AD0">
        <w:rPr>
          <w:color w:val="000000"/>
        </w:rPr>
        <w:t xml:space="preserve"> </w:t>
      </w:r>
      <w:r w:rsidRPr="005565F8">
        <w:rPr>
          <w:i/>
          <w:color w:val="000000"/>
        </w:rPr>
        <w:t>iniciatīvas rīcības plāns</w:t>
      </w:r>
      <w:r w:rsidRPr="005565F8">
        <w:rPr>
          <w:color w:val="000000"/>
        </w:rPr>
        <w:t>, kurā ietvertas konkrētas aktivitātes  datu demokratizēšanā, sabiedrības iesaistē lēmumu pieņemšanā un IKT nozares atbalstā, fokusējoties uz inovatīviem starpnozaru produktiem un pakalpojumiem.</w:t>
      </w:r>
    </w:p>
    <w:p w:rsidR="00CC5E28" w:rsidRPr="005565F8" w:rsidP="008B263D" w14:paraId="0114F7E7" w14:textId="77777777">
      <w:pPr>
        <w:rPr>
          <w:color w:val="000000"/>
        </w:rPr>
        <w:sectPr w:rsidSect="005D1AD0">
          <w:type w:val="continuous"/>
          <w:pgSz w:w="11906" w:h="16838" w:code="9"/>
          <w:pgMar w:top="1134" w:right="1134" w:bottom="1134" w:left="1134" w:header="709" w:footer="567" w:gutter="0"/>
          <w:cols w:num="2" w:space="340"/>
          <w:titlePg/>
          <w:docGrid w:linePitch="360"/>
        </w:sectPr>
      </w:pPr>
    </w:p>
    <w:p w:rsidR="006A6DD0" w:rsidRPr="005565F8" w:rsidP="006A6DD0" w14:paraId="2095F42C"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IKT drošības veicināšana</w:t>
      </w:r>
    </w:p>
    <w:p w:rsidR="006A6DD0" w:rsidRPr="005565F8" w:rsidP="006A6DD0" w14:paraId="33C510D7"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 xml:space="preserve">/atbildīgā institūcija – </w:t>
      </w:r>
      <w:r w:rsidRPr="005565F8">
        <w:rPr>
          <w:rFonts w:eastAsia="+mn-ea"/>
          <w:color w:val="595959" w:themeColor="text1" w:themeTint="A6"/>
          <w:sz w:val="16"/>
        </w:rPr>
        <w:t>A</w:t>
      </w:r>
      <w:r w:rsidRPr="005565F8" w:rsidR="00A26A0F">
        <w:rPr>
          <w:rFonts w:eastAsia="+mn-ea"/>
          <w:color w:val="595959" w:themeColor="text1" w:themeTint="A6"/>
          <w:sz w:val="16"/>
        </w:rPr>
        <w:t>i</w:t>
      </w:r>
      <w:r w:rsidRPr="005565F8">
        <w:rPr>
          <w:rFonts w:eastAsia="+mn-ea"/>
          <w:color w:val="595959" w:themeColor="text1" w:themeTint="A6"/>
          <w:sz w:val="16"/>
        </w:rPr>
        <w:t>M</w:t>
      </w:r>
      <w:r w:rsidRPr="005565F8">
        <w:rPr>
          <w:rFonts w:eastAsia="+mn-ea"/>
          <w:color w:val="595959" w:themeColor="text1" w:themeTint="A6"/>
          <w:sz w:val="16"/>
        </w:rPr>
        <w:t>, VARAM/</w:t>
      </w:r>
    </w:p>
    <w:p w:rsidR="00CC5E28" w:rsidRPr="005565F8" w:rsidP="00B22046" w14:paraId="2A23E9ED"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991E4A" w:rsidRPr="005565F8" w:rsidP="00655D7E" w14:paraId="3ED1F4D0" w14:textId="77777777">
      <w:pPr>
        <w:spacing w:before="240" w:after="0"/>
      </w:pPr>
      <w:r w:rsidRPr="005565F8">
        <w:rPr>
          <w:i/>
        </w:rPr>
        <w:t xml:space="preserve">Latvijas </w:t>
      </w:r>
      <w:r w:rsidRPr="005565F8">
        <w:rPr>
          <w:i/>
        </w:rPr>
        <w:t>kiberdrošības</w:t>
      </w:r>
      <w:r w:rsidRPr="005565F8">
        <w:rPr>
          <w:i/>
        </w:rPr>
        <w:t xml:space="preserve"> stratēģij</w:t>
      </w:r>
      <w:r w:rsidRPr="005565F8" w:rsidR="00655D7E">
        <w:rPr>
          <w:i/>
        </w:rPr>
        <w:t>ā</w:t>
      </w:r>
      <w:r w:rsidRPr="005565F8">
        <w:rPr>
          <w:i/>
        </w:rPr>
        <w:t xml:space="preserve"> 2014.-2018. gadam</w:t>
      </w:r>
      <w:r w:rsidRPr="005565F8">
        <w:t xml:space="preserve"> </w:t>
      </w:r>
      <w:r w:rsidRPr="005565F8" w:rsidR="00655D7E">
        <w:t>ir izdalīti</w:t>
      </w:r>
      <w:r w:rsidRPr="005565F8">
        <w:t xml:space="preserve"> </w:t>
      </w:r>
      <w:r w:rsidRPr="005565F8">
        <w:rPr>
          <w:b/>
        </w:rPr>
        <w:t>piec</w:t>
      </w:r>
      <w:r w:rsidRPr="005565F8" w:rsidR="00655D7E">
        <w:rPr>
          <w:b/>
        </w:rPr>
        <w:t>i</w:t>
      </w:r>
      <w:r w:rsidRPr="005565F8">
        <w:rPr>
          <w:b/>
        </w:rPr>
        <w:t xml:space="preserve"> prioritār</w:t>
      </w:r>
      <w:r w:rsidRPr="005565F8" w:rsidR="00655D7E">
        <w:rPr>
          <w:b/>
        </w:rPr>
        <w:t>ie</w:t>
      </w:r>
      <w:r w:rsidRPr="005565F8">
        <w:rPr>
          <w:b/>
        </w:rPr>
        <w:t xml:space="preserve"> rīc</w:t>
      </w:r>
      <w:r w:rsidRPr="005565F8">
        <w:rPr>
          <w:b/>
        </w:rPr>
        <w:t>ības virzien</w:t>
      </w:r>
      <w:r w:rsidRPr="005565F8" w:rsidR="00655D7E">
        <w:rPr>
          <w:b/>
        </w:rPr>
        <w:t>i</w:t>
      </w:r>
      <w:r w:rsidRPr="005565F8">
        <w:t>:</w:t>
      </w:r>
    </w:p>
    <w:p w:rsidR="00991E4A" w:rsidRPr="005565F8" w:rsidP="00735883" w14:paraId="17A9AB3D" w14:textId="77777777">
      <w:pPr>
        <w:pStyle w:val="ListParagraph"/>
        <w:numPr>
          <w:ilvl w:val="0"/>
          <w:numId w:val="48"/>
        </w:numPr>
        <w:spacing w:after="0"/>
        <w:ind w:left="426" w:hanging="284"/>
        <w:contextualSpacing w:val="0"/>
      </w:pPr>
      <w:r w:rsidRPr="005565F8">
        <w:t>kiberdrošības</w:t>
      </w:r>
      <w:r w:rsidRPr="005565F8">
        <w:t xml:space="preserve"> pārvaldība un resursi</w:t>
      </w:r>
      <w:r w:rsidRPr="005565F8">
        <w:t>;</w:t>
      </w:r>
    </w:p>
    <w:p w:rsidR="00991E4A" w:rsidRPr="005565F8" w:rsidP="00735883" w14:paraId="631B12E2" w14:textId="77777777">
      <w:pPr>
        <w:pStyle w:val="ListParagraph"/>
        <w:numPr>
          <w:ilvl w:val="0"/>
          <w:numId w:val="48"/>
        </w:numPr>
        <w:spacing w:before="240"/>
        <w:ind w:left="426" w:hanging="284"/>
      </w:pPr>
      <w:r w:rsidRPr="005565F8">
        <w:t xml:space="preserve">tiesiskums kibertelpā un </w:t>
      </w:r>
      <w:r w:rsidRPr="005565F8">
        <w:t>kibernoziedzības</w:t>
      </w:r>
      <w:r w:rsidRPr="005565F8">
        <w:t xml:space="preserve"> mazināšana</w:t>
      </w:r>
      <w:r w:rsidRPr="005565F8">
        <w:t>;</w:t>
      </w:r>
    </w:p>
    <w:p w:rsidR="00991E4A" w:rsidRPr="005565F8" w:rsidP="00735883" w14:paraId="20B04C22" w14:textId="77777777">
      <w:pPr>
        <w:pStyle w:val="ListParagraph"/>
        <w:numPr>
          <w:ilvl w:val="0"/>
          <w:numId w:val="48"/>
        </w:numPr>
        <w:spacing w:before="240"/>
        <w:ind w:left="426" w:hanging="284"/>
      </w:pPr>
      <w:r w:rsidRPr="005565F8">
        <w:t>sabiedrības izpratne, izglītība un pētniecība</w:t>
      </w:r>
      <w:r w:rsidRPr="005565F8">
        <w:t>;</w:t>
      </w:r>
    </w:p>
    <w:p w:rsidR="00991E4A" w:rsidRPr="005565F8" w:rsidP="00735883" w14:paraId="26657AA3" w14:textId="77777777">
      <w:pPr>
        <w:pStyle w:val="ListParagraph"/>
        <w:numPr>
          <w:ilvl w:val="0"/>
          <w:numId w:val="48"/>
        </w:numPr>
        <w:spacing w:before="240"/>
        <w:ind w:left="426" w:hanging="284"/>
      </w:pPr>
      <w:r w:rsidRPr="005565F8">
        <w:t>gatavība un rīcībspēja krīzes situācijās</w:t>
      </w:r>
      <w:r w:rsidRPr="005565F8">
        <w:t>;</w:t>
      </w:r>
    </w:p>
    <w:p w:rsidR="00991E4A" w:rsidRPr="005565F8" w:rsidP="00735883" w14:paraId="1E1E813B" w14:textId="77777777">
      <w:pPr>
        <w:pStyle w:val="ListParagraph"/>
        <w:numPr>
          <w:ilvl w:val="0"/>
          <w:numId w:val="48"/>
        </w:numPr>
        <w:spacing w:after="0"/>
        <w:ind w:left="426" w:hanging="284"/>
        <w:contextualSpacing w:val="0"/>
      </w:pPr>
      <w:r w:rsidRPr="005565F8">
        <w:t>starptautiskā sadarbība.</w:t>
      </w:r>
    </w:p>
    <w:p w:rsidR="008B263D" w:rsidRPr="005565F8" w:rsidP="00977A82" w14:paraId="135068E3" w14:textId="77777777">
      <w:r w:rsidRPr="005565F8">
        <w:t>Prioritāro virzienu īstenošanai un izpildei ir apstiprināts rīcības plāns.</w:t>
      </w:r>
    </w:p>
    <w:p w:rsidR="008B263D" w:rsidRPr="005565F8" w:rsidP="00E60B17" w14:paraId="0ED485A3" w14:textId="77777777">
      <w:pPr>
        <w:rPr>
          <w:color w:val="000000" w:themeColor="text1"/>
        </w:rPr>
      </w:pPr>
      <w:r w:rsidRPr="005565F8">
        <w:rPr>
          <w:color w:val="000000" w:themeColor="text1"/>
        </w:rPr>
        <w:t xml:space="preserve">2017. gadā valsts IKT risinājumos un infrastruktūrā tika organizēti ielaušanās testi, paplašināts agrās brīdināšanas sistēmas tīkls, kā arī tika organizētas gan tehniskās, gan vadības līmeņa </w:t>
      </w:r>
      <w:r w:rsidRPr="005565F8">
        <w:rPr>
          <w:color w:val="000000" w:themeColor="text1"/>
        </w:rPr>
        <w:t>kiberdrošības</w:t>
      </w:r>
      <w:r w:rsidRPr="005565F8">
        <w:rPr>
          <w:color w:val="000000" w:themeColor="text1"/>
        </w:rPr>
        <w:t xml:space="preserve"> mācības, tika veikti pasākumi sabiedrības izglītošanai </w:t>
      </w:r>
      <w:r w:rsidRPr="005565F8">
        <w:rPr>
          <w:color w:val="000000" w:themeColor="text1"/>
        </w:rPr>
        <w:t>kiberdrošības</w:t>
      </w:r>
      <w:r w:rsidRPr="005565F8">
        <w:rPr>
          <w:color w:val="000000" w:themeColor="text1"/>
        </w:rPr>
        <w:t xml:space="preserve"> jomā. Ar grozījumiem </w:t>
      </w:r>
      <w:r w:rsidRPr="005565F8">
        <w:rPr>
          <w:i/>
          <w:iCs/>
          <w:color w:val="000000" w:themeColor="text1"/>
        </w:rPr>
        <w:t xml:space="preserve">Informācijas tehnoloģiju drošības likumā </w:t>
      </w:r>
      <w:r w:rsidRPr="005565F8">
        <w:rPr>
          <w:iCs/>
          <w:color w:val="000000" w:themeColor="text1"/>
        </w:rPr>
        <w:t xml:space="preserve">no </w:t>
      </w:r>
      <w:r w:rsidRPr="005565F8">
        <w:rPr>
          <w:color w:val="000000" w:themeColor="text1"/>
          <w:shd w:val="clear" w:color="auto" w:fill="FFFFFF"/>
        </w:rPr>
        <w:t>2017. gada 19. jūlija informācijas tehnoloģiju drošības incidentu novēršanas institūcijām ir tiesības pieprasīt domēna “.lv” sistēmas uzturētājam atslēgt “.lv” domēna vārdu informācijas tehnoloģiju drošības incidentu gadījumā, ja drošības incidentu nav iespējams novērst citā veidā.</w:t>
      </w:r>
      <w:r w:rsidRPr="005565F8">
        <w:rPr>
          <w:iCs/>
          <w:color w:val="000000" w:themeColor="text1"/>
        </w:rPr>
        <w:t xml:space="preserve"> Tāpat </w:t>
      </w:r>
      <w:r w:rsidRPr="005565F8" w:rsidR="00B908F9">
        <w:rPr>
          <w:color w:val="000000" w:themeColor="text1"/>
        </w:rPr>
        <w:t>2017.</w:t>
      </w:r>
      <w:r w:rsidRPr="005565F8">
        <w:rPr>
          <w:color w:val="000000" w:themeColor="text1"/>
        </w:rPr>
        <w:t>gadā tika izstrādāti un apstiprināti MK noteikumi, kas nosaka drošības prasības kvalificētiem un kvalificētiem paaugstinātas drošības elektroniskā</w:t>
      </w:r>
      <w:r w:rsidRPr="005565F8" w:rsidR="00E3417F">
        <w:rPr>
          <w:color w:val="000000" w:themeColor="text1"/>
        </w:rPr>
        <w:t>s identifikācijas pakalpojumiem</w:t>
      </w:r>
      <w:r w:rsidRPr="005565F8">
        <w:rPr>
          <w:color w:val="000000" w:themeColor="text1"/>
        </w:rPr>
        <w:t>.</w:t>
      </w:r>
    </w:p>
    <w:p w:rsidR="008B263D" w:rsidRPr="005565F8" w:rsidP="00E60B17" w14:paraId="0A178866" w14:textId="77777777">
      <w:r w:rsidRPr="005565F8">
        <w:t>Lai</w:t>
      </w:r>
      <w:r w:rsidRPr="005565F8">
        <w:t xml:space="preserve"> </w:t>
      </w:r>
      <w:r w:rsidRPr="005565F8">
        <w:t xml:space="preserve">veicinātu </w:t>
      </w:r>
      <w:r w:rsidRPr="005565F8">
        <w:t>eID</w:t>
      </w:r>
      <w:r w:rsidRPr="005565F8">
        <w:t xml:space="preserve"> kartes plašāku izmantošanu, MK atbalstīja ideju </w:t>
      </w:r>
      <w:r w:rsidRPr="005565F8">
        <w:t xml:space="preserve">noteikt </w:t>
      </w:r>
      <w:r w:rsidRPr="005565F8">
        <w:t>eID</w:t>
      </w:r>
      <w:r w:rsidRPr="005565F8">
        <w:t xml:space="preserve"> kā obligātu un primāru </w:t>
      </w:r>
      <w:r w:rsidRPr="005565F8">
        <w:t>personas identifikācijas līdzekli sākot no 2023. gada, paredzot pārejas periodu no 2019. gada līdz 2022. gadam.</w:t>
      </w:r>
    </w:p>
    <w:p w:rsidR="008B263D" w:rsidRPr="005565F8" w:rsidP="00184F89" w14:paraId="43D85DC9" w14:textId="77777777">
      <w:r w:rsidRPr="005565F8">
        <w:rPr>
          <w:color w:val="000000" w:themeColor="text1"/>
        </w:rPr>
        <w:t xml:space="preserve">2017.gadā tika uzsākta </w:t>
      </w:r>
      <w:r w:rsidRPr="005565F8">
        <w:rPr>
          <w:i/>
        </w:rPr>
        <w:t>Eiropas Parlamenta un Padomes regulas (ES) Nr.910/2014</w:t>
      </w:r>
      <w:r>
        <w:rPr>
          <w:rStyle w:val="FootnoteReference"/>
          <w:i/>
        </w:rPr>
        <w:footnoteReference w:id="33"/>
      </w:r>
      <w:r w:rsidRPr="005565F8">
        <w:t xml:space="preserve"> (</w:t>
      </w:r>
      <w:r w:rsidRPr="005565F8" w:rsidR="00267C1A">
        <w:t xml:space="preserve">turpmāk – </w:t>
      </w:r>
      <w:r w:rsidRPr="005565F8">
        <w:t>eIDAS</w:t>
      </w:r>
      <w:r w:rsidRPr="005565F8">
        <w:t xml:space="preserve"> regula) </w:t>
      </w:r>
      <w:r w:rsidRPr="005565F8">
        <w:rPr>
          <w:color w:val="000000" w:themeColor="text1"/>
        </w:rPr>
        <w:t>normu piemērošana, izvērtējot kvalificētā uzticamības pakalpojuma sniedzēja un tā sniegto pakalpoj</w:t>
      </w:r>
      <w:r w:rsidRPr="005565F8" w:rsidR="00267C1A">
        <w:rPr>
          <w:color w:val="000000" w:themeColor="text1"/>
        </w:rPr>
        <w:t>umu atbilstību regulas prasībām</w:t>
      </w:r>
      <w:r w:rsidRPr="005565F8">
        <w:rPr>
          <w:color w:val="000000" w:themeColor="text1"/>
        </w:rPr>
        <w:t>.</w:t>
      </w:r>
    </w:p>
    <w:p w:rsidR="00184F89" w:rsidRPr="005565F8" w:rsidP="00184F89" w14:paraId="5E92D2B7" w14:textId="77777777">
      <w:pPr>
        <w:pStyle w:val="Heading4"/>
        <w:spacing w:before="0" w:after="120"/>
        <w:rPr>
          <w:rFonts w:eastAsia="Calibri" w:cs="Times New Roman"/>
          <w:i w:val="0"/>
          <w:iCs w:val="0"/>
          <w:color w:val="000000" w:themeColor="text1"/>
          <w:szCs w:val="20"/>
        </w:rPr>
      </w:pPr>
      <w:r w:rsidRPr="005565F8">
        <w:rPr>
          <w:rFonts w:eastAsia="Calibri" w:cs="Times New Roman"/>
          <w:i w:val="0"/>
          <w:iCs w:val="0"/>
          <w:color w:val="000000" w:themeColor="text1"/>
          <w:szCs w:val="20"/>
        </w:rPr>
        <w:t xml:space="preserve">Ar EISI līdzfinansētā projekta </w:t>
      </w:r>
      <w:r w:rsidRPr="005565F8">
        <w:rPr>
          <w:rFonts w:eastAsia="Calibri" w:cs="Times New Roman"/>
          <w:iCs w:val="0"/>
          <w:color w:val="000000" w:themeColor="text1"/>
          <w:szCs w:val="20"/>
        </w:rPr>
        <w:t>„</w:t>
      </w:r>
      <w:r w:rsidRPr="005565F8">
        <w:rPr>
          <w:rFonts w:eastAsia="Calibri" w:cs="Times New Roman"/>
          <w:iCs w:val="0"/>
          <w:color w:val="000000" w:themeColor="text1"/>
          <w:szCs w:val="20"/>
        </w:rPr>
        <w:t>eIDAS</w:t>
      </w:r>
      <w:r w:rsidRPr="005565F8">
        <w:rPr>
          <w:rFonts w:eastAsia="Calibri" w:cs="Times New Roman"/>
          <w:iCs w:val="0"/>
          <w:color w:val="000000" w:themeColor="text1"/>
          <w:szCs w:val="20"/>
        </w:rPr>
        <w:t xml:space="preserve"> CEF Project Latvia”</w:t>
      </w:r>
      <w:r w:rsidRPr="005565F8">
        <w:rPr>
          <w:rFonts w:eastAsia="Calibri" w:cs="Times New Roman"/>
          <w:i w:val="0"/>
          <w:iCs w:val="0"/>
          <w:color w:val="000000" w:themeColor="text1"/>
          <w:szCs w:val="20"/>
        </w:rPr>
        <w:t xml:space="preserve"> atbalstu, izmantojot Valsts reģionālās attīstības aģentūras uzturēto vienotās pieteikšanās risinājumu un </w:t>
      </w:r>
      <w:r w:rsidRPr="005565F8">
        <w:rPr>
          <w:rFonts w:eastAsia="Calibri" w:cs="Times New Roman"/>
          <w:i w:val="0"/>
          <w:iCs w:val="0"/>
          <w:color w:val="000000" w:themeColor="text1"/>
          <w:szCs w:val="20"/>
        </w:rPr>
        <w:t>eIDAS</w:t>
      </w:r>
      <w:r w:rsidRPr="005565F8">
        <w:rPr>
          <w:rFonts w:eastAsia="Calibri" w:cs="Times New Roman"/>
          <w:i w:val="0"/>
          <w:iCs w:val="0"/>
          <w:color w:val="000000" w:themeColor="text1"/>
          <w:szCs w:val="20"/>
        </w:rPr>
        <w:t xml:space="preserve"> nacionālo vārteju, </w:t>
      </w:r>
      <w:r w:rsidRPr="005565F8">
        <w:rPr>
          <w:rFonts w:eastAsia="Calibri" w:cs="Times New Roman"/>
          <w:i w:val="0"/>
          <w:iCs w:val="0"/>
          <w:color w:val="000000" w:themeColor="text1"/>
          <w:szCs w:val="20"/>
        </w:rPr>
        <w:t>eIDAS</w:t>
      </w:r>
      <w:r w:rsidRPr="005565F8">
        <w:rPr>
          <w:rFonts w:eastAsia="Calibri" w:cs="Times New Roman"/>
          <w:i w:val="0"/>
          <w:iCs w:val="0"/>
          <w:color w:val="000000" w:themeColor="text1"/>
          <w:szCs w:val="20"/>
        </w:rPr>
        <w:t xml:space="preserve"> regulas prasībām</w:t>
      </w:r>
      <w:r w:rsidRPr="005565F8">
        <w:rPr>
          <w:rFonts w:eastAsia="Calibri" w:cs="Times New Roman"/>
          <w:i w:val="0"/>
          <w:iCs w:val="0"/>
          <w:color w:val="000000" w:themeColor="text1"/>
          <w:szCs w:val="20"/>
        </w:rPr>
        <w:t>,</w:t>
      </w:r>
      <w:r w:rsidRPr="005565F8">
        <w:rPr>
          <w:rFonts w:eastAsia="Calibri" w:cs="Times New Roman"/>
          <w:i w:val="0"/>
          <w:iCs w:val="0"/>
          <w:color w:val="000000" w:themeColor="text1"/>
          <w:szCs w:val="20"/>
        </w:rPr>
        <w:t xml:space="preserve"> tiks pielāgoti e-pakalpojumi, nodrošinot to pieejamību personām, kuras izmanto citu ES dalībvalstu paziņotus elektroniskās identifikācijas risinājumus. Latvijas Drošāka interneta centrs ar EISI atbalstu realizē projektu </w:t>
      </w:r>
      <w:r w:rsidRPr="005565F8">
        <w:rPr>
          <w:rFonts w:eastAsia="Calibri" w:cs="Times New Roman"/>
          <w:iCs w:val="0"/>
          <w:color w:val="000000" w:themeColor="text1"/>
          <w:szCs w:val="20"/>
        </w:rPr>
        <w:t>“Drošāks internets”</w:t>
      </w:r>
      <w:r w:rsidRPr="005565F8">
        <w:rPr>
          <w:rFonts w:eastAsia="Calibri" w:cs="Times New Roman"/>
          <w:i w:val="0"/>
          <w:iCs w:val="0"/>
          <w:color w:val="000000" w:themeColor="text1"/>
          <w:szCs w:val="20"/>
        </w:rPr>
        <w:t>, izglītojot un informējot sabiedrību par bērnu drošību internetā un nodrošinot iespēju ziņot par atklātajiem pārkāpumiem</w:t>
      </w:r>
      <w:r w:rsidRPr="005565F8" w:rsidR="00022D0B">
        <w:rPr>
          <w:rFonts w:eastAsia="Calibri" w:cs="Times New Roman"/>
          <w:i w:val="0"/>
          <w:iCs w:val="0"/>
          <w:color w:val="000000" w:themeColor="text1"/>
          <w:szCs w:val="20"/>
        </w:rPr>
        <w:t xml:space="preserve"> </w:t>
      </w:r>
      <w:r w:rsidRPr="005565F8">
        <w:rPr>
          <w:rFonts w:eastAsia="Calibri" w:cs="Times New Roman"/>
          <w:i w:val="0"/>
          <w:iCs w:val="0"/>
          <w:color w:val="000000" w:themeColor="text1"/>
          <w:szCs w:val="20"/>
        </w:rPr>
        <w:t>internetā.</w:t>
      </w:r>
      <w:r w:rsidRPr="005565F8">
        <w:rPr>
          <w:rFonts w:eastAsia="Calibri" w:cs="Times New Roman"/>
          <w:i w:val="0"/>
          <w:iCs w:val="0"/>
          <w:color w:val="000000" w:themeColor="text1"/>
          <w:szCs w:val="20"/>
        </w:rPr>
        <w:t xml:space="preserve"> </w:t>
      </w:r>
    </w:p>
    <w:p w:rsidR="00CC5E28" w:rsidRPr="005565F8" w:rsidP="006A6DD0" w14:paraId="41AAA97F"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r w:rsidRPr="005565F8">
        <w:t xml:space="preserve">2018.gadā prioritāra būs iepriekšējā gadā aizsākto iniciatīvu turpināšana un ieviešana praksē, bet paralēli tam darbs saistīsies ar jaunas </w:t>
      </w:r>
      <w:r w:rsidRPr="005565F8">
        <w:rPr>
          <w:i/>
        </w:rPr>
        <w:t xml:space="preserve">Latvijas </w:t>
      </w:r>
      <w:r w:rsidRPr="005565F8">
        <w:rPr>
          <w:i/>
        </w:rPr>
        <w:t>kiberdrošības</w:t>
      </w:r>
      <w:r w:rsidRPr="005565F8">
        <w:rPr>
          <w:i/>
        </w:rPr>
        <w:t xml:space="preserve"> stratēģijas</w:t>
      </w:r>
      <w:r w:rsidRPr="005565F8">
        <w:t xml:space="preserve"> izstrādi, kā arī turpināsies darbs, kas tika uzsākts 2017. gadā, pie </w:t>
      </w:r>
      <w:r w:rsidRPr="005565F8">
        <w:rPr>
          <w:i/>
          <w:color w:val="000000" w:themeColor="text1"/>
        </w:rPr>
        <w:t>Eiropas Parlamenta un Padomes direktīvas (ES) 2016/1148</w:t>
      </w:r>
      <w:r>
        <w:rPr>
          <w:rStyle w:val="FootnoteReference"/>
          <w:i/>
          <w:color w:val="000000" w:themeColor="text1"/>
        </w:rPr>
        <w:footnoteReference w:id="34"/>
      </w:r>
      <w:r w:rsidRPr="005565F8">
        <w:rPr>
          <w:color w:val="000000" w:themeColor="text1"/>
        </w:rPr>
        <w:t xml:space="preserve"> (NIS direktīva) normu pārņemšanas Latvijas normatīvajos aktos un ieviešanas.</w:t>
      </w:r>
    </w:p>
    <w:p w:rsidR="006A6DD0" w:rsidRPr="005565F8" w:rsidP="006A6DD0" w14:paraId="4B354002" w14:textId="77777777">
      <w:pPr>
        <w:rPr>
          <w:color w:val="000000"/>
        </w:rPr>
      </w:pPr>
    </w:p>
    <w:p w:rsidR="006A6DD0" w:rsidRPr="005565F8" w:rsidP="006A6DD0" w14:paraId="54E56285"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 xml:space="preserve">E-prasmju </w:t>
      </w:r>
      <w:r w:rsidRPr="005565F8" w:rsidR="00EF4196">
        <w:rPr>
          <w:rFonts w:ascii="Calibri Light" w:hAnsi="Calibri Light"/>
          <w:b/>
          <w:color w:val="228B9D"/>
          <w:sz w:val="24"/>
        </w:rPr>
        <w:t>attīstīb</w:t>
      </w:r>
      <w:r w:rsidRPr="005565F8">
        <w:rPr>
          <w:rFonts w:ascii="Calibri Light" w:hAnsi="Calibri Light"/>
          <w:b/>
          <w:color w:val="228B9D"/>
          <w:sz w:val="24"/>
        </w:rPr>
        <w:t>a</w:t>
      </w:r>
    </w:p>
    <w:p w:rsidR="006A6DD0" w:rsidRPr="005565F8" w:rsidP="006A6DD0" w14:paraId="7F016154"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VARAM, IZM/</w:t>
      </w:r>
    </w:p>
    <w:p w:rsidR="00CC5E28" w:rsidRPr="005565F8" w:rsidP="00B22046" w14:paraId="72FFCB9F"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8B263D" w:rsidRPr="005565F8" w:rsidP="006A6DD0" w14:paraId="5A33998E" w14:textId="77777777">
      <w:pPr>
        <w:spacing w:before="240"/>
      </w:pPr>
      <w:r w:rsidRPr="005565F8">
        <w:t xml:space="preserve">Mērķis </w:t>
      </w:r>
      <w:r w:rsidRPr="005565F8" w:rsidR="00E60B17">
        <w:t>–</w:t>
      </w:r>
      <w:r w:rsidRPr="005565F8">
        <w:t xml:space="preserve"> veicināt informācijas sabiedrības attīstību, sniedzot iespēju Latvijas iedzīvotājiem apgūt e-prasmes atbilstoši viņu izglītības un profesionālās aktivitātes līmenim.</w:t>
      </w:r>
    </w:p>
    <w:p w:rsidR="008B263D" w:rsidRPr="005565F8" w:rsidP="0088370F" w14:paraId="0896D41A" w14:textId="77777777">
      <w:pPr>
        <w:spacing w:before="120"/>
      </w:pPr>
      <w:r w:rsidRPr="005565F8">
        <w:t>E-prasmju attīstības veicināšanas politika ir jāskata kontekstā ar ISAP</w:t>
      </w:r>
      <w:r w:rsidRPr="005565F8" w:rsidR="003E40F0">
        <w:t xml:space="preserve">, kur </w:t>
      </w:r>
      <w:r w:rsidRPr="005565F8">
        <w:t>IKT izglītība un e</w:t>
      </w:r>
      <w:r w:rsidRPr="005565F8">
        <w:noBreakHyphen/>
        <w:t>prasmes ir definētas kā viens no septiņiem rīcības virzieniem. Aktivitātēm e-prasmju jomā jāveicina gan mazo un vidējo uzņēmumu darbinieku, gan arī iedzīvotāju motivāciju e-prasmju apguvei.</w:t>
      </w:r>
    </w:p>
    <w:p w:rsidR="008B263D" w:rsidRPr="005565F8" w:rsidP="00E60B17" w14:paraId="1D53920F" w14:textId="77777777">
      <w:pPr>
        <w:pStyle w:val="tvhtmlmktable"/>
        <w:spacing w:before="0" w:beforeAutospacing="0" w:after="120" w:afterAutospacing="0"/>
        <w:jc w:val="both"/>
        <w:rPr>
          <w:color w:val="000000"/>
        </w:rPr>
      </w:pPr>
      <w:r w:rsidRPr="005565F8">
        <w:t xml:space="preserve">Lai īstenotu ISAP izvirzīto mērķi e-prasmju uzlabošanai, noteiktas tādas aktivitātes kā iedzīvotāju, uzņēmēju un publiskajā pārvaldē nodarbināto e-prasmju pilnveide, partnerībā organizētas nodarbināto apmācības, </w:t>
      </w:r>
      <w:r w:rsidRPr="005565F8">
        <w:rPr>
          <w:color w:val="000000"/>
        </w:rPr>
        <w:t>e-prasmju apmācība bezdarbniekiem un darba meklētājiem, t.sk., iesaistot darba devējus u</w:t>
      </w:r>
      <w:r w:rsidRPr="005565F8" w:rsidR="00A60A35">
        <w:rPr>
          <w:color w:val="000000"/>
        </w:rPr>
        <w:t>.tml</w:t>
      </w:r>
      <w:r w:rsidRPr="005565F8">
        <w:rPr>
          <w:color w:val="000000"/>
        </w:rPr>
        <w:t>.</w:t>
      </w:r>
    </w:p>
    <w:p w:rsidR="008B263D" w:rsidRPr="005565F8" w:rsidP="00E60B17" w14:paraId="2A170E29" w14:textId="77777777">
      <w:pPr>
        <w:pStyle w:val="Normal1"/>
        <w:spacing w:after="120"/>
        <w:rPr>
          <w:rFonts w:asciiTheme="majorHAnsi" w:hAnsiTheme="majorHAnsi" w:cs="Times New Roman"/>
          <w:sz w:val="20"/>
          <w:szCs w:val="20"/>
        </w:rPr>
      </w:pPr>
      <w:r w:rsidRPr="005565F8">
        <w:rPr>
          <w:rFonts w:asciiTheme="majorHAnsi" w:hAnsiTheme="majorHAnsi" w:cs="Times New Roman"/>
          <w:sz w:val="20"/>
          <w:szCs w:val="20"/>
        </w:rPr>
        <w:t xml:space="preserve">Paredzēts, ka, īstenojot ISAP, iedzīvotāju IKT vidējā līmeņa prasmju attīstība palielināsies, 2020. gadā sasniedzot 40%, un no </w:t>
      </w:r>
      <w:r w:rsidRPr="005565F8">
        <w:rPr>
          <w:rFonts w:asciiTheme="majorHAnsi" w:hAnsiTheme="majorHAnsi"/>
          <w:sz w:val="20"/>
          <w:szCs w:val="20"/>
        </w:rPr>
        <w:t>18</w:t>
      </w:r>
      <w:r w:rsidRPr="005565F8">
        <w:rPr>
          <w:rFonts w:asciiTheme="majorHAnsi" w:hAnsiTheme="majorHAnsi" w:cs="Times New Roman"/>
          <w:sz w:val="20"/>
          <w:szCs w:val="20"/>
        </w:rPr>
        <w:t>% 2015. gadā līdz 9% 2020. gadā samazināsies iedzīvotāju īpatsvars, kuri nekad nav lietojuši internetu.</w:t>
      </w:r>
    </w:p>
    <w:p w:rsidR="008B263D" w:rsidRPr="005565F8" w:rsidP="00E60B17" w14:paraId="51870406" w14:textId="77777777">
      <w:r w:rsidRPr="005565F8">
        <w:t xml:space="preserve">Veicinot </w:t>
      </w:r>
      <w:r w:rsidRPr="005565F8">
        <w:rPr>
          <w:rFonts w:eastAsia="Times New Roman"/>
        </w:rPr>
        <w:t>IKT izglītības un e-prasmju apguvi, uzlabosies e-komercija, uzņēmumu apgrozījumam no pārdošanas internetā 2020. gadā sasniedzot 15% un tiks palielināta publiskās pārvaldes darbības efektivitāte (GRICS</w:t>
      </w:r>
      <w:r w:rsidRPr="005565F8">
        <w:rPr>
          <w:rFonts w:eastAsia="Times New Roman"/>
          <w:i/>
        </w:rPr>
        <w:t xml:space="preserve"> </w:t>
      </w:r>
      <w:r w:rsidRPr="005565F8">
        <w:rPr>
          <w:rFonts w:eastAsia="Times New Roman"/>
        </w:rPr>
        <w:t>rādītājs</w:t>
      </w:r>
      <w:r>
        <w:rPr>
          <w:vertAlign w:val="superscript"/>
        </w:rPr>
        <w:footnoteReference w:id="35"/>
      </w:r>
      <w:r w:rsidRPr="005565F8">
        <w:rPr>
          <w:rFonts w:eastAsia="Times New Roman"/>
        </w:rPr>
        <w:t>) līdz 85% 2020. gadā</w:t>
      </w:r>
      <w:r w:rsidRPr="005565F8">
        <w:t>.</w:t>
      </w:r>
    </w:p>
    <w:p w:rsidR="008B263D" w:rsidRPr="005565F8" w:rsidP="00E60B17" w14:paraId="43B23ECF" w14:textId="77777777">
      <w:r w:rsidRPr="005565F8">
        <w:t xml:space="preserve">2017.-2019. gadā plānots veikt pētījumu </w:t>
      </w:r>
      <w:r w:rsidRPr="005565F8">
        <w:rPr>
          <w:i/>
        </w:rPr>
        <w:t>„Integrēts Publisko pakalpojumu sniegšanas un gala lietotāju vajadzību monitorings”</w:t>
      </w:r>
      <w:r w:rsidRPr="005565F8">
        <w:t xml:space="preserve"> ar mērķi izveidot vienotu integrētu Latvijas e-p</w:t>
      </w:r>
      <w:r w:rsidRPr="005565F8" w:rsidR="00A60A35">
        <w:t>ārvaldes efektivitātes pētījumu</w:t>
      </w:r>
      <w:r w:rsidRPr="005565F8">
        <w:t>.</w:t>
      </w:r>
    </w:p>
    <w:p w:rsidR="008B263D" w:rsidRPr="005565F8" w:rsidP="00E60B17" w14:paraId="282062DE" w14:textId="77777777">
      <w:r w:rsidRPr="005565F8">
        <w:t>2017. gada septembrī-</w:t>
      </w:r>
      <w:r w:rsidRPr="005565F8">
        <w:t xml:space="preserve">oktobrī kampaņas </w:t>
      </w:r>
      <w:r w:rsidRPr="005565F8">
        <w:rPr>
          <w:i/>
        </w:rPr>
        <w:t>„Dienas bez rindām”</w:t>
      </w:r>
      <w:r w:rsidRPr="005565F8">
        <w:t xml:space="preserve"> laikā visā Latvijā vairāk kā 3400 klientu apkalpošanas vietās valsts un pašvaldību iestādes </w:t>
      </w:r>
      <w:r w:rsidRPr="005565F8">
        <w:t>konsultēja iedzīvotājus un uzņēmējus par e-pakalpojumu lietošanu. Kampaņas laikā tika sniegtas 8500 konsultācijas par e-pakalpojumiem.</w:t>
      </w:r>
    </w:p>
    <w:p w:rsidR="008B263D" w:rsidRPr="005565F8" w:rsidP="00E60B17" w14:paraId="7D7DA60D" w14:textId="77777777">
      <w:r w:rsidRPr="005565F8">
        <w:t xml:space="preserve">Kopš 2010. gada Latvijā notiek ikgadēja informatīva kampaņa </w:t>
      </w:r>
      <w:r w:rsidRPr="005565F8">
        <w:rPr>
          <w:i/>
        </w:rPr>
        <w:t>„Eiropas e-prasmju nedēļa”</w:t>
      </w:r>
      <w:r w:rsidRPr="005565F8">
        <w:t>. Kopumā iedzīvotājiem un uzņēmējiem 2017. gada e-prasmju nedēļā bija iespējas piedalīties 638 klātienes pasākumos, ko nodrošināja vairāk kā 150 partneri</w:t>
      </w:r>
      <w:r w:rsidRPr="005565F8" w:rsidR="003F19FF">
        <w:t>,</w:t>
      </w:r>
      <w:r w:rsidRPr="005565F8">
        <w:t xml:space="preserve">  iesaistot vairāk nekā 22 tūkst. Latvijas iedzīvotāju.</w:t>
      </w:r>
    </w:p>
    <w:p w:rsidR="008B263D" w:rsidRPr="005565F8" w:rsidP="00E60B17" w14:paraId="585844E5" w14:textId="77777777">
      <w:r w:rsidRPr="005565F8">
        <w:t xml:space="preserve">Kopš 2013. gada VARAM piedalās starptautiskajā </w:t>
      </w:r>
      <w:r w:rsidRPr="005565F8" w:rsidR="003F19FF">
        <w:t>IKT</w:t>
      </w:r>
      <w:r w:rsidRPr="005565F8">
        <w:t xml:space="preserve"> izstādē </w:t>
      </w:r>
      <w:r w:rsidRPr="005565F8">
        <w:rPr>
          <w:i/>
        </w:rPr>
        <w:t>“</w:t>
      </w:r>
      <w:r w:rsidRPr="005565F8">
        <w:rPr>
          <w:i/>
        </w:rPr>
        <w:t>Riga</w:t>
      </w:r>
      <w:r w:rsidRPr="005565F8">
        <w:rPr>
          <w:i/>
        </w:rPr>
        <w:t xml:space="preserve"> COMM”</w:t>
      </w:r>
      <w:r w:rsidRPr="005565F8">
        <w:t xml:space="preserve">, kuru 2017. gadā apmeklēja 4567 personas. Valsts pārvaldes iestāžu stendā </w:t>
      </w:r>
      <w:r w:rsidRPr="005565F8">
        <w:rPr>
          <w:i/>
        </w:rPr>
        <w:t>„Valsts e-iespējas”</w:t>
      </w:r>
      <w:r w:rsidRPr="005565F8">
        <w:t xml:space="preserve"> var uzzināt par valsts piedāvātajiem e-pakalpojumiem un to ērtākas izmantošanas iespējām.</w:t>
      </w:r>
    </w:p>
    <w:p w:rsidR="008B263D" w:rsidRPr="005565F8" w:rsidP="00E60B17" w14:paraId="4D57EEEA" w14:textId="77777777">
      <w:r w:rsidRPr="005565F8">
        <w:t>Lai palielinātu to iedzīvotāju un uzņēmēju īpatsvaru, kuri izmanto e-pakalpojumus, e-adresi, e</w:t>
      </w:r>
      <w:r w:rsidRPr="005565F8">
        <w:noBreakHyphen/>
        <w:t xml:space="preserve">dokumentus un e-rīkus sadarbībai ar valsts un pašvaldību institūcijām un iesniedz veidlapas elektroniski, no </w:t>
      </w:r>
      <w:r w:rsidRPr="005565F8">
        <w:t xml:space="preserve">2018. gada marta līdz 2020. gada 30. jūnijam tiks īstenota vērienīga </w:t>
      </w:r>
      <w:r w:rsidRPr="005565F8">
        <w:rPr>
          <w:i/>
        </w:rPr>
        <w:t>Sabiedrības IKT iespēju izmantošanas veicināšanas kampaņa</w:t>
      </w:r>
      <w:r w:rsidRPr="005565F8">
        <w:t>. Plānots apmācīt 6000</w:t>
      </w:r>
      <w:r w:rsidRPr="005565F8" w:rsidR="00E60B17">
        <w:t> </w:t>
      </w:r>
      <w:r w:rsidRPr="005565F8">
        <w:t>„digitālos aģentus”, kuri spēs sniegt sabiedrībai konsultācijas par digitālās vides izmantošanu.</w:t>
      </w:r>
    </w:p>
    <w:p w:rsidR="008B263D" w:rsidRPr="005565F8" w:rsidP="00B908F9" w14:paraId="41756C29" w14:textId="77777777">
      <w:pPr>
        <w:pStyle w:val="tvhtmlmktable"/>
        <w:spacing w:before="0" w:beforeAutospacing="0" w:after="120" w:afterAutospacing="0"/>
        <w:rPr>
          <w:color w:val="000000"/>
        </w:rPr>
      </w:pPr>
      <w:r w:rsidRPr="005565F8">
        <w:rPr>
          <w:color w:val="000000"/>
        </w:rPr>
        <w:t xml:space="preserve">Visas valsts mērogā vispārizglītojošajās skolās </w:t>
      </w:r>
      <w:r w:rsidRPr="005565F8" w:rsidR="00396F56">
        <w:rPr>
          <w:color w:val="000000"/>
        </w:rPr>
        <w:t xml:space="preserve">plānots ieviest </w:t>
      </w:r>
      <w:r w:rsidRPr="005565F8" w:rsidR="00396F56">
        <w:rPr>
          <w:i/>
          <w:color w:val="000000"/>
        </w:rPr>
        <w:t>D</w:t>
      </w:r>
      <w:r w:rsidRPr="005565F8">
        <w:rPr>
          <w:i/>
          <w:color w:val="000000"/>
        </w:rPr>
        <w:t>atorikas programmu</w:t>
      </w:r>
      <w:r w:rsidRPr="005565F8">
        <w:rPr>
          <w:color w:val="000000"/>
        </w:rPr>
        <w:t xml:space="preserve"> saturu 1.-9. klasei, sākot ar 2019./2020. mācību gadu</w:t>
      </w:r>
      <w:r w:rsidRPr="005565F8">
        <w:t xml:space="preserve">. </w:t>
      </w:r>
    </w:p>
    <w:p w:rsidR="008B263D" w:rsidRPr="005565F8" w:rsidP="00B908F9" w14:paraId="50C342FA" w14:textId="77777777">
      <w:pPr>
        <w:spacing w:after="0"/>
      </w:pPr>
      <w:r w:rsidRPr="005565F8">
        <w:t xml:space="preserve">ISAP </w:t>
      </w:r>
      <w:r w:rsidRPr="005565F8" w:rsidR="000F2C49">
        <w:t xml:space="preserve">paredzēti šādi  pasākumi </w:t>
      </w:r>
      <w:r w:rsidRPr="005565F8">
        <w:t>vispārizglītojošo skolu pedagogu un izglītības iestāžu vadītāju e-prasmju veicināšan</w:t>
      </w:r>
      <w:r w:rsidRPr="005565F8" w:rsidR="000F2C49">
        <w:t>ai</w:t>
      </w:r>
      <w:r w:rsidRPr="005565F8">
        <w:t>:</w:t>
      </w:r>
    </w:p>
    <w:p w:rsidR="008B263D" w:rsidRPr="005565F8" w:rsidP="00735883" w14:paraId="6DED41BE" w14:textId="77777777">
      <w:pPr>
        <w:numPr>
          <w:ilvl w:val="0"/>
          <w:numId w:val="11"/>
        </w:numPr>
        <w:spacing w:after="60"/>
        <w:ind w:left="284" w:hanging="284"/>
      </w:pPr>
      <w:r w:rsidRPr="005565F8">
        <w:t xml:space="preserve">pedagogu profesionālās kvalifikācijas pilnveide, t.sk., </w:t>
      </w:r>
      <w:r w:rsidRPr="005565F8">
        <w:t>uzņēmējspējas</w:t>
      </w:r>
      <w:r w:rsidRPr="005565F8">
        <w:t>, līdera spējas, radošums, IKT un svešvalodu prasmes, paredzot šim mērķim indikatīvi 1,8 milj. EUR;</w:t>
      </w:r>
    </w:p>
    <w:p w:rsidR="008B263D" w:rsidRPr="005565F8" w:rsidP="00735883" w14:paraId="41FFF675" w14:textId="77777777">
      <w:pPr>
        <w:numPr>
          <w:ilvl w:val="0"/>
          <w:numId w:val="11"/>
        </w:numPr>
        <w:spacing w:after="60"/>
        <w:ind w:left="284" w:hanging="284"/>
      </w:pPr>
      <w:r w:rsidRPr="005565F8">
        <w:t>profesionālajā izglītībā iesaistīto pedagogu un prakšu vadītāju praktisko iemaņu pilnveide (t.sk. IKT prasmes, paredzot šim mērķim 5 milj. EUR).</w:t>
      </w:r>
    </w:p>
    <w:p w:rsidR="00951581" w:rsidRPr="005565F8" w:rsidP="00E60B17" w14:paraId="139EB7A7" w14:textId="77777777">
      <w:pPr>
        <w:pStyle w:val="Heading3"/>
        <w:keepNext w:val="0"/>
        <w:keepLines w:val="0"/>
        <w:sectPr w:rsidSect="005D1AD0">
          <w:type w:val="continuous"/>
          <w:pgSz w:w="11906" w:h="16838" w:code="9"/>
          <w:pgMar w:top="1134" w:right="1134" w:bottom="1134" w:left="1134" w:header="709" w:footer="567" w:gutter="0"/>
          <w:cols w:num="2" w:space="340"/>
          <w:titlePg/>
          <w:docGrid w:linePitch="360"/>
        </w:sectPr>
      </w:pPr>
    </w:p>
    <w:p w:rsidR="00E60B17" w:rsidRPr="005565F8" w:rsidP="006A6DD0" w14:paraId="4AF850A4" w14:textId="77777777"/>
    <w:p w:rsidR="00ED0FCB" w:rsidRPr="005565F8" w:rsidP="00ED0FCB" w14:paraId="333A8EA7" w14:textId="77777777">
      <w:pPr>
        <w:pStyle w:val="Heading3"/>
      </w:pPr>
      <w:bookmarkStart w:id="65" w:name="_Toc510687749"/>
      <w:bookmarkStart w:id="66" w:name="_Toc256000017"/>
      <w:bookmarkStart w:id="67" w:name="_Toc256000052"/>
      <w:r w:rsidRPr="005565F8">
        <w:t>3.2.5. Transporta un vides infrastruktūra</w:t>
      </w:r>
      <w:bookmarkEnd w:id="67"/>
      <w:bookmarkEnd w:id="66"/>
      <w:bookmarkEnd w:id="64"/>
      <w:bookmarkEnd w:id="65"/>
    </w:p>
    <w:p w:rsidR="00951581" w:rsidRPr="005565F8" w:rsidP="00B45174" w14:paraId="687F65CC" w14:textId="77777777">
      <w:pPr>
        <w:spacing w:before="120"/>
        <w:ind w:left="113" w:right="113"/>
        <w:rPr>
          <w:rFonts w:ascii="Calibri Light" w:hAnsi="Calibri Light"/>
          <w:color w:val="FFFFFF" w:themeColor="background1"/>
          <w:sz w:val="18"/>
          <w:szCs w:val="18"/>
        </w:rPr>
        <w:sectPr w:rsidSect="005D1AD0">
          <w:type w:val="continuous"/>
          <w:pgSz w:w="11906" w:h="16838" w:code="9"/>
          <w:pgMar w:top="1134" w:right="1134" w:bottom="1134" w:left="1134" w:header="709" w:footer="567" w:gutter="0"/>
          <w:cols w:space="340"/>
          <w:titlePg/>
          <w:docGrid w:linePitch="360"/>
        </w:sectPr>
      </w:pPr>
    </w:p>
    <w:p w:rsidR="006A6DD0" w:rsidRPr="005565F8" w:rsidP="00E60B17" w14:paraId="7A7127BC" w14:textId="77777777">
      <w:pPr>
        <w:rPr>
          <w:color w:val="000000"/>
        </w:rPr>
      </w:pPr>
      <w:r w:rsidRPr="005565F8">
        <w:rPr>
          <w:color w:val="000000"/>
        </w:rPr>
        <w:t xml:space="preserve">Transporta politikas attīstības galvenais mērķis ir konkurētspējīga, ilgtspējīga, </w:t>
      </w:r>
      <w:r w:rsidRPr="005565F8">
        <w:rPr>
          <w:color w:val="000000"/>
        </w:rPr>
        <w:t>komodāla</w:t>
      </w:r>
      <w:r w:rsidRPr="005565F8">
        <w:rPr>
          <w:color w:val="000000"/>
        </w:rPr>
        <w:t xml:space="preserve"> transporta sistēma, kas nodrošina augstas kvalitātes mobilitāti. Tā sasniegšanai jāstrādā divos galvenajos darbības virzienos – palielināt Latvijas tranzīta un loģistikas pakalpojumu konkurētspēju, kā arī nodrošināt iekšējo un ārējo sasniedzamību un augstas kvalitātes mobilitātes iespējas visā valsts teritorijā.</w:t>
      </w:r>
    </w:p>
    <w:p w:rsidR="00E60B17" w:rsidRPr="005565F8" w:rsidP="00E60B17" w14:paraId="620E5553" w14:textId="77777777">
      <w:pPr>
        <w:rPr>
          <w:color w:val="000000"/>
        </w:rPr>
      </w:pPr>
      <w:r w:rsidRPr="005565F8">
        <w:rPr>
          <w:b/>
          <w:color w:val="000000"/>
        </w:rPr>
        <w:t>Transporta infrastruktūras</w:t>
      </w:r>
      <w:r w:rsidRPr="005565F8">
        <w:rPr>
          <w:color w:val="000000"/>
        </w:rPr>
        <w:t xml:space="preserve"> tīkls valstī ir pietiekams, kas var nodrošināt mobilitāti iekšzemē un starptautisko sasniedzamību. Taču būtiska ir šī tīkla kvalitāte (primāri) un ilgtspējīga attīstība.</w:t>
      </w:r>
    </w:p>
    <w:p w:rsidR="00E60B17" w:rsidRPr="005565F8" w:rsidP="00E60B17" w14:paraId="5AEC3F12" w14:textId="77777777">
      <w:pPr>
        <w:rPr>
          <w:color w:val="000000"/>
        </w:rPr>
      </w:pPr>
      <w:r w:rsidRPr="005565F8">
        <w:rPr>
          <w:color w:val="000000"/>
        </w:rPr>
        <w:t xml:space="preserve">Autoceļu tehniskais stāvoklis, vērtējot kā valsts, tā pašvaldību autoceļus un pašvaldību ielas, </w:t>
      </w:r>
      <w:r w:rsidRPr="005565F8">
        <w:t>daudzviet</w:t>
      </w:r>
      <w:r w:rsidRPr="005565F8">
        <w:rPr>
          <w:color w:val="000000"/>
        </w:rPr>
        <w:t xml:space="preserve"> ir neapmierinošs un neatbilst ekonomiskas, drošas, komfortablas un videi draudzīgas satiksmes vajadzībām. Aptuveni 43% </w:t>
      </w:r>
      <w:r w:rsidRPr="005565F8">
        <w:t xml:space="preserve">valsts </w:t>
      </w:r>
      <w:r w:rsidRPr="005565F8">
        <w:rPr>
          <w:color w:val="000000"/>
        </w:rPr>
        <w:t xml:space="preserve">autoceļu ar asfalta segumu ir sliktā un </w:t>
      </w:r>
      <w:r w:rsidRPr="005565F8">
        <w:t>ļoti sliktā</w:t>
      </w:r>
      <w:r w:rsidRPr="005565F8">
        <w:rPr>
          <w:color w:val="000000"/>
        </w:rPr>
        <w:t xml:space="preserve"> stāvoklī. Aptuveni 42% autoceļu ar grants segumu ir sliktā stāvoklī.</w:t>
      </w:r>
    </w:p>
    <w:p w:rsidR="00E60B17" w:rsidRPr="005565F8" w:rsidP="00E60B17" w14:paraId="343C8149" w14:textId="77777777">
      <w:pPr>
        <w:rPr>
          <w:color w:val="000000"/>
        </w:rPr>
      </w:pPr>
      <w:r w:rsidRPr="005565F8">
        <w:rPr>
          <w:b/>
        </w:rPr>
        <w:t>Dzelzceļa infrastruktūras</w:t>
      </w:r>
      <w:r w:rsidRPr="005565F8">
        <w:t xml:space="preserve"> stāvoklis vērtējams kā labs. Atsevišķas tehniska rakstura problēmas gan ir vairākos dzelzceļa mezglos, kurām tiek pievērsta pastiprināta uzmanība. Pēdējos 15 gados infrastruktūras attīstībā ieguldītas ievērojamas investīcijas. </w:t>
      </w:r>
      <w:r w:rsidRPr="005565F8">
        <w:rPr>
          <w:color w:val="000000"/>
        </w:rPr>
        <w:t xml:space="preserve">VAS „Latvijas dzelzceļš” ar KF līdzfinansējumu ir īstenojis, kā arī realizē vairākus infrastruktūras attīstības projektus t.sk., nozīmīgāko dzelzceļa mezglu modernizācijas, kā arī vilcienu kustības vadības informācijas sistēmas ieviešanas projektus. Nozīmīgs ir vairāku dzelzceļa līniju elektrifikācijas projekts, </w:t>
      </w:r>
      <w:r w:rsidRPr="005565F8">
        <w:t xml:space="preserve">kas ir būtiskākais esošās tranzīta koridora tehniskās attīstības izaicinājums, </w:t>
      </w:r>
      <w:r w:rsidRPr="005565F8">
        <w:rPr>
          <w:color w:val="000000"/>
        </w:rPr>
        <w:t xml:space="preserve">kā rezultātā tiks panākta ne tikai augstāka energoefektivitāte, bet arī būtiski samazināts kaitīgo izmešu daudzums. </w:t>
      </w:r>
    </w:p>
    <w:p w:rsidR="00E60B17" w:rsidRPr="005565F8" w:rsidP="00E60B17" w14:paraId="1038AF01" w14:textId="77777777">
      <w:r w:rsidRPr="005565F8">
        <w:t xml:space="preserve">Tuvākajā desmitgadē ļoti aktuāla būs Eiropas platuma dzelzceļa līnijas </w:t>
      </w:r>
      <w:r w:rsidRPr="005565F8">
        <w:rPr>
          <w:i/>
        </w:rPr>
        <w:t xml:space="preserve">Rail </w:t>
      </w:r>
      <w:r w:rsidRPr="005565F8">
        <w:rPr>
          <w:i/>
        </w:rPr>
        <w:t>Baltica</w:t>
      </w:r>
      <w:r w:rsidRPr="005565F8">
        <w:t xml:space="preserve"> attīstība. 2017.gadā ir parakstīts un ratificēts Starpvaldību līgums par </w:t>
      </w:r>
      <w:r w:rsidRPr="005565F8">
        <w:rPr>
          <w:i/>
        </w:rPr>
        <w:t xml:space="preserve">Rail </w:t>
      </w:r>
      <w:r w:rsidRPr="005565F8">
        <w:rPr>
          <w:i/>
        </w:rPr>
        <w:t>Baltica</w:t>
      </w:r>
      <w:r w:rsidRPr="005565F8">
        <w:t xml:space="preserve"> dzelzceļa savienojuma izveidi, izsludināts starptautisks projektēšanas un būvniecības iepirkums </w:t>
      </w:r>
      <w:r w:rsidRPr="005565F8">
        <w:rPr>
          <w:i/>
        </w:rPr>
        <w:t xml:space="preserve">"Rail </w:t>
      </w:r>
      <w:r w:rsidRPr="005565F8">
        <w:rPr>
          <w:i/>
        </w:rPr>
        <w:t>Baltica</w:t>
      </w:r>
      <w:r w:rsidRPr="005565F8">
        <w:rPr>
          <w:i/>
        </w:rPr>
        <w:t xml:space="preserve"> Rīgas dzelzceļa tilta, uzbēruma un Rīgas Centrālās pasažieru stacijas kompleksās apbūves būvprojekta izstrāde un būvdarbi”</w:t>
      </w:r>
      <w:r w:rsidRPr="005565F8">
        <w:t xml:space="preserve">, sagatavots un iesniegts pieteikums Inovācijas un tīklu </w:t>
      </w:r>
      <w:r w:rsidRPr="005565F8">
        <w:t>izpildaģentūras</w:t>
      </w:r>
      <w:r w:rsidRPr="005565F8">
        <w:t xml:space="preserve"> trešajā pieteikumu uzsaukumā, kā arī uzsākta kultūrvēsturisko vērtību apzināšana un izpēte </w:t>
      </w:r>
      <w:r w:rsidRPr="005565F8">
        <w:rPr>
          <w:i/>
        </w:rPr>
        <w:t xml:space="preserve">Rail </w:t>
      </w:r>
      <w:r w:rsidRPr="005565F8">
        <w:rPr>
          <w:i/>
        </w:rPr>
        <w:t>Baltica</w:t>
      </w:r>
      <w:r w:rsidRPr="005565F8">
        <w:t xml:space="preserve"> trases Latvijas posma nodalījuma joslā.</w:t>
      </w:r>
    </w:p>
    <w:p w:rsidR="00E60B17" w:rsidRPr="005565F8" w:rsidP="00E60B17" w14:paraId="699E78E6" w14:textId="77777777">
      <w:r w:rsidRPr="005565F8">
        <w:t xml:space="preserve">Sekmīgi attīstās </w:t>
      </w:r>
      <w:r w:rsidRPr="005565F8">
        <w:rPr>
          <w:b/>
        </w:rPr>
        <w:t>aviācijas nozare</w:t>
      </w:r>
      <w:r w:rsidRPr="005565F8">
        <w:t>, kas ir būtisks priekšnosacīj</w:t>
      </w:r>
      <w:r w:rsidRPr="005565F8" w:rsidR="0072695D">
        <w:t xml:space="preserve">ums tautsaimniecības attīstībai. </w:t>
      </w:r>
      <w:r w:rsidRPr="005565F8">
        <w:t xml:space="preserve">Iepriekšējos gados veiktie infrastruktūras uzlabojumi ļāva lidostai „Rīga” 2017. gadā sekmīgi apkalpot ievērojami pieaugušo apkalpoto pasažieru skaitu – </w:t>
      </w:r>
      <w:r w:rsidRPr="005565F8" w:rsidR="00DF0B86">
        <w:br/>
      </w:r>
      <w:r w:rsidRPr="005565F8">
        <w:t>6</w:t>
      </w:r>
      <w:r w:rsidRPr="005565F8" w:rsidR="00DF0B86">
        <w:t>,1 milj.</w:t>
      </w:r>
      <w:r w:rsidRPr="005565F8">
        <w:t> pasažierus, tas ir, par 12,9% vairāk nekā 2016. gadā, tādējādi nostiprinot Rīgas, kā reģionāla satiksmes centra pozīcijas.</w:t>
      </w:r>
    </w:p>
    <w:p w:rsidR="00E60B17" w:rsidRPr="005565F8" w:rsidP="00E60B17" w14:paraId="7F9110F4" w14:textId="77777777">
      <w:r w:rsidRPr="005565F8">
        <w:t>Liepājas lidostas veiktie pasākumi ļāva tai saņemt lidlauka un lidlauka ekspluatanta sertifikātu, kas paredz lidlauka ekspluatāciju visa gada garumā. Tas ļāva 2017. gada vasarā uz komerciāliem pamatiem uzsāktos AS „</w:t>
      </w:r>
      <w:r w:rsidRPr="005565F8">
        <w:t>Air</w:t>
      </w:r>
      <w:r w:rsidRPr="005565F8">
        <w:t xml:space="preserve"> </w:t>
      </w:r>
      <w:r w:rsidRPr="005565F8">
        <w:t>Baltic</w:t>
      </w:r>
      <w:r w:rsidRPr="005565F8">
        <w:t xml:space="preserve"> </w:t>
      </w:r>
      <w:r w:rsidRPr="005565F8">
        <w:t>Corporation</w:t>
      </w:r>
      <w:r w:rsidRPr="005565F8">
        <w:t>” finansiāli sekmīgos regulāros lidojumus maršrutā Liepāja – Rīga – Liepāja turpināt arī ziemas sezonā, tādējādi uzlabojot reģiona sasniedzamību un dodot ieguldījumu reģiona ekonomiskajai attīstībai.</w:t>
      </w:r>
    </w:p>
    <w:p w:rsidR="00E60B17" w:rsidRPr="005565F8" w:rsidP="00E60B17" w14:paraId="7B445513" w14:textId="77777777">
      <w:pPr>
        <w:suppressAutoHyphens/>
        <w:rPr>
          <w:color w:val="000000"/>
        </w:rPr>
      </w:pPr>
      <w:r w:rsidRPr="005565F8">
        <w:rPr>
          <w:b/>
          <w:color w:val="000000"/>
        </w:rPr>
        <w:t>Vides aizsardzības infrastruktūras</w:t>
      </w:r>
      <w:r w:rsidRPr="005565F8">
        <w:rPr>
          <w:color w:val="000000"/>
        </w:rPr>
        <w:t xml:space="preserve"> attīstības jomā mērķis ir </w:t>
      </w:r>
      <w:r w:rsidRPr="005565F8">
        <w:rPr>
          <w:color w:val="000000"/>
          <w:szCs w:val="20"/>
        </w:rPr>
        <w:t xml:space="preserve">nodrošināt Latvijas iedzīvotājus ar kvalitatīviem ūdenssaimniecības pakalpojumiem, pilnveidojot un attīstot ūdenssaimniecību, novērst plūdu un krasta erozijas risku apdraudējumu pilsētu teritorijās, </w:t>
      </w:r>
      <w:r w:rsidRPr="005565F8">
        <w:rPr>
          <w:szCs w:val="20"/>
        </w:rPr>
        <w:t>kā arī</w:t>
      </w:r>
      <w:r w:rsidRPr="005565F8">
        <w:rPr>
          <w:szCs w:val="20"/>
          <w:lang w:eastAsia="lv-LV"/>
        </w:rPr>
        <w:t xml:space="preserve"> mazināt lauku teritorijas applūšanas riskus</w:t>
      </w:r>
      <w:r w:rsidRPr="005565F8">
        <w:rPr>
          <w:szCs w:val="20"/>
        </w:rPr>
        <w:t>,</w:t>
      </w:r>
      <w:r w:rsidRPr="005565F8">
        <w:rPr>
          <w:szCs w:val="20"/>
          <w:lang w:eastAsia="lv-LV"/>
        </w:rPr>
        <w:t xml:space="preserve"> tādējādi novēršot stratēģiski svarīgu infrastruktūras objektu applūšanas iespējas un </w:t>
      </w:r>
      <w:r w:rsidRPr="005565F8">
        <w:rPr>
          <w:szCs w:val="20"/>
          <w:lang w:eastAsia="lv-LV"/>
        </w:rPr>
        <w:t xml:space="preserve">samazinot applūstošo teritoriju skaitu, </w:t>
      </w:r>
      <w:r w:rsidRPr="005565F8">
        <w:rPr>
          <w:color w:val="000000"/>
          <w:szCs w:val="20"/>
        </w:rPr>
        <w:t>nodrošināt atkritumu atkārtotu izmantošanu un reģenerāciju, kā arī turpināt attīstīt atkritumu dalītu vākšanu. Tāpat būtiski ir veicināt bioloģiskās daudzveidības</w:t>
      </w:r>
      <w:r w:rsidRPr="005565F8">
        <w:rPr>
          <w:color w:val="000000"/>
        </w:rPr>
        <w:t xml:space="preserve"> saglabāšanu, izveidojot antropogēno slodzi mazinošu </w:t>
      </w:r>
      <w:r w:rsidRPr="005565F8">
        <w:rPr>
          <w:color w:val="000000"/>
        </w:rPr>
        <w:t>infrastruktūru</w:t>
      </w:r>
      <w:r w:rsidRPr="005565F8" w:rsidR="00CA0DE4">
        <w:rPr>
          <w:color w:val="000000"/>
        </w:rPr>
        <w:t xml:space="preserve"> </w:t>
      </w:r>
      <w:r w:rsidRPr="005565F8" w:rsidR="00CA0DE4">
        <w:rPr>
          <w:i/>
          <w:color w:val="000000"/>
        </w:rPr>
        <w:t>Natura</w:t>
      </w:r>
      <w:r w:rsidRPr="005565F8" w:rsidR="00CA0DE4">
        <w:rPr>
          <w:i/>
          <w:color w:val="000000"/>
        </w:rPr>
        <w:t xml:space="preserve"> 2000</w:t>
      </w:r>
      <w:r w:rsidRPr="005565F8" w:rsidR="00CA0DE4">
        <w:rPr>
          <w:color w:val="000000"/>
        </w:rPr>
        <w:t xml:space="preserve"> teritorijās</w:t>
      </w:r>
      <w:r w:rsidRPr="005565F8">
        <w:rPr>
          <w:color w:val="000000"/>
        </w:rPr>
        <w:t>, nodrošināt ar naftas produktiem vēsturiski piesārņoto vietu sanācijas darbu pabeigšanu, kā arī uzlabot vides monitoringa infrastruktūru un veicināt sabiedrības līdzdalību vides pārvaldībā.</w:t>
      </w:r>
    </w:p>
    <w:p w:rsidR="00CC5E28" w:rsidRPr="005565F8" w:rsidP="006A6DD0" w14:paraId="0780C499" w14:textId="77777777">
      <w:pPr>
        <w:sectPr w:rsidSect="005D1AD0">
          <w:type w:val="continuous"/>
          <w:pgSz w:w="11906" w:h="16838" w:code="9"/>
          <w:pgMar w:top="1134" w:right="1134" w:bottom="1134" w:left="1134" w:header="709" w:footer="567" w:gutter="0"/>
          <w:cols w:num="2" w:space="340"/>
          <w:titlePg/>
          <w:docGrid w:linePitch="360"/>
        </w:sectPr>
      </w:pPr>
    </w:p>
    <w:p w:rsidR="006A6DD0" w:rsidRPr="005565F8" w:rsidP="006A6DD0" w14:paraId="7202DD72" w14:textId="77777777"/>
    <w:p w:rsidR="006A6DD0" w:rsidRPr="005565F8" w:rsidP="006A6DD0" w14:paraId="72F663A2"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6A6DD0" w:rsidRPr="005565F8" w:rsidP="006A6DD0" w14:paraId="71593C8D"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Kvalitatīvas un konkurētspējīgas loģistikas un tranzītpakalpojumu infrastruktūras nodrošināšana</w:t>
      </w:r>
    </w:p>
    <w:p w:rsidR="006A6DD0" w:rsidRPr="005565F8" w:rsidP="006A6DD0" w14:paraId="0774F36C"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SM/</w:t>
      </w:r>
    </w:p>
    <w:p w:rsidR="00CC5E28" w:rsidRPr="005565F8" w:rsidP="00B22046" w14:paraId="2CAB3600"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E60B17" w:rsidRPr="005565F8" w:rsidP="00A10E68" w14:paraId="3F436794" w14:textId="77777777">
      <w:pPr>
        <w:spacing w:before="240"/>
        <w:rPr>
          <w:color w:val="000000"/>
        </w:rPr>
      </w:pPr>
      <w:r w:rsidRPr="005565F8">
        <w:rPr>
          <w:color w:val="000000"/>
        </w:rPr>
        <w:t>Pasākuma mērķis ir loģistikas pakalpojumu konkurētspējas paaugstināšana un ES ārējās robežas caurlaides spējas nodrošināšana atbilstoši potenciālai kravas un pasažieru transporta plūsmai.</w:t>
      </w:r>
    </w:p>
    <w:p w:rsidR="00E60B17" w:rsidRPr="005565F8" w:rsidP="0088370F" w14:paraId="17E980D8" w14:textId="77777777">
      <w:pPr>
        <w:spacing w:before="120"/>
        <w:rPr>
          <w:color w:val="000000"/>
        </w:rPr>
      </w:pPr>
      <w:r w:rsidRPr="005565F8">
        <w:rPr>
          <w:color w:val="000000"/>
        </w:rPr>
        <w:t>Lai nodrošinātu ilgtspējīgu transporta infrastruktūru un labas kvalitātes transporta un loģistikas pakalpojumus, ES fondu plānošanas perioda 2014.-2020. gadam ietvaros ir kombinēti gan KF, gan ERAF atbalsta pasākumi, veicinot ilgtspējīgu un efektīvu rezultātu sasniegšanu. KF un ERAF atbalsts transporta nozarei ir plānots tādējādi, lai sekmētu kvalitatīvas transporta infrastruktūras (t.sk. autoceļi, dzelzceļš, TEN-T sasaiste ar pilsētām, lidosta “Rīga”, lielās ostas) nodrošināšanu.</w:t>
      </w:r>
    </w:p>
    <w:p w:rsidR="00E60B17" w:rsidRPr="005565F8" w:rsidP="00E60B17" w14:paraId="74009D68" w14:textId="77777777">
      <w:pPr>
        <w:rPr>
          <w:color w:val="000000"/>
        </w:rPr>
      </w:pPr>
      <w:r w:rsidRPr="005565F8">
        <w:rPr>
          <w:color w:val="000000"/>
        </w:rPr>
        <w:t>Transporta infrastruktūras uzlabošanai ES fondu 2014.-2020. gada plānošanas periodā ir pieejams ES fondu finansējums 13 specifisko atbalsta mērķu (SAM) un pasākumu ietvaros. Šo SAM/pasākumu ES fondu finansējums ir 1,275 mljrd. EUR (29% no kopējā Latvijai pieejamā ES fondu atbalsta). Atbalsta jomas:</w:t>
      </w:r>
    </w:p>
    <w:p w:rsidR="00E60B17" w:rsidRPr="005565F8" w:rsidP="00735883" w14:paraId="56A38ECC" w14:textId="77777777">
      <w:pPr>
        <w:numPr>
          <w:ilvl w:val="0"/>
          <w:numId w:val="11"/>
        </w:numPr>
        <w:spacing w:after="60"/>
        <w:ind w:left="284" w:hanging="284"/>
      </w:pPr>
      <w:r w:rsidRPr="005565F8">
        <w:t>i</w:t>
      </w:r>
      <w:r w:rsidRPr="005565F8">
        <w:t xml:space="preserve">lgtspējīga transporta sistēma (galveno autoceļu, ostu, dzelzceļa (t.sk. elektrifikācija), Starptautiskās lidostas „Rīga”, Rīgas un nacionālas nozīmes centru TEN-T infrastruktūra, reģionālie autoceļi); KF līdzfinansējums 924,2 milj. EUR; ERAF līdzfinansējums 235,4 milj. EUR;  </w:t>
      </w:r>
    </w:p>
    <w:p w:rsidR="00E60B17" w:rsidRPr="005565F8" w:rsidP="00735883" w14:paraId="5BAA173A" w14:textId="77777777">
      <w:pPr>
        <w:numPr>
          <w:ilvl w:val="0"/>
          <w:numId w:val="11"/>
        </w:numPr>
        <w:spacing w:after="60"/>
        <w:ind w:left="284" w:hanging="284"/>
      </w:pPr>
      <w:r w:rsidRPr="005565F8">
        <w:t>z</w:t>
      </w:r>
      <w:r w:rsidRPr="005565F8">
        <w:t xml:space="preserve">emu oglekļa emisiju veicināšana transportā (automobiļu </w:t>
      </w:r>
      <w:r w:rsidRPr="005565F8">
        <w:t>elektrouzlādes</w:t>
      </w:r>
      <w:r w:rsidRPr="005565F8">
        <w:t xml:space="preserve"> tīkls; tramvaju infrastruktūra Rīgā, Liepājā un Daugavpilī; pasažieru autobusi pārējos nacionālas nozīmes </w:t>
      </w:r>
      <w:r w:rsidRPr="005565F8">
        <w:t>attīstības centros); ERAF līdzfinansējums 7 milj. EUR; KF līdzfinansējums 108,5 milj. EUR.</w:t>
      </w:r>
    </w:p>
    <w:p w:rsidR="00E60B17" w:rsidRPr="005565F8" w:rsidP="00E60B17" w14:paraId="2749F439" w14:textId="77777777">
      <w:pPr>
        <w:rPr>
          <w:color w:val="000000"/>
        </w:rPr>
      </w:pPr>
    </w:p>
    <w:p w:rsidR="00E60B17" w:rsidRPr="005565F8" w:rsidP="00E60B17" w14:paraId="5B2AF49D" w14:textId="77777777">
      <w:pPr>
        <w:rPr>
          <w:color w:val="000000"/>
        </w:rPr>
      </w:pPr>
      <w:r w:rsidRPr="005565F8">
        <w:rPr>
          <w:color w:val="000000"/>
        </w:rPr>
        <w:t xml:space="preserve">Līdz 2017. gada beigām ir uzsāktas/veiktas projektu iesniegumu atlases visos 13 minētajos SAM/pasākumos. 2017. gadā tika uzsākta/turpinājās apstiprināto projektu īstenošana šādās jomās: galveno autoceļu, ostu, dzelzceļa, Starptautiskās lidostas „Rīga”, Rīgas un nacionālas nozīmes centru TEN-T infrastruktūra, reģionālie autoceļi, automobiļu </w:t>
      </w:r>
      <w:r w:rsidRPr="005565F8">
        <w:rPr>
          <w:color w:val="000000"/>
        </w:rPr>
        <w:t>elektrouzlādes</w:t>
      </w:r>
      <w:r w:rsidRPr="005565F8">
        <w:rPr>
          <w:color w:val="000000"/>
        </w:rPr>
        <w:t xml:space="preserve"> tīkls; tramvaju infrastruktūra Rīgā, Liepājā un Daugavpilī; pasažieru autobusi pārējos nacionālas nozīmes attīstības centros.</w:t>
      </w:r>
    </w:p>
    <w:p w:rsidR="00E60B17" w:rsidRPr="005565F8" w:rsidP="00E60B17" w14:paraId="19F716EF" w14:textId="77777777">
      <w:r w:rsidRPr="005565F8">
        <w:t>2017. gadā nodrošināta Eiropas infrastruktūras savienošanas instrumenta (</w:t>
      </w:r>
      <w:r w:rsidRPr="005565F8" w:rsidR="001B124F">
        <w:t xml:space="preserve">turpmāk – </w:t>
      </w:r>
      <w:r w:rsidRPr="005565F8">
        <w:t>EISI) finansēto projektu atlašu koordinēšana nacionālā līmenī. 2017. gadā Eiropas Komisija apstiprināja 3 transporta nozares projektus: Eiropas vienotās gaisa telpas prioritātē, dzelzceļa jomā (</w:t>
      </w:r>
      <w:r w:rsidRPr="005565F8">
        <w:rPr>
          <w:i/>
        </w:rPr>
        <w:t xml:space="preserve">Rail </w:t>
      </w:r>
      <w:r w:rsidRPr="005565F8">
        <w:rPr>
          <w:i/>
        </w:rPr>
        <w:t>Baltica</w:t>
      </w:r>
      <w:r w:rsidRPr="005565F8">
        <w:t xml:space="preserve"> projekta turpinājums) un projektu </w:t>
      </w:r>
      <w:r w:rsidRPr="005565F8">
        <w:rPr>
          <w:i/>
        </w:rPr>
        <w:t xml:space="preserve">„MEGA-E: </w:t>
      </w:r>
      <w:r w:rsidRPr="005565F8">
        <w:rPr>
          <w:i/>
        </w:rPr>
        <w:t>Metropolitan</w:t>
      </w:r>
      <w:r w:rsidRPr="005565F8">
        <w:rPr>
          <w:i/>
        </w:rPr>
        <w:t xml:space="preserve"> </w:t>
      </w:r>
      <w:r w:rsidRPr="005565F8">
        <w:rPr>
          <w:i/>
        </w:rPr>
        <w:t>Greater</w:t>
      </w:r>
      <w:r w:rsidRPr="005565F8">
        <w:rPr>
          <w:i/>
        </w:rPr>
        <w:t xml:space="preserve"> </w:t>
      </w:r>
      <w:r w:rsidRPr="005565F8">
        <w:rPr>
          <w:i/>
        </w:rPr>
        <w:t>Areas</w:t>
      </w:r>
      <w:r w:rsidRPr="005565F8">
        <w:rPr>
          <w:i/>
        </w:rPr>
        <w:t xml:space="preserve"> – Electric”</w:t>
      </w:r>
      <w:r w:rsidRPr="005565F8">
        <w:t>, kura ietvaros paredzēts TEN-T tīklā uzstādīt lieljaudas uzlādes stacijas 13 valstīs, t.sk. Latvijā.</w:t>
      </w:r>
    </w:p>
    <w:p w:rsidR="00E60B17" w:rsidRPr="005565F8" w:rsidP="00E60B17" w14:paraId="373797E1" w14:textId="77777777">
      <w:r w:rsidRPr="005565F8">
        <w:t xml:space="preserve">2017. gadā ir uzsākta ES fondu 2014.-2020. gada plānošanas perioda projekta </w:t>
      </w:r>
      <w:r w:rsidRPr="005565F8">
        <w:rPr>
          <w:i/>
        </w:rPr>
        <w:t>„Drošas un videi draudzīgas infrastruktūras attīstība starptautiskajā lidostā „Rīga””</w:t>
      </w:r>
      <w:r w:rsidRPr="005565F8">
        <w:t xml:space="preserve"> īstenošana.</w:t>
      </w:r>
    </w:p>
    <w:p w:rsidR="00E60B17" w:rsidRPr="005565F8" w:rsidP="00E60B17" w14:paraId="6ACA7065" w14:textId="77777777">
      <w:r w:rsidRPr="005565F8">
        <w:t>2018. gadā plānots turpināt darbu pie ES fondu 2014.-2020. gada plānošanas perioda specifisko atbalsta mērķu īstenošanas uzraudzības, kā arī koordinēt EISI finansēto projektu atlases.</w:t>
      </w:r>
    </w:p>
    <w:p w:rsidR="00CC5E28" w:rsidRPr="005565F8" w:rsidP="00E60B17" w14:paraId="7346D4D7" w14:textId="77777777">
      <w:pPr>
        <w:sectPr w:rsidSect="005D1AD0">
          <w:type w:val="continuous"/>
          <w:pgSz w:w="11906" w:h="16838" w:code="9"/>
          <w:pgMar w:top="1134" w:right="1134" w:bottom="1134" w:left="1134" w:header="709" w:footer="567" w:gutter="0"/>
          <w:cols w:num="2" w:space="340"/>
          <w:titlePg/>
          <w:docGrid w:linePitch="360"/>
        </w:sectPr>
      </w:pPr>
    </w:p>
    <w:p w:rsidR="00A10E68" w:rsidRPr="005565F8" w:rsidP="00E60B17" w14:paraId="7F602992" w14:textId="77777777"/>
    <w:p w:rsidR="00A10E68" w:rsidRPr="005565F8" w:rsidP="00A10E68" w14:paraId="2727D4C8"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Valsts reģionālo autoceļu sakārtošana</w:t>
      </w:r>
    </w:p>
    <w:p w:rsidR="00A10E68" w:rsidRPr="005565F8" w:rsidP="00A10E68" w14:paraId="3E1AB12E"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SM/</w:t>
      </w:r>
    </w:p>
    <w:p w:rsidR="00CC5E28" w:rsidRPr="005565F8" w:rsidP="00B22046" w14:paraId="210C1837"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E60B17" w:rsidRPr="005565F8" w:rsidP="00A10E68" w14:paraId="6809BC09" w14:textId="77777777">
      <w:pPr>
        <w:spacing w:before="240"/>
        <w:rPr>
          <w:color w:val="000000"/>
        </w:rPr>
      </w:pPr>
      <w:r w:rsidRPr="005565F8">
        <w:rPr>
          <w:color w:val="000000"/>
        </w:rPr>
        <w:t xml:space="preserve">Valsts reģionālo autoceļu sakārtošana tiek veikta ar ERAF līdzfinansējumu. Kopējais publiskais finansējums reģionālajiem ceļiem </w:t>
      </w:r>
      <w:r w:rsidRPr="005565F8">
        <w:t>2015.-2017. gadam bija 138,2 milj. EUR, t.sk., ES fondu finansējums – 117,5 milj. EUR, t.sk., 2017. gadā – 59,7 milj. EUR, t.sk. ES fondu finansējums – 50,7 milj. EUR.</w:t>
      </w:r>
    </w:p>
    <w:p w:rsidR="00E60B17" w:rsidRPr="005565F8" w:rsidP="00E60B17" w14:paraId="587F9F1A" w14:textId="77777777">
      <w:pPr>
        <w:rPr>
          <w:color w:val="000000"/>
        </w:rPr>
      </w:pPr>
      <w:r w:rsidRPr="005565F8">
        <w:t>2017. </w:t>
      </w:r>
      <w:r w:rsidRPr="005565F8">
        <w:rPr>
          <w:color w:val="000000"/>
        </w:rPr>
        <w:t xml:space="preserve">gadā ES fondu finansēto projektu ietvaros rekonstruēto reģionālo autoceļu kopgarums ir 57,8 km. </w:t>
      </w:r>
      <w:r w:rsidRPr="005565F8">
        <w:t>2017. </w:t>
      </w:r>
      <w:r w:rsidRPr="005565F8">
        <w:rPr>
          <w:color w:val="000000"/>
        </w:rPr>
        <w:t xml:space="preserve">gadā </w:t>
      </w:r>
      <w:r w:rsidRPr="005565F8">
        <w:t>turpinājās</w:t>
      </w:r>
      <w:r w:rsidRPr="005565F8">
        <w:rPr>
          <w:color w:val="000000"/>
        </w:rPr>
        <w:t xml:space="preserve"> valsts reģionālo autoceļu, kas savieno starptautiskas, nacionālas un reģionālas </w:t>
      </w:r>
      <w:r w:rsidRPr="005565F8">
        <w:rPr>
          <w:color w:val="000000"/>
        </w:rPr>
        <w:t>nozīmes attīstības centrus ar TEN-T autoceļu tīklu, pārbūve ES fondu 2014.-2020. gada plānošanas perioda ietvaros.</w:t>
      </w:r>
    </w:p>
    <w:p w:rsidR="00E60B17" w:rsidRPr="005565F8" w:rsidP="00E60B17" w14:paraId="33078F9F" w14:textId="77777777">
      <w:pPr>
        <w:rPr>
          <w:color w:val="000000"/>
        </w:rPr>
      </w:pPr>
      <w:r w:rsidRPr="005565F8">
        <w:rPr>
          <w:color w:val="000000"/>
        </w:rPr>
        <w:t>2018. gadā ES fondu finansēto projektu ietvaros plānots pabeigt būvdarbus 58,8 km valsts reģionālo autoceļu. Līdz 2018. gada beigām kopš perioda sākuma plānots sakārtot jau 165,2 km valsts reģionālo autoceļu. 2018. gadā vēl plānots būvdarbus uzsākt vismaz 7 jaunos projektos 69,6 km kopgarumā.</w:t>
      </w:r>
    </w:p>
    <w:p w:rsidR="00CC5E28" w:rsidRPr="005565F8" w:rsidP="00A10E68" w14:paraId="441DA52C" w14:textId="77777777">
      <w:pPr>
        <w:sectPr w:rsidSect="005D1AD0">
          <w:type w:val="continuous"/>
          <w:pgSz w:w="11906" w:h="16838" w:code="9"/>
          <w:pgMar w:top="1134" w:right="1134" w:bottom="1134" w:left="1134" w:header="709" w:footer="567" w:gutter="0"/>
          <w:cols w:num="2" w:space="340"/>
          <w:titlePg/>
          <w:docGrid w:linePitch="360"/>
        </w:sectPr>
      </w:pPr>
    </w:p>
    <w:p w:rsidR="00A10E68" w:rsidRPr="005565F8" w:rsidP="00A10E68" w14:paraId="4C56931E"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Vides infrastruktūras uzlabošana</w:t>
      </w:r>
    </w:p>
    <w:p w:rsidR="00A10E68" w:rsidRPr="005565F8" w:rsidP="00A10E68" w14:paraId="3056CAFA"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VARAM</w:t>
      </w:r>
      <w:r w:rsidRPr="005565F8" w:rsidR="008C65F2">
        <w:rPr>
          <w:rFonts w:eastAsia="+mn-ea"/>
          <w:color w:val="595959" w:themeColor="text1" w:themeTint="A6"/>
          <w:sz w:val="16"/>
        </w:rPr>
        <w:t>, ZM</w:t>
      </w:r>
      <w:r w:rsidRPr="005565F8">
        <w:rPr>
          <w:rFonts w:eastAsia="+mn-ea"/>
          <w:color w:val="595959" w:themeColor="text1" w:themeTint="A6"/>
          <w:sz w:val="16"/>
        </w:rPr>
        <w:t>/</w:t>
      </w:r>
    </w:p>
    <w:p w:rsidR="00CC5E28" w:rsidRPr="005565F8" w:rsidP="00B22046" w14:paraId="0CB5B3F0"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E60B17" w:rsidRPr="005565F8" w:rsidP="00A10E68" w14:paraId="31C4ACDE" w14:textId="77777777">
      <w:pPr>
        <w:suppressAutoHyphens/>
        <w:spacing w:before="240"/>
        <w:rPr>
          <w:color w:val="000000"/>
        </w:rPr>
      </w:pPr>
      <w:r w:rsidRPr="005565F8">
        <w:rPr>
          <w:color w:val="000000"/>
        </w:rPr>
        <w:t>Vides infrastruktūras uzlabošana tiek veikta ar KF un ERAF atbalstu, piesaistot arī valsts, pašvaldību un privāto līdzfinansējumu.</w:t>
      </w:r>
    </w:p>
    <w:p w:rsidR="00E60B17" w:rsidRPr="005565F8" w:rsidP="00E60B17" w14:paraId="6128A0B4" w14:textId="77777777">
      <w:pPr>
        <w:suppressAutoHyphens/>
        <w:rPr>
          <w:color w:val="000000"/>
        </w:rPr>
      </w:pPr>
      <w:r w:rsidRPr="005565F8">
        <w:rPr>
          <w:color w:val="000000"/>
        </w:rPr>
        <w:t xml:space="preserve">2014.-2020. gada plānošanas periodā tiek turpināti ES fondu ieguldījumi vides aizsardzībā </w:t>
      </w:r>
      <w:r w:rsidRPr="005565F8" w:rsidR="009B5293">
        <w:rPr>
          <w:color w:val="000000"/>
        </w:rPr>
        <w:t xml:space="preserve">270,9 </w:t>
      </w:r>
      <w:r w:rsidRPr="005565F8" w:rsidR="00BF0AD6">
        <w:rPr>
          <w:color w:val="000000"/>
        </w:rPr>
        <w:t xml:space="preserve">milj. EUR apmērā (t.sk. 36,8 </w:t>
      </w:r>
      <w:r w:rsidRPr="005565F8" w:rsidR="009B5293">
        <w:rPr>
          <w:color w:val="000000"/>
        </w:rPr>
        <w:t>milj. EUR plūdu risku samazināšanai lauku teritorijās</w:t>
      </w:r>
      <w:r w:rsidRPr="005565F8" w:rsidR="00BF0AD6">
        <w:rPr>
          <w:color w:val="000000"/>
        </w:rPr>
        <w:t>)</w:t>
      </w:r>
      <w:r w:rsidRPr="005565F8">
        <w:rPr>
          <w:color w:val="000000"/>
        </w:rPr>
        <w:t>. Minētos līdzekļus paredzēts novirzīt vides infrastruktūras attīstībai un vides aizsardzībai, galvenokārt – kanalizācijas tīklu paplašināšanai (118,7 milj. EUR), atkritumu dalītās vākšanas, pārstrādes un reģenerācijas infrastruktūras attīstībai (41,3 milj. EUR), plūdu risku samazināšanai pilsētās (28,9 milj. EUR)</w:t>
      </w:r>
      <w:r w:rsidRPr="005565F8" w:rsidR="00E32BE3">
        <w:rPr>
          <w:color w:val="000000"/>
        </w:rPr>
        <w:t xml:space="preserve"> </w:t>
      </w:r>
      <w:r w:rsidRPr="005565F8" w:rsidR="00E32BE3">
        <w:t xml:space="preserve">un </w:t>
      </w:r>
      <w:r w:rsidRPr="005565F8" w:rsidR="00E32BE3">
        <w:rPr>
          <w:bCs/>
        </w:rPr>
        <w:t>lauku teritorijās</w:t>
      </w:r>
      <w:r w:rsidRPr="005565F8" w:rsidR="00E32BE3">
        <w:t xml:space="preserve"> (kopējais finansējums 43,4 </w:t>
      </w:r>
      <w:r w:rsidRPr="005565F8" w:rsidR="00E32BE3">
        <w:t>milj.EUR</w:t>
      </w:r>
      <w:r w:rsidRPr="005565F8" w:rsidR="00E32BE3">
        <w:t>, kuru atbilstoši veido ERAF  finansējums – 36,8 milj. EUR un valsts budžeta finansējums - 6,5 milj. EUR)</w:t>
      </w:r>
      <w:r w:rsidRPr="005565F8">
        <w:t xml:space="preserve">, </w:t>
      </w:r>
      <w:r w:rsidRPr="005565F8" w:rsidR="00CA0DE4">
        <w:rPr>
          <w:color w:val="000000"/>
        </w:rPr>
        <w:t>antropogēnās slodzes mazinošas</w:t>
      </w:r>
      <w:r w:rsidRPr="005565F8">
        <w:rPr>
          <w:color w:val="000000"/>
        </w:rPr>
        <w:t xml:space="preserve"> infrastruktūras izbūvei un rekonstrukcijai </w:t>
      </w:r>
      <w:r w:rsidRPr="005565F8">
        <w:rPr>
          <w:i/>
          <w:color w:val="000000"/>
        </w:rPr>
        <w:t>Natura</w:t>
      </w:r>
      <w:r w:rsidRPr="005565F8">
        <w:rPr>
          <w:i/>
          <w:color w:val="000000"/>
        </w:rPr>
        <w:t xml:space="preserve"> 2000</w:t>
      </w:r>
      <w:r w:rsidRPr="005565F8">
        <w:rPr>
          <w:color w:val="000000"/>
        </w:rPr>
        <w:t xml:space="preserve"> teritorijās (3,4 milj. EUR), bioloģiskās daudzveidības pasākumiem (8</w:t>
      </w:r>
      <w:r w:rsidRPr="005565F8" w:rsidR="00CA0DE4">
        <w:rPr>
          <w:color w:val="000000"/>
        </w:rPr>
        <w:t>,1</w:t>
      </w:r>
      <w:r w:rsidRPr="005565F8">
        <w:rPr>
          <w:color w:val="000000"/>
        </w:rPr>
        <w:t> milj. EUR), vides monitoringam, vides kontrolei un vides informācijas centru infrastruktūras pilnveidei (14,1 milj. EUR), kā arī vēsturiski piesārņoto vietu sanācijai (11,6 milj. EUR).</w:t>
      </w:r>
    </w:p>
    <w:p w:rsidR="00E60B17" w:rsidRPr="005565F8" w:rsidP="00E60B17" w14:paraId="6EAA1458" w14:textId="77777777">
      <w:pPr>
        <w:suppressAutoHyphens/>
        <w:rPr>
          <w:color w:val="000000"/>
        </w:rPr>
      </w:pPr>
      <w:r w:rsidRPr="005565F8">
        <w:rPr>
          <w:color w:val="000000"/>
        </w:rPr>
        <w:t>Lai attīstītu ūdenssaimniecību, 2016. gadā tika uzsākta projektu atlase kanalizācijas tīklu paplašināšanai. Plānots, ka pēc projektu realizēšanas kanalizācijas sistēmu faktisko lietotāju skaits pieaugs par 42 tūkstošiem iedzīvotāju, aptverot 48 aglomerācijas.</w:t>
      </w:r>
    </w:p>
    <w:p w:rsidR="00E60B17" w:rsidRPr="005565F8" w:rsidP="00E60B17" w14:paraId="0DDB76F2" w14:textId="77777777">
      <w:pPr>
        <w:suppressAutoHyphens/>
        <w:rPr>
          <w:color w:val="000000"/>
        </w:rPr>
      </w:pPr>
      <w:r w:rsidRPr="005565F8">
        <w:rPr>
          <w:color w:val="000000"/>
        </w:rPr>
        <w:t>Lai pasargātu 200 tūkst</w:t>
      </w:r>
      <w:r w:rsidRPr="005565F8" w:rsidR="00A043F6">
        <w:rPr>
          <w:color w:val="000000"/>
        </w:rPr>
        <w:t>.</w:t>
      </w:r>
      <w:r w:rsidRPr="005565F8">
        <w:rPr>
          <w:color w:val="000000"/>
        </w:rPr>
        <w:t xml:space="preserve"> iedzīvotāju no applūšanas riska, 2017. gadā noslēdzās projektu iesniegumu atlase plūdu risku un krasta erozijas apdraudējuma novēršanas pasākumu īstenošanai vairākās applūstošās pilsētās.</w:t>
      </w:r>
    </w:p>
    <w:p w:rsidR="00E60B17" w:rsidRPr="005565F8" w:rsidP="00E60B17" w14:paraId="376EE8DF" w14:textId="77777777">
      <w:pPr>
        <w:suppressAutoHyphens/>
        <w:rPr>
          <w:color w:val="000000"/>
        </w:rPr>
      </w:pPr>
      <w:r w:rsidRPr="005565F8">
        <w:rPr>
          <w:color w:val="000000"/>
        </w:rPr>
        <w:t xml:space="preserve">2017. gadā uzsākti projekti </w:t>
      </w:r>
      <w:r w:rsidRPr="005565F8">
        <w:rPr>
          <w:i/>
          <w:color w:val="000000"/>
        </w:rPr>
        <w:t>Natura</w:t>
      </w:r>
      <w:r w:rsidRPr="005565F8">
        <w:rPr>
          <w:i/>
          <w:color w:val="000000"/>
        </w:rPr>
        <w:t xml:space="preserve"> 2000</w:t>
      </w:r>
      <w:r w:rsidRPr="005565F8">
        <w:rPr>
          <w:color w:val="000000"/>
        </w:rPr>
        <w:t xml:space="preserve"> teritoriju dabas aizsardzības plānos paredzētās infrastruktūras izbūvei pašvaldībās.</w:t>
      </w:r>
    </w:p>
    <w:p w:rsidR="00E60B17" w:rsidRPr="005565F8" w:rsidP="00E60B17" w14:paraId="34E88D60" w14:textId="77777777">
      <w:pPr>
        <w:suppressAutoHyphens/>
      </w:pPr>
      <w:r w:rsidRPr="005565F8">
        <w:rPr>
          <w:color w:val="000000"/>
        </w:rPr>
        <w:t xml:space="preserve">2017. gadā tika uzsākts biotopu kartēšanas projekts, kurā </w:t>
      </w:r>
      <w:r w:rsidRPr="005565F8" w:rsidR="00CA0DE4">
        <w:rPr>
          <w:color w:val="000000"/>
        </w:rPr>
        <w:t xml:space="preserve">tiek </w:t>
      </w:r>
      <w:r w:rsidRPr="005565F8">
        <w:rPr>
          <w:color w:val="000000"/>
        </w:rPr>
        <w:t xml:space="preserve">veikta ES īpaši aizsargājamo biotopu izplatības un kvalitātes apzināšana (biotopu kartēšana) visā Latvijas teritorijā, kā arī īpaši aizsargājamo dabas teritoriju dabas aizsardzības plānu un īpaši aizsargājamo sugu aizsardzības plānu izstrāde. Kartēšanas rezultāti dos precīzāku informāciju par Latvijas dabas stāvokli un kvalitāti, un ļaus izmantot šos datus lēmumu pieņemšanai un nepieciešamajiem pasākumiem ilgtspējīgai saimniekošanai. 2017. gadā tika apsekota gandrīz trešdaļa Latvijas sauszemes teritorijas. </w:t>
      </w:r>
      <w:r w:rsidRPr="005565F8" w:rsidR="00FB130C">
        <w:rPr>
          <w:color w:val="000000"/>
        </w:rPr>
        <w:t>2018.</w:t>
      </w:r>
      <w:r w:rsidRPr="005565F8">
        <w:rPr>
          <w:color w:val="000000"/>
        </w:rPr>
        <w:t xml:space="preserve">gadā </w:t>
      </w:r>
      <w:r w:rsidRPr="005565F8" w:rsidR="00CA0DE4">
        <w:rPr>
          <w:color w:val="000000"/>
        </w:rPr>
        <w:t>noritēs darbs pie</w:t>
      </w:r>
      <w:r w:rsidRPr="005565F8">
        <w:rPr>
          <w:color w:val="000000"/>
        </w:rPr>
        <w:t xml:space="preserve"> dabas aizsardzības plānu </w:t>
      </w:r>
      <w:r w:rsidRPr="005565F8" w:rsidR="00CA0DE4">
        <w:rPr>
          <w:color w:val="000000"/>
        </w:rPr>
        <w:t>izstrādes</w:t>
      </w:r>
      <w:r w:rsidRPr="005565F8">
        <w:rPr>
          <w:color w:val="000000"/>
        </w:rPr>
        <w:t xml:space="preserve"> </w:t>
      </w:r>
      <w:r w:rsidRPr="005565F8" w:rsidR="00A043F6">
        <w:rPr>
          <w:color w:val="000000"/>
        </w:rPr>
        <w:t>8</w:t>
      </w:r>
      <w:r w:rsidRPr="005565F8">
        <w:rPr>
          <w:color w:val="000000"/>
        </w:rPr>
        <w:t xml:space="preserve"> īpaši aizsargājamām dabas teritorijām</w:t>
      </w:r>
      <w:r>
        <w:rPr>
          <w:rStyle w:val="FootnoteReference"/>
          <w:color w:val="000000"/>
        </w:rPr>
        <w:footnoteReference w:id="36"/>
      </w:r>
      <w:r w:rsidRPr="005565F8">
        <w:rPr>
          <w:rFonts w:eastAsia="Times New Roman"/>
          <w:lang w:eastAsia="lv-LV"/>
        </w:rPr>
        <w:t>.</w:t>
      </w:r>
    </w:p>
    <w:p w:rsidR="00E60B17" w:rsidRPr="005565F8" w:rsidP="00E60B17" w14:paraId="588477F6" w14:textId="77777777">
      <w:pPr>
        <w:suppressAutoHyphens/>
        <w:rPr>
          <w:color w:val="000000"/>
        </w:rPr>
      </w:pPr>
      <w:r w:rsidRPr="005565F8">
        <w:rPr>
          <w:color w:val="000000"/>
        </w:rPr>
        <w:t>2017. gada nogalē atbilstoši plānotajam tika uzsākti divi projekti vides monitoringa, vides kontroles sistēmas un vides informācijas centru infrastruktūras pilnveidei.</w:t>
      </w:r>
    </w:p>
    <w:p w:rsidR="00E60B17" w:rsidRPr="005565F8" w:rsidP="00E60B17" w14:paraId="6CFAFB45" w14:textId="77777777">
      <w:pPr>
        <w:suppressAutoHyphens/>
        <w:rPr>
          <w:color w:val="000000"/>
        </w:rPr>
      </w:pPr>
      <w:r w:rsidRPr="005565F8">
        <w:rPr>
          <w:color w:val="000000"/>
        </w:rPr>
        <w:t xml:space="preserve">2017. gadā ir uzsāktas projektu iesniegumu atlases visos atkritumu apsaimniekošanas sistēmas attīstības pasākumos. Tādējādi tiks pilnveidota atkritumu dalītās savākšanas sistēma, izveidotas atkritumu pārstrādes, </w:t>
      </w:r>
      <w:r w:rsidRPr="005565F8" w:rsidR="00A043F6">
        <w:rPr>
          <w:color w:val="000000"/>
        </w:rPr>
        <w:t>t.sk.</w:t>
      </w:r>
      <w:r w:rsidRPr="005565F8">
        <w:rPr>
          <w:color w:val="000000"/>
        </w:rPr>
        <w:t xml:space="preserve"> sadzīves un bioloģiski noārdāmu atkritumu, kā arī atkritumu reģenerācijas ar enerģijas atguvi iekārtas. Investīciju rezultātā plānots atkritumu pārstrādes jaudas pieaugums par 172 000 t/gadā, kā arī atkritumu reģenerācijas ar enerģijas atguvi jaudas pieaugums 11 000 t/gadā, vienlaikus pieaugot arī šķiroto atkritumu apjomam.</w:t>
      </w:r>
    </w:p>
    <w:p w:rsidR="009C339C" w:rsidRPr="005565F8" w:rsidP="00967060" w14:paraId="73867D46" w14:textId="77777777">
      <w:pPr>
        <w:pStyle w:val="Heading2"/>
        <w:spacing w:after="120"/>
        <w:jc w:val="center"/>
        <w:rPr>
          <w:rFonts w:ascii="Times New Roman Bold" w:hAnsi="Times New Roman Bold"/>
          <w:smallCaps/>
          <w:szCs w:val="24"/>
        </w:rPr>
        <w:sectPr w:rsidSect="005D1AD0">
          <w:type w:val="continuous"/>
          <w:pgSz w:w="11906" w:h="16838" w:code="9"/>
          <w:pgMar w:top="1134" w:right="1134" w:bottom="1134" w:left="1134" w:header="709" w:footer="567" w:gutter="0"/>
          <w:cols w:num="2" w:space="340"/>
          <w:titlePg/>
          <w:docGrid w:linePitch="360"/>
        </w:sectPr>
      </w:pPr>
    </w:p>
    <w:p w:rsidR="00E776A7" w:rsidP="00B45174" w14:paraId="06370EC6" w14:textId="77777777">
      <w:pPr>
        <w:pStyle w:val="Heading2"/>
        <w:pBdr>
          <w:bottom w:val="single" w:sz="24" w:space="1" w:color="228B9D"/>
        </w:pBdr>
      </w:pPr>
    </w:p>
    <w:p w:rsidR="008F2EE4" w:rsidRPr="005565F8" w:rsidP="00B45174" w14:paraId="0980E656" w14:textId="4FB5A2E5">
      <w:pPr>
        <w:pStyle w:val="Heading2"/>
        <w:pBdr>
          <w:bottom w:val="single" w:sz="24" w:space="1" w:color="228B9D"/>
        </w:pBdr>
      </w:pPr>
      <w:bookmarkStart w:id="68" w:name="_Toc510687750"/>
      <w:bookmarkStart w:id="69" w:name="_Toc256000019"/>
      <w:bookmarkStart w:id="70" w:name="_Toc256000054"/>
      <w:r w:rsidRPr="005565F8">
        <w:t>3.3. Nodarbinātība</w:t>
      </w:r>
      <w:bookmarkEnd w:id="70"/>
      <w:bookmarkEnd w:id="69"/>
      <w:bookmarkEnd w:id="68"/>
    </w:p>
    <w:p w:rsidR="00B45174" w:rsidRPr="005565F8" w:rsidP="00134EDA" w14:paraId="3111271E" w14:textId="77777777">
      <w:pPr>
        <w:ind w:firstLine="567"/>
        <w:sectPr w:rsidSect="005D1AD0">
          <w:type w:val="continuous"/>
          <w:pgSz w:w="11906" w:h="16838" w:code="9"/>
          <w:pgMar w:top="1134" w:right="1134" w:bottom="1134" w:left="1134" w:header="709" w:footer="567" w:gutter="0"/>
          <w:cols w:space="708"/>
          <w:titlePg/>
          <w:docGrid w:linePitch="360"/>
        </w:sectPr>
      </w:pPr>
    </w:p>
    <w:p w:rsidR="00134EDA" w:rsidRPr="005565F8" w:rsidP="00F96413" w14:paraId="7A167460" w14:textId="77777777">
      <w:r w:rsidRPr="005565F8">
        <w:t>Latvijas NRP izvirzītais mērķis līdz 2020. gadam sasniegt 73% nodarbinātības līmeni (20-64 gadu vecuma grupā).</w:t>
      </w:r>
    </w:p>
    <w:p w:rsidR="00A10E68" w:rsidRPr="005565F8" w:rsidP="00A10E68" w14:paraId="4A7B75D8" w14:textId="77777777">
      <w:r w:rsidRPr="005565F8">
        <w:t>Nodarbinātības līmeņa  mērķis 2020.</w:t>
      </w:r>
      <w:r w:rsidRPr="005565F8">
        <w:rPr>
          <w:color w:val="000000"/>
        </w:rPr>
        <w:t> </w:t>
      </w:r>
      <w:r w:rsidRPr="005565F8">
        <w:t>gadam tika sasniegts jau 2016.gadā.</w:t>
      </w:r>
      <w:r w:rsidRPr="005565F8" w:rsidR="001A1AC2">
        <w:t xml:space="preserve"> </w:t>
      </w:r>
      <w:r w:rsidRPr="005565F8">
        <w:t xml:space="preserve">Ekonomiskā izaugsme arī turpmāk sekmēs nodarbinātības pieaugumu, tomēr </w:t>
      </w:r>
      <w:r w:rsidRPr="005565F8">
        <w:t xml:space="preserve">pieauguma tempi varētu kļūt lēnāki, jo izaugsme lielā mērā balstīsies uz produktivitātes kāpumu. Nodarbinātības līmeņa pieaugumu daļēji noteiks arī sagaidāmais iedzīvotāju skaita samazinājums darbaspējas vecumā (plašāk par demogrāfijas izaicinājumiem </w:t>
      </w:r>
      <w:r w:rsidRPr="005565F8">
        <w:rPr>
          <w:i/>
        </w:rPr>
        <w:t>skat. 3.5.2.nodaļ</w:t>
      </w:r>
      <w:r w:rsidRPr="005565F8" w:rsidR="001A1AC2">
        <w:rPr>
          <w:i/>
        </w:rPr>
        <w:t>ā</w:t>
      </w:r>
      <w:r w:rsidRPr="005565F8">
        <w:t>).</w:t>
      </w:r>
    </w:p>
    <w:p w:rsidR="00A10E68" w:rsidRPr="005565F8" w:rsidP="00F96413" w14:paraId="7D64B9C1" w14:textId="77777777">
      <w:pPr>
        <w:pStyle w:val="ListParagraph"/>
        <w:keepNext/>
        <w:spacing w:before="240"/>
        <w:ind w:left="0"/>
        <w:jc w:val="right"/>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99547A" w:rsidRPr="005565F8" w:rsidP="00C413AB" w14:paraId="1C371C99" w14:textId="77777777"/>
    <w:p w:rsidR="00C413AB" w:rsidRPr="005565F8" w:rsidP="00E776A7" w14:paraId="0950DA40" w14:textId="77777777">
      <w:pPr>
        <w:pStyle w:val="ListParagraph"/>
        <w:keepNext/>
        <w:shd w:val="clear" w:color="auto" w:fill="FFFFFF" w:themeFill="background1"/>
        <w:tabs>
          <w:tab w:val="right" w:pos="8080"/>
        </w:tabs>
        <w:spacing w:before="240"/>
        <w:ind w:left="0" w:right="-1"/>
        <w:rPr>
          <w:rFonts w:ascii="Calibri Light" w:hAnsi="Calibri Light"/>
          <w:sz w:val="8"/>
        </w:rPr>
      </w:pPr>
    </w:p>
    <w:p w:rsidR="00F96413" w:rsidP="00E776A7" w14:paraId="7DD1735B" w14:textId="04B2A28A">
      <w:pPr>
        <w:pStyle w:val="ListParagraph"/>
        <w:keepNext/>
        <w:shd w:val="clear" w:color="auto" w:fill="FFFFFF" w:themeFill="background1"/>
        <w:tabs>
          <w:tab w:val="right" w:pos="8080"/>
        </w:tabs>
        <w:spacing w:before="240"/>
        <w:ind w:left="0" w:right="-1"/>
        <w:jc w:val="right"/>
        <w:rPr>
          <w:rFonts w:ascii="Calibri Light" w:hAnsi="Calibri Light"/>
          <w:i/>
          <w:sz w:val="16"/>
        </w:rPr>
      </w:pPr>
      <w:r w:rsidRPr="005565F8">
        <w:rPr>
          <w:rFonts w:ascii="Calibri Light" w:hAnsi="Calibri Light"/>
        </w:rPr>
        <w:tab/>
      </w:r>
      <w:r w:rsidR="00E776A7">
        <w:rPr>
          <w:rFonts w:ascii="Calibri Light" w:hAnsi="Calibri Light"/>
        </w:rPr>
        <w:br w:type="column"/>
      </w:r>
      <w:r w:rsidRPr="005565F8">
        <w:rPr>
          <w:rFonts w:ascii="Calibri Light" w:hAnsi="Calibri Light"/>
        </w:rPr>
        <w:t>3.</w:t>
      </w:r>
      <w:r w:rsidRPr="005565F8" w:rsidR="00F947F7">
        <w:rPr>
          <w:rFonts w:ascii="Calibri Light" w:hAnsi="Calibri Light"/>
        </w:rPr>
        <w:t>2</w:t>
      </w:r>
      <w:r w:rsidRPr="005565F8">
        <w:rPr>
          <w:rFonts w:ascii="Calibri Light" w:hAnsi="Calibri Light"/>
        </w:rPr>
        <w:t>.attēls</w:t>
      </w:r>
      <w:r w:rsidRPr="005565F8" w:rsidR="00F5398E">
        <w:rPr>
          <w:rFonts w:ascii="Calibri Light" w:hAnsi="Calibri Light"/>
        </w:rPr>
        <w:br/>
      </w:r>
      <w:r w:rsidRPr="005565F8">
        <w:rPr>
          <w:rFonts w:ascii="Calibri Light" w:hAnsi="Calibri Light"/>
          <w:b/>
          <w:sz w:val="24"/>
        </w:rPr>
        <w:tab/>
      </w:r>
      <w:r w:rsidRPr="005565F8" w:rsidR="00F5398E">
        <w:rPr>
          <w:rFonts w:ascii="Calibri Light" w:hAnsi="Calibri Light"/>
          <w:b/>
          <w:sz w:val="24"/>
        </w:rPr>
        <w:t>Nodarbinātības līmeņa (iedzīvotāji vecumā 20-64 gadi) mērķ</w:t>
      </w:r>
      <w:r w:rsidRPr="005565F8" w:rsidR="00F659E2">
        <w:rPr>
          <w:rFonts w:ascii="Calibri Light" w:hAnsi="Calibri Light"/>
          <w:b/>
          <w:sz w:val="24"/>
        </w:rPr>
        <w:t>is</w:t>
      </w:r>
      <w:r w:rsidRPr="005565F8" w:rsidR="00F5398E">
        <w:rPr>
          <w:rFonts w:ascii="Calibri Light" w:hAnsi="Calibri Light"/>
          <w:b/>
          <w:sz w:val="24"/>
        </w:rPr>
        <w:t xml:space="preserve"> </w:t>
      </w:r>
      <w:r w:rsidRPr="005565F8" w:rsidR="00F5398E">
        <w:rPr>
          <w:rFonts w:ascii="Calibri Light" w:hAnsi="Calibri Light"/>
        </w:rPr>
        <w:br/>
      </w:r>
      <w:r w:rsidRPr="005565F8">
        <w:rPr>
          <w:rFonts w:ascii="Calibri Light" w:hAnsi="Calibri Light"/>
          <w:i/>
          <w:sz w:val="16"/>
        </w:rPr>
        <w:tab/>
      </w:r>
      <w:r w:rsidRPr="005565F8">
        <w:rPr>
          <w:rFonts w:ascii="Calibri Light" w:hAnsi="Calibri Light"/>
          <w:i/>
          <w:sz w:val="16"/>
        </w:rPr>
        <w:t>Nodarbinātības līmenis, %</w:t>
      </w:r>
    </w:p>
    <w:p w:rsidR="00E776A7" w:rsidP="00E776A7" w14:paraId="5C8AE59F" w14:textId="2B11BC68">
      <w:pPr>
        <w:pStyle w:val="ListParagraph"/>
        <w:keepNext/>
        <w:shd w:val="clear" w:color="auto" w:fill="FFFFFF" w:themeFill="background1"/>
        <w:tabs>
          <w:tab w:val="right" w:pos="8080"/>
        </w:tabs>
        <w:spacing w:before="240"/>
        <w:ind w:left="0" w:right="-1"/>
        <w:jc w:val="right"/>
        <w:rPr>
          <w:rFonts w:ascii="Calibri Light" w:hAnsi="Calibri Light"/>
          <w:b/>
          <w:i/>
          <w:sz w:val="16"/>
        </w:rPr>
      </w:pPr>
    </w:p>
    <w:p w:rsidR="00E776A7" w:rsidRPr="00E776A7" w:rsidP="00E776A7" w14:paraId="62759987" w14:textId="77777777">
      <w:pPr>
        <w:pStyle w:val="ListParagraph"/>
        <w:shd w:val="clear" w:color="auto" w:fill="B8CCE4" w:themeFill="accent1" w:themeFillTint="66"/>
        <w:tabs>
          <w:tab w:val="left" w:pos="426"/>
          <w:tab w:val="right" w:pos="8080"/>
        </w:tabs>
        <w:spacing w:after="0"/>
        <w:ind w:left="0" w:right="-1"/>
        <w:contextualSpacing w:val="0"/>
        <w:rPr>
          <w:rFonts w:ascii="Calibri Light" w:hAnsi="Calibri Light"/>
          <w:color w:val="595959" w:themeColor="text1" w:themeTint="A6"/>
          <w:sz w:val="16"/>
          <w:szCs w:val="20"/>
        </w:rPr>
      </w:pPr>
    </w:p>
    <w:p w:rsidR="00F96413" w:rsidRPr="005565F8" w:rsidP="00E776A7" w14:paraId="67436D68" w14:textId="77777777">
      <w:pPr>
        <w:pStyle w:val="ListParagraph"/>
        <w:shd w:val="clear" w:color="auto" w:fill="B8CCE4" w:themeFill="accent1" w:themeFillTint="66"/>
        <w:tabs>
          <w:tab w:val="left" w:pos="426"/>
          <w:tab w:val="right" w:pos="8080"/>
        </w:tabs>
        <w:spacing w:after="0"/>
        <w:ind w:left="0" w:right="-1"/>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5760000" cy="2160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6413" w:rsidRPr="005565F8" w:rsidP="00E776A7" w14:paraId="20C918A8" w14:textId="77777777">
      <w:pPr>
        <w:pStyle w:val="ListParagraph"/>
        <w:shd w:val="clear" w:color="auto" w:fill="B8CCE4" w:themeFill="accent1" w:themeFillTint="66"/>
        <w:tabs>
          <w:tab w:val="left" w:pos="426"/>
          <w:tab w:val="right" w:pos="8080"/>
        </w:tabs>
        <w:spacing w:after="0"/>
        <w:ind w:left="0" w:right="-1"/>
        <w:contextualSpacing w:val="0"/>
        <w:jc w:val="center"/>
        <w:rPr>
          <w:rFonts w:ascii="Calibri Light" w:hAnsi="Calibri Light"/>
          <w:sz w:val="16"/>
          <w:szCs w:val="20"/>
        </w:rPr>
      </w:pPr>
    </w:p>
    <w:p w:rsidR="00C413AB" w:rsidRPr="005565F8" w:rsidP="00E776A7" w14:paraId="5DC3B1C2" w14:textId="77777777">
      <w:pPr>
        <w:pStyle w:val="ListParagraph"/>
        <w:shd w:val="clear" w:color="auto" w:fill="B8CCE4" w:themeFill="accent1" w:themeFillTint="66"/>
        <w:tabs>
          <w:tab w:val="left" w:pos="426"/>
          <w:tab w:val="right" w:pos="8080"/>
        </w:tabs>
        <w:spacing w:after="0"/>
        <w:ind w:left="0" w:right="-1"/>
        <w:contextualSpacing w:val="0"/>
        <w:rPr>
          <w:rFonts w:ascii="Calibri Light" w:hAnsi="Calibri Light"/>
          <w:sz w:val="16"/>
          <w:szCs w:val="20"/>
        </w:rPr>
      </w:pPr>
      <w:r w:rsidRPr="005565F8">
        <w:rPr>
          <w:rFonts w:ascii="Calibri Light" w:hAnsi="Calibri Light"/>
          <w:color w:val="595959" w:themeColor="text1" w:themeTint="A6"/>
          <w:sz w:val="16"/>
          <w:szCs w:val="20"/>
        </w:rPr>
        <w:t>Avots: CSP</w:t>
      </w:r>
    </w:p>
    <w:p w:rsidR="00C413AB" w:rsidRPr="00E776A7" w:rsidP="00E776A7" w14:paraId="37873951" w14:textId="77777777">
      <w:pPr>
        <w:pStyle w:val="ListParagraph"/>
        <w:shd w:val="clear" w:color="auto" w:fill="B8CCE4" w:themeFill="accent1" w:themeFillTint="66"/>
        <w:tabs>
          <w:tab w:val="left" w:pos="426"/>
          <w:tab w:val="right" w:pos="8080"/>
        </w:tabs>
        <w:spacing w:after="0"/>
        <w:ind w:left="0" w:right="-1"/>
        <w:contextualSpacing w:val="0"/>
        <w:jc w:val="center"/>
        <w:rPr>
          <w:rFonts w:ascii="Calibri Light" w:hAnsi="Calibri Light"/>
          <w:sz w:val="4"/>
          <w:szCs w:val="20"/>
        </w:rPr>
      </w:pPr>
    </w:p>
    <w:p w:rsidR="00F96413" w:rsidRPr="005565F8" w:rsidP="00F96413" w14:paraId="59AEAA19" w14:textId="77777777">
      <w:pPr>
        <w:pStyle w:val="ListParagraph"/>
        <w:tabs>
          <w:tab w:val="left" w:pos="426"/>
        </w:tabs>
        <w:spacing w:before="40"/>
        <w:ind w:left="0"/>
        <w:contextualSpacing w:val="0"/>
        <w:rPr>
          <w:rFonts w:ascii="Calibri Light" w:hAnsi="Calibri Light"/>
          <w:sz w:val="16"/>
          <w:szCs w:val="20"/>
        </w:rPr>
      </w:pPr>
    </w:p>
    <w:p w:rsidR="00A10E68" w:rsidRPr="005565F8" w:rsidP="00F96413" w14:paraId="1CC05A79" w14:textId="77777777">
      <w:pPr>
        <w:sectPr w:rsidSect="005D1AD0">
          <w:type w:val="continuous"/>
          <w:pgSz w:w="11906" w:h="16838" w:code="9"/>
          <w:pgMar w:top="1134" w:right="1134" w:bottom="1134" w:left="1134" w:header="709" w:footer="567" w:gutter="0"/>
          <w:cols w:space="340"/>
          <w:titlePg/>
          <w:docGrid w:linePitch="360"/>
        </w:sectPr>
      </w:pPr>
    </w:p>
    <w:p w:rsidR="00F96413" w:rsidRPr="005565F8" w:rsidP="00F96413" w14:paraId="1A5BA22F" w14:textId="77777777">
      <w:r w:rsidRPr="005565F8">
        <w:rPr>
          <w:b/>
        </w:rPr>
        <w:t>Latvijas nodarbinātības politikas galvenie elementi</w:t>
      </w:r>
      <w:r w:rsidRPr="005565F8">
        <w:t>:</w:t>
      </w:r>
    </w:p>
    <w:p w:rsidR="00F96413" w:rsidRPr="005565F8" w:rsidP="009A65A4" w14:paraId="4869B0D4" w14:textId="77777777">
      <w:pPr>
        <w:numPr>
          <w:ilvl w:val="0"/>
          <w:numId w:val="7"/>
        </w:numPr>
        <w:spacing w:after="60"/>
        <w:ind w:left="284" w:hanging="284"/>
      </w:pPr>
      <w:r w:rsidRPr="005565F8">
        <w:t xml:space="preserve">darbaspēka pieprasījuma puses veicināšana – ekonomisko aktivitāšu un uzņēmējdarbības stimulēšana, t.sk. darbaspēka nodokļu samazināšana, cīņa ar nedeklarēto nodarbinātību, valsts sniegtie netiešie un tiešie atbalsta pasākumi uzņēmējiem, pasākumi administratīvo šķēršļu mazināšanai, biznesa inkubatori u.c. </w:t>
      </w:r>
      <w:r w:rsidRPr="005565F8">
        <w:rPr>
          <w:i/>
        </w:rPr>
        <w:t>(skat. 3.2.nodaļu)</w:t>
      </w:r>
      <w:r w:rsidRPr="005565F8">
        <w:t>;</w:t>
      </w:r>
    </w:p>
    <w:p w:rsidR="00F96413" w:rsidRPr="005565F8" w:rsidP="009A65A4" w14:paraId="19B180FF" w14:textId="77777777">
      <w:pPr>
        <w:numPr>
          <w:ilvl w:val="0"/>
          <w:numId w:val="8"/>
        </w:numPr>
        <w:spacing w:after="60"/>
        <w:ind w:left="284" w:hanging="284"/>
      </w:pPr>
      <w:r w:rsidRPr="005565F8">
        <w:t xml:space="preserve">darbaspēka piedāvājuma puses stiprināšana – bezdarbnieku un bezdarba riskam pakļauto personu konkurētspējas palielināšana darba tirgū, t.sk. prasmju pilnveidošana atbilstoši darba tirgus vajadzībām (profesionālā tālākizglītība, neformālā izglītība bezdarbniekiem, konsultācijas, profesionālā mobilitāte), mūžizglītības pasākumi, konsultācijas uzņēmējdarbības uzsākšanai u.tml. </w:t>
      </w:r>
      <w:r w:rsidRPr="005565F8">
        <w:rPr>
          <w:i/>
        </w:rPr>
        <w:t>(skat. zemāk 3.3.nodaļu)</w:t>
      </w:r>
      <w:r w:rsidRPr="005565F8">
        <w:t>;</w:t>
      </w:r>
    </w:p>
    <w:p w:rsidR="00F96413" w:rsidRPr="005565F8" w:rsidP="009A65A4" w14:paraId="49AE7128" w14:textId="77777777">
      <w:pPr>
        <w:numPr>
          <w:ilvl w:val="0"/>
          <w:numId w:val="8"/>
        </w:numPr>
        <w:spacing w:after="60"/>
        <w:ind w:left="284" w:hanging="284"/>
      </w:pPr>
      <w:r w:rsidRPr="005565F8">
        <w:t>darbaspēka piedāvājuma un pieprasījuma pielāgošanās procesa veicināšana</w:t>
      </w:r>
      <w:r>
        <w:rPr>
          <w:vertAlign w:val="superscript"/>
        </w:rPr>
        <w:footnoteReference w:id="37"/>
      </w:r>
      <w:r w:rsidRPr="005565F8">
        <w:t xml:space="preserve">, t.sk. izglītības sistēmas pilnveidošana, darba devēju organizāciju iesaiste izglītības kvalitātes pilnveidošanā, darba tirgus pieprasījuma un piedāvājuma atbilstības prognozēšana, darba tirgus dalībnieku, tajā skaitā, skolēnu un studentu izglītošana darba tirgus un karjeras jautājumos (par reformām izglītībā </w:t>
      </w:r>
      <w:r w:rsidRPr="005565F8">
        <w:rPr>
          <w:i/>
        </w:rPr>
        <w:t>skat. 3.4.nodaļu</w:t>
      </w:r>
      <w:r w:rsidRPr="005565F8">
        <w:t>).</w:t>
      </w:r>
    </w:p>
    <w:p w:rsidR="00F96413" w:rsidRPr="005565F8" w:rsidP="00F96413" w14:paraId="4437E00D" w14:textId="77777777">
      <w:pPr>
        <w:ind w:firstLine="567"/>
      </w:pPr>
    </w:p>
    <w:p w:rsidR="00F96413" w:rsidRPr="005565F8" w:rsidP="00F96413" w14:paraId="2E9B285E" w14:textId="77777777">
      <w:r w:rsidRPr="005565F8">
        <w:t xml:space="preserve">Lai veicinātu izmaiņas darba tirgū, nodrošinot tautsaimniecībai nepieciešamos speciālistus tādējādi sekmējot ekonomikas izaugsmi, 2016.gadā izveidota Nodarbinātības padome trīs ministru – ekonomikas, izglītības un zinātnes, labklājības – sastāvā. </w:t>
      </w:r>
      <w:r w:rsidRPr="005565F8">
        <w:t>Nodarbinātības padomes mērķis ir saskaņot starpresoru sadarbību nepieciešamo darba tirgus reformu jeb pārkārtojumu plānošanā, izstrādē, ieviešanā un uzraudzībā, lai tādējādi mazinātu disproporcijas Latvijas darba tirgū.</w:t>
      </w:r>
    </w:p>
    <w:p w:rsidR="00F96413" w:rsidRPr="005565F8" w:rsidP="00F96413" w14:paraId="1168693B" w14:textId="77777777">
      <w:r w:rsidRPr="005565F8">
        <w:t>2017.</w:t>
      </w:r>
      <w:r w:rsidRPr="005565F8">
        <w:rPr>
          <w:color w:val="000000"/>
        </w:rPr>
        <w:t> </w:t>
      </w:r>
      <w:r w:rsidRPr="005565F8">
        <w:t>gadā tika turpināti un pilnveidoti dažādi ADTP darbaspēka prasmju un kvalifikācijas pilnveidošanai, veikti pasākumi bezdarbnieku iesaistes un aktivizēšanas uzlabošanai, piemēram:</w:t>
      </w:r>
    </w:p>
    <w:p w:rsidR="00F96413" w:rsidRPr="005565F8" w:rsidP="009A65A4" w14:paraId="6D99B00F" w14:textId="77777777">
      <w:pPr>
        <w:numPr>
          <w:ilvl w:val="0"/>
          <w:numId w:val="9"/>
        </w:numPr>
        <w:tabs>
          <w:tab w:val="clear" w:pos="1650"/>
        </w:tabs>
        <w:spacing w:after="60"/>
        <w:ind w:left="284" w:hanging="284"/>
      </w:pPr>
      <w:r w:rsidRPr="005565F8">
        <w:t>mērķētāka atbalsta sniegšana noteiktām bezdarba riskam vairāk pakļautajām grupām, īpaši pievēršoties ilgstošo bezdarbnieku un personu ar garīga rakstura traucējumiem atbalstam;</w:t>
      </w:r>
    </w:p>
    <w:p w:rsidR="00F96413" w:rsidRPr="005565F8" w:rsidP="009A65A4" w14:paraId="3C040F0F" w14:textId="77777777">
      <w:pPr>
        <w:numPr>
          <w:ilvl w:val="0"/>
          <w:numId w:val="9"/>
        </w:numPr>
        <w:tabs>
          <w:tab w:val="clear" w:pos="1650"/>
        </w:tabs>
        <w:spacing w:after="60"/>
        <w:ind w:left="284" w:hanging="284"/>
      </w:pPr>
      <w:r w:rsidRPr="005565F8">
        <w:rPr>
          <w:bCs/>
        </w:rPr>
        <w:t>atbalsts ilgstošo bezdarbnieku aktivizācijai darba tirgū;</w:t>
      </w:r>
    </w:p>
    <w:p w:rsidR="00F96413" w:rsidRPr="005565F8" w:rsidP="009A65A4" w14:paraId="02C2839A" w14:textId="77777777">
      <w:pPr>
        <w:numPr>
          <w:ilvl w:val="0"/>
          <w:numId w:val="9"/>
        </w:numPr>
        <w:tabs>
          <w:tab w:val="clear" w:pos="1650"/>
        </w:tabs>
        <w:spacing w:after="60"/>
        <w:ind w:left="284" w:hanging="284"/>
      </w:pPr>
      <w:r w:rsidRPr="005565F8">
        <w:rPr>
          <w:bCs/>
        </w:rPr>
        <w:t xml:space="preserve">jauniešu nodarbinātības veicināšana un bezdarba, kā arī </w:t>
      </w:r>
      <w:r w:rsidRPr="005565F8">
        <w:rPr>
          <w:bCs/>
        </w:rPr>
        <w:t>neaktivitātes</w:t>
      </w:r>
      <w:r w:rsidRPr="005565F8">
        <w:rPr>
          <w:bCs/>
        </w:rPr>
        <w:t xml:space="preserve"> mazināšana;</w:t>
      </w:r>
    </w:p>
    <w:p w:rsidR="00F96413" w:rsidRPr="005565F8" w:rsidP="009A65A4" w14:paraId="7B3F538E" w14:textId="77777777">
      <w:pPr>
        <w:numPr>
          <w:ilvl w:val="0"/>
          <w:numId w:val="9"/>
        </w:numPr>
        <w:tabs>
          <w:tab w:val="clear" w:pos="1650"/>
        </w:tabs>
        <w:spacing w:after="60"/>
        <w:ind w:left="284" w:hanging="284"/>
      </w:pPr>
      <w:r w:rsidRPr="005565F8">
        <w:t>atbalsts gados vecākām nodarbinātām personām darbspēju saglabāšanai un darba mūža paildzināšanai</w:t>
      </w:r>
      <w:r w:rsidRPr="005565F8">
        <w:rPr>
          <w:bCs/>
        </w:rPr>
        <w:t>.</w:t>
      </w:r>
    </w:p>
    <w:p w:rsidR="00F96413" w:rsidRPr="005565F8" w:rsidP="00F96413" w14:paraId="477559A9" w14:textId="77777777">
      <w:r w:rsidRPr="005565F8">
        <w:t xml:space="preserve">2017.gadā ADTP iesaistījās </w:t>
      </w:r>
      <w:r w:rsidRPr="005565F8">
        <w:rPr>
          <w:lang w:eastAsia="lv-LV"/>
        </w:rPr>
        <w:t>112,6 tūkst. reģistrēto bezdarbnieku (viens cilvēks var būt piedalījies vairākās aktivitātēs)</w:t>
      </w:r>
      <w:r w:rsidRPr="005565F8">
        <w:t xml:space="preserve">. 2017.gadā ADTP pasākumiem novirzīti 39,7 milj. EUR, t.sk., ESF līdzfinansējums 27,3 milj. EUR. Aptuveni 34% no tā izlietots bezdarbnieku kvalifikācijas paaugstināšanai un pilnveidei, nedaudz vairāk kā 14% algoto pagaidu sabiedrisko darbu organizēšanai, aptuveni 14% atbalstītai nodarbinātībai, aptuveni 22% </w:t>
      </w:r>
      <w:r w:rsidRPr="005565F8">
        <w:rPr>
          <w:i/>
        </w:rPr>
        <w:t>Jauniešu garantijas</w:t>
      </w:r>
      <w:r w:rsidRPr="005565F8">
        <w:t xml:space="preserve"> īstenošanai, 10% ilgstošo bezdarbnieku aktivizēšanai. </w:t>
      </w:r>
      <w:r w:rsidRPr="005565F8">
        <w:rPr>
          <w:bCs/>
          <w:lang w:eastAsia="lv-LV"/>
        </w:rPr>
        <w:t xml:space="preserve">2017.gadā </w:t>
      </w:r>
      <w:r w:rsidRPr="005565F8">
        <w:rPr>
          <w:lang w:eastAsia="lv-LV"/>
        </w:rPr>
        <w:t xml:space="preserve">darbā iekārtojušies </w:t>
      </w:r>
      <w:r w:rsidRPr="005565F8">
        <w:rPr>
          <w:bCs/>
          <w:lang w:eastAsia="lv-LV"/>
        </w:rPr>
        <w:t>67 tūkt.</w:t>
      </w:r>
      <w:r w:rsidRPr="005565F8">
        <w:rPr>
          <w:b/>
          <w:bCs/>
          <w:lang w:eastAsia="lv-LV"/>
        </w:rPr>
        <w:t xml:space="preserve"> </w:t>
      </w:r>
      <w:r w:rsidRPr="005565F8">
        <w:rPr>
          <w:lang w:eastAsia="lv-LV"/>
        </w:rPr>
        <w:t xml:space="preserve">bezdarbnieki, no kuriem gandrīz </w:t>
      </w:r>
      <w:r w:rsidRPr="005565F8">
        <w:rPr>
          <w:bCs/>
          <w:lang w:eastAsia="lv-LV"/>
        </w:rPr>
        <w:t xml:space="preserve">21 tūkstotis jeb </w:t>
      </w:r>
      <w:r w:rsidRPr="005565F8">
        <w:rPr>
          <w:lang w:eastAsia="lv-LV"/>
        </w:rPr>
        <w:t xml:space="preserve">30,9% bezdarbnieki ir iekārtojušies darbā pēc kāda aktīvā </w:t>
      </w:r>
      <w:r w:rsidRPr="005565F8">
        <w:rPr>
          <w:lang w:eastAsia="lv-LV"/>
        </w:rPr>
        <w:t xml:space="preserve">pasākuma pabeigšanas (izņemot </w:t>
      </w:r>
      <w:r w:rsidRPr="005565F8">
        <w:rPr>
          <w:bCs/>
          <w:color w:val="000000" w:themeColor="text1"/>
        </w:rPr>
        <w:t>konkurētspējas paaugstināšanas pasākuma</w:t>
      </w:r>
      <w:r w:rsidRPr="005565F8">
        <w:rPr>
          <w:lang w:eastAsia="lv-LV"/>
        </w:rPr>
        <w:t xml:space="preserve"> informatīvās dienas).</w:t>
      </w:r>
    </w:p>
    <w:p w:rsidR="00942945" w:rsidRPr="005565F8" w:rsidP="00F96413" w14:paraId="7BFD8886" w14:textId="77777777">
      <w:r w:rsidRPr="005565F8">
        <w:t>Lai veicinātu nodarbinātību un sekmētu darbaspēka mobilitāti, 2014.-2020.</w:t>
      </w:r>
      <w:r w:rsidRPr="005565F8">
        <w:rPr>
          <w:color w:val="000000"/>
        </w:rPr>
        <w:t> </w:t>
      </w:r>
      <w:r w:rsidRPr="005565F8">
        <w:t>gada plānošanas periodā tiek paredzēts</w:t>
      </w:r>
      <w:r w:rsidRPr="005565F8">
        <w:t>:</w:t>
      </w:r>
    </w:p>
    <w:p w:rsidR="00942945" w:rsidRPr="005565F8" w:rsidP="00735883" w14:paraId="486B7E9B" w14:textId="77777777">
      <w:pPr>
        <w:pStyle w:val="ListParagraph"/>
        <w:numPr>
          <w:ilvl w:val="0"/>
          <w:numId w:val="49"/>
        </w:numPr>
        <w:ind w:left="284" w:hanging="284"/>
      </w:pPr>
      <w:r w:rsidRPr="005565F8">
        <w:t xml:space="preserve">paaugstināt bezdarbnieku kvalifikāciju un prasmes </w:t>
      </w:r>
      <w:r w:rsidRPr="005565F8" w:rsidR="00F96413">
        <w:t>atbilst</w:t>
      </w:r>
      <w:r w:rsidRPr="005565F8">
        <w:t>oši darba tirgus pieprasījumam;</w:t>
      </w:r>
    </w:p>
    <w:p w:rsidR="00942945" w:rsidRPr="005565F8" w:rsidP="00735883" w14:paraId="5EE4D8F2" w14:textId="77777777">
      <w:pPr>
        <w:pStyle w:val="ListParagraph"/>
        <w:numPr>
          <w:ilvl w:val="0"/>
          <w:numId w:val="49"/>
        </w:numPr>
        <w:ind w:left="284" w:hanging="284"/>
      </w:pPr>
      <w:r w:rsidRPr="005565F8">
        <w:t xml:space="preserve">palielināt NEET jauniešu iesaisti nodarbinātībā un izglītības ieguvē </w:t>
      </w:r>
      <w:r w:rsidRPr="005565F8">
        <w:rPr>
          <w:i/>
        </w:rPr>
        <w:t>Jauniešu garantijas</w:t>
      </w:r>
      <w:r w:rsidRPr="005565F8">
        <w:t xml:space="preserve"> ietvaros;</w:t>
      </w:r>
    </w:p>
    <w:p w:rsidR="00942945" w:rsidRPr="005565F8" w:rsidP="00735883" w14:paraId="0C63B78D" w14:textId="77777777">
      <w:pPr>
        <w:pStyle w:val="ListParagraph"/>
        <w:numPr>
          <w:ilvl w:val="0"/>
          <w:numId w:val="49"/>
        </w:numPr>
        <w:ind w:left="284" w:hanging="284"/>
      </w:pPr>
      <w:r w:rsidRPr="005565F8">
        <w:t>paildzināt gados vecāku nodarbināto darbspēju saglabāšanu un nodarbinātību;</w:t>
      </w:r>
    </w:p>
    <w:p w:rsidR="00942945" w:rsidRPr="005565F8" w:rsidP="00735883" w14:paraId="68854475" w14:textId="77777777">
      <w:pPr>
        <w:pStyle w:val="ListParagraph"/>
        <w:numPr>
          <w:ilvl w:val="0"/>
          <w:numId w:val="49"/>
        </w:numPr>
        <w:ind w:left="284" w:hanging="284"/>
      </w:pPr>
      <w:r w:rsidRPr="005565F8">
        <w:t>palielināt nelabvēlīgākā situācijā esošu bezdar</w:t>
      </w:r>
      <w:r w:rsidRPr="005565F8">
        <w:t>bnieku iekļaušanos darba tirgū;</w:t>
      </w:r>
    </w:p>
    <w:p w:rsidR="00942945" w:rsidRPr="005565F8" w:rsidP="00735883" w14:paraId="5BA02B19" w14:textId="77777777">
      <w:pPr>
        <w:pStyle w:val="ListParagraph"/>
        <w:numPr>
          <w:ilvl w:val="0"/>
          <w:numId w:val="49"/>
        </w:numPr>
        <w:ind w:left="284" w:hanging="284"/>
      </w:pPr>
      <w:r w:rsidRPr="005565F8">
        <w:t>uzlabot ilgstošo bez</w:t>
      </w:r>
      <w:r w:rsidRPr="005565F8">
        <w:t>darbnieku iesaisti darba tirgū;</w:t>
      </w:r>
    </w:p>
    <w:p w:rsidR="00F96413" w:rsidRPr="005565F8" w:rsidP="00735883" w14:paraId="2AA23BD2" w14:textId="77777777">
      <w:pPr>
        <w:pStyle w:val="ListParagraph"/>
        <w:numPr>
          <w:ilvl w:val="0"/>
          <w:numId w:val="49"/>
        </w:numPr>
        <w:ind w:left="284" w:hanging="284"/>
      </w:pPr>
      <w:r w:rsidRPr="005565F8">
        <w:t>uzlabot diskriminācijas riskiem pakļauto iedzīvotāju integrāciju sabiedrībā un darba tirgū.</w:t>
      </w:r>
    </w:p>
    <w:p w:rsidR="00C90491" w:rsidRPr="005565F8" w:rsidP="00C90491" w14:paraId="2CDDA3AF" w14:textId="77777777">
      <w:pPr>
        <w:sectPr w:rsidSect="00B45174">
          <w:type w:val="continuous"/>
          <w:pgSz w:w="11906" w:h="16838" w:code="9"/>
          <w:pgMar w:top="1134" w:right="1134" w:bottom="1134" w:left="1134" w:header="709" w:footer="709" w:gutter="0"/>
          <w:cols w:num="2" w:space="340"/>
          <w:titlePg/>
          <w:docGrid w:linePitch="360"/>
        </w:sectPr>
      </w:pPr>
      <w:r w:rsidRPr="005565F8">
        <w:t>Lai nodrošinātu augsti kvalificētu speciālistu pieejamību atbilstoši darba devēju vajadzībām, 2017. gadā veikti vairāki pasākumi, lai atvieglotu viesstrādnieku aicināšanu darbam Latvijā</w:t>
      </w:r>
      <w:r w:rsidRPr="005565F8" w:rsidR="00022D0B">
        <w:t xml:space="preserve"> </w:t>
      </w:r>
      <w:r w:rsidRPr="005565F8" w:rsidR="00022D0B">
        <w:rPr>
          <w:i/>
        </w:rPr>
        <w:t>(skat.</w:t>
      </w:r>
      <w:r w:rsidRPr="005565F8" w:rsidR="007160E5">
        <w:rPr>
          <w:i/>
        </w:rPr>
        <w:t xml:space="preserve"> 3.3.ielikumu</w:t>
      </w:r>
      <w:r w:rsidRPr="005565F8" w:rsidR="00022D0B">
        <w:rPr>
          <w:i/>
        </w:rPr>
        <w:t xml:space="preserve"> </w:t>
      </w:r>
      <w:r w:rsidRPr="005565F8" w:rsidR="007160E5">
        <w:rPr>
          <w:i/>
        </w:rPr>
        <w:t>3.2.1.nodaļā)</w:t>
      </w:r>
      <w:r w:rsidRPr="005565F8" w:rsidR="007160E5">
        <w:t>.</w:t>
      </w:r>
    </w:p>
    <w:p w:rsidR="00CC5E28" w:rsidRPr="005565F8" w:rsidP="00A10E68" w14:paraId="4DDD337C" w14:textId="77777777">
      <w:pPr>
        <w:sectPr w:rsidSect="005D1AD0">
          <w:type w:val="continuous"/>
          <w:pgSz w:w="11906" w:h="16838" w:code="9"/>
          <w:pgMar w:top="1134" w:right="1134" w:bottom="1134" w:left="1134" w:header="709" w:footer="567" w:gutter="0"/>
          <w:cols w:num="2" w:space="340"/>
          <w:titlePg/>
          <w:docGrid w:linePitch="360"/>
        </w:sectPr>
      </w:pPr>
    </w:p>
    <w:p w:rsidR="00A10E68" w:rsidRPr="005565F8" w:rsidP="00A10E68" w14:paraId="1F6FA98F"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A10E68" w:rsidRPr="005565F8" w:rsidP="00A10E68" w14:paraId="19C8A1A0"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Bezdarbnieku apmācību pasākumu pilnveidošana</w:t>
      </w:r>
    </w:p>
    <w:p w:rsidR="00A10E68" w:rsidRPr="005565F8" w:rsidP="00A10E68" w14:paraId="40ED4653"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w:t>
      </w:r>
    </w:p>
    <w:p w:rsidR="00CC5E28" w:rsidRPr="005565F8" w:rsidP="00B22046" w14:paraId="69AFB7C4"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F96413" w:rsidRPr="005565F8" w:rsidP="00A10E68" w14:paraId="1529BD56" w14:textId="77777777">
      <w:pPr>
        <w:spacing w:before="240"/>
      </w:pPr>
      <w:r w:rsidRPr="005565F8">
        <w:t xml:space="preserve">Mērķis ir uzlabot bezdarbnieku apmācības procesa kvalitāti un efektivitāti, </w:t>
      </w:r>
      <w:r w:rsidRPr="005565F8" w:rsidR="007F268F">
        <w:t xml:space="preserve">iesaistīt darba devējus bezdarbnieku apmācību kvalitātes uzlabošanā (tālākizglītības piedāvājuma noteikšana atbilstoši nozaru vajadzībām; lielāks finansējums augstākai apmācības kvalitātei), tādējādi </w:t>
      </w:r>
      <w:r w:rsidRPr="005565F8">
        <w:t>pilnveidojot apmācību pasākumus izglītības iestādēs un pie darba devēja, kā arī uzlabojot šo pasākumu pieejamību. Mērķa sasniegšanai tiek īstenoti šādi pasākumi:</w:t>
      </w:r>
    </w:p>
    <w:p w:rsidR="00F96413" w:rsidRPr="005565F8" w:rsidP="00735883" w14:paraId="7D514BA1" w14:textId="77777777">
      <w:pPr>
        <w:numPr>
          <w:ilvl w:val="0"/>
          <w:numId w:val="12"/>
        </w:numPr>
        <w:spacing w:after="60"/>
        <w:ind w:left="284" w:hanging="284"/>
      </w:pPr>
      <w:r w:rsidRPr="005565F8">
        <w:t xml:space="preserve">apmācību monitoringa efektivitātes mērījumiem tiek pilnveidots NVA tiešsaistes aptaujas rīks </w:t>
      </w:r>
      <w:r w:rsidRPr="005565F8">
        <w:rPr>
          <w:i/>
        </w:rPr>
        <w:t>“Apmācību monitorings”</w:t>
      </w:r>
      <w:r w:rsidRPr="005565F8">
        <w:t>, kur klienti sniegs atsauksmes par apmācību kvalitāti. Apmācību efektivitātes mērījumiem tiek izmantota informācija par darbā iekārtošanos sešu mēnešu laikā pēc apmācības pabeigšanas;</w:t>
      </w:r>
    </w:p>
    <w:p w:rsidR="00F96413" w:rsidRPr="005565F8" w:rsidP="007F268F" w14:paraId="32CF52F4" w14:textId="77777777">
      <w:pPr>
        <w:numPr>
          <w:ilvl w:val="0"/>
          <w:numId w:val="12"/>
        </w:numPr>
        <w:spacing w:after="60"/>
        <w:ind w:left="284" w:hanging="284"/>
      </w:pPr>
      <w:r w:rsidRPr="005565F8">
        <w:rPr>
          <w:rFonts w:eastAsiaTheme="minorHAnsi"/>
        </w:rPr>
        <w:t>ADTP</w:t>
      </w:r>
      <w:r w:rsidRPr="005565F8">
        <w:rPr>
          <w:rFonts w:eastAsiaTheme="minorHAnsi"/>
        </w:rPr>
        <w:t xml:space="preserve"> apmācību pasākumu ietvaros piedāvātās mācību jomas tiek noteiktas, ņemot vērā darba tirgus vajadzības</w:t>
      </w:r>
      <w:r w:rsidRPr="005565F8" w:rsidR="007F268F">
        <w:rPr>
          <w:rFonts w:eastAsiaTheme="minorHAnsi"/>
        </w:rPr>
        <w:t xml:space="preserve"> (LM darbojas Apmācību komisija, </w:t>
      </w:r>
      <w:r w:rsidRPr="005565F8" w:rsidR="007F268F">
        <w:rPr>
          <w:rFonts w:eastAsiaTheme="minorHAnsi"/>
        </w:rPr>
        <w:t>kuras darbā tiek izmantotas gan darba tirgus prognozes, gan tiek ņemti vērā Nozaru ekspertu padomju, t.sk., sociālo partneru, viedokļi);</w:t>
      </w:r>
    </w:p>
    <w:p w:rsidR="00F96413" w:rsidRPr="005565F8" w:rsidP="00735883" w14:paraId="56AE3108" w14:textId="77777777">
      <w:pPr>
        <w:numPr>
          <w:ilvl w:val="0"/>
          <w:numId w:val="12"/>
        </w:numPr>
        <w:spacing w:after="60"/>
        <w:ind w:left="284" w:hanging="284"/>
        <w:rPr>
          <w:color w:val="000000"/>
        </w:rPr>
      </w:pPr>
      <w:r w:rsidRPr="005565F8">
        <w:t>tiek īstenota bezdarbnieku profilēšanas sistēma</w:t>
      </w:r>
      <w:r w:rsidRPr="005565F8" w:rsidR="00024619">
        <w:t xml:space="preserve"> kopš 2013.</w:t>
      </w:r>
      <w:r w:rsidRPr="005565F8" w:rsidR="00024619">
        <w:rPr>
          <w:color w:val="000000"/>
        </w:rPr>
        <w:t> </w:t>
      </w:r>
      <w:r w:rsidRPr="005565F8" w:rsidR="00024619">
        <w:t>gada</w:t>
      </w:r>
      <w:r w:rsidRPr="005565F8">
        <w:t>, kas ļauj efektīvāk un ātrāk aizpildīt vakances un piedāvāt bezdarbniekam piemērotākos ADTP pasākumu</w:t>
      </w:r>
      <w:r w:rsidRPr="005565F8" w:rsidR="00024619">
        <w:t>s</w:t>
      </w:r>
      <w:r w:rsidRPr="005565F8">
        <w:t>, izmantojot individuālu pieeju. No 2017.</w:t>
      </w:r>
      <w:r w:rsidRPr="005565F8">
        <w:rPr>
          <w:color w:val="000000"/>
        </w:rPr>
        <w:t> </w:t>
      </w:r>
      <w:r w:rsidRPr="005565F8">
        <w:t>gada decembra beigās uzskaitē esošajiem reģistrētajiem bezdarbniekiem 96,9% bezdarbnieku bija profilēti</w:t>
      </w:r>
      <w:r w:rsidRPr="005565F8">
        <w:rPr>
          <w:color w:val="000000"/>
        </w:rPr>
        <w:t>.</w:t>
      </w:r>
    </w:p>
    <w:p w:rsidR="00F96413" w:rsidRPr="005565F8" w:rsidP="00A10E68" w14:paraId="739BEA4D" w14:textId="77777777">
      <w:pPr>
        <w:ind w:firstLine="567"/>
      </w:pPr>
    </w:p>
    <w:p w:rsidR="00F96413" w:rsidRPr="005565F8" w:rsidP="00A10E68" w14:paraId="3F78897A" w14:textId="77777777">
      <w:pPr>
        <w:rPr>
          <w:lang w:eastAsia="lv-LV"/>
        </w:rPr>
      </w:pPr>
      <w:r w:rsidRPr="005565F8">
        <w:t>2017.</w:t>
      </w:r>
      <w:r w:rsidRPr="005565F8">
        <w:rPr>
          <w:color w:val="000000"/>
        </w:rPr>
        <w:t> </w:t>
      </w:r>
      <w:r w:rsidRPr="005565F8">
        <w:t>gadā prasmju pilnveides apmācību pasākumos kopumā iesaistīti 42,5 tūkst. cilvēku. Prasmju pasākumiem 2017.</w:t>
      </w:r>
      <w:r w:rsidRPr="005565F8">
        <w:rPr>
          <w:color w:val="000000"/>
        </w:rPr>
        <w:t> </w:t>
      </w:r>
      <w:r w:rsidRPr="005565F8">
        <w:t xml:space="preserve">gadā izlietoti 13,6 milj. EUR, t.sk. ES fondu finansējums </w:t>
      </w:r>
      <w:r w:rsidRPr="005565F8">
        <w:rPr>
          <w:lang w:eastAsia="lv-LV"/>
        </w:rPr>
        <w:t>–</w:t>
      </w:r>
      <w:r w:rsidRPr="005565F8">
        <w:t xml:space="preserve"> 11,6 milj. EUR</w:t>
      </w:r>
      <w:r w:rsidRPr="005565F8">
        <w:rPr>
          <w:vertAlign w:val="superscript"/>
        </w:rPr>
        <w:t xml:space="preserve"> </w:t>
      </w:r>
      <w:r w:rsidRPr="005565F8">
        <w:t>un valsts speciālā budžeta finansējums 2,0 milj. EUR. 2018.</w:t>
      </w:r>
      <w:r w:rsidRPr="005565F8">
        <w:rPr>
          <w:color w:val="000000"/>
        </w:rPr>
        <w:t> </w:t>
      </w:r>
      <w:r w:rsidRPr="005565F8">
        <w:t xml:space="preserve">gadā plānotais finansējums – 12,6 milj. EUR (ES fondu finansējums – 10,7 milj. EUR) </w:t>
      </w:r>
      <w:r w:rsidRPr="005565F8">
        <w:rPr>
          <w:lang w:eastAsia="lv-LV"/>
        </w:rPr>
        <w:t>un plānotais dalībnieku skaits – 39,4 tūkst.</w:t>
      </w:r>
    </w:p>
    <w:p w:rsidR="00CC5E28" w:rsidRPr="005565F8" w:rsidP="00A10E68" w14:paraId="0E3EF0C1" w14:textId="77777777">
      <w:pPr>
        <w:rPr>
          <w:b/>
          <w:lang w:eastAsia="lv-LV"/>
        </w:rPr>
        <w:sectPr w:rsidSect="005D1AD0">
          <w:type w:val="continuous"/>
          <w:pgSz w:w="11906" w:h="16838" w:code="9"/>
          <w:pgMar w:top="1134" w:right="1134" w:bottom="1134" w:left="1134" w:header="709" w:footer="567" w:gutter="0"/>
          <w:cols w:num="2" w:space="340"/>
          <w:titlePg/>
          <w:docGrid w:linePitch="360"/>
        </w:sectPr>
      </w:pPr>
    </w:p>
    <w:p w:rsidR="00A10E68" w:rsidRPr="005565F8" w:rsidP="00A10E68" w14:paraId="1FA6D104" w14:textId="77777777">
      <w:pPr>
        <w:rPr>
          <w:b/>
          <w:lang w:eastAsia="lv-LV"/>
        </w:rPr>
      </w:pPr>
    </w:p>
    <w:p w:rsidR="00A10E68" w:rsidRPr="005565F8" w:rsidP="00A10E68" w14:paraId="5DAD4312"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Atbalsta pasākumu jauniešu bezdarba mazināšanai īstenošana</w:t>
      </w:r>
    </w:p>
    <w:p w:rsidR="00A10E68" w:rsidRPr="005565F8" w:rsidP="00A10E68" w14:paraId="5AF2E15B"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 IZM/</w:t>
      </w:r>
    </w:p>
    <w:p w:rsidR="00CC5E28" w:rsidRPr="005565F8" w:rsidP="00B22046" w14:paraId="32BC3567"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F96413" w:rsidRPr="005565F8" w:rsidP="00A10E68" w14:paraId="795985FC" w14:textId="77777777">
      <w:pPr>
        <w:spacing w:before="240"/>
      </w:pPr>
      <w:r w:rsidRPr="005565F8">
        <w:rPr>
          <w:bCs/>
        </w:rPr>
        <w:t xml:space="preserve">Mērķis ir attīstīt jauniešu vecumā </w:t>
      </w:r>
      <w:r w:rsidRPr="005565F8">
        <w:t>no 15 līdz 29 gadiem (ieskaitot)</w:t>
      </w:r>
      <w:r w:rsidRPr="005565F8">
        <w:rPr>
          <w:bCs/>
        </w:rPr>
        <w:t xml:space="preserve"> praktiskās iemaņas un veicināt </w:t>
      </w:r>
      <w:r w:rsidRPr="005565F8">
        <w:t>jauniešu sekmīgu iekārtošanos darbā, izstrādājot un ieviešot jaunus tieši uz nodarbinātībā, izglītībā un apmācībās neiesaistītiem jauniešiem (NEET grupas jauniešu) vērstus pasākumus.</w:t>
      </w:r>
    </w:p>
    <w:p w:rsidR="00F96413" w:rsidRPr="005565F8" w:rsidP="00F96413" w14:paraId="7A75FF04" w14:textId="77777777">
      <w:r w:rsidRPr="005565F8">
        <w:rPr>
          <w:i/>
        </w:rPr>
        <w:t>Jauniešu garantijas</w:t>
      </w:r>
      <w:r w:rsidRPr="005565F8">
        <w:t xml:space="preserve"> programmas ietvaros tiek īstenoti šādi pasākumi:</w:t>
      </w:r>
    </w:p>
    <w:p w:rsidR="00F96413" w:rsidRPr="005565F8" w:rsidP="00735883" w14:paraId="1BC54101" w14:textId="77777777">
      <w:pPr>
        <w:numPr>
          <w:ilvl w:val="0"/>
          <w:numId w:val="13"/>
        </w:numPr>
        <w:spacing w:after="60"/>
        <w:ind w:left="284" w:hanging="284"/>
      </w:pPr>
      <w:r w:rsidRPr="005565F8">
        <w:t xml:space="preserve">no 2014.gada janvāra </w:t>
      </w:r>
      <w:r w:rsidRPr="005565F8" w:rsidR="007F268F">
        <w:t xml:space="preserve">7.2.1.1.pasākuma </w:t>
      </w:r>
      <w:r w:rsidRPr="005565F8" w:rsidR="007F268F">
        <w:rPr>
          <w:i/>
        </w:rPr>
        <w:t>“Aktīvās darba tirgus politikas pasākumu īstenošana jauniešu bezdarbnieku nodarbinātības veicināšanai”</w:t>
      </w:r>
      <w:r w:rsidRPr="005565F8" w:rsidR="007F268F">
        <w:t xml:space="preserve"> </w:t>
      </w:r>
      <w:r w:rsidRPr="005565F8" w:rsidR="007F268F">
        <w:rPr>
          <w:i/>
        </w:rPr>
        <w:t>Jauniešu garantijas</w:t>
      </w:r>
      <w:r w:rsidRPr="005565F8" w:rsidR="007F268F">
        <w:t xml:space="preserve"> projekta ietvaros  </w:t>
      </w:r>
      <w:r w:rsidRPr="005565F8">
        <w:t xml:space="preserve">jaunieši NVA sadarbībā ar karjeras konsultantu un citiem speciālistiem var noskaidrot savas stiprās puses, saņemt informāciju par Latvijā pieejamām darbavietām, iegūt jaunas prasmes un pirmo darba </w:t>
      </w:r>
      <w:r w:rsidRPr="005565F8">
        <w:t>pieredzi, kā arī saņemt atbalstu uzņēmējdarbībai. Kopumā jauniešiem ir pieejami 10 pasākumi, dalība kuros tiek noteikta, balstoties uz profilēšanas rezultātiem, t.sk., ņemot vērā, jaunieša iepriekšējo pieredzi darba tirgū, iegūto izglītību, kā arī iemaņu un prasmju līmeni;</w:t>
      </w:r>
    </w:p>
    <w:p w:rsidR="00F5339E" w:rsidRPr="005565F8" w:rsidP="00F5339E" w14:paraId="4BF803B0" w14:textId="77777777">
      <w:pPr>
        <w:numPr>
          <w:ilvl w:val="0"/>
          <w:numId w:val="13"/>
        </w:numPr>
        <w:spacing w:after="60"/>
        <w:ind w:left="284" w:hanging="284"/>
      </w:pPr>
      <w:r w:rsidRPr="005565F8">
        <w:t>turpinās 2014.gadā uzsākta VIAA projekta “</w:t>
      </w:r>
      <w:r w:rsidRPr="005565F8">
        <w:rPr>
          <w:i/>
        </w:rPr>
        <w:t>Sākotnējās profesionālās izglītības programmu īstenošana Jauniešu garantijas ietvaros</w:t>
      </w:r>
      <w:r w:rsidRPr="005565F8">
        <w:t>” īstenošana, kura ietvaros 2017.gadā sadarbībā ar 31 profesionālās izglītības iestādi un koledžu notika profesionālās izglītības programmu īstenošana, kurās jaunieši vecumā no 17 līdz 29 gadiem (ieskaitot) gada vai pusotra gada laikā var iegūt profesionālo kvalifikāciju kādā no 83 profesijām;</w:t>
      </w:r>
    </w:p>
    <w:p w:rsidR="00F96413" w:rsidRPr="005565F8" w:rsidP="00F5339E" w14:paraId="46C8124F" w14:textId="27FDBAE7">
      <w:pPr>
        <w:numPr>
          <w:ilvl w:val="0"/>
          <w:numId w:val="13"/>
        </w:numPr>
        <w:spacing w:after="60"/>
        <w:ind w:left="284" w:hanging="284"/>
      </w:pPr>
      <w:r w:rsidRPr="005565F8">
        <w:rPr>
          <w:rFonts w:eastAsia="Times New Roman"/>
          <w:lang w:eastAsia="lv-LV"/>
        </w:rPr>
        <w:t xml:space="preserve">turpinās </w:t>
      </w:r>
      <w:r w:rsidRPr="005565F8">
        <w:t xml:space="preserve">Jaunatnes Starptautisko programmu aģentūras </w:t>
      </w:r>
      <w:r w:rsidRPr="005565F8">
        <w:rPr>
          <w:rFonts w:eastAsia="Times New Roman"/>
          <w:lang w:eastAsia="lv-LV"/>
        </w:rPr>
        <w:t xml:space="preserve">2014.gadā uzsāktais </w:t>
      </w:r>
      <w:r w:rsidRPr="005565F8">
        <w:t xml:space="preserve">ESF </w:t>
      </w:r>
      <w:r w:rsidRPr="005565F8">
        <w:rPr>
          <w:rFonts w:eastAsia="Times New Roman"/>
          <w:lang w:eastAsia="lv-LV"/>
        </w:rPr>
        <w:t xml:space="preserve">projekts </w:t>
      </w:r>
      <w:r w:rsidRPr="005565F8" w:rsidR="00034FEB">
        <w:rPr>
          <w:rFonts w:eastAsia="Times New Roman"/>
          <w:i/>
          <w:lang w:eastAsia="lv-LV"/>
        </w:rPr>
        <w:t>“</w:t>
      </w:r>
      <w:r w:rsidRPr="005565F8">
        <w:rPr>
          <w:i/>
        </w:rPr>
        <w:t>PROTI un DARI</w:t>
      </w:r>
      <w:r w:rsidRPr="005565F8">
        <w:rPr>
          <w:rFonts w:eastAsia="Times New Roman"/>
          <w:i/>
          <w:lang w:eastAsia="lv-LV"/>
        </w:rPr>
        <w:t>!</w:t>
      </w:r>
      <w:r w:rsidRPr="005565F8" w:rsidR="00034FEB">
        <w:rPr>
          <w:rFonts w:eastAsia="Times New Roman"/>
          <w:i/>
          <w:lang w:eastAsia="lv-LV"/>
        </w:rPr>
        <w:t>”</w:t>
      </w:r>
      <w:r w:rsidRPr="005565F8">
        <w:rPr>
          <w:rFonts w:eastAsia="Times New Roman"/>
          <w:i/>
          <w:lang w:eastAsia="lv-LV"/>
        </w:rPr>
        <w:t>.</w:t>
      </w:r>
      <w:r w:rsidRPr="005565F8">
        <w:rPr>
          <w:rFonts w:eastAsia="Times New Roman"/>
          <w:lang w:eastAsia="lv-LV"/>
        </w:rPr>
        <w:t xml:space="preserve"> Projekta mērķis ir attīstīt sociālās atstumtības riskam pakļauto jauniešu prasmes un veicināt viņu iesaisti izglītībā, aroda apguvē pie amata meistara, </w:t>
      </w:r>
      <w:r w:rsidRPr="005565F8">
        <w:rPr>
          <w:rFonts w:eastAsia="Times New Roman"/>
          <w:i/>
          <w:lang w:eastAsia="lv-LV"/>
        </w:rPr>
        <w:t>Jauniešu garantijas</w:t>
      </w:r>
      <w:r w:rsidRPr="005565F8">
        <w:rPr>
          <w:rFonts w:eastAsia="Times New Roman"/>
          <w:lang w:eastAsia="lv-LV"/>
        </w:rPr>
        <w:t xml:space="preserve"> pasākumos, NVA īstenotajos aktīvajos nodarbinātības vai preventīvajos bezdarba mazināšanas pasākumos, kā arī nevalstisko organizāciju vai jauniešu centru darbībā. Līdz 2018. gadam ar 76 pašvaldībām ir noslēgti sadarbības līgumi par projekta īstenošanu (papildus projektā ir iesaistīti jaunieši no 10 pašvaldībām, ar  kurām vēl nav noslēgti sadarbības līgumi). Kopumā ir organizētas 24 tiešsaistes mācības un īstenoti 27 klātienes neformālās izglītības pasākumi pašvaldību deleģētajiem 409 </w:t>
      </w:r>
      <w:r w:rsidRPr="005565F8">
        <w:rPr>
          <w:rFonts w:eastAsia="Times New Roman"/>
          <w:lang w:eastAsia="lv-LV"/>
        </w:rPr>
        <w:t>mentoriem</w:t>
      </w:r>
      <w:r w:rsidRPr="005565F8">
        <w:rPr>
          <w:rFonts w:eastAsia="Times New Roman"/>
          <w:lang w:eastAsia="lv-LV"/>
        </w:rPr>
        <w:t>, kā arī organizēti 10 četru dienu mācību moduļi pašvaldību deleģētajiem 185 programmu vadītājiem. Līdz 2017. gada beigām projektā ir iesaistījušies 873 jaunieši. Līdz tam laikam 495 jaunieši ir pabeiguši dalību projektā, no tiem 79% sekmīgi</w:t>
      </w:r>
      <w:r>
        <w:rPr>
          <w:rStyle w:val="FootnoteReference"/>
          <w:rFonts w:eastAsia="Times New Roman"/>
          <w:lang w:eastAsia="lv-LV"/>
        </w:rPr>
        <w:footnoteReference w:id="38"/>
      </w:r>
      <w:r w:rsidRPr="005565F8">
        <w:rPr>
          <w:rFonts w:eastAsia="Times New Roman"/>
          <w:lang w:eastAsia="lv-LV"/>
        </w:rPr>
        <w:t xml:space="preserve">. </w:t>
      </w:r>
    </w:p>
    <w:p w:rsidR="00F96413" w:rsidRPr="005565F8" w:rsidP="00F96413" w14:paraId="04734089" w14:textId="677FE90E">
      <w:pPr>
        <w:spacing w:before="120"/>
        <w:rPr>
          <w:szCs w:val="22"/>
        </w:rPr>
      </w:pPr>
      <w:r w:rsidRPr="005565F8">
        <w:t>2014.-2017.gadā 135 tūkst. jauniešu vecumā 15-29 gadi saņēma reģistrētā bezdarbnieka statusu NVA, kas visi automātiski saņēma atbalstu</w:t>
      </w:r>
      <w:r w:rsidRPr="005565F8">
        <w:rPr>
          <w:i/>
        </w:rPr>
        <w:t xml:space="preserve"> Jauniešu garantijas</w:t>
      </w:r>
      <w:r w:rsidRPr="005565F8">
        <w:t xml:space="preserve"> ietvaros, savukārt VIAA īstenotajās programmās iesaistījās 8,5 tūkst. nenodarbinātie jaunieši</w:t>
      </w:r>
      <w:r>
        <w:rPr>
          <w:rStyle w:val="FootnoteReference"/>
        </w:rPr>
        <w:footnoteReference w:id="39"/>
      </w:r>
      <w:r w:rsidRPr="005565F8">
        <w:t>.</w:t>
      </w:r>
      <w:r w:rsidRPr="005565F8">
        <w:rPr>
          <w:szCs w:val="22"/>
        </w:rPr>
        <w:t xml:space="preserve"> Tajā pašā periodā darbā iekārtojās 81 tūkst. jauniešu (60% no visiem NVA reģistrētajiem jauniešiem bezdarbniekiem).</w:t>
      </w:r>
      <w:r w:rsidRPr="00E776A7" w:rsidR="00E776A7">
        <w:rPr>
          <w:rFonts w:ascii="Calibri Light" w:eastAsia="Verdana" w:hAnsi="Calibri Light"/>
          <w:color w:val="000000"/>
          <w:kern w:val="24"/>
          <w:sz w:val="16"/>
          <w:szCs w:val="16"/>
          <w:vertAlign w:val="superscript"/>
          <w:lang w:eastAsia="lv-LV"/>
        </w:rPr>
        <w:t xml:space="preserve"> </w:t>
      </w:r>
    </w:p>
    <w:p w:rsidR="00CC5E28" w:rsidRPr="005565F8" w:rsidP="00F96413" w14:paraId="547F8775" w14:textId="77777777">
      <w:pPr>
        <w:spacing w:before="120"/>
        <w:rPr>
          <w:szCs w:val="22"/>
        </w:rPr>
        <w:sectPr w:rsidSect="005D1AD0">
          <w:type w:val="continuous"/>
          <w:pgSz w:w="11906" w:h="16838" w:code="9"/>
          <w:pgMar w:top="1134" w:right="1134" w:bottom="1134" w:left="1134" w:header="709" w:footer="567" w:gutter="0"/>
          <w:cols w:num="2" w:space="340"/>
          <w:titlePg/>
          <w:docGrid w:linePitch="360"/>
        </w:sectPr>
      </w:pPr>
    </w:p>
    <w:p w:rsidR="00CC5E28" w:rsidRPr="005565F8" w:rsidP="00F96413" w14:paraId="3B7C7C7B" w14:textId="77777777">
      <w:pPr>
        <w:spacing w:before="120"/>
        <w:rPr>
          <w:szCs w:val="22"/>
        </w:rPr>
      </w:pPr>
    </w:p>
    <w:p w:rsidR="00CC5E28" w:rsidRPr="005565F8" w:rsidP="00CC5E28" w14:paraId="31C04085"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b/>
          <w:sz w:val="4"/>
          <w:szCs w:val="16"/>
        </w:rPr>
      </w:pPr>
    </w:p>
    <w:p w:rsidR="00CC5E28" w:rsidRPr="005565F8" w:rsidP="00CC5E28" w14:paraId="3777ECE2"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3.8.ielikums.</w:t>
      </w:r>
    </w:p>
    <w:p w:rsidR="00CC5E28" w:rsidRPr="005565F8" w:rsidP="00CC5E28" w14:paraId="0EC76748"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rPr>
          <w:rFonts w:ascii="Calibri Light" w:eastAsia="Verdana" w:hAnsi="Calibri Light"/>
          <w:color w:val="000000"/>
          <w:kern w:val="24"/>
          <w:sz w:val="16"/>
          <w:szCs w:val="16"/>
          <w:lang w:eastAsia="lv-LV"/>
        </w:rPr>
      </w:pPr>
      <w:r w:rsidRPr="005565F8">
        <w:rPr>
          <w:rFonts w:ascii="Calibri Light" w:hAnsi="Calibri Light"/>
          <w:b/>
          <w:szCs w:val="16"/>
        </w:rPr>
        <w:t>Jauniešu garantijas rezultatīvā izpilde</w:t>
      </w:r>
    </w:p>
    <w:p w:rsidR="00CC5E28" w:rsidRPr="005565F8" w:rsidP="00CC5E28" w14:paraId="12D1EC15" w14:textId="4C7AE4A2">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Kopumā 2014.-2017.gadā </w:t>
      </w:r>
      <w:r w:rsidRPr="005565F8">
        <w:rPr>
          <w:rFonts w:ascii="Calibri Light" w:eastAsia="Verdana" w:hAnsi="Calibri Light"/>
          <w:i/>
          <w:color w:val="000000"/>
          <w:kern w:val="24"/>
          <w:sz w:val="16"/>
          <w:szCs w:val="16"/>
          <w:lang w:eastAsia="lv-LV"/>
        </w:rPr>
        <w:t>Jauniešu garantijas</w:t>
      </w:r>
      <w:r w:rsidRPr="005565F8">
        <w:rPr>
          <w:rFonts w:ascii="Calibri Light" w:eastAsia="Verdana" w:hAnsi="Calibri Light"/>
          <w:color w:val="000000"/>
          <w:kern w:val="24"/>
          <w:sz w:val="16"/>
          <w:szCs w:val="16"/>
          <w:lang w:eastAsia="lv-LV"/>
        </w:rPr>
        <w:t xml:space="preserve"> ietvaros darba meklēšanas atbalsta pasākumos piedalījušies 116 tūkst. jaunieši, konkurētspējas paaugstināšanas pasākumos –  38,5 tūkst. jaunieši, kā arī jaunieši saņēmuši 148,6 tūkst. karjeras konsultāciju. Savukārt tā saucamais ilgtermiņa jeb “kvalitatīvais” atbalsts</w:t>
      </w:r>
      <w:r>
        <w:rPr>
          <w:rFonts w:ascii="Calibri Light" w:eastAsia="Verdana" w:hAnsi="Calibri Light"/>
          <w:color w:val="000000"/>
          <w:kern w:val="24"/>
          <w:sz w:val="16"/>
          <w:szCs w:val="16"/>
          <w:vertAlign w:val="superscript"/>
          <w:lang w:eastAsia="lv-LV"/>
        </w:rPr>
        <w:footnoteReference w:id="40"/>
      </w:r>
      <w:r w:rsidRPr="005565F8">
        <w:rPr>
          <w:rFonts w:ascii="Calibri Light" w:eastAsia="Verdana" w:hAnsi="Calibri Light"/>
          <w:color w:val="000000"/>
          <w:kern w:val="24"/>
          <w:sz w:val="16"/>
          <w:szCs w:val="16"/>
          <w:lang w:eastAsia="lv-LV"/>
        </w:rPr>
        <w:t xml:space="preserve"> sniegts 25,6 tūkst. jauniešu (17 114 reģistrētajiem bezdarbniekiem; 8 010 nenodarbinātajiem jauniešiem un 505 ieslodzījuma vietās esošajiem jauniešiem). Dalībnieku skaits veido gandrīz 90% no plānotā </w:t>
      </w:r>
      <w:r w:rsidRPr="005565F8">
        <w:rPr>
          <w:rFonts w:ascii="Calibri Light" w:eastAsia="Verdana" w:hAnsi="Calibri Light"/>
          <w:i/>
          <w:color w:val="000000"/>
          <w:kern w:val="24"/>
          <w:sz w:val="16"/>
          <w:szCs w:val="16"/>
          <w:lang w:eastAsia="lv-LV"/>
        </w:rPr>
        <w:t>Jauniešu garantijas</w:t>
      </w:r>
      <w:r w:rsidRPr="005565F8">
        <w:rPr>
          <w:rFonts w:ascii="Calibri Light" w:eastAsia="Verdana" w:hAnsi="Calibri Light"/>
          <w:color w:val="000000"/>
          <w:kern w:val="24"/>
          <w:sz w:val="16"/>
          <w:szCs w:val="16"/>
          <w:lang w:eastAsia="lv-LV"/>
        </w:rPr>
        <w:t xml:space="preserve"> programmā iesaistāmo jauniešu skaita (2014.-2018.gadā programmā jāiesaista 28,7 tūkst. NEET jaunieši). 67% no visiem atbalstu saņēmušajiem jauniešiem bija bezdarbnieki, tostarp 10% - ilgstošie bezdarbnieki, savukārt 33% no dalībniekiem bija NEET jaunieši. </w:t>
      </w:r>
      <w:r>
        <w:rPr>
          <w:rFonts w:ascii="Calibri Light" w:eastAsia="Verdana" w:hAnsi="Calibri Light"/>
          <w:color w:val="B8CCE4" w:themeColor="accent1" w:themeTint="66"/>
          <w:kern w:val="24"/>
          <w:sz w:val="16"/>
          <w:szCs w:val="16"/>
          <w:vertAlign w:val="superscript"/>
          <w:lang w:eastAsia="lv-LV"/>
        </w:rPr>
        <w:footnoteReference w:id="41"/>
      </w:r>
    </w:p>
    <w:p w:rsidR="00CC5E28" w:rsidRPr="005565F8" w:rsidP="00CC5E28" w14:paraId="1A5A9A94"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2014.-2017.gadā no visiem </w:t>
      </w:r>
      <w:r w:rsidRPr="005565F8">
        <w:rPr>
          <w:rFonts w:ascii="Calibri Light" w:eastAsia="Verdana" w:hAnsi="Calibri Light"/>
          <w:i/>
          <w:color w:val="000000"/>
          <w:kern w:val="24"/>
          <w:sz w:val="16"/>
          <w:szCs w:val="16"/>
          <w:lang w:eastAsia="lv-LV"/>
        </w:rPr>
        <w:t>Jauniešu garantijas</w:t>
      </w:r>
      <w:r w:rsidRPr="005565F8">
        <w:rPr>
          <w:rFonts w:ascii="Calibri Light" w:eastAsia="Verdana" w:hAnsi="Calibri Light"/>
          <w:color w:val="000000"/>
          <w:kern w:val="24"/>
          <w:sz w:val="16"/>
          <w:szCs w:val="16"/>
          <w:lang w:eastAsia="lv-LV"/>
        </w:rPr>
        <w:t xml:space="preserve"> programmas dalībniekiem vecumā 15-24 gadi (kopumā </w:t>
      </w:r>
      <w:r w:rsidRPr="005565F8" w:rsidR="004075E1">
        <w:rPr>
          <w:rFonts w:ascii="Calibri Light" w:eastAsia="Verdana" w:hAnsi="Calibri Light"/>
          <w:color w:val="000000"/>
          <w:kern w:val="24"/>
          <w:sz w:val="16"/>
          <w:szCs w:val="16"/>
          <w:lang w:eastAsia="lv-LV"/>
        </w:rPr>
        <w:t>74</w:t>
      </w:r>
      <w:r w:rsidRPr="005565F8" w:rsidR="00A7299B">
        <w:rPr>
          <w:rFonts w:ascii="Calibri Light" w:eastAsia="Verdana" w:hAnsi="Calibri Light"/>
          <w:color w:val="000000"/>
          <w:kern w:val="24"/>
          <w:sz w:val="16"/>
          <w:szCs w:val="16"/>
          <w:lang w:eastAsia="lv-LV"/>
        </w:rPr>
        <w:t xml:space="preserve"> </w:t>
      </w:r>
      <w:r w:rsidRPr="005565F8" w:rsidR="004075E1">
        <w:rPr>
          <w:rFonts w:ascii="Calibri Light" w:eastAsia="Verdana" w:hAnsi="Calibri Light"/>
          <w:color w:val="000000"/>
          <w:kern w:val="24"/>
          <w:sz w:val="16"/>
          <w:szCs w:val="16"/>
          <w:lang w:eastAsia="lv-LV"/>
        </w:rPr>
        <w:t>224</w:t>
      </w:r>
      <w:r w:rsidRPr="005565F8">
        <w:rPr>
          <w:rFonts w:ascii="Calibri Light" w:eastAsia="Verdana" w:hAnsi="Calibri Light"/>
          <w:color w:val="000000"/>
          <w:kern w:val="24"/>
          <w:sz w:val="16"/>
          <w:szCs w:val="16"/>
          <w:lang w:eastAsia="lv-LV"/>
        </w:rPr>
        <w:t xml:space="preserve"> personas: NVA projekts – 64 836, VIAA – 8 515, JSPA -873) pirmajos četros mēnešos kopš bezdarbnieka statusa saņemšanas vai pieteikuma iesniegšanas dalībai </w:t>
      </w:r>
      <w:r w:rsidRPr="005565F8">
        <w:rPr>
          <w:rFonts w:ascii="Calibri Light" w:eastAsia="Verdana" w:hAnsi="Calibri Light"/>
          <w:i/>
          <w:color w:val="000000"/>
          <w:kern w:val="24"/>
          <w:sz w:val="16"/>
          <w:szCs w:val="16"/>
          <w:lang w:eastAsia="lv-LV"/>
        </w:rPr>
        <w:t>Jauniešu garantijā</w:t>
      </w:r>
      <w:r w:rsidRPr="005565F8">
        <w:rPr>
          <w:rFonts w:ascii="Calibri Light" w:eastAsia="Verdana" w:hAnsi="Calibri Light"/>
          <w:color w:val="000000"/>
          <w:kern w:val="24"/>
          <w:sz w:val="16"/>
          <w:szCs w:val="16"/>
          <w:lang w:eastAsia="lv-LV"/>
        </w:rPr>
        <w:t xml:space="preserve"> 25% jeb 18 392 personas iekārtojušies darbā, 31% jeb 22 839 personas saņēmuši vismaz vienu darba piedāvājumu (informāciju par vakanto darba vietu), 21% jeb 15 621 personas uzsākuši dalību apmācībās, pirmās darba pieredzes iegūšanas u.c. NVA un VIAA ilgtermiņa atbalsta pasākumos 57% jeb 41 875 personas saņēmušas karjeras konsultanta atbalstu. </w:t>
      </w:r>
    </w:p>
    <w:p w:rsidR="00CC5E28" w:rsidRPr="005565F8" w:rsidP="00CC5E28" w14:paraId="20E8D50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Pirmajos četros mēnešos kopš bezdarbnieka statusa saņemšanas vai pieteikuma iesniegšanas dalībai </w:t>
      </w:r>
      <w:r w:rsidRPr="005565F8">
        <w:rPr>
          <w:rFonts w:ascii="Calibri Light" w:eastAsia="Verdana" w:hAnsi="Calibri Light"/>
          <w:i/>
          <w:color w:val="000000"/>
          <w:kern w:val="24"/>
          <w:sz w:val="16"/>
          <w:szCs w:val="16"/>
          <w:lang w:eastAsia="lv-LV"/>
        </w:rPr>
        <w:t>Jauniešu garantijā</w:t>
      </w:r>
      <w:r w:rsidRPr="005565F8">
        <w:rPr>
          <w:rFonts w:ascii="Calibri Light" w:eastAsia="Verdana" w:hAnsi="Calibri Light"/>
          <w:color w:val="000000"/>
          <w:kern w:val="24"/>
          <w:sz w:val="16"/>
          <w:szCs w:val="16"/>
          <w:lang w:eastAsia="lv-LV"/>
        </w:rPr>
        <w:t xml:space="preserve"> vidēji 46% jauniešu iestājas atbalsta pasākumā vai atgriežas darba tirgū, savukārt vidēji 20% no visiem jauniešiem zaudē bezdarbnieka statusu pienākumu nepildīšanas dēļ. Savukārt sešu mēnešu laikā kopš bezdarbnieka statusa saņemšanas vai pieteikuma iesniegšanas dalībai Jauniešu garantijā 56% jauniešu iestājas atbalsta pasākumā vai atgriežas darba tirgū.</w:t>
      </w:r>
    </w:p>
    <w:p w:rsidR="00CC5E28" w:rsidRPr="005565F8" w:rsidP="00CC5E28" w14:paraId="1F41C018"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Periodā no 2014.-2017.gadam </w:t>
      </w:r>
      <w:r w:rsidRPr="005565F8">
        <w:rPr>
          <w:rFonts w:ascii="Calibri Light" w:eastAsia="Verdana" w:hAnsi="Calibri Light"/>
          <w:i/>
          <w:color w:val="000000"/>
          <w:kern w:val="24"/>
          <w:sz w:val="16"/>
          <w:szCs w:val="16"/>
          <w:lang w:eastAsia="lv-LV"/>
        </w:rPr>
        <w:t>Jauniešu garantijas</w:t>
      </w:r>
      <w:r w:rsidRPr="005565F8">
        <w:rPr>
          <w:rFonts w:ascii="Calibri Light" w:eastAsia="Verdana" w:hAnsi="Calibri Light"/>
          <w:color w:val="000000"/>
          <w:kern w:val="24"/>
          <w:sz w:val="16"/>
          <w:szCs w:val="16"/>
          <w:lang w:eastAsia="lv-LV"/>
        </w:rPr>
        <w:t xml:space="preserve"> programmas īstenošanai novirzīti 57,69 milj. EUR (82% no </w:t>
      </w:r>
      <w:r w:rsidRPr="005565F8">
        <w:rPr>
          <w:rFonts w:ascii="Calibri Light" w:eastAsia="Verdana" w:hAnsi="Calibri Light"/>
          <w:i/>
          <w:color w:val="000000"/>
          <w:kern w:val="24"/>
          <w:sz w:val="16"/>
          <w:szCs w:val="16"/>
          <w:lang w:eastAsia="lv-LV"/>
        </w:rPr>
        <w:t>Jauniešu garantijas</w:t>
      </w:r>
      <w:r w:rsidRPr="005565F8">
        <w:rPr>
          <w:rFonts w:ascii="Calibri Light" w:eastAsia="Verdana" w:hAnsi="Calibri Light"/>
          <w:color w:val="000000"/>
          <w:kern w:val="24"/>
          <w:sz w:val="16"/>
          <w:szCs w:val="16"/>
          <w:lang w:eastAsia="lv-LV"/>
        </w:rPr>
        <w:t xml:space="preserve"> kopbudžeta), tajā skaitā JNI finansējums – 23,4 milj. EUR, ESF līdzfinansējums – 26,</w:t>
      </w:r>
      <w:r w:rsidRPr="005565F8" w:rsidR="00A7299B">
        <w:rPr>
          <w:rFonts w:ascii="Calibri Light" w:eastAsia="Verdana" w:hAnsi="Calibri Light"/>
          <w:color w:val="000000"/>
          <w:kern w:val="24"/>
          <w:sz w:val="16"/>
          <w:szCs w:val="16"/>
          <w:lang w:eastAsia="lv-LV"/>
        </w:rPr>
        <w:t>7</w:t>
      </w:r>
      <w:r w:rsidRPr="005565F8">
        <w:rPr>
          <w:rFonts w:ascii="Calibri Light" w:eastAsia="Verdana" w:hAnsi="Calibri Light"/>
          <w:color w:val="000000"/>
          <w:kern w:val="24"/>
          <w:sz w:val="16"/>
          <w:szCs w:val="16"/>
          <w:lang w:eastAsia="lv-LV"/>
        </w:rPr>
        <w:t xml:space="preserve"> milj. EUR, valsts budžeta finansējums – 3,5 milj. EUR un privātais līdzfinansējums – 4,</w:t>
      </w:r>
      <w:r w:rsidRPr="005565F8" w:rsidR="00A7299B">
        <w:rPr>
          <w:rFonts w:ascii="Calibri Light" w:eastAsia="Verdana" w:hAnsi="Calibri Light"/>
          <w:color w:val="000000"/>
          <w:kern w:val="24"/>
          <w:sz w:val="16"/>
          <w:szCs w:val="16"/>
          <w:lang w:eastAsia="lv-LV"/>
        </w:rPr>
        <w:t xml:space="preserve">1 </w:t>
      </w:r>
      <w:r w:rsidRPr="005565F8">
        <w:rPr>
          <w:rFonts w:ascii="Calibri Light" w:eastAsia="Verdana" w:hAnsi="Calibri Light"/>
          <w:color w:val="000000"/>
          <w:kern w:val="24"/>
          <w:sz w:val="16"/>
          <w:szCs w:val="16"/>
          <w:lang w:eastAsia="lv-LV"/>
        </w:rPr>
        <w:t>milj. EUR.</w:t>
      </w:r>
    </w:p>
    <w:p w:rsidR="00CC5E28" w:rsidRPr="005565F8" w:rsidP="00CC5E28" w14:paraId="38731BEE" w14:textId="39197BD1">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Kopējais </w:t>
      </w:r>
      <w:r w:rsidRPr="005565F8">
        <w:rPr>
          <w:rFonts w:ascii="Calibri Light" w:eastAsia="Verdana" w:hAnsi="Calibri Light"/>
          <w:i/>
          <w:color w:val="000000"/>
          <w:kern w:val="24"/>
          <w:sz w:val="16"/>
          <w:szCs w:val="16"/>
          <w:lang w:eastAsia="lv-LV"/>
        </w:rPr>
        <w:t>Jauniešu garantijas</w:t>
      </w:r>
      <w:r w:rsidRPr="005565F8">
        <w:rPr>
          <w:rFonts w:ascii="Calibri Light" w:eastAsia="Verdana" w:hAnsi="Calibri Light"/>
          <w:color w:val="000000"/>
          <w:kern w:val="24"/>
          <w:sz w:val="16"/>
          <w:szCs w:val="16"/>
          <w:lang w:eastAsia="lv-LV"/>
        </w:rPr>
        <w:t xml:space="preserve"> programmas finansējums 2014.-2019.gadam veido 70,2 milj. EUR, tai skaitā JNI finansējums – 29 milj. EUR, ESF līdzfinansējums – 35 milj. EUR, valsts budžeta finansējums – 4,7 milj. EUR un privātais līdzfinansējums</w:t>
      </w:r>
      <w:r w:rsidRPr="00E776A7" w:rsidR="00E776A7">
        <w:rPr>
          <w:rFonts w:ascii="Calibri Light" w:eastAsia="Verdana" w:hAnsi="Calibri Light"/>
          <w:color w:val="000000"/>
          <w:kern w:val="24"/>
          <w:sz w:val="16"/>
          <w:szCs w:val="16"/>
          <w:vertAlign w:val="superscript"/>
          <w:lang w:eastAsia="lv-LV"/>
        </w:rPr>
        <w:t>39</w:t>
      </w:r>
      <w:r w:rsidRPr="005565F8">
        <w:rPr>
          <w:rFonts w:ascii="Calibri Light" w:eastAsia="Verdana" w:hAnsi="Calibri Light"/>
          <w:color w:val="000000"/>
          <w:kern w:val="24"/>
          <w:sz w:val="16"/>
          <w:szCs w:val="16"/>
          <w:lang w:eastAsia="lv-LV"/>
        </w:rPr>
        <w:t xml:space="preserve"> – ne mazāk par 1,5 milj. EUR.</w:t>
      </w:r>
    </w:p>
    <w:p w:rsidR="00CC5E28" w:rsidRPr="005565F8" w:rsidP="00CC5E28" w14:paraId="330350AE"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4"/>
          <w:szCs w:val="16"/>
          <w:lang w:eastAsia="lv-LV"/>
        </w:rPr>
      </w:pPr>
    </w:p>
    <w:p w:rsidR="00CC5E28" w:rsidRPr="005565F8" w:rsidP="00F96413" w14:paraId="213AE72C" w14:textId="77777777">
      <w:pPr>
        <w:spacing w:before="120"/>
        <w:rPr>
          <w:szCs w:val="22"/>
        </w:rPr>
      </w:pPr>
    </w:p>
    <w:p w:rsidR="00CC5E28" w:rsidRPr="005565F8" w:rsidP="00F96413" w14:paraId="6BC35328" w14:textId="77777777">
      <w:pPr>
        <w:spacing w:before="120"/>
        <w:rPr>
          <w:szCs w:val="22"/>
        </w:rPr>
        <w:sectPr w:rsidSect="005D1AD0">
          <w:type w:val="continuous"/>
          <w:pgSz w:w="11906" w:h="16838" w:code="9"/>
          <w:pgMar w:top="1134" w:right="1134" w:bottom="1134" w:left="1134" w:header="709" w:footer="567" w:gutter="0"/>
          <w:cols w:space="340"/>
          <w:titlePg/>
          <w:docGrid w:linePitch="360"/>
        </w:sectPr>
      </w:pPr>
    </w:p>
    <w:p w:rsidR="00F96413" w:rsidRPr="005565F8" w:rsidP="00F24079" w14:paraId="3F5A0D02" w14:textId="77777777">
      <w:r w:rsidRPr="005565F8">
        <w:rPr>
          <w:i/>
        </w:rPr>
        <w:t>Jauniešu garantijas programma</w:t>
      </w:r>
      <w:r w:rsidRPr="005565F8">
        <w:t xml:space="preserve"> tiks turpināta līdz 2</w:t>
      </w:r>
      <w:r w:rsidRPr="005565F8" w:rsidR="007F268F">
        <w:t>018</w:t>
      </w:r>
      <w:r w:rsidRPr="005565F8">
        <w:t>.gada beigām, pēc tam JNI finansējums atbalsta jauniešiem nodrošināšanai Latvijai vairs nebūs pieejams un atbalstu jauniešiem ir plānots sniegt citu aktīvās darba tirgus politikas pasākumu ietvaros.</w:t>
      </w:r>
    </w:p>
    <w:p w:rsidR="00F96413" w:rsidRPr="005565F8" w:rsidP="00F24079" w14:paraId="7CB1D9B8" w14:textId="77777777">
      <w:pPr>
        <w:spacing w:before="120"/>
        <w:rPr>
          <w:lang w:eastAsia="lv-LV"/>
        </w:rPr>
      </w:pPr>
      <w:r w:rsidRPr="005565F8">
        <w:rPr>
          <w:lang w:eastAsia="lv-LV"/>
        </w:rPr>
        <w:t>Paralēli augstāk minētajiem pasākumiem:</w:t>
      </w:r>
    </w:p>
    <w:p w:rsidR="00F96413" w:rsidRPr="005565F8" w:rsidP="00735883" w14:paraId="4DFA596F" w14:textId="77777777">
      <w:pPr>
        <w:numPr>
          <w:ilvl w:val="0"/>
          <w:numId w:val="16"/>
        </w:numPr>
        <w:spacing w:after="0"/>
        <w:ind w:left="284" w:hanging="284"/>
        <w:rPr>
          <w:lang w:eastAsia="lv-LV"/>
        </w:rPr>
      </w:pPr>
      <w:r w:rsidRPr="005565F8">
        <w:rPr>
          <w:lang w:eastAsia="lv-LV"/>
        </w:rPr>
        <w:t xml:space="preserve">Latvijas un Šveices sadarbības programma </w:t>
      </w:r>
      <w:r w:rsidRPr="005565F8" w:rsidR="00FC11DB">
        <w:rPr>
          <w:lang w:eastAsia="lv-LV"/>
        </w:rPr>
        <w:t>“</w:t>
      </w:r>
      <w:r w:rsidRPr="005565F8">
        <w:rPr>
          <w:i/>
          <w:lang w:eastAsia="lv-LV"/>
        </w:rPr>
        <w:t>Atbalsts jaunatnes iniciatīvu attīstībai attālos vai mazattīstītos reģionos</w:t>
      </w:r>
      <w:r w:rsidRPr="005565F8" w:rsidR="00FC11DB">
        <w:rPr>
          <w:i/>
          <w:lang w:eastAsia="lv-LV"/>
        </w:rPr>
        <w:t>”</w:t>
      </w:r>
      <w:r w:rsidRPr="005565F8">
        <w:rPr>
          <w:lang w:eastAsia="lv-LV"/>
        </w:rPr>
        <w:t xml:space="preserve"> darbība noslēdzās 2017. gadā. Kopumā no 2011. gada 1. jūnija līdz 2017. </w:t>
      </w:r>
      <w:r w:rsidRPr="005565F8">
        <w:rPr>
          <w:lang w:eastAsia="lv-LV"/>
        </w:rPr>
        <w:t xml:space="preserve">gada 31. martam programmas ietvaros tika izveidoti 26 </w:t>
      </w:r>
      <w:r w:rsidRPr="005565F8">
        <w:rPr>
          <w:lang w:eastAsia="lv-LV"/>
        </w:rPr>
        <w:t>multifunkcionāli</w:t>
      </w:r>
      <w:r w:rsidRPr="005565F8">
        <w:rPr>
          <w:lang w:eastAsia="lv-LV"/>
        </w:rPr>
        <w:t xml:space="preserve"> jaunatnes iniciatīvu centri dažādās Latvijas pašvaldībās, un tika īstenoti 109 mācību pasākumi jauniešiem un 74 pasākumi jaunatnes darbiniekiem. Regulāri tika organizēti reģionāla un nacionāla līmeņa forumi un konferences par jaunatnes jomā aktuālām tēmām, un izstrādāti 15 metodiskie materiāli</w:t>
      </w:r>
      <w:r w:rsidRPr="005565F8" w:rsidR="00FC11DB">
        <w:rPr>
          <w:lang w:eastAsia="lv-LV"/>
        </w:rPr>
        <w:t>;</w:t>
      </w:r>
    </w:p>
    <w:p w:rsidR="00CD4074" w:rsidRPr="005565F8" w:rsidP="00735883" w14:paraId="1845DF41" w14:textId="77777777">
      <w:pPr>
        <w:numPr>
          <w:ilvl w:val="0"/>
          <w:numId w:val="16"/>
        </w:numPr>
        <w:spacing w:after="0"/>
        <w:ind w:left="284" w:hanging="284"/>
        <w:rPr>
          <w:lang w:eastAsia="lv-LV"/>
        </w:rPr>
      </w:pPr>
      <w:r w:rsidRPr="005565F8">
        <w:rPr>
          <w:lang w:eastAsia="lv-LV"/>
        </w:rPr>
        <w:t xml:space="preserve">IZM </w:t>
      </w:r>
      <w:r w:rsidRPr="005565F8" w:rsidR="00F96413">
        <w:rPr>
          <w:i/>
          <w:lang w:eastAsia="lv-LV"/>
        </w:rPr>
        <w:t>Jaunatnes politikas valsts programmas</w:t>
      </w:r>
      <w:r w:rsidRPr="005565F8" w:rsidR="00F96413">
        <w:rPr>
          <w:lang w:eastAsia="lv-LV"/>
        </w:rPr>
        <w:t xml:space="preserve"> </w:t>
      </w:r>
      <w:r w:rsidRPr="005565F8" w:rsidR="00F96413">
        <w:rPr>
          <w:i/>
          <w:lang w:eastAsia="lv-LV"/>
        </w:rPr>
        <w:t xml:space="preserve">2017. gadam </w:t>
      </w:r>
      <w:r w:rsidRPr="005565F8" w:rsidR="00F96413">
        <w:rPr>
          <w:lang w:eastAsia="lv-LV"/>
        </w:rPr>
        <w:t xml:space="preserve"> ietvaros</w:t>
      </w:r>
      <w:r w:rsidRPr="005565F8">
        <w:rPr>
          <w:lang w:eastAsia="lv-LV"/>
        </w:rPr>
        <w:t xml:space="preserve"> projektu īstenošanai</w:t>
      </w:r>
      <w:r w:rsidRPr="005565F8" w:rsidR="00F96413">
        <w:rPr>
          <w:lang w:eastAsia="lv-LV"/>
        </w:rPr>
        <w:t xml:space="preserve"> bija pieejams </w:t>
      </w:r>
      <w:r w:rsidRPr="005565F8" w:rsidR="00F96413">
        <w:rPr>
          <w:lang w:eastAsia="lv-LV"/>
        </w:rPr>
        <w:t xml:space="preserve">valsts budžeta finansējums </w:t>
      </w:r>
      <w:r w:rsidRPr="005565F8" w:rsidR="00F96413">
        <w:t>471,2 tūkst. EUR apmērā. Atbalsts tika sniegts jaunatnes politikas īstenošanai vietējā līmenī (24 projekti), strukturētā dialoga vietējo konsultāciju nodrošināšanai (2</w:t>
      </w:r>
      <w:r w:rsidRPr="005565F8">
        <w:t>5</w:t>
      </w:r>
      <w:r w:rsidRPr="005565F8" w:rsidR="00F96413">
        <w:t xml:space="preserve"> projekti), </w:t>
      </w:r>
      <w:r w:rsidRPr="005565F8">
        <w:rPr>
          <w:lang w:eastAsia="lv-LV"/>
        </w:rPr>
        <w:t>jaunatnes organizāciju iniciatīvām pašvaldību un jaunatnes organizāciju partnerības stiprināšanai (6 projekti), jaunatnes organizāciju darbībai un līdzdalības nodrošināšanai valsts un starptautiskajā jaunatnes politikā (4 projekti)</w:t>
      </w:r>
      <w:r>
        <w:rPr>
          <w:rStyle w:val="FootnoteReference"/>
          <w:bCs/>
        </w:rPr>
        <w:footnoteReference w:id="42"/>
      </w:r>
      <w:r w:rsidRPr="005565F8">
        <w:rPr>
          <w:lang w:eastAsia="lv-LV"/>
        </w:rPr>
        <w:t xml:space="preserve"> un studentu biznesa projektu konkursa </w:t>
      </w:r>
      <w:r w:rsidRPr="005565F8">
        <w:rPr>
          <w:i/>
          <w:lang w:eastAsia="lv-LV"/>
        </w:rPr>
        <w:t>Radām novadam</w:t>
      </w:r>
      <w:r w:rsidRPr="005565F8">
        <w:rPr>
          <w:lang w:eastAsia="lv-LV"/>
        </w:rPr>
        <w:t xml:space="preserve"> norisei.</w:t>
      </w:r>
    </w:p>
    <w:p w:rsidR="00CC5E28" w:rsidRPr="005565F8" w:rsidP="00A10E68" w14:paraId="4B92719E" w14:textId="77777777">
      <w:pPr>
        <w:rPr>
          <w:b/>
          <w:lang w:eastAsia="lv-LV"/>
        </w:rPr>
        <w:sectPr w:rsidSect="005D1AD0">
          <w:type w:val="continuous"/>
          <w:pgSz w:w="11906" w:h="16838" w:code="9"/>
          <w:pgMar w:top="1134" w:right="1134" w:bottom="1134" w:left="1134" w:header="709" w:footer="567" w:gutter="0"/>
          <w:cols w:num="2" w:space="340"/>
          <w:titlePg/>
          <w:docGrid w:linePitch="360"/>
        </w:sectPr>
      </w:pPr>
    </w:p>
    <w:p w:rsidR="00A10E68" w:rsidRPr="005565F8" w:rsidP="00A10E68" w14:paraId="4C1D8C4B" w14:textId="77777777">
      <w:pPr>
        <w:rPr>
          <w:b/>
          <w:lang w:eastAsia="lv-LV"/>
        </w:rPr>
      </w:pPr>
    </w:p>
    <w:p w:rsidR="00A10E68" w:rsidRPr="005565F8" w:rsidP="00A10E68" w14:paraId="249C078B"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Ilgstošo bezdarbnieku un sociālās palīdzības klientu efektīva atgriešana darba tirgū un atbalsts reģionālajai mobilitātei</w:t>
      </w:r>
    </w:p>
    <w:p w:rsidR="00A10E68" w:rsidRPr="005565F8" w:rsidP="00A10E68" w14:paraId="10DA215C"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w:t>
      </w:r>
    </w:p>
    <w:p w:rsidR="00CC5E28" w:rsidRPr="005565F8" w:rsidP="00B22046" w14:paraId="1B3E934D"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F96413" w:rsidRPr="005565F8" w:rsidP="00A10E68" w14:paraId="4AA5B262" w14:textId="77777777">
      <w:pPr>
        <w:spacing w:before="240"/>
      </w:pPr>
      <w:r w:rsidRPr="005565F8">
        <w:t>Mērķis ir aktivizēt ekonomiski neaktīvās sabiedrības grupas, jo īpaši sociālās palīdzības klientus, un sniegt efektīvāku un mērķtiecīgāku atbalstu ilgstošajiem bezdarbniekiem, kā arī veicināt darbaspēka ģeogrāfisko mobilitāti. Šajā jomā:</w:t>
      </w:r>
    </w:p>
    <w:p w:rsidR="00F96413" w:rsidRPr="005565F8" w:rsidP="00735883" w14:paraId="51B94965" w14:textId="77777777">
      <w:pPr>
        <w:widowControl w:val="0"/>
        <w:numPr>
          <w:ilvl w:val="0"/>
          <w:numId w:val="14"/>
        </w:numPr>
        <w:suppressAutoHyphens/>
        <w:autoSpaceDE w:val="0"/>
        <w:autoSpaceDN w:val="0"/>
        <w:adjustRightInd w:val="0"/>
        <w:spacing w:after="60"/>
        <w:ind w:left="284" w:hanging="284"/>
      </w:pPr>
      <w:r w:rsidRPr="005565F8">
        <w:t xml:space="preserve">2017.gadā turpināja pieaugt pieprasījums pēc mobilitātes atbalsta aktīvo nodarbinātības pasākumu (apmācību pasākumos) ietvaros. 2017.gadā reģionālās mobilitātes pasākumā tika iesaistītas 243 nodarbinātas personas, atbalsts reģionālai mobilitātei sniegts 1 249 jauniešiem un 2 011 personas saņēma atbalstu reģionālajai mobilitātei nodarbinātības pasākumu ietvaros. Pasākuma īstenošanai 2017.gadā nodarbināto personu reģionālās mobilitātes veicināšanai tika </w:t>
      </w:r>
      <w:r w:rsidRPr="005565F8">
        <w:t>izlietoti 79,6 tūkst. EUR</w:t>
      </w:r>
      <w:r w:rsidRPr="005565F8">
        <w:rPr>
          <w:color w:val="000000"/>
        </w:rPr>
        <w:t>;</w:t>
      </w:r>
    </w:p>
    <w:p w:rsidR="00F96413" w:rsidRPr="005565F8" w:rsidP="00735883" w14:paraId="4C4181D4" w14:textId="77777777">
      <w:pPr>
        <w:widowControl w:val="0"/>
        <w:numPr>
          <w:ilvl w:val="0"/>
          <w:numId w:val="14"/>
        </w:numPr>
        <w:suppressAutoHyphens/>
        <w:autoSpaceDE w:val="0"/>
        <w:autoSpaceDN w:val="0"/>
        <w:adjustRightInd w:val="0"/>
        <w:spacing w:after="60"/>
        <w:ind w:left="284" w:hanging="284"/>
      </w:pPr>
      <w:r w:rsidRPr="005565F8">
        <w:t>2017.gadā ESF līdzfinansētas atbalsta programmas ilgstošajiem bezdarbniekiem</w:t>
      </w:r>
      <w:r w:rsidRPr="005565F8">
        <w:t xml:space="preserve"> </w:t>
      </w:r>
      <w:r w:rsidRPr="005565F8">
        <w:t xml:space="preserve">ietvaros tika nodrošināta vairāku jaunu pakalpojumu pieejamība ilgstošajiem bezdarbniekiem, </w:t>
      </w:r>
      <w:r w:rsidRPr="005565F8" w:rsidR="00585322">
        <w:t>t.sk.</w:t>
      </w:r>
      <w:r w:rsidRPr="005565F8">
        <w:t xml:space="preserve">, mērķēti pasākumi ilgstošajiem bezdarbniekiem ar atkarībām, ilgstošajiem bezdarbniekiem ar invaliditāti. </w:t>
      </w:r>
      <w:r w:rsidRPr="005565F8" w:rsidR="00585322">
        <w:t>P</w:t>
      </w:r>
      <w:r w:rsidRPr="005565F8">
        <w:t>rogramma sniedza</w:t>
      </w:r>
      <w:r w:rsidRPr="005565F8" w:rsidR="00585322">
        <w:t xml:space="preserve"> atbalstu</w:t>
      </w:r>
      <w:r w:rsidRPr="005565F8">
        <w:t xml:space="preserve"> 27,5 tūkst. ilgstošajiem bezdarbniekiem, izlietotais finansējums ir 3,9 milj. EUR, t.sk., ESF finansējums 3,3 milj. EUR un valsts budžeta finansējums 0,6 milj. EUR. </w:t>
      </w:r>
      <w:r w:rsidRPr="005565F8">
        <w:rPr>
          <w:rFonts w:ascii="Arial Narrow" w:hAnsi="Arial Narrow"/>
          <w:sz w:val="22"/>
          <w:szCs w:val="22"/>
        </w:rPr>
        <w:t xml:space="preserve"> </w:t>
      </w:r>
      <w:r w:rsidRPr="005565F8">
        <w:rPr>
          <w:rFonts w:eastAsia="Times New Roman"/>
          <w:lang w:eastAsia="lv-LV"/>
        </w:rPr>
        <w:t xml:space="preserve">Programmas kopējais finansējums ir 40 milj. EUR, </w:t>
      </w:r>
      <w:r w:rsidRPr="005565F8" w:rsidR="00585322">
        <w:rPr>
          <w:rFonts w:eastAsia="Times New Roman"/>
          <w:lang w:eastAsia="lv-LV"/>
        </w:rPr>
        <w:t>t.sk.</w:t>
      </w:r>
      <w:r w:rsidRPr="005565F8">
        <w:rPr>
          <w:rFonts w:eastAsia="Times New Roman"/>
          <w:lang w:eastAsia="lv-LV"/>
        </w:rPr>
        <w:t xml:space="preserve"> ESF finansējums – 34 milj. EUR un valsts budžeta finansējums – 6 milj. EUR.</w:t>
      </w:r>
    </w:p>
    <w:p w:rsidR="00CC5E28" w:rsidRPr="005565F8" w:rsidP="00A10E68" w14:paraId="081E8F91" w14:textId="77777777">
      <w:pPr>
        <w:rPr>
          <w:b/>
          <w:lang w:eastAsia="lv-LV"/>
        </w:rPr>
        <w:sectPr w:rsidSect="005D1AD0">
          <w:type w:val="continuous"/>
          <w:pgSz w:w="11906" w:h="16838" w:code="9"/>
          <w:pgMar w:top="1134" w:right="1134" w:bottom="1134" w:left="1134" w:header="709" w:footer="567" w:gutter="0"/>
          <w:cols w:num="2" w:space="340"/>
          <w:titlePg/>
          <w:docGrid w:linePitch="360"/>
        </w:sectPr>
      </w:pPr>
    </w:p>
    <w:p w:rsidR="00A10E68" w:rsidRPr="005565F8" w:rsidP="00A10E68" w14:paraId="17765038" w14:textId="77777777">
      <w:pPr>
        <w:rPr>
          <w:b/>
          <w:lang w:eastAsia="lv-LV"/>
        </w:rPr>
      </w:pPr>
    </w:p>
    <w:p w:rsidR="00A10E68" w:rsidRPr="005565F8" w:rsidP="00A10E68" w14:paraId="30F04412"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Gados vecāko iedzīvotāju darbspējas saglabāšana un nodarbinātības sekmēšana</w:t>
      </w:r>
    </w:p>
    <w:p w:rsidR="00A10E68" w:rsidRPr="005565F8" w:rsidP="00A10E68" w14:paraId="0C702435"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w:t>
      </w:r>
    </w:p>
    <w:p w:rsidR="00CC5E28" w:rsidRPr="005565F8" w:rsidP="00B22046" w14:paraId="4529CB89"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F96413" w:rsidRPr="005565F8" w:rsidP="00AA614F" w14:paraId="6F722F24" w14:textId="77777777">
      <w:pPr>
        <w:spacing w:before="240"/>
        <w:rPr>
          <w:bCs/>
        </w:rPr>
      </w:pPr>
      <w:r w:rsidRPr="005565F8">
        <w:rPr>
          <w:bCs/>
        </w:rPr>
        <w:t>Mērķis ir sniegt atbalstu gados vecākiem nodarbinātajiem, lai veicinātu ilgāku un kvalitatīvāku līdzdalību darba tirgū. Tiek paredzēti darba tirgus atbalsta pasākumi iedzīvotājiem vecumā 50 gadi un vairāk, īpaši līdz pensionēšanās vecuma sasniegšanai, kas saskaras ar šķēršļiem iesaistei vai palikšanai darba tirgū. Tiek plānoti šādi galvenie pasākumi:</w:t>
      </w:r>
    </w:p>
    <w:p w:rsidR="00F96413" w:rsidRPr="005565F8" w:rsidP="00F24079" w14:paraId="0A877942" w14:textId="77777777">
      <w:pPr>
        <w:spacing w:after="60"/>
        <w:ind w:left="284" w:hanging="284"/>
        <w:rPr>
          <w:bCs/>
        </w:rPr>
      </w:pPr>
      <w:r w:rsidRPr="005565F8">
        <w:rPr>
          <w:bCs/>
        </w:rPr>
        <w:t>–</w:t>
      </w:r>
      <w:r w:rsidRPr="005565F8">
        <w:rPr>
          <w:bCs/>
        </w:rPr>
        <w:tab/>
        <w:t>informatīvu pasākumu īstenošana ar mērķi veicināt darba devēju un sabiedrības izpratni kopumā par sabiedrības un darbaspēka novecošanās tendencēm un iespējamajiem risinājumiem ilgākam un labākam darba mūžam;</w:t>
      </w:r>
    </w:p>
    <w:p w:rsidR="00F96413" w:rsidRPr="005565F8" w:rsidP="00735883" w14:paraId="0A439227" w14:textId="77777777">
      <w:pPr>
        <w:pStyle w:val="ListParagraph"/>
        <w:numPr>
          <w:ilvl w:val="0"/>
          <w:numId w:val="18"/>
        </w:numPr>
        <w:spacing w:after="60"/>
        <w:ind w:left="284" w:hanging="284"/>
        <w:contextualSpacing w:val="0"/>
        <w:rPr>
          <w:bCs/>
        </w:rPr>
      </w:pPr>
      <w:r w:rsidRPr="005565F8">
        <w:rPr>
          <w:bCs/>
        </w:rPr>
        <w:t xml:space="preserve">darba vides un cilvēkresursu potenciāla </w:t>
      </w:r>
      <w:r w:rsidRPr="005565F8">
        <w:rPr>
          <w:bCs/>
        </w:rPr>
        <w:t>izvērtējums</w:t>
      </w:r>
      <w:r w:rsidRPr="005565F8">
        <w:rPr>
          <w:bCs/>
        </w:rPr>
        <w:t xml:space="preserve">, nosakot darba vides un organizācijas piemērotību gados vecāko darbinieku potenciāla izmantošanai un veicot gados vecāko darbinieku zināšanu, prasmju un veselības stāvokļa </w:t>
      </w:r>
      <w:r w:rsidRPr="005565F8">
        <w:rPr>
          <w:bCs/>
        </w:rPr>
        <w:t>novērtējumu, kā rezultātā plānots sniegt rekomendācijas situācijas uzlabošanai;</w:t>
      </w:r>
    </w:p>
    <w:p w:rsidR="00F96413" w:rsidRPr="005565F8" w:rsidP="00735883" w14:paraId="5D4A85FB" w14:textId="77777777">
      <w:pPr>
        <w:pStyle w:val="ListParagraph"/>
        <w:numPr>
          <w:ilvl w:val="0"/>
          <w:numId w:val="18"/>
        </w:numPr>
        <w:spacing w:after="60"/>
        <w:ind w:left="284" w:hanging="284"/>
        <w:contextualSpacing w:val="0"/>
        <w:rPr>
          <w:bCs/>
        </w:rPr>
      </w:pPr>
      <w:r w:rsidRPr="005565F8">
        <w:rPr>
          <w:bCs/>
        </w:rPr>
        <w:t xml:space="preserve">atbalsta pasākumi gados vecāko nodarbināto personu darbspēju saglabāšanai un nodarbinātībai, sniedzot apmācību un mūžizglītības iespējas, pielāgojot darba vietas un ieviešot elastīgas darba formas, kā arī veicinot </w:t>
      </w:r>
      <w:r w:rsidRPr="005565F8">
        <w:rPr>
          <w:bCs/>
        </w:rPr>
        <w:t>starppaaudžu</w:t>
      </w:r>
      <w:r w:rsidRPr="005565F8">
        <w:rPr>
          <w:bCs/>
        </w:rPr>
        <w:t xml:space="preserve"> prasmju nodošanu. </w:t>
      </w:r>
    </w:p>
    <w:p w:rsidR="00F24079" w:rsidRPr="005565F8" w:rsidP="00F24079" w14:paraId="0F02E7A5" w14:textId="77777777">
      <w:pPr>
        <w:rPr>
          <w:bCs/>
        </w:rPr>
      </w:pPr>
    </w:p>
    <w:p w:rsidR="00F96413" w:rsidRPr="005565F8" w:rsidP="00F24079" w14:paraId="7D7D6946" w14:textId="77777777">
      <w:r w:rsidRPr="005565F8">
        <w:rPr>
          <w:bCs/>
        </w:rPr>
        <w:t xml:space="preserve">2017.gada sākumā noslēgti sadarbības līgumi ar </w:t>
      </w:r>
      <w:r w:rsidRPr="005565F8" w:rsidR="00585322">
        <w:rPr>
          <w:bCs/>
        </w:rPr>
        <w:t>LDDK</w:t>
      </w:r>
      <w:r w:rsidRPr="005565F8">
        <w:rPr>
          <w:bCs/>
        </w:rPr>
        <w:t xml:space="preserve"> un </w:t>
      </w:r>
      <w:r w:rsidRPr="005565F8" w:rsidR="00585322">
        <w:rPr>
          <w:bCs/>
        </w:rPr>
        <w:t>LBAS</w:t>
      </w:r>
      <w:r w:rsidRPr="005565F8">
        <w:rPr>
          <w:bCs/>
        </w:rPr>
        <w:t xml:space="preserve"> pasākumu īstenošanai. </w:t>
      </w:r>
      <w:r w:rsidRPr="005565F8">
        <w:t>Projekta ietvaros u</w:t>
      </w:r>
      <w:r w:rsidRPr="005565F8">
        <w:rPr>
          <w:bCs/>
        </w:rPr>
        <w:t>zsākta informatīvās kampaņas īstenošana ar mērķi informēt sabiedrību un darba devējus par atbalsta sniegšanu gados vecākām personām. Līdztekus kampaņas turpināšanai 2018.gadā tiks uzsākta d</w:t>
      </w:r>
      <w:r w:rsidRPr="005565F8">
        <w:t xml:space="preserve">arba vides un cilvēkresursu </w:t>
      </w:r>
      <w:r w:rsidRPr="005565F8">
        <w:t>izvērtējuma</w:t>
      </w:r>
      <w:r w:rsidRPr="005565F8">
        <w:t xml:space="preserve"> nodrošināšana Latvijas uzņēmumos.</w:t>
      </w:r>
    </w:p>
    <w:p w:rsidR="00CC5E28" w:rsidRPr="005565F8" w:rsidP="00AA614F" w14:paraId="4F3C9572" w14:textId="77777777">
      <w:pPr>
        <w:rPr>
          <w:b/>
          <w:lang w:eastAsia="lv-LV"/>
        </w:rPr>
        <w:sectPr w:rsidSect="005D1AD0">
          <w:type w:val="continuous"/>
          <w:pgSz w:w="11906" w:h="16838" w:code="9"/>
          <w:pgMar w:top="1134" w:right="1134" w:bottom="1134" w:left="1134" w:header="709" w:footer="567" w:gutter="0"/>
          <w:cols w:num="2" w:space="340"/>
          <w:titlePg/>
          <w:docGrid w:linePitch="360"/>
        </w:sectPr>
      </w:pPr>
    </w:p>
    <w:p w:rsidR="00AA614F" w:rsidRPr="005565F8" w:rsidP="00AA614F" w14:paraId="623E095C" w14:textId="77777777">
      <w:pPr>
        <w:rPr>
          <w:b/>
          <w:lang w:eastAsia="lv-LV"/>
        </w:rPr>
      </w:pPr>
    </w:p>
    <w:p w:rsidR="00AA614F" w:rsidRPr="005565F8" w:rsidP="00AA614F" w14:paraId="00F9EB30"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 xml:space="preserve">Nodarbinātības dienesta darba </w:t>
      </w:r>
      <w:r w:rsidRPr="005565F8">
        <w:rPr>
          <w:rFonts w:ascii="Calibri Light" w:hAnsi="Calibri Light"/>
          <w:b/>
          <w:color w:val="228B9D"/>
          <w:sz w:val="24"/>
        </w:rPr>
        <w:t>efektivizācija</w:t>
      </w:r>
    </w:p>
    <w:p w:rsidR="00AA614F" w:rsidRPr="005565F8" w:rsidP="00AA614F" w14:paraId="0EC03EF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w:t>
      </w:r>
    </w:p>
    <w:p w:rsidR="00CC5E28" w:rsidRPr="005565F8" w:rsidP="00B22046" w14:paraId="003C8238"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F96413" w:rsidRPr="005565F8" w:rsidP="00AA614F" w14:paraId="2C5C6052" w14:textId="77777777">
      <w:pPr>
        <w:spacing w:before="240"/>
      </w:pPr>
      <w:r w:rsidRPr="005565F8">
        <w:t>Mērķis ir uzlabot un ieviest jaunas NVA darba metodes bezdarbnieku ātrākai iekļaušanai darba tirgū, sniedzot klientiem savlaicīgus un kvalitatīvus pakalpojumus, kā arī efektīvākai sadarbībai ar darba devējiem. Šajā jomā:</w:t>
      </w:r>
    </w:p>
    <w:p w:rsidR="00F96413" w:rsidRPr="005565F8" w:rsidP="00735883" w14:paraId="6EE7EDEF" w14:textId="77777777">
      <w:pPr>
        <w:numPr>
          <w:ilvl w:val="0"/>
          <w:numId w:val="15"/>
        </w:numPr>
        <w:spacing w:after="60"/>
        <w:ind w:left="284" w:hanging="284"/>
        <w:rPr>
          <w:lang w:eastAsia="lv-LV"/>
        </w:rPr>
      </w:pPr>
      <w:r w:rsidRPr="005565F8">
        <w:t xml:space="preserve">2017.gadā turpinājās ESF projekta darba tirgus apsteidzošo pakārtojumu sistēmas ieviešana. Darba tirgus apsteidzošo pārkārtojumu sistēma nodrošinās ērti un pārskatāmi pieejamu informāciju par prasmju un profesiju pieprasījumu gan īstermiņā, gan vidējā un ilgtermiņā, kā arī informāciju par izglītības iespējām, kas lietotājam atvieglos nākotnes vai turpmākās profesijas izvēli. Projekta ietvaros uzsākta </w:t>
      </w:r>
      <w:r w:rsidRPr="005565F8">
        <w:rPr>
          <w:lang w:eastAsia="lv-LV"/>
        </w:rPr>
        <w:t xml:space="preserve">NVA </w:t>
      </w:r>
      <w:r w:rsidRPr="005565F8">
        <w:rPr>
          <w:i/>
          <w:lang w:eastAsia="lv-LV"/>
        </w:rPr>
        <w:t>Īstermiņa darba tirgus prognozēšanas metodoloģijas</w:t>
      </w:r>
      <w:r w:rsidRPr="005565F8">
        <w:rPr>
          <w:lang w:eastAsia="lv-LV"/>
        </w:rPr>
        <w:t xml:space="preserve"> pilnveide</w:t>
      </w:r>
      <w:r w:rsidRPr="005565F8">
        <w:t xml:space="preserve">, </w:t>
      </w:r>
      <w:r w:rsidRPr="005565F8">
        <w:rPr>
          <w:lang w:eastAsia="lv-LV"/>
        </w:rPr>
        <w:t>tai skaitā, īstermiņa prognožu sagatavošana prasmju griezumā,</w:t>
      </w:r>
      <w:r w:rsidRPr="005565F8">
        <w:t xml:space="preserve"> notiek ikgadējas darba devēju aptaujas darba tirgus īstermiņa prognožu atjaunošanai, kā arī apmācīti 328 NVA darbinieki par darba tirgus prognozēm, pētījumiem un datu analīzi;</w:t>
      </w:r>
    </w:p>
    <w:p w:rsidR="00F96413" w:rsidRPr="005565F8" w:rsidP="00735883" w14:paraId="529FECFC" w14:textId="77777777">
      <w:pPr>
        <w:numPr>
          <w:ilvl w:val="0"/>
          <w:numId w:val="15"/>
        </w:numPr>
        <w:spacing w:after="60"/>
        <w:ind w:left="284" w:hanging="284"/>
        <w:rPr>
          <w:lang w:eastAsia="lv-LV"/>
        </w:rPr>
      </w:pPr>
      <w:r w:rsidRPr="005565F8">
        <w:t xml:space="preserve">NVA turpina </w:t>
      </w:r>
      <w:r w:rsidRPr="005565F8">
        <w:rPr>
          <w:i/>
        </w:rPr>
        <w:t>Zvanu centra</w:t>
      </w:r>
      <w:r w:rsidRPr="005565F8">
        <w:t xml:space="preserve"> attīstību, lai</w:t>
      </w:r>
      <w:r w:rsidRPr="005565F8">
        <w:rPr>
          <w:kern w:val="32"/>
        </w:rPr>
        <w:t xml:space="preserve"> nodrošinātu operatīvāku un kvalitatīvāku klientu apkalpošanu un klientu plūsmas monitoringu. </w:t>
      </w:r>
      <w:r w:rsidRPr="005565F8">
        <w:rPr>
          <w:i/>
          <w:kern w:val="32"/>
        </w:rPr>
        <w:t>Zvanu centrs</w:t>
      </w:r>
      <w:r w:rsidRPr="005565F8">
        <w:rPr>
          <w:kern w:val="32"/>
        </w:rPr>
        <w:t xml:space="preserve"> klientiem nodrošina informatīvu un konsultatīvu atbalstu, vidēji d</w:t>
      </w:r>
      <w:r w:rsidRPr="005565F8" w:rsidR="00397466">
        <w:rPr>
          <w:kern w:val="32"/>
        </w:rPr>
        <w:t>ienā tiek apkalpoti 150 klienti</w:t>
      </w:r>
      <w:r w:rsidRPr="005565F8">
        <w:t>;</w:t>
      </w:r>
    </w:p>
    <w:p w:rsidR="00F96413" w:rsidRPr="005565F8" w:rsidP="00735883" w14:paraId="5C536B38" w14:textId="77777777">
      <w:pPr>
        <w:numPr>
          <w:ilvl w:val="0"/>
          <w:numId w:val="15"/>
        </w:numPr>
        <w:spacing w:after="60"/>
        <w:ind w:left="284" w:hanging="284"/>
        <w:rPr>
          <w:lang w:eastAsia="lv-LV"/>
        </w:rPr>
      </w:pPr>
      <w:r w:rsidRPr="005565F8">
        <w:t>turpināta informēšana un izglītošana par e-pakalpojumu izmantošanu, kā rezultātā 2017.gadā palielinājies NVA e-pakalpojumu lietošanas skaits gan piesakoties statusa piešķiršanai, gan reģistrējoties dalībai pasākumos, gan aktualizējot CV, gan reģistrējoties jauniem darba devējiem. NVA ir izveidojusi arī pašapkalpošanās portālu, kurā pieejami NVA e-pakalpojumi klientiem un sadarbības partneriem, piemēram, piemērotu darba piedāvājumu un darbinieku meklēšana, CV un vakanču automatizēta salāgošanas funkcija, pieteikšanās uz NVA pasākumiem un pakalpojumiem</w:t>
      </w:r>
      <w:r w:rsidRPr="005565F8" w:rsidR="00AD38D8">
        <w:t>.</w:t>
      </w:r>
    </w:p>
    <w:p w:rsidR="00CC5E28" w:rsidRPr="005565F8" w:rsidP="00AA614F" w14:paraId="07451DDC" w14:textId="77777777">
      <w:pPr>
        <w:rPr>
          <w:b/>
          <w:lang w:eastAsia="lv-LV"/>
        </w:rPr>
        <w:sectPr w:rsidSect="005D1AD0">
          <w:type w:val="continuous"/>
          <w:pgSz w:w="11906" w:h="16838" w:code="9"/>
          <w:pgMar w:top="1134" w:right="1134" w:bottom="1134" w:left="1134" w:header="709" w:footer="567" w:gutter="0"/>
          <w:cols w:num="2" w:space="340"/>
          <w:titlePg/>
          <w:docGrid w:linePitch="360"/>
        </w:sectPr>
      </w:pPr>
    </w:p>
    <w:p w:rsidR="00AA614F" w:rsidRPr="005565F8" w:rsidP="00AA614F" w14:paraId="01974496" w14:textId="77777777">
      <w:pPr>
        <w:rPr>
          <w:b/>
          <w:lang w:eastAsia="lv-LV"/>
        </w:rPr>
      </w:pPr>
    </w:p>
    <w:p w:rsidR="00AA614F" w:rsidRPr="005565F8" w:rsidP="00AA614F" w14:paraId="232EE2CB"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Pašnodarbinātības</w:t>
      </w:r>
      <w:r w:rsidRPr="005565F8">
        <w:rPr>
          <w:rFonts w:ascii="Calibri Light" w:hAnsi="Calibri Light"/>
          <w:b/>
          <w:color w:val="228B9D"/>
          <w:sz w:val="24"/>
        </w:rPr>
        <w:t xml:space="preserve"> un uzņēmējdarbības sekmēšana</w:t>
      </w:r>
    </w:p>
    <w:p w:rsidR="00AA614F" w:rsidRPr="005565F8" w:rsidP="00AA614F" w14:paraId="58BF5758"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 ZM, LM/</w:t>
      </w:r>
    </w:p>
    <w:p w:rsidR="00CC5E28" w:rsidRPr="005565F8" w:rsidP="00B22046" w14:paraId="3F86A8E4"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F96413" w:rsidRPr="005565F8" w:rsidP="00AA614F" w14:paraId="2C0A13C9" w14:textId="77777777">
      <w:pPr>
        <w:spacing w:before="240"/>
      </w:pPr>
      <w:r w:rsidRPr="005565F8">
        <w:t xml:space="preserve">Mērķis ir sniegt atbalstu uzņēmējdarbības uzsācējiem un </w:t>
      </w:r>
      <w:r w:rsidRPr="005565F8">
        <w:t>mikrouzņēmējiem</w:t>
      </w:r>
      <w:r w:rsidRPr="005565F8">
        <w:t xml:space="preserve">, lai veicinātu jaunu konkurētspējīgu mikro, mazo un vidējo komersantu veidošanos un attīstību, atbalstot biznesa inkubatoru darbību, organizējot jauno uzņēmēju apmācības un piešķirot aizdevumus un </w:t>
      </w:r>
      <w:r w:rsidRPr="005565F8">
        <w:t>grantus</w:t>
      </w:r>
      <w:r w:rsidRPr="005565F8">
        <w:t>, kā arī veicināt nelauksaimnieciska rakstura uzņēmējdarbību vai nodarbinātību lauku teritorijā.</w:t>
      </w:r>
    </w:p>
    <w:p w:rsidR="00F96413" w:rsidRPr="005565F8" w:rsidP="00F24079" w14:paraId="19A5E182" w14:textId="77777777">
      <w:r w:rsidRPr="005565F8">
        <w:t xml:space="preserve">Lai veicinātu jaunu uzņēmumu veidošanos un sekmētu </w:t>
      </w:r>
      <w:r w:rsidRPr="005565F8">
        <w:t>mikrouzņēmumu</w:t>
      </w:r>
      <w:r w:rsidRPr="005565F8">
        <w:t xml:space="preserve"> darbības attīstību, 2010.gadā tika ieviests regulējums </w:t>
      </w:r>
      <w:r w:rsidRPr="005565F8">
        <w:t>mikrouzņēmumu</w:t>
      </w:r>
      <w:r w:rsidRPr="005565F8">
        <w:t xml:space="preserve"> atbalsta aktivitāšu veicināšanai. Pēdējos gados ir veiktas izmaiņas </w:t>
      </w:r>
      <w:r w:rsidRPr="005565F8">
        <w:rPr>
          <w:i/>
          <w:iCs/>
        </w:rPr>
        <w:t>Mikrouzņēmumu</w:t>
      </w:r>
      <w:r w:rsidRPr="005565F8">
        <w:rPr>
          <w:i/>
          <w:iCs/>
        </w:rPr>
        <w:t xml:space="preserve"> nodokļa likumā</w:t>
      </w:r>
      <w:r w:rsidRPr="005565F8">
        <w:t xml:space="preserve">, 2017.gadā </w:t>
      </w:r>
      <w:r w:rsidRPr="005565F8">
        <w:t>mikrouzņēmumu</w:t>
      </w:r>
      <w:r w:rsidRPr="005565F8">
        <w:t xml:space="preserve"> nodokļa likme </w:t>
      </w:r>
      <w:r w:rsidRPr="005565F8">
        <w:t>mikrouzņēmuma</w:t>
      </w:r>
      <w:r w:rsidRPr="005565F8">
        <w:t xml:space="preserve"> apgrozījumam līdz 7</w:t>
      </w:r>
      <w:r w:rsidRPr="005565F8" w:rsidR="00F24079">
        <w:t xml:space="preserve"> tūkst.</w:t>
      </w:r>
      <w:r w:rsidRPr="005565F8">
        <w:t xml:space="preserve"> EUR bija 12%, un </w:t>
      </w:r>
      <w:r w:rsidRPr="005565F8">
        <w:t>mikrouzņēmumu</w:t>
      </w:r>
      <w:r w:rsidRPr="005565F8">
        <w:t xml:space="preserve"> nodokļa likme </w:t>
      </w:r>
      <w:r w:rsidRPr="005565F8">
        <w:t>mikrouzņēmuma</w:t>
      </w:r>
      <w:r w:rsidRPr="005565F8">
        <w:t xml:space="preserve"> apgrozījumam no 7</w:t>
      </w:r>
      <w:r w:rsidRPr="005565F8" w:rsidR="00F24079">
        <w:t xml:space="preserve"> tūkst. EUR</w:t>
      </w:r>
      <w:r w:rsidRPr="005565F8">
        <w:t xml:space="preserve"> līdz 100 </w:t>
      </w:r>
      <w:r w:rsidRPr="005565F8" w:rsidR="00F24079">
        <w:t>tūkst.</w:t>
      </w:r>
      <w:r w:rsidRPr="005565F8">
        <w:t xml:space="preserve"> EUR bija 15%. No 2018.gada 1.janvāra ir noteikta vienota </w:t>
      </w:r>
      <w:r w:rsidRPr="005565F8">
        <w:t>mikrouzņēmumu</w:t>
      </w:r>
      <w:r w:rsidRPr="005565F8">
        <w:t xml:space="preserve"> nodokļa likme 15% apmērā un maksimālais </w:t>
      </w:r>
      <w:r w:rsidRPr="005565F8">
        <w:t>mikrouzņēmuma</w:t>
      </w:r>
      <w:r w:rsidRPr="005565F8">
        <w:t xml:space="preserve"> </w:t>
      </w:r>
      <w:r w:rsidRPr="005565F8" w:rsidR="00AD38D8">
        <w:br/>
      </w:r>
      <w:r w:rsidRPr="005565F8">
        <w:t xml:space="preserve">EUR </w:t>
      </w:r>
      <w:r w:rsidRPr="005565F8" w:rsidR="008202D7">
        <w:t xml:space="preserve">apgrozījums – 40 tūkst. </w:t>
      </w:r>
      <w:r w:rsidRPr="005565F8">
        <w:t>apmērā.</w:t>
      </w:r>
    </w:p>
    <w:p w:rsidR="00AF18E8" w:rsidRPr="005565F8" w:rsidP="008202D7" w14:paraId="0BC909C1" w14:textId="77777777">
      <w:r w:rsidRPr="005565F8">
        <w:t xml:space="preserve">Lai atbalstītu jaunu dzīvotspējīgu un konkurētspējīgu komersantu izveidi un attīstību Latvijas reģionos, 2016.gadā tika uzsākta jauna </w:t>
      </w:r>
      <w:r w:rsidRPr="005565F8" w:rsidR="006400CC">
        <w:rPr>
          <w:i/>
        </w:rPr>
        <w:t>B</w:t>
      </w:r>
      <w:r w:rsidRPr="005565F8">
        <w:rPr>
          <w:i/>
        </w:rPr>
        <w:t>iznesa inkubatoru programma</w:t>
      </w:r>
      <w:r w:rsidRPr="005565F8">
        <w:t xml:space="preserve">, kuras ietvaros izveidotas 15 biznesa inkubatoru vienības (8 nacionālas nozīmes attīstības centra pašvaldībās, 6 reģionālas nozīmes attīstības centra pašvaldībās un 1 radošo industriju biznesa inkubators Rīgā). </w:t>
      </w:r>
      <w:r w:rsidRPr="005565F8">
        <w:t xml:space="preserve">2017.gadā saņemti 756 pieteikumi, kuru ietvaros noslēgti 189 inkubācijas un 373 </w:t>
      </w:r>
      <w:r w:rsidRPr="005565F8">
        <w:t>pirmsinkubācijas</w:t>
      </w:r>
      <w:r w:rsidRPr="005565F8">
        <w:t xml:space="preserve"> atbalsta sniegšanas līgumi. Biznesa </w:t>
      </w:r>
      <w:r w:rsidRPr="005565F8">
        <w:t xml:space="preserve">inkubatoru programmas ietvaros ir izveidoti 62 komersanti. 56 komersanti attīsta </w:t>
      </w:r>
      <w:r w:rsidRPr="005565F8">
        <w:t>ekoinovācijas</w:t>
      </w:r>
      <w:r w:rsidRPr="005565F8">
        <w:t xml:space="preserve"> produktu un 47 komersanti </w:t>
      </w:r>
      <w:r w:rsidRPr="005565F8">
        <w:t>attīstātu</w:t>
      </w:r>
      <w:r w:rsidRPr="005565F8">
        <w:t xml:space="preserve"> tādu produktu, kas atbilst RIS3 kritērijiem. </w:t>
      </w:r>
      <w:r w:rsidRPr="005565F8" w:rsidR="008202D7">
        <w:t>B</w:t>
      </w:r>
      <w:r w:rsidRPr="005565F8">
        <w:t xml:space="preserve">iznesa inkubatoros regulāri tiek organizēti pasākumi, kas nodrošina gan jaunu komersantu piesaisti, gan veicina atbalsta saņēmēju zināšanu pilnveidošanu uzņēmējdarbības jautājumos (t.sk. organizētas meistarklases, lekcijas, semināri u.c.), komersantiem tiek nodrošināta </w:t>
      </w:r>
      <w:r w:rsidRPr="005565F8">
        <w:t>mentoru</w:t>
      </w:r>
      <w:r w:rsidRPr="005565F8">
        <w:t xml:space="preserve"> piesaiste, kā arī katram komersantam individuāli tiek noteikti atbalsta periodā sasniedzamie mērķi. </w:t>
      </w:r>
      <w:r w:rsidRPr="005565F8">
        <w:t>Kopējais plānotais finansējums programmas īstenošanas periodā, kas ilgs līdz 2023.gada 31.decembrim, ir 32,8 milj. EUR (reģionālajiem biznesa inkubatoriem 25,8 milj. EUR un radošo industriju inkubatoram 7,1 milj. EUR), no tiem ERAF finansējums – 27,9 milj. EUR  un valsts budžeta finansējums – 5 milj. EUR.</w:t>
      </w:r>
      <w:r w:rsidRPr="005565F8" w:rsidR="008202D7">
        <w:t xml:space="preserve"> Īstenojot Biznesa inkubatoru programmu, ir izveidojusies cieša sadarbība ar plānošanas reģioniem un pašvaldībām. Lai sekmētu programmas efektīvu un lietderīgu īstenošanu, līdz 2018.gadā plānots izvērtēt biznesa inkubatoru tīklu.</w:t>
      </w:r>
    </w:p>
    <w:p w:rsidR="00F96413" w:rsidRPr="005565F8" w:rsidP="00F24079" w14:paraId="3A87D634" w14:textId="77777777">
      <w:r w:rsidRPr="005565F8">
        <w:rPr>
          <w:bCs/>
        </w:rPr>
        <w:t xml:space="preserve">Bezdarbniekiem, kuri ir izteikuši vēlmi uzsākt komercdarbību vai </w:t>
      </w:r>
      <w:r w:rsidRPr="005565F8">
        <w:rPr>
          <w:bCs/>
        </w:rPr>
        <w:t>pašnodarbinātību</w:t>
      </w:r>
      <w:r w:rsidRPr="005565F8">
        <w:rPr>
          <w:bCs/>
        </w:rPr>
        <w:t xml:space="preserve">, ir iespējams saņemt gan konsultācijas, gan finanšu atbalstu biznesa plāna īstenošanai. 2017.gadā ADTP pasākumu ietvaros atbalsts </w:t>
      </w:r>
      <w:r w:rsidRPr="005565F8">
        <w:rPr>
          <w:bCs/>
        </w:rPr>
        <w:t>pašnodarbinātības</w:t>
      </w:r>
      <w:r w:rsidRPr="005565F8">
        <w:rPr>
          <w:bCs/>
        </w:rPr>
        <w:t xml:space="preserve"> un uzņēmējdarbības uzsākšanai sniegts 211 personām (</w:t>
      </w:r>
      <w:r w:rsidRPr="005565F8">
        <w:t xml:space="preserve">valsts budžeta finansējums veido 0,4 milj. </w:t>
      </w:r>
      <w:r w:rsidRPr="005565F8">
        <w:rPr>
          <w:bCs/>
        </w:rPr>
        <w:t>EUR</w:t>
      </w:r>
      <w:r w:rsidRPr="005565F8" w:rsidR="00024432">
        <w:rPr>
          <w:bCs/>
        </w:rPr>
        <w:t>, pasākums tiek finansēts no valsts nodarbinātības speciālā budžeta</w:t>
      </w:r>
      <w:r w:rsidRPr="005565F8">
        <w:rPr>
          <w:bCs/>
        </w:rPr>
        <w:t xml:space="preserve">). </w:t>
      </w:r>
      <w:r w:rsidRPr="005565F8">
        <w:t xml:space="preserve">Atbalsta pasākumi bezdarbnieku </w:t>
      </w:r>
      <w:r w:rsidRPr="005565F8">
        <w:t xml:space="preserve">komercdarbības vai </w:t>
      </w:r>
      <w:r w:rsidRPr="005565F8">
        <w:t>pašnodarbinātības</w:t>
      </w:r>
      <w:r w:rsidRPr="005565F8">
        <w:t xml:space="preserve"> uzsākšanai vērsti uz mazu uzņēmumu izveidi un </w:t>
      </w:r>
      <w:r w:rsidRPr="005565F8">
        <w:t>pašnodarbinātības</w:t>
      </w:r>
      <w:r w:rsidRPr="005565F8">
        <w:t xml:space="preserve"> uzsākšanu, ņemot vērā mērķa grupu un nelielo finanšu atbalsta apmēru, kas paredzēts biznesa plāna īstenošanai</w:t>
      </w:r>
      <w:r w:rsidRPr="005565F8" w:rsidR="00C01211">
        <w:t>.</w:t>
      </w:r>
    </w:p>
    <w:p w:rsidR="00F96413" w:rsidRPr="005565F8" w:rsidP="00F24079" w14:paraId="08315F5D" w14:textId="77777777">
      <w:r w:rsidRPr="005565F8">
        <w:t>Mikrokreditēšanas</w:t>
      </w:r>
      <w:r w:rsidRPr="005565F8">
        <w:t xml:space="preserve"> un starta aizdevumu programmas (</w:t>
      </w:r>
      <w:r w:rsidRPr="005565F8">
        <w:rPr>
          <w:i/>
        </w:rPr>
        <w:t>starta programmas</w:t>
      </w:r>
      <w:r w:rsidRPr="005565F8">
        <w:t xml:space="preserve">) īstenošanas gaita aprakstīta </w:t>
      </w:r>
      <w:r w:rsidRPr="005565F8">
        <w:rPr>
          <w:i/>
        </w:rPr>
        <w:t xml:space="preserve">3.2.2. </w:t>
      </w:r>
      <w:r w:rsidRPr="005565F8" w:rsidR="00166C1A">
        <w:rPr>
          <w:i/>
        </w:rPr>
        <w:t>no</w:t>
      </w:r>
      <w:r w:rsidRPr="005565F8">
        <w:rPr>
          <w:i/>
        </w:rPr>
        <w:t>daļā</w:t>
      </w:r>
      <w:r w:rsidRPr="005565F8">
        <w:t>.</w:t>
      </w:r>
    </w:p>
    <w:p w:rsidR="00134EDA" w:rsidRPr="005565F8" w:rsidP="00F24079" w14:paraId="6924176C" w14:textId="77777777">
      <w:pPr>
        <w:rPr>
          <w:bCs/>
          <w:iCs/>
        </w:rPr>
      </w:pPr>
      <w:r w:rsidRPr="005565F8">
        <w:t xml:space="preserve">2012.gada maijā MK apstiprināja </w:t>
      </w:r>
      <w:r w:rsidRPr="005565F8">
        <w:rPr>
          <w:i/>
        </w:rPr>
        <w:t>Lauksaimniecības zemes iegādes kreditēšanas programmas noteikumus</w:t>
      </w:r>
      <w:r w:rsidRPr="005565F8">
        <w:t>. Programmas ietvaros vienam aizņēmējam pieejami aizdevumi līdz 430 tūkst. EUR lauksaimniecībā izmantojamās zemes iegādei lauksaimniecības produktu ražošanai.  Programmas ietvaros līdz 2017.gada beigām piešķirti 1373 aizdevumi 67,4 milj. EUR apmērā.</w:t>
      </w:r>
    </w:p>
    <w:p w:rsidR="00B45174" w:rsidRPr="005565F8" w:rsidP="005B171D" w14:paraId="28A3839F" w14:textId="77777777">
      <w:pPr>
        <w:pStyle w:val="Heading2"/>
        <w:spacing w:before="360" w:after="120"/>
        <w:jc w:val="center"/>
        <w:rPr>
          <w:rFonts w:ascii="Times New Roman Bold" w:hAnsi="Times New Roman Bold"/>
          <w:smallCaps/>
          <w:szCs w:val="24"/>
        </w:rPr>
        <w:sectPr w:rsidSect="005D1AD0">
          <w:type w:val="continuous"/>
          <w:pgSz w:w="11906" w:h="16838" w:code="9"/>
          <w:pgMar w:top="1134" w:right="1134" w:bottom="1134" w:left="1134" w:header="709" w:footer="567" w:gutter="0"/>
          <w:cols w:num="2" w:space="340"/>
          <w:titlePg/>
          <w:docGrid w:linePitch="360"/>
        </w:sectPr>
      </w:pPr>
    </w:p>
    <w:p w:rsidR="00B45174" w:rsidRPr="005565F8" w:rsidP="00AA614F" w14:paraId="23FD2821" w14:textId="77777777"/>
    <w:p w:rsidR="002E37AC" w:rsidRPr="005565F8" w:rsidP="00B45174" w14:paraId="41F94AC3" w14:textId="77777777">
      <w:pPr>
        <w:pStyle w:val="Heading2"/>
        <w:pBdr>
          <w:bottom w:val="single" w:sz="24" w:space="1" w:color="228B9D"/>
        </w:pBdr>
      </w:pPr>
      <w:bookmarkStart w:id="71" w:name="_Toc510687751"/>
      <w:bookmarkStart w:id="72" w:name="_Toc256000020"/>
      <w:bookmarkStart w:id="73" w:name="_Toc256000055"/>
      <w:r w:rsidRPr="005565F8">
        <w:t>3.4. Izglītība</w:t>
      </w:r>
      <w:bookmarkEnd w:id="73"/>
      <w:bookmarkEnd w:id="72"/>
      <w:bookmarkEnd w:id="71"/>
    </w:p>
    <w:p w:rsidR="00A23025" w:rsidRPr="005565F8" w:rsidP="00A23025" w14:paraId="13B5ED57" w14:textId="77777777">
      <w:pPr>
        <w:pStyle w:val="Heading3"/>
      </w:pPr>
      <w:bookmarkStart w:id="74" w:name="_Toc446597835"/>
      <w:bookmarkStart w:id="75" w:name="_Toc510687752"/>
      <w:bookmarkStart w:id="76" w:name="_Toc256000021"/>
      <w:bookmarkStart w:id="77" w:name="_Toc256000056"/>
      <w:r w:rsidRPr="005565F8">
        <w:t>3.4.1. Pirmsskolas izglītība</w:t>
      </w:r>
      <w:bookmarkEnd w:id="77"/>
      <w:bookmarkEnd w:id="76"/>
      <w:bookmarkEnd w:id="74"/>
      <w:bookmarkEnd w:id="75"/>
    </w:p>
    <w:p w:rsidR="00951581" w:rsidRPr="005565F8" w:rsidP="00CB6A47" w14:paraId="455ED58F" w14:textId="77777777">
      <w:pPr>
        <w:tabs>
          <w:tab w:val="left" w:pos="5529"/>
        </w:tabs>
        <w:sectPr w:rsidSect="005D1AD0">
          <w:type w:val="continuous"/>
          <w:pgSz w:w="11906" w:h="16838" w:code="9"/>
          <w:pgMar w:top="1134" w:right="1134" w:bottom="1134" w:left="1134" w:header="709" w:footer="567" w:gutter="0"/>
          <w:cols w:space="340"/>
          <w:titlePg/>
          <w:docGrid w:linePitch="360"/>
        </w:sectPr>
      </w:pPr>
      <w:bookmarkStart w:id="78" w:name="_Toc446597836"/>
    </w:p>
    <w:p w:rsidR="00CB6A47" w:rsidRPr="005565F8" w:rsidP="00CB6A47" w14:paraId="62339634" w14:textId="77777777">
      <w:pPr>
        <w:tabs>
          <w:tab w:val="left" w:pos="5529"/>
        </w:tabs>
        <w:rPr>
          <w:b/>
          <w:color w:val="FF0000"/>
        </w:rPr>
      </w:pPr>
      <w:r w:rsidRPr="005565F8">
        <w:t xml:space="preserve">Pirmsskolas izglītības jomā izvirzītais mērķis ir nodrošināt, lai līdz 2020.gadam vismaz 95% bērnu (vecumā no 3 gadiem līdz obligātajam skolas vecumam) ir iesaistīti pirmsskolas izglītībā. </w:t>
      </w:r>
      <w:r w:rsidRPr="005565F8" w:rsidR="00334228">
        <w:t>Latvijā 2016</w:t>
      </w:r>
      <w:r w:rsidRPr="005565F8">
        <w:t>.gadā šis rādītājs sasniedza noteiktos 95</w:t>
      </w:r>
      <w:r w:rsidRPr="005565F8" w:rsidR="00334228">
        <w:t>,5%.</w:t>
      </w:r>
    </w:p>
    <w:p w:rsidR="00CB6A47" w:rsidRPr="005565F8" w:rsidP="00CB6A47" w14:paraId="70163F20" w14:textId="77777777">
      <w:r w:rsidRPr="005565F8">
        <w:t>Kaut arī katras pašvaldības autonomā funkcija ir savā administratīvajā teritorijā dzīvojošajiem bērniem nodrošināt iespēju dzīvesvietai tuvākajā izglītības iestādē iegūt pirmsskolas izglītību, tomēr prakse rāda, ka ne visās tiek nodrošināta vieta pašvaldības pirmsskolas izglītības iestādē.</w:t>
      </w:r>
    </w:p>
    <w:p w:rsidR="00CC5E28" w:rsidRPr="005565F8" w:rsidP="00AA614F" w14:paraId="2080A098" w14:textId="77777777">
      <w:pPr>
        <w:sectPr w:rsidSect="005D1AD0">
          <w:type w:val="continuous"/>
          <w:pgSz w:w="11906" w:h="16838" w:code="9"/>
          <w:pgMar w:top="1134" w:right="1134" w:bottom="1134" w:left="1134" w:header="709" w:footer="567" w:gutter="0"/>
          <w:cols w:num="2" w:space="340"/>
          <w:titlePg/>
          <w:docGrid w:linePitch="360"/>
        </w:sectPr>
      </w:pPr>
    </w:p>
    <w:p w:rsidR="00AA614F" w:rsidRPr="005565F8" w:rsidP="00AA614F" w14:paraId="019DA557" w14:textId="77777777"/>
    <w:p w:rsidR="00AA614F" w:rsidRPr="005565F8" w:rsidP="00AA614F" w14:paraId="17DC9DF9"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AA614F" w:rsidRPr="005565F8" w:rsidP="00AA614F" w14:paraId="05A5291C"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Pirmsskolas izglītības pieejamības un kvalitātes nodrošināšana</w:t>
      </w:r>
    </w:p>
    <w:p w:rsidR="00AA614F" w:rsidRPr="005565F8" w:rsidP="00AA614F" w14:paraId="2C26D95F"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 VARAM/</w:t>
      </w:r>
    </w:p>
    <w:p w:rsidR="00CC5E28" w:rsidRPr="005565F8" w:rsidP="00B22046" w14:paraId="696DEA90"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CB6A47" w:rsidRPr="005565F8" w:rsidP="00AA614F" w14:paraId="38CC7EBA" w14:textId="77777777">
      <w:pPr>
        <w:spacing w:before="240"/>
      </w:pPr>
      <w:r w:rsidRPr="005565F8">
        <w:t xml:space="preserve">Bērnudārzu rindu mazināšana tiek risināta, meklējot iespējas veidot papildus grupas, renovējot pirmsskolas izglītības iestādes un izbūvējot piebūves, optimizējot bērnu skaitu tajās izglītības iestādēs, kur ir nepieciešamā platība uz vienu bērnu un iespējams nodrošināt atbilstošu higiēnas normu ievērošanu. Vienlaikus meklētas iespējas veidot grupas pie pamatskolām, internātpamatskolām, vidusskolām un bērnu un jauniešu centriem. </w:t>
      </w:r>
    </w:p>
    <w:p w:rsidR="00CB6A47" w:rsidRPr="005565F8" w:rsidP="00AA614F" w14:paraId="182670A7" w14:textId="2048F305">
      <w:r w:rsidRPr="005565F8">
        <w:t>Pašvaldības pienākums ir segt privātas pirmsskolas izglītības iestādes izmaksas gadījumā, ja bērnam, kurš sasniedzis pusotra gada vecumu un kura dzīvesvieta deklarēta pašvaldības administratīvajā teritorijā, netiek nodrošināta vieta pašvaldības bērnudārzā. Kopš 2016.gada ir noteikta vienota  izmaksu noteikšanas metodika un kārtība, lai nodrošinātu caurskatāmu un līdzīgu pieeju pašvaldību aprēķinos. 2017.gadā pašvaldību vidējais atbalsta apmērs 1,5-</w:t>
      </w:r>
      <w:r w:rsidRPr="005565F8">
        <w:t>4</w:t>
      </w:r>
      <w:r w:rsidR="002D47FA">
        <w:t> </w:t>
      </w:r>
      <w:r w:rsidRPr="005565F8">
        <w:t xml:space="preserve">gadīgiem bērniem bija 212,61 EUR mēnesī, savukārt bērniem, kam tiek īstenota obligātā sagatavošana pamatizglītības apguvei, tie bija vidēji 155,26 EUR. </w:t>
      </w:r>
    </w:p>
    <w:p w:rsidR="00CB6A47" w:rsidRPr="005565F8" w:rsidP="00AA614F" w14:paraId="15BC6A4C" w14:textId="77777777">
      <w:r w:rsidRPr="005565F8">
        <w:t>20 pašvaldības atbilstoši savām budžeta iespējām 2017.gadā bija noteikušas arī atbalsta apmēru bērniem, kuri izmanto bērnu uzraudzības pakalpojumus (aukles). 2017.gadā vienam bērnam pašvaldības atbalsts mēnesī vidēji bija 134,80 EUR.</w:t>
      </w:r>
    </w:p>
    <w:p w:rsidR="00CB6A47" w:rsidRPr="005565F8" w:rsidP="00AA614F" w14:paraId="78469EDA" w14:textId="77777777">
      <w:r w:rsidRPr="005565F8">
        <w:t xml:space="preserve">Ar 2018.gada 1.janvāri uzsākta pirmsskolas izglītības iestāžu vadītāju novērtēšana, lai veicinātu uz attīstību vērstu izglītības iestāžu vadītāju profesionālo darbību, veidotu pirmsskolas izglītības iestāžu vadītājos atbildības sajūtu par izglītības kvalitāti izglītības iestādē un valsts līmenī sniegtu ieteikumus tās pilnveidei, kas ilgtermiņā uzlabotu izglītības iestāžu vadītāju kompetenci un profesionalitāti. </w:t>
      </w:r>
    </w:p>
    <w:p w:rsidR="00951581" w:rsidRPr="005565F8" w:rsidP="00CB6A47" w14:paraId="484908B5" w14:textId="77777777">
      <w:pPr>
        <w:sectPr w:rsidSect="005D1AD0">
          <w:type w:val="continuous"/>
          <w:pgSz w:w="11906" w:h="16838" w:code="9"/>
          <w:pgMar w:top="1134" w:right="1134" w:bottom="1134" w:left="1134" w:header="709" w:footer="567" w:gutter="0"/>
          <w:cols w:num="2" w:space="340"/>
          <w:titlePg/>
          <w:docGrid w:linePitch="360"/>
        </w:sectPr>
      </w:pPr>
    </w:p>
    <w:p w:rsidR="00951581" w:rsidRPr="005565F8" w:rsidP="00AA614F" w14:paraId="34DFD6CE" w14:textId="77777777"/>
    <w:p w:rsidR="00A23025" w:rsidRPr="005565F8" w:rsidP="00A23025" w14:paraId="0A406884" w14:textId="77777777">
      <w:pPr>
        <w:pStyle w:val="Heading3"/>
      </w:pPr>
      <w:bookmarkStart w:id="79" w:name="_Toc510687753"/>
      <w:bookmarkStart w:id="80" w:name="_Toc256000022"/>
      <w:bookmarkStart w:id="81" w:name="_Toc256000057"/>
      <w:r w:rsidRPr="005565F8">
        <w:t>3.4.2. Vispārējā izglītība</w:t>
      </w:r>
      <w:bookmarkEnd w:id="81"/>
      <w:bookmarkEnd w:id="80"/>
      <w:bookmarkEnd w:id="78"/>
      <w:bookmarkEnd w:id="79"/>
    </w:p>
    <w:p w:rsidR="00951581" w:rsidRPr="005565F8" w:rsidP="00AA614F" w14:paraId="63F654F6" w14:textId="77777777"/>
    <w:p w:rsidR="00AA614F" w:rsidRPr="005565F8" w:rsidP="00AA614F" w14:paraId="7C26465E" w14:textId="77777777">
      <w:pPr>
        <w:sectPr w:rsidSect="005D1AD0">
          <w:type w:val="continuous"/>
          <w:pgSz w:w="11906" w:h="16838" w:code="9"/>
          <w:pgMar w:top="1134" w:right="1134" w:bottom="1134" w:left="1134" w:header="709" w:footer="567" w:gutter="0"/>
          <w:cols w:space="340"/>
          <w:titlePg/>
          <w:docGrid w:linePitch="360"/>
        </w:sectPr>
      </w:pPr>
    </w:p>
    <w:p w:rsidR="00A23025" w:rsidRPr="005565F8" w:rsidP="00CB6A47" w14:paraId="63667EA8" w14:textId="77777777">
      <w:pPr>
        <w:rPr>
          <w:color w:val="000000" w:themeColor="text1"/>
        </w:rPr>
      </w:pPr>
      <w:r w:rsidRPr="005565F8">
        <w:rPr>
          <w:color w:val="000000" w:themeColor="text1"/>
        </w:rPr>
        <w:t>Latvijas NRP noteiktais mērķis skolu nepabeigušo jauniešu (18-24 gadu vecumā) īpatsvaram ir 13,4% 2020.gadā. Ņemot vērā līdzšinējo mērķa rādītāja sasniegšanas progresu, Latvija izvirzīja jaunu mērķi 2020.gadam – 10 procenti.</w:t>
      </w:r>
    </w:p>
    <w:p w:rsidR="006B2430" w:rsidRPr="005565F8" w:rsidP="00AA614F" w14:paraId="554A59B8" w14:textId="04294F4B">
      <w:pPr>
        <w:rPr>
          <w:color w:val="000000"/>
          <w:spacing w:val="-2"/>
        </w:rPr>
      </w:pPr>
      <w:r w:rsidRPr="005565F8">
        <w:rPr>
          <w:color w:val="000000"/>
          <w:spacing w:val="-2"/>
        </w:rPr>
        <w:t>Analizējot datus par izglītību priekšlaicīgi pametušajiem, vērojam</w:t>
      </w:r>
      <w:r w:rsidRPr="005565F8" w:rsidR="009740BD">
        <w:rPr>
          <w:color w:val="000000"/>
          <w:spacing w:val="-2"/>
        </w:rPr>
        <w:t xml:space="preserve">s to īpatsvara samazinājums. </w:t>
      </w:r>
      <w:r w:rsidRPr="005565F8" w:rsidR="009740BD">
        <w:rPr>
          <w:color w:val="000000"/>
          <w:spacing w:val="-2"/>
        </w:rPr>
        <w:t xml:space="preserve">2017.gadā 18-24 gadus veco jauniešu vidū izglītību priekšlaicīgi pameta – </w:t>
      </w:r>
      <w:r w:rsidR="00B23B28">
        <w:rPr>
          <w:color w:val="000000"/>
          <w:spacing w:val="-2"/>
        </w:rPr>
        <w:t>8,6</w:t>
      </w:r>
      <w:r w:rsidRPr="005565F8" w:rsidR="009740BD">
        <w:rPr>
          <w:color w:val="000000"/>
          <w:spacing w:val="-2"/>
        </w:rPr>
        <w:t xml:space="preserve">% (2016.gadā – 10%). </w:t>
      </w:r>
      <w:r w:rsidRPr="005565F8">
        <w:rPr>
          <w:color w:val="000000"/>
          <w:spacing w:val="-2"/>
        </w:rPr>
        <w:t xml:space="preserve">Vienlaikus saglabājas </w:t>
      </w:r>
      <w:r w:rsidRPr="005565F8" w:rsidR="009740BD">
        <w:rPr>
          <w:color w:val="000000"/>
          <w:spacing w:val="-2"/>
        </w:rPr>
        <w:t xml:space="preserve">ievērojamas </w:t>
      </w:r>
      <w:r w:rsidRPr="005565F8">
        <w:rPr>
          <w:color w:val="000000"/>
          <w:spacing w:val="-2"/>
        </w:rPr>
        <w:t>atšķirības dzimumu dalījumā – attiecīgajā vecumā sieviešu vidū priekšlaicī</w:t>
      </w:r>
      <w:r w:rsidRPr="005565F8" w:rsidR="009740BD">
        <w:rPr>
          <w:color w:val="000000"/>
          <w:spacing w:val="-2"/>
        </w:rPr>
        <w:t xml:space="preserve">gi skolu pametušo īpatsvars 2017.gadā bija </w:t>
      </w:r>
      <w:r w:rsidR="003A602B">
        <w:rPr>
          <w:color w:val="000000"/>
          <w:spacing w:val="-2"/>
        </w:rPr>
        <w:t>5</w:t>
      </w:r>
      <w:r w:rsidRPr="005565F8" w:rsidR="009740BD">
        <w:rPr>
          <w:color w:val="000000"/>
          <w:spacing w:val="-2"/>
        </w:rPr>
        <w:t>% (2016</w:t>
      </w:r>
      <w:r w:rsidRPr="005565F8">
        <w:rPr>
          <w:color w:val="000000"/>
          <w:spacing w:val="-2"/>
        </w:rPr>
        <w:t>.ga</w:t>
      </w:r>
      <w:r w:rsidRPr="005565F8" w:rsidR="009740BD">
        <w:rPr>
          <w:color w:val="000000"/>
          <w:spacing w:val="-2"/>
        </w:rPr>
        <w:t>dā – 6,2%), vīriešu vidū – 1</w:t>
      </w:r>
      <w:r w:rsidR="003A602B">
        <w:rPr>
          <w:color w:val="000000"/>
          <w:spacing w:val="-2"/>
        </w:rPr>
        <w:t>2</w:t>
      </w:r>
      <w:r w:rsidRPr="005565F8" w:rsidR="009740BD">
        <w:rPr>
          <w:color w:val="000000"/>
          <w:spacing w:val="-2"/>
        </w:rPr>
        <w:t>% (2016</w:t>
      </w:r>
      <w:r w:rsidRPr="005565F8">
        <w:rPr>
          <w:color w:val="000000"/>
          <w:spacing w:val="-2"/>
        </w:rPr>
        <w:t>.gadā – 13,</w:t>
      </w:r>
      <w:r w:rsidRPr="005565F8" w:rsidR="009740BD">
        <w:rPr>
          <w:spacing w:val="-2"/>
        </w:rPr>
        <w:t>7</w:t>
      </w:r>
      <w:r w:rsidRPr="005565F8">
        <w:rPr>
          <w:spacing w:val="-2"/>
        </w:rPr>
        <w:t>%).</w:t>
      </w:r>
      <w:r w:rsidRPr="005565F8">
        <w:rPr>
          <w:b/>
          <w:spacing w:val="-2"/>
        </w:rPr>
        <w:t xml:space="preserve"> </w:t>
      </w:r>
      <w:r w:rsidRPr="005565F8" w:rsidR="00D51614">
        <w:rPr>
          <w:color w:val="000000"/>
          <w:spacing w:val="-2"/>
        </w:rPr>
        <w:t xml:space="preserve">Motivācijas trūkums un grūtības apgūt mācību vielu ir galvenie mācību pārtraukšanas iemesli, </w:t>
      </w:r>
      <w:r w:rsidRPr="005565F8" w:rsidR="00D51614">
        <w:rPr>
          <w:color w:val="000000"/>
          <w:spacing w:val="-2"/>
        </w:rPr>
        <w:t xml:space="preserve">savukārt </w:t>
      </w:r>
      <w:r w:rsidRPr="005565F8">
        <w:rPr>
          <w:color w:val="000000"/>
          <w:spacing w:val="-2"/>
        </w:rPr>
        <w:t xml:space="preserve">neattaisnotie kavējumi ir atzīti </w:t>
      </w:r>
      <w:r w:rsidRPr="005565F8" w:rsidR="00D51614">
        <w:rPr>
          <w:color w:val="000000"/>
          <w:spacing w:val="-2"/>
        </w:rPr>
        <w:t>par būtiskāko priekšlaicīgas mācību pamešanas risku</w:t>
      </w:r>
      <w:r w:rsidRPr="005565F8">
        <w:rPr>
          <w:color w:val="000000"/>
          <w:spacing w:val="-2"/>
        </w:rPr>
        <w:t>,</w:t>
      </w:r>
      <w:r w:rsidRPr="005565F8" w:rsidR="00D51614">
        <w:rPr>
          <w:color w:val="000000"/>
          <w:spacing w:val="-2"/>
        </w:rPr>
        <w:t xml:space="preserve"> </w:t>
      </w:r>
      <w:r w:rsidRPr="005565F8">
        <w:rPr>
          <w:color w:val="000000"/>
          <w:spacing w:val="-2"/>
        </w:rPr>
        <w:t xml:space="preserve">kuram </w:t>
      </w:r>
      <w:r w:rsidRPr="005565F8">
        <w:rPr>
          <w:color w:val="000000"/>
          <w:spacing w:val="-2"/>
        </w:rPr>
        <w:t>izglītības iestādēm būtu savlaicīgi jāpievērš uzmanība, tostarp sniedzot nepieciešamo atbalstu kavētājiem</w:t>
      </w:r>
      <w:r>
        <w:rPr>
          <w:rStyle w:val="FootnoteReference"/>
          <w:color w:val="000000"/>
          <w:spacing w:val="-2"/>
        </w:rPr>
        <w:footnoteReference w:id="43"/>
      </w:r>
      <w:r w:rsidRPr="005565F8">
        <w:rPr>
          <w:color w:val="000000"/>
          <w:spacing w:val="-2"/>
        </w:rPr>
        <w:t>.</w:t>
      </w:r>
    </w:p>
    <w:p w:rsidR="00AA614F" w:rsidRPr="005565F8" w:rsidP="00CB6A47" w14:paraId="2060BBFE" w14:textId="77777777">
      <w:pPr>
        <w:pStyle w:val="ListParagraph"/>
        <w:keepNext/>
        <w:spacing w:before="240"/>
        <w:ind w:left="0"/>
        <w:jc w:val="right"/>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C413AB" w:rsidRPr="005565F8" w:rsidP="002D47FA" w14:paraId="3A18B213" w14:textId="77777777">
      <w:pPr>
        <w:spacing w:before="240"/>
        <w:jc w:val="right"/>
        <w:rPr>
          <w:color w:val="000000" w:themeColor="text1"/>
        </w:rPr>
      </w:pPr>
    </w:p>
    <w:p w:rsidR="00CB6A47" w:rsidRPr="005565F8" w:rsidP="002D47FA" w14:paraId="6BF6EC9B" w14:textId="77777777">
      <w:pPr>
        <w:pStyle w:val="ListParagraph"/>
        <w:keepNext/>
        <w:shd w:val="clear" w:color="auto" w:fill="FFFFFF" w:themeFill="background1"/>
        <w:spacing w:before="240"/>
        <w:ind w:left="0" w:right="-1"/>
        <w:jc w:val="right"/>
        <w:rPr>
          <w:rFonts w:ascii="Calibri Light" w:hAnsi="Calibri Light"/>
          <w:b/>
          <w:sz w:val="24"/>
        </w:rPr>
      </w:pPr>
      <w:r w:rsidRPr="005565F8">
        <w:rPr>
          <w:rFonts w:ascii="Calibri Light" w:hAnsi="Calibri Light"/>
        </w:rPr>
        <w:tab/>
        <w:t>3.3.attēls</w:t>
      </w:r>
      <w:r w:rsidRPr="005565F8">
        <w:rPr>
          <w:rFonts w:ascii="Calibri Light" w:hAnsi="Calibri Light"/>
        </w:rPr>
        <w:br/>
      </w:r>
      <w:r w:rsidRPr="005565F8">
        <w:rPr>
          <w:rFonts w:ascii="Calibri Light" w:hAnsi="Calibri Light"/>
          <w:b/>
          <w:sz w:val="24"/>
        </w:rPr>
        <w:tab/>
        <w:t>Jauniešu, kuri priekšlaicīgi pārtraukuši mācības, īpatsvar</w:t>
      </w:r>
      <w:r w:rsidRPr="005565F8" w:rsidR="00F659E2">
        <w:rPr>
          <w:rFonts w:ascii="Calibri Light" w:hAnsi="Calibri Light"/>
          <w:b/>
          <w:sz w:val="24"/>
        </w:rPr>
        <w:t>s</w:t>
      </w:r>
      <w:r w:rsidRPr="005565F8">
        <w:rPr>
          <w:rFonts w:ascii="Calibri Light" w:hAnsi="Calibri Light"/>
          <w:b/>
          <w:sz w:val="24"/>
        </w:rPr>
        <w:t xml:space="preserve"> </w:t>
      </w:r>
    </w:p>
    <w:p w:rsidR="00CB6A47" w:rsidP="002D47FA" w14:paraId="7ADFE786" w14:textId="7D20D4F9">
      <w:pPr>
        <w:pStyle w:val="ListParagraph"/>
        <w:keepNext/>
        <w:shd w:val="clear" w:color="auto" w:fill="FFFFFF" w:themeFill="background1"/>
        <w:spacing w:before="240"/>
        <w:ind w:left="0" w:right="-1"/>
        <w:jc w:val="right"/>
        <w:rPr>
          <w:rFonts w:ascii="Calibri Light" w:hAnsi="Calibri Light"/>
          <w:i/>
          <w:sz w:val="16"/>
        </w:rPr>
      </w:pPr>
      <w:r w:rsidRPr="005565F8">
        <w:rPr>
          <w:rFonts w:ascii="Calibri Light" w:hAnsi="Calibri Light"/>
          <w:i/>
          <w:sz w:val="16"/>
        </w:rPr>
        <w:tab/>
      </w:r>
      <w:r w:rsidRPr="005565F8" w:rsidR="009E052F">
        <w:rPr>
          <w:rFonts w:ascii="Calibri Light" w:hAnsi="Calibri Light"/>
          <w:i/>
          <w:sz w:val="16"/>
        </w:rPr>
        <w:t>Jaunieši ar pamatizglītību vai zemāku izglītības līmeni un, kuri vairs nemācās</w:t>
      </w:r>
    </w:p>
    <w:p w:rsidR="002D47FA" w:rsidP="002D47FA" w14:paraId="6F975C86" w14:textId="5C492DCC">
      <w:pPr>
        <w:pStyle w:val="ListParagraph"/>
        <w:keepNext/>
        <w:shd w:val="clear" w:color="auto" w:fill="FFFFFF" w:themeFill="background1"/>
        <w:spacing w:before="240"/>
        <w:ind w:left="0" w:right="-1"/>
        <w:jc w:val="right"/>
        <w:rPr>
          <w:rFonts w:ascii="Calibri Light" w:hAnsi="Calibri Light"/>
          <w:b/>
          <w:i/>
          <w:sz w:val="16"/>
        </w:rPr>
      </w:pPr>
    </w:p>
    <w:p w:rsidR="002D47FA" w:rsidRPr="002D47FA" w:rsidP="002D47FA" w14:paraId="7E6EDDF9" w14:textId="77777777">
      <w:pPr>
        <w:pStyle w:val="ListParagraph"/>
        <w:shd w:val="clear" w:color="auto" w:fill="B8CCE4" w:themeFill="accent1" w:themeFillTint="66"/>
        <w:tabs>
          <w:tab w:val="left" w:pos="426"/>
        </w:tabs>
        <w:spacing w:after="0"/>
        <w:ind w:left="0" w:right="-1"/>
        <w:contextualSpacing w:val="0"/>
        <w:jc w:val="center"/>
        <w:rPr>
          <w:rFonts w:ascii="Calibri Light" w:hAnsi="Calibri Light"/>
          <w:noProof/>
          <w:sz w:val="16"/>
          <w:szCs w:val="20"/>
          <w:lang w:eastAsia="lv-LV"/>
        </w:rPr>
      </w:pPr>
    </w:p>
    <w:p w:rsidR="00CB6A47" w:rsidRPr="005565F8" w:rsidP="002D47FA" w14:paraId="7AC1EB33" w14:textId="77777777">
      <w:pPr>
        <w:pStyle w:val="ListParagraph"/>
        <w:shd w:val="clear" w:color="auto" w:fill="B8CCE4" w:themeFill="accent1" w:themeFillTint="66"/>
        <w:tabs>
          <w:tab w:val="left" w:pos="426"/>
        </w:tabs>
        <w:spacing w:after="0"/>
        <w:ind w:left="0" w:right="-1"/>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5760000" cy="2160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6A47" w:rsidRPr="005565F8" w:rsidP="002D47FA" w14:paraId="7C68F68A" w14:textId="77777777">
      <w:pPr>
        <w:pStyle w:val="ListParagraph"/>
        <w:shd w:val="clear" w:color="auto" w:fill="B8CCE4" w:themeFill="accent1" w:themeFillTint="66"/>
        <w:tabs>
          <w:tab w:val="left" w:pos="426"/>
        </w:tabs>
        <w:spacing w:after="0"/>
        <w:ind w:left="0" w:right="-1"/>
        <w:contextualSpacing w:val="0"/>
        <w:rPr>
          <w:rFonts w:ascii="Calibri Light" w:hAnsi="Calibri Light"/>
          <w:sz w:val="16"/>
          <w:szCs w:val="20"/>
        </w:rPr>
      </w:pPr>
    </w:p>
    <w:p w:rsidR="00CB6A47" w:rsidRPr="005565F8" w:rsidP="002D47FA" w14:paraId="61C70571" w14:textId="77777777">
      <w:pPr>
        <w:pStyle w:val="ListParagraph"/>
        <w:shd w:val="clear" w:color="auto" w:fill="B8CCE4" w:themeFill="accent1" w:themeFillTint="66"/>
        <w:tabs>
          <w:tab w:val="left" w:pos="426"/>
        </w:tabs>
        <w:spacing w:after="0"/>
        <w:ind w:left="0" w:right="-1" w:firstLine="142"/>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Avots: CSP</w:t>
      </w:r>
    </w:p>
    <w:p w:rsidR="00C413AB" w:rsidRPr="002D47FA" w:rsidP="002D47FA" w14:paraId="2B289CE3" w14:textId="77777777">
      <w:pPr>
        <w:pStyle w:val="ListParagraph"/>
        <w:shd w:val="clear" w:color="auto" w:fill="B8CCE4" w:themeFill="accent1" w:themeFillTint="66"/>
        <w:tabs>
          <w:tab w:val="left" w:pos="426"/>
        </w:tabs>
        <w:spacing w:after="0"/>
        <w:ind w:left="0" w:right="-1"/>
        <w:contextualSpacing w:val="0"/>
        <w:rPr>
          <w:rFonts w:ascii="Calibri Light" w:hAnsi="Calibri Light"/>
          <w:sz w:val="4"/>
          <w:szCs w:val="20"/>
        </w:rPr>
      </w:pPr>
    </w:p>
    <w:p w:rsidR="00AA614F" w:rsidRPr="005565F8" w:rsidP="00AA614F" w14:paraId="50178C54" w14:textId="77777777">
      <w:pPr>
        <w:rPr>
          <w:bCs/>
          <w:kern w:val="36"/>
        </w:rPr>
      </w:pPr>
    </w:p>
    <w:p w:rsidR="000F3EEF" w:rsidRPr="005565F8" w:rsidP="000F3EEF" w14:paraId="326F4084"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0F3EEF" w:rsidRPr="005565F8" w:rsidP="000F3EEF" w14:paraId="710AE529"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Pamata un vidējās izglītības pieejamības un kvalitātes nodrošināšana</w:t>
      </w:r>
    </w:p>
    <w:p w:rsidR="000F3EEF" w:rsidRPr="005565F8" w:rsidP="000F3EEF" w14:paraId="4A06549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AA614F" w:rsidRPr="005565F8" w:rsidP="00B22046" w14:paraId="6FE8516A"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9E052F" w:rsidRPr="005565F8" w:rsidP="00AA614F" w14:paraId="3E883590" w14:textId="77777777">
      <w:pPr>
        <w:spacing w:before="240"/>
        <w:rPr>
          <w:color w:val="000000" w:themeColor="text1"/>
        </w:rPr>
      </w:pPr>
      <w:bookmarkStart w:id="82" w:name="_Toc446597837"/>
      <w:r w:rsidRPr="005565F8">
        <w:rPr>
          <w:color w:val="000000" w:themeColor="text1"/>
        </w:rPr>
        <w:t xml:space="preserve">Lai nodrošinātu iespēju katram skolēnam iegūt kvalitatīvu izglītību, tiek turpināts darbs pie </w:t>
      </w:r>
      <w:r w:rsidRPr="005565F8">
        <w:rPr>
          <w:b/>
          <w:color w:val="000000" w:themeColor="text1"/>
        </w:rPr>
        <w:t>vispārējās izglītības iestāžu tīkla</w:t>
      </w:r>
      <w:r w:rsidRPr="005565F8">
        <w:rPr>
          <w:color w:val="000000" w:themeColor="text1"/>
        </w:rPr>
        <w:t xml:space="preserve"> sakārtošanas. </w:t>
      </w:r>
      <w:r w:rsidRPr="005565F8">
        <w:t xml:space="preserve">2017.gada novembrī noslēdzās pētījums </w:t>
      </w:r>
      <w:r w:rsidRPr="005565F8">
        <w:rPr>
          <w:i/>
        </w:rPr>
        <w:t>“Optimāla vispārējās izglītības iestāžu tīkla modeļa izveide”</w:t>
      </w:r>
      <w:r>
        <w:rPr>
          <w:vertAlign w:val="superscript"/>
        </w:rPr>
        <w:footnoteReference w:id="44"/>
      </w:r>
      <w:r w:rsidRPr="005565F8">
        <w:t xml:space="preserve">, kura ietvaros ir izveidota vispārējās izglītības iestāžu tīkla ģeotelpiskās plānošanas platforma </w:t>
      </w:r>
      <w:r w:rsidRPr="005565F8">
        <w:rPr>
          <w:i/>
        </w:rPr>
        <w:t>Skolu karte</w:t>
      </w:r>
      <w:r>
        <w:rPr>
          <w:rStyle w:val="FootnoteReference"/>
        </w:rPr>
        <w:footnoteReference w:id="45"/>
      </w:r>
      <w:r w:rsidRPr="005565F8">
        <w:t>, kā arī izstrādāts pašreizējiem apstākļiem piemērots vispārējās vidējās i</w:t>
      </w:r>
      <w:r w:rsidRPr="005565F8" w:rsidR="00397466">
        <w:t>zglītības iestāžu tīkla modelis</w:t>
      </w:r>
      <w:r w:rsidRPr="005565F8">
        <w:t>. Balstoties uz pētījuma rekomendācijām, ir uzsāktas sarunas ar pašvaldībām un citām iesaistītajām institūcijām par labākajiem risinājumiem efektīva un ilgtspējīga vispārējās izglītības iestāžu tīkla attīstībai.</w:t>
      </w:r>
    </w:p>
    <w:p w:rsidR="009E052F" w:rsidRPr="005565F8" w:rsidP="009E052F" w14:paraId="0A7B9814" w14:textId="77777777">
      <w:pPr>
        <w:autoSpaceDE w:val="0"/>
        <w:autoSpaceDN w:val="0"/>
        <w:adjustRightInd w:val="0"/>
        <w:spacing w:after="100"/>
      </w:pPr>
      <w:r w:rsidRPr="005565F8">
        <w:t xml:space="preserve">2017.gada novembrī Saeima apstiprināja </w:t>
      </w:r>
      <w:r w:rsidRPr="005565F8" w:rsidR="00C96B10">
        <w:rPr>
          <w:i/>
        </w:rPr>
        <w:t>G</w:t>
      </w:r>
      <w:r w:rsidRPr="005565F8">
        <w:rPr>
          <w:i/>
        </w:rPr>
        <w:t>rozījumus</w:t>
      </w:r>
      <w:r w:rsidRPr="005565F8">
        <w:t xml:space="preserve"> </w:t>
      </w:r>
      <w:r w:rsidRPr="005565F8">
        <w:rPr>
          <w:i/>
        </w:rPr>
        <w:t>Izglītības likumā</w:t>
      </w:r>
      <w:r w:rsidRPr="005565F8">
        <w:t>, kas ietver deleģējumu MK, sākot ar 2018.gada 1.septembri, noteikt minimāli pieļaujamo izglītojamo skaitu un kritērijus maksimāli pieļaujamā izglītojamo skaita noteikšanai klasē un klašu grupās pašvaldību, valsts augstskolu un privātajās vispārējās izglītības iestādēs vidusskolas posmā.</w:t>
      </w:r>
    </w:p>
    <w:p w:rsidR="009E052F" w:rsidRPr="005565F8" w:rsidP="009E052F" w14:paraId="4285E4AC" w14:textId="77777777">
      <w:pPr>
        <w:spacing w:after="100"/>
      </w:pPr>
      <w:r w:rsidRPr="005565F8">
        <w:t xml:space="preserve">Vienlaikus tiek turpināta </w:t>
      </w:r>
      <w:r w:rsidRPr="005565F8">
        <w:rPr>
          <w:b/>
        </w:rPr>
        <w:t>vispārējās izglītības iestāžu infrastruktūras modernizācija</w:t>
      </w:r>
      <w:r w:rsidRPr="005565F8">
        <w:t>. Piesaistot ERAF līdzekļus vispārējās izglītības iestādēs</w:t>
      </w:r>
      <w:r w:rsidRPr="005565F8" w:rsidR="00397466">
        <w:t>,</w:t>
      </w:r>
      <w:r w:rsidRPr="005565F8">
        <w:t xml:space="preserve"> plānots radīt modernu, ergonomisku un higiēnas prasībām atbilstošu mācību vidi</w:t>
      </w:r>
      <w:r w:rsidRPr="005565F8" w:rsidR="00397466">
        <w:t xml:space="preserve">. </w:t>
      </w:r>
      <w:r w:rsidRPr="005565F8">
        <w:t>Projekti tiks īstenoti nacionālas un reģionālas</w:t>
      </w:r>
      <w:r w:rsidRPr="005565F8" w:rsidR="00C96B10">
        <w:t xml:space="preserve"> attīstības centru pašvaldībās</w:t>
      </w:r>
      <w:r w:rsidRPr="005565F8">
        <w:t xml:space="preserve">. Paredzēta arī jaunu izglītības iestāžu ēku būvniecība pašvaldībās, kurās vērojams izglītojamo skaita pieaugums un esošas infrastruktūras nepietiekamība. Plānots, ka līdz 2023.gadam būs pilnībā modernizētas vismaz 100 vispārējās izglītības iestādes un 20-25% izglītojamo būs pieejama pilnībā modernizēta vispārējās izglītības mācību vide. 2017.gada februārī uzsāktas projekta iesniegumu atlases. Kopējais indikatīvi plānotais finansējums – 168,2 milj. EUR, t.sk. ERAF līdzfinansējums 142,9 milj. EUR (no tiem 4,1 milj. EUR valsts budžeta </w:t>
      </w:r>
      <w:r w:rsidRPr="005565F8">
        <w:t>virssaistību</w:t>
      </w:r>
      <w:r w:rsidRPr="005565F8">
        <w:t xml:space="preserve"> finansējums). </w:t>
      </w:r>
    </w:p>
    <w:p w:rsidR="00397466" w:rsidRPr="005565F8" w:rsidP="009E052F" w14:paraId="25A2772C" w14:textId="77777777">
      <w:pPr>
        <w:autoSpaceDE w:val="0"/>
        <w:autoSpaceDN w:val="0"/>
        <w:adjustRightInd w:val="0"/>
        <w:spacing w:after="100"/>
      </w:pPr>
      <w:r w:rsidRPr="005565F8">
        <w:t>P</w:t>
      </w:r>
      <w:r w:rsidRPr="005565F8" w:rsidR="009E052F">
        <w:t xml:space="preserve">ilnveidots 2016.gadā ieviestais </w:t>
      </w:r>
      <w:r w:rsidRPr="005565F8" w:rsidR="009E052F">
        <w:rPr>
          <w:b/>
        </w:rPr>
        <w:t>pedagogu darba samaksas modelis</w:t>
      </w:r>
      <w:r w:rsidRPr="005565F8" w:rsidR="009E052F">
        <w:t xml:space="preserve">, sakārtojot un precizējot prasības saistībā ar pedagogu algu likmēm un darba slodzi, mazinot darba samaksas nevienlīdzību starp vienādu darbu strādājošiem skolotājiem. </w:t>
      </w:r>
      <w:r w:rsidRPr="005565F8">
        <w:t>Ir noteikta</w:t>
      </w:r>
      <w:r w:rsidRPr="005565F8" w:rsidR="009E052F">
        <w:t xml:space="preserve"> stingrāk</w:t>
      </w:r>
      <w:r w:rsidRPr="005565F8">
        <w:t>a</w:t>
      </w:r>
      <w:r w:rsidRPr="005565F8" w:rsidR="009E052F">
        <w:t xml:space="preserve"> </w:t>
      </w:r>
      <w:r w:rsidRPr="005565F8" w:rsidR="009E052F">
        <w:t>finanšu disciplīn</w:t>
      </w:r>
      <w:r w:rsidRPr="005565F8">
        <w:t>a</w:t>
      </w:r>
      <w:r w:rsidRPr="005565F8" w:rsidR="009E052F">
        <w:t xml:space="preserve"> pašvaldībām saistībā ar va</w:t>
      </w:r>
      <w:r w:rsidRPr="005565F8">
        <w:t>lsts mērķdotācijas izlietojumu.</w:t>
      </w:r>
    </w:p>
    <w:p w:rsidR="009E052F" w:rsidRPr="005565F8" w:rsidP="009E052F" w14:paraId="64C2A0E8" w14:textId="77777777">
      <w:pPr>
        <w:autoSpaceDE w:val="0"/>
        <w:autoSpaceDN w:val="0"/>
        <w:adjustRightInd w:val="0"/>
        <w:spacing w:after="100"/>
      </w:pPr>
      <w:r w:rsidRPr="005565F8">
        <w:t xml:space="preserve">2017.gadā valdība apstiprināja </w:t>
      </w:r>
      <w:r w:rsidRPr="005565F8">
        <w:rPr>
          <w:i/>
        </w:rPr>
        <w:t>Pedagogu darba samaksas pieauguma grafiku</w:t>
      </w:r>
      <w:r w:rsidRPr="005565F8">
        <w:t xml:space="preserve"> turpmākajiem pieciem gadiem. </w:t>
      </w:r>
      <w:r w:rsidRPr="005565F8" w:rsidR="00397466">
        <w:t>N</w:t>
      </w:r>
      <w:r w:rsidRPr="005565F8">
        <w:t xml:space="preserve">o 2018.gada 1.septembra līdz 2022.gada 1.septembrim pedagogu zemākā mēneša darba algas likme indikatīvi varētu pakāpeniski pieaugt no 710 EUR līdz 900 EUR. </w:t>
      </w:r>
    </w:p>
    <w:p w:rsidR="009E052F" w:rsidRPr="005565F8" w:rsidP="009E052F" w14:paraId="19A3E0E4" w14:textId="77777777">
      <w:pPr>
        <w:rPr>
          <w:color w:val="000000" w:themeColor="text1"/>
        </w:rPr>
      </w:pPr>
      <w:r w:rsidRPr="005565F8">
        <w:rPr>
          <w:color w:val="000000" w:themeColor="text1"/>
        </w:rPr>
        <w:t xml:space="preserve">Valstī ir noteikta vienota kārtība, </w:t>
      </w:r>
      <w:r w:rsidRPr="005565F8" w:rsidR="00CB5AE0">
        <w:rPr>
          <w:color w:val="000000" w:themeColor="text1"/>
        </w:rPr>
        <w:t xml:space="preserve">kā tiek veikta </w:t>
      </w:r>
      <w:r w:rsidRPr="005565F8" w:rsidR="00CB5AE0">
        <w:rPr>
          <w:b/>
          <w:color w:val="000000" w:themeColor="text1"/>
        </w:rPr>
        <w:t xml:space="preserve">izglītības iestādēs </w:t>
      </w:r>
      <w:r w:rsidRPr="005565F8">
        <w:rPr>
          <w:b/>
          <w:color w:val="000000" w:themeColor="text1"/>
        </w:rPr>
        <w:t>nereģistrēto bērnu uzskaite</w:t>
      </w:r>
      <w:r w:rsidRPr="005565F8">
        <w:rPr>
          <w:color w:val="000000" w:themeColor="text1"/>
        </w:rPr>
        <w:t xml:space="preserve">. </w:t>
      </w:r>
      <w:r w:rsidRPr="005565F8">
        <w:t>2017./2018. mācību gadā izglītības iestādēs nav reģistrēti 17,8 tūkst. bērni (no tiem 16 tūkst. 7 līdz 18 gadus veci bērni). Lielākā daļa jeb 13,8 tūkst. no izglītības iestādēs nereģistrētajiem bērniem atrodas ārvalstīs. Pašvaldībās nav iegūta informācija par 1,2 tūkst. bērniem vecumā no 5 līdz 18 gadiem</w:t>
      </w:r>
      <w:r>
        <w:rPr>
          <w:rStyle w:val="FootnoteReference"/>
          <w:color w:val="000000" w:themeColor="text1"/>
        </w:rPr>
        <w:footnoteReference w:id="46"/>
      </w:r>
      <w:r w:rsidRPr="005565F8">
        <w:t>.</w:t>
      </w:r>
    </w:p>
    <w:p w:rsidR="009E052F" w:rsidRPr="005565F8" w:rsidP="009E052F" w14:paraId="3EF740ED" w14:textId="77777777">
      <w:pPr>
        <w:spacing w:after="100"/>
      </w:pPr>
      <w:r w:rsidRPr="005565F8">
        <w:rPr>
          <w:color w:val="000000" w:themeColor="text1"/>
        </w:rPr>
        <w:t xml:space="preserve">Lai mazinātu to bērnu un jauniešu skaitu, kas pārtrauc mācības un nepabeidz skolu, 2017.gada martā uzsākts ESF projekts </w:t>
      </w:r>
      <w:r w:rsidRPr="005565F8">
        <w:rPr>
          <w:i/>
          <w:color w:val="000000" w:themeColor="text1"/>
        </w:rPr>
        <w:t>“Atbalsts priekšlaicīgas mācību pārtraukšanas samazināšanai”</w:t>
      </w:r>
      <w:r w:rsidRPr="005565F8">
        <w:rPr>
          <w:color w:val="000000" w:themeColor="text1"/>
        </w:rPr>
        <w:t xml:space="preserve">. Paredzēts izveidot ilgtspējīgu un efektīvu </w:t>
      </w:r>
      <w:r w:rsidRPr="005565F8">
        <w:rPr>
          <w:color w:val="000000" w:themeColor="text1"/>
        </w:rPr>
        <w:t>prevencijas</w:t>
      </w:r>
      <w:r w:rsidRPr="005565F8">
        <w:rPr>
          <w:color w:val="000000" w:themeColor="text1"/>
        </w:rPr>
        <w:t xml:space="preserve"> sistēmu, kurā būtu iesaistīta pašvaldība, skola, pedagogi un vecāki, lai laikus identificētu bērnus un jauniešus ar risku pārtraukt mācības un sniegtu viņiem personalizētu atbalstu. Līdz 2017.gada beigām noslēgti 74 sadarbības līgumi, iesaistot 224 izglītības iestādes, kuru ievaros izskatīti 2514 individuālie atbalsta plāni izglītojamajiem. Kopējais indikatīvi plānotais finansējums – </w:t>
      </w:r>
      <w:r w:rsidRPr="005565F8" w:rsidR="004C6D46">
        <w:rPr>
          <w:color w:val="000000" w:themeColor="text1"/>
        </w:rPr>
        <w:t>37,5</w:t>
      </w:r>
      <w:r w:rsidRPr="005565F8">
        <w:rPr>
          <w:color w:val="000000" w:themeColor="text1"/>
        </w:rPr>
        <w:t xml:space="preserve"> milj. EUR, </w:t>
      </w:r>
      <w:r w:rsidRPr="005565F8" w:rsidR="00C96B10">
        <w:rPr>
          <w:color w:val="000000" w:themeColor="text1"/>
        </w:rPr>
        <w:t>t.sk.</w:t>
      </w:r>
      <w:r w:rsidRPr="005565F8" w:rsidR="004C6D46">
        <w:rPr>
          <w:color w:val="000000" w:themeColor="text1"/>
        </w:rPr>
        <w:t xml:space="preserve"> ESF – 31,8 </w:t>
      </w:r>
      <w:r w:rsidRPr="005565F8">
        <w:rPr>
          <w:color w:val="000000" w:themeColor="text1"/>
        </w:rPr>
        <w:t>milj. EUR</w:t>
      </w:r>
      <w:r w:rsidRPr="005565F8" w:rsidR="0020135E">
        <w:rPr>
          <w:color w:val="000000" w:themeColor="text1"/>
        </w:rPr>
        <w:t>.</w:t>
      </w:r>
    </w:p>
    <w:p w:rsidR="009E052F" w:rsidRPr="005565F8" w:rsidP="009E052F" w14:paraId="2E82A37C" w14:textId="77777777">
      <w:r w:rsidRPr="005565F8">
        <w:t xml:space="preserve">Arī </w:t>
      </w:r>
      <w:r w:rsidRPr="005565F8">
        <w:rPr>
          <w:b/>
        </w:rPr>
        <w:t>k</w:t>
      </w:r>
      <w:r w:rsidRPr="005565F8">
        <w:rPr>
          <w:b/>
        </w:rPr>
        <w:t>arjeras attīstības atbalsts</w:t>
      </w:r>
      <w:r w:rsidRPr="005565F8">
        <w:t xml:space="preserve"> veicina izglītības priekšlaicīgas pārtraukšanas mazināšanu.  Karjeras atbalsta pieejamības uzlabošanai kopš 2016.gada tiek īstenots ESF projekts “</w:t>
      </w:r>
      <w:r w:rsidRPr="005565F8">
        <w:rPr>
          <w:i/>
        </w:rPr>
        <w:t xml:space="preserve">Uzlabot pieeju karjeras </w:t>
      </w:r>
      <w:r w:rsidRPr="005565F8">
        <w:rPr>
          <w:i/>
        </w:rPr>
        <w:t>atbalstam izglītojamajiem vispārējās un profesionālās izglītības iestādēs</w:t>
      </w:r>
      <w:r w:rsidRPr="005565F8">
        <w:t xml:space="preserve">”. Projekta rezultātā plānots, ka līdz 2020.gadam 328 vispārējās un profesionālās izglītības iestādes nodrošinās karjeras atbalstu izglītojamiem. 2017./2018. mācību gadā projektā ir iesaistītas 74 pašvaldības un to apvienības un 15 PIKC un nodarbināti 371 pedagogs karjeras konsultants. Projekta ietvaros 2017./2018.mācību gadā karjeras attīstības atbalstu ir saņēmuši </w:t>
      </w:r>
      <w:r w:rsidRPr="005565F8">
        <w:rPr>
          <w:bCs/>
        </w:rPr>
        <w:t>139,6 tūkst.</w:t>
      </w:r>
      <w:r w:rsidRPr="005565F8">
        <w:rPr>
          <w:b/>
          <w:bCs/>
        </w:rPr>
        <w:t xml:space="preserve"> </w:t>
      </w:r>
      <w:r w:rsidRPr="005565F8">
        <w:t xml:space="preserve">izglītojamie 410 vispārējās un profesionālās izglītības iestādēs. Kopējais plānotais finansējums – 23 milj. EUR, </w:t>
      </w:r>
      <w:r w:rsidRPr="005565F8" w:rsidR="00C96B10">
        <w:t>t.sk.</w:t>
      </w:r>
      <w:r w:rsidRPr="005565F8">
        <w:t xml:space="preserve"> ESF – 19,6 milj. EUR.</w:t>
      </w:r>
    </w:p>
    <w:p w:rsidR="009E052F" w:rsidRPr="005565F8" w:rsidP="009E052F" w14:paraId="64C6884A" w14:textId="77777777">
      <w:pPr>
        <w:autoSpaceDE w:val="0"/>
        <w:autoSpaceDN w:val="0"/>
        <w:adjustRightInd w:val="0"/>
        <w:spacing w:after="100"/>
      </w:pPr>
      <w:r w:rsidRPr="005565F8">
        <w:t xml:space="preserve">Līdzīgi kā iepriekšējos gados, arī 2017.gadā veikti dažādi karjeras attīstības atbalsta un informēšanas pasākumi – konferences, semināri u.c. pasākumi. </w:t>
      </w:r>
    </w:p>
    <w:p w:rsidR="009E052F" w:rsidRPr="005565F8" w:rsidP="009E052F" w14:paraId="2F675A39" w14:textId="77777777">
      <w:pPr>
        <w:rPr>
          <w:color w:val="000000" w:themeColor="text1"/>
        </w:rPr>
      </w:pPr>
      <w:r w:rsidRPr="005565F8">
        <w:rPr>
          <w:color w:val="000000" w:themeColor="text1"/>
        </w:rPr>
        <w:t xml:space="preserve">Latvijā darbojas 12 </w:t>
      </w:r>
      <w:r w:rsidRPr="005565F8">
        <w:rPr>
          <w:b/>
          <w:color w:val="000000" w:themeColor="text1"/>
        </w:rPr>
        <w:t>speciālās izglītības attīstības centri</w:t>
      </w:r>
      <w:r>
        <w:rPr>
          <w:rStyle w:val="FootnoteReference"/>
          <w:color w:val="000000" w:themeColor="text1"/>
        </w:rPr>
        <w:footnoteReference w:id="47"/>
      </w:r>
      <w:r w:rsidRPr="005565F8">
        <w:rPr>
          <w:color w:val="000000" w:themeColor="text1"/>
        </w:rPr>
        <w:t>, nodrošinot vienmērīgu speciālās izglītības iestāžu</w:t>
      </w:r>
      <w:r w:rsidRPr="005565F8" w:rsidR="00C96B10">
        <w:rPr>
          <w:color w:val="000000" w:themeColor="text1"/>
        </w:rPr>
        <w:t>-</w:t>
      </w:r>
      <w:r w:rsidRPr="005565F8">
        <w:rPr>
          <w:color w:val="000000" w:themeColor="text1"/>
        </w:rPr>
        <w:t>attīstības centru izvietojumu visās Latvijas plānošanas reģionu teritorijās. Tādējādi bērniem ar speciālām vajadzībām, kuri integrēti vispārējās izglītības iestādēs, kā arī viņu vecākiem un pedagogiem tiek nodrošināt</w:t>
      </w:r>
      <w:r w:rsidRPr="005565F8" w:rsidR="00C96B10">
        <w:rPr>
          <w:color w:val="000000" w:themeColor="text1"/>
        </w:rPr>
        <w:t>a</w:t>
      </w:r>
      <w:r w:rsidRPr="005565F8">
        <w:rPr>
          <w:color w:val="000000" w:themeColor="text1"/>
        </w:rPr>
        <w:t>s vienādas iespējas saņemt konsultatīvu un metodisku atbalstu kvalitatīvas iekļaujošas izglītības īstenošanai.</w:t>
      </w:r>
    </w:p>
    <w:p w:rsidR="009E052F" w:rsidRPr="005565F8" w:rsidP="009E052F" w14:paraId="2AFD004B" w14:textId="77777777">
      <w:pPr>
        <w:rPr>
          <w:color w:val="000000" w:themeColor="text1"/>
        </w:rPr>
      </w:pPr>
      <w:r w:rsidRPr="005565F8">
        <w:rPr>
          <w:color w:val="000000" w:themeColor="text1"/>
        </w:rPr>
        <w:t xml:space="preserve">2017.gadā Latvijas Universitāte veica pētījumu, kura ietvaros izstrādāta teorētiski pamatota speciālo vajadzību tipu klasifikācija, kā arī Latvijas situācijai optimāls bērniem ar speciālām vajadzībām sniedzamā izglītības, veselības aprūpes, sociālās atbalsta pakalpojuma modeļa piedāvājums. Ņemot vērā pētījuma rezultātus, 2018.gadā turpinās darbs pie bērniem ar speciālām vajadzībām sniedzamo pakalpojumu izmaksu modeļa izstrādes. </w:t>
      </w:r>
    </w:p>
    <w:p w:rsidR="000F3EEF" w:rsidRPr="005565F8" w:rsidP="009E052F" w14:paraId="470110F1"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AA614F" w:rsidRPr="005565F8" w:rsidP="009E052F" w14:paraId="0EF3C346" w14:textId="77777777">
      <w:pPr>
        <w:rPr>
          <w:color w:val="000000" w:themeColor="text1"/>
        </w:rPr>
      </w:pPr>
    </w:p>
    <w:p w:rsidR="00AA614F" w:rsidRPr="005565F8" w:rsidP="00AA614F" w14:paraId="3897001D"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Modernas mācību pieejas ieviešana</w:t>
      </w:r>
    </w:p>
    <w:p w:rsidR="00AA614F" w:rsidRPr="005565F8" w:rsidP="00AA614F" w14:paraId="13EC2E68"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66BD0566"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9E052F" w:rsidRPr="005565F8" w:rsidP="00AA614F" w14:paraId="7C850E0A" w14:textId="77777777">
      <w:pPr>
        <w:spacing w:before="240"/>
        <w:rPr>
          <w:bCs/>
          <w:color w:val="000000" w:themeColor="text1"/>
        </w:rPr>
      </w:pPr>
      <w:r w:rsidRPr="005565F8">
        <w:rPr>
          <w:bCs/>
          <w:color w:val="000000" w:themeColor="text1"/>
        </w:rPr>
        <w:t xml:space="preserve">Latvijas mērķis līdz 2020.gadam ir samazināt skolēnu īpatsvaru ar zemiem mācību rezultātiem lasītprasmē, matemātikā, dabaszinātnēs no 17%, 20%, 12,3% (2012.gadā) līdz </w:t>
      </w:r>
      <w:r w:rsidRPr="005565F8" w:rsidR="00C96B10">
        <w:rPr>
          <w:bCs/>
          <w:color w:val="000000" w:themeColor="text1"/>
        </w:rPr>
        <w:t xml:space="preserve">attiecīgi </w:t>
      </w:r>
      <w:r w:rsidRPr="005565F8">
        <w:rPr>
          <w:bCs/>
          <w:color w:val="000000" w:themeColor="text1"/>
        </w:rPr>
        <w:t xml:space="preserve">13%, 15%, 10% (2020.gadā), kā arī paaugstināt skolēnu īpatsvaru ar augstiem sasniegumiem no 4,2%, 8%, 4,3% (2012.gadā) līdz </w:t>
      </w:r>
      <w:r w:rsidRPr="005565F8" w:rsidR="00C96B10">
        <w:rPr>
          <w:bCs/>
          <w:color w:val="000000" w:themeColor="text1"/>
        </w:rPr>
        <w:t xml:space="preserve">attiecīgi </w:t>
      </w:r>
      <w:r w:rsidRPr="005565F8">
        <w:rPr>
          <w:bCs/>
          <w:color w:val="000000" w:themeColor="text1"/>
        </w:rPr>
        <w:t>7%, 8%, 8% (2020.gadā). Lai uzlabotu Latvijas skolēnu mācību sasniegumus, līdztekus izglītības pieejamības nodrošināšanai, tiek īstenota pakāpeniska pāreja uz kompetenču pieejā balstītu vispārējās izglītības saturu un atbalsta sistēmas izveidi un ieviešanu izglītojamo individuālo spēju attīstībai.</w:t>
      </w:r>
    </w:p>
    <w:p w:rsidR="009E052F" w:rsidRPr="005565F8" w:rsidP="009E052F" w14:paraId="17789CBB" w14:textId="77777777">
      <w:pPr>
        <w:rPr>
          <w:color w:val="000000" w:themeColor="text1"/>
        </w:rPr>
      </w:pPr>
      <w:r w:rsidRPr="005565F8">
        <w:rPr>
          <w:color w:val="000000" w:themeColor="text1"/>
        </w:rPr>
        <w:t>2018.gada 1.februārī noslēdzās</w:t>
      </w:r>
      <w:r w:rsidRPr="005565F8">
        <w:rPr>
          <w:color w:val="000000" w:themeColor="text1"/>
        </w:rPr>
        <w:t xml:space="preserve"> sabiedrisk</w:t>
      </w:r>
      <w:r w:rsidRPr="005565F8">
        <w:rPr>
          <w:color w:val="000000" w:themeColor="text1"/>
        </w:rPr>
        <w:t>ā apspriešana</w:t>
      </w:r>
      <w:r w:rsidRPr="005565F8">
        <w:rPr>
          <w:color w:val="000000" w:themeColor="text1"/>
        </w:rPr>
        <w:t xml:space="preserve"> </w:t>
      </w:r>
      <w:r w:rsidRPr="005565F8" w:rsidR="001B26EE">
        <w:rPr>
          <w:color w:val="000000" w:themeColor="text1"/>
        </w:rPr>
        <w:t>par</w:t>
      </w:r>
      <w:r w:rsidRPr="005565F8">
        <w:rPr>
          <w:color w:val="000000" w:themeColor="text1"/>
        </w:rPr>
        <w:t xml:space="preserve"> jaun</w:t>
      </w:r>
      <w:r w:rsidRPr="005565F8" w:rsidR="001B26EE">
        <w:rPr>
          <w:color w:val="000000" w:themeColor="text1"/>
        </w:rPr>
        <w:t>o</w:t>
      </w:r>
      <w:r w:rsidRPr="005565F8">
        <w:rPr>
          <w:color w:val="000000" w:themeColor="text1"/>
        </w:rPr>
        <w:t xml:space="preserve"> </w:t>
      </w:r>
      <w:r w:rsidRPr="005565F8">
        <w:rPr>
          <w:i/>
          <w:color w:val="000000" w:themeColor="text1"/>
        </w:rPr>
        <w:t>kompetenču pieejā balstīt</w:t>
      </w:r>
      <w:r w:rsidRPr="005565F8" w:rsidR="001B26EE">
        <w:rPr>
          <w:i/>
          <w:color w:val="000000" w:themeColor="text1"/>
        </w:rPr>
        <w:t>o</w:t>
      </w:r>
      <w:r w:rsidRPr="005565F8">
        <w:rPr>
          <w:i/>
          <w:color w:val="000000" w:themeColor="text1"/>
        </w:rPr>
        <w:t xml:space="preserve"> </w:t>
      </w:r>
      <w:r w:rsidRPr="005565F8">
        <w:rPr>
          <w:i/>
          <w:color w:val="000000" w:themeColor="text1"/>
        </w:rPr>
        <w:t>vispārējās izglītības</w:t>
      </w:r>
      <w:r w:rsidRPr="005565F8">
        <w:rPr>
          <w:color w:val="000000" w:themeColor="text1"/>
        </w:rPr>
        <w:t xml:space="preserve"> </w:t>
      </w:r>
      <w:r w:rsidRPr="005565F8">
        <w:rPr>
          <w:i/>
          <w:color w:val="000000" w:themeColor="text1"/>
        </w:rPr>
        <w:t>mācību satura</w:t>
      </w:r>
      <w:r w:rsidRPr="005565F8">
        <w:rPr>
          <w:color w:val="000000" w:themeColor="text1"/>
        </w:rPr>
        <w:t xml:space="preserve"> </w:t>
      </w:r>
      <w:r w:rsidRPr="005565F8">
        <w:rPr>
          <w:i/>
          <w:color w:val="000000" w:themeColor="text1"/>
        </w:rPr>
        <w:t>un pieejas</w:t>
      </w:r>
      <w:r w:rsidRPr="005565F8">
        <w:rPr>
          <w:i/>
        </w:rPr>
        <w:t xml:space="preserve"> </w:t>
      </w:r>
      <w:r w:rsidRPr="005565F8">
        <w:rPr>
          <w:i/>
          <w:color w:val="000000" w:themeColor="text1"/>
        </w:rPr>
        <w:t>apraksta projekt</w:t>
      </w:r>
      <w:r w:rsidRPr="005565F8" w:rsidR="001B26EE">
        <w:rPr>
          <w:i/>
          <w:color w:val="000000" w:themeColor="text1"/>
        </w:rPr>
        <w:t>u</w:t>
      </w:r>
      <w:r w:rsidRPr="005565F8">
        <w:rPr>
          <w:color w:val="000000" w:themeColor="text1"/>
        </w:rPr>
        <w:t xml:space="preserve">. </w:t>
      </w:r>
      <w:r w:rsidRPr="005565F8" w:rsidR="001B26EE">
        <w:t>Saņemtie priekšlikumi izmantoti mācību satura pilnveidei. Notiek darbs pie normatīvā regulējuma izstrādes, lai 2018.gada 1.septembrī uzsāktu jaunā satura ieviešanu pirmsskolā.</w:t>
      </w:r>
      <w:r w:rsidRPr="005565F8" w:rsidR="001B26EE">
        <w:rPr>
          <w:color w:val="000000" w:themeColor="text1"/>
        </w:rPr>
        <w:t xml:space="preserve"> </w:t>
      </w:r>
      <w:r w:rsidRPr="005565F8">
        <w:rPr>
          <w:color w:val="000000" w:themeColor="text1"/>
        </w:rPr>
        <w:t xml:space="preserve">2017./2018.mācību gadā 100 vispārējās izglītības iestādēs pirmsskolas izglītības un pamatizglītības pakāpē ir uzsākta jaunā kompetenču pieejā balstītā satura aprobācija. 2018.gadā plānots uzsākt jaunā mācību satura aprobāciju vidusskolas pakāpē. Saistībā ar jaunā satura aprobāciju un plānoto ieviešanu ir uzsākta mācību metodisko līdzekļu izstrāde. Kopējais plānotais pasākuma finansējums ir 13,9 milj. EUR, </w:t>
      </w:r>
      <w:r w:rsidRPr="005565F8" w:rsidR="00C96B10">
        <w:rPr>
          <w:color w:val="000000" w:themeColor="text1"/>
        </w:rPr>
        <w:t>t.sk.</w:t>
      </w:r>
      <w:r w:rsidRPr="005565F8">
        <w:rPr>
          <w:color w:val="000000" w:themeColor="text1"/>
        </w:rPr>
        <w:t xml:space="preserve"> ESF finansējums – 11,8 milj. EUR. Papildus ir rosināta finansējuma pārdale 4,5 milj. EUR apmērā mācību satura izstrādei vispārējā vidējā izglītībā un </w:t>
      </w:r>
      <w:r w:rsidRPr="005565F8">
        <w:rPr>
          <w:color w:val="000000" w:themeColor="text1"/>
        </w:rPr>
        <w:t>profesionālās kompetences pilnveides pasākumiem pedagogiem</w:t>
      </w:r>
      <w:r w:rsidRPr="005565F8">
        <w:t>.</w:t>
      </w:r>
    </w:p>
    <w:p w:rsidR="009E052F" w:rsidRPr="005565F8" w:rsidP="009E052F" w14:paraId="09217898" w14:textId="77777777">
      <w:pPr>
        <w:spacing w:before="120"/>
        <w:rPr>
          <w:color w:val="000000" w:themeColor="text1"/>
        </w:rPr>
      </w:pPr>
      <w:r w:rsidRPr="005565F8">
        <w:rPr>
          <w:color w:val="000000" w:themeColor="text1"/>
        </w:rPr>
        <w:t xml:space="preserve">2016./2017. mācību gadā 153 vispārizglītojošās izglītības iestādēs otro gadu turpinājās datorikas mācību satura aprobācija, kurā piedalījās 9084 skolēni. Ir sagatavoti brīvi pieejami mācību materiāli katrai mācību stundai nu jau diviem mācību gadiem, ko veiksmīgi izmanto ne tikai </w:t>
      </w:r>
      <w:r w:rsidRPr="005565F8">
        <w:rPr>
          <w:i/>
          <w:color w:val="000000" w:themeColor="text1"/>
        </w:rPr>
        <w:t>Datorikas mācību programmas</w:t>
      </w:r>
      <w:r w:rsidRPr="005565F8">
        <w:rPr>
          <w:color w:val="000000" w:themeColor="text1"/>
        </w:rPr>
        <w:t xml:space="preserve"> aprobācijā iesaistījušās izglītības iestādes, bet arī citas skolas. </w:t>
      </w:r>
    </w:p>
    <w:p w:rsidR="00CD1E1F" w:rsidRPr="005565F8" w:rsidP="00EE6C02" w14:paraId="641C1DB5" w14:textId="77777777">
      <w:pPr>
        <w:spacing w:before="120" w:after="0"/>
        <w:rPr>
          <w:color w:val="000000" w:themeColor="text1"/>
        </w:rPr>
      </w:pPr>
      <w:r w:rsidRPr="005565F8">
        <w:rPr>
          <w:color w:val="000000" w:themeColor="text1"/>
        </w:rPr>
        <w:t xml:space="preserve">Lai sniegtu atbalstu vispārējās izglītības iestādēm izglītojamo individuālo kompetenču attīstībai, 2016.gadā uzsākta divu ESF līdzfinansētu </w:t>
      </w:r>
      <w:r w:rsidRPr="005565F8" w:rsidR="00EE6C02">
        <w:rPr>
          <w:color w:val="000000" w:themeColor="text1"/>
        </w:rPr>
        <w:t>projektu</w:t>
      </w:r>
      <w:r w:rsidRPr="005565F8">
        <w:rPr>
          <w:color w:val="000000" w:themeColor="text1"/>
        </w:rPr>
        <w:t xml:space="preserve"> īstenošana. Pasākums </w:t>
      </w:r>
      <w:r w:rsidRPr="005565F8">
        <w:rPr>
          <w:i/>
          <w:color w:val="000000" w:themeColor="text1"/>
        </w:rPr>
        <w:t>“Atbalsts nacionāla un starptautiska mēroga pasākumu īstenošanai izglītojamo talantu attīstībai”</w:t>
      </w:r>
      <w:r w:rsidRPr="005565F8">
        <w:rPr>
          <w:color w:val="000000" w:themeColor="text1"/>
        </w:rPr>
        <w:t xml:space="preserve"> vērsts uz izglītojamo talantu attīstību, sekmējot izglītojamo snieguma paaugstināšanos valstī kopumā, </w:t>
      </w:r>
      <w:r w:rsidRPr="005565F8" w:rsidR="00C96B10">
        <w:rPr>
          <w:color w:val="000000" w:themeColor="text1"/>
        </w:rPr>
        <w:t>t.sk.</w:t>
      </w:r>
      <w:r w:rsidRPr="005565F8">
        <w:rPr>
          <w:color w:val="000000" w:themeColor="text1"/>
        </w:rPr>
        <w:t xml:space="preserve"> paredzot </w:t>
      </w:r>
      <w:r w:rsidRPr="005565F8">
        <w:t>metodikas izstrādi pedagogiem izglītojamo ar augstu sasniegumu potenciālu atpazīšanai un izkopšanai</w:t>
      </w:r>
      <w:r w:rsidRPr="005565F8">
        <w:rPr>
          <w:color w:val="000000" w:themeColor="text1"/>
        </w:rPr>
        <w:t xml:space="preserve">. </w:t>
      </w:r>
      <w:r w:rsidRPr="005565F8">
        <w:rPr>
          <w:color w:val="000000" w:themeColor="text1"/>
        </w:rPr>
        <w:t>Projekta ietvaros 2017.gadā tika piedāvāta 14 mācību priekšmetu olimpiāžu pieejamība, zinātniskās pētniecības darbības pasākumi sadarbībā ar Latvijas augstākās izglītības iestādēm un kopumā īstenotajās darbībās iesaistījās vairāk kā 5 </w:t>
      </w:r>
      <w:r w:rsidRPr="005565F8" w:rsidR="00EE6C02">
        <w:rPr>
          <w:color w:val="000000" w:themeColor="text1"/>
        </w:rPr>
        <w:t>tūkst.</w:t>
      </w:r>
      <w:r w:rsidRPr="005565F8">
        <w:rPr>
          <w:color w:val="000000" w:themeColor="text1"/>
        </w:rPr>
        <w:t xml:space="preserve"> Latvijas izglītojamo. 2018.gadā plānots piedāvāt vēl plašāku pasākumu pieejamību, t</w:t>
      </w:r>
      <w:r w:rsidRPr="005565F8" w:rsidR="00EE6C02">
        <w:rPr>
          <w:color w:val="000000" w:themeColor="text1"/>
        </w:rPr>
        <w:t>.sk.</w:t>
      </w:r>
      <w:r w:rsidRPr="005565F8">
        <w:rPr>
          <w:color w:val="000000" w:themeColor="text1"/>
        </w:rPr>
        <w:t xml:space="preserve"> nodrošināt profesionālās kompeten</w:t>
      </w:r>
      <w:r w:rsidRPr="005565F8" w:rsidR="00EE6C02">
        <w:rPr>
          <w:color w:val="000000" w:themeColor="text1"/>
        </w:rPr>
        <w:t xml:space="preserve">ces pilnveides pasākumus </w:t>
      </w:r>
      <w:r w:rsidRPr="005565F8">
        <w:rPr>
          <w:color w:val="000000" w:themeColor="text1"/>
        </w:rPr>
        <w:t>pedagogiem par talantu agrīnu identificēšanu un attīstību</w:t>
      </w:r>
      <w:r w:rsidRPr="005565F8" w:rsidR="00EE6C02">
        <w:rPr>
          <w:color w:val="000000" w:themeColor="text1"/>
        </w:rPr>
        <w:t>.</w:t>
      </w:r>
    </w:p>
    <w:p w:rsidR="00EE6C02" w:rsidRPr="005565F8" w:rsidP="00BF3D23" w14:paraId="25AC9554" w14:textId="77777777">
      <w:pPr>
        <w:spacing w:after="0"/>
        <w:rPr>
          <w:color w:val="000000" w:themeColor="text1"/>
        </w:rPr>
      </w:pPr>
      <w:r w:rsidRPr="005565F8">
        <w:rPr>
          <w:color w:val="000000" w:themeColor="text1"/>
        </w:rPr>
        <w:t xml:space="preserve">Turpretim </w:t>
      </w:r>
      <w:r w:rsidRPr="005565F8">
        <w:rPr>
          <w:color w:val="000000" w:themeColor="text1"/>
        </w:rPr>
        <w:t xml:space="preserve">projekts </w:t>
      </w:r>
      <w:r w:rsidRPr="005565F8">
        <w:rPr>
          <w:i/>
          <w:color w:val="000000" w:themeColor="text1"/>
        </w:rPr>
        <w:t xml:space="preserve">“Atbalsts izglītojamo individuālo kompetenču attīstībai” </w:t>
      </w:r>
      <w:r w:rsidRPr="005565F8">
        <w:rPr>
          <w:color w:val="000000" w:themeColor="text1"/>
        </w:rPr>
        <w:t xml:space="preserve">ir vērsts uz jaunu mācību formu ieviešanu vispārējās izglītības iestādēs </w:t>
      </w:r>
      <w:r w:rsidRPr="005565F8">
        <w:rPr>
          <w:color w:val="000000" w:themeColor="text1"/>
        </w:rPr>
        <w:t xml:space="preserve">individuālas pieejas attīstībai mācību satura apguvei un </w:t>
      </w:r>
      <w:r w:rsidRPr="005565F8">
        <w:rPr>
          <w:color w:val="000000" w:themeColor="text1"/>
        </w:rPr>
        <w:t>ārpusstundu</w:t>
      </w:r>
      <w:r w:rsidRPr="005565F8">
        <w:rPr>
          <w:color w:val="000000" w:themeColor="text1"/>
        </w:rPr>
        <w:t xml:space="preserve"> pasākumu veidā. </w:t>
      </w:r>
      <w:r w:rsidRPr="005565F8" w:rsidR="00BF3D23">
        <w:rPr>
          <w:color w:val="000000" w:themeColor="text1"/>
        </w:rPr>
        <w:t>Projekts piedāvā daudzveidīgu atbalstu gan izglītojamiem ar speciālām vajadzībām, gan mācību grūtībām, kā arī atbalstu izglītojamajiem ar augstiem sasniegumiem. Īpaša uzmanība tiek pievērsta STEM interešu izglītības programmu piedāvājumam.</w:t>
      </w:r>
    </w:p>
    <w:p w:rsidR="009E052F" w:rsidRPr="005565F8" w:rsidP="00EE6C02" w14:paraId="68E9728F" w14:textId="77777777">
      <w:pPr>
        <w:rPr>
          <w:b/>
          <w:i/>
        </w:rPr>
      </w:pPr>
      <w:r w:rsidRPr="005565F8">
        <w:rPr>
          <w:color w:val="000000" w:themeColor="text1"/>
        </w:rPr>
        <w:t>Abu minēto p</w:t>
      </w:r>
      <w:r w:rsidRPr="005565F8" w:rsidR="00BF3D23">
        <w:rPr>
          <w:color w:val="000000" w:themeColor="text1"/>
        </w:rPr>
        <w:t>rojektu</w:t>
      </w:r>
      <w:r w:rsidRPr="005565F8">
        <w:rPr>
          <w:color w:val="000000" w:themeColor="text1"/>
        </w:rPr>
        <w:t xml:space="preserve"> rezultātā plānots, ka līdz 2021.gadam 272 vispārējās izglītības iestādes būs ieviesušas individuālu pieeju izglītojamo kompetenču attīstībai. Šobrīd projektos savu darbību ir uzsākušas un īsteno 33</w:t>
      </w:r>
      <w:r w:rsidRPr="005565F8" w:rsidR="00BF3D23">
        <w:rPr>
          <w:color w:val="000000" w:themeColor="text1"/>
        </w:rPr>
        <w:t>8</w:t>
      </w:r>
      <w:r w:rsidRPr="005565F8">
        <w:rPr>
          <w:color w:val="000000" w:themeColor="text1"/>
        </w:rPr>
        <w:t xml:space="preserve"> izglītības iestādes. Kopējais plānotais finansējums – 37,6 milj. EUR, t.sk. ESF finansējums 31,9 milj. EUR</w:t>
      </w:r>
      <w:r w:rsidRPr="005565F8" w:rsidR="00BF3D23">
        <w:t>.</w:t>
      </w:r>
    </w:p>
    <w:p w:rsidR="009E052F" w:rsidRPr="005565F8" w:rsidP="009E052F" w14:paraId="5EDCB6E2" w14:textId="77777777">
      <w:pPr>
        <w:spacing w:before="120"/>
        <w:rPr>
          <w:color w:val="000000" w:themeColor="text1"/>
        </w:rPr>
      </w:pPr>
      <w:r w:rsidRPr="005565F8">
        <w:rPr>
          <w:color w:val="000000" w:themeColor="text1"/>
        </w:rPr>
        <w:t xml:space="preserve">Tiek turpināta Latvijas dalība dažādos starptautiskajos izglītības pētījumos, t.sk. OECD. Kopējais finansējums ir </w:t>
      </w:r>
      <w:r w:rsidRPr="005565F8" w:rsidR="00CE2FB2">
        <w:rPr>
          <w:color w:val="000000" w:themeColor="text1"/>
        </w:rPr>
        <w:t>6,2</w:t>
      </w:r>
      <w:r w:rsidRPr="005565F8">
        <w:rPr>
          <w:color w:val="000000" w:themeColor="text1"/>
        </w:rPr>
        <w:t xml:space="preserve"> milj. EUR, </w:t>
      </w:r>
      <w:r w:rsidRPr="005565F8" w:rsidR="00C96B10">
        <w:rPr>
          <w:color w:val="000000" w:themeColor="text1"/>
        </w:rPr>
        <w:t>t.sk.</w:t>
      </w:r>
      <w:r w:rsidRPr="005565F8">
        <w:rPr>
          <w:color w:val="000000" w:themeColor="text1"/>
        </w:rPr>
        <w:t xml:space="preserve"> ESF finansējums </w:t>
      </w:r>
      <w:r w:rsidRPr="005565F8" w:rsidR="00CE2FB2">
        <w:rPr>
          <w:color w:val="000000" w:themeColor="text1"/>
        </w:rPr>
        <w:t xml:space="preserve">5,3 </w:t>
      </w:r>
      <w:r w:rsidRPr="005565F8">
        <w:rPr>
          <w:color w:val="000000" w:themeColor="text1"/>
        </w:rPr>
        <w:t xml:space="preserve">milj. EUR. Ir paredzēta arī jaunu pētījumu veikšanu – </w:t>
      </w:r>
      <w:r w:rsidRPr="005565F8">
        <w:rPr>
          <w:i/>
          <w:color w:val="000000" w:themeColor="text1"/>
        </w:rPr>
        <w:t>OECD Starptautiskās pieaugušo kompetenču novērtēšanas programmas pētījums</w:t>
      </w:r>
      <w:r w:rsidRPr="005565F8">
        <w:rPr>
          <w:color w:val="000000" w:themeColor="text1"/>
        </w:rPr>
        <w:t xml:space="preserve"> (PIAAC) un pētījums par matemātikas un dabaszinātņu izglītības attīstības tendencēm 4.klašu skolēnu līmenī (IEA TIMSS).</w:t>
      </w:r>
    </w:p>
    <w:p w:rsidR="009E052F" w:rsidRPr="005565F8" w:rsidP="009E052F" w14:paraId="5460DB42" w14:textId="77777777">
      <w:pPr>
        <w:rPr>
          <w:color w:val="000000" w:themeColor="text1"/>
        </w:rPr>
      </w:pPr>
      <w:r w:rsidRPr="005565F8">
        <w:rPr>
          <w:color w:val="000000" w:themeColor="text1"/>
        </w:rPr>
        <w:t xml:space="preserve">2017.gada augustā </w:t>
      </w:r>
      <w:r w:rsidRPr="005565F8" w:rsidR="00C96B10">
        <w:rPr>
          <w:color w:val="000000" w:themeColor="text1"/>
        </w:rPr>
        <w:t xml:space="preserve">MK </w:t>
      </w:r>
      <w:r w:rsidRPr="005565F8">
        <w:rPr>
          <w:color w:val="000000" w:themeColor="text1"/>
        </w:rPr>
        <w:t xml:space="preserve">apstiprināja </w:t>
      </w:r>
      <w:r w:rsidRPr="005565F8" w:rsidR="00C96B10">
        <w:rPr>
          <w:i/>
          <w:color w:val="000000" w:themeColor="text1"/>
        </w:rPr>
        <w:t>N</w:t>
      </w:r>
      <w:r w:rsidRPr="005565F8">
        <w:rPr>
          <w:i/>
          <w:color w:val="000000" w:themeColor="text1"/>
        </w:rPr>
        <w:t>oteikumus</w:t>
      </w:r>
      <w:r w:rsidRPr="005565F8">
        <w:t xml:space="preserve"> </w:t>
      </w:r>
      <w:r w:rsidRPr="005565F8">
        <w:rPr>
          <w:i/>
          <w:color w:val="000000" w:themeColor="text1"/>
        </w:rPr>
        <w:t>vienotas</w:t>
      </w:r>
      <w:r w:rsidRPr="005565F8">
        <w:rPr>
          <w:color w:val="000000" w:themeColor="text1"/>
        </w:rPr>
        <w:t xml:space="preserve"> </w:t>
      </w:r>
      <w:r w:rsidRPr="005565F8">
        <w:rPr>
          <w:i/>
          <w:color w:val="000000" w:themeColor="text1"/>
        </w:rPr>
        <w:t>izglītības kvalitātes monitoringa sistēmas izveidei</w:t>
      </w:r>
      <w:r w:rsidRPr="005565F8">
        <w:rPr>
          <w:color w:val="000000" w:themeColor="text1"/>
        </w:rPr>
        <w:t>.</w:t>
      </w:r>
      <w:r w:rsidRPr="005565F8">
        <w:t xml:space="preserve"> </w:t>
      </w:r>
      <w:r w:rsidRPr="005565F8">
        <w:rPr>
          <w:color w:val="000000" w:themeColor="text1"/>
        </w:rPr>
        <w:t>Līdz 2023.gadam ar ESF finansējuma atbalstu plānota izglītības kvalitātes novērtēšanas un monitoringa sistēmas un analīzes rīku izstrāde un ieviešana</w:t>
      </w:r>
      <w:r w:rsidRPr="005565F8" w:rsidR="00A577F1">
        <w:rPr>
          <w:color w:val="000000" w:themeColor="text1"/>
        </w:rPr>
        <w:t xml:space="preserve">. </w:t>
      </w:r>
      <w:r w:rsidRPr="005565F8">
        <w:rPr>
          <w:color w:val="000000" w:themeColor="text1"/>
        </w:rPr>
        <w:t xml:space="preserve">Kopējais plānotais finansējums 4,8 milj. EUR, </w:t>
      </w:r>
      <w:r w:rsidRPr="005565F8" w:rsidR="00C96B10">
        <w:rPr>
          <w:color w:val="000000" w:themeColor="text1"/>
        </w:rPr>
        <w:t>t.sk.</w:t>
      </w:r>
      <w:r w:rsidRPr="005565F8">
        <w:rPr>
          <w:color w:val="000000" w:themeColor="text1"/>
        </w:rPr>
        <w:t xml:space="preserve"> ESF finansējums – 4,1 milj. EUR. </w:t>
      </w:r>
    </w:p>
    <w:p w:rsidR="00951581" w:rsidRPr="005565F8" w:rsidP="009E052F" w14:paraId="22C8670B" w14:textId="77777777">
      <w:pPr>
        <w:sectPr w:rsidSect="005D1AD0">
          <w:type w:val="continuous"/>
          <w:pgSz w:w="11906" w:h="16838" w:code="9"/>
          <w:pgMar w:top="1134" w:right="1134" w:bottom="1134" w:left="1134" w:header="709" w:footer="567" w:gutter="0"/>
          <w:cols w:num="2" w:space="340"/>
          <w:titlePg/>
          <w:docGrid w:linePitch="360"/>
        </w:sectPr>
      </w:pPr>
    </w:p>
    <w:p w:rsidR="00951581" w:rsidRPr="005565F8" w:rsidP="009E052F" w14:paraId="7D25D255" w14:textId="77777777"/>
    <w:p w:rsidR="00A23025" w:rsidRPr="005565F8" w:rsidP="00A23025" w14:paraId="2F02EFB4" w14:textId="77777777">
      <w:pPr>
        <w:pStyle w:val="Heading3"/>
      </w:pPr>
      <w:bookmarkStart w:id="83" w:name="_Toc510687754"/>
      <w:bookmarkStart w:id="84" w:name="_Toc256000023"/>
      <w:bookmarkStart w:id="85" w:name="_Toc256000058"/>
      <w:r w:rsidRPr="005565F8">
        <w:t>3.4.3. Profesionālā vidējā izglītība</w:t>
      </w:r>
      <w:bookmarkEnd w:id="85"/>
      <w:bookmarkEnd w:id="84"/>
      <w:bookmarkEnd w:id="82"/>
      <w:bookmarkEnd w:id="83"/>
    </w:p>
    <w:p w:rsidR="00951581" w:rsidRPr="005565F8" w:rsidP="009E052F" w14:paraId="1EB2AABA" w14:textId="77777777">
      <w:pPr>
        <w:rPr>
          <w:color w:val="000000" w:themeColor="text1"/>
        </w:rPr>
        <w:sectPr w:rsidSect="005D1AD0">
          <w:type w:val="continuous"/>
          <w:pgSz w:w="11906" w:h="16838" w:code="9"/>
          <w:pgMar w:top="1134" w:right="1134" w:bottom="1134" w:left="1134" w:header="709" w:footer="567" w:gutter="0"/>
          <w:cols w:space="340"/>
          <w:titlePg/>
          <w:docGrid w:linePitch="360"/>
        </w:sectPr>
      </w:pPr>
    </w:p>
    <w:p w:rsidR="009E052F" w:rsidRPr="005565F8" w:rsidP="009E052F" w14:paraId="474C6F59" w14:textId="77777777">
      <w:r w:rsidRPr="005565F8">
        <w:rPr>
          <w:color w:val="000000" w:themeColor="text1"/>
        </w:rPr>
        <w:t xml:space="preserve">Līdz 2020.gadam plānots panākt izglītojamo skaita proporcijas izmaiņas starp profesionālo vidējo un vispārējo vidējo izglītību – par labu profesionālajai izglītībai uz attiecību 50/50. </w:t>
      </w:r>
      <w:r w:rsidRPr="005565F8">
        <w:t xml:space="preserve">2016./2017.mācību gadā visu izglītojamo skaita proporciju profesionālajā vidējā izglītībā pret vispārējo vidējo izglītību bija 38,6/61,4. </w:t>
      </w:r>
    </w:p>
    <w:p w:rsidR="009E052F" w:rsidRPr="005565F8" w:rsidP="009E052F" w14:paraId="5A5871A3" w14:textId="77777777">
      <w:pPr>
        <w:rPr>
          <w:color w:val="000000" w:themeColor="text1"/>
        </w:rPr>
      </w:pPr>
      <w:r w:rsidRPr="005565F8">
        <w:rPr>
          <w:color w:val="000000" w:themeColor="text1"/>
        </w:rPr>
        <w:t>Galvenie politikas principi, lai mainītu izglītojamo skaita proporcijas, ir vispārēji profesionālās izglītības pievilcības veicināšanas pasākumi, piemēram, infrastruktūras modernizēšana, izglītības programmu kvalitāte, audzēkņu sociālais nodrošinājums, karjeras izglītības pasākumi, sadarbība ar darba devējiem prakšu un potenciāli darba vietu nodrošināšanai, inovatīvas pieejas profesionālās izglītības nodrošināšanā, t.sk. ieviešot darba vidē balstītas mācības.</w:t>
      </w:r>
    </w:p>
    <w:p w:rsidR="009E052F" w:rsidRPr="005565F8" w:rsidP="009E052F" w14:paraId="0E0C5EEC" w14:textId="77777777">
      <w:pPr>
        <w:rPr>
          <w:rFonts w:eastAsia="Times New Roman"/>
          <w:color w:val="000000" w:themeColor="text1"/>
          <w:lang w:eastAsia="lv-LV"/>
        </w:rPr>
      </w:pPr>
      <w:r w:rsidRPr="005565F8">
        <w:rPr>
          <w:rFonts w:eastAsia="Times New Roman"/>
          <w:color w:val="000000" w:themeColor="text1"/>
          <w:lang w:eastAsia="lv-LV"/>
        </w:rPr>
        <w:t xml:space="preserve">Lai nodrošinātu speciālistu sagatavošanu atbilstoši darba tirgus prasībām, profesionālās izglītības satura reformas rezultātā tika izveidoti patstāvīgi sadarbības mehānismi ar sociālajiem partneriem un nozares organizācijām. Uzņemšana konkrētās profesionālās izglītības programmās noteikta, ņemot vērā EM izstrādātās vidēja un ilgtermiņa darba tirgus prognozes, nozaru ekspertu padomju un konventu viedokli un rekomendācijas jauniešu iesaistei un noturēšanā nozarēm nepieciešamajās profesijās, un saskaņota ar Profesionālās izglītības un nodarbinātības trīspusējās sadarbības </w:t>
      </w:r>
      <w:r w:rsidRPr="005565F8">
        <w:rPr>
          <w:rFonts w:eastAsia="Times New Roman"/>
          <w:color w:val="000000" w:themeColor="text1"/>
          <w:lang w:eastAsia="lv-LV"/>
        </w:rPr>
        <w:t>apakšpadomi</w:t>
      </w:r>
      <w:r w:rsidRPr="005565F8">
        <w:rPr>
          <w:rFonts w:eastAsia="Times New Roman"/>
          <w:color w:val="000000" w:themeColor="text1"/>
          <w:lang w:eastAsia="lv-LV"/>
        </w:rPr>
        <w:t xml:space="preserve">. </w:t>
      </w:r>
    </w:p>
    <w:p w:rsidR="009E052F" w:rsidRPr="005565F8" w:rsidP="009E052F" w14:paraId="0BA23C02" w14:textId="77777777">
      <w:pPr>
        <w:rPr>
          <w:rFonts w:eastAsia="Times New Roman"/>
          <w:color w:val="000000" w:themeColor="text1"/>
          <w:lang w:eastAsia="lv-LV"/>
        </w:rPr>
      </w:pPr>
      <w:r w:rsidRPr="005565F8">
        <w:rPr>
          <w:rFonts w:eastAsia="Times New Roman"/>
          <w:color w:val="000000" w:themeColor="text1"/>
          <w:lang w:eastAsia="lv-LV"/>
        </w:rPr>
        <w:t>Būtiska loma koordinētai izglītības un nodarbinātības politiku īstenošanai un konkurētspējas veicināšanai ir Nodarbinātības padomei</w:t>
      </w:r>
      <w:r>
        <w:rPr>
          <w:rStyle w:val="FootnoteReference"/>
          <w:rFonts w:eastAsia="Times New Roman"/>
          <w:color w:val="000000" w:themeColor="text1"/>
          <w:lang w:eastAsia="lv-LV"/>
        </w:rPr>
        <w:footnoteReference w:id="48"/>
      </w:r>
      <w:r w:rsidRPr="005565F8">
        <w:rPr>
          <w:rFonts w:eastAsia="Times New Roman"/>
          <w:color w:val="000000" w:themeColor="text1"/>
          <w:lang w:eastAsia="lv-LV"/>
        </w:rPr>
        <w:t>.</w:t>
      </w:r>
    </w:p>
    <w:p w:rsidR="000F3EEF" w:rsidRPr="005565F8" w:rsidP="009E052F" w14:paraId="69E4DC03" w14:textId="77777777">
      <w:pPr>
        <w:rPr>
          <w:rFonts w:eastAsia="Times New Roman"/>
          <w:color w:val="000000" w:themeColor="text1"/>
          <w:lang w:eastAsia="lv-LV"/>
        </w:rPr>
        <w:sectPr w:rsidSect="005D1AD0">
          <w:type w:val="continuous"/>
          <w:pgSz w:w="11906" w:h="16838" w:code="9"/>
          <w:pgMar w:top="1134" w:right="1134" w:bottom="1134" w:left="1134" w:header="709" w:footer="567" w:gutter="0"/>
          <w:cols w:num="2" w:space="340"/>
          <w:titlePg/>
          <w:docGrid w:linePitch="360"/>
        </w:sectPr>
      </w:pPr>
    </w:p>
    <w:p w:rsidR="00AA614F" w:rsidRPr="005565F8" w:rsidP="009E052F" w14:paraId="0BD93D47" w14:textId="77777777">
      <w:pPr>
        <w:rPr>
          <w:rFonts w:eastAsia="Times New Roman"/>
          <w:color w:val="000000" w:themeColor="text1"/>
          <w:lang w:eastAsia="lv-LV"/>
        </w:rPr>
      </w:pPr>
    </w:p>
    <w:p w:rsidR="00AA614F" w:rsidRPr="005565F8" w:rsidP="00AA614F" w14:paraId="28108CA2"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AA614F" w:rsidRPr="005565F8" w:rsidP="00AA614F" w14:paraId="1DEFF367"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Strukturālo izmaiņu īstenošana profesionālajā izglītībā</w:t>
      </w:r>
    </w:p>
    <w:p w:rsidR="00AA614F" w:rsidRPr="005565F8" w:rsidP="00AA614F" w14:paraId="19597403"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 KM/</w:t>
      </w:r>
    </w:p>
    <w:p w:rsidR="000F3EEF" w:rsidRPr="005565F8" w:rsidP="00B22046" w14:paraId="17C45668"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9E052F" w:rsidRPr="005565F8" w:rsidP="00AA614F" w14:paraId="623399EA" w14:textId="77777777">
      <w:pPr>
        <w:spacing w:before="240"/>
        <w:rPr>
          <w:color w:val="000000" w:themeColor="text1"/>
        </w:rPr>
      </w:pPr>
      <w:r w:rsidRPr="005565F8">
        <w:rPr>
          <w:color w:val="000000" w:themeColor="text1"/>
        </w:rPr>
        <w:t xml:space="preserve">Mērķis ir paaugstināt profesionālās izglītības kvalitāti, nodrošinot tās atbilstību darba tirgus prasībām, kā arī sekmēt pieejamo resursu efektīvāku izmantošanu, optimizējot un diferencējot profesionālās izglītības iestāžu skaitu un izvietojumu reģionos. </w:t>
      </w:r>
    </w:p>
    <w:p w:rsidR="009E052F" w:rsidRPr="005565F8" w:rsidP="009E052F" w14:paraId="70A48072" w14:textId="77777777">
      <w:pPr>
        <w:rPr>
          <w:color w:val="000000" w:themeColor="text1"/>
        </w:rPr>
      </w:pPr>
      <w:r w:rsidRPr="005565F8">
        <w:rPr>
          <w:color w:val="000000" w:themeColor="text1"/>
        </w:rPr>
        <w:t>IZM padotībā esošo vidējās profesionālās izglītības iestāžu skaits samazinājies no 60 iestādēm 2010.gadā līdz 21 iestādei 2017.gadā, bet KM padotībā esošo vidējās profesionālās izglītības iestāžu skaits no 14 iestādēm 2014.gadā samazinājies līdz 10 iestādēm 2016./2017.gada mācību gada sākumā.</w:t>
      </w:r>
    </w:p>
    <w:p w:rsidR="009E052F" w:rsidRPr="005565F8" w:rsidP="009E052F" w14:paraId="71E07877" w14:textId="77777777">
      <w:pPr>
        <w:spacing w:after="100"/>
        <w:rPr>
          <w:color w:val="000000" w:themeColor="text1"/>
        </w:rPr>
      </w:pPr>
      <w:r w:rsidRPr="005565F8">
        <w:rPr>
          <w:color w:val="000000" w:themeColor="text1"/>
        </w:rPr>
        <w:t>Lai tālāk modernizētu profesionālās izglītības iestāžu  infrastruktūru un prioritārās izglītības programmas un izvietojumu reģionos, tiek veicināta Profesionālās izglītības kompetences centra (PIKC) statusa iegūšana. 2017.gada beigās PIKC statuss bija piešķirts kopā jau 23 profesionālās izglītības iestādēm, no kur</w:t>
      </w:r>
      <w:r w:rsidRPr="005565F8" w:rsidR="00AC6BB9">
        <w:rPr>
          <w:color w:val="000000" w:themeColor="text1"/>
        </w:rPr>
        <w:t>ā</w:t>
      </w:r>
      <w:r w:rsidRPr="005565F8">
        <w:rPr>
          <w:color w:val="000000" w:themeColor="text1"/>
        </w:rPr>
        <w:t xml:space="preserve"> 4 profesionālās vidējās kultūrizglītības iestāžu kompetences centri ir izveidoti KM padotībā esošajās vidējās profesionālās izglītības iestādēs un viens – pašvaldības vidējās profesionālās kultūrizglītības iestādē.</w:t>
      </w:r>
    </w:p>
    <w:p w:rsidR="009E052F" w:rsidRPr="005565F8" w:rsidP="009E052F" w14:paraId="4B7A7287" w14:textId="77777777">
      <w:pPr>
        <w:autoSpaceDE w:val="0"/>
        <w:autoSpaceDN w:val="0"/>
        <w:adjustRightInd w:val="0"/>
        <w:spacing w:after="100"/>
        <w:rPr>
          <w:color w:val="000000" w:themeColor="text1"/>
        </w:rPr>
      </w:pPr>
      <w:r w:rsidRPr="005565F8">
        <w:rPr>
          <w:color w:val="000000" w:themeColor="text1"/>
        </w:rPr>
        <w:t xml:space="preserve">2017.gadā uzsākta 21 </w:t>
      </w:r>
      <w:r w:rsidRPr="005565F8">
        <w:rPr>
          <w:i/>
          <w:color w:val="000000" w:themeColor="text1"/>
        </w:rPr>
        <w:t>profesionālās izglītības iestāžu modernizācijas</w:t>
      </w:r>
      <w:r w:rsidRPr="005565F8">
        <w:rPr>
          <w:color w:val="000000" w:themeColor="text1"/>
        </w:rPr>
        <w:t xml:space="preserve"> projekta īstenošana, turpinot iepriekšējā ES fondu plānošanas periodā iesākto mācību aprīkojuma modernizāciju un profesionālās izglītības iestāžu infrastruktūras uzlabošanu profesionālās izglītības programmu īstenošanai. Kopumā līdz 2023.gadam plānots sniegt atbalstu 25 profesionālās izglītības iestādēm, īpaši PIKC. Kopējais plānotais  attiecināmais finansējums ir 104,2 milj</w:t>
      </w:r>
      <w:r w:rsidRPr="005565F8">
        <w:rPr>
          <w:i/>
          <w:color w:val="000000" w:themeColor="text1"/>
        </w:rPr>
        <w:t xml:space="preserve">. </w:t>
      </w:r>
      <w:r w:rsidRPr="005565F8">
        <w:rPr>
          <w:color w:val="000000" w:themeColor="text1"/>
        </w:rPr>
        <w:t xml:space="preserve">EUR, </w:t>
      </w:r>
      <w:r w:rsidRPr="005565F8" w:rsidR="00AC6BB9">
        <w:rPr>
          <w:color w:val="000000" w:themeColor="text1"/>
        </w:rPr>
        <w:t>t.sk.</w:t>
      </w:r>
      <w:r w:rsidRPr="005565F8">
        <w:rPr>
          <w:color w:val="000000" w:themeColor="text1"/>
        </w:rPr>
        <w:t xml:space="preserve"> ERAF finansējums 88,6 milj. EUR un valsts budžeta finansējums 15,6 milj. </w:t>
      </w:r>
      <w:r w:rsidRPr="005565F8">
        <w:rPr>
          <w:i/>
          <w:color w:val="000000" w:themeColor="text1"/>
        </w:rPr>
        <w:t xml:space="preserve"> </w:t>
      </w:r>
      <w:r w:rsidRPr="005565F8">
        <w:rPr>
          <w:color w:val="000000" w:themeColor="text1"/>
        </w:rPr>
        <w:t>EUR.</w:t>
      </w:r>
    </w:p>
    <w:p w:rsidR="009E052F" w:rsidRPr="005565F8" w:rsidP="009E052F" w14:paraId="33888447" w14:textId="77777777">
      <w:pPr>
        <w:autoSpaceDE w:val="0"/>
        <w:autoSpaceDN w:val="0"/>
        <w:adjustRightInd w:val="0"/>
        <w:rPr>
          <w:bCs/>
        </w:rPr>
      </w:pPr>
      <w:r w:rsidRPr="005565F8">
        <w:rPr>
          <w:bCs/>
        </w:rPr>
        <w:t xml:space="preserve">2017. gada 27. janvārī  LDDK uzsāka īstenot ESF projektu </w:t>
      </w:r>
      <w:r w:rsidRPr="005565F8">
        <w:rPr>
          <w:bCs/>
          <w:i/>
        </w:rPr>
        <w:t>“Palielināt kvalificētu profesionālās izglītības iestāžu audzēkņu skaitu pēc to dalības darba vidē balstītās mācībās vai mācību praksē uzņēmumā”</w:t>
      </w:r>
      <w:r w:rsidRPr="005565F8">
        <w:rPr>
          <w:bCs/>
        </w:rPr>
        <w:t xml:space="preserve">. Projekta mērķis ir veicināt DVB mācību ieviešanu. Projekta ietvaros uz 2018. gada 2.februāri 614 uzņēmumos DVB mācībās bija iesaistīti 319 izglītojamie, bet mācību praksēs 1 508 izglītojami. </w:t>
      </w:r>
      <w:r w:rsidRPr="005565F8">
        <w:rPr>
          <w:bCs/>
        </w:rPr>
        <w:t xml:space="preserve">Līdz 2023.gada nogalei projekta ietvaros plānots sniegt atbalstu 3 150 audzēkņu iesaistei DVB mācībās un 11 025 audzēkņiem dalībai mācību praksēs uzņēmumā. Plānotais kopējais finansējums ir 21,9 milj. EUR, </w:t>
      </w:r>
      <w:r w:rsidRPr="005565F8" w:rsidR="00AC6BB9">
        <w:rPr>
          <w:bCs/>
        </w:rPr>
        <w:t>t.sk.</w:t>
      </w:r>
      <w:r w:rsidRPr="005565F8">
        <w:rPr>
          <w:bCs/>
        </w:rPr>
        <w:t xml:space="preserve"> ESF finansējums 18,6 milj. EUR un valsts budžeta finansējums 3,3 milj. EUR.</w:t>
      </w:r>
    </w:p>
    <w:p w:rsidR="009E052F" w:rsidRPr="005565F8" w:rsidP="009E052F" w14:paraId="17476C77" w14:textId="77777777">
      <w:pPr>
        <w:spacing w:after="100"/>
        <w:rPr>
          <w:bCs/>
        </w:rPr>
      </w:pPr>
      <w:r w:rsidRPr="005565F8">
        <w:rPr>
          <w:bCs/>
        </w:rPr>
        <w:t xml:space="preserve">2017.gada janvārī ar starptautisku konferenci un Baltijas semināru noslēdzās </w:t>
      </w:r>
      <w:r w:rsidRPr="005565F8">
        <w:rPr>
          <w:bCs/>
        </w:rPr>
        <w:t>Erasmus</w:t>
      </w:r>
      <w:r w:rsidRPr="005565F8">
        <w:rPr>
          <w:bCs/>
        </w:rPr>
        <w:t>+ programmas projekts “</w:t>
      </w:r>
      <w:r w:rsidRPr="005565F8">
        <w:rPr>
          <w:bCs/>
          <w:i/>
        </w:rPr>
        <w:t>Valsts pārvaldes institūciju atbalsts māceklībai: darba vidē balstītu mācību īstenošana Latvijā, Lietuvā un Igaunijā (WBL-Balt)”</w:t>
      </w:r>
      <w:r w:rsidRPr="005565F8">
        <w:rPr>
          <w:bCs/>
        </w:rPr>
        <w:t>, kura mērķis bija sadarbībā ar Igaunijas un Lietuvas partneriem popularizēt DVB mācības un</w:t>
      </w:r>
      <w:r w:rsidRPr="005565F8">
        <w:t xml:space="preserve"> </w:t>
      </w:r>
      <w:r w:rsidRPr="005565F8">
        <w:rPr>
          <w:bCs/>
        </w:rPr>
        <w:t xml:space="preserve">kura rezultātā izstrādātas konceptuālās pieejas DVB mācībām Latvijā. Šobrīd, kad notiek DVB mācību sistēmas sakārtošana, viens no sistēmas būtiskākajiem elementiem ir atbilstošu prakšu vadītāju sagatavošana. Uzsākts jauns projekts </w:t>
      </w:r>
      <w:r w:rsidRPr="005565F8">
        <w:rPr>
          <w:bCs/>
          <w:i/>
        </w:rPr>
        <w:t>“Jaunas pieejas prakšu vadītāju sagatavošanā darba vidē balstītām mācībām (TTT4WBL)”</w:t>
      </w:r>
      <w:r w:rsidRPr="005565F8">
        <w:rPr>
          <w:bCs/>
        </w:rPr>
        <w:t xml:space="preserve">, kura mērķis ir atbalstīt DVB mācību ieviešanu Baltijas valstīs, apmainoties pieredzē un testējot jaunas pieejas (piemēram, </w:t>
      </w:r>
      <w:r w:rsidRPr="005565F8">
        <w:rPr>
          <w:bCs/>
          <w:i/>
        </w:rPr>
        <w:t>tandem</w:t>
      </w:r>
      <w:r w:rsidRPr="005565F8">
        <w:rPr>
          <w:bCs/>
          <w:i/>
        </w:rPr>
        <w:t xml:space="preserve"> </w:t>
      </w:r>
      <w:r w:rsidRPr="005565F8">
        <w:rPr>
          <w:bCs/>
          <w:i/>
        </w:rPr>
        <w:t>training</w:t>
      </w:r>
      <w:r w:rsidRPr="005565F8">
        <w:rPr>
          <w:bCs/>
        </w:rPr>
        <w:t>) prakšu vadītāju sagatavošanā. Līdz 2017.gada beigām projektā no Latvijas ir iesaistīti 70 prakšu vadītāji, 6 treneri un izstrādāta 16 stundu profesionālās pilnveides programma prakšu vadītājiem no skolām un uzņēmumiem. Kopumā projektā līdz 2020.gadam Latvijā plānots iesaistīt 300 prakšu vadītājus.</w:t>
      </w:r>
      <w:r w:rsidRPr="005565F8">
        <w:t xml:space="preserve"> Projekta rezultātā plānots arī izstrādāt </w:t>
      </w:r>
      <w:r w:rsidRPr="005565F8">
        <w:rPr>
          <w:bCs/>
        </w:rPr>
        <w:t>DVB</w:t>
      </w:r>
      <w:r w:rsidRPr="005565F8">
        <w:t xml:space="preserve"> </w:t>
      </w:r>
      <w:r w:rsidRPr="005565F8">
        <w:rPr>
          <w:bCs/>
        </w:rPr>
        <w:t>mācību un prakšu vadītāju  mācību programmu.</w:t>
      </w:r>
    </w:p>
    <w:p w:rsidR="009E052F" w:rsidRPr="005565F8" w:rsidP="009E052F" w14:paraId="2A18CE73" w14:textId="77777777">
      <w:pPr>
        <w:rPr>
          <w:bCs/>
        </w:rPr>
      </w:pPr>
      <w:r w:rsidRPr="005565F8">
        <w:rPr>
          <w:bCs/>
        </w:rPr>
        <w:t xml:space="preserve">2017.gadā uzsākta </w:t>
      </w:r>
      <w:r w:rsidRPr="005565F8">
        <w:rPr>
          <w:bCs/>
        </w:rPr>
        <w:t>Erasmus</w:t>
      </w:r>
      <w:r w:rsidRPr="005565F8">
        <w:rPr>
          <w:bCs/>
        </w:rPr>
        <w:t>+ programmas finansētā projekta īstenošana, kuras ietvaros paredzēts apkopot un analizēt informāciju par profesionālās izglītības izglītojamo un absolventu iekļaušanos darba tirgū, un izstrādāt sistēmu DVB mācību kvalitātes novērtēšanai.</w:t>
      </w:r>
    </w:p>
    <w:p w:rsidR="009E052F" w:rsidRPr="005565F8" w:rsidP="009E052F" w14:paraId="14B4D49E" w14:textId="77777777">
      <w:pPr>
        <w:rPr>
          <w:color w:val="000000" w:themeColor="text1"/>
        </w:rPr>
      </w:pPr>
      <w:r w:rsidRPr="005565F8">
        <w:rPr>
          <w:color w:val="000000" w:themeColor="text1"/>
        </w:rPr>
        <w:t>2017.gadā veikts padziļinātas ekspertīzes pētījums par profesionālās vidējās izglītības finansēšanu Latvijā, uz tā pamata 2018.gadā tiks pilnveidots profesionālās izglītības programmas finansēšanas modelis.</w:t>
      </w:r>
    </w:p>
    <w:p w:rsidR="000F3EEF" w:rsidRPr="005565F8" w:rsidP="009E052F" w14:paraId="784D65C5"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AA614F" w:rsidRPr="005565F8" w:rsidP="009E052F" w14:paraId="4C46357F" w14:textId="77777777">
      <w:pPr>
        <w:rPr>
          <w:color w:val="000000" w:themeColor="text1"/>
        </w:rPr>
      </w:pPr>
    </w:p>
    <w:p w:rsidR="00AA614F" w:rsidRPr="005565F8" w:rsidP="00AA614F" w14:paraId="3C7F1796"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Profesionālās izglītības satura reformas īstenošana</w:t>
      </w:r>
    </w:p>
    <w:p w:rsidR="00AA614F" w:rsidRPr="005565F8" w:rsidP="00AA614F" w14:paraId="72B8B626"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3330B5C9"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9E052F" w:rsidRPr="005565F8" w:rsidP="00AA614F" w14:paraId="6EBA9BBC" w14:textId="77777777">
      <w:pPr>
        <w:spacing w:before="240"/>
        <w:rPr>
          <w:color w:val="000000"/>
        </w:rPr>
      </w:pPr>
      <w:r w:rsidRPr="005565F8">
        <w:rPr>
          <w:color w:val="000000"/>
        </w:rPr>
        <w:t xml:space="preserve">Profesionālās izglītības kvalitātes un efektivitātes uzlabošanai atbilstoši tautsaimniecības nozaru attīstības vajadzībām Latvijā tiek veidota nozaru kvalifikāciju sistēma, kuras ietvaros tiek pārstrukturizēts profesionālās izglītības saturs. Veicot tautsaimniecības nozaru izpēti, nozaru kvalifikāciju sistēmā tiek veidotas nozaru kvalifikācijas struktūras, </w:t>
      </w:r>
      <w:r w:rsidRPr="005565F8">
        <w:rPr>
          <w:color w:val="000000"/>
        </w:rPr>
        <w:t>izstrādājot vai pilnveidojot profesiju standartus, un saistīto profesiju vai specializāciju kvalifikācijas prasības, izveidojot uz sasniedzamajiem rezultātiem balstītas profesionālās izglītības programmas, uzlabojot eksaminācijas sistēmu, kā arī novērtējot ārpus formālās izglītības iegūtās zināšanas, prasmes un kompetences (</w:t>
      </w:r>
      <w:r w:rsidRPr="005565F8">
        <w:rPr>
          <w:i/>
          <w:color w:val="000000"/>
        </w:rPr>
        <w:t>skat. 2.2.nodaļu</w:t>
      </w:r>
      <w:r w:rsidRPr="005565F8">
        <w:rPr>
          <w:color w:val="000000"/>
        </w:rPr>
        <w:t xml:space="preserve">). </w:t>
      </w:r>
    </w:p>
    <w:p w:rsidR="000F3EEF" w:rsidRPr="005565F8" w:rsidP="00AA614F" w14:paraId="07F57296"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AA614F" w:rsidRPr="005565F8" w:rsidP="00AA614F" w14:paraId="6E399E8F" w14:textId="77777777">
      <w:pPr>
        <w:rPr>
          <w:color w:val="000000" w:themeColor="text1"/>
        </w:rPr>
      </w:pPr>
    </w:p>
    <w:p w:rsidR="00AA614F" w:rsidRPr="005565F8" w:rsidP="00AA614F" w14:paraId="3384CB63"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 xml:space="preserve">Sadarbības </w:t>
      </w:r>
      <w:r w:rsidRPr="005565F8" w:rsidR="00AC6BB9">
        <w:rPr>
          <w:rFonts w:ascii="Calibri Light" w:hAnsi="Calibri Light"/>
          <w:b/>
          <w:color w:val="228B9D"/>
          <w:sz w:val="24"/>
        </w:rPr>
        <w:t xml:space="preserve">stiprināšana </w:t>
      </w:r>
      <w:r w:rsidRPr="005565F8">
        <w:rPr>
          <w:rFonts w:ascii="Calibri Light" w:hAnsi="Calibri Light"/>
          <w:b/>
          <w:color w:val="228B9D"/>
          <w:sz w:val="24"/>
        </w:rPr>
        <w:t>ar sociālajiem partneriem profesionālās izglītības pilnveidošanai un attīstībai nozaru kontekstā</w:t>
      </w:r>
    </w:p>
    <w:p w:rsidR="00AA614F" w:rsidRPr="005565F8" w:rsidP="00AA614F" w14:paraId="087B5D20"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7FB04506"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9E052F" w:rsidRPr="005565F8" w:rsidP="00042931" w14:paraId="2855046C" w14:textId="77777777">
      <w:pPr>
        <w:spacing w:before="240"/>
        <w:rPr>
          <w:color w:val="000000" w:themeColor="text1"/>
        </w:rPr>
      </w:pPr>
      <w:r w:rsidRPr="005565F8">
        <w:rPr>
          <w:color w:val="000000" w:themeColor="text1"/>
        </w:rPr>
        <w:t xml:space="preserve">Visās IZM pārvaldībā esošajās profesionālajās izglītības iestādēs kopš 2016.gada sākuma aktīvi darbojas koleģiāla padomdevēju institūciju – konvents. Konventa sastāvā ir iekļauti profesionālās izglītības iestādes vadītājs, ministrijas, pašvaldības, kā arī darba devēju un to apvienību pārstāvji, var iekļaut arī attiecīgā plānošanas reģiona pārstāvi. Mērķis ir veicināt profesionālās izglītības iestādes attīstību, nosakot tās darbības stratēģiskos virzienus, atbilstoši darba tirgus prasībām. </w:t>
      </w:r>
    </w:p>
    <w:p w:rsidR="009E052F" w:rsidRPr="005565F8" w:rsidP="00EF6343" w14:paraId="609765D8" w14:textId="77777777">
      <w:pPr>
        <w:spacing w:before="120"/>
        <w:rPr>
          <w:bCs/>
          <w:color w:val="000000" w:themeColor="text1"/>
        </w:rPr>
      </w:pPr>
      <w:r w:rsidRPr="005565F8">
        <w:rPr>
          <w:bCs/>
          <w:color w:val="000000" w:themeColor="text1"/>
        </w:rPr>
        <w:t>Turpinās 2016.gadā uzsāktā ESF projekta “</w:t>
      </w:r>
      <w:r w:rsidRPr="005565F8">
        <w:rPr>
          <w:bCs/>
          <w:i/>
          <w:color w:val="000000" w:themeColor="text1"/>
        </w:rPr>
        <w:t>Profesionālās izglītības iestāžu efektīva pārvaldība un personāla kompetences pilnveide”</w:t>
      </w:r>
      <w:r w:rsidRPr="005565F8">
        <w:rPr>
          <w:bCs/>
          <w:color w:val="000000" w:themeColor="text1"/>
        </w:rPr>
        <w:t xml:space="preserve"> īstenošana, kura ietvaros tiek sniegts atbalsts profesionālās izglītības iestāžu personāla kvalifikācijas pilnveidei mācību organizācijas, metodisko jautājumu, tehnoloģiju attīstības kontekstā, tostarp uzlabojot un veicinot sadarbību ar darba devējiem. Projekta ietvaros mācībās piedalījušās 1205 personas. Kopējais plānotais </w:t>
      </w:r>
      <w:r w:rsidRPr="005565F8">
        <w:rPr>
          <w:bCs/>
          <w:iCs/>
          <w:color w:val="000000" w:themeColor="text1"/>
        </w:rPr>
        <w:t xml:space="preserve">finansējums ir 6,49 milj. EUR, </w:t>
      </w:r>
      <w:r w:rsidRPr="005565F8" w:rsidR="005D7D35">
        <w:rPr>
          <w:bCs/>
          <w:iCs/>
          <w:color w:val="000000" w:themeColor="text1"/>
        </w:rPr>
        <w:t>t.sk.</w:t>
      </w:r>
      <w:r w:rsidRPr="005565F8">
        <w:rPr>
          <w:bCs/>
          <w:iCs/>
          <w:color w:val="000000" w:themeColor="text1"/>
        </w:rPr>
        <w:t xml:space="preserve"> ESF finansējums 5,52 milj. EUR un valsts budžeta līdzfinansējums – 0,97 milj. EUR</w:t>
      </w:r>
      <w:r w:rsidRPr="005565F8">
        <w:rPr>
          <w:bCs/>
          <w:color w:val="000000" w:themeColor="text1"/>
        </w:rPr>
        <w:t>.</w:t>
      </w:r>
    </w:p>
    <w:p w:rsidR="00951581" w:rsidRPr="005565F8" w:rsidP="00EF6343" w14:paraId="2B2AFBAB" w14:textId="77777777">
      <w:pPr>
        <w:spacing w:before="120"/>
        <w:rPr>
          <w:bCs/>
          <w:color w:val="000000" w:themeColor="text1"/>
        </w:rPr>
        <w:sectPr w:rsidSect="005D1AD0">
          <w:type w:val="continuous"/>
          <w:pgSz w:w="11906" w:h="16838" w:code="9"/>
          <w:pgMar w:top="1134" w:right="1134" w:bottom="1134" w:left="1134" w:header="709" w:footer="567" w:gutter="0"/>
          <w:cols w:num="2" w:space="340"/>
          <w:titlePg/>
          <w:docGrid w:linePitch="360"/>
        </w:sectPr>
      </w:pPr>
    </w:p>
    <w:p w:rsidR="00951581" w:rsidRPr="005565F8" w:rsidP="00042931" w14:paraId="2B058DB0" w14:textId="77777777"/>
    <w:p w:rsidR="00A23025" w:rsidRPr="005565F8" w:rsidP="00A23025" w14:paraId="0F19661E" w14:textId="77777777">
      <w:pPr>
        <w:pStyle w:val="Heading3"/>
      </w:pPr>
      <w:bookmarkStart w:id="86" w:name="_Toc510687755"/>
      <w:bookmarkStart w:id="87" w:name="_Toc256000024"/>
      <w:bookmarkStart w:id="88" w:name="_Toc256000059"/>
      <w:r w:rsidRPr="005565F8">
        <w:t>3.4.4. Augstākā izglītība</w:t>
      </w:r>
      <w:bookmarkEnd w:id="88"/>
      <w:bookmarkEnd w:id="87"/>
      <w:bookmarkEnd w:id="86"/>
    </w:p>
    <w:p w:rsidR="00951581" w:rsidRPr="005565F8" w:rsidP="00EF6343" w14:paraId="5C6F43D2" w14:textId="77777777">
      <w:pPr>
        <w:rPr>
          <w:color w:val="000000" w:themeColor="text1"/>
        </w:rPr>
        <w:sectPr w:rsidSect="005D1AD0">
          <w:type w:val="continuous"/>
          <w:pgSz w:w="11906" w:h="16838" w:code="9"/>
          <w:pgMar w:top="1134" w:right="1134" w:bottom="1134" w:left="1134" w:header="709" w:footer="567" w:gutter="0"/>
          <w:cols w:space="340"/>
          <w:titlePg/>
          <w:docGrid w:linePitch="360"/>
        </w:sectPr>
      </w:pPr>
    </w:p>
    <w:p w:rsidR="00A23025" w:rsidRPr="005565F8" w:rsidP="00EF6343" w14:paraId="3389AE99" w14:textId="77777777">
      <w:pPr>
        <w:rPr>
          <w:color w:val="000000" w:themeColor="text1"/>
        </w:rPr>
      </w:pPr>
      <w:r w:rsidRPr="005565F8">
        <w:rPr>
          <w:color w:val="000000" w:themeColor="text1"/>
        </w:rPr>
        <w:t>Augstākās izglītības jomā Latvijas NRP noteiktais mērķis ir nodrošināt, ka 2020.gadā 34-36% iedzīvotāju (30-34 gadu vecuma grupā) ir ar augstāko izglītību.</w:t>
      </w:r>
    </w:p>
    <w:p w:rsidR="00042931" w:rsidRPr="005565F8" w:rsidP="00EF6343" w14:paraId="43FBFF38" w14:textId="47D0238B">
      <w:pPr>
        <w:rPr>
          <w:color w:val="000000" w:themeColor="text1"/>
        </w:rPr>
      </w:pPr>
      <w:r w:rsidRPr="005565F8">
        <w:rPr>
          <w:color w:val="000000" w:themeColor="text1"/>
        </w:rPr>
        <w:t xml:space="preserve">NRP noteiktais mērķis 2020.gadam attiecībā uz iedzīvotāju ar augstāko izglītību īpatsvaru tika pārsniegts 2012.gadā. </w:t>
      </w:r>
      <w:r w:rsidRPr="005565F8">
        <w:rPr>
          <w:iCs/>
          <w:color w:val="000000" w:themeColor="text1"/>
        </w:rPr>
        <w:t>201</w:t>
      </w:r>
      <w:r w:rsidRPr="005565F8" w:rsidR="00CE50EC">
        <w:rPr>
          <w:iCs/>
          <w:color w:val="000000" w:themeColor="text1"/>
        </w:rPr>
        <w:t>7</w:t>
      </w:r>
      <w:r w:rsidRPr="005565F8">
        <w:rPr>
          <w:iCs/>
          <w:color w:val="000000" w:themeColor="text1"/>
        </w:rPr>
        <w:t xml:space="preserve">.gadā rādītājs sasniedza </w:t>
      </w:r>
      <w:r w:rsidR="00303DBE">
        <w:rPr>
          <w:iCs/>
          <w:color w:val="000000" w:themeColor="text1"/>
        </w:rPr>
        <w:t>43,7</w:t>
      </w:r>
      <w:r w:rsidRPr="005565F8">
        <w:rPr>
          <w:iCs/>
          <w:color w:val="000000" w:themeColor="text1"/>
        </w:rPr>
        <w:t>%.</w:t>
      </w:r>
    </w:p>
    <w:p w:rsidR="00EF6343" w:rsidRPr="005565F8" w:rsidP="00EF6343" w14:paraId="357AE6CE" w14:textId="77777777">
      <w:pPr>
        <w:pStyle w:val="ListParagraph"/>
        <w:keepNext/>
        <w:spacing w:before="240"/>
        <w:ind w:left="0"/>
        <w:jc w:val="right"/>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C413AB" w:rsidRPr="005565F8" w:rsidP="00C413AB" w14:paraId="46F5300C" w14:textId="77777777">
      <w:pPr>
        <w:rPr>
          <w:color w:val="000000" w:themeColor="text1"/>
        </w:rPr>
      </w:pPr>
    </w:p>
    <w:p w:rsidR="00EF6343" w:rsidP="002D47FA" w14:paraId="2698D8BA" w14:textId="6B6A2CDA">
      <w:pPr>
        <w:pStyle w:val="ListParagraph"/>
        <w:keepNext/>
        <w:shd w:val="clear" w:color="auto" w:fill="FFFFFF" w:themeFill="background1"/>
        <w:spacing w:after="0"/>
        <w:ind w:left="0" w:right="-1"/>
        <w:contextualSpacing w:val="0"/>
        <w:jc w:val="right"/>
        <w:rPr>
          <w:rFonts w:ascii="Calibri Light" w:hAnsi="Calibri Light"/>
          <w:i/>
          <w:sz w:val="16"/>
        </w:rPr>
      </w:pPr>
      <w:r w:rsidRPr="005565F8">
        <w:rPr>
          <w:rFonts w:ascii="Calibri Light" w:hAnsi="Calibri Light"/>
          <w:sz w:val="8"/>
          <w:szCs w:val="8"/>
        </w:rPr>
        <w:tab/>
      </w:r>
      <w:r w:rsidRPr="005565F8">
        <w:rPr>
          <w:rFonts w:ascii="Calibri Light" w:hAnsi="Calibri Light"/>
        </w:rPr>
        <w:tab/>
        <w:t>3.4.attēls</w:t>
      </w:r>
      <w:r w:rsidRPr="005565F8">
        <w:rPr>
          <w:rFonts w:ascii="Calibri Light" w:hAnsi="Calibri Light"/>
        </w:rPr>
        <w:br/>
      </w:r>
      <w:r w:rsidRPr="005565F8">
        <w:rPr>
          <w:rFonts w:ascii="Calibri Light" w:hAnsi="Calibri Light"/>
          <w:b/>
          <w:sz w:val="24"/>
        </w:rPr>
        <w:tab/>
        <w:t>Augstāko izglītību ieguvušo iedzīvotāju īpatsvar</w:t>
      </w:r>
      <w:r w:rsidRPr="005565F8" w:rsidR="00F659E2">
        <w:rPr>
          <w:rFonts w:ascii="Calibri Light" w:hAnsi="Calibri Light"/>
          <w:b/>
          <w:sz w:val="24"/>
        </w:rPr>
        <w:t>s</w:t>
      </w:r>
      <w:r w:rsidRPr="005565F8" w:rsidR="003946E8">
        <w:rPr>
          <w:rFonts w:ascii="Calibri Light" w:hAnsi="Calibri Light"/>
          <w:b/>
          <w:sz w:val="24"/>
        </w:rPr>
        <w:br/>
      </w:r>
      <w:r w:rsidRPr="005565F8">
        <w:rPr>
          <w:rFonts w:ascii="Calibri Light" w:hAnsi="Calibri Light"/>
          <w:i/>
          <w:sz w:val="16"/>
        </w:rPr>
        <w:tab/>
      </w:r>
      <w:r w:rsidRPr="005565F8" w:rsidR="003946E8">
        <w:rPr>
          <w:rFonts w:ascii="Calibri Light" w:hAnsi="Calibri Light"/>
          <w:i/>
          <w:sz w:val="16"/>
        </w:rPr>
        <w:t>Vecuma grupā 30-34 gadi</w:t>
      </w:r>
      <w:r w:rsidRPr="005565F8">
        <w:rPr>
          <w:rFonts w:ascii="Calibri Light" w:hAnsi="Calibri Light"/>
          <w:i/>
          <w:sz w:val="16"/>
        </w:rPr>
        <w:t>, procentos</w:t>
      </w:r>
    </w:p>
    <w:p w:rsidR="002D47FA" w:rsidP="002D47FA" w14:paraId="6347A4A0" w14:textId="5CF074B2">
      <w:pPr>
        <w:pStyle w:val="ListParagraph"/>
        <w:keepNext/>
        <w:shd w:val="clear" w:color="auto" w:fill="FFFFFF" w:themeFill="background1"/>
        <w:spacing w:after="0"/>
        <w:ind w:left="0" w:right="-1"/>
        <w:contextualSpacing w:val="0"/>
        <w:jc w:val="right"/>
        <w:rPr>
          <w:rFonts w:ascii="Calibri Light" w:hAnsi="Calibri Light"/>
          <w:i/>
          <w:sz w:val="16"/>
        </w:rPr>
      </w:pPr>
    </w:p>
    <w:p w:rsidR="002D47FA" w:rsidRPr="002D47FA" w:rsidP="002D47FA" w14:paraId="0FB9B78B" w14:textId="77777777">
      <w:pPr>
        <w:pStyle w:val="ListParagraph"/>
        <w:shd w:val="clear" w:color="auto" w:fill="B8CCE4" w:themeFill="accent1" w:themeFillTint="66"/>
        <w:tabs>
          <w:tab w:val="left" w:pos="426"/>
        </w:tabs>
        <w:spacing w:after="0"/>
        <w:ind w:left="0" w:right="-1"/>
        <w:contextualSpacing w:val="0"/>
        <w:jc w:val="center"/>
        <w:rPr>
          <w:noProof/>
          <w:sz w:val="16"/>
          <w:lang w:eastAsia="lv-LV"/>
        </w:rPr>
      </w:pPr>
    </w:p>
    <w:p w:rsidR="00EF6343" w:rsidRPr="005565F8" w:rsidP="002D47FA" w14:paraId="50BF27BE" w14:textId="77777777">
      <w:pPr>
        <w:pStyle w:val="ListParagraph"/>
        <w:shd w:val="clear" w:color="auto" w:fill="B8CCE4" w:themeFill="accent1" w:themeFillTint="66"/>
        <w:tabs>
          <w:tab w:val="left" w:pos="426"/>
        </w:tabs>
        <w:spacing w:after="0"/>
        <w:ind w:left="0" w:right="-1"/>
        <w:contextualSpacing w:val="0"/>
        <w:jc w:val="center"/>
        <w:rPr>
          <w:rFonts w:ascii="Calibri Light" w:hAnsi="Calibri Light"/>
          <w:sz w:val="16"/>
          <w:szCs w:val="20"/>
        </w:rPr>
      </w:pPr>
      <w:r w:rsidRPr="005565F8">
        <w:rPr>
          <w:noProof/>
          <w:lang w:eastAsia="lv-LV"/>
        </w:rPr>
        <w:drawing>
          <wp:inline distT="0" distB="0" distL="0" distR="0">
            <wp:extent cx="5760000" cy="2160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F6343" w:rsidRPr="005565F8" w:rsidP="002D47FA" w14:paraId="50648B80" w14:textId="77777777">
      <w:pPr>
        <w:pStyle w:val="ListParagraph"/>
        <w:shd w:val="clear" w:color="auto" w:fill="B8CCE4" w:themeFill="accent1" w:themeFillTint="66"/>
        <w:tabs>
          <w:tab w:val="left" w:pos="426"/>
        </w:tabs>
        <w:spacing w:after="0"/>
        <w:ind w:left="0" w:right="-1"/>
        <w:contextualSpacing w:val="0"/>
        <w:jc w:val="center"/>
        <w:rPr>
          <w:rFonts w:ascii="Calibri Light" w:hAnsi="Calibri Light"/>
          <w:sz w:val="16"/>
          <w:szCs w:val="20"/>
        </w:rPr>
      </w:pPr>
    </w:p>
    <w:p w:rsidR="00EF6343" w:rsidRPr="005565F8" w:rsidP="002D47FA" w14:paraId="3C48816C" w14:textId="77777777">
      <w:pPr>
        <w:pStyle w:val="ListParagraph"/>
        <w:shd w:val="clear" w:color="auto" w:fill="B8CCE4" w:themeFill="accent1" w:themeFillTint="66"/>
        <w:tabs>
          <w:tab w:val="left" w:pos="426"/>
        </w:tabs>
        <w:spacing w:after="0"/>
        <w:ind w:left="0" w:right="-1"/>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 xml:space="preserve">Avots: </w:t>
      </w:r>
      <w:r w:rsidRPr="005565F8" w:rsidR="003946E8">
        <w:rPr>
          <w:rFonts w:ascii="Calibri Light" w:hAnsi="Calibri Light"/>
          <w:i/>
          <w:color w:val="595959" w:themeColor="text1" w:themeTint="A6"/>
          <w:sz w:val="16"/>
          <w:szCs w:val="20"/>
        </w:rPr>
        <w:t>Eurostat</w:t>
      </w:r>
      <w:r w:rsidRPr="005565F8" w:rsidR="003946E8">
        <w:rPr>
          <w:rFonts w:ascii="Calibri Light" w:hAnsi="Calibri Light"/>
          <w:color w:val="595959" w:themeColor="text1" w:themeTint="A6"/>
          <w:sz w:val="16"/>
          <w:szCs w:val="20"/>
        </w:rPr>
        <w:t xml:space="preserve">, </w:t>
      </w:r>
      <w:r w:rsidRPr="005565F8">
        <w:rPr>
          <w:rFonts w:ascii="Calibri Light" w:hAnsi="Calibri Light"/>
          <w:color w:val="595959" w:themeColor="text1" w:themeTint="A6"/>
          <w:sz w:val="16"/>
          <w:szCs w:val="20"/>
        </w:rPr>
        <w:t>CSP</w:t>
      </w:r>
      <w:r w:rsidRPr="005565F8" w:rsidR="003946E8">
        <w:rPr>
          <w:rFonts w:ascii="Calibri Light" w:hAnsi="Calibri Light"/>
          <w:color w:val="595959" w:themeColor="text1" w:themeTint="A6"/>
          <w:sz w:val="16"/>
          <w:szCs w:val="20"/>
        </w:rPr>
        <w:t xml:space="preserve"> un IZM</w:t>
      </w:r>
    </w:p>
    <w:p w:rsidR="00C413AB" w:rsidRPr="005565F8" w:rsidP="002D47FA" w14:paraId="4499D07E" w14:textId="77777777">
      <w:pPr>
        <w:pStyle w:val="ListParagraph"/>
        <w:shd w:val="clear" w:color="auto" w:fill="B8CCE4" w:themeFill="accent1" w:themeFillTint="66"/>
        <w:tabs>
          <w:tab w:val="left" w:pos="426"/>
        </w:tabs>
        <w:spacing w:after="0"/>
        <w:ind w:left="0" w:right="-1"/>
        <w:contextualSpacing w:val="0"/>
        <w:rPr>
          <w:color w:val="000000" w:themeColor="text1"/>
          <w:sz w:val="8"/>
        </w:rPr>
      </w:pPr>
    </w:p>
    <w:p w:rsidR="00EF6343" w:rsidRPr="005565F8" w:rsidP="00EF6343" w14:paraId="5BE05DD2" w14:textId="77777777">
      <w:pPr>
        <w:rPr>
          <w:color w:val="000000" w:themeColor="text1"/>
        </w:rPr>
      </w:pPr>
    </w:p>
    <w:p w:rsidR="00042931" w:rsidRPr="005565F8" w:rsidP="00EF6343" w14:paraId="497C1848" w14:textId="77777777">
      <w:pPr>
        <w:rPr>
          <w:color w:val="000000" w:themeColor="text1"/>
        </w:rPr>
        <w:sectPr w:rsidSect="005D1AD0">
          <w:type w:val="continuous"/>
          <w:pgSz w:w="11906" w:h="16838" w:code="9"/>
          <w:pgMar w:top="1134" w:right="1134" w:bottom="1134" w:left="1134" w:header="709" w:footer="567" w:gutter="0"/>
          <w:cols w:space="340"/>
          <w:titlePg/>
          <w:docGrid w:linePitch="360"/>
        </w:sectPr>
      </w:pPr>
    </w:p>
    <w:p w:rsidR="007F62F9" w:rsidRPr="005565F8" w:rsidP="007F62F9" w14:paraId="38BC5793" w14:textId="77777777">
      <w:pPr>
        <w:rPr>
          <w:color w:val="000000" w:themeColor="text1"/>
        </w:rPr>
      </w:pPr>
      <w:r w:rsidRPr="005565F8">
        <w:rPr>
          <w:color w:val="000000" w:themeColor="text1"/>
        </w:rPr>
        <w:t xml:space="preserve">Latvijā jau 10 gadus vērojama studējošo skaita samazināšanās tendence. 2017./2018. akadēmiskā gada sākumā Latvijas augstākās izglītības institūcijās kopā studēja 81,6 tūkst. studenti, kas bija par 1,6% mazāk nekā iepriekšējā gadā. Savukārt, salīdzinājumā ar 2005./2006. akadēmisko gadu, kad studentu skaits Latvijā sasniedza maksimāli augstāko līmeni, studentu skaits ir samazinājies par 38%. Par valsts budžeta līdzekļiem 2017./2018. akadēmiskajā gadā studēja 34 tūkst. studenti jeb 42% no kopējā studentu skaita. Samazinoties studējošo kopskaitam, studējošo īpatsvars </w:t>
      </w:r>
      <w:r w:rsidRPr="005565F8" w:rsidR="004B6E97">
        <w:rPr>
          <w:color w:val="000000" w:themeColor="text1"/>
        </w:rPr>
        <w:t xml:space="preserve">budžeta vietās </w:t>
      </w:r>
      <w:r w:rsidRPr="005565F8">
        <w:rPr>
          <w:color w:val="000000" w:themeColor="text1"/>
        </w:rPr>
        <w:t xml:space="preserve">laika gaitā pieaug. 2018.gadā </w:t>
      </w:r>
      <w:r w:rsidRPr="005565F8">
        <w:rPr>
          <w:color w:val="000000" w:themeColor="text1"/>
        </w:rPr>
        <w:t>60% no valsts budžeta finansētām studiju vietām, ņemot vērā darba tirgus vidēja un ilgtermiņa prognozes, ir valstij prioritārās nozarēs – dabaszinātnēs, inženierzinātnēs, veselības aprūpē, kā arī maģistrantūrā un doktorantūrā, kas ir svarīgi gan jaunu mācībspēku, gan zinātnieku sagatavošanā. 41% no valsts budžeta finansētām studiju vietām ir piešķirtas tieši STEM jomas programmās.</w:t>
      </w:r>
    </w:p>
    <w:p w:rsidR="007F62F9" w:rsidRPr="005565F8" w:rsidP="007F62F9" w14:paraId="2C787EF1" w14:textId="77777777">
      <w:pPr>
        <w:rPr>
          <w:color w:val="000000" w:themeColor="text1"/>
        </w:rPr>
      </w:pPr>
      <w:r w:rsidRPr="005565F8">
        <w:rPr>
          <w:color w:val="000000" w:themeColor="text1"/>
        </w:rPr>
        <w:t>Augstākās izglītības jomā joprojām aktuāli ir šādi izaicinājumi:</w:t>
      </w:r>
    </w:p>
    <w:p w:rsidR="007F62F9" w:rsidRPr="005565F8" w:rsidP="00735883" w14:paraId="25AAA38B" w14:textId="77777777">
      <w:pPr>
        <w:pStyle w:val="ListParagraph"/>
        <w:numPr>
          <w:ilvl w:val="0"/>
          <w:numId w:val="31"/>
        </w:numPr>
        <w:spacing w:after="60"/>
        <w:ind w:left="284" w:hanging="284"/>
        <w:contextualSpacing w:val="0"/>
        <w:rPr>
          <w:color w:val="000000" w:themeColor="text1"/>
        </w:rPr>
      </w:pPr>
      <w:r w:rsidRPr="005565F8">
        <w:rPr>
          <w:color w:val="000000" w:themeColor="text1"/>
        </w:rPr>
        <w:t xml:space="preserve">augstākās izglītības jomas zems finansējums, salīdzinot ar vispārējās izglītības posmu (finansējums uz vienu studējošo Latvijā ir viens no zemākajiem ES, kas ierobežo iespējas nodrošināt kvalitāti un starptautisko konkurētspēju); </w:t>
      </w:r>
    </w:p>
    <w:p w:rsidR="007F62F9" w:rsidRPr="005565F8" w:rsidP="00735883" w14:paraId="1E50C39F" w14:textId="77777777">
      <w:pPr>
        <w:pStyle w:val="ListParagraph"/>
        <w:numPr>
          <w:ilvl w:val="0"/>
          <w:numId w:val="31"/>
        </w:numPr>
        <w:spacing w:after="60"/>
        <w:ind w:left="284" w:hanging="284"/>
        <w:contextualSpacing w:val="0"/>
        <w:rPr>
          <w:color w:val="000000" w:themeColor="text1"/>
        </w:rPr>
      </w:pPr>
      <w:r w:rsidRPr="005565F8">
        <w:rPr>
          <w:color w:val="000000" w:themeColor="text1"/>
        </w:rPr>
        <w:t xml:space="preserve">politikas plānošanas dokumentos paredzētajam STEM jomu absolventu pieaugumam nav  piešķirts mērķtiecīgs finansējums, līdz ar to padarot iespējamu vien pakāpenisku, ierobežotā apmērā veicamu valsts budžeta finansēto studiju vietu pārdali no citām studiju jomām; </w:t>
      </w:r>
    </w:p>
    <w:p w:rsidR="007F62F9" w:rsidRPr="005565F8" w:rsidP="00735883" w14:paraId="1B6D601D" w14:textId="77777777">
      <w:pPr>
        <w:pStyle w:val="ListParagraph"/>
        <w:numPr>
          <w:ilvl w:val="0"/>
          <w:numId w:val="31"/>
        </w:numPr>
        <w:spacing w:after="60"/>
        <w:ind w:left="284" w:hanging="284"/>
        <w:contextualSpacing w:val="0"/>
        <w:rPr>
          <w:color w:val="000000" w:themeColor="text1"/>
        </w:rPr>
      </w:pPr>
      <w:r w:rsidRPr="005565F8">
        <w:rPr>
          <w:color w:val="000000" w:themeColor="text1"/>
        </w:rPr>
        <w:t>konkurence ar Ziemeļeiropas reģiona valstīm, liela daļa no kurām piedāvā bezmaksas augstāko izglītību visiem ES pilsoņiem, lai pretēji demogrāfiskām tendencēm nodrošinātu kvalificētu darbaspēku savam darba tirgum. Piemēram, Igaunijā ir pārgājusi uz pilnībā valsts budžeta finansēto augstāko izglītību, kamēr Latvijā 2017.gadā 42% no studējošiem studēja valsts budžeta finansētajās studiju vietās un 58% – par studiju maksu.</w:t>
      </w:r>
    </w:p>
    <w:p w:rsidR="000F3EEF" w:rsidRPr="005565F8" w:rsidP="00042931" w14:paraId="4E0CF899" w14:textId="77777777">
      <w:pPr>
        <w:rPr>
          <w:rFonts w:eastAsia="Times New Roman"/>
          <w:color w:val="000000" w:themeColor="text1"/>
          <w:lang w:eastAsia="lv-LV"/>
        </w:rPr>
        <w:sectPr w:rsidSect="005D1AD0">
          <w:type w:val="continuous"/>
          <w:pgSz w:w="11906" w:h="16838" w:code="9"/>
          <w:pgMar w:top="1134" w:right="1134" w:bottom="1134" w:left="1134" w:header="709" w:footer="567" w:gutter="0"/>
          <w:cols w:num="2" w:space="340"/>
          <w:titlePg/>
          <w:docGrid w:linePitch="360"/>
        </w:sectPr>
      </w:pPr>
    </w:p>
    <w:p w:rsidR="00042931" w:rsidRPr="005565F8" w:rsidP="00042931" w14:paraId="62A9EB08" w14:textId="77777777">
      <w:pPr>
        <w:rPr>
          <w:rFonts w:eastAsia="Times New Roman"/>
          <w:color w:val="000000" w:themeColor="text1"/>
          <w:lang w:eastAsia="lv-LV"/>
        </w:rPr>
      </w:pPr>
    </w:p>
    <w:p w:rsidR="00042931" w:rsidRPr="005565F8" w:rsidP="00042931" w14:paraId="2BAA8FDD"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042931" w:rsidRPr="005565F8" w:rsidP="00042931" w14:paraId="495DD1B9"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Augstākās izglītības modernizācija</w:t>
      </w:r>
    </w:p>
    <w:p w:rsidR="00042931" w:rsidRPr="005565F8" w:rsidP="00042931" w14:paraId="2F438824"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4CCA9010"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7F62F9" w:rsidRPr="005565F8" w:rsidP="00042931" w14:paraId="12059E7E" w14:textId="77777777">
      <w:pPr>
        <w:spacing w:before="240"/>
        <w:rPr>
          <w:b/>
          <w:i/>
        </w:rPr>
      </w:pPr>
      <w:r w:rsidRPr="005565F8">
        <w:t>Politikas virziens vērsts uz augstākās izglītības piedāvājuma nodrošināšanu un salāgošanu ar Latvijas tautsaimniecības attīstības un darba tirgus vajadzībām un kvalitatīvu, pētniecībā balstītu augstākās izglītības saturu un rezultātu pārvaldību augstākās izglītības institūcijās.</w:t>
      </w:r>
    </w:p>
    <w:p w:rsidR="007F62F9" w:rsidRPr="005565F8" w:rsidP="007F62F9" w14:paraId="7C9DF1BB" w14:textId="77777777">
      <w:pPr>
        <w:spacing w:before="120"/>
        <w:rPr>
          <w:bCs/>
          <w:color w:val="000000" w:themeColor="text1"/>
        </w:rPr>
      </w:pPr>
      <w:r w:rsidRPr="005565F8">
        <w:t>Jaunā</w:t>
      </w:r>
      <w:r w:rsidRPr="005565F8">
        <w:rPr>
          <w:i/>
        </w:rPr>
        <w:t xml:space="preserve"> augstākās izglītības finansēšanas modeļa ieviešanas </w:t>
      </w:r>
      <w:r w:rsidRPr="005565F8">
        <w:t>ietvaros</w:t>
      </w:r>
      <w:r>
        <w:rPr>
          <w:rStyle w:val="FootnoteReference"/>
        </w:rPr>
        <w:footnoteReference w:id="49"/>
      </w:r>
      <w:r w:rsidRPr="005565F8">
        <w:rPr>
          <w:i/>
        </w:rPr>
        <w:t xml:space="preserve"> </w:t>
      </w:r>
      <w:r w:rsidRPr="005565F8">
        <w:rPr>
          <w:bCs/>
          <w:color w:val="000000" w:themeColor="text1"/>
        </w:rPr>
        <w:t xml:space="preserve">2017.gadā 14 augstskolām </w:t>
      </w:r>
      <w:r w:rsidRPr="005565F8">
        <w:t xml:space="preserve">un koledžām, kas visveiksmīgāk iesaistījušas pētniecībā un radošajā darbā studentus un jaunos zinātniekus, īstenojušas starptautiskos pētniecības projektus un sadarbojušās ar uzņēmējiem </w:t>
      </w:r>
      <w:r w:rsidRPr="005565F8" w:rsidR="00F77A08">
        <w:t>(</w:t>
      </w:r>
      <w:r w:rsidRPr="005565F8">
        <w:rPr>
          <w:bCs/>
          <w:color w:val="000000" w:themeColor="text1"/>
        </w:rPr>
        <w:t>kopā izmaksāts snieguma finansējums 6,5 milj. EUR apmērā</w:t>
      </w:r>
      <w:r w:rsidRPr="005565F8" w:rsidR="00F77A08">
        <w:rPr>
          <w:bCs/>
          <w:color w:val="000000" w:themeColor="text1"/>
        </w:rPr>
        <w:t>)</w:t>
      </w:r>
      <w:r w:rsidRPr="005565F8">
        <w:rPr>
          <w:bCs/>
          <w:color w:val="000000" w:themeColor="text1"/>
        </w:rPr>
        <w:t>.</w:t>
      </w:r>
    </w:p>
    <w:p w:rsidR="007F62F9" w:rsidRPr="005565F8" w:rsidP="007F62F9" w14:paraId="524F8858" w14:textId="77777777">
      <w:pPr>
        <w:spacing w:before="120"/>
        <w:rPr>
          <w:bCs/>
          <w:color w:val="000000" w:themeColor="text1"/>
        </w:rPr>
      </w:pPr>
      <w:r w:rsidRPr="005565F8">
        <w:rPr>
          <w:rFonts w:eastAsia="Times New Roman"/>
          <w:color w:val="000000"/>
          <w:lang w:eastAsia="lv-LV"/>
        </w:rPr>
        <w:t xml:space="preserve">Izglītības nozares aktualitātes saistībā ar vispārējās izglītības satura reformu izvirza konceptuāli citas prasības jauno pedagogu sagatavošanā, un </w:t>
      </w:r>
      <w:r w:rsidRPr="005565F8">
        <w:rPr>
          <w:bCs/>
          <w:color w:val="000000" w:themeColor="text1"/>
        </w:rPr>
        <w:t>ir uzsāk</w:t>
      </w:r>
      <w:r w:rsidRPr="005565F8" w:rsidR="00F77A08">
        <w:rPr>
          <w:bCs/>
          <w:color w:val="000000" w:themeColor="text1"/>
        </w:rPr>
        <w:t>ta</w:t>
      </w:r>
      <w:r w:rsidRPr="005565F8">
        <w:rPr>
          <w:bCs/>
          <w:color w:val="000000" w:themeColor="text1"/>
        </w:rPr>
        <w:t xml:space="preserve"> </w:t>
      </w:r>
      <w:r w:rsidRPr="005565F8">
        <w:rPr>
          <w:rFonts w:eastAsia="Times New Roman"/>
          <w:color w:val="000000"/>
          <w:lang w:eastAsia="lv-LV"/>
        </w:rPr>
        <w:t>pārej</w:t>
      </w:r>
      <w:r w:rsidRPr="005565F8" w:rsidR="00F77A08">
        <w:rPr>
          <w:rFonts w:eastAsia="Times New Roman"/>
          <w:color w:val="000000"/>
          <w:lang w:eastAsia="lv-LV"/>
        </w:rPr>
        <w:t>a</w:t>
      </w:r>
      <w:r w:rsidRPr="005565F8">
        <w:rPr>
          <w:rFonts w:eastAsia="Times New Roman"/>
          <w:color w:val="000000"/>
          <w:lang w:eastAsia="lv-LV"/>
        </w:rPr>
        <w:t xml:space="preserve"> uz konceptuāli jaunu </w:t>
      </w:r>
      <w:r w:rsidRPr="005565F8">
        <w:rPr>
          <w:rFonts w:eastAsia="Times New Roman"/>
          <w:i/>
          <w:color w:val="000000"/>
          <w:lang w:eastAsia="lv-LV"/>
        </w:rPr>
        <w:t xml:space="preserve">skolotāju sagatavošanas sistēmu </w:t>
      </w:r>
      <w:r w:rsidRPr="005565F8">
        <w:rPr>
          <w:rFonts w:eastAsia="Times New Roman"/>
          <w:color w:val="000000"/>
          <w:lang w:eastAsia="lv-LV"/>
        </w:rPr>
        <w:t xml:space="preserve">augstskolās. 2017.gadā sagatavoti priekšlikumi konceptuāli jaunas kompetencēs balstītas izglītības prasībām atbilstošas skolotāju izglītības nodrošināšanai Latvijā, t.sk. </w:t>
      </w:r>
      <w:r w:rsidRPr="005565F8" w:rsidR="00F77A08">
        <w:rPr>
          <w:rFonts w:eastAsia="Times New Roman"/>
          <w:color w:val="000000"/>
          <w:lang w:eastAsia="lv-LV"/>
        </w:rPr>
        <w:t xml:space="preserve">ES </w:t>
      </w:r>
      <w:r w:rsidRPr="005565F8">
        <w:rPr>
          <w:rFonts w:eastAsia="Times New Roman"/>
          <w:color w:val="000000"/>
          <w:lang w:eastAsia="lv-LV"/>
        </w:rPr>
        <w:t>fondu programmu  īstenošanas nosacījumu izstrādei, kopumā 10 milj. EUR novirzot skolotāju izglītības attīstībai.</w:t>
      </w:r>
      <w:r w:rsidRPr="005565F8">
        <w:rPr>
          <w:bCs/>
          <w:color w:val="000000" w:themeColor="text1"/>
        </w:rPr>
        <w:t xml:space="preserve"> Bez tam</w:t>
      </w:r>
      <w:r w:rsidRPr="005565F8" w:rsidR="00BD63B5">
        <w:rPr>
          <w:bCs/>
          <w:color w:val="000000" w:themeColor="text1"/>
        </w:rPr>
        <w:t>,</w:t>
      </w:r>
      <w:r w:rsidRPr="005565F8">
        <w:rPr>
          <w:bCs/>
          <w:color w:val="000000" w:themeColor="text1"/>
        </w:rPr>
        <w:t xml:space="preserve"> </w:t>
      </w:r>
      <w:r w:rsidRPr="005565F8">
        <w:rPr>
          <w:color w:val="000000" w:themeColor="text1"/>
        </w:rPr>
        <w:t>turpinot pilnveidot studiju vietu piešķiršanas kārtību</w:t>
      </w:r>
      <w:r w:rsidRPr="005565F8">
        <w:rPr>
          <w:bCs/>
          <w:color w:val="000000" w:themeColor="text1"/>
        </w:rPr>
        <w:t>, p</w:t>
      </w:r>
      <w:r w:rsidRPr="005565F8">
        <w:rPr>
          <w:rFonts w:eastAsia="Times New Roman"/>
          <w:color w:val="000000"/>
          <w:lang w:eastAsia="lv-LV"/>
        </w:rPr>
        <w:t xml:space="preserve">aredzēts, ka 2018. un 2019.gados tiks samazināts valsts budžeta finansēto studiju vietu skaits jauno pedagogu sagatavošanai. Taču vienlaicīgi, sākot ar 2018.gadu, augstskolām, </w:t>
      </w:r>
      <w:r w:rsidRPr="005565F8">
        <w:rPr>
          <w:color w:val="000000" w:themeColor="text1"/>
        </w:rPr>
        <w:t>kuras gatavo skolotājus,</w:t>
      </w:r>
      <w:r w:rsidRPr="005565F8">
        <w:rPr>
          <w:rFonts w:eastAsia="Times New Roman"/>
          <w:color w:val="000000"/>
          <w:lang w:eastAsia="lv-LV"/>
        </w:rPr>
        <w:t xml:space="preserve"> tiks piešķirts papildu finansējums </w:t>
      </w:r>
      <w:r w:rsidRPr="005565F8">
        <w:rPr>
          <w:color w:val="000000" w:themeColor="text1"/>
        </w:rPr>
        <w:t>atkarībā no tā, cik absolventu uzsākuši darba gaitas izglītības iestādēs</w:t>
      </w:r>
      <w:r w:rsidRPr="005565F8">
        <w:rPr>
          <w:rFonts w:eastAsia="Times New Roman"/>
          <w:color w:val="000000"/>
          <w:lang w:eastAsia="lv-LV"/>
        </w:rPr>
        <w:t>. Mērķis ir stimulēt augstskolas rūpīgi vērtēt potenciālo studentu motivāciju un piemērotību darbam izglītības iestādēs.</w:t>
      </w:r>
    </w:p>
    <w:p w:rsidR="007F62F9" w:rsidRPr="005565F8" w:rsidP="007F62F9" w14:paraId="502E8A15" w14:textId="77777777">
      <w:pPr>
        <w:spacing w:before="120"/>
        <w:rPr>
          <w:color w:val="000000" w:themeColor="text1"/>
        </w:rPr>
      </w:pPr>
      <w:r w:rsidRPr="005565F8">
        <w:rPr>
          <w:color w:val="000000" w:themeColor="text1"/>
        </w:rPr>
        <w:t xml:space="preserve">Ir </w:t>
      </w:r>
      <w:r w:rsidRPr="005565F8" w:rsidR="00234792">
        <w:rPr>
          <w:color w:val="000000" w:themeColor="text1"/>
        </w:rPr>
        <w:t xml:space="preserve">ieviests </w:t>
      </w:r>
      <w:r w:rsidRPr="005565F8">
        <w:rPr>
          <w:i/>
          <w:color w:val="000000" w:themeColor="text1"/>
        </w:rPr>
        <w:t>Studējošo un absolventu reģistr</w:t>
      </w:r>
      <w:r w:rsidRPr="005565F8" w:rsidR="00234792">
        <w:rPr>
          <w:i/>
          <w:color w:val="000000" w:themeColor="text1"/>
        </w:rPr>
        <w:t>s</w:t>
      </w:r>
      <w:r w:rsidRPr="005565F8">
        <w:rPr>
          <w:color w:val="000000" w:themeColor="text1"/>
        </w:rPr>
        <w:t>. Reģistr</w:t>
      </w:r>
      <w:r w:rsidRPr="005565F8" w:rsidR="00BD63B5">
        <w:rPr>
          <w:color w:val="000000" w:themeColor="text1"/>
        </w:rPr>
        <w:t>ā</w:t>
      </w:r>
      <w:r w:rsidRPr="005565F8">
        <w:rPr>
          <w:color w:val="000000" w:themeColor="text1"/>
        </w:rPr>
        <w:t xml:space="preserve"> tiek uzkrāti dati personu līmenī par augstskolu studiju programmās studējošajiem, kā arī nepersonificēti dati par absolventu nodarbinātību. Pirmreizējās ziņas par personām, kas pašlaik studē, reģistrā tika ievadītas 2017.gada decembrī. Turpmāk pamatinformācija tiek aktualizēta katru mēnesi. Iegūtie dati tiks izmantoti, lai nodrošinātu mērķtiecīgu augstākās izglītības finansēšanu un sekmētu apzinātu, faktiskajā darba tirgus situācijā balstītu studiju programmas izvēli.</w:t>
      </w:r>
      <w:r w:rsidRPr="005565F8">
        <w:rPr>
          <w:bCs/>
          <w:color w:val="000000" w:themeColor="text1"/>
        </w:rPr>
        <w:t xml:space="preserve"> </w:t>
      </w:r>
    </w:p>
    <w:p w:rsidR="007F62F9" w:rsidRPr="005565F8" w:rsidP="007F62F9" w14:paraId="247439F9" w14:textId="77777777">
      <w:pPr>
        <w:autoSpaceDE w:val="0"/>
        <w:autoSpaceDN w:val="0"/>
        <w:adjustRightInd w:val="0"/>
        <w:spacing w:before="120"/>
        <w:rPr>
          <w:color w:val="000000" w:themeColor="text1"/>
        </w:rPr>
      </w:pPr>
      <w:r w:rsidRPr="005565F8">
        <w:rPr>
          <w:color w:val="000000" w:themeColor="text1"/>
        </w:rPr>
        <w:t xml:space="preserve">2017.gadā turpināta attīstības finansējuma plānošana no ES fondu līdzekļiem. Nodrošināts atbalsts </w:t>
      </w:r>
      <w:r w:rsidRPr="005565F8">
        <w:rPr>
          <w:color w:val="000000" w:themeColor="text1"/>
        </w:rPr>
        <w:t>pēcdoktorantūras</w:t>
      </w:r>
      <w:r w:rsidRPr="005565F8">
        <w:rPr>
          <w:color w:val="000000" w:themeColor="text1"/>
        </w:rPr>
        <w:t xml:space="preserve"> pētniecībai un praktiskas ievirzes pētījumiem (</w:t>
      </w:r>
      <w:r w:rsidRPr="005565F8">
        <w:rPr>
          <w:i/>
          <w:color w:val="000000" w:themeColor="text1"/>
        </w:rPr>
        <w:t>skat. 3.2.3. nodaļu</w:t>
      </w:r>
      <w:r w:rsidRPr="005565F8">
        <w:rPr>
          <w:color w:val="000000" w:themeColor="text1"/>
        </w:rPr>
        <w:t xml:space="preserve">). 2017.gadā izstrādāti īstenošanas nosacījumi 4 </w:t>
      </w:r>
      <w:r w:rsidRPr="005565F8" w:rsidR="00BD63B5">
        <w:rPr>
          <w:color w:val="000000" w:themeColor="text1"/>
        </w:rPr>
        <w:t xml:space="preserve">ES </w:t>
      </w:r>
      <w:r w:rsidRPr="005565F8">
        <w:rPr>
          <w:color w:val="000000" w:themeColor="text1"/>
        </w:rPr>
        <w:t xml:space="preserve">fondu programmām, kurās tiks nodrošināti ieguldījumi augstskolu iekšējās pārvaldības pilnveidē, akadēmiskā personāla kapacitātes un kompetences attīstībā, studiju programmu fragmentācijas mazināšanai un resursu koplietošanai un inovāciju </w:t>
      </w:r>
      <w:r w:rsidRPr="005565F8">
        <w:rPr>
          <w:color w:val="000000" w:themeColor="text1"/>
        </w:rPr>
        <w:t>grantiem</w:t>
      </w:r>
      <w:r w:rsidRPr="005565F8">
        <w:rPr>
          <w:color w:val="000000" w:themeColor="text1"/>
        </w:rPr>
        <w:t xml:space="preserve"> studentiem. Projektu īstenošanu šajās programmās plānots uzsākt 2018.gada otrajā pusē.</w:t>
      </w:r>
      <w:r w:rsidRPr="005565F8">
        <w:rPr>
          <w:color w:val="000000" w:themeColor="text1"/>
        </w:rPr>
        <w:t xml:space="preserve"> </w:t>
      </w:r>
    </w:p>
    <w:p w:rsidR="000F3EEF" w:rsidRPr="005565F8" w:rsidP="007F62F9" w14:paraId="19E0BFFB" w14:textId="77777777">
      <w:pPr>
        <w:autoSpaceDE w:val="0"/>
        <w:autoSpaceDN w:val="0"/>
        <w:adjustRightInd w:val="0"/>
        <w:spacing w:before="120"/>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9D0527" w:rsidRPr="005565F8" w:rsidP="007F62F9" w14:paraId="5E31AE57" w14:textId="77777777">
      <w:pPr>
        <w:autoSpaceDE w:val="0"/>
        <w:autoSpaceDN w:val="0"/>
        <w:adjustRightInd w:val="0"/>
        <w:spacing w:before="120"/>
        <w:rPr>
          <w:color w:val="000000" w:themeColor="text1"/>
        </w:rPr>
      </w:pPr>
    </w:p>
    <w:p w:rsidR="009D0527" w:rsidRPr="005565F8" w:rsidP="009D0527" w14:paraId="32FA1540"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Augstākās izglītības vienlīdzīgas pieejamības nodrošināšana</w:t>
      </w:r>
    </w:p>
    <w:p w:rsidR="009D0527" w:rsidRPr="005565F8" w:rsidP="009D0527" w14:paraId="3F0E0354"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17A28782"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7F62F9" w:rsidRPr="005565F8" w:rsidP="009D0527" w14:paraId="51353F79" w14:textId="77777777">
      <w:pPr>
        <w:spacing w:before="240"/>
        <w:rPr>
          <w:color w:val="000000" w:themeColor="text1"/>
        </w:rPr>
      </w:pPr>
      <w:r w:rsidRPr="005565F8">
        <w:rPr>
          <w:color w:val="000000" w:themeColor="text1"/>
        </w:rPr>
        <w:t xml:space="preserve">Politikas virziens vērsts uz augstākās izglītības pieejamības un līdzdalības veicināšanu. Mērķis ir pilnveidot stipendiju, kā arī studiju un studējošo kredītu piešķiršanas mehānismu, kas pavērtu iespējas </w:t>
      </w:r>
      <w:r w:rsidRPr="005565F8">
        <w:rPr>
          <w:color w:val="000000" w:themeColor="text1"/>
        </w:rPr>
        <w:t>studēt lielākam studēt gribošo skaitam un veicinātu mērķtiecīgāku studiju jomas izvēli.</w:t>
      </w:r>
    </w:p>
    <w:p w:rsidR="007F62F9" w:rsidRPr="005565F8" w:rsidP="007F62F9" w14:paraId="02D0D61C" w14:textId="77777777">
      <w:r w:rsidRPr="005565F8">
        <w:t xml:space="preserve">Studējošo un studiju kreditēšana no kredītiestāžu līdzekļiem ar valsts vārdā sniegtu galvojumu 2017.gadā tika nodrošināta atbilstoši pieprasījumam. </w:t>
      </w:r>
      <w:r w:rsidRPr="005565F8">
        <w:t>2017.gadā noslēgti 230 līgumi par studējošā kredīta piešķiršanu par kopējo summu 1,35 milj. EUR, kā arī 1247 līgumi par studiju kredīta piešķiršanu par kopējo summu 6,7 milj. EUR. Studiju un studējošā kredīt</w:t>
      </w:r>
      <w:r w:rsidRPr="005565F8" w:rsidR="00BD63B5">
        <w:t>i</w:t>
      </w:r>
      <w:r w:rsidRPr="005565F8">
        <w:t xml:space="preserve"> piešķirti arī ārvalstīs studējošiem, tādējādi nodrošinot Latvijas studentiem izglītības pieejamību arī ārvalstīs.</w:t>
      </w:r>
    </w:p>
    <w:p w:rsidR="007F62F9" w:rsidRPr="005565F8" w:rsidP="007F62F9" w14:paraId="20B298C9" w14:textId="77777777">
      <w:pPr>
        <w:rPr>
          <w:color w:val="000000" w:themeColor="text1"/>
        </w:rPr>
      </w:pPr>
      <w:r w:rsidRPr="005565F8">
        <w:rPr>
          <w:color w:val="000000" w:themeColor="text1"/>
        </w:rPr>
        <w:t xml:space="preserve">Veikti grozījumi </w:t>
      </w:r>
      <w:r w:rsidRPr="005565F8">
        <w:rPr>
          <w:i/>
          <w:color w:val="000000" w:themeColor="text1"/>
        </w:rPr>
        <w:t>MK</w:t>
      </w:r>
      <w:r w:rsidRPr="005565F8">
        <w:rPr>
          <w:color w:val="000000" w:themeColor="text1"/>
        </w:rPr>
        <w:t xml:space="preserve"> </w:t>
      </w:r>
      <w:r w:rsidRPr="005565F8" w:rsidR="00BD63B5">
        <w:rPr>
          <w:i/>
          <w:color w:val="000000" w:themeColor="text1"/>
        </w:rPr>
        <w:t>n</w:t>
      </w:r>
      <w:r w:rsidRPr="005565F8">
        <w:rPr>
          <w:i/>
          <w:color w:val="000000" w:themeColor="text1"/>
        </w:rPr>
        <w:t>oteikumos par stipendijām</w:t>
      </w:r>
      <w:r w:rsidRPr="005565F8">
        <w:rPr>
          <w:color w:val="000000" w:themeColor="text1"/>
        </w:rPr>
        <w:t xml:space="preserve">, paredzot palielināt maksimālo studiju un studējošā kredīta apmēru. Tāpat tika precizēta pieteikšanās </w:t>
      </w:r>
      <w:r w:rsidRPr="005565F8">
        <w:rPr>
          <w:color w:val="000000" w:themeColor="text1"/>
        </w:rPr>
        <w:t>kārtība uz kredīta dzēšanu no valsts budžeta līdzekļiem. Vienlaikus</w:t>
      </w:r>
      <w:r w:rsidRPr="005565F8" w:rsidR="000C2267">
        <w:rPr>
          <w:color w:val="000000" w:themeColor="text1"/>
        </w:rPr>
        <w:t xml:space="preserve"> </w:t>
      </w:r>
      <w:r w:rsidRPr="005565F8">
        <w:rPr>
          <w:color w:val="000000" w:themeColor="text1"/>
        </w:rPr>
        <w:t>ieviest</w:t>
      </w:r>
      <w:r w:rsidRPr="005565F8" w:rsidR="000C2267">
        <w:rPr>
          <w:color w:val="000000" w:themeColor="text1"/>
        </w:rPr>
        <w:t>s</w:t>
      </w:r>
      <w:r w:rsidRPr="005565F8">
        <w:rPr>
          <w:color w:val="000000" w:themeColor="text1"/>
        </w:rPr>
        <w:t xml:space="preserve"> aizsargmehānism</w:t>
      </w:r>
      <w:r w:rsidRPr="005565F8" w:rsidR="000C2267">
        <w:rPr>
          <w:color w:val="000000" w:themeColor="text1"/>
        </w:rPr>
        <w:t>s</w:t>
      </w:r>
      <w:r w:rsidRPr="005565F8">
        <w:rPr>
          <w:color w:val="000000" w:themeColor="text1"/>
        </w:rPr>
        <w:t>, lai novērstu ļaunprātīgu pārtraukumu izmantošanu studiju laikā, nosakot ierobežojumus pārtraukumam studijās. Turpmāk valsts segs kredīta procentus divu akadēmisko gadu garumā. Savukārt, lai mazinātu riskus un palielinātu gan studējošo, gan galvinieku atbildību, kredītiestāde visa kredīta atmaksas laikā sekos, lai kredīts būtu nodrošināts ar spēkā esošu privātpersonas galvojumu.</w:t>
      </w:r>
    </w:p>
    <w:p w:rsidR="000F3EEF" w:rsidRPr="005565F8" w:rsidP="009D0527" w14:paraId="7E9C1BBA" w14:textId="77777777">
      <w:pPr>
        <w:autoSpaceDE w:val="0"/>
        <w:autoSpaceDN w:val="0"/>
        <w:adjustRightInd w:val="0"/>
        <w:spacing w:before="120"/>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9D0527" w:rsidRPr="005565F8" w:rsidP="009D0527" w14:paraId="45E0B511" w14:textId="77777777">
      <w:pPr>
        <w:autoSpaceDE w:val="0"/>
        <w:autoSpaceDN w:val="0"/>
        <w:adjustRightInd w:val="0"/>
        <w:spacing w:before="120"/>
        <w:rPr>
          <w:color w:val="000000" w:themeColor="text1"/>
        </w:rPr>
      </w:pPr>
    </w:p>
    <w:p w:rsidR="009D0527" w:rsidRPr="005565F8" w:rsidP="009D0527" w14:paraId="588F28D0"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Nacionālās kvalitātes nodrošināšanas institūcijas izveide</w:t>
      </w:r>
    </w:p>
    <w:p w:rsidR="009D0527" w:rsidRPr="005565F8" w:rsidP="009D0527" w14:paraId="071D9306"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149E1065"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7F62F9" w:rsidRPr="005565F8" w:rsidP="009D0527" w14:paraId="0EE7A38C" w14:textId="77777777">
      <w:pPr>
        <w:autoSpaceDE w:val="0"/>
        <w:autoSpaceDN w:val="0"/>
        <w:adjustRightInd w:val="0"/>
        <w:spacing w:before="240"/>
        <w:rPr>
          <w:color w:val="000000" w:themeColor="text1"/>
        </w:rPr>
      </w:pPr>
      <w:r w:rsidRPr="005565F8">
        <w:rPr>
          <w:color w:val="000000" w:themeColor="text1"/>
        </w:rPr>
        <w:t>Politikas virziens vērsts uz augstākās izglītības kvalitātes no</w:t>
      </w:r>
      <w:r w:rsidRPr="005565F8" w:rsidR="00005B4A">
        <w:rPr>
          <w:color w:val="000000" w:themeColor="text1"/>
        </w:rPr>
        <w:t xml:space="preserve">drošināšanas </w:t>
      </w:r>
      <w:r w:rsidRPr="005565F8">
        <w:rPr>
          <w:color w:val="000000" w:themeColor="text1"/>
        </w:rPr>
        <w:t xml:space="preserve">sistēmas pilnveidi un nosacījumu radīšanu nacionālas kvalitātes novērtēšanas aģentūras izveidei un reģistrācijai </w:t>
      </w:r>
      <w:r w:rsidRPr="005565F8">
        <w:rPr>
          <w:i/>
          <w:color w:val="000000" w:themeColor="text1"/>
        </w:rPr>
        <w:t>Eiropas augstākās izglītības kvalitātes nodrošināšanas reģistrā</w:t>
      </w:r>
      <w:r w:rsidRPr="005565F8">
        <w:rPr>
          <w:color w:val="000000" w:themeColor="text1"/>
        </w:rPr>
        <w:t xml:space="preserve"> jeb EQAR. 2017.gada augustā </w:t>
      </w:r>
      <w:r w:rsidRPr="005565F8" w:rsidR="00005B4A">
        <w:rPr>
          <w:color w:val="000000" w:themeColor="text1"/>
        </w:rPr>
        <w:t xml:space="preserve">esošā </w:t>
      </w:r>
      <w:r w:rsidRPr="005565F8">
        <w:rPr>
          <w:color w:val="000000" w:themeColor="text1"/>
        </w:rPr>
        <w:t xml:space="preserve">Akreditācijas aģentūra – </w:t>
      </w:r>
      <w:r w:rsidRPr="005565F8" w:rsidR="00005B4A">
        <w:rPr>
          <w:color w:val="000000" w:themeColor="text1"/>
        </w:rPr>
        <w:t>Akadēmiskās informācijas centrs (</w:t>
      </w:r>
      <w:r w:rsidRPr="005565F8">
        <w:rPr>
          <w:color w:val="000000" w:themeColor="text1"/>
        </w:rPr>
        <w:t>AIC</w:t>
      </w:r>
      <w:r w:rsidRPr="005565F8" w:rsidR="00005B4A">
        <w:rPr>
          <w:color w:val="000000" w:themeColor="text1"/>
        </w:rPr>
        <w:t xml:space="preserve">) </w:t>
      </w:r>
      <w:r w:rsidRPr="005565F8">
        <w:rPr>
          <w:color w:val="000000" w:themeColor="text1"/>
        </w:rPr>
        <w:t>iesniedza EQAR pieteikumu uzsākt starptautisko izvērtēšanu atbilstoši Eiropas Augstākās izglītības telpas kvalitātes standartiem un vadlīnijām (ESG</w:t>
      </w:r>
      <w:r>
        <w:rPr>
          <w:rStyle w:val="FootnoteReference"/>
          <w:color w:val="000000" w:themeColor="text1"/>
        </w:rPr>
        <w:footnoteReference w:id="50"/>
      </w:r>
      <w:r w:rsidRPr="005565F8">
        <w:rPr>
          <w:color w:val="000000" w:themeColor="text1"/>
        </w:rPr>
        <w:t xml:space="preserve">). Paredzams, ka </w:t>
      </w:r>
      <w:r w:rsidRPr="005565F8">
        <w:rPr>
          <w:color w:val="000000" w:themeColor="text1"/>
        </w:rPr>
        <w:t>izvērtējums</w:t>
      </w:r>
      <w:r w:rsidRPr="005565F8">
        <w:rPr>
          <w:color w:val="000000" w:themeColor="text1"/>
        </w:rPr>
        <w:t xml:space="preserve"> noslēgsies 2018.gada beigās. Pozitīva novērtējuma gadījumā Eiropas Augstākās izglītības kvalitātes nodrošināšanas asociācija (ENQA) </w:t>
      </w:r>
      <w:r w:rsidRPr="005565F8" w:rsidR="008122F5">
        <w:rPr>
          <w:color w:val="000000" w:themeColor="text1"/>
        </w:rPr>
        <w:t>piešķirs</w:t>
      </w:r>
      <w:r w:rsidRPr="005565F8">
        <w:rPr>
          <w:color w:val="000000" w:themeColor="text1"/>
        </w:rPr>
        <w:t xml:space="preserve"> </w:t>
      </w:r>
      <w:r w:rsidRPr="005565F8" w:rsidR="00A90185">
        <w:rPr>
          <w:color w:val="000000" w:themeColor="text1"/>
        </w:rPr>
        <w:t xml:space="preserve">AIC </w:t>
      </w:r>
      <w:r w:rsidRPr="005565F8">
        <w:rPr>
          <w:color w:val="000000" w:themeColor="text1"/>
        </w:rPr>
        <w:t xml:space="preserve">pilntiesīga dalībnieka statusu ENQA, kā arī AIC </w:t>
      </w:r>
      <w:r w:rsidRPr="005565F8" w:rsidR="008122F5">
        <w:rPr>
          <w:color w:val="000000" w:themeColor="text1"/>
        </w:rPr>
        <w:t>tiks</w:t>
      </w:r>
      <w:r w:rsidRPr="005565F8">
        <w:rPr>
          <w:color w:val="000000" w:themeColor="text1"/>
        </w:rPr>
        <w:t xml:space="preserve"> uzņemts EQAR.</w:t>
      </w:r>
    </w:p>
    <w:p w:rsidR="007F62F9" w:rsidRPr="005565F8" w:rsidP="007F62F9" w14:paraId="6779F5D1" w14:textId="77777777">
      <w:pPr>
        <w:autoSpaceDE w:val="0"/>
        <w:autoSpaceDN w:val="0"/>
        <w:adjustRightInd w:val="0"/>
        <w:rPr>
          <w:color w:val="000000" w:themeColor="text1"/>
        </w:rPr>
      </w:pPr>
      <w:r w:rsidRPr="005565F8">
        <w:rPr>
          <w:color w:val="000000" w:themeColor="text1"/>
        </w:rPr>
        <w:t>AIC turpina īstenot 2016.gadā uzsākto projektu “</w:t>
      </w:r>
      <w:r w:rsidRPr="005565F8">
        <w:rPr>
          <w:i/>
          <w:color w:val="000000" w:themeColor="text1"/>
        </w:rPr>
        <w:t>Atbalsts EQAR aģentūrai izvirzīto prasību izpildei”</w:t>
      </w:r>
      <w:r w:rsidRPr="005565F8">
        <w:rPr>
          <w:color w:val="000000" w:themeColor="text1"/>
        </w:rPr>
        <w:t>.</w:t>
      </w:r>
      <w:r w:rsidRPr="005565F8">
        <w:t xml:space="preserve"> Sagaidāms, ka </w:t>
      </w:r>
      <w:r w:rsidRPr="005565F8">
        <w:rPr>
          <w:color w:val="000000" w:themeColor="text1"/>
        </w:rPr>
        <w:t xml:space="preserve">beidzoties projektam Latvijas augstākās izglītības kvalitātes nodrošināšanas sistēma funkcionēs atbilstoši ESG prasībām, un AIC būs EQAR dalībnieks, kas palielinās uzticamību Latvijas augstākajai izglītībai un iegūtajiem diplomiem. Projekts tiek īstenots sadarbībā ar Augstākās izglītības padomi, Lietuvas augstākās izglītības </w:t>
      </w:r>
      <w:r w:rsidRPr="005565F8">
        <w:rPr>
          <w:color w:val="000000" w:themeColor="text1"/>
        </w:rPr>
        <w:t>kvalitātes nodrošināšanas centru, kas ir EQAR reģistrēta aģentūra, kā arī 12 augstākās izglītības institūcijām. 2016. un 2017.gadā</w:t>
      </w:r>
      <w:r w:rsidRPr="005565F8" w:rsidR="008122F5">
        <w:rPr>
          <w:color w:val="000000" w:themeColor="text1"/>
        </w:rPr>
        <w:t xml:space="preserve"> ir</w:t>
      </w:r>
      <w:r w:rsidRPr="005565F8">
        <w:rPr>
          <w:color w:val="000000" w:themeColor="text1"/>
        </w:rPr>
        <w:t xml:space="preserve"> īstenotas 12 studiju virzienu </w:t>
      </w:r>
      <w:r w:rsidRPr="005565F8">
        <w:rPr>
          <w:color w:val="000000" w:themeColor="text1"/>
        </w:rPr>
        <w:t>pilotakreditācijas</w:t>
      </w:r>
      <w:r w:rsidRPr="005565F8">
        <w:rPr>
          <w:color w:val="000000" w:themeColor="text1"/>
        </w:rPr>
        <w:t xml:space="preserve"> projektā iesaistītajās augstākās izglītības institūcijās, kā arī 12 kārtējās studiju virzienu akreditācijas, organizēti informatīvi semināri augstākās izglītības iestādēm gan par </w:t>
      </w:r>
      <w:r w:rsidRPr="005565F8">
        <w:rPr>
          <w:color w:val="000000" w:themeColor="text1"/>
        </w:rPr>
        <w:t>pilotakreditāciju</w:t>
      </w:r>
      <w:r w:rsidRPr="005565F8">
        <w:rPr>
          <w:color w:val="000000" w:themeColor="text1"/>
        </w:rPr>
        <w:t xml:space="preserve"> īstenošanas norisi, gan par ārējās un iekšējās kvalitātes nodrošināšanas jautājumiem. Izstrādāta </w:t>
      </w:r>
      <w:r w:rsidRPr="005565F8" w:rsidR="00EF2F00">
        <w:rPr>
          <w:i/>
          <w:color w:val="000000" w:themeColor="text1"/>
        </w:rPr>
        <w:t>A</w:t>
      </w:r>
      <w:r w:rsidRPr="005565F8">
        <w:rPr>
          <w:i/>
          <w:color w:val="000000" w:themeColor="text1"/>
        </w:rPr>
        <w:t>kreditācijas aģentūras attīstības stratēģija</w:t>
      </w:r>
      <w:r w:rsidRPr="005565F8">
        <w:rPr>
          <w:color w:val="000000" w:themeColor="text1"/>
        </w:rPr>
        <w:t xml:space="preserve"> un visi nepieciešamie iekšējie normatīvie akti, kā arī sagatavoti priekšlikumi grozījumiem Latvijas normatīvajos aktos augstākās izglītības kvalitātes novērtēšanas jomā. 2017.gadā projekta ietvaros sagatavota </w:t>
      </w:r>
      <w:r w:rsidRPr="005565F8">
        <w:rPr>
          <w:i/>
          <w:color w:val="000000" w:themeColor="text1"/>
        </w:rPr>
        <w:t>Augstākās izglītības kvalitātes monitoringa sistēmas koncepcija</w:t>
      </w:r>
      <w:r w:rsidRPr="005565F8">
        <w:rPr>
          <w:color w:val="000000" w:themeColor="text1"/>
        </w:rPr>
        <w:t xml:space="preserve">, kā arī uzsākta e-platformas  </w:t>
      </w:r>
      <w:r w:rsidRPr="005565F8" w:rsidR="00EF2F00">
        <w:rPr>
          <w:color w:val="000000" w:themeColor="text1"/>
        </w:rPr>
        <w:t xml:space="preserve">izveide </w:t>
      </w:r>
      <w:r w:rsidRPr="005565F8">
        <w:rPr>
          <w:color w:val="000000" w:themeColor="text1"/>
        </w:rPr>
        <w:t>akreditācijas un licencēšanas procesa nodrošināšanai. Projekta kopējais finansējums ir 1,5 milj. EUR, t.sk. ESF finansējums 1,27 milj. EUR.</w:t>
      </w:r>
    </w:p>
    <w:p w:rsidR="000F3EEF" w:rsidRPr="005565F8" w:rsidP="009D0527" w14:paraId="4CD84976" w14:textId="77777777">
      <w:pPr>
        <w:autoSpaceDE w:val="0"/>
        <w:autoSpaceDN w:val="0"/>
        <w:adjustRightInd w:val="0"/>
        <w:spacing w:before="120"/>
        <w:rPr>
          <w:color w:val="000000" w:themeColor="text1"/>
        </w:rPr>
      </w:pPr>
      <w:r w:rsidRPr="005565F8">
        <w:rPr>
          <w:color w:val="000000" w:themeColor="text1"/>
        </w:rPr>
        <w:t>Jauno akreditācijas noteikumu ietvaros ir nepieciešams nodrošināt darba devēju iesaisti augstākās izglītības kvalitātes vērtēšanā - licencēšanas un akreditācijas procesā.</w:t>
      </w:r>
    </w:p>
    <w:p w:rsidR="008122F5" w:rsidRPr="005565F8" w:rsidP="009D0527" w14:paraId="20871B58" w14:textId="77777777">
      <w:pPr>
        <w:autoSpaceDE w:val="0"/>
        <w:autoSpaceDN w:val="0"/>
        <w:adjustRightInd w:val="0"/>
        <w:spacing w:before="120"/>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9D0527" w:rsidRPr="005565F8" w:rsidP="009D0527" w14:paraId="7A30D2E3" w14:textId="77777777">
      <w:pPr>
        <w:autoSpaceDE w:val="0"/>
        <w:autoSpaceDN w:val="0"/>
        <w:adjustRightInd w:val="0"/>
        <w:spacing w:before="120"/>
        <w:rPr>
          <w:color w:val="000000" w:themeColor="text1"/>
        </w:rPr>
      </w:pPr>
    </w:p>
    <w:p w:rsidR="009D0527" w:rsidRPr="005565F8" w:rsidP="009D0527" w14:paraId="3E173917"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Augstākās izglītības institūciju materiāli tehniskās bāzes modernizēšana un resursu izmantošanas efektivitātes paaugstināšana</w:t>
      </w:r>
    </w:p>
    <w:p w:rsidR="009D0527" w:rsidRPr="005565F8" w:rsidP="009D0527" w14:paraId="1BF5ED1E"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44964F7F"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7F62F9" w:rsidRPr="005565F8" w:rsidP="009D0527" w14:paraId="55748C6F" w14:textId="77777777">
      <w:pPr>
        <w:spacing w:before="240"/>
        <w:rPr>
          <w:color w:val="000000" w:themeColor="text1"/>
        </w:rPr>
      </w:pPr>
      <w:r w:rsidRPr="005565F8">
        <w:rPr>
          <w:color w:val="000000" w:themeColor="text1"/>
        </w:rPr>
        <w:t>Mērķis ir uzlabot nodrošinājumu ar mūsdienīgām iekārtām, aprīkojumu un tehnoloģijām tādos prioritāros studiju virzienos kā dabas zinātnes, matemātika un informācijas tehnoloģijas, inženierzinātnes, ražošana un būvniecība, kā arī racionāli izmantot publisko un piesaistīto privāto finansējumu.</w:t>
      </w:r>
    </w:p>
    <w:p w:rsidR="007F62F9" w:rsidRPr="005565F8" w:rsidP="007F62F9" w14:paraId="733C5B3C" w14:textId="77777777">
      <w:pPr>
        <w:rPr>
          <w:color w:val="000000" w:themeColor="text1"/>
        </w:rPr>
      </w:pPr>
      <w:r w:rsidRPr="005565F8">
        <w:rPr>
          <w:color w:val="000000" w:themeColor="text1"/>
        </w:rPr>
        <w:t xml:space="preserve">Lai nodrošinātu mūsdienīgu </w:t>
      </w:r>
      <w:r w:rsidRPr="005565F8" w:rsidR="006B105E">
        <w:rPr>
          <w:color w:val="000000" w:themeColor="text1"/>
        </w:rPr>
        <w:t xml:space="preserve">studiju </w:t>
      </w:r>
      <w:r w:rsidRPr="005565F8">
        <w:rPr>
          <w:color w:val="000000" w:themeColor="text1"/>
        </w:rPr>
        <w:t xml:space="preserve">un pētniecības vidi STEM, t.sk. medicīnas un radošo industriju, studiju programmu īstenošanai, vienlaikus nodrošinātu teritoriāli koncentrētu studiju telpu </w:t>
      </w:r>
      <w:r w:rsidRPr="005565F8">
        <w:rPr>
          <w:color w:val="000000" w:themeColor="text1"/>
        </w:rPr>
        <w:t xml:space="preserve">izveidi un veicinātu augstākās izglītības atbilstību tautsaimniecības attīstības un darba tirgus vajadzībām, ES fondu 2014.-2020.gada plānošanas periodā plānots sniegt atbalstu teritoriāli koncentrētas studiju un zinātniskā darba infrastruktūras attīstībai (kopējais indikatīvais finansējums 44,6 milj. EUR, t.sk. ERAF finansējums 37,9 milj. EUR). Vienlaikus plānots sniegt ES fondu atbalstu </w:t>
      </w:r>
      <w:r w:rsidRPr="005565F8" w:rsidR="00EF2F00">
        <w:rPr>
          <w:color w:val="000000" w:themeColor="text1"/>
        </w:rPr>
        <w:t>1.</w:t>
      </w:r>
      <w:r w:rsidRPr="005565F8">
        <w:rPr>
          <w:color w:val="000000" w:themeColor="text1"/>
        </w:rPr>
        <w:t xml:space="preserve">līmeņa profesionālās augstākās izglītības STEM, </w:t>
      </w:r>
      <w:r w:rsidRPr="005565F8" w:rsidR="00EF2F00">
        <w:rPr>
          <w:color w:val="000000" w:themeColor="text1"/>
        </w:rPr>
        <w:t>t.sk.</w:t>
      </w:r>
      <w:r w:rsidRPr="005565F8">
        <w:rPr>
          <w:color w:val="000000" w:themeColor="text1"/>
        </w:rPr>
        <w:t xml:space="preserve"> medicīnas un radošās industrijas, studiju mācību vides uzlabošanai koledžās (kopējais indikatīvais finansējums 14,2 milj. EUR, t.sk. ERAF </w:t>
      </w:r>
      <w:r w:rsidRPr="005565F8">
        <w:rPr>
          <w:color w:val="000000" w:themeColor="text1"/>
        </w:rPr>
        <w:t xml:space="preserve">finansējums 12 milj. EUR).  2017.gadā izvērtētas un saskaņotas augstākās izglītības institūciju attīstības stratēģijas un izvērtēti projektu iesniegumi, uzsākta </w:t>
      </w:r>
      <w:r w:rsidRPr="005565F8">
        <w:rPr>
          <w:color w:val="000000" w:themeColor="text1"/>
        </w:rPr>
        <w:t>projektu īstenošana. Projektu īstenošana plānota līdz  2022.gada decembrim.</w:t>
      </w:r>
    </w:p>
    <w:p w:rsidR="000F3EEF" w:rsidRPr="005565F8" w:rsidP="009D0527" w14:paraId="6D84EFA0" w14:textId="77777777">
      <w:pPr>
        <w:autoSpaceDE w:val="0"/>
        <w:autoSpaceDN w:val="0"/>
        <w:adjustRightInd w:val="0"/>
        <w:spacing w:before="120"/>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9D0527" w:rsidRPr="005565F8" w:rsidP="009D0527" w14:paraId="1FE9BD72" w14:textId="77777777">
      <w:pPr>
        <w:autoSpaceDE w:val="0"/>
        <w:autoSpaceDN w:val="0"/>
        <w:adjustRightInd w:val="0"/>
        <w:spacing w:before="120"/>
        <w:rPr>
          <w:color w:val="000000" w:themeColor="text1"/>
        </w:rPr>
      </w:pPr>
    </w:p>
    <w:p w:rsidR="009D0527" w:rsidRPr="005565F8" w:rsidP="009D0527" w14:paraId="65157CAD"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Studiju programmu fragmentācijas mazināšanās, resursu koplietošana</w:t>
      </w:r>
    </w:p>
    <w:p w:rsidR="009D0527" w:rsidRPr="005565F8" w:rsidP="009D0527" w14:paraId="045CF6E2"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7D77DD24"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7F62F9" w:rsidRPr="005565F8" w:rsidP="009D0527" w14:paraId="7A6BB240" w14:textId="77777777">
      <w:pPr>
        <w:autoSpaceDE w:val="0"/>
        <w:autoSpaceDN w:val="0"/>
        <w:spacing w:before="240"/>
        <w:rPr>
          <w:color w:val="000000"/>
          <w:lang w:eastAsia="lv-LV"/>
        </w:rPr>
      </w:pPr>
      <w:r w:rsidRPr="005565F8">
        <w:rPr>
          <w:color w:val="000000"/>
        </w:rPr>
        <w:t xml:space="preserve">Politikas virziens vērsts uz resursu konsolidāciju un koplietošanu, kopīgu studiju programmu izstrādi, augstākās izglītības institūciju stratēģisko specializāciju. </w:t>
      </w:r>
    </w:p>
    <w:p w:rsidR="00363AE7" w:rsidRPr="005565F8" w:rsidP="008057FB" w14:paraId="10A22AFA" w14:textId="77777777">
      <w:pPr>
        <w:rPr>
          <w:color w:val="000000"/>
        </w:rPr>
      </w:pPr>
      <w:r w:rsidRPr="005565F8">
        <w:rPr>
          <w:color w:val="000000"/>
        </w:rPr>
        <w:t>2017.–2018.</w:t>
      </w:r>
      <w:r w:rsidRPr="005565F8" w:rsidR="003E0ACB">
        <w:rPr>
          <w:color w:val="000000"/>
        </w:rPr>
        <w:t>gadā sadarbībā ar Pasaules Banku tiek veikts pētījuma par augstākās izglītības pārvaldības un cilvēkresursu politikas pilnveidi augstākās izglītības modernizācijai otrais posms. Balstoties uz pētījuma pirmā posma</w:t>
      </w:r>
      <w:r w:rsidRPr="005565F8">
        <w:rPr>
          <w:color w:val="000000"/>
        </w:rPr>
        <w:t xml:space="preserve"> (</w:t>
      </w:r>
      <w:r w:rsidRPr="005565F8" w:rsidR="003E0ACB">
        <w:rPr>
          <w:color w:val="000000"/>
        </w:rPr>
        <w:t>īstenošana notika 2016.–2017.gadā</w:t>
      </w:r>
      <w:r w:rsidRPr="005565F8">
        <w:rPr>
          <w:color w:val="000000"/>
        </w:rPr>
        <w:t>)</w:t>
      </w:r>
      <w:r w:rsidRPr="005565F8" w:rsidR="003E0ACB">
        <w:rPr>
          <w:color w:val="000000"/>
        </w:rPr>
        <w:t>, rezultātā saņemtajiem ekspertu ieteikumiem, tika izstrādāta ES struktūrfondu programma augstskolu pārvaldības stiprināšanai, kuras īstenošanu plānots uzsākt 2018.gada nogalē. 2018.gadā, pētījuma otrā posma rezultātā, tiks saņemtas ekspertu rekomendācijas akadēmiskā personāla karjeras attīstības un nodarbinātības nosacījumu pilnveidei. Pirmie pētījuma otrā posma secinājumi un ieteikumi jau ir ņemti vērā, izstrādājot ES struktūrfondu programmas studiju programmu fragmentācijas mazināšanai un akad</w:t>
      </w:r>
      <w:r w:rsidRPr="005565F8">
        <w:rPr>
          <w:color w:val="000000"/>
        </w:rPr>
        <w:t xml:space="preserve">ēmiskā personāla stiprināšanai. </w:t>
      </w:r>
      <w:r w:rsidRPr="005565F8" w:rsidR="003E0ACB">
        <w:rPr>
          <w:color w:val="000000"/>
        </w:rPr>
        <w:t xml:space="preserve">kuru īstenošanu plānots uzsākt 2018.gada </w:t>
      </w:r>
      <w:r w:rsidRPr="005565F8">
        <w:rPr>
          <w:color w:val="000000"/>
        </w:rPr>
        <w:t>2.pusgad</w:t>
      </w:r>
      <w:r w:rsidRPr="005565F8" w:rsidR="008057FB">
        <w:rPr>
          <w:color w:val="000000"/>
        </w:rPr>
        <w:t xml:space="preserve">ā. </w:t>
      </w:r>
      <w:r w:rsidRPr="005565F8">
        <w:rPr>
          <w:color w:val="000000"/>
        </w:rPr>
        <w:t>I</w:t>
      </w:r>
      <w:r w:rsidRPr="005565F8" w:rsidR="007F62F9">
        <w:rPr>
          <w:color w:val="000000"/>
        </w:rPr>
        <w:t>zstrādāti un 2018.gada sākumā apstiprināti</w:t>
      </w:r>
      <w:r w:rsidRPr="005565F8">
        <w:rPr>
          <w:color w:val="000000"/>
        </w:rPr>
        <w:t>:</w:t>
      </w:r>
    </w:p>
    <w:p w:rsidR="00363AE7" w:rsidRPr="005565F8" w:rsidP="00735883" w14:paraId="385777B0" w14:textId="77777777">
      <w:pPr>
        <w:pStyle w:val="ListParagraph"/>
        <w:numPr>
          <w:ilvl w:val="0"/>
          <w:numId w:val="52"/>
        </w:numPr>
        <w:autoSpaceDE w:val="0"/>
        <w:autoSpaceDN w:val="0"/>
        <w:ind w:left="284" w:hanging="284"/>
        <w:contextualSpacing w:val="0"/>
        <w:rPr>
          <w:color w:val="000000"/>
        </w:rPr>
      </w:pPr>
      <w:r w:rsidRPr="005565F8">
        <w:rPr>
          <w:i/>
          <w:color w:val="000000"/>
        </w:rPr>
        <w:t>MK noteikumi par studiju programmu fragmentācijas samazināšanu un resursu koplietošanas stiprināšanu</w:t>
      </w:r>
      <w:r w:rsidRPr="005565F8">
        <w:rPr>
          <w:color w:val="000000"/>
        </w:rPr>
        <w:t xml:space="preserve">, lai turpmāko piecu gadu laikā investētu ESF finansējumu jaunu, spēcīgu un starptautiski konkurētspējīgu studiju programmu izveidē. Projektā varēs iesaistīties gan valsts, gan privātās augstākās izglītības iestādes, </w:t>
      </w:r>
      <w:r w:rsidRPr="005565F8" w:rsidR="00EF2F00">
        <w:rPr>
          <w:color w:val="000000"/>
        </w:rPr>
        <w:t>t.sk.</w:t>
      </w:r>
      <w:r w:rsidRPr="005565F8">
        <w:rPr>
          <w:color w:val="000000"/>
        </w:rPr>
        <w:t xml:space="preserve"> arī koledžas. Kopējais indikatīvais finansējums 10,8 milj. EUR, t.sk. ESF finansējums 9,2 milj. EUR. 2017.gada jūlijā noslēdzās paplašinātā sākotnējā novērtējuma izstrāde</w:t>
      </w:r>
      <w:r>
        <w:rPr>
          <w:rStyle w:val="FootnoteReference"/>
          <w:color w:val="000000"/>
        </w:rPr>
        <w:footnoteReference w:id="51"/>
      </w:r>
      <w:r w:rsidRPr="005565F8">
        <w:rPr>
          <w:color w:val="000000"/>
        </w:rPr>
        <w:t>, kas tika izmantot</w:t>
      </w:r>
      <w:r w:rsidRPr="005565F8" w:rsidR="00EF2F00">
        <w:rPr>
          <w:color w:val="000000"/>
        </w:rPr>
        <w:t>s</w:t>
      </w:r>
      <w:r w:rsidRPr="005565F8">
        <w:rPr>
          <w:color w:val="000000"/>
        </w:rPr>
        <w:t xml:space="preserve"> ieviešanas nosacījumu izstrādei</w:t>
      </w:r>
      <w:r w:rsidRPr="005565F8">
        <w:rPr>
          <w:color w:val="000000"/>
        </w:rPr>
        <w:t>;</w:t>
      </w:r>
    </w:p>
    <w:p w:rsidR="008057FB" w:rsidRPr="005565F8" w:rsidP="00735883" w14:paraId="0E975DA1" w14:textId="77777777">
      <w:pPr>
        <w:pStyle w:val="ListParagraph"/>
        <w:numPr>
          <w:ilvl w:val="0"/>
          <w:numId w:val="52"/>
        </w:numPr>
        <w:autoSpaceDE w:val="0"/>
        <w:autoSpaceDN w:val="0"/>
        <w:ind w:left="284" w:hanging="284"/>
        <w:contextualSpacing w:val="0"/>
        <w:rPr>
          <w:strike/>
          <w:color w:val="000000"/>
        </w:rPr>
      </w:pPr>
      <w:r w:rsidRPr="005565F8">
        <w:rPr>
          <w:color w:val="000000"/>
        </w:rPr>
        <w:t xml:space="preserve">MK noteikumi, kas turpmāko 4 gadu laikā paredz investēt ES fondu finansējumu </w:t>
      </w:r>
      <w:r w:rsidRPr="005565F8">
        <w:rPr>
          <w:i/>
          <w:color w:val="000000"/>
        </w:rPr>
        <w:t>augstskolu akadēmiskā personāla stiprināšanā</w:t>
      </w:r>
      <w:r w:rsidRPr="005565F8">
        <w:rPr>
          <w:color w:val="000000"/>
        </w:rPr>
        <w:t xml:space="preserve"> stratēģiskās </w:t>
      </w:r>
      <w:r w:rsidRPr="005565F8">
        <w:rPr>
          <w:color w:val="000000"/>
        </w:rPr>
        <w:t>specializācijas jomās, t.sk. 6 augstskolās</w:t>
      </w:r>
      <w:r w:rsidRPr="005565F8">
        <w:rPr>
          <w:rFonts w:eastAsia="MS Mincho"/>
          <w:lang w:eastAsia="zh-TW"/>
        </w:rPr>
        <w:t xml:space="preserve"> akadēmiskā personāla kapacitātes stiprināšanai pedagoģijas studiju programmu īstenošanai</w:t>
      </w:r>
      <w:r w:rsidRPr="005565F8">
        <w:rPr>
          <w:color w:val="000000"/>
        </w:rPr>
        <w:t>. Tādējādi augstskolām būs pieejams finansējums mērķtiecīgai pasniedzēju kompetenču un prasmju paaugstināšanai, kā arī jaunu pasniedzēju (doktorantu) un ārvalstu pasniedzēju piesaistei. Kopējais indikatīvais finansējums 34,3 milj. EUR, t.sk.</w:t>
      </w:r>
      <w:r w:rsidRPr="005565F8" w:rsidR="00A46F27">
        <w:rPr>
          <w:color w:val="000000"/>
        </w:rPr>
        <w:t xml:space="preserve"> ESF finansējums 29,2 milj. EUR;</w:t>
      </w:r>
    </w:p>
    <w:p w:rsidR="008057FB" w:rsidRPr="005565F8" w:rsidP="00735883" w14:paraId="5FEF8FED" w14:textId="77777777">
      <w:pPr>
        <w:pStyle w:val="ListParagraph"/>
        <w:numPr>
          <w:ilvl w:val="0"/>
          <w:numId w:val="52"/>
        </w:numPr>
        <w:autoSpaceDE w:val="0"/>
        <w:autoSpaceDN w:val="0"/>
        <w:spacing w:after="0"/>
        <w:ind w:left="284" w:hanging="284"/>
        <w:contextualSpacing w:val="0"/>
        <w:rPr>
          <w:strike/>
          <w:color w:val="000000"/>
        </w:rPr>
      </w:pPr>
      <w:r w:rsidRPr="005565F8">
        <w:rPr>
          <w:color w:val="000000"/>
        </w:rPr>
        <w:t xml:space="preserve">MK noteikumi </w:t>
      </w:r>
      <w:r w:rsidRPr="005565F8">
        <w:rPr>
          <w:i/>
          <w:color w:val="000000"/>
        </w:rPr>
        <w:t>augstākās izglītības institūciju pārvaldības un organizatorisko procesu uzlabošanai</w:t>
      </w:r>
      <w:r w:rsidRPr="005565F8">
        <w:rPr>
          <w:color w:val="000000"/>
        </w:rPr>
        <w:t>. ES fondu investīcijas paredzētas augstskolu sadarbības stiprināšanai ar industriju</w:t>
      </w:r>
      <w:r w:rsidRPr="005565F8">
        <w:rPr>
          <w:color w:val="000000"/>
        </w:rPr>
        <w:t xml:space="preserve"> </w:t>
      </w:r>
      <w:r w:rsidRPr="005565F8" w:rsidR="00710ED9">
        <w:rPr>
          <w:color w:val="000000"/>
        </w:rPr>
        <w:t>–</w:t>
      </w:r>
      <w:r w:rsidRPr="005565F8">
        <w:rPr>
          <w:color w:val="000000"/>
        </w:rPr>
        <w:t xml:space="preserve"> studiju programmu satura pilnveidei un salāgošanai ar nozares attīstības vajadzībām, kā arī</w:t>
      </w:r>
      <w:r w:rsidRPr="005565F8">
        <w:t xml:space="preserve"> </w:t>
      </w:r>
      <w:r w:rsidRPr="005565F8">
        <w:rPr>
          <w:color w:val="000000"/>
        </w:rPr>
        <w:t xml:space="preserve">vadības personāla kompetenču paaugstināšanai un e-risinājumu ieviešanai. </w:t>
      </w:r>
      <w:r w:rsidRPr="005565F8">
        <w:rPr>
          <w:color w:val="000000"/>
        </w:rPr>
        <w:t xml:space="preserve">Kopējais indikatīvais finansējums </w:t>
      </w:r>
      <w:r w:rsidRPr="005565F8">
        <w:rPr>
          <w:color w:val="000000"/>
        </w:rPr>
        <w:t>20</w:t>
      </w:r>
      <w:r w:rsidRPr="005565F8">
        <w:rPr>
          <w:color w:val="000000"/>
        </w:rPr>
        <w:t xml:space="preserve"> milj. EUR, t.sk. ESF finansējums </w:t>
      </w:r>
      <w:r w:rsidRPr="005565F8">
        <w:rPr>
          <w:color w:val="000000"/>
        </w:rPr>
        <w:t>17</w:t>
      </w:r>
      <w:r w:rsidRPr="005565F8">
        <w:rPr>
          <w:color w:val="000000"/>
        </w:rPr>
        <w:t> milj. EUR</w:t>
      </w:r>
      <w:r w:rsidRPr="005565F8" w:rsidR="00710ED9">
        <w:rPr>
          <w:color w:val="000000"/>
        </w:rPr>
        <w:t>.</w:t>
      </w:r>
    </w:p>
    <w:p w:rsidR="007F62F9" w:rsidRPr="005565F8" w:rsidP="007F62F9" w14:paraId="047157E9" w14:textId="77777777">
      <w:pPr>
        <w:spacing w:before="120"/>
        <w:rPr>
          <w:color w:val="000000"/>
        </w:rPr>
      </w:pPr>
      <w:r w:rsidRPr="005565F8">
        <w:rPr>
          <w:color w:val="000000"/>
        </w:rPr>
        <w:t>Lai nodrošinātu talantīgu un izcilu skolotāju sagatavošanu darbam Latvijas skolās, izglītības zinātņu studiju programmu savstarpējo papildinātību un pēctecību, kā arī resursu koplietošanu pedagoģijas studiju programmu īstenošanā, 2017.gada 28.martā MK pieņēma lēmumu par valsts augstskolu konsolidāciju. Tika nolemts Rīgas Pedagoģijas un izglītības vadības akadēmiju (RPIVA) pievienot Latvijas Universitātei, savukārt Jāzepa Vītola Latvijas Mūzikas akadēmijā koncentrēt mūzikas un deju pedagogu sagatavošanu. Visiem RPIVA studējošajiem nodrošināta studiju procesa nepārtrauktība, kā arī nemainīgi studiju finansēšanas nosacījumi visu studiju laiku.</w:t>
      </w:r>
    </w:p>
    <w:p w:rsidR="00D30FDE" w:rsidRPr="005565F8" w:rsidP="00D30FDE" w14:paraId="0B462CD6" w14:textId="77777777">
      <w:pPr>
        <w:autoSpaceDE w:val="0"/>
        <w:autoSpaceDN w:val="0"/>
        <w:adjustRightInd w:val="0"/>
        <w:spacing w:before="120"/>
        <w:rPr>
          <w:color w:val="000000" w:themeColor="text1"/>
        </w:rPr>
        <w:sectPr w:rsidSect="005D1AD0">
          <w:type w:val="continuous"/>
          <w:pgSz w:w="11906" w:h="16838" w:code="9"/>
          <w:pgMar w:top="1134" w:right="1134" w:bottom="1134" w:left="1134" w:header="709" w:footer="567" w:gutter="0"/>
          <w:cols w:num="2" w:space="340"/>
          <w:titlePg/>
          <w:docGrid w:linePitch="360"/>
        </w:sectPr>
      </w:pPr>
      <w:r w:rsidRPr="005565F8">
        <w:rPr>
          <w:iCs/>
          <w:color w:val="000000" w:themeColor="text1"/>
        </w:rPr>
        <w:t>Augstākās izglītības piedāvājuma atbilstībai Latvijas tautsaimniecības un darba tirgus pieprasījumam ir nepieciešams turpināt d</w:t>
      </w:r>
      <w:r w:rsidRPr="005565F8">
        <w:rPr>
          <w:color w:val="000000" w:themeColor="text1"/>
        </w:rPr>
        <w:t xml:space="preserve">arba devēju iesaisti </w:t>
      </w:r>
      <w:r w:rsidRPr="005565F8">
        <w:rPr>
          <w:bCs/>
          <w:iCs/>
          <w:color w:val="000000" w:themeColor="text1"/>
        </w:rPr>
        <w:t xml:space="preserve">resursu efektīvā izmantošanā augstākajā izglītībā, t.sk. </w:t>
      </w:r>
      <w:r w:rsidRPr="005565F8">
        <w:rPr>
          <w:iCs/>
          <w:color w:val="000000" w:themeColor="text1"/>
        </w:rPr>
        <w:t>augstskolu un koledžu konsolidācijā, valsts budžeta vietu sadalē.</w:t>
      </w:r>
    </w:p>
    <w:p w:rsidR="000F3EEF" w:rsidRPr="005565F8" w:rsidP="009D0527" w14:paraId="1E32C125" w14:textId="77777777">
      <w:pPr>
        <w:autoSpaceDE w:val="0"/>
        <w:autoSpaceDN w:val="0"/>
        <w:adjustRightInd w:val="0"/>
        <w:spacing w:before="120"/>
        <w:rPr>
          <w:color w:val="000000" w:themeColor="text1"/>
        </w:rPr>
      </w:pPr>
    </w:p>
    <w:p w:rsidR="00D30FDE" w:rsidRPr="005565F8" w:rsidP="009D0527" w14:paraId="1C287326" w14:textId="77777777">
      <w:pPr>
        <w:autoSpaceDE w:val="0"/>
        <w:autoSpaceDN w:val="0"/>
        <w:adjustRightInd w:val="0"/>
        <w:spacing w:before="120"/>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9D0527" w:rsidRPr="005565F8" w:rsidP="009D0527" w14:paraId="71FA717D"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Augstākās izglītības internacionalizācija</w:t>
      </w:r>
    </w:p>
    <w:p w:rsidR="009D0527" w:rsidRPr="005565F8" w:rsidP="009D0527" w14:paraId="2FE0BE0D"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5BE7B317"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7F62F9" w:rsidRPr="005565F8" w:rsidP="009D0527" w14:paraId="62CE664D" w14:textId="77777777">
      <w:pPr>
        <w:autoSpaceDE w:val="0"/>
        <w:autoSpaceDN w:val="0"/>
        <w:adjustRightInd w:val="0"/>
        <w:spacing w:before="240"/>
        <w:rPr>
          <w:color w:val="000000" w:themeColor="text1"/>
        </w:rPr>
      </w:pPr>
      <w:r w:rsidRPr="005565F8">
        <w:rPr>
          <w:color w:val="000000" w:themeColor="text1"/>
        </w:rPr>
        <w:t>Lai sekmētu Latvijas augstākās izglītības konkurētspēju un paaugstinātu kvalitāti, politikas virziens vērsts gan uz īstermiņa ārvalstu un Latvijas studentu mobilitāti, gan uz pilna laika ārvalstu student</w:t>
      </w:r>
      <w:r w:rsidRPr="005565F8" w:rsidR="00E126E1">
        <w:rPr>
          <w:color w:val="000000" w:themeColor="text1"/>
        </w:rPr>
        <w:t>u</w:t>
      </w:r>
      <w:r w:rsidRPr="005565F8">
        <w:rPr>
          <w:color w:val="000000" w:themeColor="text1"/>
        </w:rPr>
        <w:t xml:space="preserve"> piesaisti studijām Latvijā, kā arī ietver citus </w:t>
      </w:r>
      <w:r w:rsidRPr="005565F8">
        <w:rPr>
          <w:color w:val="000000" w:themeColor="text1"/>
        </w:rPr>
        <w:t>starptautiskās sadarbības pasākumus</w:t>
      </w:r>
      <w:r w:rsidRPr="005565F8" w:rsidR="00E126E1">
        <w:rPr>
          <w:color w:val="000000" w:themeColor="text1"/>
        </w:rPr>
        <w:t>,</w:t>
      </w:r>
      <w:r w:rsidRPr="005565F8">
        <w:rPr>
          <w:color w:val="000000" w:themeColor="text1"/>
        </w:rPr>
        <w:t xml:space="preserve"> kopīgu programmu izstrādi un ieviešanu.</w:t>
      </w:r>
    </w:p>
    <w:p w:rsidR="007F62F9" w:rsidRPr="005565F8" w:rsidP="007F62F9" w14:paraId="233775DC" w14:textId="77777777">
      <w:pPr>
        <w:autoSpaceDE w:val="0"/>
        <w:autoSpaceDN w:val="0"/>
        <w:adjustRightInd w:val="0"/>
        <w:rPr>
          <w:color w:val="000000" w:themeColor="text1"/>
        </w:rPr>
      </w:pPr>
      <w:r w:rsidRPr="005565F8">
        <w:rPr>
          <w:color w:val="000000" w:themeColor="text1"/>
        </w:rPr>
        <w:t>2016./2017.</w:t>
      </w:r>
      <w:r w:rsidRPr="005565F8">
        <w:rPr>
          <w:color w:val="000000" w:themeColor="text1"/>
        </w:rPr>
        <w:t>akadēmiskā gad</w:t>
      </w:r>
      <w:r w:rsidRPr="005565F8" w:rsidR="004A3B69">
        <w:rPr>
          <w:color w:val="000000" w:themeColor="text1"/>
        </w:rPr>
        <w:t xml:space="preserve">ā </w:t>
      </w:r>
      <w:r w:rsidRPr="005565F8">
        <w:rPr>
          <w:color w:val="000000" w:themeColor="text1"/>
        </w:rPr>
        <w:t xml:space="preserve">Latvijas augstskolās </w:t>
      </w:r>
      <w:r w:rsidRPr="005565F8" w:rsidR="004A3B69">
        <w:rPr>
          <w:color w:val="000000" w:themeColor="text1"/>
        </w:rPr>
        <w:t xml:space="preserve">kopumā </w:t>
      </w:r>
      <w:r w:rsidRPr="005565F8">
        <w:rPr>
          <w:color w:val="000000" w:themeColor="text1"/>
        </w:rPr>
        <w:t>studēja 8</w:t>
      </w:r>
      <w:r w:rsidRPr="005565F8" w:rsidR="004A3B69">
        <w:rPr>
          <w:color w:val="000000" w:themeColor="text1"/>
        </w:rPr>
        <w:t>806</w:t>
      </w:r>
      <w:r w:rsidRPr="005565F8">
        <w:rPr>
          <w:color w:val="000000" w:themeColor="text1"/>
        </w:rPr>
        <w:t xml:space="preserve"> ārvalstu studenti</w:t>
      </w:r>
      <w:r w:rsidRPr="005565F8" w:rsidR="004A3B69">
        <w:rPr>
          <w:color w:val="000000" w:themeColor="text1"/>
        </w:rPr>
        <w:t>, kas veidoja11% no kopējā studējošo skaita (no tiem 7563 studēja grāda iegūšanai</w:t>
      </w:r>
      <w:r w:rsidRPr="005565F8" w:rsidR="00D2603B">
        <w:rPr>
          <w:color w:val="000000" w:themeColor="text1"/>
        </w:rPr>
        <w:t xml:space="preserve">, pārējie </w:t>
      </w:r>
      <w:r w:rsidRPr="005565F8" w:rsidR="004A3B69">
        <w:rPr>
          <w:color w:val="000000" w:themeColor="text1"/>
        </w:rPr>
        <w:t xml:space="preserve">bija </w:t>
      </w:r>
      <w:r w:rsidRPr="005565F8" w:rsidR="00D2603B">
        <w:rPr>
          <w:color w:val="000000" w:themeColor="text1"/>
        </w:rPr>
        <w:t xml:space="preserve">kādā no </w:t>
      </w:r>
      <w:r w:rsidRPr="005565F8" w:rsidR="004A3B69">
        <w:rPr>
          <w:color w:val="000000" w:themeColor="text1"/>
        </w:rPr>
        <w:t>īslaicīgā</w:t>
      </w:r>
      <w:r w:rsidRPr="005565F8" w:rsidR="00D2603B">
        <w:rPr>
          <w:color w:val="000000" w:themeColor="text1"/>
        </w:rPr>
        <w:t>m</w:t>
      </w:r>
      <w:r w:rsidRPr="005565F8" w:rsidR="004A3B69">
        <w:rPr>
          <w:color w:val="000000" w:themeColor="text1"/>
        </w:rPr>
        <w:t xml:space="preserve"> apmaiņas programmā</w:t>
      </w:r>
      <w:r w:rsidRPr="005565F8" w:rsidR="00D2603B">
        <w:rPr>
          <w:color w:val="000000" w:themeColor="text1"/>
        </w:rPr>
        <w:t>m</w:t>
      </w:r>
      <w:r w:rsidRPr="005565F8" w:rsidR="004A3B69">
        <w:rPr>
          <w:color w:val="000000" w:themeColor="text1"/>
        </w:rPr>
        <w:t>)</w:t>
      </w:r>
      <w:r w:rsidRPr="005565F8" w:rsidR="00D2603B">
        <w:rPr>
          <w:color w:val="000000" w:themeColor="text1"/>
        </w:rPr>
        <w:t>. V</w:t>
      </w:r>
      <w:r w:rsidRPr="005565F8">
        <w:rPr>
          <w:color w:val="000000" w:themeColor="text1"/>
        </w:rPr>
        <w:t xml:space="preserve">isvairāk ārvalstu studējošo </w:t>
      </w:r>
      <w:r w:rsidRPr="005565F8" w:rsidR="00D2603B">
        <w:rPr>
          <w:color w:val="000000" w:themeColor="text1"/>
        </w:rPr>
        <w:t xml:space="preserve">bija </w:t>
      </w:r>
      <w:r w:rsidRPr="005565F8">
        <w:rPr>
          <w:color w:val="000000" w:themeColor="text1"/>
        </w:rPr>
        <w:t xml:space="preserve">no </w:t>
      </w:r>
      <w:r w:rsidRPr="005565F8" w:rsidR="00D2603B">
        <w:rPr>
          <w:color w:val="000000" w:themeColor="text1"/>
        </w:rPr>
        <w:t>Indijas</w:t>
      </w:r>
      <w:r w:rsidRPr="005565F8">
        <w:rPr>
          <w:color w:val="000000" w:themeColor="text1"/>
        </w:rPr>
        <w:t xml:space="preserve"> (</w:t>
      </w:r>
      <w:r w:rsidRPr="005565F8" w:rsidR="00D2603B">
        <w:rPr>
          <w:color w:val="000000" w:themeColor="text1"/>
        </w:rPr>
        <w:t>16,3</w:t>
      </w:r>
      <w:r w:rsidRPr="005565F8">
        <w:rPr>
          <w:color w:val="000000" w:themeColor="text1"/>
        </w:rPr>
        <w:t>% no kopējā ārvalstu studējošo skaita), Uzbekistānas (</w:t>
      </w:r>
      <w:r w:rsidRPr="005565F8" w:rsidR="00D2603B">
        <w:rPr>
          <w:color w:val="000000" w:themeColor="text1"/>
        </w:rPr>
        <w:t>14,8%) un Vācijas</w:t>
      </w:r>
      <w:r w:rsidRPr="005565F8">
        <w:rPr>
          <w:color w:val="000000" w:themeColor="text1"/>
        </w:rPr>
        <w:t xml:space="preserve"> </w:t>
      </w:r>
      <w:r w:rsidRPr="005565F8">
        <w:t>(</w:t>
      </w:r>
      <w:r w:rsidRPr="005565F8" w:rsidR="00D2603B">
        <w:t>13,8</w:t>
      </w:r>
      <w:r w:rsidRPr="005565F8">
        <w:t>%).</w:t>
      </w:r>
      <w:r w:rsidRPr="005565F8">
        <w:rPr>
          <w:b/>
          <w:i/>
        </w:rPr>
        <w:t xml:space="preserve"> </w:t>
      </w:r>
    </w:p>
    <w:p w:rsidR="007F62F9" w:rsidRPr="005565F8" w:rsidP="007F62F9" w14:paraId="21B14341" w14:textId="77777777">
      <w:pPr>
        <w:autoSpaceDE w:val="0"/>
        <w:autoSpaceDN w:val="0"/>
        <w:adjustRightInd w:val="0"/>
      </w:pPr>
      <w:r w:rsidRPr="005565F8">
        <w:t xml:space="preserve">Lai paaugstinātu augstākās izglītības iestāžu atbildību ārvalstu studentu piesaistē un sekmētu tikai pozitīvas informācijas izplatīšanos par Latvijas augstākās izglītības </w:t>
      </w:r>
      <w:r w:rsidRPr="005565F8" w:rsidR="00E561A6">
        <w:t xml:space="preserve">sistēmu un studijām Latvijā, 15 </w:t>
      </w:r>
      <w:r w:rsidRPr="005565F8">
        <w:t xml:space="preserve">augstākās izglītības iestādes </w:t>
      </w:r>
      <w:r w:rsidRPr="005565F8" w:rsidR="00E561A6">
        <w:t>ir parakstījušas</w:t>
      </w:r>
      <w:r w:rsidRPr="005565F8">
        <w:t xml:space="preserve"> </w:t>
      </w:r>
      <w:r w:rsidRPr="005565F8">
        <w:rPr>
          <w:i/>
        </w:rPr>
        <w:t>Vienošanos par labu praksi ārvalstu studējošo piesaistē un studiju nodrošināšanā</w:t>
      </w:r>
      <w:r w:rsidRPr="005565F8">
        <w:t>.</w:t>
      </w:r>
    </w:p>
    <w:p w:rsidR="007F62F9" w:rsidRPr="005565F8" w:rsidP="007F62F9" w14:paraId="286DCF49" w14:textId="77777777">
      <w:pPr>
        <w:autoSpaceDE w:val="0"/>
        <w:autoSpaceDN w:val="0"/>
        <w:adjustRightInd w:val="0"/>
        <w:spacing w:before="120"/>
        <w:rPr>
          <w:color w:val="000000" w:themeColor="text1"/>
        </w:rPr>
      </w:pPr>
      <w:r w:rsidRPr="005565F8">
        <w:rPr>
          <w:color w:val="000000" w:themeColor="text1"/>
        </w:rPr>
        <w:t>2017.gadā Latvijas augstskolās tika īstenotas 14 kopīgas studiju programmas ar ārvalstu augstskolām (t.sk. Lietuvas, Igaunijas, Spānijas, Austrijas un Nīderlandes augstskolām) tādās jomās kā starptautiskais bizness un eksporta menedžments, tehnoloģiju un inovāciju vadība, inovatīva ceļu un tiltu inženierija, stratēģiskā robežu pārvaldība u.c.</w:t>
      </w:r>
    </w:p>
    <w:p w:rsidR="00A51B90" w:rsidRPr="005565F8" w:rsidP="00A51B90" w14:paraId="17B5DF9D" w14:textId="77777777">
      <w:pPr>
        <w:autoSpaceDE w:val="0"/>
        <w:autoSpaceDN w:val="0"/>
        <w:adjustRightInd w:val="0"/>
        <w:spacing w:before="120"/>
        <w:jc w:val="both"/>
        <w:rPr>
          <w:color w:val="000000" w:themeColor="text1"/>
        </w:rPr>
      </w:pPr>
      <w:r w:rsidRPr="005565F8">
        <w:rPr>
          <w:color w:val="000000" w:themeColor="text1"/>
        </w:rPr>
        <w:t xml:space="preserve">2016./2017. akadēmiskajā gadā Latvijas augstskolās darbojās 244 ārvalstu viesprofesori, </w:t>
      </w:r>
      <w:r w:rsidRPr="005565F8">
        <w:rPr>
          <w:color w:val="000000" w:themeColor="text1"/>
        </w:rPr>
        <w:t>viesdocenti</w:t>
      </w:r>
      <w:r w:rsidRPr="005565F8">
        <w:rPr>
          <w:color w:val="000000" w:themeColor="text1"/>
        </w:rPr>
        <w:t xml:space="preserve"> un vieslektori, kas bija 4% no kopējā akadēmiskā personāla.</w:t>
      </w:r>
      <w:r w:rsidRPr="005565F8" w:rsidR="00E126E1">
        <w:rPr>
          <w:color w:val="000000" w:themeColor="text1"/>
        </w:rPr>
        <w:t xml:space="preserve"> Latvijas mērķis ir palielināt ārvalstu  pasniedzēju skaita īpatsvaru līdz 7% 2020.gadā.</w:t>
      </w:r>
      <w:r w:rsidRPr="005565F8" w:rsidR="0082587A">
        <w:rPr>
          <w:color w:val="000000" w:themeColor="text1"/>
        </w:rPr>
        <w:t xml:space="preserve"> </w:t>
      </w:r>
      <w:r w:rsidRPr="005565F8">
        <w:rPr>
          <w:color w:val="000000" w:themeColor="text1"/>
        </w:rPr>
        <w:t>Lai veicinātu ārvalstu mācībspēku piesaisti un augstākās izglītības internacionalizāciju</w:t>
      </w:r>
      <w:r w:rsidRPr="005565F8">
        <w:rPr>
          <w:color w:val="000000" w:themeColor="text1"/>
        </w:rPr>
        <w:t>,</w:t>
      </w:r>
      <w:r w:rsidRPr="005565F8">
        <w:rPr>
          <w:color w:val="000000" w:themeColor="text1"/>
        </w:rPr>
        <w:t xml:space="preserve"> 2017.gadā ir izstrādāti pasākumu augstākās iz</w:t>
      </w:r>
      <w:r w:rsidRPr="005565F8">
        <w:rPr>
          <w:color w:val="000000" w:themeColor="text1"/>
        </w:rPr>
        <w:t>glītības institūciju atbalstam. Pašlaik augstskolas izstrādā pieteikumus ESF projektu konkursam par studiju programmu ES valodās un kopīgu doktorantūras programmu izstrādi. ESF projektos būs iespēja</w:t>
      </w:r>
      <w:r w:rsidRPr="005565F8" w:rsidR="008026C6">
        <w:rPr>
          <w:color w:val="000000" w:themeColor="text1"/>
        </w:rPr>
        <w:t xml:space="preserve"> arī</w:t>
      </w:r>
      <w:r w:rsidRPr="005565F8">
        <w:rPr>
          <w:color w:val="000000" w:themeColor="text1"/>
        </w:rPr>
        <w:t xml:space="preserve"> pilnveidot akadēmiskā personāla profesionālās zināšanas un piesaistīt  ārvalstu pasniedzējus. Projektu īstenošanu plānots uzsākt 2018.gada nogalē.</w:t>
      </w:r>
    </w:p>
    <w:p w:rsidR="007F62F9" w:rsidRPr="005565F8" w:rsidP="007F62F9" w14:paraId="37505770" w14:textId="77777777">
      <w:pPr>
        <w:autoSpaceDE w:val="0"/>
        <w:autoSpaceDN w:val="0"/>
        <w:adjustRightInd w:val="0"/>
        <w:spacing w:before="120"/>
        <w:rPr>
          <w:color w:val="000000" w:themeColor="text1"/>
        </w:rPr>
      </w:pPr>
      <w:r w:rsidRPr="005565F8">
        <w:rPr>
          <w:color w:val="000000" w:themeColor="text1"/>
        </w:rPr>
        <w:t>Ārējo instrumentu ietvaros tika turpināta 2015.gadā</w:t>
      </w:r>
      <w:r w:rsidRPr="005565F8">
        <w:rPr>
          <w:i/>
          <w:color w:val="000000" w:themeColor="text1"/>
        </w:rPr>
        <w:t xml:space="preserve"> </w:t>
      </w:r>
      <w:r w:rsidRPr="005565F8">
        <w:rPr>
          <w:color w:val="000000" w:themeColor="text1"/>
        </w:rPr>
        <w:t>uzsāktā</w:t>
      </w:r>
      <w:r w:rsidRPr="005565F8" w:rsidR="0082587A">
        <w:rPr>
          <w:color w:val="000000" w:themeColor="text1"/>
        </w:rPr>
        <w:t>s</w:t>
      </w:r>
      <w:r w:rsidRPr="005565F8">
        <w:rPr>
          <w:i/>
          <w:color w:val="000000" w:themeColor="text1"/>
        </w:rPr>
        <w:t xml:space="preserve"> </w:t>
      </w:r>
      <w:r w:rsidRPr="005565F8">
        <w:rPr>
          <w:i/>
          <w:color w:val="000000" w:themeColor="text1"/>
        </w:rPr>
        <w:t>Erasmus</w:t>
      </w:r>
      <w:r w:rsidRPr="005565F8">
        <w:rPr>
          <w:i/>
          <w:color w:val="000000" w:themeColor="text1"/>
        </w:rPr>
        <w:t>+</w:t>
      </w:r>
      <w:r w:rsidRPr="005565F8">
        <w:rPr>
          <w:color w:val="000000" w:themeColor="text1"/>
        </w:rPr>
        <w:t xml:space="preserve"> programmas aktivitātes </w:t>
      </w:r>
      <w:r w:rsidRPr="005565F8">
        <w:rPr>
          <w:i/>
          <w:color w:val="000000" w:themeColor="text1"/>
        </w:rPr>
        <w:t xml:space="preserve">Starptautiskā studentu un personāla mobilitāte </w:t>
      </w:r>
      <w:r w:rsidRPr="005565F8">
        <w:rPr>
          <w:color w:val="000000" w:themeColor="text1"/>
        </w:rPr>
        <w:t>īstenošana. Lai nodrošinātu vienlīdzīgu pieeju un līdzvērtīgus nosacījumus starp mobilitātes aktivitātēm augstākajā izglītībā, tiek piešķirts valsts budžeta līdzfinansējums starptautiskajai studentu un personāla mobilitātei 20% apmērā no aktivitātes kopējā finansējuma. Valsts budžeta līdzfinansējums 2016.gadā bija 361,2 tūkst. EUR</w:t>
      </w:r>
      <w:r w:rsidRPr="005565F8">
        <w:rPr>
          <w:i/>
          <w:color w:val="000000" w:themeColor="text1"/>
        </w:rPr>
        <w:t xml:space="preserve"> </w:t>
      </w:r>
      <w:r w:rsidRPr="005565F8">
        <w:rPr>
          <w:color w:val="000000" w:themeColor="text1"/>
        </w:rPr>
        <w:t xml:space="preserve">un 2017.gadā tas bija 329,26 tūkst. EUR. </w:t>
      </w:r>
      <w:r w:rsidRPr="005565F8">
        <w:rPr>
          <w:i/>
          <w:color w:val="000000" w:themeColor="text1"/>
        </w:rPr>
        <w:t>EK 2017.gada darba programmā</w:t>
      </w:r>
      <w:r w:rsidRPr="005565F8">
        <w:rPr>
          <w:color w:val="000000" w:themeColor="text1"/>
        </w:rPr>
        <w:t xml:space="preserve"> Latvijai pieejamā ES budžeta dotācija augstākajai izglītībai programmas </w:t>
      </w:r>
      <w:r w:rsidRPr="005565F8">
        <w:rPr>
          <w:i/>
          <w:color w:val="000000" w:themeColor="text1"/>
        </w:rPr>
        <w:t>Erasmus</w:t>
      </w:r>
      <w:r w:rsidRPr="005565F8">
        <w:rPr>
          <w:i/>
          <w:color w:val="000000" w:themeColor="text1"/>
        </w:rPr>
        <w:t>+</w:t>
      </w:r>
      <w:r w:rsidRPr="005565F8">
        <w:rPr>
          <w:color w:val="000000" w:themeColor="text1"/>
        </w:rPr>
        <w:t xml:space="preserve"> ietvaros studentu un personāla mobilitātēm starp programmas valstīm ir 6,94 milj.</w:t>
      </w:r>
      <w:r w:rsidRPr="005565F8" w:rsidR="00C7735D">
        <w:rPr>
          <w:color w:val="000000" w:themeColor="text1"/>
        </w:rPr>
        <w:t xml:space="preserve"> EUR</w:t>
      </w:r>
      <w:r w:rsidRPr="005565F8">
        <w:rPr>
          <w:color w:val="000000" w:themeColor="text1"/>
        </w:rPr>
        <w:t>, savukārt studentu un personāla mobilitāt</w:t>
      </w:r>
      <w:r w:rsidRPr="005565F8" w:rsidR="00C7735D">
        <w:rPr>
          <w:color w:val="000000" w:themeColor="text1"/>
        </w:rPr>
        <w:t>ei</w:t>
      </w:r>
      <w:r w:rsidRPr="005565F8">
        <w:rPr>
          <w:color w:val="000000" w:themeColor="text1"/>
        </w:rPr>
        <w:t xml:space="preserve"> starp programmas un partnervalstīm ir </w:t>
      </w:r>
      <w:r w:rsidRPr="005565F8" w:rsidR="00C7735D">
        <w:rPr>
          <w:color w:val="000000" w:themeColor="text1"/>
        </w:rPr>
        <w:br/>
      </w:r>
      <w:r w:rsidRPr="005565F8">
        <w:rPr>
          <w:color w:val="000000" w:themeColor="text1"/>
        </w:rPr>
        <w:t>1</w:t>
      </w:r>
      <w:r w:rsidRPr="005565F8" w:rsidR="00C7735D">
        <w:rPr>
          <w:color w:val="000000" w:themeColor="text1"/>
        </w:rPr>
        <w:t>,</w:t>
      </w:r>
      <w:r w:rsidRPr="005565F8">
        <w:rPr>
          <w:color w:val="000000" w:themeColor="text1"/>
        </w:rPr>
        <w:t>48 milj. EUR.</w:t>
      </w:r>
    </w:p>
    <w:p w:rsidR="007F62F9" w:rsidRPr="005565F8" w:rsidP="007F62F9" w14:paraId="20372F84" w14:textId="77777777">
      <w:pPr>
        <w:autoSpaceDE w:val="0"/>
        <w:autoSpaceDN w:val="0"/>
        <w:adjustRightInd w:val="0"/>
        <w:rPr>
          <w:color w:val="000000" w:themeColor="text1"/>
        </w:rPr>
      </w:pPr>
      <w:r w:rsidRPr="005565F8">
        <w:rPr>
          <w:color w:val="000000" w:themeColor="text1"/>
        </w:rPr>
        <w:t>2017.gada decembrī tika noslēgti sadarbības memorandi par Norvēģijas un Eiropas Ekonomiskās zonas finanšu instrumentiem 2014.-2021. gadam, koncentrējot resursus vienotās Baltijas un Ziemeļvalstu pētniecības un augstākās izglītības telpas izveidei. Apakšprogrammas projektu konkursos studenti, pasniedzēji, administratīvais personāls varēs pieteikties zinātniskās institūcijas akadēmiskajai un neakadēmiskajai mobilitātei. Plānots, ka 2018. gadā tiks izstrādāts programmas koncepcijas dokuments un atbilstošais regulējums, lai 2019. gadā Latvijā varētu izsludināt projektu konkursu (Igaunija izsludinās konkursu 2018. gada rudenī, kurā varēs piedalīties ar</w:t>
      </w:r>
      <w:r w:rsidRPr="005565F8" w:rsidR="00701DD2">
        <w:rPr>
          <w:color w:val="000000" w:themeColor="text1"/>
        </w:rPr>
        <w:t>ī</w:t>
      </w:r>
      <w:r w:rsidRPr="005565F8">
        <w:rPr>
          <w:color w:val="000000" w:themeColor="text1"/>
        </w:rPr>
        <w:t xml:space="preserve"> Latvijas zinātniskās institūcijas). </w:t>
      </w:r>
    </w:p>
    <w:p w:rsidR="007F62F9" w:rsidRPr="005565F8" w:rsidP="007F62F9" w14:paraId="0026ADE7" w14:textId="77777777">
      <w:pPr>
        <w:autoSpaceDE w:val="0"/>
        <w:autoSpaceDN w:val="0"/>
        <w:adjustRightInd w:val="0"/>
        <w:spacing w:before="120"/>
        <w:rPr>
          <w:color w:val="000000" w:themeColor="text1"/>
        </w:rPr>
      </w:pPr>
      <w:r w:rsidRPr="005565F8">
        <w:rPr>
          <w:color w:val="000000" w:themeColor="text1"/>
        </w:rPr>
        <w:t xml:space="preserve">2017. gadā tika turpināti augstākās izglītības eksportspējas un atpazīstamību veicinošie pasākumi, t.sk. uzturēta mājas lapa </w:t>
      </w:r>
      <w:r>
        <w:fldChar w:fldCharType="begin"/>
      </w:r>
      <w:r>
        <w:instrText xml:space="preserve"> HYPERLINK "http://www.studyinlatvia.eu" </w:instrText>
      </w:r>
      <w:r>
        <w:fldChar w:fldCharType="separate"/>
      </w:r>
      <w:r w:rsidRPr="005565F8">
        <w:rPr>
          <w:color w:val="000000" w:themeColor="text1"/>
          <w:u w:val="single"/>
        </w:rPr>
        <w:t>www.studyinlatvia.eu</w:t>
      </w:r>
      <w:r>
        <w:fldChar w:fldCharType="end"/>
      </w:r>
      <w:r w:rsidRPr="005565F8">
        <w:rPr>
          <w:color w:val="000000" w:themeColor="text1"/>
        </w:rPr>
        <w:t xml:space="preserve"> un </w:t>
      </w:r>
      <w:r>
        <w:fldChar w:fldCharType="begin"/>
      </w:r>
      <w:r>
        <w:instrText xml:space="preserve"> HYPERLINK "http://www.studyinlatvia.lv" </w:instrText>
      </w:r>
      <w:r>
        <w:fldChar w:fldCharType="separate"/>
      </w:r>
      <w:r w:rsidRPr="005565F8">
        <w:rPr>
          <w:color w:val="000000" w:themeColor="text1"/>
          <w:u w:val="single"/>
        </w:rPr>
        <w:t>www.studyinlatvia.lv</w:t>
      </w:r>
      <w:r>
        <w:fldChar w:fldCharType="end"/>
      </w:r>
      <w:r w:rsidRPr="005565F8">
        <w:rPr>
          <w:color w:val="000000" w:themeColor="text1"/>
        </w:rPr>
        <w:t>, kas informē potenciālos ārvalstu studentus par studiju programmām, Latvijas kultūru un izglītības sistēmu. Mājas lapa ir saistīta ar sociālajiem tīkliem, kuros regulāri ir iespējams uzdot interesējošos jautājumus un saņemt informāciju par iespējām studēt Latvijā.</w:t>
      </w:r>
    </w:p>
    <w:p w:rsidR="00951581" w:rsidRPr="005565F8" w:rsidP="00A23025" w14:paraId="66EA2D50" w14:textId="77777777">
      <w:pPr>
        <w:ind w:firstLine="567"/>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A23025" w:rsidRPr="005565F8" w:rsidP="00A23025" w14:paraId="40D95152" w14:textId="77777777">
      <w:pPr>
        <w:ind w:firstLine="567"/>
        <w:rPr>
          <w:color w:val="000000" w:themeColor="text1"/>
        </w:rPr>
      </w:pPr>
    </w:p>
    <w:p w:rsidR="00A23025" w:rsidRPr="005565F8" w:rsidP="00E2273C" w14:paraId="6C11974B" w14:textId="77777777">
      <w:pPr>
        <w:pStyle w:val="Heading3"/>
        <w:spacing w:before="240"/>
      </w:pPr>
      <w:bookmarkStart w:id="89" w:name="_Toc510687756"/>
      <w:bookmarkStart w:id="90" w:name="_Toc256000025"/>
      <w:bookmarkStart w:id="91" w:name="_Toc256000060"/>
      <w:r w:rsidRPr="005565F8">
        <w:t>3.4.5. Mūžizglītība</w:t>
      </w:r>
      <w:bookmarkEnd w:id="91"/>
      <w:bookmarkEnd w:id="90"/>
      <w:bookmarkEnd w:id="89"/>
    </w:p>
    <w:p w:rsidR="00951581" w:rsidRPr="005565F8" w:rsidP="007F62F9" w14:paraId="79E616A6" w14:textId="77777777">
      <w:pPr>
        <w:rPr>
          <w:color w:val="000000" w:themeColor="text1"/>
        </w:rPr>
      </w:pPr>
    </w:p>
    <w:p w:rsidR="009D0527" w:rsidRPr="005565F8" w:rsidP="007F62F9" w14:paraId="0AFFC8A2" w14:textId="77777777">
      <w:pPr>
        <w:rPr>
          <w:color w:val="000000" w:themeColor="text1"/>
        </w:rPr>
        <w:sectPr w:rsidSect="005D1AD0">
          <w:type w:val="continuous"/>
          <w:pgSz w:w="11906" w:h="16838" w:code="9"/>
          <w:pgMar w:top="1134" w:right="1134" w:bottom="1134" w:left="1134" w:header="709" w:footer="567" w:gutter="0"/>
          <w:cols w:space="340"/>
          <w:titlePg/>
          <w:docGrid w:linePitch="360"/>
        </w:sectPr>
      </w:pPr>
    </w:p>
    <w:p w:rsidR="00002D33" w:rsidRPr="005565F8" w:rsidP="007F62F9" w14:paraId="11C098BD" w14:textId="77777777">
      <w:pPr>
        <w:rPr>
          <w:color w:val="000000" w:themeColor="text1"/>
        </w:rPr>
      </w:pPr>
      <w:r w:rsidRPr="005565F8">
        <w:rPr>
          <w:color w:val="000000" w:themeColor="text1"/>
        </w:rPr>
        <w:t>Mērķis ir panākt, lai 2020.gadā 15% no iedzīvotājiem (25-64 gadu vecumā) būtu nepārtraukti iesaistīti mācīšanās procesā (201</w:t>
      </w:r>
      <w:r w:rsidRPr="005565F8" w:rsidR="00D80E0E">
        <w:rPr>
          <w:color w:val="000000" w:themeColor="text1"/>
        </w:rPr>
        <w:t>7</w:t>
      </w:r>
      <w:r w:rsidRPr="005565F8">
        <w:rPr>
          <w:color w:val="000000" w:themeColor="text1"/>
        </w:rPr>
        <w:t xml:space="preserve">.gadā – </w:t>
      </w:r>
      <w:r w:rsidRPr="005565F8" w:rsidR="00746D48">
        <w:rPr>
          <w:color w:val="000000" w:themeColor="text1"/>
        </w:rPr>
        <w:t>7</w:t>
      </w:r>
      <w:r w:rsidRPr="005565F8">
        <w:rPr>
          <w:color w:val="000000" w:themeColor="text1"/>
        </w:rPr>
        <w:t>,</w:t>
      </w:r>
      <w:r w:rsidRPr="005565F8" w:rsidR="00D80E0E">
        <w:rPr>
          <w:color w:val="000000" w:themeColor="text1"/>
        </w:rPr>
        <w:t>5</w:t>
      </w:r>
      <w:r w:rsidRPr="005565F8">
        <w:rPr>
          <w:color w:val="000000" w:themeColor="text1"/>
        </w:rPr>
        <w:t xml:space="preserve">%). </w:t>
      </w:r>
      <w:r w:rsidRPr="005565F8" w:rsidR="00D80E0E">
        <w:rPr>
          <w:color w:val="000000" w:themeColor="text1"/>
        </w:rPr>
        <w:t>2017</w:t>
      </w:r>
      <w:r w:rsidRPr="005565F8">
        <w:rPr>
          <w:color w:val="000000" w:themeColor="text1"/>
        </w:rPr>
        <w:t>.gadā, sal</w:t>
      </w:r>
      <w:r w:rsidRPr="005565F8" w:rsidR="00D80E0E">
        <w:rPr>
          <w:color w:val="000000" w:themeColor="text1"/>
        </w:rPr>
        <w:t>īdzinot ar 2016</w:t>
      </w:r>
      <w:r w:rsidRPr="005565F8">
        <w:rPr>
          <w:color w:val="000000" w:themeColor="text1"/>
        </w:rPr>
        <w:t xml:space="preserve">.gadu, iedzīvotāju īpatsvars, kas piedalās pieaugušo izglītībā palielinājies par </w:t>
      </w:r>
      <w:r w:rsidRPr="005565F8" w:rsidR="00D80E0E">
        <w:rPr>
          <w:color w:val="000000" w:themeColor="text1"/>
        </w:rPr>
        <w:t>0,2</w:t>
      </w:r>
      <w:r w:rsidRPr="005565F8">
        <w:rPr>
          <w:color w:val="000000" w:themeColor="text1"/>
        </w:rPr>
        <w:t xml:space="preserve"> procentpunktiem.</w:t>
      </w:r>
    </w:p>
    <w:p w:rsidR="009D0527" w:rsidRPr="005565F8" w:rsidP="009D0527" w14:paraId="24B052BE" w14:textId="77777777">
      <w:pPr>
        <w:spacing w:before="120"/>
        <w:rPr>
          <w:rFonts w:eastAsia="MS Mincho"/>
          <w:bCs/>
          <w:color w:val="000000" w:themeColor="text1"/>
          <w:lang w:eastAsia="ja-JP" w:bidi="lo-LA"/>
        </w:rPr>
      </w:pPr>
      <w:r w:rsidRPr="005565F8">
        <w:rPr>
          <w:rFonts w:eastAsia="MS Mincho"/>
          <w:i/>
          <w:color w:val="000000" w:themeColor="text1"/>
          <w:lang w:eastAsia="ja-JP" w:bidi="lo-LA"/>
        </w:rPr>
        <w:t>I</w:t>
      </w:r>
      <w:r w:rsidRPr="005565F8" w:rsidR="004B1EDB">
        <w:rPr>
          <w:rFonts w:eastAsia="MS Mincho"/>
          <w:i/>
          <w:color w:val="000000" w:themeColor="text1"/>
          <w:lang w:eastAsia="ja-JP" w:bidi="lo-LA"/>
        </w:rPr>
        <w:t>zglītības attīstības pamatnostādņu 2014.-2020.gadam</w:t>
      </w:r>
      <w:r w:rsidRPr="005565F8" w:rsidR="004B1EDB">
        <w:rPr>
          <w:rFonts w:eastAsia="MS Mincho"/>
          <w:color w:val="000000" w:themeColor="text1"/>
          <w:lang w:eastAsia="ja-JP" w:bidi="lo-LA"/>
        </w:rPr>
        <w:t xml:space="preserve"> </w:t>
      </w:r>
      <w:r w:rsidRPr="005565F8">
        <w:rPr>
          <w:rFonts w:eastAsia="MS Mincho"/>
          <w:color w:val="000000" w:themeColor="text1"/>
          <w:lang w:eastAsia="ja-JP" w:bidi="lo-LA"/>
        </w:rPr>
        <w:t xml:space="preserve">pasākumi ir vērsti uz mūžizglītības principa ieviešanu, t.sk. viens no rīcības virzieniem paredz izglītības iespēju paplašināšanu pieaugušajiem (piemēram, otrās iespējas izglītības piedāvājuma paplašināšana, atbalsts darba devējiem darbinieku izglītošanā, kā arī atbalsts </w:t>
      </w:r>
      <w:r w:rsidRPr="005565F8">
        <w:rPr>
          <w:rFonts w:eastAsia="MS Mincho"/>
          <w:bCs/>
          <w:color w:val="000000" w:themeColor="text1"/>
          <w:lang w:eastAsia="ja-JP" w:bidi="lo-LA"/>
        </w:rPr>
        <w:t>nodarbināto kvalifikācijas pilnveidošanai atbilstoši darba devēju prasībām u.c.).</w:t>
      </w:r>
    </w:p>
    <w:p w:rsidR="009D0527" w:rsidRPr="005565F8" w:rsidP="00215698" w14:paraId="1B6312D3" w14:textId="77777777">
      <w:pPr>
        <w:pStyle w:val="ListParagraph"/>
        <w:keepNext/>
        <w:spacing w:before="240"/>
        <w:ind w:left="0"/>
        <w:jc w:val="right"/>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2D47FA" w14:paraId="0E4FD2FE" w14:textId="77777777">
      <w:pPr>
        <w:spacing w:after="0"/>
        <w:rPr>
          <w:rFonts w:ascii="Calibri Light" w:hAnsi="Calibri Light"/>
        </w:rPr>
      </w:pPr>
      <w:r>
        <w:rPr>
          <w:rFonts w:ascii="Calibri Light" w:hAnsi="Calibri Light"/>
        </w:rPr>
        <w:br w:type="page"/>
      </w:r>
    </w:p>
    <w:p w:rsidR="00215698" w:rsidRPr="005565F8" w:rsidP="002D47FA" w14:paraId="42D5ED49" w14:textId="5882003C">
      <w:pPr>
        <w:pStyle w:val="ListParagraph"/>
        <w:keepNext/>
        <w:shd w:val="clear" w:color="auto" w:fill="FFFFFF" w:themeFill="background1"/>
        <w:spacing w:before="240"/>
        <w:ind w:left="0"/>
        <w:contextualSpacing w:val="0"/>
        <w:jc w:val="right"/>
        <w:rPr>
          <w:rFonts w:ascii="Calibri Light" w:hAnsi="Calibri Light"/>
          <w:b/>
          <w:i/>
          <w:sz w:val="16"/>
        </w:rPr>
      </w:pPr>
      <w:r w:rsidRPr="005565F8">
        <w:rPr>
          <w:rFonts w:ascii="Calibri Light" w:hAnsi="Calibri Light"/>
        </w:rPr>
        <w:t>3.5.attēls</w:t>
      </w:r>
      <w:r w:rsidRPr="005565F8">
        <w:rPr>
          <w:rFonts w:ascii="Calibri Light" w:hAnsi="Calibri Light"/>
        </w:rPr>
        <w:br/>
      </w:r>
      <w:r w:rsidRPr="005565F8">
        <w:rPr>
          <w:rFonts w:ascii="Calibri Light" w:hAnsi="Calibri Light"/>
          <w:b/>
          <w:sz w:val="24"/>
        </w:rPr>
        <w:tab/>
        <w:t>Iedzīvotāju 25-64 gadu vecumā piedalīšanās izglītības procesā</w:t>
      </w:r>
      <w:r w:rsidRPr="005565F8">
        <w:rPr>
          <w:rFonts w:ascii="Calibri Light" w:hAnsi="Calibri Light"/>
          <w:b/>
          <w:sz w:val="24"/>
        </w:rPr>
        <w:br/>
      </w:r>
      <w:r w:rsidRPr="005565F8">
        <w:rPr>
          <w:rFonts w:ascii="Calibri Light" w:hAnsi="Calibri Light"/>
          <w:i/>
          <w:sz w:val="16"/>
        </w:rPr>
        <w:tab/>
      </w:r>
      <w:r w:rsidRPr="005565F8">
        <w:rPr>
          <w:rFonts w:ascii="Calibri Light" w:hAnsi="Calibri Light"/>
          <w:i/>
          <w:sz w:val="16"/>
        </w:rPr>
        <w:t>Īpatsvars, procentos</w:t>
      </w:r>
    </w:p>
    <w:p w:rsidR="00215698" w:rsidRPr="005565F8" w:rsidP="002D47FA" w14:paraId="23FCF20C" w14:textId="77777777">
      <w:pPr>
        <w:pStyle w:val="ListParagraph"/>
        <w:shd w:val="clear" w:color="auto" w:fill="B8CCE4" w:themeFill="accent1" w:themeFillTint="66"/>
        <w:tabs>
          <w:tab w:val="left" w:pos="426"/>
        </w:tabs>
        <w:spacing w:after="0"/>
        <w:ind w:left="0"/>
        <w:contextualSpacing w:val="0"/>
        <w:jc w:val="center"/>
        <w:rPr>
          <w:rFonts w:ascii="Calibri Light" w:hAnsi="Calibri Light"/>
          <w:sz w:val="16"/>
          <w:szCs w:val="20"/>
        </w:rPr>
      </w:pPr>
    </w:p>
    <w:p w:rsidR="00215698" w:rsidRPr="005565F8" w:rsidP="002D47FA" w14:paraId="39DE78BF" w14:textId="77777777">
      <w:pPr>
        <w:pStyle w:val="ListParagraph"/>
        <w:shd w:val="clear" w:color="auto" w:fill="B8CCE4" w:themeFill="accent1" w:themeFillTint="66"/>
        <w:tabs>
          <w:tab w:val="left" w:pos="426"/>
        </w:tabs>
        <w:spacing w:after="0"/>
        <w:ind w:left="0"/>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5760000" cy="216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15698" w:rsidRPr="005565F8" w:rsidP="002D47FA" w14:paraId="26CB0EAE" w14:textId="77777777">
      <w:pPr>
        <w:pStyle w:val="ListParagraph"/>
        <w:shd w:val="clear" w:color="auto" w:fill="B8CCE4" w:themeFill="accent1" w:themeFillTint="66"/>
        <w:tabs>
          <w:tab w:val="left" w:pos="426"/>
        </w:tabs>
        <w:spacing w:after="0"/>
        <w:ind w:left="0" w:firstLine="142"/>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Avots: CSP</w:t>
      </w:r>
    </w:p>
    <w:p w:rsidR="00C413AB" w:rsidRPr="005565F8" w:rsidP="002D47FA" w14:paraId="56FEF423" w14:textId="77777777">
      <w:pPr>
        <w:pStyle w:val="ListParagraph"/>
        <w:shd w:val="clear" w:color="auto" w:fill="B8CCE4" w:themeFill="accent1" w:themeFillTint="66"/>
        <w:tabs>
          <w:tab w:val="left" w:pos="426"/>
        </w:tabs>
        <w:spacing w:after="0"/>
        <w:ind w:left="0"/>
        <w:contextualSpacing w:val="0"/>
        <w:rPr>
          <w:rFonts w:ascii="Calibri Light" w:hAnsi="Calibri Light"/>
          <w:sz w:val="8"/>
          <w:szCs w:val="20"/>
        </w:rPr>
      </w:pPr>
    </w:p>
    <w:p w:rsidR="000D5140" w:rsidRPr="005565F8" w:rsidP="007F62F9" w14:paraId="0DE8D522" w14:textId="77777777">
      <w:pPr>
        <w:rPr>
          <w:color w:val="000000" w:themeColor="text1"/>
        </w:rPr>
      </w:pPr>
    </w:p>
    <w:p w:rsidR="000F3EEF" w:rsidRPr="005565F8" w:rsidP="000F3EEF" w14:paraId="38453AD7"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0F3EEF" w:rsidRPr="005565F8" w:rsidP="000F3EEF" w14:paraId="52EF1A81"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Sadarbības sekmēšana un koordinācijas nodrošināšana starp pieaugušo izglītībā iesaistītajiem partneriem</w:t>
      </w:r>
    </w:p>
    <w:p w:rsidR="000F3EEF" w:rsidRPr="005565F8" w:rsidP="000F3EEF" w14:paraId="39D89CE2"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9D0527" w:rsidRPr="005565F8" w:rsidP="00B22046" w14:paraId="460751A8"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215698" w:rsidRPr="005565F8" w:rsidP="009D0527" w14:paraId="21D485C8" w14:textId="77777777">
      <w:pPr>
        <w:spacing w:before="240"/>
        <w:rPr>
          <w:rFonts w:eastAsia="MS Mincho"/>
          <w:color w:val="000000" w:themeColor="text1"/>
          <w:lang w:eastAsia="ja-JP" w:bidi="lo-LA"/>
        </w:rPr>
      </w:pPr>
      <w:r w:rsidRPr="005565F8">
        <w:rPr>
          <w:rFonts w:eastAsia="MS Mincho"/>
          <w:color w:val="000000" w:themeColor="text1"/>
          <w:lang w:eastAsia="ja-JP" w:bidi="lo-LA"/>
        </w:rPr>
        <w:t>Mērķis ir nodrošināt vienotu un labi koordinētu pieaugušo izglītības sistēmas pārvaldību.</w:t>
      </w:r>
    </w:p>
    <w:p w:rsidR="00215698" w:rsidRPr="005565F8" w:rsidP="00215698" w14:paraId="711D04C6" w14:textId="77777777">
      <w:pPr>
        <w:rPr>
          <w:rFonts w:eastAsia="MS Mincho"/>
          <w:color w:val="000000" w:themeColor="text1"/>
          <w:lang w:eastAsia="ja-JP" w:bidi="lo-LA"/>
        </w:rPr>
      </w:pPr>
      <w:r w:rsidRPr="005565F8">
        <w:rPr>
          <w:rFonts w:eastAsia="MS Mincho"/>
          <w:color w:val="000000" w:themeColor="text1"/>
          <w:lang w:eastAsia="ja-JP" w:bidi="lo-LA"/>
        </w:rPr>
        <w:t xml:space="preserve">Turpinās 2016.gadā apstiprinātā </w:t>
      </w:r>
      <w:r w:rsidRPr="005565F8">
        <w:rPr>
          <w:rFonts w:eastAsia="MS Mincho"/>
          <w:i/>
          <w:color w:val="000000" w:themeColor="text1"/>
          <w:lang w:eastAsia="ja-JP" w:bidi="lo-LA"/>
        </w:rPr>
        <w:t>Pieaugušo izglītības pārvaldības modeļa ieviešanas plāna 2016.-2020.gadam</w:t>
      </w:r>
      <w:r>
        <w:rPr>
          <w:rStyle w:val="FootnoteReference"/>
          <w:rFonts w:eastAsia="MS Mincho"/>
          <w:i/>
          <w:color w:val="000000" w:themeColor="text1"/>
          <w:lang w:eastAsia="ja-JP" w:bidi="lo-LA"/>
        </w:rPr>
        <w:footnoteReference w:id="52"/>
      </w:r>
      <w:r w:rsidRPr="005565F8">
        <w:rPr>
          <w:rFonts w:eastAsia="MS Mincho"/>
          <w:i/>
          <w:color w:val="000000" w:themeColor="text1"/>
          <w:lang w:eastAsia="ja-JP" w:bidi="lo-LA"/>
        </w:rPr>
        <w:t xml:space="preserve"> </w:t>
      </w:r>
      <w:r w:rsidRPr="005565F8">
        <w:rPr>
          <w:rFonts w:eastAsia="MS Mincho"/>
          <w:color w:val="000000" w:themeColor="text1"/>
          <w:lang w:eastAsia="ja-JP" w:bidi="lo-LA"/>
        </w:rPr>
        <w:t>ieviešana</w:t>
      </w:r>
      <w:r w:rsidRPr="005565F8">
        <w:rPr>
          <w:rFonts w:eastAsia="MS Mincho"/>
          <w:i/>
          <w:color w:val="000000" w:themeColor="text1"/>
          <w:lang w:eastAsia="ja-JP" w:bidi="lo-LA"/>
        </w:rPr>
        <w:t>.</w:t>
      </w:r>
      <w:r w:rsidRPr="005565F8">
        <w:rPr>
          <w:rFonts w:eastAsia="MS Mincho"/>
          <w:color w:val="000000" w:themeColor="text1"/>
          <w:lang w:eastAsia="ja-JP" w:bidi="lo-LA"/>
        </w:rPr>
        <w:t xml:space="preserve"> Plāna mērķis ir izglītības pieejamības un kvalitātes nodrošināšana iedzīvotājiem neatkarīgi no viņu vecuma, dzimuma, iepriekšējās izglītības, dzīves vietas, ienākumu līmeņa, etniskās piederības, funkcionāliem traucējumiem un citiem faktoriem.</w:t>
      </w:r>
    </w:p>
    <w:p w:rsidR="00215698" w:rsidRPr="005565F8" w:rsidP="00215698" w14:paraId="014D05D6" w14:textId="77777777">
      <w:pPr>
        <w:rPr>
          <w:rFonts w:eastAsia="MS Mincho"/>
          <w:color w:val="000000" w:themeColor="text1"/>
          <w:lang w:eastAsia="ja-JP" w:bidi="lo-LA"/>
        </w:rPr>
      </w:pPr>
      <w:r w:rsidRPr="005565F8">
        <w:rPr>
          <w:rFonts w:eastAsia="MS Mincho"/>
          <w:color w:val="000000" w:themeColor="text1"/>
          <w:lang w:eastAsia="ja-JP" w:bidi="lo-LA"/>
        </w:rPr>
        <w:t>Plāna koordinācijai un ieviešanas procesa uzraudzībai</w:t>
      </w:r>
      <w:r w:rsidRPr="005565F8">
        <w:rPr>
          <w:rFonts w:eastAsia="MS Mincho"/>
          <w:i/>
          <w:color w:val="000000" w:themeColor="text1"/>
          <w:lang w:eastAsia="ja-JP" w:bidi="lo-LA"/>
        </w:rPr>
        <w:t xml:space="preserve">, </w:t>
      </w:r>
      <w:r w:rsidRPr="005565F8">
        <w:rPr>
          <w:rFonts w:eastAsia="MS Mincho"/>
          <w:color w:val="000000" w:themeColor="text1"/>
          <w:lang w:eastAsia="ja-JP" w:bidi="lo-LA"/>
        </w:rPr>
        <w:t xml:space="preserve">izveidota un darbojas starpnozaru </w:t>
      </w:r>
      <w:r w:rsidRPr="005565F8">
        <w:rPr>
          <w:rFonts w:eastAsia="MS Mincho"/>
          <w:color w:val="000000" w:themeColor="text1"/>
          <w:lang w:eastAsia="ja-JP" w:bidi="lo-LA"/>
        </w:rPr>
        <w:t>konsultatīva institūcija</w:t>
      </w:r>
      <w:r w:rsidRPr="005565F8">
        <w:rPr>
          <w:rFonts w:eastAsia="MS Mincho"/>
          <w:i/>
          <w:color w:val="000000" w:themeColor="text1"/>
          <w:lang w:eastAsia="ja-JP" w:bidi="lo-LA"/>
        </w:rPr>
        <w:t xml:space="preserve"> Pieaugušo izglītības pārvaldības padome, </w:t>
      </w:r>
      <w:r w:rsidRPr="005565F8">
        <w:rPr>
          <w:rFonts w:eastAsia="MS Mincho"/>
          <w:color w:val="000000" w:themeColor="text1"/>
          <w:lang w:eastAsia="ja-JP" w:bidi="lo-LA"/>
        </w:rPr>
        <w:t xml:space="preserve">kurā sastāvā ir pieaugušo izglītībā iesaistīto ministriju un citu organizāciju pārstāvji, kā arī sociālo un sadarbības partneru pārstāvji. </w:t>
      </w:r>
    </w:p>
    <w:p w:rsidR="00215698" w:rsidRPr="005565F8" w:rsidP="00215698" w14:paraId="02E5976C" w14:textId="77777777">
      <w:pPr>
        <w:rPr>
          <w:rFonts w:eastAsia="MS Mincho"/>
          <w:color w:val="000000" w:themeColor="text1"/>
          <w:lang w:eastAsia="ja-JP" w:bidi="lo-LA"/>
        </w:rPr>
      </w:pPr>
      <w:r w:rsidRPr="005565F8">
        <w:rPr>
          <w:rFonts w:eastAsia="MS Mincho"/>
          <w:color w:val="000000" w:themeColor="text1"/>
          <w:lang w:eastAsia="ja-JP" w:bidi="lo-LA"/>
        </w:rPr>
        <w:t xml:space="preserve">2017.gadā ir izstrādātas </w:t>
      </w:r>
      <w:r w:rsidRPr="005565F8">
        <w:rPr>
          <w:rFonts w:eastAsia="MS Mincho"/>
          <w:i/>
          <w:color w:val="000000" w:themeColor="text1"/>
          <w:lang w:eastAsia="ja-JP" w:bidi="lo-LA"/>
        </w:rPr>
        <w:t>Vadlīnijas pieaugušo neformālās izglītības kvalitātes nodrošināšanas politikas ieviešanai</w:t>
      </w:r>
      <w:r w:rsidRPr="005565F8" w:rsidR="004B1EDB">
        <w:rPr>
          <w:rFonts w:eastAsia="MS Mincho"/>
          <w:color w:val="000000" w:themeColor="text1"/>
          <w:lang w:eastAsia="ja-JP" w:bidi="lo-LA"/>
        </w:rPr>
        <w:t xml:space="preserve">. </w:t>
      </w:r>
      <w:r w:rsidRPr="005565F8">
        <w:rPr>
          <w:rFonts w:eastAsia="MS Mincho"/>
          <w:color w:val="000000" w:themeColor="text1"/>
          <w:lang w:eastAsia="ja-JP" w:bidi="lo-LA"/>
        </w:rPr>
        <w:t>Lai  motivētu profesionālās izglītības iestādes, darba devējus un iedzīvotājus vairāk iesaistīties pieaugušo izglītībā, sagatavoti priekšlikumi veicamajiem pasākumiem un izmaiņām normatīvajā regulējumā.</w:t>
      </w:r>
    </w:p>
    <w:p w:rsidR="000F3EEF" w:rsidRPr="005565F8" w:rsidP="00215698" w14:paraId="3CEEB1F3" w14:textId="77777777">
      <w:pPr>
        <w:rPr>
          <w:rFonts w:eastAsia="MS Mincho"/>
          <w:color w:val="000000" w:themeColor="text1"/>
          <w:lang w:eastAsia="ja-JP" w:bidi="lo-LA"/>
        </w:rPr>
        <w:sectPr w:rsidSect="005D1AD0">
          <w:type w:val="continuous"/>
          <w:pgSz w:w="11906" w:h="16838" w:code="9"/>
          <w:pgMar w:top="1134" w:right="1134" w:bottom="1134" w:left="1134" w:header="709" w:footer="567" w:gutter="0"/>
          <w:cols w:num="2" w:space="340"/>
          <w:titlePg/>
          <w:docGrid w:linePitch="360"/>
        </w:sectPr>
      </w:pPr>
    </w:p>
    <w:p w:rsidR="009D0527" w:rsidRPr="005565F8" w:rsidP="00215698" w14:paraId="2C2D8098" w14:textId="77777777">
      <w:pPr>
        <w:rPr>
          <w:rFonts w:eastAsia="MS Mincho"/>
          <w:color w:val="000000" w:themeColor="text1"/>
          <w:lang w:eastAsia="ja-JP" w:bidi="lo-LA"/>
        </w:rPr>
      </w:pPr>
    </w:p>
    <w:p w:rsidR="009D0527" w:rsidRPr="005565F8" w:rsidP="009D0527" w14:paraId="68AB131E"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Atbalsts nodarbināto kvalifikācijas pilnveidošanai</w:t>
      </w:r>
    </w:p>
    <w:p w:rsidR="009D0527" w:rsidRPr="005565F8" w:rsidP="009D0527" w14:paraId="0609662E"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 LM, IZM/</w:t>
      </w:r>
    </w:p>
    <w:p w:rsidR="000F3EEF" w:rsidRPr="005565F8" w:rsidP="00B22046" w14:paraId="31A1A4FD"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bookmarkStart w:id="92" w:name="_Toc446597848"/>
    </w:p>
    <w:p w:rsidR="00215698" w:rsidRPr="005565F8" w:rsidP="009D0527" w14:paraId="2143532E" w14:textId="77777777">
      <w:pPr>
        <w:autoSpaceDE w:val="0"/>
        <w:autoSpaceDN w:val="0"/>
        <w:adjustRightInd w:val="0"/>
        <w:spacing w:before="240"/>
        <w:rPr>
          <w:rFonts w:eastAsia="MS Mincho"/>
          <w:color w:val="000000" w:themeColor="text1"/>
          <w:lang w:eastAsia="ja-JP" w:bidi="lo-LA"/>
        </w:rPr>
      </w:pPr>
      <w:r w:rsidRPr="005565F8">
        <w:rPr>
          <w:rFonts w:eastAsia="MS Mincho"/>
          <w:color w:val="000000" w:themeColor="text1"/>
          <w:lang w:eastAsia="ja-JP" w:bidi="lo-LA"/>
        </w:rPr>
        <w:t>Mērķis ir nodrošināt iespēju nodarbinātām personām pilnveidot profesionālo kompetenci, apgūstot profesionālās pilnveides, tālākizglītības un neformālās izglītības programmas.</w:t>
      </w:r>
    </w:p>
    <w:p w:rsidR="00215698" w:rsidRPr="005565F8" w:rsidP="009D0527" w14:paraId="2EDADA50" w14:textId="77777777">
      <w:pPr>
        <w:autoSpaceDE w:val="0"/>
        <w:autoSpaceDN w:val="0"/>
        <w:adjustRightInd w:val="0"/>
        <w:rPr>
          <w:rFonts w:eastAsia="MS Mincho"/>
          <w:color w:val="000000" w:themeColor="text1"/>
          <w:lang w:eastAsia="ja-JP" w:bidi="lo-LA"/>
        </w:rPr>
      </w:pPr>
      <w:r w:rsidRPr="005565F8">
        <w:rPr>
          <w:rFonts w:eastAsia="MS Mincho"/>
          <w:color w:val="000000" w:themeColor="text1"/>
          <w:lang w:eastAsia="ja-JP" w:bidi="lo-LA"/>
        </w:rPr>
        <w:t>2017.gadā uzsākta  ESF projekta “</w:t>
      </w:r>
      <w:r w:rsidRPr="005565F8">
        <w:rPr>
          <w:rFonts w:eastAsia="MS Mincho"/>
          <w:i/>
          <w:color w:val="000000" w:themeColor="text1"/>
          <w:lang w:eastAsia="ja-JP" w:bidi="lo-LA"/>
        </w:rPr>
        <w:t xml:space="preserve">Nodarbināto personu profesionālās kompetences pilnveide” </w:t>
      </w:r>
      <w:r w:rsidRPr="005565F8">
        <w:rPr>
          <w:rFonts w:eastAsia="MS Mincho"/>
          <w:color w:val="000000" w:themeColor="text1"/>
          <w:lang w:eastAsia="ja-JP" w:bidi="lo-LA"/>
        </w:rPr>
        <w:t xml:space="preserve">īstenošana. Tā ietvaros nodarbinātām personām vecumā no </w:t>
      </w:r>
      <w:r w:rsidRPr="005565F8" w:rsidR="00DA6ABC">
        <w:rPr>
          <w:rFonts w:eastAsia="MS Mincho"/>
          <w:color w:val="000000" w:themeColor="text1"/>
          <w:lang w:eastAsia="ja-JP" w:bidi="lo-LA"/>
        </w:rPr>
        <w:t>17</w:t>
      </w:r>
      <w:r w:rsidRPr="005565F8">
        <w:rPr>
          <w:rFonts w:eastAsia="MS Mincho"/>
          <w:color w:val="000000" w:themeColor="text1"/>
          <w:lang w:eastAsia="ja-JP" w:bidi="lo-LA"/>
        </w:rPr>
        <w:t xml:space="preserve"> gadiem pēc indivīda iniciatīvas tiek sniegts atbalsts profesionālās kvalifikācijas un kompetences pilnveidei, </w:t>
      </w:r>
      <w:r w:rsidRPr="005565F8" w:rsidR="004B1EDB">
        <w:rPr>
          <w:rFonts w:eastAsia="MS Mincho"/>
          <w:color w:val="000000" w:themeColor="text1"/>
          <w:lang w:eastAsia="ja-JP" w:bidi="lo-LA"/>
        </w:rPr>
        <w:t>t.sk.</w:t>
      </w:r>
      <w:r w:rsidRPr="005565F8">
        <w:rPr>
          <w:rFonts w:eastAsia="MS Mincho"/>
          <w:color w:val="000000" w:themeColor="text1"/>
          <w:lang w:eastAsia="ja-JP" w:bidi="lo-LA"/>
        </w:rPr>
        <w:t xml:space="preserve"> nodrošināti karjeras konsultanta pakalpojumi. Sadarbībā ar pašvaldībām </w:t>
      </w:r>
      <w:r w:rsidRPr="005565F8">
        <w:rPr>
          <w:rFonts w:eastAsia="MS Mincho"/>
          <w:color w:val="000000" w:themeColor="text1"/>
          <w:lang w:eastAsia="ja-JP" w:bidi="lo-LA"/>
        </w:rPr>
        <w:t>projektā paredzēts izveidot pamatu vienotai un ilgtspējīgai pieaugušo izglītības atbalsta sistēmai. Kopumā projekts aptvers vairāk nekā 38 tūkst. personu, prioritāri sniedzot atbalstu sociālā riska grupu nodarbinātajiem.</w:t>
      </w:r>
    </w:p>
    <w:p w:rsidR="00215698" w:rsidRPr="005565F8" w:rsidP="009D0527" w14:paraId="1CF5F74C" w14:textId="77777777">
      <w:pPr>
        <w:autoSpaceDE w:val="0"/>
        <w:autoSpaceDN w:val="0"/>
        <w:adjustRightInd w:val="0"/>
        <w:rPr>
          <w:rFonts w:eastAsia="MS Mincho"/>
          <w:color w:val="000000" w:themeColor="text1"/>
          <w:lang w:eastAsia="ja-JP" w:bidi="lo-LA"/>
        </w:rPr>
      </w:pPr>
      <w:r w:rsidRPr="005565F8">
        <w:rPr>
          <w:rFonts w:eastAsia="MS Mincho"/>
          <w:color w:val="000000" w:themeColor="text1"/>
          <w:lang w:eastAsia="ja-JP" w:bidi="lo-LA"/>
        </w:rPr>
        <w:t xml:space="preserve">2017.gada novembrī noslēdzās pirmā uzņemšanas kārta, kurā nodarbinātajām personām bija iespējams pieteikties mācībām atbilstoši 4 tautsaimniecībai </w:t>
      </w:r>
      <w:r w:rsidRPr="005565F8">
        <w:rPr>
          <w:rFonts w:eastAsia="MS Mincho"/>
          <w:color w:val="000000" w:themeColor="text1"/>
          <w:lang w:eastAsia="ja-JP" w:bidi="lo-LA"/>
        </w:rPr>
        <w:t>prioritāro nozaru vajadzībām</w:t>
      </w:r>
      <w:r>
        <w:rPr>
          <w:rStyle w:val="FootnoteReference"/>
          <w:rFonts w:eastAsia="MS Mincho"/>
          <w:color w:val="000000" w:themeColor="text1"/>
          <w:lang w:eastAsia="ja-JP" w:bidi="lo-LA"/>
        </w:rPr>
        <w:footnoteReference w:id="53"/>
      </w:r>
      <w:r w:rsidRPr="005565F8">
        <w:rPr>
          <w:rFonts w:eastAsia="MS Mincho"/>
          <w:color w:val="000000" w:themeColor="text1"/>
          <w:lang w:eastAsia="ja-JP" w:bidi="lo-LA"/>
        </w:rPr>
        <w:t xml:space="preserve">. Mācībām pieteicās 5565 personas. 2018.gada </w:t>
      </w:r>
      <w:r w:rsidRPr="005565F8" w:rsidR="004B1EDB">
        <w:rPr>
          <w:rFonts w:eastAsia="MS Mincho"/>
          <w:color w:val="000000" w:themeColor="text1"/>
          <w:lang w:eastAsia="ja-JP" w:bidi="lo-LA"/>
        </w:rPr>
        <w:t>1.</w:t>
      </w:r>
      <w:r w:rsidRPr="005565F8">
        <w:rPr>
          <w:rFonts w:eastAsia="MS Mincho"/>
          <w:color w:val="000000" w:themeColor="text1"/>
          <w:lang w:eastAsia="ja-JP" w:bidi="lo-LA"/>
        </w:rPr>
        <w:t xml:space="preserve">ceturksnī </w:t>
      </w:r>
      <w:r w:rsidRPr="005565F8">
        <w:t>uzsākts pirmais mācību cikls nodarbinātajām personām, kopumā 193 izglītības programmu apguvē iesaistot 3695 personas. 2017.gadā uzsākta mācību piedāvājuma izveide otrajai uzņemšanas kārtai 12 nozarēs</w:t>
      </w:r>
      <w:r>
        <w:rPr>
          <w:rStyle w:val="FootnoteReference"/>
        </w:rPr>
        <w:footnoteReference w:id="54"/>
      </w:r>
      <w:r w:rsidRPr="005565F8">
        <w:t>. Mācības otrajā mācību ciklā ir paredzēts uzsākt 2018.gada vasarā.</w:t>
      </w:r>
      <w:r w:rsidRPr="005565F8">
        <w:rPr>
          <w:rFonts w:eastAsia="MS Mincho"/>
          <w:color w:val="000000" w:themeColor="text1"/>
          <w:lang w:eastAsia="ja-JP" w:bidi="lo-LA"/>
        </w:rPr>
        <w:t xml:space="preserve"> 2018.gadā plānots organizēt arī trešo uzņemšanas kārtu, nodarbinātajām personām piedāvājot apgūt vispārējās prasmes.</w:t>
      </w:r>
      <w:r w:rsidRPr="005565F8">
        <w:t xml:space="preserve"> Uzsākta vispārējo prasmju pilnveides mācību piedāvājuma izstrāde.</w:t>
      </w:r>
      <w:r w:rsidRPr="005565F8">
        <w:rPr>
          <w:rFonts w:eastAsia="MS Mincho"/>
          <w:color w:val="000000" w:themeColor="text1"/>
          <w:lang w:eastAsia="ja-JP" w:bidi="lo-LA"/>
        </w:rPr>
        <w:t xml:space="preserve"> </w:t>
      </w:r>
      <w:r w:rsidRPr="005565F8">
        <w:rPr>
          <w:rFonts w:eastAsia="MS Mincho"/>
          <w:bCs/>
          <w:color w:val="000000" w:themeColor="text1"/>
          <w:lang w:eastAsia="ja-JP" w:bidi="lo-LA"/>
        </w:rPr>
        <w:t xml:space="preserve">Projekta kopējais pieejamais finansējums ir 27 milj. EUR, </w:t>
      </w:r>
      <w:r w:rsidRPr="005565F8" w:rsidR="004B1EDB">
        <w:rPr>
          <w:rFonts w:eastAsia="MS Mincho"/>
          <w:bCs/>
          <w:color w:val="000000" w:themeColor="text1"/>
          <w:lang w:eastAsia="ja-JP" w:bidi="lo-LA"/>
        </w:rPr>
        <w:t>t.sk.</w:t>
      </w:r>
      <w:r w:rsidRPr="005565F8">
        <w:rPr>
          <w:rFonts w:eastAsia="MS Mincho"/>
          <w:bCs/>
          <w:color w:val="000000" w:themeColor="text1"/>
          <w:lang w:eastAsia="ja-JP" w:bidi="lo-LA"/>
        </w:rPr>
        <w:t xml:space="preserve"> ESF finansējums – 23 milj. EUR un valsts budžeta finansējums – 4 milj. EUR.</w:t>
      </w:r>
    </w:p>
    <w:p w:rsidR="00215698" w:rsidRPr="005565F8" w:rsidP="009D0527" w14:paraId="231CD5FC" w14:textId="77777777">
      <w:pPr>
        <w:autoSpaceDE w:val="0"/>
        <w:autoSpaceDN w:val="0"/>
        <w:adjustRightInd w:val="0"/>
        <w:rPr>
          <w:rFonts w:eastAsia="MS Mincho"/>
          <w:bCs/>
          <w:color w:val="000000" w:themeColor="text1"/>
          <w:lang w:eastAsia="ja-JP" w:bidi="lo-LA"/>
        </w:rPr>
      </w:pPr>
      <w:r w:rsidRPr="005565F8">
        <w:rPr>
          <w:rFonts w:eastAsia="MS Mincho"/>
          <w:bCs/>
          <w:lang w:eastAsia="ja-JP" w:bidi="lo-LA"/>
        </w:rPr>
        <w:t>Mācību atbalstam darba devēju pasūtītām mācībām darbiniekiem ir izstrādāti pasākumi:</w:t>
      </w:r>
    </w:p>
    <w:p w:rsidR="00215698" w:rsidRPr="005565F8" w:rsidP="00735883" w14:paraId="2449E0F1" w14:textId="77777777">
      <w:pPr>
        <w:pStyle w:val="ListParagraph"/>
        <w:numPr>
          <w:ilvl w:val="0"/>
          <w:numId w:val="33"/>
        </w:numPr>
        <w:spacing w:after="60"/>
        <w:ind w:left="284" w:hanging="284"/>
        <w:contextualSpacing w:val="0"/>
        <w:rPr>
          <w:rFonts w:eastAsia="MS Mincho"/>
          <w:bCs/>
          <w:i/>
          <w:color w:val="000000" w:themeColor="text1"/>
          <w:lang w:eastAsia="ja-JP" w:bidi="lo-LA"/>
        </w:rPr>
      </w:pPr>
      <w:r w:rsidRPr="005565F8">
        <w:rPr>
          <w:rFonts w:eastAsia="MS Mincho"/>
          <w:bCs/>
          <w:i/>
          <w:color w:val="000000" w:themeColor="text1"/>
          <w:lang w:eastAsia="ja-JP" w:bidi="lo-LA"/>
        </w:rPr>
        <w:t xml:space="preserve">Atbalsts nodarbināto apmācībām </w:t>
      </w:r>
      <w:r w:rsidRPr="005565F8">
        <w:rPr>
          <w:rFonts w:eastAsia="MS Mincho"/>
          <w:bCs/>
          <w:i/>
          <w:color w:val="000000"/>
          <w:lang w:eastAsia="ja-JP" w:bidi="lo-LA"/>
        </w:rPr>
        <w:t>(tehnoloģiskās apmācības)</w:t>
      </w:r>
      <w:r w:rsidRPr="005565F8">
        <w:rPr>
          <w:rFonts w:eastAsia="MS Mincho"/>
          <w:bCs/>
          <w:color w:val="000000" w:themeColor="text1"/>
          <w:lang w:eastAsia="ja-JP" w:bidi="lo-LA"/>
        </w:rPr>
        <w:t xml:space="preserve">. Atbalsts tiek sniegts komersantu nodarbināto apmācībām. Pasākuma mērķis ir nodrošināt komersantus ar atbilstošas kvalifikācijas darbaspēku, kas sekmētu darba ražīguma pieaugumu un jaunu vai uzlabotu produktu un tehnoloģiju izstrādi un ieviešanu ražošanā. </w:t>
      </w:r>
      <w:r w:rsidRPr="005565F8">
        <w:rPr>
          <w:rFonts w:eastAsia="MS Mincho"/>
          <w:bCs/>
          <w:color w:val="000000"/>
          <w:lang w:eastAsia="ja-JP" w:bidi="lo-LA"/>
        </w:rPr>
        <w:t xml:space="preserve">Ir plānotas divas projektu atlases kārtas. Kopējais pieejamais ERAF finansējums programmas ietvaros ir 18 milj. EUR. </w:t>
      </w:r>
      <w:r w:rsidRPr="005565F8">
        <w:rPr>
          <w:rFonts w:eastAsia="MS Mincho"/>
          <w:bCs/>
          <w:color w:val="000000" w:themeColor="text1"/>
          <w:lang w:eastAsia="ja-JP" w:bidi="lo-LA"/>
        </w:rPr>
        <w:t xml:space="preserve">2016.gada pavasarī </w:t>
      </w:r>
      <w:r w:rsidRPr="005565F8">
        <w:rPr>
          <w:rFonts w:eastAsia="MS Mincho"/>
          <w:bCs/>
          <w:color w:val="000000"/>
          <w:lang w:eastAsia="ja-JP" w:bidi="lo-LA"/>
        </w:rPr>
        <w:t xml:space="preserve">apstiprināti pirmās kārtas 10 projekti, kurus īsteno lielākās nozaru asociācijas, kuras pārstāv kādu no apstrādes rūpniecības </w:t>
      </w:r>
      <w:r w:rsidRPr="005565F8">
        <w:rPr>
          <w:rFonts w:eastAsia="MS Mincho"/>
          <w:bCs/>
          <w:color w:val="000000"/>
          <w:lang w:eastAsia="ja-JP" w:bidi="lo-LA"/>
        </w:rPr>
        <w:t>apakšnozarēm</w:t>
      </w:r>
      <w:r w:rsidRPr="005565F8" w:rsidR="004B1EDB">
        <w:rPr>
          <w:rFonts w:eastAsia="MS Mincho"/>
          <w:bCs/>
          <w:color w:val="000000"/>
          <w:lang w:eastAsia="ja-JP" w:bidi="lo-LA"/>
        </w:rPr>
        <w:t>, IKT</w:t>
      </w:r>
      <w:r w:rsidRPr="005565F8">
        <w:rPr>
          <w:rFonts w:eastAsia="MS Mincho"/>
          <w:bCs/>
          <w:color w:val="000000"/>
          <w:lang w:eastAsia="ja-JP" w:bidi="lo-LA"/>
        </w:rPr>
        <w:t xml:space="preserve"> nozari vai izmitināšanas un ēdināšanas pakalpojumu nozari. Noslēgti līgumi 16,7 milj. EUR apmērā, ietverot ERAF finansējumu 8,99 milj. EUR. </w:t>
      </w:r>
      <w:r w:rsidRPr="005565F8" w:rsidR="004B1EDB">
        <w:rPr>
          <w:rFonts w:eastAsia="MS Mincho"/>
          <w:bCs/>
          <w:color w:val="000000"/>
          <w:lang w:eastAsia="ja-JP" w:bidi="lo-LA"/>
        </w:rPr>
        <w:t xml:space="preserve">Līdz 2017.gada beigām apmācītas 5303 nodarbinātās personas 384 komersantiem. </w:t>
      </w:r>
      <w:r w:rsidRPr="005565F8">
        <w:rPr>
          <w:rFonts w:eastAsia="MS Mincho"/>
          <w:bCs/>
          <w:color w:val="000000"/>
          <w:lang w:eastAsia="ja-JP" w:bidi="lo-LA"/>
        </w:rPr>
        <w:t>Plānots, ka pirmās kārtas ietvaros līdz 2018.</w:t>
      </w:r>
      <w:r w:rsidRPr="005565F8">
        <w:rPr>
          <w:rFonts w:eastAsia="MS Mincho"/>
          <w:bCs/>
          <w:color w:val="000000" w:themeColor="text1"/>
          <w:lang w:eastAsia="ja-JP" w:bidi="lo-LA"/>
        </w:rPr>
        <w:t xml:space="preserve">gada beigām </w:t>
      </w:r>
      <w:r w:rsidRPr="005565F8">
        <w:rPr>
          <w:rFonts w:eastAsia="MS Mincho"/>
          <w:bCs/>
          <w:color w:val="000000"/>
          <w:lang w:eastAsia="ja-JP" w:bidi="lo-LA"/>
        </w:rPr>
        <w:t>atbalstu saņems 280 komersanti (apmācības 5620 personām)</w:t>
      </w:r>
      <w:r w:rsidRPr="005565F8">
        <w:rPr>
          <w:rFonts w:eastAsia="MS Mincho"/>
          <w:bCs/>
          <w:color w:val="000000" w:themeColor="text1"/>
          <w:lang w:eastAsia="ja-JP" w:bidi="lo-LA"/>
        </w:rPr>
        <w:t>;</w:t>
      </w:r>
    </w:p>
    <w:p w:rsidR="00215698" w:rsidRPr="005565F8" w:rsidP="00735883" w14:paraId="41474076" w14:textId="77777777">
      <w:pPr>
        <w:pStyle w:val="ListParagraph"/>
        <w:numPr>
          <w:ilvl w:val="0"/>
          <w:numId w:val="33"/>
        </w:numPr>
        <w:autoSpaceDE w:val="0"/>
        <w:autoSpaceDN w:val="0"/>
        <w:adjustRightInd w:val="0"/>
        <w:spacing w:after="60"/>
        <w:ind w:left="284" w:hanging="284"/>
        <w:contextualSpacing w:val="0"/>
        <w:rPr>
          <w:rFonts w:eastAsia="MS Mincho"/>
          <w:bCs/>
          <w:color w:val="000000" w:themeColor="text1"/>
          <w:lang w:eastAsia="ja-JP" w:bidi="lo-LA"/>
        </w:rPr>
      </w:pPr>
      <w:r w:rsidRPr="005565F8">
        <w:rPr>
          <w:rFonts w:eastAsia="MS Mincho"/>
          <w:bCs/>
          <w:i/>
          <w:color w:val="000000" w:themeColor="text1"/>
          <w:lang w:eastAsia="ja-JP" w:bidi="lo-LA"/>
        </w:rPr>
        <w:t xml:space="preserve">Atbalsts IKT un netehnoloģiskām apmācībām, kā arī apmācībām, lai sekmētu investoru piesaisti </w:t>
      </w:r>
      <w:r w:rsidRPr="005565F8">
        <w:rPr>
          <w:rFonts w:eastAsia="MS Mincho"/>
          <w:bCs/>
          <w:i/>
          <w:color w:val="000000"/>
          <w:lang w:eastAsia="ja-JP" w:bidi="lo-LA"/>
        </w:rPr>
        <w:t>(netehnoloģiskās apmācības)</w:t>
      </w:r>
      <w:r w:rsidRPr="005565F8">
        <w:rPr>
          <w:rFonts w:eastAsia="MS Mincho"/>
          <w:bCs/>
          <w:i/>
          <w:color w:val="000000" w:themeColor="text1"/>
          <w:lang w:eastAsia="ja-JP" w:bidi="lo-LA"/>
        </w:rPr>
        <w:t xml:space="preserve">. </w:t>
      </w:r>
      <w:r w:rsidRPr="005565F8">
        <w:rPr>
          <w:rFonts w:eastAsia="MS Mincho"/>
          <w:bCs/>
          <w:color w:val="000000" w:themeColor="text1"/>
          <w:lang w:eastAsia="ja-JP" w:bidi="lo-LA"/>
        </w:rPr>
        <w:t>Pasākums</w:t>
      </w:r>
      <w:r w:rsidRPr="005565F8">
        <w:rPr>
          <w:rFonts w:eastAsia="MS Mincho"/>
          <w:bCs/>
          <w:i/>
          <w:color w:val="000000" w:themeColor="text1"/>
          <w:lang w:eastAsia="ja-JP" w:bidi="lo-LA"/>
        </w:rPr>
        <w:t xml:space="preserve"> </w:t>
      </w:r>
      <w:r w:rsidRPr="005565F8">
        <w:rPr>
          <w:rFonts w:eastAsia="MS Mincho"/>
          <w:bCs/>
          <w:color w:val="000000" w:themeColor="text1"/>
          <w:lang w:eastAsia="ja-JP" w:bidi="lo-LA"/>
        </w:rPr>
        <w:t xml:space="preserve">ir izstrādāts ar mērķi veicināt </w:t>
      </w:r>
      <w:r w:rsidRPr="005565F8">
        <w:rPr>
          <w:rFonts w:eastAsia="MS Mincho"/>
          <w:bCs/>
          <w:color w:val="000000" w:themeColor="text1"/>
          <w:lang w:eastAsia="ja-JP" w:bidi="lo-LA"/>
        </w:rPr>
        <w:t>pašnodarbināto</w:t>
      </w:r>
      <w:r w:rsidRPr="005565F8">
        <w:rPr>
          <w:rFonts w:eastAsia="MS Mincho"/>
          <w:bCs/>
          <w:color w:val="000000" w:themeColor="text1"/>
          <w:lang w:eastAsia="ja-JP" w:bidi="lo-LA"/>
        </w:rPr>
        <w:t xml:space="preserve"> personu, mikro, mazo, vidējo un lielo komersantu produktivitāti un darba efektivitāti, paaugstinot to darbinieku kvalifikāciju un prasmes </w:t>
      </w:r>
      <w:r w:rsidRPr="005565F8" w:rsidR="004B1EDB">
        <w:rPr>
          <w:rFonts w:eastAsia="MS Mincho"/>
          <w:bCs/>
          <w:color w:val="000000" w:themeColor="text1"/>
          <w:lang w:eastAsia="ja-JP" w:bidi="lo-LA"/>
        </w:rPr>
        <w:t>IKT</w:t>
      </w:r>
      <w:r w:rsidRPr="005565F8">
        <w:rPr>
          <w:rFonts w:eastAsia="MS Mincho"/>
          <w:bCs/>
          <w:color w:val="000000" w:themeColor="text1"/>
          <w:lang w:eastAsia="ja-JP" w:bidi="lo-LA"/>
        </w:rPr>
        <w:t xml:space="preserve"> jomā, nodrošināt komersantus ar atbilstošas kvalifikācijas darbaspēku, sekmējot netehnoloģisko inovāciju ieviešanu komersantos, kā arī nodrošināt atbalstu apmācībām, veicinot investoru piesaisti valstij. Ierobežotas projektu iesniegumu atlase rezultātā 2016.gadā tika atlasīta LTRK, LIKTA un LIAA, lai nodrošinātu veiksmīgu programmas īstenošanu. </w:t>
      </w:r>
      <w:bookmarkEnd w:id="92"/>
      <w:r w:rsidRPr="005565F8">
        <w:rPr>
          <w:rFonts w:eastAsia="MS Mincho"/>
          <w:bCs/>
          <w:color w:val="000000"/>
          <w:lang w:eastAsia="ja-JP" w:bidi="lo-LA"/>
        </w:rPr>
        <w:t>Noslēgti līgumi 15,1 milj. EUR apmērā, ietverot ERAF finansējumu 6,9 milj. EUR.</w:t>
      </w:r>
      <w:r w:rsidRPr="005565F8">
        <w:t xml:space="preserve"> </w:t>
      </w:r>
      <w:r w:rsidRPr="005565F8" w:rsidR="004B1EDB">
        <w:rPr>
          <w:rFonts w:eastAsia="MS Mincho"/>
          <w:bCs/>
          <w:color w:val="000000"/>
          <w:lang w:eastAsia="ja-JP" w:bidi="lo-LA"/>
        </w:rPr>
        <w:t>Kopš apmācību uzsākša</w:t>
      </w:r>
      <w:r w:rsidRPr="005565F8" w:rsidR="00B516A6">
        <w:rPr>
          <w:rFonts w:eastAsia="MS Mincho"/>
          <w:bCs/>
          <w:color w:val="000000"/>
          <w:lang w:eastAsia="ja-JP" w:bidi="lo-LA"/>
        </w:rPr>
        <w:t>nas 2017.gadā atbalstu saņēma l</w:t>
      </w:r>
      <w:r w:rsidRPr="005565F8" w:rsidR="004B1EDB">
        <w:rPr>
          <w:rFonts w:eastAsia="MS Mincho"/>
          <w:bCs/>
          <w:color w:val="000000"/>
          <w:lang w:eastAsia="ja-JP" w:bidi="lo-LA"/>
        </w:rPr>
        <w:t xml:space="preserve">294 komersantu 908 nodarbinātās personas. </w:t>
      </w:r>
      <w:r w:rsidRPr="005565F8">
        <w:rPr>
          <w:rFonts w:eastAsia="MS Mincho"/>
          <w:bCs/>
          <w:color w:val="000000"/>
          <w:lang w:eastAsia="ja-JP" w:bidi="lo-LA"/>
        </w:rPr>
        <w:t>Plānots, ka līdz 2018.gada beigām atbalstu saņems 422 komersanti  (5540 personas</w:t>
      </w:r>
      <w:r w:rsidRPr="005565F8" w:rsidR="004B1EDB">
        <w:rPr>
          <w:rFonts w:eastAsia="MS Mincho"/>
          <w:bCs/>
          <w:color w:val="000000"/>
          <w:lang w:eastAsia="ja-JP" w:bidi="lo-LA"/>
        </w:rPr>
        <w:t>)</w:t>
      </w:r>
      <w:r w:rsidRPr="005565F8">
        <w:rPr>
          <w:rFonts w:eastAsia="MS Mincho"/>
          <w:bCs/>
          <w:color w:val="000000"/>
          <w:lang w:eastAsia="ja-JP" w:bidi="lo-LA"/>
        </w:rPr>
        <w:t>.</w:t>
      </w:r>
    </w:p>
    <w:p w:rsidR="000F3EEF" w:rsidRPr="005565F8" w:rsidP="009D0527" w14:paraId="6580D092" w14:textId="77777777">
      <w:pPr>
        <w:rPr>
          <w:rFonts w:eastAsia="MS Mincho"/>
          <w:color w:val="000000" w:themeColor="text1"/>
          <w:lang w:eastAsia="ja-JP" w:bidi="lo-LA"/>
        </w:rPr>
        <w:sectPr w:rsidSect="005D1AD0">
          <w:type w:val="continuous"/>
          <w:pgSz w:w="11906" w:h="16838" w:code="9"/>
          <w:pgMar w:top="1134" w:right="1134" w:bottom="1134" w:left="1134" w:header="709" w:footer="567" w:gutter="0"/>
          <w:cols w:num="2" w:space="340"/>
          <w:titlePg/>
          <w:docGrid w:linePitch="360"/>
        </w:sectPr>
      </w:pPr>
    </w:p>
    <w:p w:rsidR="009D0527" w:rsidRPr="005565F8" w:rsidP="009D0527" w14:paraId="19CE6BD9" w14:textId="77777777">
      <w:pPr>
        <w:rPr>
          <w:rFonts w:eastAsia="MS Mincho"/>
          <w:color w:val="000000" w:themeColor="text1"/>
          <w:lang w:eastAsia="ja-JP" w:bidi="lo-LA"/>
        </w:rPr>
      </w:pPr>
    </w:p>
    <w:p w:rsidR="009D0527" w:rsidRPr="005565F8" w:rsidP="009D0527" w14:paraId="1F0C3282"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Ārpus formālās izglītības sistēmas apgūto zināšanu, prasmju un profesionālās kompetences novērtēšanas nodrošināšana</w:t>
      </w:r>
    </w:p>
    <w:p w:rsidR="009D0527" w:rsidRPr="005565F8" w:rsidP="009D0527" w14:paraId="31FA746D"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70515336"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215698" w:rsidRPr="005565F8" w:rsidP="009D0527" w14:paraId="7AF221BE" w14:textId="77777777">
      <w:pPr>
        <w:spacing w:before="240"/>
        <w:rPr>
          <w:color w:val="000000" w:themeColor="text1"/>
        </w:rPr>
      </w:pPr>
      <w:r w:rsidRPr="005565F8">
        <w:rPr>
          <w:color w:val="000000" w:themeColor="text1"/>
          <w:lang w:eastAsia="ar-SA"/>
        </w:rPr>
        <w:t xml:space="preserve">Mērķis ir atbilstoši normatīvajam regulējumam nodrošināt iespējas un pieejamību personām veikt </w:t>
      </w:r>
      <w:r w:rsidRPr="005565F8">
        <w:rPr>
          <w:color w:val="000000" w:themeColor="text1"/>
        </w:rPr>
        <w:t>ārpus formālās izglītības sistēmas apgūtās profesionālās kompetences novērtēšanu un profesionālās kvalifikācijas apliecinoša dokumenta iegūšanu.</w:t>
      </w:r>
    </w:p>
    <w:p w:rsidR="00215698" w:rsidRPr="005565F8" w:rsidP="00215698" w14:paraId="36058237" w14:textId="77777777">
      <w:pPr>
        <w:rPr>
          <w:color w:val="000000" w:themeColor="text1"/>
        </w:rPr>
      </w:pPr>
      <w:r w:rsidRPr="005565F8">
        <w:rPr>
          <w:color w:val="000000" w:themeColor="text1"/>
        </w:rPr>
        <w:t>2017.gadā 21 izglītības iestādei piešķirts deleģējums veikt ārpus formālās izglītības sistēmas apgūtās profesionālās kompetences novērtēšanu.  No 2011.gada līdz 2017.gada beigām ārpus formālās izglītības sistēmas apgūtās profesionālās kompetences novērtēšanas rezultātā ir izsniegtas vairāk kā 5 tūkst. profesionālās kvalifikācijas apliecības, t.sk. 2017.gadā – 1</w:t>
      </w:r>
      <w:r w:rsidRPr="005565F8" w:rsidR="00733C1A">
        <w:rPr>
          <w:color w:val="000000" w:themeColor="text1"/>
        </w:rPr>
        <w:t> </w:t>
      </w:r>
      <w:r w:rsidRPr="005565F8">
        <w:rPr>
          <w:color w:val="000000" w:themeColor="text1"/>
        </w:rPr>
        <w:t>157 profesionālās kvalifikācijas apliecības.</w:t>
      </w:r>
    </w:p>
    <w:p w:rsidR="000F3EEF" w:rsidRPr="005565F8" w:rsidP="009D0527" w14:paraId="0C614C21" w14:textId="77777777">
      <w:pPr>
        <w:rPr>
          <w:rFonts w:eastAsia="MS Mincho"/>
          <w:color w:val="000000" w:themeColor="text1"/>
          <w:lang w:eastAsia="ja-JP" w:bidi="lo-LA"/>
        </w:rPr>
        <w:sectPr w:rsidSect="005D1AD0">
          <w:type w:val="continuous"/>
          <w:pgSz w:w="11906" w:h="16838" w:code="9"/>
          <w:pgMar w:top="1134" w:right="1134" w:bottom="1134" w:left="1134" w:header="709" w:footer="567" w:gutter="0"/>
          <w:cols w:num="2" w:space="340"/>
          <w:titlePg/>
          <w:docGrid w:linePitch="360"/>
        </w:sectPr>
      </w:pPr>
    </w:p>
    <w:p w:rsidR="009D0527" w:rsidRPr="005565F8" w:rsidP="009D0527" w14:paraId="0BB240CB" w14:textId="77777777">
      <w:pPr>
        <w:rPr>
          <w:rFonts w:eastAsia="MS Mincho"/>
          <w:color w:val="000000" w:themeColor="text1"/>
          <w:lang w:eastAsia="ja-JP" w:bidi="lo-LA"/>
        </w:rPr>
      </w:pPr>
    </w:p>
    <w:p w:rsidR="009D0527" w:rsidRPr="005565F8" w:rsidP="009D0527" w14:paraId="506C6511"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 xml:space="preserve">Nacionālās kvalifikāciju </w:t>
      </w:r>
      <w:r w:rsidRPr="005565F8">
        <w:rPr>
          <w:rFonts w:ascii="Calibri Light" w:hAnsi="Calibri Light"/>
          <w:b/>
          <w:color w:val="228B9D"/>
          <w:sz w:val="24"/>
        </w:rPr>
        <w:t>ietvarstruktūras</w:t>
      </w:r>
      <w:r w:rsidRPr="005565F8">
        <w:rPr>
          <w:rFonts w:ascii="Calibri Light" w:hAnsi="Calibri Light"/>
          <w:b/>
          <w:color w:val="228B9D"/>
          <w:sz w:val="24"/>
        </w:rPr>
        <w:t xml:space="preserve"> izstrāde un tās līmeņu pielīdzināšana Eiropas kvalifikāciju struktūrai</w:t>
      </w:r>
    </w:p>
    <w:p w:rsidR="009D0527" w:rsidRPr="005565F8" w:rsidP="009D0527" w14:paraId="696E154A"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IZM/</w:t>
      </w:r>
    </w:p>
    <w:p w:rsidR="000F3EEF" w:rsidRPr="005565F8" w:rsidP="00B22046" w14:paraId="3F33A91A"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215698" w:rsidRPr="005565F8" w:rsidP="009D0527" w14:paraId="3BEB0F88" w14:textId="77777777">
      <w:pPr>
        <w:spacing w:before="240"/>
        <w:rPr>
          <w:bCs/>
          <w:color w:val="000000" w:themeColor="text1"/>
          <w:lang w:eastAsia="ar-SA"/>
        </w:rPr>
      </w:pPr>
      <w:r w:rsidRPr="005565F8">
        <w:rPr>
          <w:bCs/>
          <w:color w:val="000000" w:themeColor="text1"/>
          <w:lang w:eastAsia="ar-SA"/>
        </w:rPr>
        <w:t xml:space="preserve">Mērķis ir ieviest Latvijas nacionālo kvalifikāciju </w:t>
      </w:r>
      <w:r w:rsidRPr="005565F8">
        <w:rPr>
          <w:bCs/>
          <w:color w:val="000000" w:themeColor="text1"/>
          <w:lang w:eastAsia="ar-SA"/>
        </w:rPr>
        <w:t>ietvarstruktūru</w:t>
      </w:r>
      <w:r w:rsidRPr="005565F8">
        <w:rPr>
          <w:bCs/>
          <w:color w:val="000000" w:themeColor="text1"/>
          <w:lang w:eastAsia="ar-SA"/>
        </w:rPr>
        <w:t xml:space="preserve"> (LKI), nodrošinot sistēmas pāreju uz mācīšanās rezultātiem (</w:t>
      </w:r>
      <w:r w:rsidRPr="005565F8">
        <w:rPr>
          <w:bCs/>
          <w:i/>
          <w:color w:val="000000" w:themeColor="text1"/>
          <w:lang w:eastAsia="ar-SA"/>
        </w:rPr>
        <w:t>learning</w:t>
      </w:r>
      <w:r w:rsidRPr="005565F8">
        <w:rPr>
          <w:bCs/>
          <w:i/>
          <w:color w:val="000000" w:themeColor="text1"/>
          <w:lang w:eastAsia="ar-SA"/>
        </w:rPr>
        <w:t xml:space="preserve"> </w:t>
      </w:r>
      <w:r w:rsidRPr="005565F8">
        <w:rPr>
          <w:bCs/>
          <w:i/>
          <w:color w:val="000000" w:themeColor="text1"/>
          <w:lang w:eastAsia="ar-SA"/>
        </w:rPr>
        <w:t>outcomes</w:t>
      </w:r>
      <w:r w:rsidRPr="005565F8">
        <w:rPr>
          <w:bCs/>
          <w:color w:val="000000" w:themeColor="text1"/>
          <w:lang w:eastAsia="ar-SA"/>
        </w:rPr>
        <w:t xml:space="preserve">) balstītu izglītības modeli, kā arī piesaistīt to Eiropas </w:t>
      </w:r>
      <w:r w:rsidRPr="005565F8">
        <w:rPr>
          <w:bCs/>
          <w:color w:val="000000" w:themeColor="text1"/>
          <w:lang w:eastAsia="ar-SA"/>
        </w:rPr>
        <w:t xml:space="preserve">kvalifikāciju </w:t>
      </w:r>
      <w:r w:rsidRPr="005565F8">
        <w:rPr>
          <w:bCs/>
          <w:color w:val="000000" w:themeColor="text1"/>
          <w:lang w:eastAsia="ar-SA"/>
        </w:rPr>
        <w:t>ietvarstruktūrai</w:t>
      </w:r>
      <w:r w:rsidRPr="005565F8">
        <w:rPr>
          <w:bCs/>
          <w:color w:val="000000" w:themeColor="text1"/>
          <w:lang w:eastAsia="ar-SA"/>
        </w:rPr>
        <w:t xml:space="preserve"> (turpmāk – EKI), norādot Latvijas formālās izglītības diplomos atbilstošu EKI līmeni. </w:t>
      </w:r>
    </w:p>
    <w:p w:rsidR="007C177D" w:rsidRPr="005565F8" w:rsidP="00215698" w14:paraId="43BF9A04" w14:textId="77777777">
      <w:pPr>
        <w:rPr>
          <w:bCs/>
          <w:color w:val="000000" w:themeColor="text1"/>
          <w:lang w:eastAsia="ar-SA"/>
        </w:rPr>
      </w:pPr>
      <w:r w:rsidRPr="005565F8">
        <w:rPr>
          <w:bCs/>
          <w:color w:val="000000" w:themeColor="text1"/>
          <w:lang w:eastAsia="ar-SA"/>
        </w:rPr>
        <w:t xml:space="preserve">Iepriekšējos gados veikti grozījumi atbilstošos normatīvos aktos. </w:t>
      </w:r>
      <w:r w:rsidRPr="005565F8" w:rsidR="0017626F">
        <w:t xml:space="preserve">2017.gadā rīkoti dažādi pasākumi, kā arī elektroniski izplatīti CEDEFOP u.c. publikāciju </w:t>
      </w:r>
      <w:r w:rsidRPr="005565F8" w:rsidR="0017626F">
        <w:t xml:space="preserve">tulkojumi, lai informētu iesaistītās puses par LKI un EKI. </w:t>
      </w:r>
      <w:r w:rsidRPr="005565F8">
        <w:t xml:space="preserve">2017.gadā uzsākta jaunā pašvērtējuma ziņojuma izstrāde, ar mērķi 2018.gadā to iesniegt EK. </w:t>
      </w:r>
    </w:p>
    <w:p w:rsidR="00B45174" w:rsidRPr="005565F8" w:rsidP="00CC1442" w14:paraId="28845B7A" w14:textId="77777777">
      <w:pPr>
        <w:pStyle w:val="Heading2"/>
        <w:spacing w:before="360" w:after="120"/>
        <w:jc w:val="center"/>
        <w:rPr>
          <w:rFonts w:ascii="Times New Roman Bold" w:hAnsi="Times New Roman Bold"/>
          <w:smallCaps/>
          <w:szCs w:val="24"/>
        </w:rPr>
        <w:sectPr w:rsidSect="005D1AD0">
          <w:type w:val="continuous"/>
          <w:pgSz w:w="11906" w:h="16838" w:code="9"/>
          <w:pgMar w:top="1134" w:right="1134" w:bottom="1134" w:left="1134" w:header="709" w:footer="567" w:gutter="0"/>
          <w:cols w:num="2" w:space="340"/>
          <w:titlePg/>
          <w:docGrid w:linePitch="360"/>
        </w:sectPr>
      </w:pPr>
    </w:p>
    <w:p w:rsidR="00B45174" w:rsidRPr="005565F8" w:rsidP="009D0527" w14:paraId="78B630DB" w14:textId="77777777"/>
    <w:p w:rsidR="008F2EE4" w:rsidRPr="005565F8" w:rsidP="00B45174" w14:paraId="007D4417" w14:textId="77777777">
      <w:pPr>
        <w:pStyle w:val="Heading2"/>
        <w:pBdr>
          <w:bottom w:val="single" w:sz="24" w:space="1" w:color="228B9D"/>
        </w:pBdr>
      </w:pPr>
      <w:bookmarkStart w:id="93" w:name="_Toc510687757"/>
      <w:bookmarkStart w:id="94" w:name="_Toc256000026"/>
      <w:bookmarkStart w:id="95" w:name="_Toc256000061"/>
      <w:r w:rsidRPr="005565F8">
        <w:t>3.5. Cīņa ar nabadzību</w:t>
      </w:r>
      <w:r w:rsidRPr="005565F8" w:rsidR="000050DB">
        <w:t>,</w:t>
      </w:r>
      <w:r w:rsidRPr="005565F8" w:rsidR="00AB65E2">
        <w:t xml:space="preserve"> </w:t>
      </w:r>
      <w:r w:rsidRPr="005565F8">
        <w:t xml:space="preserve">demogrāfijas </w:t>
      </w:r>
      <w:r w:rsidRPr="005565F8" w:rsidR="000050DB">
        <w:t>izaicinājumi</w:t>
      </w:r>
      <w:r w:rsidRPr="005565F8" w:rsidR="002D6FE0">
        <w:t xml:space="preserve"> un veselības aizsardzība</w:t>
      </w:r>
      <w:bookmarkEnd w:id="95"/>
      <w:bookmarkEnd w:id="94"/>
      <w:bookmarkEnd w:id="93"/>
    </w:p>
    <w:p w:rsidR="0058307B" w:rsidRPr="005565F8" w:rsidP="00951581" w14:paraId="60A9C3A7" w14:textId="77777777">
      <w:pPr>
        <w:pStyle w:val="Heading3"/>
      </w:pPr>
      <w:bookmarkStart w:id="96" w:name="_Toc510687758"/>
      <w:bookmarkStart w:id="97" w:name="_Toc256000027"/>
      <w:bookmarkStart w:id="98" w:name="_Toc256000062"/>
      <w:r w:rsidRPr="005565F8">
        <w:t>3.5.1. Nabadzības līmeņa mazināšana</w:t>
      </w:r>
      <w:bookmarkEnd w:id="98"/>
      <w:bookmarkEnd w:id="97"/>
      <w:bookmarkEnd w:id="96"/>
    </w:p>
    <w:p w:rsidR="00951581" w:rsidRPr="005565F8" w:rsidP="009D0527" w14:paraId="6BC3B854" w14:textId="77777777">
      <w:bookmarkStart w:id="99" w:name="_Toc446597842"/>
    </w:p>
    <w:p w:rsidR="009D0527" w:rsidRPr="005565F8" w:rsidP="009D0527" w14:paraId="4E8371F0" w14:textId="77777777">
      <w:pPr>
        <w:sectPr w:rsidSect="005D1AD0">
          <w:type w:val="continuous"/>
          <w:pgSz w:w="11906" w:h="16838" w:code="9"/>
          <w:pgMar w:top="1134" w:right="1134" w:bottom="1134" w:left="1134" w:header="709" w:footer="567" w:gutter="0"/>
          <w:cols w:space="340"/>
          <w:titlePg/>
          <w:docGrid w:linePitch="360"/>
        </w:sectPr>
      </w:pPr>
    </w:p>
    <w:p w:rsidR="000B169C" w:rsidRPr="005565F8" w:rsidP="00F24079" w14:paraId="23B6F51B" w14:textId="77777777">
      <w:r w:rsidRPr="005565F8">
        <w:t>Latvijas NRP mērķis ir līdz 2020.</w:t>
      </w:r>
      <w:r w:rsidRPr="005565F8" w:rsidR="00513FD8">
        <w:t> </w:t>
      </w:r>
      <w:r w:rsidRPr="005565F8">
        <w:t xml:space="preserve">gadam samazināt par 121 tūkst. jeb līdz 21% nabadzības riskam </w:t>
      </w:r>
      <w:r w:rsidRPr="005565F8">
        <w:t>pakļautos un/vai zemas darba intensitātes mājsaimniecībās dzīvojošo personu skaitu.</w:t>
      </w:r>
    </w:p>
    <w:p w:rsidR="000F3EEF" w:rsidRPr="005565F8" w:rsidP="00F24079" w14:paraId="3CE5DC62" w14:textId="77777777">
      <w:pPr>
        <w:sectPr w:rsidSect="005D1AD0">
          <w:type w:val="continuous"/>
          <w:pgSz w:w="11906" w:h="16838" w:code="9"/>
          <w:pgMar w:top="1134" w:right="1134" w:bottom="1134" w:left="1134" w:header="709" w:footer="567" w:gutter="0"/>
          <w:cols w:num="2" w:space="340"/>
          <w:titlePg/>
          <w:docGrid w:linePitch="360"/>
        </w:sectPr>
      </w:pPr>
    </w:p>
    <w:p w:rsidR="000F3EEF" w:rsidRPr="005565F8" w:rsidP="00F24079" w14:paraId="594471B1" w14:textId="77777777"/>
    <w:p w:rsidR="000F3EEF" w:rsidRPr="005565F8" w:rsidP="000F3EEF" w14:paraId="31CA8831"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b/>
          <w:sz w:val="4"/>
          <w:szCs w:val="16"/>
        </w:rPr>
      </w:pPr>
    </w:p>
    <w:p w:rsidR="000F3EEF" w:rsidRPr="005565F8" w:rsidP="000F3EEF" w14:paraId="41D78110"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3.9.ielikums.</w:t>
      </w:r>
    </w:p>
    <w:p w:rsidR="000F3EEF" w:rsidRPr="005565F8" w:rsidP="000F3EEF" w14:paraId="037F24AC"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rPr>
          <w:rFonts w:ascii="Calibri Light" w:eastAsia="Verdana" w:hAnsi="Calibri Light"/>
          <w:color w:val="000000"/>
          <w:kern w:val="24"/>
          <w:sz w:val="16"/>
          <w:szCs w:val="16"/>
          <w:lang w:eastAsia="lv-LV"/>
        </w:rPr>
      </w:pPr>
      <w:r w:rsidRPr="005565F8">
        <w:rPr>
          <w:rFonts w:ascii="Calibri Light" w:hAnsi="Calibri Light"/>
          <w:b/>
          <w:szCs w:val="16"/>
        </w:rPr>
        <w:t>Nabadzības riskam pakļauto un/vai zemas darba intensitātes mājsaimniecībās dzīvojošo personu skaita samazināšanas tendences</w:t>
      </w:r>
    </w:p>
    <w:p w:rsidR="000F3EEF" w:rsidRPr="005565F8" w:rsidP="000F3EEF" w14:paraId="3FAE9681"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Ja līdz 2013.gadam bija vērojama stabila virzība uz NRP noteikto nabadzības riskam pakļauto un/vai zemas darba intensitātes mājsaimniecībās dzīvojošo personu skaita samazināšanas mērķi, tad, sākot no 2013.gada, iezīmējās nelielas novirzes īpatsvara rādītājos. Savukārt absolūtos skaitļos noteiktais mērķis ir sasniegts. 2016.gadā Latvijā nabadzības riskam bija pakļauti 425 tūkstoši jeb 22,1% iedzīvotāju – par 0,3 procentpunktiem vairāk nekā 2015.gadā.</w:t>
      </w:r>
    </w:p>
    <w:p w:rsidR="000F3EEF" w:rsidRPr="005565F8" w:rsidP="000F3EEF" w14:paraId="27D0994C"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No 2011.gada ir vērojams samērā vienmērīgs ienākumu pieaugums visās mājsaimniecībās. Taču mājsaimniecību ienākumu pieauguma temps, salīdzinot ar iepriekšējiem gadiem, turpināja palēnināties (2013.gadā pieaugums par 10,7%, 2014.gadā – par 9,3 %, 2015.gadā – par 7,6 %, 2016.gadā – par 4,9%, ). 2016.gadā, salīdzinot ar 2015.gadu, vismazākais ienākumu pieaugums bija trūcīgākajās mājsaimniecībās (par 2,8% 1.kvintiļu grupas mājsaimniecībās). Turīgākajās jeb 5.kvintiļu grupas mājsaimniecībās ienākumi gada laikā pieauga par 5,1%. Visvairāk ienākumi pieauga 4. </w:t>
      </w:r>
      <w:r w:rsidRPr="005565F8">
        <w:rPr>
          <w:rFonts w:ascii="Calibri Light" w:eastAsia="Verdana" w:hAnsi="Calibri Light"/>
          <w:color w:val="000000"/>
          <w:kern w:val="24"/>
          <w:sz w:val="16"/>
          <w:szCs w:val="16"/>
          <w:lang w:eastAsia="lv-LV"/>
        </w:rPr>
        <w:t>kvintiļu</w:t>
      </w:r>
      <w:r w:rsidRPr="005565F8">
        <w:rPr>
          <w:rFonts w:ascii="Calibri Light" w:eastAsia="Verdana" w:hAnsi="Calibri Light"/>
          <w:color w:val="000000"/>
          <w:kern w:val="24"/>
          <w:sz w:val="16"/>
          <w:szCs w:val="16"/>
          <w:lang w:eastAsia="lv-LV"/>
        </w:rPr>
        <w:t xml:space="preserve"> grupas mājsaimniecībās (par 6,4%).</w:t>
      </w:r>
    </w:p>
    <w:p w:rsidR="000F3EEF" w:rsidRPr="005565F8" w:rsidP="000F3EEF" w14:paraId="0895C890"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Samazinājies dziļai materiālai </w:t>
      </w:r>
      <w:r w:rsidRPr="005565F8">
        <w:rPr>
          <w:rFonts w:ascii="Calibri Light" w:eastAsia="Verdana" w:hAnsi="Calibri Light"/>
          <w:color w:val="000000"/>
          <w:kern w:val="24"/>
          <w:sz w:val="16"/>
          <w:szCs w:val="16"/>
          <w:lang w:eastAsia="lv-LV"/>
        </w:rPr>
        <w:t>nenodrošinātībai</w:t>
      </w:r>
      <w:r w:rsidRPr="005565F8">
        <w:rPr>
          <w:rFonts w:ascii="Calibri Light" w:eastAsia="Verdana" w:hAnsi="Calibri Light"/>
          <w:color w:val="000000"/>
          <w:kern w:val="24"/>
          <w:sz w:val="16"/>
          <w:szCs w:val="16"/>
          <w:lang w:eastAsia="lv-LV"/>
        </w:rPr>
        <w:t xml:space="preserve"> pakļauto iedzīvotāju īpatsvars – no 16,4% 2015.gadā līdz 12,8% 2016.gadā, turklāt šī tendence ir vērojama visās ienākumu </w:t>
      </w:r>
      <w:r w:rsidRPr="005565F8">
        <w:rPr>
          <w:rFonts w:ascii="Calibri Light" w:eastAsia="Verdana" w:hAnsi="Calibri Light"/>
          <w:color w:val="000000"/>
          <w:kern w:val="24"/>
          <w:sz w:val="16"/>
          <w:szCs w:val="16"/>
          <w:lang w:eastAsia="lv-LV"/>
        </w:rPr>
        <w:t>kvintiļu</w:t>
      </w:r>
      <w:r w:rsidRPr="005565F8">
        <w:rPr>
          <w:rFonts w:ascii="Calibri Light" w:eastAsia="Verdana" w:hAnsi="Calibri Light"/>
          <w:color w:val="000000"/>
          <w:kern w:val="24"/>
          <w:sz w:val="16"/>
          <w:szCs w:val="16"/>
          <w:lang w:eastAsia="lv-LV"/>
        </w:rPr>
        <w:t xml:space="preserve"> grupās. Kopš 2011.gada vērojama pakāpeniska situācijas uzlabošanās un nabadzības riska samazināšanās tajās mājsaimniecībās, kuru ienākumus galvenokārt veido algota darba samaksa, kā arī ģimenēs ar bērniem. Nabadzības riskam pakļauto bērnu īpatsvars 2016.gadā turpināja samazināties, sasniedzot 18,4 procentus.</w:t>
      </w:r>
      <w:r w:rsidRPr="005565F8" w:rsidR="00683923">
        <w:rPr>
          <w:rFonts w:ascii="Calibri Light" w:eastAsia="Verdana" w:hAnsi="Calibri Light"/>
          <w:color w:val="000000"/>
          <w:kern w:val="24"/>
          <w:sz w:val="16"/>
          <w:szCs w:val="16"/>
          <w:lang w:eastAsia="lv-LV"/>
        </w:rPr>
        <w:t xml:space="preserve"> Savukārt mājsaimniecībās, kuru galvenais ienākumu avots ir fiksēti ienākumi (pensijas un pabalsti) un kuru pieaugums ir daudz lēnāks kā darba samaksas izmaiņas, nabadzības risks turpina pieaugt, īpaši pensijas vecuma cilvēkiem. 2016.gadā ir palielinājies nabadzības riskam pakļauto iedzīvotāju īpatsvars vecuma grupā </w:t>
      </w:r>
      <w:r w:rsidRPr="005565F8" w:rsidR="00710ED9">
        <w:rPr>
          <w:rFonts w:ascii="Calibri Light" w:eastAsia="Verdana" w:hAnsi="Calibri Light"/>
          <w:color w:val="000000"/>
          <w:kern w:val="24"/>
          <w:sz w:val="16"/>
          <w:szCs w:val="16"/>
          <w:lang w:eastAsia="lv-LV"/>
        </w:rPr>
        <w:t>virs 65 gadiem (no 38,1% 2015.gadā līdz 39,9</w:t>
      </w:r>
      <w:r w:rsidRPr="005565F8" w:rsidR="00683923">
        <w:rPr>
          <w:rFonts w:ascii="Calibri Light" w:eastAsia="Verdana" w:hAnsi="Calibri Light"/>
          <w:color w:val="000000"/>
          <w:kern w:val="24"/>
          <w:sz w:val="16"/>
          <w:szCs w:val="16"/>
          <w:lang w:eastAsia="lv-LV"/>
        </w:rPr>
        <w:t>% 2016.gadā). Ļoti augsts nabadzības risks ir vientuļajiem senioriem – ja persona vecumā virs 65 gadiem dzīvo v</w:t>
      </w:r>
      <w:r w:rsidRPr="005565F8" w:rsidR="00710ED9">
        <w:rPr>
          <w:rFonts w:ascii="Calibri Light" w:eastAsia="Verdana" w:hAnsi="Calibri Light"/>
          <w:color w:val="000000"/>
          <w:kern w:val="24"/>
          <w:sz w:val="16"/>
          <w:szCs w:val="16"/>
          <w:lang w:eastAsia="lv-LV"/>
        </w:rPr>
        <w:t>iena pati, šis rādītājs ir 72,8</w:t>
      </w:r>
      <w:r w:rsidRPr="005565F8" w:rsidR="00683923">
        <w:rPr>
          <w:rFonts w:ascii="Calibri Light" w:eastAsia="Verdana" w:hAnsi="Calibri Light"/>
          <w:color w:val="000000"/>
          <w:kern w:val="24"/>
          <w:sz w:val="16"/>
          <w:szCs w:val="16"/>
          <w:lang w:eastAsia="lv-LV"/>
        </w:rPr>
        <w:t>%.</w:t>
      </w:r>
    </w:p>
    <w:p w:rsidR="000F3EEF" w:rsidRPr="005565F8" w:rsidP="000F3EEF" w14:paraId="753BE884"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Salīdzinot ar pārējām ES dalībvalstīm, Latvijā ir augsta ienākumu nevienlīdzība – 2016.gadā Džini koeficienta vērtība Latvijā bija ceturtā augstākā, sasniedzot 34,5%, savukārt ES vidēji šis rādītājs nepārsniedz 31%. Pēc būtiskas ienākumu nevienlīdzības rādītāju uzlabošanās 2015.gadā, 2016.gadā tas saglabājās nemainīgs. Savukārt 20% visturīgāko iedzīvotāju ienākumi bija 6,3  reizes lielāki nekā 20% vistrūcīgāko iedzīvotāju (2014. gadā – 6,5 reizes lielāki, 2015.gadā – 6,2 reizes lielāki).</w:t>
      </w:r>
    </w:p>
    <w:p w:rsidR="000F3EEF" w:rsidRPr="005565F8" w:rsidP="000F3EEF" w14:paraId="1654169A"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60"/>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 xml:space="preserve">Sešu gadu laikā sociālo </w:t>
      </w:r>
      <w:r w:rsidRPr="005565F8">
        <w:rPr>
          <w:rFonts w:ascii="Calibri Light" w:eastAsia="Verdana" w:hAnsi="Calibri Light"/>
          <w:color w:val="000000"/>
          <w:kern w:val="24"/>
          <w:sz w:val="16"/>
          <w:szCs w:val="16"/>
          <w:lang w:eastAsia="lv-LV"/>
        </w:rPr>
        <w:t>transfertu</w:t>
      </w:r>
      <w:r w:rsidRPr="005565F8">
        <w:rPr>
          <w:rFonts w:ascii="Calibri Light" w:eastAsia="Verdana" w:hAnsi="Calibri Light"/>
          <w:color w:val="000000"/>
          <w:kern w:val="24"/>
          <w:sz w:val="16"/>
          <w:szCs w:val="16"/>
          <w:lang w:eastAsia="lv-LV"/>
        </w:rPr>
        <w:t xml:space="preserve"> īpatsvars mājsaimniecību rīcībā esošajos ienākumos samazinājies par 7,7 procentpunktiem – no 32,4% 2010.gadā līdz 24,7% 2016.gadā. Savukārt algota darba ienākumu īpatsvars ir pieaudzis no 63,7% 2010.gadā līdz 71,2% 2016.gadā. 2016. gadā mājsaimniecību ienākumi no algota darba uz vienu mājsaimniecības locekli ir palielinājušies par 6,1% – no 293 EUR mēnesī 2015.gadā līdz 311 EUR mēnesī 2016.gadā.</w:t>
      </w:r>
    </w:p>
    <w:p w:rsidR="000F3EEF" w:rsidRPr="005565F8" w:rsidP="000F3EEF" w14:paraId="32F3D528"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4"/>
          <w:szCs w:val="16"/>
          <w:lang w:eastAsia="lv-LV"/>
        </w:rPr>
      </w:pPr>
    </w:p>
    <w:p w:rsidR="000F3EEF" w:rsidRPr="005565F8" w:rsidP="000F3EEF" w14:paraId="4F4536BF" w14:textId="77777777"/>
    <w:p w:rsidR="000F3EEF" w:rsidRPr="005565F8" w:rsidP="002D47FA" w14:paraId="2D5227B6" w14:textId="77777777">
      <w:pPr>
        <w:pStyle w:val="ListParagraph"/>
        <w:keepNext/>
        <w:shd w:val="clear" w:color="auto" w:fill="FFFFFF" w:themeFill="background1"/>
        <w:tabs>
          <w:tab w:val="right" w:pos="9639"/>
        </w:tabs>
        <w:spacing w:before="240"/>
        <w:ind w:left="0" w:right="-1"/>
        <w:contextualSpacing w:val="0"/>
        <w:rPr>
          <w:rFonts w:ascii="Calibri Light" w:hAnsi="Calibri Light"/>
          <w:b/>
          <w:sz w:val="24"/>
        </w:rPr>
      </w:pPr>
      <w:r w:rsidRPr="005565F8">
        <w:rPr>
          <w:rFonts w:ascii="Calibri Light" w:hAnsi="Calibri Light"/>
          <w:sz w:val="8"/>
        </w:rPr>
        <w:br/>
      </w:r>
      <w:r w:rsidRPr="005565F8">
        <w:rPr>
          <w:rFonts w:ascii="Calibri Light" w:hAnsi="Calibri Light"/>
        </w:rPr>
        <w:tab/>
        <w:t>3.6.attēls</w:t>
      </w:r>
      <w:r w:rsidRPr="005565F8">
        <w:rPr>
          <w:rFonts w:ascii="Calibri Light" w:hAnsi="Calibri Light"/>
        </w:rPr>
        <w:br/>
      </w:r>
      <w:r w:rsidRPr="005565F8">
        <w:rPr>
          <w:rFonts w:ascii="Calibri Light" w:hAnsi="Calibri Light"/>
          <w:b/>
          <w:sz w:val="24"/>
        </w:rPr>
        <w:tab/>
        <w:t>Nabadzības līmeņa samazināšanas mērķ</w:t>
      </w:r>
      <w:r w:rsidRPr="005565F8" w:rsidR="00F659E2">
        <w:rPr>
          <w:rFonts w:ascii="Calibri Light" w:hAnsi="Calibri Light"/>
          <w:b/>
          <w:sz w:val="24"/>
        </w:rPr>
        <w:t>is</w:t>
      </w:r>
    </w:p>
    <w:p w:rsidR="002D47FA" w:rsidP="002D47FA" w14:paraId="0055B982" w14:textId="77777777">
      <w:pPr>
        <w:pStyle w:val="ListParagraph"/>
        <w:keepNext/>
        <w:shd w:val="clear" w:color="auto" w:fill="B8CCE4" w:themeFill="accent1" w:themeFillTint="66"/>
        <w:tabs>
          <w:tab w:val="center" w:pos="7371"/>
          <w:tab w:val="right" w:pos="9639"/>
        </w:tabs>
        <w:spacing w:before="240"/>
        <w:ind w:left="0" w:right="-1"/>
        <w:jc w:val="center"/>
        <w:rPr>
          <w:rFonts w:ascii="Calibri Light" w:hAnsi="Calibri Light"/>
          <w:i/>
          <w:sz w:val="16"/>
        </w:rPr>
      </w:pPr>
    </w:p>
    <w:p w:rsidR="00183495" w:rsidRPr="005565F8" w:rsidP="002D47FA" w14:paraId="43CA414A" w14:textId="5643C126">
      <w:pPr>
        <w:pStyle w:val="ListParagraph"/>
        <w:keepNext/>
        <w:shd w:val="clear" w:color="auto" w:fill="B8CCE4" w:themeFill="accent1" w:themeFillTint="66"/>
        <w:tabs>
          <w:tab w:val="center" w:pos="7371"/>
          <w:tab w:val="right" w:pos="9639"/>
        </w:tabs>
        <w:spacing w:before="240"/>
        <w:ind w:left="0" w:right="-1"/>
        <w:jc w:val="center"/>
        <w:rPr>
          <w:rFonts w:ascii="Calibri Light" w:hAnsi="Calibri Light"/>
          <w:i/>
          <w:sz w:val="16"/>
        </w:rPr>
      </w:pPr>
      <w:r w:rsidRPr="005565F8">
        <w:rPr>
          <w:rFonts w:ascii="Calibri Light" w:hAnsi="Calibri Light"/>
          <w:i/>
          <w:sz w:val="16"/>
        </w:rPr>
        <w:t>Īpatsvars procentos</w:t>
      </w:r>
    </w:p>
    <w:p w:rsidR="009D0527" w:rsidRPr="005565F8" w:rsidP="002D47FA" w14:paraId="41379B5C" w14:textId="77777777">
      <w:pPr>
        <w:pStyle w:val="ListParagraph"/>
        <w:shd w:val="clear" w:color="auto" w:fill="B8CCE4" w:themeFill="accent1" w:themeFillTint="66"/>
        <w:tabs>
          <w:tab w:val="left" w:pos="426"/>
          <w:tab w:val="right" w:pos="9639"/>
        </w:tabs>
        <w:spacing w:before="40"/>
        <w:ind w:left="0" w:right="-1"/>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5760000" cy="2160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D0527" w:rsidRPr="005565F8" w:rsidP="002D47FA" w14:paraId="0D4FEC58" w14:textId="77777777">
      <w:pPr>
        <w:pStyle w:val="ListParagraph"/>
        <w:keepNext/>
        <w:shd w:val="clear" w:color="auto" w:fill="B8CCE4" w:themeFill="accent1" w:themeFillTint="66"/>
        <w:tabs>
          <w:tab w:val="center" w:pos="2410"/>
          <w:tab w:val="center" w:pos="7371"/>
          <w:tab w:val="right" w:pos="9639"/>
        </w:tabs>
        <w:spacing w:before="240"/>
        <w:ind w:left="0" w:right="-1"/>
        <w:jc w:val="center"/>
        <w:rPr>
          <w:rFonts w:ascii="Calibri Light" w:hAnsi="Calibri Light"/>
          <w:i/>
          <w:sz w:val="16"/>
        </w:rPr>
      </w:pPr>
      <w:r w:rsidRPr="005565F8">
        <w:rPr>
          <w:rFonts w:ascii="Calibri Light" w:hAnsi="Calibri Light"/>
          <w:i/>
          <w:sz w:val="16"/>
        </w:rPr>
        <w:t>Skaits tūkst.</w:t>
      </w:r>
    </w:p>
    <w:p w:rsidR="00973947" w:rsidRPr="005565F8" w:rsidP="002D47FA" w14:paraId="4E2AB03A" w14:textId="77777777">
      <w:pPr>
        <w:pStyle w:val="ListParagraph"/>
        <w:shd w:val="clear" w:color="auto" w:fill="B8CCE4" w:themeFill="accent1" w:themeFillTint="66"/>
        <w:tabs>
          <w:tab w:val="left" w:pos="426"/>
          <w:tab w:val="right" w:pos="9639"/>
        </w:tabs>
        <w:spacing w:after="0"/>
        <w:ind w:left="0" w:right="-1"/>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5760000" cy="2160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3947" w:rsidRPr="005565F8" w:rsidP="002D47FA" w14:paraId="56B78D1E" w14:textId="77777777">
      <w:pPr>
        <w:pStyle w:val="ListParagraph"/>
        <w:shd w:val="clear" w:color="auto" w:fill="B8CCE4" w:themeFill="accent1" w:themeFillTint="66"/>
        <w:tabs>
          <w:tab w:val="left" w:pos="426"/>
          <w:tab w:val="right" w:pos="9639"/>
        </w:tabs>
        <w:spacing w:after="0"/>
        <w:ind w:left="0" w:right="-1"/>
        <w:contextualSpacing w:val="0"/>
        <w:jc w:val="center"/>
        <w:rPr>
          <w:rFonts w:ascii="Calibri Light" w:hAnsi="Calibri Light"/>
          <w:sz w:val="16"/>
          <w:szCs w:val="20"/>
        </w:rPr>
      </w:pPr>
    </w:p>
    <w:p w:rsidR="002132C6" w:rsidRPr="005565F8" w:rsidP="002D47FA" w14:paraId="5AAD8EE4" w14:textId="77777777">
      <w:pPr>
        <w:pStyle w:val="ListParagraph"/>
        <w:shd w:val="clear" w:color="auto" w:fill="B8CCE4"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Avots: CSP</w:t>
      </w:r>
    </w:p>
    <w:p w:rsidR="002132C6" w:rsidRPr="005565F8" w:rsidP="002D47FA" w14:paraId="4F4F963F" w14:textId="77777777">
      <w:pPr>
        <w:pStyle w:val="ListParagraph"/>
        <w:shd w:val="clear" w:color="auto" w:fill="B8CCE4"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2020.gadam alternatīvais mērķis – novērst nabadzības risku 121 tūkst. iedzīvotāju</w:t>
      </w:r>
    </w:p>
    <w:p w:rsidR="000B169C" w:rsidRPr="005565F8" w:rsidP="002D47FA" w14:paraId="3B43CB6C" w14:textId="77777777">
      <w:pPr>
        <w:pStyle w:val="ListParagraph"/>
        <w:shd w:val="clear" w:color="auto" w:fill="B8CCE4"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565F8">
        <w:rPr>
          <w:rFonts w:ascii="Calibri Light" w:hAnsi="Calibri Light"/>
          <w:i/>
          <w:color w:val="595959" w:themeColor="text1" w:themeTint="A6"/>
          <w:sz w:val="16"/>
          <w:szCs w:val="20"/>
        </w:rPr>
        <w:t>Eurostat</w:t>
      </w:r>
      <w:r w:rsidRPr="005565F8">
        <w:rPr>
          <w:rFonts w:ascii="Calibri Light" w:hAnsi="Calibri Light"/>
          <w:color w:val="595959" w:themeColor="text1" w:themeTint="A6"/>
          <w:sz w:val="16"/>
          <w:szCs w:val="20"/>
        </w:rPr>
        <w:t xml:space="preserve"> datus par Latviju uzrāda ar 1 gada nobīdi (atbilstoši </w:t>
      </w:r>
      <w:r w:rsidRPr="005565F8">
        <w:rPr>
          <w:rFonts w:ascii="Calibri Light" w:hAnsi="Calibri Light"/>
          <w:color w:val="595959" w:themeColor="text1" w:themeTint="A6"/>
          <w:sz w:val="16"/>
          <w:szCs w:val="20"/>
        </w:rPr>
        <w:t>apsekojuma</w:t>
      </w:r>
      <w:r w:rsidRPr="005565F8">
        <w:rPr>
          <w:rFonts w:ascii="Calibri Light" w:hAnsi="Calibri Light"/>
          <w:color w:val="595959" w:themeColor="text1" w:themeTint="A6"/>
          <w:sz w:val="16"/>
          <w:szCs w:val="20"/>
        </w:rPr>
        <w:t xml:space="preserve"> veikšanas gadam)</w:t>
      </w:r>
    </w:p>
    <w:p w:rsidR="002132C6" w:rsidRPr="005565F8" w:rsidP="002D47FA" w14:paraId="32DFD496" w14:textId="77777777">
      <w:pPr>
        <w:pStyle w:val="ListParagraph"/>
        <w:shd w:val="clear" w:color="auto" w:fill="B8CCE4" w:themeFill="accent1" w:themeFillTint="66"/>
        <w:tabs>
          <w:tab w:val="left" w:pos="426"/>
          <w:tab w:val="right" w:pos="9639"/>
        </w:tabs>
        <w:spacing w:after="0"/>
        <w:ind w:left="0" w:right="-1"/>
        <w:contextualSpacing w:val="0"/>
        <w:rPr>
          <w:rFonts w:eastAsia="Times New Roman"/>
          <w:sz w:val="8"/>
          <w:lang w:eastAsia="lv-LV"/>
        </w:rPr>
      </w:pPr>
    </w:p>
    <w:p w:rsidR="00B45174" w:rsidRPr="005565F8" w:rsidP="00073B29" w14:paraId="4FEB5CFA" w14:textId="77777777">
      <w:pPr>
        <w:rPr>
          <w:color w:val="000000"/>
          <w:lang w:eastAsia="lv-LV"/>
        </w:rPr>
      </w:pPr>
    </w:p>
    <w:p w:rsidR="00073B29" w:rsidRPr="005565F8" w:rsidP="00073B29" w14:paraId="135ABE89" w14:textId="77777777">
      <w:pPr>
        <w:rPr>
          <w:color w:val="000000"/>
          <w:lang w:eastAsia="lv-LV"/>
        </w:rPr>
        <w:sectPr w:rsidSect="005D1AD0">
          <w:type w:val="continuous"/>
          <w:pgSz w:w="11906" w:h="16838" w:code="9"/>
          <w:pgMar w:top="1134" w:right="1134" w:bottom="1134" w:left="1134" w:header="709" w:footer="567" w:gutter="0"/>
          <w:cols w:space="708"/>
          <w:titlePg/>
          <w:docGrid w:linePitch="360"/>
        </w:sectPr>
      </w:pPr>
    </w:p>
    <w:p w:rsidR="00CB6A47" w:rsidRPr="005565F8" w:rsidP="00CB6A47" w14:paraId="1B4C4DD6" w14:textId="77777777">
      <w:pPr>
        <w:autoSpaceDE w:val="0"/>
        <w:autoSpaceDN w:val="0"/>
        <w:adjustRightInd w:val="0"/>
      </w:pPr>
      <w:r w:rsidRPr="005565F8">
        <w:t xml:space="preserve">Lai gan kopējās nabadzības un sociālās atstumtības rādītāju attīstības tendences norāda uz pakāpenisku situācijas uzlabošanos, taču vienlaicīgi kā </w:t>
      </w:r>
      <w:r w:rsidRPr="005565F8">
        <w:rPr>
          <w:b/>
        </w:rPr>
        <w:t>galvenie</w:t>
      </w:r>
      <w:r w:rsidRPr="005565F8">
        <w:t xml:space="preserve"> </w:t>
      </w:r>
      <w:r w:rsidRPr="005565F8">
        <w:rPr>
          <w:b/>
        </w:rPr>
        <w:t>nabadzības mazināšanas mērķa sasniegšanas riski</w:t>
      </w:r>
      <w:r w:rsidRPr="005565F8">
        <w:t xml:space="preserve"> jānorāda:</w:t>
      </w:r>
    </w:p>
    <w:p w:rsidR="00CB6A47" w:rsidRPr="005565F8" w:rsidP="00735883" w14:paraId="5952C9D5" w14:textId="77777777">
      <w:pPr>
        <w:numPr>
          <w:ilvl w:val="0"/>
          <w:numId w:val="20"/>
        </w:numPr>
        <w:spacing w:after="60"/>
        <w:ind w:left="284" w:hanging="284"/>
        <w:jc w:val="both"/>
      </w:pPr>
      <w:r w:rsidRPr="005565F8">
        <w:t>liels neformālās ekonomikas sektors, kas atstāj negatīvu ietekmi uz tajā nodarbināto sociālās aizsardzības līmeni sociālā riska iestāšanās gadījumā, ilgtermiņā tas palielina slogu uz valsts un pašvaldību izdevumiem sociālajai aizsardzībai;</w:t>
      </w:r>
    </w:p>
    <w:p w:rsidR="00CB6A47" w:rsidRPr="005565F8" w:rsidP="00735883" w14:paraId="5815C7F8" w14:textId="77777777">
      <w:pPr>
        <w:numPr>
          <w:ilvl w:val="0"/>
          <w:numId w:val="20"/>
        </w:numPr>
        <w:spacing w:after="60"/>
        <w:ind w:left="284" w:hanging="284"/>
      </w:pPr>
      <w:r w:rsidRPr="005565F8">
        <w:t>augstais nodarbināto īpatsvars, kas valsts obligātās sociālās apdrošināšanas iemaksas veic no ienākumiem līdz minimālai algai (aptuveni 30%) un kas nākotnē negatīvi ietekmēs viņu ienākumu aizvietojuma līmeni pēc pensionēšanās;</w:t>
      </w:r>
    </w:p>
    <w:p w:rsidR="00CB6A47" w:rsidRPr="005565F8" w:rsidP="00735883" w14:paraId="56A55BE5" w14:textId="77777777">
      <w:pPr>
        <w:numPr>
          <w:ilvl w:val="0"/>
          <w:numId w:val="20"/>
        </w:numPr>
        <w:spacing w:after="60"/>
        <w:ind w:left="284" w:hanging="284"/>
      </w:pPr>
      <w:r w:rsidRPr="005565F8">
        <w:t xml:space="preserve">augstais mājsaimniecību parādu līmenis (patēriņa kredīti, kredīts par mājokli, parāds par komunālajiem maksājumiem), kā rezultātā arī iedzīvotāji ar relatīvi vidējiem vai augstiem </w:t>
      </w:r>
      <w:r w:rsidRPr="005565F8">
        <w:t>ienākumiem var nonākt sociālās palīdzības saņēmēju lokā.</w:t>
      </w:r>
    </w:p>
    <w:p w:rsidR="00CB6A47" w:rsidRPr="005565F8" w:rsidP="00CB6A47" w14:paraId="20C34220" w14:textId="77777777">
      <w:pPr>
        <w:pStyle w:val="NormalWeb"/>
        <w:shd w:val="clear" w:color="auto" w:fill="FFFFFF"/>
        <w:spacing w:after="0"/>
        <w:ind w:firstLine="567"/>
      </w:pPr>
    </w:p>
    <w:p w:rsidR="00CB6A47" w:rsidRPr="005565F8" w:rsidP="00CB6A47" w14:paraId="7DCC889C" w14:textId="77777777">
      <w:pPr>
        <w:rPr>
          <w:color w:val="000000" w:themeColor="text1"/>
        </w:rPr>
      </w:pPr>
      <w:r w:rsidRPr="005565F8">
        <w:rPr>
          <w:color w:val="000000" w:themeColor="text1"/>
        </w:rPr>
        <w:t>2017.gadā īstenoto pasākumu galvenie virzieni saglabājās, un tie bija vērsti uz darbaspēka nodokļu sloga samazināšanu, ienākumu palielināšanu strādājošiem ar zemiem ienākumiem un ģimenēm ar bērniem, materiālā atbalsta pilnveidošanu pensijas vecuma cilvēkiem un pakalpojumu pilnveidošanu nabadzības un sociālās atstumtības riskam pakļautajām iedzīvotāju grupām, atbalsta pilnveidošanu personām ar invaliditāti un darbspēju novērtēšanas sistēmas pilnveidošanu.</w:t>
      </w:r>
    </w:p>
    <w:p w:rsidR="00CB6A47" w:rsidRPr="005565F8" w:rsidP="00CB6A47" w14:paraId="2AA1B159" w14:textId="77777777">
      <w:pPr>
        <w:rPr>
          <w:color w:val="000000" w:themeColor="text1"/>
        </w:rPr>
      </w:pPr>
      <w:r w:rsidRPr="005565F8">
        <w:rPr>
          <w:color w:val="000000" w:themeColor="text1"/>
        </w:rPr>
        <w:t xml:space="preserve">Saeima 2017.gada jūlijā apstiprināja plašu nodokļu reformu, t.sk., </w:t>
      </w:r>
      <w:r w:rsidRPr="005565F8">
        <w:rPr>
          <w:color w:val="000000" w:themeColor="text1"/>
          <w:shd w:val="clear" w:color="auto" w:fill="FFFFFF"/>
        </w:rPr>
        <w:t>darbaspēka nodokļos</w:t>
      </w:r>
      <w:r w:rsidRPr="005565F8">
        <w:rPr>
          <w:color w:val="000000" w:themeColor="text1"/>
        </w:rPr>
        <w:t xml:space="preserve">, kuras viena no prioritātēm ir noteikta </w:t>
      </w:r>
      <w:r w:rsidRPr="005565F8">
        <w:rPr>
          <w:color w:val="000000" w:themeColor="text1"/>
          <w:shd w:val="clear" w:color="auto" w:fill="FFFFFF"/>
        </w:rPr>
        <w:t xml:space="preserve">iedzīvotāju ienākumu nevienlīdzības mazināšana </w:t>
      </w:r>
      <w:r w:rsidRPr="005565F8">
        <w:rPr>
          <w:i/>
          <w:color w:val="000000" w:themeColor="text1"/>
          <w:shd w:val="clear" w:color="auto" w:fill="FFFFFF"/>
        </w:rPr>
        <w:t>(skat</w:t>
      </w:r>
      <w:r w:rsidRPr="005565F8" w:rsidR="00736CBE">
        <w:rPr>
          <w:i/>
          <w:color w:val="000000" w:themeColor="text1"/>
          <w:shd w:val="clear" w:color="auto" w:fill="FFFFFF"/>
        </w:rPr>
        <w:t>.</w:t>
      </w:r>
      <w:r w:rsidRPr="005565F8">
        <w:rPr>
          <w:i/>
          <w:color w:val="000000" w:themeColor="text1"/>
          <w:shd w:val="clear" w:color="auto" w:fill="FFFFFF"/>
        </w:rPr>
        <w:t xml:space="preserve"> 2.1.</w:t>
      </w:r>
      <w:r w:rsidRPr="005565F8" w:rsidR="00736CBE">
        <w:rPr>
          <w:i/>
          <w:color w:val="000000" w:themeColor="text1"/>
          <w:shd w:val="clear" w:color="auto" w:fill="FFFFFF"/>
        </w:rPr>
        <w:t>no</w:t>
      </w:r>
      <w:r w:rsidRPr="005565F8">
        <w:rPr>
          <w:i/>
          <w:color w:val="000000" w:themeColor="text1"/>
          <w:shd w:val="clear" w:color="auto" w:fill="FFFFFF"/>
        </w:rPr>
        <w:t>daļu)</w:t>
      </w:r>
      <w:r w:rsidRPr="005565F8">
        <w:rPr>
          <w:color w:val="000000" w:themeColor="text1"/>
        </w:rPr>
        <w:t>.</w:t>
      </w:r>
    </w:p>
    <w:p w:rsidR="00CB6A47" w:rsidRPr="005565F8" w:rsidP="00CB6A47" w14:paraId="181D73BC" w14:textId="79E7B824">
      <w:pPr>
        <w:autoSpaceDE w:val="0"/>
        <w:autoSpaceDN w:val="0"/>
        <w:adjustRightInd w:val="0"/>
        <w:rPr>
          <w:rFonts w:eastAsia="Times New Roman"/>
          <w:color w:val="000000" w:themeColor="text1"/>
          <w:lang w:eastAsia="lv-LV"/>
        </w:rPr>
      </w:pPr>
      <w:r w:rsidRPr="005565F8">
        <w:rPr>
          <w:color w:val="000000" w:themeColor="text1"/>
        </w:rPr>
        <w:t xml:space="preserve">Projekta  </w:t>
      </w:r>
      <w:r w:rsidRPr="005565F8">
        <w:rPr>
          <w:i/>
          <w:color w:val="000000" w:themeColor="text1"/>
        </w:rPr>
        <w:t xml:space="preserve">Profesionāla sociālā darba attīstība pašvaldībās </w:t>
      </w:r>
      <w:r w:rsidRPr="005565F8">
        <w:rPr>
          <w:color w:val="000000" w:themeColor="text1"/>
        </w:rPr>
        <w:t xml:space="preserve">īstenošana turpinājās 2017.gadā. </w:t>
      </w:r>
      <w:r w:rsidRPr="005565F8">
        <w:rPr>
          <w:rFonts w:eastAsia="Times New Roman"/>
          <w:color w:val="000000" w:themeColor="text1"/>
          <w:lang w:eastAsia="lv-LV"/>
        </w:rPr>
        <w:t>Projekta kopējas plānotais finansējums ir 8</w:t>
      </w:r>
      <w:r w:rsidRPr="005565F8">
        <w:rPr>
          <w:rStyle w:val="apple-converted-space"/>
          <w:rFonts w:eastAsia="Times New Roman"/>
          <w:color w:val="000000" w:themeColor="text1"/>
          <w:lang w:eastAsia="lv-LV"/>
        </w:rPr>
        <w:t>,</w:t>
      </w:r>
      <w:r w:rsidRPr="005565F8">
        <w:rPr>
          <w:rFonts w:eastAsia="Times New Roman"/>
          <w:color w:val="000000" w:themeColor="text1"/>
          <w:lang w:eastAsia="lv-LV"/>
        </w:rPr>
        <w:t>5 milj.</w:t>
      </w:r>
      <w:r w:rsidRPr="005565F8">
        <w:rPr>
          <w:rStyle w:val="apple-converted-space"/>
          <w:rFonts w:eastAsia="Times New Roman"/>
          <w:color w:val="000000" w:themeColor="text1"/>
          <w:lang w:eastAsia="lv-LV"/>
        </w:rPr>
        <w:t> </w:t>
      </w:r>
      <w:r w:rsidRPr="005565F8">
        <w:rPr>
          <w:rFonts w:eastAsia="Times New Roman"/>
          <w:color w:val="000000" w:themeColor="text1"/>
          <w:lang w:eastAsia="lv-LV"/>
        </w:rPr>
        <w:t xml:space="preserve">EUR, t.sk., </w:t>
      </w:r>
      <w:r w:rsidRPr="005565F8">
        <w:rPr>
          <w:rFonts w:eastAsia="Times New Roman"/>
          <w:color w:val="000000" w:themeColor="text1"/>
          <w:lang w:eastAsia="lv-LV"/>
        </w:rPr>
        <w:t>ESF finansējums – 7,2 milj. EUR. Projekta ietvaros savu profesionālo kompetenci pilnveidos 2</w:t>
      </w:r>
      <w:r w:rsidRPr="005565F8">
        <w:rPr>
          <w:rStyle w:val="apple-converted-space"/>
          <w:rFonts w:eastAsia="Times New Roman"/>
          <w:color w:val="000000" w:themeColor="text1"/>
          <w:lang w:eastAsia="lv-LV"/>
        </w:rPr>
        <w:t> 000</w:t>
      </w:r>
      <w:r w:rsidRPr="005565F8">
        <w:rPr>
          <w:rFonts w:eastAsia="Times New Roman"/>
          <w:color w:val="000000" w:themeColor="text1"/>
          <w:lang w:eastAsia="lv-LV"/>
        </w:rPr>
        <w:t xml:space="preserve"> sociālā darba speciālisti, tiks izstrādāta metodika sociālajam darbam ar dažādām klientu mērķa grupām, uzlabota iestāžu un profesionāļu sadarbība, kā arī </w:t>
      </w:r>
      <w:r w:rsidRPr="005565F8">
        <w:rPr>
          <w:rFonts w:eastAsia="Times New Roman"/>
          <w:lang w:eastAsia="lv-LV"/>
        </w:rPr>
        <w:t>tiks attīstīts sociālais darbs kopienā</w:t>
      </w:r>
      <w:r w:rsidRPr="005565F8">
        <w:rPr>
          <w:rFonts w:eastAsia="Times New Roman"/>
          <w:color w:val="000000" w:themeColor="text1"/>
          <w:lang w:eastAsia="lv-LV"/>
        </w:rPr>
        <w:t xml:space="preserve">. </w:t>
      </w:r>
      <w:r w:rsidRPr="005565F8" w:rsidR="00EA1EBF">
        <w:rPr>
          <w:rFonts w:eastAsia="Times New Roman"/>
          <w:color w:val="000000" w:themeColor="text1"/>
          <w:lang w:eastAsia="lv-LV"/>
        </w:rPr>
        <w:t>Saskaņā ar d</w:t>
      </w:r>
      <w:r w:rsidRPr="005565F8" w:rsidR="00B516A6">
        <w:rPr>
          <w:rFonts w:eastAsia="Times New Roman"/>
          <w:color w:val="000000" w:themeColor="text1"/>
          <w:lang w:eastAsia="lv-LV"/>
        </w:rPr>
        <w:t>atiem, kas apkopoti līdz 2018.</w:t>
      </w:r>
      <w:r w:rsidRPr="005565F8" w:rsidR="00EA1EBF">
        <w:rPr>
          <w:rFonts w:eastAsia="Times New Roman"/>
          <w:color w:val="000000" w:themeColor="text1"/>
          <w:lang w:eastAsia="lv-LV"/>
        </w:rPr>
        <w:t xml:space="preserve">gada 28.februārim, </w:t>
      </w:r>
      <w:r w:rsidRPr="005565F8" w:rsidR="001163A3">
        <w:rPr>
          <w:rFonts w:eastAsia="Times New Roman"/>
          <w:color w:val="000000" w:themeColor="text1"/>
          <w:lang w:eastAsia="lv-LV"/>
        </w:rPr>
        <w:t xml:space="preserve">kopš projekta uzsākšanas līdz </w:t>
      </w:r>
      <w:r w:rsidRPr="005565F8">
        <w:rPr>
          <w:rFonts w:eastAsia="Times New Roman"/>
          <w:color w:val="000000" w:themeColor="text1"/>
          <w:lang w:eastAsia="lv-LV"/>
        </w:rPr>
        <w:t>2017.gad</w:t>
      </w:r>
      <w:r w:rsidRPr="005565F8" w:rsidR="001163A3">
        <w:rPr>
          <w:rFonts w:eastAsia="Times New Roman"/>
          <w:color w:val="000000" w:themeColor="text1"/>
          <w:lang w:eastAsia="lv-LV"/>
        </w:rPr>
        <w:t>a beigām,</w:t>
      </w:r>
      <w:r w:rsidRPr="005565F8">
        <w:rPr>
          <w:rFonts w:eastAsia="Times New Roman"/>
          <w:color w:val="000000" w:themeColor="text1"/>
          <w:lang w:eastAsia="lv-LV"/>
        </w:rPr>
        <w:t xml:space="preserve"> iesaistīto sociālā darba speciālistu skaits sasniedza </w:t>
      </w:r>
      <w:r w:rsidRPr="005565F8" w:rsidR="00EA1EBF">
        <w:rPr>
          <w:rFonts w:eastAsia="Times New Roman"/>
          <w:color w:val="000000" w:themeColor="text1"/>
          <w:lang w:eastAsia="lv-LV"/>
        </w:rPr>
        <w:t xml:space="preserve">1267 </w:t>
      </w:r>
      <w:r w:rsidRPr="005565F8">
        <w:rPr>
          <w:rFonts w:eastAsia="Times New Roman"/>
          <w:color w:val="000000" w:themeColor="text1"/>
          <w:lang w:eastAsia="lv-LV"/>
        </w:rPr>
        <w:t xml:space="preserve">personas </w:t>
      </w:r>
      <w:r w:rsidRPr="005565F8" w:rsidR="00EA1EBF">
        <w:rPr>
          <w:rFonts w:eastAsia="Times New Roman"/>
          <w:color w:val="000000" w:themeColor="text1"/>
          <w:lang w:eastAsia="lv-LV"/>
        </w:rPr>
        <w:t xml:space="preserve">102 </w:t>
      </w:r>
      <w:r w:rsidRPr="005565F8">
        <w:rPr>
          <w:color w:val="000000" w:themeColor="text1"/>
        </w:rPr>
        <w:t>pašvaldībās.</w:t>
      </w:r>
      <w:r w:rsidRPr="005565F8" w:rsidR="00EA1EBF">
        <w:rPr>
          <w:rFonts w:eastAsia="Times New Roman"/>
          <w:color w:val="000000" w:themeColor="text1"/>
          <w:lang w:eastAsia="lv-LV"/>
        </w:rPr>
        <w:t xml:space="preserve"> Kopumā kompensācijām pašvaldībām </w:t>
      </w:r>
      <w:r w:rsidRPr="00A7588E" w:rsidR="00A7588E">
        <w:rPr>
          <w:rFonts w:eastAsia="Times New Roman"/>
          <w:color w:val="000000" w:themeColor="text1"/>
          <w:lang w:eastAsia="lv-LV"/>
        </w:rPr>
        <w:t>2016.gadā un 2017.gadā</w:t>
      </w:r>
      <w:r w:rsidR="00A7588E">
        <w:rPr>
          <w:rFonts w:eastAsia="Times New Roman"/>
          <w:color w:val="000000" w:themeColor="text1"/>
          <w:lang w:eastAsia="lv-LV"/>
        </w:rPr>
        <w:t xml:space="preserve"> </w:t>
      </w:r>
      <w:r w:rsidRPr="005565F8" w:rsidR="00EA1EBF">
        <w:rPr>
          <w:rFonts w:eastAsia="Times New Roman"/>
          <w:color w:val="000000" w:themeColor="text1"/>
          <w:lang w:eastAsia="lv-LV"/>
        </w:rPr>
        <w:t>tika izlietots</w:t>
      </w:r>
      <w:r w:rsidR="00302193">
        <w:rPr>
          <w:rFonts w:eastAsia="Times New Roman"/>
          <w:color w:val="000000" w:themeColor="text1"/>
          <w:lang w:eastAsia="lv-LV"/>
        </w:rPr>
        <w:t xml:space="preserve"> </w:t>
      </w:r>
      <w:r w:rsidRPr="00302193" w:rsidR="00302193">
        <w:rPr>
          <w:rFonts w:eastAsia="Times New Roman"/>
          <w:color w:val="000000" w:themeColor="text1"/>
          <w:lang w:eastAsia="lv-LV"/>
        </w:rPr>
        <w:t>116,7 tūkst</w:t>
      </w:r>
      <w:r w:rsidR="00302193">
        <w:rPr>
          <w:rFonts w:eastAsia="Times New Roman"/>
          <w:color w:val="000000" w:themeColor="text1"/>
          <w:lang w:eastAsia="lv-LV"/>
        </w:rPr>
        <w:t>.</w:t>
      </w:r>
      <w:r w:rsidRPr="00302193" w:rsidR="00302193">
        <w:rPr>
          <w:rFonts w:eastAsia="Times New Roman"/>
          <w:color w:val="000000" w:themeColor="text1"/>
          <w:lang w:eastAsia="lv-LV"/>
        </w:rPr>
        <w:t xml:space="preserve"> EUR, t.sk. </w:t>
      </w:r>
      <w:r w:rsidR="00302193">
        <w:rPr>
          <w:rFonts w:eastAsia="Times New Roman"/>
          <w:color w:val="000000" w:themeColor="text1"/>
          <w:lang w:eastAsia="lv-LV"/>
        </w:rPr>
        <w:t>95</w:t>
      </w:r>
      <w:r w:rsidRPr="005565F8" w:rsidR="00B516A6">
        <w:rPr>
          <w:rFonts w:eastAsia="Times New Roman"/>
          <w:color w:val="000000" w:themeColor="text1"/>
          <w:lang w:eastAsia="lv-LV"/>
        </w:rPr>
        <w:t xml:space="preserve"> tūkst. </w:t>
      </w:r>
      <w:r w:rsidRPr="005565F8" w:rsidR="00EA1EBF">
        <w:rPr>
          <w:rFonts w:eastAsia="Times New Roman"/>
          <w:color w:val="000000" w:themeColor="text1"/>
          <w:lang w:eastAsia="lv-LV"/>
        </w:rPr>
        <w:t>EUR</w:t>
      </w:r>
      <w:r w:rsidR="00302193">
        <w:rPr>
          <w:rFonts w:eastAsia="Times New Roman"/>
          <w:color w:val="000000" w:themeColor="text1"/>
          <w:lang w:eastAsia="lv-LV"/>
        </w:rPr>
        <w:t xml:space="preserve"> </w:t>
      </w:r>
      <w:r w:rsidRPr="005565F8" w:rsidR="00EA1EBF">
        <w:rPr>
          <w:rFonts w:eastAsia="Times New Roman"/>
          <w:color w:val="000000" w:themeColor="text1"/>
          <w:lang w:eastAsia="lv-LV"/>
        </w:rPr>
        <w:t xml:space="preserve">par </w:t>
      </w:r>
      <w:r w:rsidRPr="005565F8" w:rsidR="00EA1EBF">
        <w:rPr>
          <w:rFonts w:eastAsia="Times New Roman"/>
          <w:color w:val="000000" w:themeColor="text1"/>
          <w:lang w:eastAsia="lv-LV"/>
        </w:rPr>
        <w:t>supervīzijām</w:t>
      </w:r>
      <w:r w:rsidRPr="005565F8" w:rsidR="00EA1EBF">
        <w:rPr>
          <w:rFonts w:eastAsia="Times New Roman"/>
          <w:color w:val="000000" w:themeColor="text1"/>
          <w:lang w:eastAsia="lv-LV"/>
        </w:rPr>
        <w:t xml:space="preserve"> un </w:t>
      </w:r>
      <w:r w:rsidR="00302193">
        <w:rPr>
          <w:rFonts w:eastAsia="Times New Roman"/>
          <w:color w:val="000000" w:themeColor="text1"/>
          <w:lang w:eastAsia="lv-LV"/>
        </w:rPr>
        <w:t>21,7</w:t>
      </w:r>
      <w:r w:rsidRPr="005565F8" w:rsidR="00B516A6">
        <w:rPr>
          <w:rFonts w:eastAsia="Times New Roman"/>
          <w:color w:val="000000" w:themeColor="text1"/>
          <w:lang w:eastAsia="lv-LV"/>
        </w:rPr>
        <w:t xml:space="preserve"> tūkst. </w:t>
      </w:r>
      <w:r w:rsidRPr="005565F8" w:rsidR="00EA1EBF">
        <w:rPr>
          <w:rFonts w:eastAsia="Times New Roman"/>
          <w:color w:val="000000" w:themeColor="text1"/>
          <w:lang w:eastAsia="lv-LV"/>
        </w:rPr>
        <w:t xml:space="preserve">EUR par apmācībām. No izlietotās kopsummas ESF finansējums ir </w:t>
      </w:r>
      <w:r w:rsidR="00302193">
        <w:rPr>
          <w:rFonts w:eastAsia="Times New Roman"/>
          <w:color w:val="000000" w:themeColor="text1"/>
          <w:lang w:eastAsia="lv-LV"/>
        </w:rPr>
        <w:t>99,2</w:t>
      </w:r>
      <w:r w:rsidRPr="005565F8" w:rsidR="00B516A6">
        <w:rPr>
          <w:rFonts w:eastAsia="Times New Roman"/>
          <w:color w:val="000000" w:themeColor="text1"/>
          <w:lang w:eastAsia="lv-LV"/>
        </w:rPr>
        <w:t xml:space="preserve"> tūkst. </w:t>
      </w:r>
      <w:r w:rsidRPr="005565F8" w:rsidR="00EA1EBF">
        <w:rPr>
          <w:rFonts w:eastAsia="Times New Roman"/>
          <w:color w:val="000000" w:themeColor="text1"/>
          <w:lang w:eastAsia="lv-LV"/>
        </w:rPr>
        <w:t xml:space="preserve">EUR un valsts budžeta finansējums </w:t>
      </w:r>
      <w:r w:rsidR="00302193">
        <w:rPr>
          <w:rFonts w:eastAsia="Times New Roman"/>
          <w:color w:val="000000" w:themeColor="text1"/>
          <w:lang w:eastAsia="lv-LV"/>
        </w:rPr>
        <w:t>–</w:t>
      </w:r>
      <w:r w:rsidRPr="005565F8" w:rsidR="00B516A6">
        <w:rPr>
          <w:rFonts w:eastAsia="Times New Roman"/>
          <w:color w:val="000000" w:themeColor="text1"/>
          <w:lang w:eastAsia="lv-LV"/>
        </w:rPr>
        <w:t xml:space="preserve"> </w:t>
      </w:r>
      <w:r w:rsidR="00302193">
        <w:rPr>
          <w:rFonts w:eastAsia="Times New Roman"/>
          <w:color w:val="000000" w:themeColor="text1"/>
          <w:lang w:eastAsia="lv-LV"/>
        </w:rPr>
        <w:t>17,5</w:t>
      </w:r>
      <w:r w:rsidRPr="005565F8" w:rsidR="00B516A6">
        <w:rPr>
          <w:rFonts w:eastAsia="Times New Roman"/>
          <w:color w:val="000000" w:themeColor="text1"/>
          <w:lang w:eastAsia="lv-LV"/>
        </w:rPr>
        <w:t xml:space="preserve"> tūkst. </w:t>
      </w:r>
      <w:r w:rsidRPr="005565F8" w:rsidR="00EA1EBF">
        <w:rPr>
          <w:rFonts w:eastAsia="Times New Roman"/>
          <w:color w:val="000000" w:themeColor="text1"/>
          <w:lang w:eastAsia="lv-LV"/>
        </w:rPr>
        <w:t>EUR.</w:t>
      </w:r>
    </w:p>
    <w:p w:rsidR="00CB6A47" w:rsidRPr="005565F8" w:rsidP="00CB6A47" w14:paraId="3CEDA2F4" w14:textId="77777777">
      <w:pPr>
        <w:pStyle w:val="NormalWeb"/>
        <w:spacing w:after="120"/>
        <w:rPr>
          <w:color w:val="000000" w:themeColor="text1"/>
        </w:rPr>
      </w:pPr>
      <w:r w:rsidRPr="005565F8">
        <w:rPr>
          <w:color w:val="000000" w:themeColor="text1"/>
        </w:rPr>
        <w:t xml:space="preserve">Ar ESF atbalstu </w:t>
      </w:r>
      <w:r w:rsidRPr="005565F8">
        <w:rPr>
          <w:color w:val="000000" w:themeColor="text1"/>
        </w:rPr>
        <w:t>deinstitucionalizācijas</w:t>
      </w:r>
      <w:r w:rsidRPr="005565F8">
        <w:rPr>
          <w:color w:val="000000" w:themeColor="text1"/>
        </w:rPr>
        <w:t xml:space="preserve"> (DI) projekti, veicinot audžuģimeņu, aizbildņu un adoptētāju skaita palielināšanos, tiek īstenoti visos Latvijas reģionos un tajos piedalās 115 pašvaldības. DI projektu ietvaros kopumā izvērtētas un atbalsta plāni izstrādāti 4</w:t>
      </w:r>
      <w:r w:rsidRPr="005565F8" w:rsidR="001163A3">
        <w:rPr>
          <w:color w:val="000000" w:themeColor="text1"/>
        </w:rPr>
        <w:t xml:space="preserve">876 </w:t>
      </w:r>
      <w:r w:rsidRPr="005565F8">
        <w:rPr>
          <w:color w:val="000000" w:themeColor="text1"/>
        </w:rPr>
        <w:t xml:space="preserve">mērķa grupas personām (bērniem </w:t>
      </w:r>
      <w:r w:rsidRPr="005565F8">
        <w:rPr>
          <w:color w:val="000000" w:themeColor="text1"/>
        </w:rPr>
        <w:t>ārpusģimenes</w:t>
      </w:r>
      <w:r w:rsidRPr="005565F8">
        <w:rPr>
          <w:color w:val="000000" w:themeColor="text1"/>
        </w:rPr>
        <w:t xml:space="preserve"> aprūpē un bērniem ar funkcionāliem traucējumiem, kuriem noteikta invaliditāte un kuri dzīvo ģimenēs, gan pilngadīgiem cilvēkiem ar garīga rakstura traucējumiem). Visi plānošanas reģioni izstrādā reģionu DI plānus un bērnu aprūpes iestāžu un slēgšanai atbalstīto valsts sociālās aprūpes centru filiāļu reorganizācijas plānus, 2017. gadā notikusi trīs reģionu plānu publiskā apspriešana. </w:t>
      </w:r>
    </w:p>
    <w:p w:rsidR="00CB6A47" w:rsidRPr="005565F8" w:rsidP="00CB6A47" w14:paraId="03913233" w14:textId="77777777">
      <w:pPr>
        <w:pStyle w:val="NormalWeb"/>
        <w:spacing w:after="120"/>
        <w:rPr>
          <w:color w:val="000000" w:themeColor="text1"/>
        </w:rPr>
      </w:pPr>
      <w:r w:rsidRPr="005565F8">
        <w:rPr>
          <w:color w:val="000000" w:themeColor="text1"/>
        </w:rPr>
        <w:t xml:space="preserve">Tāpat ar ESF atbalstu līdz 2021.gadam tiks pilnveidota sociālo pakalpojumu atbalsta sistēma, kuras ietvaros izstrādās un izmēģinās sabiedrībā balstītu sociālo pakalpojumu finansēšanas un atbalsta personas pakalpojuma ieviešanas mehānismus. Projektā plānota finansēšanas mehānismu izmēģināšana sabiedrībā balstītu pakalpojumu sniegšanā bērniem ar funkcionāliem traucējumiem un pilngadīgiem cilvēkiem ar garīga rakstura traucējumiem, praktiskā </w:t>
      </w:r>
      <w:r w:rsidRPr="005565F8">
        <w:rPr>
          <w:color w:val="000000" w:themeColor="text1"/>
        </w:rPr>
        <w:t xml:space="preserve">izmēģināšanā iesaistot 200 pilngadīgus cilvēkus ar garīga rakstura traucējumiem un 100 bērnus ar funkcionāliem traucējumiem. Atbalsta personas pakalpojuma </w:t>
      </w:r>
      <w:r w:rsidRPr="005565F8">
        <w:rPr>
          <w:color w:val="000000" w:themeColor="text1"/>
        </w:rPr>
        <w:t>izmēģinājumprojektā</w:t>
      </w:r>
      <w:r w:rsidRPr="005565F8">
        <w:rPr>
          <w:color w:val="000000" w:themeColor="text1"/>
        </w:rPr>
        <w:t xml:space="preserve"> iesaistīti 330 pilngadīgi cilvēki ar garīga rakstura traucējumiem, tiem nodrošinot atbalstu juridiskajā, finanšu, </w:t>
      </w:r>
      <w:r w:rsidRPr="005565F8">
        <w:rPr>
          <w:color w:val="000000"/>
        </w:rPr>
        <w:t>ikdienas dzīves prasmju apgūšanas un attīstības, veselības aprūpes un sociālās aprūpes jomā, un atbalsta loka veidošanā.</w:t>
      </w:r>
    </w:p>
    <w:p w:rsidR="00CB6A47" w:rsidRPr="005565F8" w:rsidP="00CB6A47" w14:paraId="743F93E8" w14:textId="77777777">
      <w:pPr>
        <w:rPr>
          <w:color w:val="000000" w:themeColor="text1"/>
          <w:lang w:eastAsia="lv-LV"/>
        </w:rPr>
      </w:pPr>
      <w:r w:rsidRPr="005565F8">
        <w:rPr>
          <w:color w:val="000000" w:themeColor="text1"/>
          <w:lang w:eastAsia="lv-LV"/>
        </w:rPr>
        <w:t>Būtisku atbalstu nabadzības un sociālās atstumtības mazināšanai 2014.-2020.gada periodā paredz ES fondu līdzfinansētie pasākumi. 225 milj. EUR jeb 35% no ESF finansējuma paredzēti sociālās iekļaušanas veicināšanai, nabadzību un jebkādas diskriminācijas apkarošanai. Papildus, šim mērķim plānots novirzīti arī 193 milj. EUR jeb 8% no ERAF finansējuma.</w:t>
      </w:r>
    </w:p>
    <w:p w:rsidR="00CB6A47" w:rsidRPr="005565F8" w:rsidP="00CB6A47" w14:paraId="461A3320" w14:textId="77777777">
      <w:pPr>
        <w:rPr>
          <w:rFonts w:eastAsia="Times New Roman"/>
          <w:color w:val="000000" w:themeColor="text1"/>
          <w:lang w:eastAsia="lv-LV"/>
        </w:rPr>
      </w:pPr>
      <w:r w:rsidRPr="005565F8">
        <w:rPr>
          <w:color w:val="000000" w:themeColor="text1"/>
        </w:rPr>
        <w:t xml:space="preserve">Latvijā vistrūcīgāko personu nefinansiālam atbalstam 2014.-2020.gada plānošanas periodā plānots izmantot 48,2 milj. EUR, </w:t>
      </w:r>
      <w:r w:rsidRPr="005565F8" w:rsidR="00D078F1">
        <w:rPr>
          <w:color w:val="000000" w:themeColor="text1"/>
        </w:rPr>
        <w:t>t.sk.</w:t>
      </w:r>
      <w:r w:rsidRPr="005565F8">
        <w:rPr>
          <w:color w:val="000000" w:themeColor="text1"/>
        </w:rPr>
        <w:t xml:space="preserve"> 41 milj. EUR no </w:t>
      </w:r>
      <w:r w:rsidRPr="005565F8">
        <w:rPr>
          <w:i/>
          <w:color w:val="000000" w:themeColor="text1"/>
        </w:rPr>
        <w:t>Eiropas Atbalsta fondu vistrūcīgākajām personām</w:t>
      </w:r>
      <w:r w:rsidRPr="005565F8">
        <w:rPr>
          <w:color w:val="000000" w:themeColor="text1"/>
        </w:rPr>
        <w:t xml:space="preserve"> (turpmāk – EAFVP) finansējuma. </w:t>
      </w:r>
      <w:r w:rsidRPr="005565F8">
        <w:rPr>
          <w:rFonts w:eastAsia="Times New Roman"/>
          <w:color w:val="000000" w:themeColor="text1"/>
          <w:lang w:eastAsia="lv-LV"/>
        </w:rPr>
        <w:t xml:space="preserve">Ar </w:t>
      </w:r>
      <w:r w:rsidRPr="005565F8">
        <w:rPr>
          <w:color w:val="000000" w:themeColor="text1"/>
        </w:rPr>
        <w:t>EAFVP</w:t>
      </w:r>
      <w:r w:rsidRPr="005565F8">
        <w:rPr>
          <w:rFonts w:eastAsia="Times New Roman"/>
          <w:color w:val="000000" w:themeColor="text1"/>
          <w:lang w:eastAsia="lv-LV"/>
        </w:rPr>
        <w:t xml:space="preserve"> atbalstu 2017.</w:t>
      </w:r>
      <w:r w:rsidRPr="005565F8">
        <w:rPr>
          <w:color w:val="000000" w:themeColor="text1"/>
        </w:rPr>
        <w:t xml:space="preserve">gadā 60,5 tūkst. </w:t>
      </w:r>
      <w:r w:rsidRPr="005565F8">
        <w:rPr>
          <w:rFonts w:eastAsia="Times New Roman"/>
          <w:color w:val="000000" w:themeColor="text1"/>
          <w:lang w:eastAsia="lv-LV"/>
        </w:rPr>
        <w:t>trūcīgu cilvēku saņēmuši</w:t>
      </w:r>
      <w:r w:rsidRPr="005565F8">
        <w:rPr>
          <w:color w:val="000000" w:themeColor="text1"/>
        </w:rPr>
        <w:t xml:space="preserve"> </w:t>
      </w:r>
      <w:r w:rsidRPr="005565F8">
        <w:rPr>
          <w:rFonts w:eastAsia="Times New Roman"/>
          <w:color w:val="000000" w:themeColor="text1"/>
          <w:lang w:eastAsia="lv-LV"/>
        </w:rPr>
        <w:t xml:space="preserve">pārtikas preču komplektus, 18,3 tūkst. ģimenēm ar bērniem izdalītas higiēnas un saimniecības preces, 12,2 tūkst. skolēnu trūcīgās ģimenēs saņēmuši mācību piederumu komplektus, savukārt 4,5 tūkst. trūcīgu cilvēku nodrošinātas gatavas maltītes. Ar </w:t>
      </w:r>
      <w:r w:rsidRPr="005565F8">
        <w:rPr>
          <w:color w:val="000000" w:themeColor="text1"/>
        </w:rPr>
        <w:t>EAFVP</w:t>
      </w:r>
      <w:r w:rsidRPr="005565F8">
        <w:rPr>
          <w:rFonts w:eastAsia="Times New Roman"/>
          <w:color w:val="000000" w:themeColor="text1"/>
          <w:lang w:eastAsia="lv-LV"/>
        </w:rPr>
        <w:t xml:space="preserve"> 2017.gadā nodrošināti 1217 papildpasākumi sociālās atstumtības mazināšanai un personu patstāvīgai savu sociālo problēmu risināšanai. Tajos piedalījās 7,9 tūkst. personas. 2017.gadā uzsākta papildu pārtikas preču un higiēnas preču komplektu izdale ģimenēm ar zīdaiņiem un maziem bērniem vecumā līdz 2 gadiem. Pārtikas preču komplektus saņēmušas 0,9 tūkst. ģimenes ar bērniem vecumā līdz 2 gadiem un 1,4 tūkst. ģimenēm izdalīti higiēnas preču komplekti.</w:t>
      </w:r>
    </w:p>
    <w:p w:rsidR="000F3EEF" w:rsidRPr="005565F8" w:rsidP="00CB6A47" w14:paraId="76283899"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073B29" w:rsidRPr="005565F8" w:rsidP="00CB6A47" w14:paraId="00104DF5" w14:textId="77777777">
      <w:pPr>
        <w:rPr>
          <w:color w:val="000000" w:themeColor="text1"/>
        </w:rPr>
      </w:pPr>
    </w:p>
    <w:p w:rsidR="00073B29" w:rsidRPr="005565F8" w:rsidP="00073B29" w14:paraId="0C8B5399"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073B29" w:rsidRPr="005565F8" w:rsidP="00073B29" w14:paraId="5812D2C6"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Ienākumu nevienlīdzības samazināšana</w:t>
      </w:r>
    </w:p>
    <w:p w:rsidR="00073B29" w:rsidRPr="005565F8" w:rsidP="00073B29" w14:paraId="652CD448"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FM, LM/</w:t>
      </w:r>
    </w:p>
    <w:p w:rsidR="000F3EEF" w:rsidRPr="005565F8" w:rsidP="00B22046" w14:paraId="03D8BA6E"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CB6A47" w:rsidRPr="005565F8" w:rsidP="00073B29" w14:paraId="2C74D37F" w14:textId="77777777">
      <w:pPr>
        <w:spacing w:before="240"/>
      </w:pPr>
      <w:r w:rsidRPr="005565F8">
        <w:t>Mērķis ir samazināt nodokļu slogu ekonomiski aktīviem iedzīvotājiem un augstam nabadzības riskam pakļautām iedzīvotāju grupām (īpaši ģimenēm ar bērniem un iedzīvotājiem ar zemiem ienākumiem), kā arī pensionāriem.</w:t>
      </w:r>
    </w:p>
    <w:p w:rsidR="00CB6A47" w:rsidRPr="005565F8" w:rsidP="00CB6A47" w14:paraId="18E27832" w14:textId="77777777">
      <w:pPr>
        <w:rPr>
          <w:rFonts w:eastAsia="Times New Roman"/>
        </w:rPr>
      </w:pPr>
      <w:r w:rsidRPr="005565F8">
        <w:t xml:space="preserve">Ņemot vērā augsto nabadzības un sociālās atstumtības risku pensijas vecuma iedzīvotājiem, 2015.gadā tika veiktas izmaiņas likumā </w:t>
      </w:r>
      <w:r w:rsidRPr="005565F8">
        <w:rPr>
          <w:i/>
        </w:rPr>
        <w:t xml:space="preserve">Par valsts pensijām, </w:t>
      </w:r>
      <w:r w:rsidRPr="005565F8">
        <w:t xml:space="preserve">kas paredz </w:t>
      </w:r>
      <w:r w:rsidRPr="005565F8">
        <w:rPr>
          <w:rFonts w:eastAsia="Times New Roman"/>
          <w:lang w:eastAsia="lv-LV"/>
        </w:rPr>
        <w:t>2016.-2018.gadā pensiju pārskatīšanu personām, kurām no 2010.gada 1.janvāra līdz 2015.gada 31.decembrim piešķirta vai pārrēķināta vecuma, izdienas vai apgādnieka zaudējuma pensija un kuras aprēķinā ir ņemti vērā negatīvie pensijas kapitāla indeksi</w:t>
      </w:r>
      <w:r w:rsidRPr="005565F8">
        <w:rPr>
          <w:rFonts w:eastAsia="Times New Roman"/>
        </w:rPr>
        <w:t>.</w:t>
      </w:r>
    </w:p>
    <w:p w:rsidR="00CB6A47" w:rsidRPr="005565F8" w:rsidP="00CB6A47" w14:paraId="4329CD76" w14:textId="77777777">
      <w:r w:rsidRPr="005565F8">
        <w:rPr>
          <w:rFonts w:eastAsia="Times New Roman"/>
        </w:rPr>
        <w:t>Līdztekus iepriekšminētie likuma grozījumi paredz nākotnē novērst gadījumus, kad ekonomikas lejupslīdes ietekmē būtiski samazinās piešķiramo pensiju apmērs. Likumā iestrādāts arī mehānisms, lai novērstu pārāk strauju pensiju kapitāla pieaugumu ekonomiskās izaugsmes gados.</w:t>
      </w:r>
    </w:p>
    <w:p w:rsidR="002944F2" w:rsidRPr="005565F8" w:rsidP="002944F2" w14:paraId="35BC03A8" w14:textId="77777777">
      <w:r w:rsidRPr="005565F8">
        <w:rPr>
          <w:rFonts w:eastAsia="Times New Roman"/>
        </w:rPr>
        <w:t xml:space="preserve">Lai paaugstinātu pensionāru ienākumu līmeni, </w:t>
      </w:r>
      <w:r w:rsidRPr="005565F8">
        <w:t xml:space="preserve">2018.gadā vecuma pensijām ar lielu apdrošināšanas stāžu pensiju indeksācijā piemēros lielāku daļu no apdrošināšanas iemaksu algu summas reālā pieauguma procentiem. Tas attieksies uz pensionāriem ar vismaz 30 gadu lielu apdrošināšanas stāžu un pensionāriem, kas strādājuši kaitīgos un smagos, vai sevišķi kaitīgos un smagos darba </w:t>
      </w:r>
      <w:r w:rsidRPr="005565F8">
        <w:t>apstākļos. Šīs indeksācijas rezultātā 89% vecuma pensiju saņēmēju paaugstināsies pensijas apmērs.</w:t>
      </w:r>
    </w:p>
    <w:p w:rsidR="00CB6A47" w:rsidRPr="005565F8" w:rsidP="00CB6A47" w14:paraId="08E50B11" w14:textId="77777777">
      <w:pPr>
        <w:pStyle w:val="ListParagraph"/>
        <w:autoSpaceDE w:val="0"/>
        <w:autoSpaceDN w:val="0"/>
        <w:adjustRightInd w:val="0"/>
        <w:ind w:left="0"/>
        <w:rPr>
          <w:rFonts w:eastAsia="Times New Roman"/>
          <w:lang w:eastAsia="lv-LV"/>
        </w:rPr>
      </w:pPr>
      <w:r w:rsidRPr="005565F8">
        <w:rPr>
          <w:rFonts w:eastAsia="Times New Roman"/>
          <w:lang w:eastAsia="lv-LV"/>
        </w:rPr>
        <w:t xml:space="preserve">2018.gadā paaugstināts piemaksas apmērs par vienu apdrošināšanas stāža gadu, </w:t>
      </w:r>
      <w:r w:rsidRPr="005565F8" w:rsidR="004D4D9B">
        <w:rPr>
          <w:rFonts w:eastAsia="Times New Roman"/>
          <w:lang w:eastAsia="lv-LV"/>
        </w:rPr>
        <w:t>kas uzkrāts līdz 1995. gada 31.</w:t>
      </w:r>
      <w:r w:rsidRPr="005565F8">
        <w:rPr>
          <w:rFonts w:eastAsia="Times New Roman"/>
          <w:lang w:eastAsia="lv-LV"/>
        </w:rPr>
        <w:t>decembrim</w:t>
      </w:r>
      <w:r w:rsidRPr="005565F8" w:rsidR="00683BB4">
        <w:rPr>
          <w:rFonts w:eastAsia="Times New Roman"/>
          <w:lang w:eastAsia="lv-LV"/>
        </w:rPr>
        <w:t xml:space="preserve"> personām, kurā</w:t>
      </w:r>
      <w:r w:rsidRPr="005565F8" w:rsidR="004D4D9B">
        <w:rPr>
          <w:rFonts w:eastAsia="Times New Roman"/>
          <w:lang w:eastAsia="lv-LV"/>
        </w:rPr>
        <w:t>m līdz 1995.</w:t>
      </w:r>
      <w:r w:rsidRPr="005565F8" w:rsidR="00683BB4">
        <w:rPr>
          <w:rFonts w:eastAsia="Times New Roman"/>
          <w:lang w:eastAsia="lv-LV"/>
        </w:rPr>
        <w:t>gada beigām bija sasniegts vecuma pensijai nepieciešamais vecums un piešķirta vecuma vai invaliditātes pensija</w:t>
      </w:r>
      <w:r w:rsidRPr="005565F8">
        <w:rPr>
          <w:rFonts w:eastAsia="Times New Roman"/>
          <w:lang w:eastAsia="lv-LV"/>
        </w:rPr>
        <w:t>. Plānotais personu skaits, kas saņems paaugstinātu piemaksu – 34% no visiem vecuma un invaliditātes pensiju saņēmējiem.</w:t>
      </w:r>
    </w:p>
    <w:p w:rsidR="00CB6A47" w:rsidRPr="005565F8" w:rsidP="00CB6A47" w14:paraId="55E64625" w14:textId="77777777">
      <w:pPr>
        <w:rPr>
          <w:rFonts w:eastAsia="Times New Roman"/>
          <w:lang w:eastAsia="lv-LV"/>
        </w:rPr>
      </w:pPr>
      <w:r w:rsidRPr="005565F8">
        <w:rPr>
          <w:rFonts w:eastAsia="Times New Roman"/>
          <w:lang w:eastAsia="lv-LV"/>
        </w:rPr>
        <w:t xml:space="preserve">Kopš 2017.gada valsts sociālā nodrošinājuma pabalstu var saņemt persona, kurai nav tiesību uz valsts pensiju, nav nodarbināta un ir sasniegusi vecuma pensijas piešķiršanai nepieciešamo vecumu. Iepriekš </w:t>
      </w:r>
      <w:r w:rsidRPr="005565F8">
        <w:rPr>
          <w:rFonts w:eastAsia="Times New Roman"/>
          <w:lang w:eastAsia="lv-LV"/>
        </w:rPr>
        <w:t>šo pabalstu piešķīra, ja persona bija par 5 gadiem pārsniegusi vecuma pensijas piešķiršanai nepieciešamo vecumu.</w:t>
      </w:r>
    </w:p>
    <w:p w:rsidR="002944F2" w:rsidRPr="005565F8" w:rsidP="002944F2" w14:paraId="7E1DD167" w14:textId="77777777">
      <w:pPr>
        <w:rPr>
          <w:color w:val="000000" w:themeColor="text1"/>
        </w:rPr>
      </w:pPr>
      <w:r w:rsidRPr="005565F8">
        <w:rPr>
          <w:color w:val="000000" w:themeColor="text1"/>
        </w:rPr>
        <w:t xml:space="preserve">Saeima 2017.gada jūlijā apstiprināja plašu nodokļu reformu, t.sk., </w:t>
      </w:r>
      <w:r w:rsidRPr="005565F8">
        <w:rPr>
          <w:color w:val="000000" w:themeColor="text1"/>
          <w:shd w:val="clear" w:color="auto" w:fill="FFFFFF"/>
        </w:rPr>
        <w:t>darbaspēka nodokļos</w:t>
      </w:r>
      <w:r w:rsidRPr="005565F8">
        <w:rPr>
          <w:color w:val="000000" w:themeColor="text1"/>
        </w:rPr>
        <w:t xml:space="preserve">, kuras viena no prioritātēm ir noteikta </w:t>
      </w:r>
      <w:r w:rsidRPr="005565F8">
        <w:rPr>
          <w:color w:val="000000" w:themeColor="text1"/>
          <w:shd w:val="clear" w:color="auto" w:fill="FFFFFF"/>
        </w:rPr>
        <w:t xml:space="preserve">iedzīvotāju ienākumu nevienlīdzības mazināšana. Kā pasākumus var minēt, piemēram, progresīvā IIN ieviešanu, diferencēta neapliekamā minimuma ieviešanu, pensionāra neapliekamā minimuma paaugstināšanu, </w:t>
      </w:r>
      <w:r w:rsidRPr="005565F8">
        <w:t>atvieglojuma par apgādībā esošu personu paaugstināšanu</w:t>
      </w:r>
      <w:r w:rsidRPr="005565F8">
        <w:rPr>
          <w:color w:val="000000" w:themeColor="text1"/>
          <w:shd w:val="clear" w:color="auto" w:fill="FFFFFF"/>
        </w:rPr>
        <w:t xml:space="preserve"> </w:t>
      </w:r>
      <w:r w:rsidRPr="005565F8">
        <w:rPr>
          <w:i/>
          <w:color w:val="000000" w:themeColor="text1"/>
          <w:shd w:val="clear" w:color="auto" w:fill="FFFFFF"/>
        </w:rPr>
        <w:t>(skat. 2.1.nodaļu)</w:t>
      </w:r>
      <w:r w:rsidRPr="005565F8">
        <w:rPr>
          <w:color w:val="000000" w:themeColor="text1"/>
        </w:rPr>
        <w:t>.</w:t>
      </w:r>
    </w:p>
    <w:p w:rsidR="00CB6A47" w:rsidRPr="005565F8" w:rsidP="00CB6A47" w14:paraId="58F7660F" w14:textId="77777777">
      <w:pPr>
        <w:rPr>
          <w:color w:val="000000" w:themeColor="text1"/>
        </w:rPr>
      </w:pPr>
    </w:p>
    <w:p w:rsidR="000F3EEF" w:rsidRPr="005565F8" w:rsidP="00CB6A47" w14:paraId="26134137"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073B29" w:rsidRPr="005565F8" w:rsidP="00CB6A47" w14:paraId="4BB9A6CF" w14:textId="77777777">
      <w:pPr>
        <w:rPr>
          <w:color w:val="000000" w:themeColor="text1"/>
        </w:rPr>
      </w:pPr>
    </w:p>
    <w:p w:rsidR="00073B29" w:rsidRPr="005565F8" w:rsidP="00073B29" w14:paraId="2C412625"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Nabadzības un sociālās atstumtības riskam pakļauto personu līdzdalības darba tirgū veicināšana</w:t>
      </w:r>
    </w:p>
    <w:p w:rsidR="00073B29" w:rsidRPr="005565F8" w:rsidP="00073B29" w14:paraId="5A613634"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w:t>
      </w:r>
    </w:p>
    <w:p w:rsidR="000F3EEF" w:rsidRPr="005565F8" w:rsidP="00B22046" w14:paraId="5E693DC8"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CB6A47" w:rsidRPr="005565F8" w:rsidP="00073B29" w14:paraId="06741A25" w14:textId="77777777">
      <w:pPr>
        <w:spacing w:before="240"/>
        <w:rPr>
          <w:lang w:eastAsia="lv-LV"/>
        </w:rPr>
      </w:pPr>
      <w:r w:rsidRPr="005565F8">
        <w:rPr>
          <w:lang w:eastAsia="lv-LV"/>
        </w:rPr>
        <w:t xml:space="preserve">Lai sekmētu personu nabadzības un sociālās atstumtības riskam pakļauto personu atgriešanos vai iekļaušanos darba tirgū, tiek īstenoti ADTP pasākumi, nodrošinot valsts līdzfinansētās darbavietas. Kopumā 2017.gadā no jauna izveidotas 1 144 subsidētas darbavietas (ieskaitot </w:t>
      </w:r>
      <w:r w:rsidRPr="005565F8">
        <w:rPr>
          <w:i/>
          <w:lang w:eastAsia="lv-LV"/>
        </w:rPr>
        <w:t>Jauniešu garantijas</w:t>
      </w:r>
      <w:r w:rsidRPr="005565F8">
        <w:rPr>
          <w:lang w:eastAsia="lv-LV"/>
        </w:rPr>
        <w:t xml:space="preserve"> projektu), t.sk., 413 darba vietas bezdarbniekiem ar invaliditāti. Subsidēto darbavietu nodrošināšanai bezdarbniekiem 2017.gadā izlietotais finansējums bija </w:t>
      </w:r>
      <w:r w:rsidRPr="005565F8">
        <w:t xml:space="preserve">8,2 milj. </w:t>
      </w:r>
      <w:r w:rsidRPr="005565F8">
        <w:rPr>
          <w:lang w:eastAsia="lv-LV"/>
        </w:rPr>
        <w:t>EUR</w:t>
      </w:r>
      <w:r w:rsidRPr="005565F8" w:rsidR="00024432">
        <w:rPr>
          <w:lang w:eastAsia="lv-LV"/>
        </w:rPr>
        <w:t xml:space="preserve">, </w:t>
      </w:r>
      <w:r w:rsidRPr="005565F8" w:rsidR="00C14C8D">
        <w:rPr>
          <w:lang w:eastAsia="lv-LV"/>
        </w:rPr>
        <w:t>t.sk.</w:t>
      </w:r>
      <w:r w:rsidRPr="005565F8" w:rsidR="00024432">
        <w:rPr>
          <w:lang w:eastAsia="lv-LV"/>
        </w:rPr>
        <w:t xml:space="preserve"> ESF līdzfinansējums </w:t>
      </w:r>
      <w:r w:rsidRPr="005565F8" w:rsidR="004D4D9B">
        <w:rPr>
          <w:lang w:eastAsia="lv-LV"/>
        </w:rPr>
        <w:t xml:space="preserve">- </w:t>
      </w:r>
      <w:r w:rsidRPr="005565F8" w:rsidR="00024432">
        <w:rPr>
          <w:lang w:eastAsia="lv-LV"/>
        </w:rPr>
        <w:t>7 milj.</w:t>
      </w:r>
      <w:r w:rsidRPr="005565F8" w:rsidR="0063429E">
        <w:rPr>
          <w:lang w:eastAsia="lv-LV"/>
        </w:rPr>
        <w:t xml:space="preserve"> </w:t>
      </w:r>
      <w:r w:rsidRPr="005565F8">
        <w:t>EUR.</w:t>
      </w:r>
      <w:r w:rsidRPr="005565F8">
        <w:rPr>
          <w:lang w:eastAsia="lv-LV"/>
        </w:rPr>
        <w:t xml:space="preserve"> Kopumā ESF projekta </w:t>
      </w:r>
      <w:r w:rsidRPr="005565F8">
        <w:rPr>
          <w:i/>
          <w:lang w:eastAsia="lv-LV"/>
        </w:rPr>
        <w:t>„Subsidētās darbavietas bezdarbniekiem”</w:t>
      </w:r>
      <w:r w:rsidRPr="005565F8">
        <w:rPr>
          <w:lang w:eastAsia="lv-LV"/>
        </w:rPr>
        <w:t xml:space="preserve"> ietvaros no 2015.gada februāra līdz 2017.gada beigām ir izveidotas 2074 subsidētās darbavietas, no tām Latgales reģionā </w:t>
      </w:r>
      <w:r w:rsidRPr="005565F8" w:rsidR="00A83A0A">
        <w:rPr>
          <w:lang w:eastAsia="lv-LV"/>
        </w:rPr>
        <w:t>–</w:t>
      </w:r>
      <w:r w:rsidRPr="005565F8">
        <w:rPr>
          <w:lang w:eastAsia="lv-LV"/>
        </w:rPr>
        <w:t xml:space="preserve"> 960 darbavietas. Šajā laikā atbalstu saņēmuši 2434 bezdarbnieki, t.sk., 645 bezdarbnieki ar invaliditāti.</w:t>
      </w:r>
    </w:p>
    <w:p w:rsidR="00CB6A47" w:rsidRPr="005565F8" w:rsidP="00951581" w14:paraId="2F1BB3EA" w14:textId="77777777">
      <w:pPr>
        <w:rPr>
          <w:rFonts w:eastAsia="Times New Roman"/>
        </w:rPr>
      </w:pPr>
      <w:r w:rsidRPr="005565F8">
        <w:rPr>
          <w:rFonts w:eastAsia="Times New Roman"/>
        </w:rPr>
        <w:t>2017.gadā subsidētās nodarbinātības pasākumi tika papildināti ar jaunu pakalpojumu veidu bezdarbniekiem ar garīga rakstura traucējumiem – atbalsta persona darbā, kas palīdzēs minētajiem cilvēkiem iekļauties darbavietā. Proti, piedalīties pārrunās ar darba devēju, sniegt atbalstu darba vadītāja norādīto darba uzdevumu apguvē un izpildē, veidot komunikāciju ar darba devēju, darba vadītāju un darba kolēģiem, kā arī sniegs psiholoģisku un motivējošu atbalstu.</w:t>
      </w:r>
    </w:p>
    <w:p w:rsidR="00CB6A47" w:rsidRPr="005565F8" w:rsidP="00CB6A47" w14:paraId="54D1F3DE" w14:textId="77777777">
      <w:pPr>
        <w:pStyle w:val="NormalWeb"/>
        <w:spacing w:after="120"/>
        <w:rPr>
          <w:color w:val="000000" w:themeColor="text1"/>
        </w:rPr>
      </w:pPr>
      <w:r w:rsidRPr="005565F8">
        <w:rPr>
          <w:color w:val="000000" w:themeColor="text1"/>
        </w:rPr>
        <w:t xml:space="preserve">ESF līdzfinansēta pasākuma </w:t>
      </w:r>
      <w:r w:rsidRPr="005565F8">
        <w:rPr>
          <w:i/>
          <w:color w:val="000000" w:themeColor="text1"/>
        </w:rPr>
        <w:t>Profesionālā rehabilitācija</w:t>
      </w:r>
      <w:r w:rsidRPr="005565F8">
        <w:rPr>
          <w:color w:val="000000" w:themeColor="text1"/>
        </w:rPr>
        <w:t xml:space="preserve"> ietvaros 2017.gadā licencētas 5 jaunas, darba tirgus pieprasījumam </w:t>
      </w:r>
      <w:r w:rsidRPr="005565F8">
        <w:t>atbilstošas profesionālās rehabilitācijas tālākizglītības programmas personām ar smagu invaliditāti un 35 neformālās izglītības prasmju apmācības programmas personām ar garīga rakstura traucējumiem</w:t>
      </w:r>
      <w:r w:rsidRPr="005565F8">
        <w:rPr>
          <w:color w:val="000000" w:themeColor="text1"/>
        </w:rPr>
        <w:t xml:space="preserve">. </w:t>
      </w:r>
      <w:r w:rsidRPr="005565F8">
        <w:t xml:space="preserve">Lai apgūtu izglītības programmās noteiktās prasības, mācību laikā tiek veikta virkne atbalsta pasākumu. </w:t>
      </w:r>
      <w:r w:rsidRPr="005565F8">
        <w:rPr>
          <w:color w:val="000000" w:themeColor="text1"/>
        </w:rPr>
        <w:t xml:space="preserve">Paralēli noris darbs </w:t>
      </w:r>
      <w:r w:rsidRPr="005565F8">
        <w:rPr>
          <w:color w:val="000000" w:themeColor="text1"/>
        </w:rPr>
        <w:t xml:space="preserve">pie profesionālās piemērotības noteikšanas sistēmas pilnveidošanas atbilstoši </w:t>
      </w:r>
      <w:r w:rsidRPr="005565F8">
        <w:rPr>
          <w:color w:val="000000" w:themeColor="text1"/>
        </w:rPr>
        <w:t>mērķgrupas</w:t>
      </w:r>
      <w:r w:rsidRPr="005565F8">
        <w:rPr>
          <w:color w:val="000000" w:themeColor="text1"/>
        </w:rPr>
        <w:t xml:space="preserve"> vajadzībām. Kopējais finansējums pasākuma īstenošanai – 1,25 milj. EUR, t.sk. ESF līdzfinansējums – 1,06 milj. EUR</w:t>
      </w:r>
      <w:r w:rsidRPr="005565F8" w:rsidR="00257FBF">
        <w:rPr>
          <w:color w:val="000000" w:themeColor="text1"/>
        </w:rPr>
        <w:t>, no tiem 2017.g</w:t>
      </w:r>
      <w:r w:rsidRPr="005565F8" w:rsidR="002B2F21">
        <w:rPr>
          <w:color w:val="000000" w:themeColor="text1"/>
        </w:rPr>
        <w:t>adā  kopējais finansējums 0,32</w:t>
      </w:r>
      <w:r w:rsidRPr="005565F8" w:rsidR="00257FBF">
        <w:rPr>
          <w:color w:val="000000" w:themeColor="text1"/>
        </w:rPr>
        <w:t xml:space="preserve"> milj. EUR, </w:t>
      </w:r>
      <w:r w:rsidRPr="005565F8" w:rsidR="00C14C8D">
        <w:rPr>
          <w:color w:val="000000" w:themeColor="text1"/>
        </w:rPr>
        <w:t>t.sk.</w:t>
      </w:r>
      <w:r w:rsidRPr="005565F8" w:rsidR="00257FBF">
        <w:rPr>
          <w:color w:val="000000" w:themeColor="text1"/>
        </w:rPr>
        <w:t xml:space="preserve"> ESF līdzfinansē</w:t>
      </w:r>
      <w:r w:rsidRPr="005565F8" w:rsidR="002B2F21">
        <w:rPr>
          <w:color w:val="000000" w:themeColor="text1"/>
        </w:rPr>
        <w:t>jums –0,27</w:t>
      </w:r>
      <w:r w:rsidRPr="005565F8" w:rsidR="00257FBF">
        <w:rPr>
          <w:color w:val="000000" w:themeColor="text1"/>
        </w:rPr>
        <w:t xml:space="preserve"> milj. EUR</w:t>
      </w:r>
      <w:r w:rsidRPr="005565F8">
        <w:rPr>
          <w:color w:val="000000" w:themeColor="text1"/>
        </w:rPr>
        <w:t xml:space="preserve">. </w:t>
      </w:r>
    </w:p>
    <w:p w:rsidR="00CB6A47" w:rsidRPr="005565F8" w:rsidP="00CB6A47" w14:paraId="15858004" w14:textId="77777777">
      <w:pPr>
        <w:rPr>
          <w:rFonts w:eastAsia="Times New Roman"/>
        </w:rPr>
      </w:pPr>
      <w:r w:rsidRPr="005565F8">
        <w:rPr>
          <w:rFonts w:eastAsia="Times New Roman"/>
        </w:rPr>
        <w:t>Lai uzlabotu NVA sniegto pakalpojumu pieejamību personām ar invaliditāti,</w:t>
      </w:r>
      <w:r w:rsidRPr="005565F8" w:rsidR="00A83A0A">
        <w:rPr>
          <w:rFonts w:eastAsia="Times New Roman"/>
        </w:rPr>
        <w:t xml:space="preserve"> tiek nodrošināts arī</w:t>
      </w:r>
      <w:r w:rsidRPr="005565F8">
        <w:rPr>
          <w:rFonts w:eastAsia="Times New Roman"/>
        </w:rPr>
        <w:t xml:space="preserve"> </w:t>
      </w:r>
      <w:r w:rsidRPr="005565F8">
        <w:rPr>
          <w:rFonts w:eastAsia="Times New Roman"/>
        </w:rPr>
        <w:t>surdotulka</w:t>
      </w:r>
      <w:r w:rsidRPr="005565F8">
        <w:rPr>
          <w:rFonts w:eastAsia="Times New Roman"/>
        </w:rPr>
        <w:t xml:space="preserve"> pakalpojum</w:t>
      </w:r>
      <w:r w:rsidRPr="005565F8" w:rsidR="00A83A0A">
        <w:rPr>
          <w:rFonts w:eastAsia="Times New Roman"/>
        </w:rPr>
        <w:t>s</w:t>
      </w:r>
      <w:r w:rsidRPr="005565F8">
        <w:rPr>
          <w:rFonts w:eastAsia="Times New Roman"/>
        </w:rPr>
        <w:t xml:space="preserve"> </w:t>
      </w:r>
      <w:r w:rsidRPr="005565F8" w:rsidR="00A83A0A">
        <w:rPr>
          <w:rFonts w:eastAsia="Times New Roman"/>
        </w:rPr>
        <w:t>ADTP</w:t>
      </w:r>
      <w:r w:rsidRPr="005565F8">
        <w:rPr>
          <w:rFonts w:eastAsia="Times New Roman"/>
        </w:rPr>
        <w:t xml:space="preserve"> laikā.</w:t>
      </w:r>
    </w:p>
    <w:p w:rsidR="00CB6A47" w:rsidRPr="005565F8" w:rsidP="00CB6A47" w14:paraId="3D8CD04D" w14:textId="77777777">
      <w:pPr>
        <w:rPr>
          <w:rFonts w:eastAsia="Times New Roman"/>
        </w:rPr>
      </w:pPr>
      <w:r w:rsidRPr="005565F8">
        <w:t>NVA karjeras konsultanti veic ieslodzījumā esošo personu karjeras konsultēšanu 6 ieslodzījuma vietās:</w:t>
      </w:r>
      <w:r w:rsidRPr="005565F8">
        <w:rPr>
          <w:color w:val="FF0000"/>
        </w:rPr>
        <w:t xml:space="preserve"> </w:t>
      </w:r>
      <w:r w:rsidRPr="005565F8">
        <w:t>Kopumā karjeras konsultācijas saņēmušas 750 ieslodzījumā esošās personas.</w:t>
      </w:r>
    </w:p>
    <w:p w:rsidR="00CB6A47" w:rsidRPr="005565F8" w:rsidP="00CB6A47" w14:paraId="2E9B4560" w14:textId="64E6B8AC">
      <w:pPr>
        <w:rPr>
          <w:rFonts w:eastAsia="Times New Roman"/>
        </w:rPr>
      </w:pPr>
      <w:r w:rsidRPr="005565F8">
        <w:rPr>
          <w:rFonts w:eastAsia="Times New Roman"/>
        </w:rPr>
        <w:t xml:space="preserve">Sākot ar 2016.gada 4.ceturksni līdz 2022.gada beigām, ESF līdzfinansēta projekta </w:t>
      </w:r>
      <w:r w:rsidRPr="005565F8" w:rsidR="00DE22E1">
        <w:rPr>
          <w:rFonts w:eastAsia="Times New Roman"/>
          <w:i/>
        </w:rPr>
        <w:t>“</w:t>
      </w:r>
      <w:r w:rsidRPr="005565F8">
        <w:rPr>
          <w:rFonts w:eastAsia="Times New Roman"/>
          <w:i/>
        </w:rPr>
        <w:t>Atbalsts sociālajai uzņēmējdarbībai</w:t>
      </w:r>
      <w:r w:rsidRPr="005565F8" w:rsidR="00DE22E1">
        <w:rPr>
          <w:rFonts w:eastAsia="Times New Roman"/>
          <w:i/>
        </w:rPr>
        <w:t>”</w:t>
      </w:r>
      <w:r w:rsidRPr="005565F8">
        <w:rPr>
          <w:rFonts w:eastAsia="Times New Roman"/>
        </w:rPr>
        <w:t xml:space="preserve"> ietvaros t</w:t>
      </w:r>
      <w:r w:rsidRPr="005565F8" w:rsidR="00DE22E1">
        <w:rPr>
          <w:rFonts w:eastAsia="Times New Roman"/>
        </w:rPr>
        <w:t>iek</w:t>
      </w:r>
      <w:r w:rsidRPr="005565F8">
        <w:rPr>
          <w:rFonts w:eastAsia="Times New Roman"/>
        </w:rPr>
        <w:t xml:space="preserve"> sniegts atbalsts sociālās uzņēmējdarbības veicējiem, </w:t>
      </w:r>
      <w:r w:rsidRPr="005565F8" w:rsidR="00DE22E1">
        <w:rPr>
          <w:rFonts w:eastAsia="Times New Roman"/>
        </w:rPr>
        <w:t>t.sk.</w:t>
      </w:r>
      <w:r w:rsidRPr="005565F8">
        <w:rPr>
          <w:rFonts w:eastAsia="Times New Roman"/>
        </w:rPr>
        <w:t xml:space="preserve"> tiem, kas veiks darba integrācijas pasākumus, veicinot konkrētu mērķa grupu (ilgstošie bezdarbnieki, gados vecāki bezdarbnieki (vecāki par 54 gadiem), bezdarbnieki, kuriem ir apgādājamie, bezdarbnieki ar invaliditāti, personas ar invaliditāti un personas ar garīga rakstura traucējumiem) nodarbinātības veicināšanu sociālajos uzņēmumos. Minētajā laika posmā pasākuma ietvaros plānota sociālo uzņēmumu atbalsta sistēmas izstrāde un ieviešana, t.sk. finanšu atbalsta sniegšana sociālajiem uzņēmumiem. 2017.gadā dalībai projektā pieteikušies 58 </w:t>
      </w:r>
      <w:r w:rsidRPr="005565F8" w:rsidR="00F36D69">
        <w:rPr>
          <w:rFonts w:eastAsia="Times New Roman"/>
        </w:rPr>
        <w:t>sociālās uzņēmējdarbības veicēji</w:t>
      </w:r>
      <w:r w:rsidRPr="005565F8">
        <w:rPr>
          <w:rFonts w:eastAsia="Times New Roman"/>
        </w:rPr>
        <w:t xml:space="preserve">. Kopējais finansējums projekta īstenošanai – 14,9 milj. EUR, t.sk. ESF līdzfinansējums – 12,7 milj. EUR. </w:t>
      </w:r>
      <w:r w:rsidRPr="005565F8" w:rsidR="00F36D69">
        <w:rPr>
          <w:rFonts w:eastAsia="Times New Roman"/>
        </w:rPr>
        <w:t xml:space="preserve">Tā kā pašu sociālās uzņēmējdarbības veicēju reģistrācija sākusies 2017.gada jūlijā un ir nepieciešams zināms laiks biznesa plānu sagatavošanai, izvērtēšanai un līgumu noslēgšanai, tad </w:t>
      </w:r>
      <w:r w:rsidRPr="005565F8" w:rsidR="00F36D69">
        <w:rPr>
          <w:rFonts w:eastAsia="Times New Roman"/>
        </w:rPr>
        <w:t>grantu</w:t>
      </w:r>
      <w:r w:rsidRPr="005565F8" w:rsidR="00F36D69">
        <w:rPr>
          <w:rFonts w:eastAsia="Times New Roman"/>
        </w:rPr>
        <w:t xml:space="preserve"> izsniegšana plānota sākot ar 2018.gadu</w:t>
      </w:r>
      <w:r w:rsidRPr="005565F8" w:rsidR="00994EDA">
        <w:rPr>
          <w:rFonts w:eastAsia="Times New Roman"/>
        </w:rPr>
        <w:t>.</w:t>
      </w:r>
    </w:p>
    <w:p w:rsidR="000F3EEF" w:rsidRPr="005565F8" w:rsidP="00CB6A47" w14:paraId="15C13A9C" w14:textId="77777777">
      <w:pPr>
        <w:rPr>
          <w:rFonts w:eastAsia="Times New Roman"/>
        </w:rPr>
        <w:sectPr w:rsidSect="005D1AD0">
          <w:type w:val="continuous"/>
          <w:pgSz w:w="11906" w:h="16838" w:code="9"/>
          <w:pgMar w:top="1134" w:right="1134" w:bottom="1134" w:left="1134" w:header="709" w:footer="567" w:gutter="0"/>
          <w:cols w:num="2" w:space="340"/>
          <w:titlePg/>
          <w:docGrid w:linePitch="360"/>
        </w:sectPr>
      </w:pPr>
    </w:p>
    <w:p w:rsidR="00073B29" w:rsidRPr="005565F8" w:rsidP="00CB6A47" w14:paraId="30F23822" w14:textId="77777777">
      <w:pPr>
        <w:rPr>
          <w:rFonts w:eastAsia="Times New Roman"/>
        </w:rPr>
      </w:pPr>
    </w:p>
    <w:p w:rsidR="002D47FA" w14:paraId="0B10B102" w14:textId="77777777">
      <w:pPr>
        <w:spacing w:after="0"/>
        <w:rPr>
          <w:rFonts w:ascii="Calibri Light" w:hAnsi="Calibri Light"/>
          <w:b/>
          <w:color w:val="228B9D"/>
          <w:sz w:val="24"/>
        </w:rPr>
      </w:pPr>
      <w:r>
        <w:rPr>
          <w:rFonts w:ascii="Calibri Light" w:hAnsi="Calibri Light"/>
          <w:b/>
          <w:color w:val="228B9D"/>
          <w:sz w:val="24"/>
        </w:rPr>
        <w:br w:type="page"/>
      </w:r>
    </w:p>
    <w:p w:rsidR="00073B29" w:rsidRPr="005565F8" w:rsidP="00073B29" w14:paraId="57603270" w14:textId="127E1C4F">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Diskriminācijas draudu un stereotipu mazināšana, kā arī pilsoniskās līdzdalības veicināšana</w:t>
      </w:r>
    </w:p>
    <w:p w:rsidR="00073B29" w:rsidRPr="005565F8" w:rsidP="00073B29" w14:paraId="207BD47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KM/</w:t>
      </w:r>
    </w:p>
    <w:p w:rsidR="000F3EEF" w:rsidRPr="005565F8" w:rsidP="00B22046" w14:paraId="4992DB02"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CB6A47" w:rsidRPr="005565F8" w:rsidP="00073B29" w14:paraId="21E8A648" w14:textId="77777777">
      <w:pPr>
        <w:spacing w:before="240"/>
        <w:rPr>
          <w:color w:val="000000" w:themeColor="text1"/>
        </w:rPr>
      </w:pPr>
      <w:r w:rsidRPr="005565F8">
        <w:rPr>
          <w:color w:val="000000" w:themeColor="text1"/>
        </w:rPr>
        <w:t xml:space="preserve">Mērķis ir nodrošināt atbalsta pasākumus, kas ļauj aktīvi piedalīties visos Eiropas sabiedrības dzīves aspektos sociālās atstumtības riskam pakļautajām iedzīvotāju grupām, t.sk. </w:t>
      </w:r>
      <w:r w:rsidRPr="005565F8">
        <w:rPr>
          <w:color w:val="000000" w:themeColor="text1"/>
        </w:rPr>
        <w:t>romiem</w:t>
      </w:r>
      <w:r w:rsidRPr="005565F8">
        <w:rPr>
          <w:color w:val="000000" w:themeColor="text1"/>
        </w:rPr>
        <w:t>, trešo valstu pilsoņiem ar dažādu kultūru, reliģiju, valodu un etnisko izcelsmi, kā arī personām, kas ir atstumtas nabadzības vai reģionālās nošķirtības dēļ. Mērķa īstenošana tiek veikta, stiprinot un veicinot dažādas pilsoniskās līdzdalības formas, kā arī ierobežojot visu veidu diskrimināciju.</w:t>
      </w:r>
    </w:p>
    <w:p w:rsidR="00E312DA" w:rsidRPr="005565F8" w:rsidP="00CB6A47" w14:paraId="753FE7BA" w14:textId="77777777">
      <w:r w:rsidRPr="005565F8">
        <w:t xml:space="preserve">Ar </w:t>
      </w:r>
      <w:r w:rsidRPr="005565F8" w:rsidR="00DE22E1">
        <w:t>EK</w:t>
      </w:r>
      <w:r w:rsidRPr="005565F8">
        <w:t xml:space="preserve"> atbalstu 2017.gadā tika īstenots projekts </w:t>
      </w:r>
      <w:r w:rsidRPr="005565F8">
        <w:rPr>
          <w:i/>
        </w:rPr>
        <w:t xml:space="preserve">„Latvijas </w:t>
      </w:r>
      <w:r w:rsidRPr="005565F8">
        <w:rPr>
          <w:i/>
        </w:rPr>
        <w:t>romu</w:t>
      </w:r>
      <w:r w:rsidRPr="005565F8">
        <w:rPr>
          <w:i/>
        </w:rPr>
        <w:t xml:space="preserve"> platforma I: dialogs, sadarbība un iesaistīšana”</w:t>
      </w:r>
      <w:r w:rsidRPr="005565F8">
        <w:t xml:space="preserve">, </w:t>
      </w:r>
      <w:r w:rsidRPr="005565F8">
        <w:rPr>
          <w:rFonts w:eastAsia="Times New Roman"/>
          <w:lang w:eastAsia="lv-LV"/>
        </w:rPr>
        <w:t>lai veicinātu</w:t>
      </w:r>
      <w:r w:rsidRPr="005565F8">
        <w:t xml:space="preserve"> sadarbību un dialogu starp </w:t>
      </w:r>
      <w:r w:rsidRPr="005565F8">
        <w:t>romu</w:t>
      </w:r>
      <w:r w:rsidRPr="005565F8">
        <w:t xml:space="preserve"> pilsonisko sabiedrību, valsts un pašvaldību iestāžu pārstāvjiem un sociālajiem partneriem, </w:t>
      </w:r>
      <w:r w:rsidRPr="005565F8">
        <w:rPr>
          <w:rFonts w:eastAsia="Times New Roman"/>
          <w:lang w:eastAsia="lv-LV"/>
        </w:rPr>
        <w:t>kā arī</w:t>
      </w:r>
      <w:r w:rsidRPr="005565F8">
        <w:t xml:space="preserve"> nodrošinātu plašāku iesaistīto personu efektīvu līdzdalību un </w:t>
      </w:r>
      <w:r w:rsidRPr="005565F8">
        <w:t>romu</w:t>
      </w:r>
      <w:r w:rsidRPr="005565F8">
        <w:t xml:space="preserve"> integrācijas politikas pasākumu kopuma labāku koordināciju un ieviešanu. Projekta kopējais finansējums ir 30,6 tūkst. EUR, </w:t>
      </w:r>
      <w:r w:rsidRPr="005565F8">
        <w:rPr>
          <w:lang w:eastAsia="en-GB"/>
        </w:rPr>
        <w:t xml:space="preserve">t.sk. EK finansējums </w:t>
      </w:r>
      <w:r w:rsidRPr="005565F8">
        <w:t xml:space="preserve">29 tūkst. </w:t>
      </w:r>
      <w:r w:rsidRPr="005565F8">
        <w:t>EUR</w:t>
      </w:r>
      <w:r w:rsidRPr="005565F8">
        <w:t xml:space="preserve">. </w:t>
      </w:r>
      <w:r w:rsidRPr="005565F8">
        <w:rPr>
          <w:rFonts w:eastAsia="Times New Roman"/>
        </w:rPr>
        <w:t>Kopumā projekta pasākumos iesaistījās vairāk nekā 400 dalībnieku</w:t>
      </w:r>
      <w:r w:rsidRPr="005565F8">
        <w:t>.</w:t>
      </w:r>
    </w:p>
    <w:p w:rsidR="00CB6A47" w:rsidRPr="005565F8" w:rsidP="00CB6A47" w14:paraId="2FA9C707" w14:textId="77777777">
      <w:pPr>
        <w:rPr>
          <w:color w:val="000000" w:themeColor="text1"/>
        </w:rPr>
      </w:pPr>
      <w:r w:rsidRPr="005565F8">
        <w:t xml:space="preserve">2018.gadā </w:t>
      </w:r>
      <w:r w:rsidRPr="005565F8">
        <w:rPr>
          <w:rFonts w:eastAsia="Times New Roman"/>
          <w:lang w:eastAsia="lv-LV"/>
        </w:rPr>
        <w:t xml:space="preserve">Latvijas </w:t>
      </w:r>
      <w:r w:rsidRPr="005565F8">
        <w:rPr>
          <w:rFonts w:eastAsia="Times New Roman"/>
          <w:lang w:eastAsia="lv-LV"/>
        </w:rPr>
        <w:t>romu</w:t>
      </w:r>
      <w:r w:rsidRPr="005565F8">
        <w:rPr>
          <w:rFonts w:eastAsia="Times New Roman"/>
          <w:lang w:eastAsia="lv-LV"/>
        </w:rPr>
        <w:t xml:space="preserve"> platformas </w:t>
      </w:r>
      <w:r w:rsidRPr="005565F8">
        <w:t xml:space="preserve">pasākumi tiek turpināti projekta </w:t>
      </w:r>
      <w:r w:rsidRPr="005565F8">
        <w:rPr>
          <w:rFonts w:eastAsia="Times New Roman"/>
          <w:i/>
          <w:lang w:eastAsia="lv-LV"/>
        </w:rPr>
        <w:t xml:space="preserve">„Latvijas </w:t>
      </w:r>
      <w:r w:rsidRPr="005565F8">
        <w:rPr>
          <w:rFonts w:eastAsia="Times New Roman"/>
          <w:i/>
          <w:lang w:eastAsia="lv-LV"/>
        </w:rPr>
        <w:t>romu</w:t>
      </w:r>
      <w:r w:rsidRPr="005565F8">
        <w:rPr>
          <w:rFonts w:eastAsia="Times New Roman"/>
          <w:i/>
          <w:lang w:eastAsia="lv-LV"/>
        </w:rPr>
        <w:t xml:space="preserve"> platforma II: </w:t>
      </w:r>
      <w:r w:rsidRPr="005565F8">
        <w:rPr>
          <w:bCs/>
          <w:i/>
        </w:rPr>
        <w:t xml:space="preserve">dialogs, </w:t>
      </w:r>
      <w:r w:rsidRPr="005565F8">
        <w:rPr>
          <w:i/>
        </w:rPr>
        <w:t>līdzdalība</w:t>
      </w:r>
      <w:r w:rsidRPr="005565F8">
        <w:rPr>
          <w:bCs/>
          <w:i/>
        </w:rPr>
        <w:t xml:space="preserve"> un </w:t>
      </w:r>
      <w:r w:rsidRPr="005565F8">
        <w:rPr>
          <w:rStyle w:val="shorttext"/>
          <w:i/>
        </w:rPr>
        <w:t>savstarpēja mācīšanās</w:t>
      </w:r>
      <w:r w:rsidRPr="005565F8">
        <w:rPr>
          <w:rFonts w:eastAsia="Times New Roman"/>
          <w:i/>
          <w:lang w:eastAsia="lv-LV"/>
        </w:rPr>
        <w:t>”</w:t>
      </w:r>
      <w:r w:rsidRPr="005565F8">
        <w:rPr>
          <w:rFonts w:eastAsia="Times New Roman"/>
          <w:lang w:eastAsia="lv-LV"/>
        </w:rPr>
        <w:t xml:space="preserve"> ietvaros, kura </w:t>
      </w:r>
      <w:r w:rsidRPr="005565F8">
        <w:rPr>
          <w:lang w:eastAsia="en-GB"/>
        </w:rPr>
        <w:t>kopējais finansējums</w:t>
      </w:r>
      <w:r w:rsidRPr="005565F8">
        <w:t xml:space="preserve"> ir 63,1 tūkst. EUR, </w:t>
      </w:r>
      <w:r w:rsidRPr="005565F8">
        <w:rPr>
          <w:lang w:eastAsia="en-GB"/>
        </w:rPr>
        <w:t xml:space="preserve">t.sk. EK finansējums </w:t>
      </w:r>
      <w:r w:rsidRPr="005565F8">
        <w:t>60 tūkst. EUR.</w:t>
      </w:r>
    </w:p>
    <w:p w:rsidR="00CB6A47" w:rsidRPr="005565F8" w:rsidP="00CB6A47" w14:paraId="1F452625" w14:textId="77777777">
      <w:r w:rsidRPr="005565F8">
        <w:t xml:space="preserve">Lai veicinātu sabiedrības integrāciju un pilsoniskās sabiedrības līdzdalību politikas īstenošanā, atklāta </w:t>
      </w:r>
      <w:r w:rsidRPr="005565F8">
        <w:t xml:space="preserve">projektu konkursa ietvaros regulāri tiek sniegts valsts budžeta atbalsts </w:t>
      </w:r>
      <w:r w:rsidRPr="005565F8">
        <w:t>starpkultūru</w:t>
      </w:r>
      <w:r w:rsidRPr="005565F8">
        <w:t xml:space="preserve"> dialoga attīstībai, kā arī mazākumtautību, </w:t>
      </w:r>
      <w:r w:rsidRPr="005565F8" w:rsidR="00E312DA">
        <w:t>t.sk.</w:t>
      </w:r>
      <w:r w:rsidRPr="005565F8">
        <w:t xml:space="preserve"> </w:t>
      </w:r>
      <w:r w:rsidRPr="005565F8">
        <w:t>romu</w:t>
      </w:r>
      <w:r w:rsidRPr="005565F8">
        <w:t xml:space="preserve"> NVO projektiem reģionālajā līmenī, stiprinot to kapacitāti un veicinot to savstarpējo sadarbību un sadarbību ar vietējām pašvaldībām. NVO savas kapacitātes un projektu īstenošanai </w:t>
      </w:r>
      <w:r w:rsidRPr="005565F8" w:rsidR="00F53F97">
        <w:t xml:space="preserve">gadā </w:t>
      </w:r>
      <w:r w:rsidRPr="005565F8">
        <w:t>var saņemt 400 tūkst. EUR kopējo atbalstu – 2016.gadā tika īstenoti 66, bet 2017.gadā – 42 NVO projekti.</w:t>
      </w:r>
      <w:r w:rsidRPr="005565F8" w:rsidR="00073B29">
        <w:t xml:space="preserve"> </w:t>
      </w:r>
    </w:p>
    <w:p w:rsidR="00CB6A47" w:rsidRPr="005565F8" w:rsidP="003D0310" w14:paraId="3AD521AC" w14:textId="77777777">
      <w:r w:rsidRPr="005565F8">
        <w:t xml:space="preserve">2017.gadā tika turpināta ESF līdzfinansēta projekta </w:t>
      </w:r>
      <w:r w:rsidRPr="005565F8" w:rsidR="00E312DA">
        <w:t>“</w:t>
      </w:r>
      <w:r w:rsidRPr="005565F8">
        <w:rPr>
          <w:i/>
        </w:rPr>
        <w:t>Dažādību veicināšana (diskriminācijas novēršana)</w:t>
      </w:r>
      <w:r w:rsidRPr="005565F8" w:rsidR="00E312DA">
        <w:rPr>
          <w:i/>
        </w:rPr>
        <w:t>”</w:t>
      </w:r>
      <w:r w:rsidRPr="005565F8">
        <w:t xml:space="preserve"> īstenošana. Lai nodrošinātu vienotu un mērķtiecīgu integrācijas atbalstu trešo valstu pilsoņiem un sekmīgi iekļautos Latvijas kultūrvidē, kopš 2016.gada ar Patvēruma, migrācijas un integrācijas fonda finansiālu atbalstu darbojas Informācijas centrs iebraucējiem. Dažādības veicināšanas projekta ietvaros ir veikta sociālās atstumtības un diskriminācijas riskam pakļauto personu vajadzību izpēte un profilēšana, lai noteiktu mērķtiecīgāko atbalstu veiksmīgākai integrācijai sabiedrībā, iesaistei nodarbinātībā, izglītības vai kvalifikācijas ieguvē. Kopējais finansējums projekta aktivitāšu īstenošanai – 6,8 milj. EUR, t.sk. ESF līdzfinansējums – 5,8 milj. EUR.</w:t>
      </w:r>
      <w:r w:rsidRPr="005565F8" w:rsidR="00073B29">
        <w:t xml:space="preserve"> </w:t>
      </w:r>
      <w:r w:rsidRPr="005565F8" w:rsidR="00C01C17">
        <w:t>N</w:t>
      </w:r>
      <w:r w:rsidRPr="005565F8" w:rsidR="00995FA9">
        <w:t>o p</w:t>
      </w:r>
      <w:r w:rsidRPr="005565F8" w:rsidR="00C01C17">
        <w:t xml:space="preserve">rojekta sākuma līdz 2017.gada beigām izlietots </w:t>
      </w:r>
      <w:r w:rsidRPr="005565F8" w:rsidR="00995FA9">
        <w:t>594</w:t>
      </w:r>
      <w:r w:rsidRPr="005565F8" w:rsidR="00C01C17">
        <w:t xml:space="preserve"> tūkst.</w:t>
      </w:r>
      <w:r w:rsidRPr="005565F8" w:rsidR="00995FA9">
        <w:t xml:space="preserve"> EUR, t.sk. ES finansējums 504</w:t>
      </w:r>
      <w:r w:rsidRPr="005565F8" w:rsidR="00C01C17">
        <w:t xml:space="preserve">,9 tūkst. EUR un </w:t>
      </w:r>
      <w:r w:rsidRPr="005565F8" w:rsidR="00995FA9">
        <w:t>valsts līdzfinansējums 89</w:t>
      </w:r>
      <w:r w:rsidRPr="005565F8" w:rsidR="00C01C17">
        <w:t>,1</w:t>
      </w:r>
      <w:r w:rsidRPr="005565F8" w:rsidR="00995FA9">
        <w:t xml:space="preserve"> EUR. 2017gadā izlietotais finansējums 448</w:t>
      </w:r>
      <w:r w:rsidRPr="005565F8" w:rsidR="00C01C17">
        <w:t>,6 tūkst.</w:t>
      </w:r>
      <w:r w:rsidRPr="005565F8" w:rsidR="00995FA9">
        <w:t xml:space="preserve"> EUR,  t.sk. ES fi</w:t>
      </w:r>
      <w:r w:rsidRPr="005565F8" w:rsidR="00C01C17">
        <w:t>nansējums 381,3 tūkst. EUR.</w:t>
      </w:r>
    </w:p>
    <w:p w:rsidR="00951581" w:rsidRPr="005565F8" w:rsidP="00523B75" w14:paraId="1D79A139" w14:textId="77777777">
      <w:pPr>
        <w:pStyle w:val="Heading3"/>
        <w:sectPr w:rsidSect="005D1AD0">
          <w:type w:val="continuous"/>
          <w:pgSz w:w="11906" w:h="16838" w:code="9"/>
          <w:pgMar w:top="1134" w:right="1134" w:bottom="1134" w:left="1134" w:header="709" w:footer="567" w:gutter="0"/>
          <w:cols w:num="2" w:space="340"/>
          <w:titlePg/>
          <w:docGrid w:linePitch="360"/>
        </w:sectPr>
      </w:pPr>
    </w:p>
    <w:p w:rsidR="006870B0" w:rsidRPr="005565F8" w:rsidP="00073B29" w14:paraId="5E2AC419" w14:textId="77777777"/>
    <w:p w:rsidR="00523B75" w:rsidRPr="005565F8" w:rsidP="00523B75" w14:paraId="29B1DC5C" w14:textId="77777777">
      <w:pPr>
        <w:pStyle w:val="Heading3"/>
      </w:pPr>
      <w:bookmarkStart w:id="100" w:name="_Toc510687759"/>
      <w:bookmarkStart w:id="101" w:name="_Toc256000028"/>
      <w:bookmarkStart w:id="102" w:name="_Toc256000063"/>
      <w:r w:rsidRPr="005565F8">
        <w:t>3.5.2. Demogrāfijas izaicinājumi un veselības aizsardzība</w:t>
      </w:r>
      <w:bookmarkEnd w:id="102"/>
      <w:bookmarkEnd w:id="101"/>
      <w:bookmarkEnd w:id="99"/>
      <w:bookmarkEnd w:id="100"/>
    </w:p>
    <w:p w:rsidR="00AD460D" w:rsidRPr="005565F8" w:rsidP="001054E0" w14:paraId="275F70C4" w14:textId="77777777">
      <w:pPr>
        <w:tabs>
          <w:tab w:val="left" w:pos="0"/>
        </w:tabs>
        <w:spacing w:before="120"/>
        <w:sectPr w:rsidSect="005D1AD0">
          <w:type w:val="continuous"/>
          <w:pgSz w:w="11906" w:h="16838" w:code="9"/>
          <w:pgMar w:top="1134" w:right="1134" w:bottom="1134" w:left="1134" w:header="709" w:footer="567" w:gutter="0"/>
          <w:cols w:space="340"/>
          <w:titlePg/>
          <w:docGrid w:linePitch="360"/>
        </w:sectPr>
      </w:pPr>
    </w:p>
    <w:p w:rsidR="001054E0" w:rsidRPr="005565F8" w:rsidP="001054E0" w14:paraId="1375E3A6" w14:textId="77777777">
      <w:pPr>
        <w:tabs>
          <w:tab w:val="left" w:pos="0"/>
        </w:tabs>
        <w:spacing w:before="120"/>
      </w:pPr>
      <w:r w:rsidRPr="005565F8">
        <w:t xml:space="preserve">Latvijā ir vērojamas negatīvas </w:t>
      </w:r>
      <w:r w:rsidRPr="005565F8">
        <w:rPr>
          <w:b/>
        </w:rPr>
        <w:t>demogrāfiskās</w:t>
      </w:r>
      <w:r w:rsidRPr="005565F8">
        <w:t xml:space="preserve"> izmaiņas – iedzīvotāju skaita samazināšanās un novecošanās, salīdzinoši augsta mirstība, negatīvs dabiskais pieaugums un negatīvs migrācijas saldo. Latvijas iedzīvotāju skaits 2018. gada sākumā bija 1,93 milj. cilvēku. Īpaša problēma ir straujā sabiedrības novecošanās – samazinās bērnu un pieaug vecāka gada gājuma personu īpatsvars. Vienlaikus jāatzīmē, ka pakāpeniski uzlabojoties ekonomiskajai situācijai, </w:t>
      </w:r>
      <w:r w:rsidRPr="005565F8" w:rsidR="00F160E5">
        <w:t>stabilizējas</w:t>
      </w:r>
      <w:r w:rsidRPr="005565F8">
        <w:t xml:space="preserve"> starptautiskā ilgtermiņa emigrācija un pieaug imigrācija. </w:t>
      </w:r>
      <w:r w:rsidRPr="005565F8" w:rsidR="00F160E5">
        <w:t>Tomēr migrācijas saldo joprojām ir negatīvs</w:t>
      </w:r>
      <w:r w:rsidRPr="005565F8">
        <w:t>.</w:t>
      </w:r>
    </w:p>
    <w:p w:rsidR="001054E0" w:rsidRPr="005565F8" w:rsidP="001054E0" w14:paraId="2CAB25FB" w14:textId="77777777">
      <w:pPr>
        <w:tabs>
          <w:tab w:val="left" w:pos="0"/>
        </w:tabs>
      </w:pPr>
      <w:r w:rsidRPr="005565F8">
        <w:t>Demogrāfijas problēmu risināšana ir viens no politiskās dienaskārtības aktuāliem jautājumiem pēdējos gados. Atbilstoši ESSPROS metodoloģijai veiktais sociālās aizsardzības izdevumu, īpaši funkciju sadalījumā, novērtējums apliecina pēdējos gados īstenoto politikas pasākumu ģimeņu ar bērniem atbalstam pozitīvo ietekmi. Saskaņā ar CSP provizoriskajiem datiem izdevumu pieaugums ģimeņu ar bērniem atbalstam 2016. gadā bija par 6% vairāk nekā 2015. gadā, kamēr kopējie izdevumi sociālai aizsardzībai 2016. gadā salīdzinājumā ar 2015. gadu pieauga par 4,2%.</w:t>
      </w:r>
    </w:p>
    <w:p w:rsidR="00672FF7" w:rsidRPr="005565F8" w:rsidP="00672FF7" w14:paraId="3CDCDD62" w14:textId="77777777">
      <w:pPr>
        <w:tabs>
          <w:tab w:val="left" w:pos="0"/>
        </w:tabs>
        <w:rPr>
          <w:color w:val="000000" w:themeColor="text1"/>
        </w:rPr>
      </w:pPr>
      <w:r w:rsidRPr="005565F8">
        <w:rPr>
          <w:color w:val="000000" w:themeColor="text1"/>
        </w:rPr>
        <w:t xml:space="preserve">Pozitīvas un ilgtspējīgas demogrāfiskās situācijas izmaiņas Latvijā ir izvirzītas par vienu no valdības prioritātēm. Līdz ar to, lai izstrādātu un sniegtu priekšlikumus tautas ataudzes atbalsta pasākumu pilnveidošanai, tika izveidota </w:t>
      </w:r>
      <w:r w:rsidRPr="005565F8">
        <w:rPr>
          <w:color w:val="000000" w:themeColor="text1"/>
        </w:rPr>
        <w:t>starpinstitucionāla</w:t>
      </w:r>
      <w:r w:rsidRPr="005565F8">
        <w:rPr>
          <w:color w:val="000000" w:themeColor="text1"/>
        </w:rPr>
        <w:t xml:space="preserve"> sadarbības platforma „Demogrāfisko lietu centrs” (DLC). DLC virzītās būtiskākās iniciatīvas 2017. gadam, kas tika atbalstītas valdībā un Saeimā, attiecās uz nepilno ģimeņu nabadzības mazināšanu, palielinot </w:t>
      </w:r>
      <w:r w:rsidRPr="005565F8">
        <w:rPr>
          <w:rFonts w:eastAsiaTheme="minorHAnsi"/>
          <w:color w:val="000000" w:themeColor="text1"/>
        </w:rPr>
        <w:t xml:space="preserve">valsts minimālā atbalsta apmēru apgādnieku zaudējušiem bērniem un </w:t>
      </w:r>
      <w:r w:rsidRPr="005565F8">
        <w:rPr>
          <w:color w:val="000000" w:themeColor="text1"/>
        </w:rPr>
        <w:t xml:space="preserve">tuvinot to minimālo uzturlīdzekļu apmēram, ekonomiski labvēlīgāku apstākļu radīšanai </w:t>
      </w:r>
      <w:r w:rsidRPr="005565F8">
        <w:rPr>
          <w:color w:val="000000" w:themeColor="text1"/>
        </w:rPr>
        <w:t>daudzbērnu</w:t>
      </w:r>
      <w:r w:rsidRPr="005565F8">
        <w:rPr>
          <w:color w:val="000000" w:themeColor="text1"/>
        </w:rPr>
        <w:t xml:space="preserve"> ģimenēm, palielinot ģimenes valsts pabalstu par ceturto un nākamajiem bērniem un ieviešot braukšanas maksas atvieglojumus starppilsētu sabiedriskajā transportā </w:t>
      </w:r>
      <w:r w:rsidRPr="005565F8">
        <w:rPr>
          <w:color w:val="000000" w:themeColor="text1"/>
        </w:rPr>
        <w:t>daudzbērnu</w:t>
      </w:r>
      <w:r w:rsidRPr="005565F8">
        <w:rPr>
          <w:color w:val="000000" w:themeColor="text1"/>
        </w:rPr>
        <w:t xml:space="preserve"> ģimenēm, b</w:t>
      </w:r>
      <w:r w:rsidRPr="005565F8">
        <w:rPr>
          <w:rFonts w:eastAsiaTheme="minorHAnsi"/>
          <w:color w:val="000000" w:themeColor="text1"/>
        </w:rPr>
        <w:t xml:space="preserve">ez vecāku gādības palikušo bērnu aprūpes ģimeniskā vidē pilnveidošanai, </w:t>
      </w:r>
      <w:r w:rsidRPr="005565F8">
        <w:rPr>
          <w:color w:val="000000" w:themeColor="text1"/>
        </w:rPr>
        <w:t>mājokļu programma</w:t>
      </w:r>
      <w:r w:rsidRPr="005565F8" w:rsidR="00C64709">
        <w:rPr>
          <w:color w:val="000000" w:themeColor="text1"/>
        </w:rPr>
        <w:t>s</w:t>
      </w:r>
      <w:r w:rsidRPr="005565F8">
        <w:rPr>
          <w:color w:val="000000" w:themeColor="text1"/>
        </w:rPr>
        <w:t xml:space="preserve"> turpināšanai (valsts galvojums hipotekārajiem kredītiem dzīvojamās telpas iegādei vai būvniecībai ģimenēm ar bērniem) u.c.</w:t>
      </w:r>
      <w:r w:rsidRPr="005565F8">
        <w:rPr>
          <w:color w:val="000000" w:themeColor="text1"/>
        </w:rPr>
        <w:t xml:space="preserve"> </w:t>
      </w:r>
    </w:p>
    <w:p w:rsidR="001054E0" w:rsidRPr="005565F8" w:rsidP="001054E0" w14:paraId="0025D238" w14:textId="77777777">
      <w:pPr>
        <w:tabs>
          <w:tab w:val="left" w:pos="0"/>
        </w:tabs>
        <w:rPr>
          <w:color w:val="000000" w:themeColor="text1"/>
        </w:rPr>
      </w:pPr>
      <w:r w:rsidRPr="005565F8">
        <w:rPr>
          <w:color w:val="000000" w:themeColor="text1"/>
        </w:rPr>
        <w:t xml:space="preserve">Savukārt 2018. gadā galvenie DLC virzītie pasākumi ir vērsti uz trešā bērna politiku, pilnveidojot ģimenes valsts pabalsta sistēmu un ieviešot piemaksu pie </w:t>
      </w:r>
      <w:r w:rsidRPr="005565F8">
        <w:rPr>
          <w:color w:val="000000" w:themeColor="text1"/>
        </w:rPr>
        <w:t xml:space="preserve">ģimenes valsts pabalsta, simtgades pasākumu ietvaros organizējot pasākumus, lai stiprinātu ģimenes vērtību sabiedrībā, preventīvo atbalstu bērnu tiesību aizsardzības pilnveidošanai, </w:t>
      </w:r>
      <w:r w:rsidRPr="005565F8">
        <w:rPr>
          <w:color w:val="000000" w:themeColor="text1"/>
        </w:rPr>
        <w:t>reemigrācijas</w:t>
      </w:r>
      <w:r w:rsidRPr="005565F8">
        <w:rPr>
          <w:color w:val="000000" w:themeColor="text1"/>
        </w:rPr>
        <w:t xml:space="preserve"> veicināšanai, </w:t>
      </w:r>
      <w:r w:rsidRPr="005565F8">
        <w:rPr>
          <w:color w:val="000000" w:themeColor="text1"/>
        </w:rPr>
        <w:t>ārpusģimenes</w:t>
      </w:r>
      <w:r w:rsidRPr="005565F8">
        <w:rPr>
          <w:color w:val="000000" w:themeColor="text1"/>
        </w:rPr>
        <w:t xml:space="preserve"> aprūpes sistēmas pilnveidošanai, mājokļu programmas turpināšanai u.c.</w:t>
      </w:r>
    </w:p>
    <w:p w:rsidR="00F42220" w:rsidRPr="005565F8" w:rsidP="00F42220" w14:paraId="45FE6B1C" w14:textId="77777777">
      <w:pPr>
        <w:rPr>
          <w:rFonts w:eastAsia="Times New Roman" w:asciiTheme="majorHAnsi" w:hAnsiTheme="majorHAnsi"/>
          <w:lang w:eastAsia="lv-LV"/>
        </w:rPr>
      </w:pPr>
      <w:r w:rsidRPr="005565F8">
        <w:rPr>
          <w:rFonts w:eastAsia="Times New Roman" w:asciiTheme="majorHAnsi" w:hAnsiTheme="majorHAnsi"/>
          <w:lang w:eastAsia="lv-LV"/>
        </w:rPr>
        <w:t>Ņemot vērā pašvaldības lomu demogrāfijas jautājumos, 2017.gadā tika uzsākta programma</w:t>
      </w:r>
      <w:r w:rsidRPr="005565F8">
        <w:rPr>
          <w:rFonts w:eastAsia="Times New Roman" w:asciiTheme="majorHAnsi" w:hAnsiTheme="majorHAnsi"/>
          <w:lang w:eastAsia="lv-LV"/>
        </w:rPr>
        <w:t xml:space="preserve"> </w:t>
      </w:r>
      <w:r w:rsidRPr="005565F8">
        <w:rPr>
          <w:rFonts w:eastAsia="Times New Roman" w:asciiTheme="majorHAnsi" w:hAnsiTheme="majorHAnsi"/>
          <w:i/>
          <w:lang w:eastAsia="lv-LV"/>
        </w:rPr>
        <w:t>Ģimenei draudzīga pašvaldība</w:t>
      </w:r>
      <w:r w:rsidRPr="005565F8">
        <w:rPr>
          <w:rFonts w:eastAsia="Times New Roman" w:asciiTheme="majorHAnsi" w:hAnsiTheme="majorHAnsi"/>
          <w:lang w:eastAsia="lv-LV"/>
        </w:rPr>
        <w:t>, kas paredz:</w:t>
      </w:r>
    </w:p>
    <w:p w:rsidR="00672FF7" w:rsidRPr="005565F8" w:rsidP="00735883" w14:paraId="4C5FF6ED" w14:textId="77777777">
      <w:pPr>
        <w:pStyle w:val="ListParagraph"/>
        <w:numPr>
          <w:ilvl w:val="0"/>
          <w:numId w:val="51"/>
        </w:numPr>
        <w:ind w:left="284" w:hanging="284"/>
        <w:contextualSpacing w:val="0"/>
        <w:rPr>
          <w:rFonts w:eastAsia="Times New Roman" w:asciiTheme="majorHAnsi" w:hAnsiTheme="majorHAnsi"/>
          <w:lang w:eastAsia="lv-LV"/>
        </w:rPr>
      </w:pPr>
      <w:r w:rsidRPr="005565F8">
        <w:rPr>
          <w:rFonts w:eastAsia="Times New Roman" w:asciiTheme="majorHAnsi" w:hAnsiTheme="majorHAnsi"/>
          <w:lang w:eastAsia="lv-LV"/>
        </w:rPr>
        <w:t>konkursa organizēšanu, lai vērtētu Latvijas pašvaldības, nosakot tās pašvaldības, kas nodrošina lielāko atbalstu, daudzveidīgākos un pieejamākos pakalpojumus ģimenēm ar bērniem. 2017.gadā konkursā piedalījās 55 pašvaldības. Uzvarētāji saņēma finansiālo atbalstu</w:t>
      </w:r>
      <w:r w:rsidRPr="005565F8" w:rsidR="00EA683F">
        <w:rPr>
          <w:rFonts w:eastAsia="Times New Roman" w:asciiTheme="majorHAnsi" w:hAnsiTheme="majorHAnsi"/>
          <w:lang w:eastAsia="lv-LV"/>
        </w:rPr>
        <w:t xml:space="preserve"> </w:t>
      </w:r>
      <w:r w:rsidRPr="005565F8">
        <w:rPr>
          <w:rFonts w:eastAsia="Times New Roman" w:asciiTheme="majorHAnsi" w:hAnsiTheme="majorHAnsi"/>
          <w:lang w:eastAsia="lv-LV"/>
        </w:rPr>
        <w:t>(</w:t>
      </w:r>
      <w:r w:rsidRPr="005565F8" w:rsidR="00EA683F">
        <w:rPr>
          <w:rFonts w:eastAsia="Times New Roman" w:asciiTheme="majorHAnsi" w:hAnsiTheme="majorHAnsi"/>
          <w:lang w:eastAsia="lv-LV"/>
        </w:rPr>
        <w:t>k</w:t>
      </w:r>
      <w:r w:rsidRPr="005565F8">
        <w:rPr>
          <w:rFonts w:eastAsia="Times New Roman" w:asciiTheme="majorHAnsi" w:hAnsiTheme="majorHAnsi"/>
          <w:lang w:eastAsia="lv-LV"/>
        </w:rPr>
        <w:t xml:space="preserve">opumā 51 </w:t>
      </w:r>
      <w:r w:rsidRPr="005565F8">
        <w:rPr>
          <w:rFonts w:eastAsia="Times New Roman" w:asciiTheme="majorHAnsi" w:hAnsiTheme="majorHAnsi"/>
          <w:lang w:eastAsia="lv-LV"/>
        </w:rPr>
        <w:t xml:space="preserve">tūkst. EUR apmērā) ieguldījumiem, kas saistīti ar pakalpojumiem vai infrastruktūru ģimenēm ar bērniem, t.sk. jaunu bērnu rotaļlaukumu izveidei. Konkursa balsošanas ietvaros pašvaldībām iesniegti </w:t>
      </w:r>
      <w:r w:rsidRPr="005565F8">
        <w:rPr>
          <w:rFonts w:eastAsia="Times New Roman" w:asciiTheme="majorHAnsi" w:hAnsiTheme="majorHAnsi"/>
          <w:lang w:eastAsia="lv-LV"/>
        </w:rPr>
        <w:t xml:space="preserve">arī </w:t>
      </w:r>
      <w:r w:rsidRPr="005565F8">
        <w:rPr>
          <w:rFonts w:eastAsia="Times New Roman" w:asciiTheme="majorHAnsi" w:hAnsiTheme="majorHAnsi"/>
          <w:lang w:eastAsia="lv-LV"/>
        </w:rPr>
        <w:t>iedzīvotāju konkrēti priekšlikumi pakalpojumu ģimenēm ar bērniem uzlabošanai;</w:t>
      </w:r>
    </w:p>
    <w:p w:rsidR="008E1DFD" w:rsidRPr="005565F8" w:rsidP="00735883" w14:paraId="1890BD96" w14:textId="77777777">
      <w:pPr>
        <w:pStyle w:val="ListParagraph"/>
        <w:numPr>
          <w:ilvl w:val="0"/>
          <w:numId w:val="51"/>
        </w:numPr>
        <w:ind w:left="284" w:hanging="284"/>
        <w:rPr>
          <w:rFonts w:eastAsia="Times New Roman" w:asciiTheme="majorHAnsi" w:hAnsiTheme="majorHAnsi"/>
          <w:lang w:eastAsia="lv-LV"/>
        </w:rPr>
      </w:pPr>
      <w:r w:rsidRPr="005565F8">
        <w:rPr>
          <w:rFonts w:eastAsia="Times New Roman" w:asciiTheme="majorHAnsi" w:hAnsiTheme="majorHAnsi"/>
          <w:lang w:eastAsia="lv-LV"/>
        </w:rPr>
        <w:t xml:space="preserve">ilgtermiņā funkcionējoša, visaptveroša un viegli pārskatāma informācijas apkopojuma par pašvaldības sniegto atbalstu ģimenēm ar bērniem veidošanu (www.vietagimenei.lv), kas sniedz pilnu informāciju vecākiem par viņu iespējām saņemt atbalstu savā pašvaldībā, tādā veidā uzlabojot pakalpojumu pieejamību iedzīvotājiem. </w:t>
      </w:r>
    </w:p>
    <w:p w:rsidR="000F3EEF" w:rsidRPr="005565F8" w:rsidP="00AD460D" w14:paraId="03C5F505"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AD460D" w:rsidRPr="005565F8" w:rsidP="00AD460D" w14:paraId="5C5565E8" w14:textId="77777777">
      <w:pPr>
        <w:rPr>
          <w:color w:val="000000" w:themeColor="text1"/>
        </w:rPr>
      </w:pPr>
    </w:p>
    <w:p w:rsidR="00AD460D" w:rsidRPr="005565F8" w:rsidP="00AD460D" w14:paraId="53334BBF"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AD460D" w:rsidRPr="005565F8" w:rsidP="00AD460D" w14:paraId="71EDCFC0"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Dzimstības veicināšana un uz ģimenēm ar bērniem vērsti sociālās aizsardzības pasākumi</w:t>
      </w:r>
    </w:p>
    <w:p w:rsidR="00AD460D" w:rsidRPr="005565F8" w:rsidP="00AD460D" w14:paraId="4B47F222"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LM</w:t>
      </w:r>
      <w:r w:rsidRPr="005565F8" w:rsidR="007D592E">
        <w:rPr>
          <w:rFonts w:eastAsia="+mn-ea"/>
          <w:color w:val="595959" w:themeColor="text1" w:themeTint="A6"/>
          <w:sz w:val="16"/>
        </w:rPr>
        <w:t>, VARAM, TM, EM</w:t>
      </w:r>
      <w:r w:rsidRPr="005565F8">
        <w:rPr>
          <w:rFonts w:eastAsia="+mn-ea"/>
          <w:color w:val="595959" w:themeColor="text1" w:themeTint="A6"/>
          <w:sz w:val="16"/>
        </w:rPr>
        <w:t>/</w:t>
      </w:r>
    </w:p>
    <w:p w:rsidR="000F3EEF" w:rsidRPr="005565F8" w:rsidP="00B22046" w14:paraId="2220E615"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1054E0" w:rsidRPr="005565F8" w:rsidP="00AD460D" w14:paraId="63278466" w14:textId="77777777">
      <w:pPr>
        <w:tabs>
          <w:tab w:val="left" w:pos="0"/>
        </w:tabs>
        <w:spacing w:before="240"/>
        <w:rPr>
          <w:color w:val="000000" w:themeColor="text1"/>
        </w:rPr>
      </w:pPr>
      <w:r w:rsidRPr="005565F8">
        <w:rPr>
          <w:color w:val="000000" w:themeColor="text1"/>
        </w:rPr>
        <w:t xml:space="preserve">Mērķis – nodrošināt un pilnveidot valsts un pašvaldību atbalstu ģimenēm ar bērniem, kā arī </w:t>
      </w:r>
      <w:r w:rsidRPr="005565F8">
        <w:rPr>
          <w:color w:val="000000" w:themeColor="text1"/>
        </w:rPr>
        <w:t>veicināt vecāku līdzdalību darba tirgū. Pasākumi mērķa sasniegšanai</w:t>
      </w:r>
      <w:r w:rsidRPr="005565F8" w:rsidR="00CE2357">
        <w:rPr>
          <w:color w:val="000000" w:themeColor="text1"/>
        </w:rPr>
        <w:t xml:space="preserve"> ir atspoguļoti </w:t>
      </w:r>
      <w:r w:rsidRPr="005565F8" w:rsidR="000F3EEF">
        <w:rPr>
          <w:color w:val="000000" w:themeColor="text1"/>
        </w:rPr>
        <w:t>3.10.</w:t>
      </w:r>
      <w:r w:rsidRPr="005565F8" w:rsidR="00CE2357">
        <w:rPr>
          <w:color w:val="000000" w:themeColor="text1"/>
        </w:rPr>
        <w:t>ielikumā.</w:t>
      </w:r>
    </w:p>
    <w:p w:rsidR="000F3EEF" w:rsidRPr="005565F8" w:rsidP="000F3EEF" w14:paraId="7E0F35E9" w14:textId="77777777">
      <w:pPr>
        <w:tabs>
          <w:tab w:val="left" w:pos="0"/>
        </w:tabs>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0F3EEF" w:rsidRPr="005565F8" w:rsidP="000F3EEF" w14:paraId="28942B53" w14:textId="77777777">
      <w:pPr>
        <w:tabs>
          <w:tab w:val="left" w:pos="0"/>
        </w:tabs>
        <w:rPr>
          <w:color w:val="000000" w:themeColor="text1"/>
        </w:rPr>
      </w:pPr>
    </w:p>
    <w:p w:rsidR="000F3EEF" w:rsidRPr="005565F8" w:rsidP="000F3EEF" w14:paraId="574ED668"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0"/>
        <w:jc w:val="right"/>
        <w:rPr>
          <w:rFonts w:ascii="Calibri Light" w:hAnsi="Calibri Light"/>
          <w:b/>
          <w:sz w:val="4"/>
          <w:szCs w:val="16"/>
        </w:rPr>
      </w:pPr>
    </w:p>
    <w:p w:rsidR="000F3EEF" w:rsidRPr="005565F8" w:rsidP="000F3EEF" w14:paraId="06844A0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jc w:val="right"/>
        <w:rPr>
          <w:rFonts w:ascii="Calibri Light" w:hAnsi="Calibri Light"/>
          <w:sz w:val="16"/>
          <w:szCs w:val="16"/>
        </w:rPr>
      </w:pPr>
      <w:r w:rsidRPr="005565F8">
        <w:rPr>
          <w:rFonts w:ascii="Calibri Light" w:hAnsi="Calibri Light"/>
          <w:sz w:val="16"/>
          <w:szCs w:val="16"/>
        </w:rPr>
        <w:t>3.10.ielikums.</w:t>
      </w:r>
    </w:p>
    <w:p w:rsidR="000F3EEF" w:rsidRPr="005565F8" w:rsidP="000F3EEF" w14:paraId="1C186D6C"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rPr>
          <w:rFonts w:ascii="Calibri Light" w:eastAsia="Verdana" w:hAnsi="Calibri Light"/>
          <w:color w:val="000000"/>
          <w:kern w:val="24"/>
          <w:sz w:val="16"/>
          <w:szCs w:val="16"/>
          <w:lang w:eastAsia="lv-LV"/>
        </w:rPr>
      </w:pPr>
      <w:r w:rsidRPr="005565F8">
        <w:rPr>
          <w:rFonts w:ascii="Calibri Light" w:hAnsi="Calibri Light"/>
          <w:b/>
          <w:szCs w:val="16"/>
        </w:rPr>
        <w:t>Atbalsts ģimenēm ar bērniem un vecāku līdzdalības veicināšana darba tirgū</w:t>
      </w:r>
    </w:p>
    <w:p w:rsidR="000F3EEF" w:rsidRPr="005565F8" w:rsidP="000F3EEF" w14:paraId="702A864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no 2018. gada 1. janvāra pabalstu izmaksā līdz bērna 20 gadu vecuma (iepriekš – 19) sasniegšanai, kamēr viņš mācās vispārējās vai profesionālās izglītības iestādē, kā arī pabalstu maksā par bērnu, kurš mācās profesionālās izglītības iestādē un saņem stipendiju. Bērnu skaits, kas turpmāk saņems pabalstu – 21,5 tūkst.;</w:t>
      </w:r>
    </w:p>
    <w:p w:rsidR="000F3EEF" w:rsidRPr="005565F8" w:rsidP="000F3EEF" w14:paraId="2A6E148E"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no 2018. gada 1. marta tiek ieviesta piemaksa pie ģimenes valsts pabalsta par divu un vairāk bērnu no viena līdz 20 gadu vecuma sasniegšanai audzināšanu. Piemaksas apmērs par diviem bērniem – 10 EUR mēnesī, par trīs bērniem – 66 EUR mēnesī, bet par katru nākamo bērnu piemaksas apmērs ir par 50 EUR mēnesī lielāks nekā par iepriekšējo kopējo audzināmo bērnu skaitu ģimenē. Piemaksas saņēmēju skaits – gandrīz 90 tūkst.;</w:t>
      </w:r>
    </w:p>
    <w:p w:rsidR="000F3EEF" w:rsidRPr="005565F8" w:rsidP="000F3EEF" w14:paraId="5C175F6E"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paaugstināts valsts materiālais atbalsts adoptētājiem, audžuģimenēm un aizbildņiem, piešķirot 2018. gadā alternatīvo ģimenes aprūpes formu attīstībai papildu 2,9 milj. EUR. Pabalsts audžuģimenei bērna uzturam līdz bērna septiņu gadu vecuma sasniegšanai palielināts no 95 EUR 2017. gadā līdz 215 EUR 2018. gadā, bet bērnam vecumā no 7 līdz 17 (ieskaitot) gadiem – no 114 EUR 2017. gadā līdz 258 EUR 2018.gadā. Atlīdzība audžuģimenei par pienākumu pildīšanu no 2018. gada ir atkarīga no aprūpē esošo bērnu skaita. Par vienu audžuģimenē ievietoto bērnu atlīdzības apmērs mēnesī ir vienāds ar bērna kopšanas pabalsta apmēru personai, kura kopj bērnu vecumā līdz pusotram gadam, jeb 171 EUR. Ja audžuģimenē ievietoti divi bērni, atlīdzības apmērs ir 222,30 EUR, bet, ja trīs un vairāk bērnu – 273,60 EUR. Iepriekš atlīdzības apmērs bija 113,83 EUR neatkarīgi no audžuģimenē esošo bērnu skaita;</w:t>
      </w:r>
    </w:p>
    <w:p w:rsidR="000F3EEF" w:rsidRPr="005565F8" w:rsidP="000F3EEF" w14:paraId="07B4E29F"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no 2018.gada palielināta atlīdzība par adoptējamā bērna aprūpi sociāli apdrošinātām personām, kuras aprūpē bērnu līdz 8 gadu vecumam – atlīdzības apmērs ir 70% no valstī noteiktās vidējās apdrošināšanas iemaksu algas. Pārējiem saņēmējiem atlīdzību maksās esošajā apmērā – 171 EUR. Ja adoptētājs aprūpēs vienlaikus vairākus bērnus, par nākamo piešķirs piemaksu 171 EUR apmērā;</w:t>
      </w:r>
    </w:p>
    <w:p w:rsidR="000F3EEF" w:rsidRPr="005565F8" w:rsidP="000F3EEF" w14:paraId="41669134"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paaugstināta adoptētāju un audžuģimeņu sociālā aizsardzība – no 2018. gada tiek veiktas sociālās apdrošināšanas iemaksas (pensiju apdrošināšanai, invaliditātes apdrošināšanai un apdrošināšanai pret bezdarbu) par personām, kuras saņem atlīdzību par audžuģimenes pienākumu pildīšanu un nav sociāli apdrošinātas;</w:t>
      </w:r>
    </w:p>
    <w:p w:rsidR="000F3EEF" w:rsidRPr="005565F8" w:rsidP="000F3EEF" w14:paraId="16DD4E83"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no 2017. gada 1. janvāra IIN atvieglojums par apgādībā esošu personu tiks attiecināts arī uz nestrādājošu laulāto, kura apgādībā ir nepilngadīgs bērns, kurš saskaņā ar normatīvajiem aktiem ir atzīts par personu ar invaliditāti, ja nestrādājošais laulātais nesaņem ar nodokli apliekamu ienākumu vai valsts pensiju. Savukārt, no 2018. gada 1. jūlija tiks piemērots atvieglojums par nestrādājošu laulāto, kura apgādībā ir bērns vecumā līdz 3 gadiem vai, kura apgādībā ir trīs vai vairāk bērni līdz 18 gadu vecumam vai līdz 24 gadu vecumam, no kuriem vismaz viens ir jaunāks par septiņiem gadiem, kamēr bērns turpina vispārējās, profesionālās, augstākās vai speciālās izglītības iegūšanu vai, kura apgādībā ir 5 bērni līdz 18 gadu vecumam vai līdz 24 gadu vecumam, kamēr bērns turpina vispārējās, profesionālās, augstākās vai speciālās izglītības iegūšanu;</w:t>
      </w:r>
    </w:p>
    <w:p w:rsidR="000F3EEF" w:rsidRPr="005565F8" w:rsidP="000F3EEF" w14:paraId="4319AA2B"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 xml:space="preserve">sākot ar 2018. gadu tiek atjaunota valsts budžeta mērķdotācija sociālo darbinieku darbam ar ģimenēm un bērniem piemaksai pie mēnešalgas. Profesionāla un efektīva sociālā darba ar ģimenēm un bērniem galvenie priekšnoteikumi ir sociālo darbinieku kvalifikācija un zināšanas, kā arī attiecīgo darbinieku skaita pietiekamība. Pašlaik pašvaldībās ir vērojams nepietiekams profesionālu sociālo darbinieku skaits un īpaši to sociālo darbinieku, kas ieguvuši nepieciešamās zināšanas darbam ar ģimenēm un bērniem, kas būtiski ietekmē nodrošinātā sociāla atbalsta kvalitāti un efektivitāti. Mērķdotācijas atjaunošana ir nozīmīga sociālo darbinieku motivēšanai uzņemties šo darbu un regulāri paaugstināt kvalifikāciju, lai apgūtu nepieciešamās zināšanas darbam ar ģimenēm un bērniem, jo darba samaksa sociālajā jomā strādājošajiem, salīdzinājumā ar citām jomām, ir zemāka par vidējo. Valsts mērķdotācijas piešķiršana pašvaldībām 898 000 EUR apmērā paredzēta </w:t>
      </w:r>
      <w:r w:rsidRPr="005565F8">
        <w:rPr>
          <w:rFonts w:ascii="Calibri Light" w:eastAsia="Verdana" w:hAnsi="Calibri Light"/>
          <w:i/>
          <w:color w:val="000000"/>
          <w:kern w:val="24"/>
          <w:sz w:val="16"/>
          <w:szCs w:val="16"/>
          <w:lang w:eastAsia="lv-LV"/>
        </w:rPr>
        <w:t>Likumā par valsts budžetu 2018.gadam</w:t>
      </w:r>
      <w:r w:rsidRPr="005565F8">
        <w:rPr>
          <w:rFonts w:ascii="Calibri Light" w:eastAsia="Verdana" w:hAnsi="Calibri Light"/>
          <w:color w:val="000000"/>
          <w:kern w:val="24"/>
          <w:sz w:val="16"/>
          <w:szCs w:val="16"/>
          <w:lang w:eastAsia="lv-LV"/>
        </w:rPr>
        <w:t>;</w:t>
      </w:r>
    </w:p>
    <w:p w:rsidR="000F3EEF" w:rsidRPr="005565F8" w:rsidP="000F3EEF" w14:paraId="4AA1FE66"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ind w:left="284" w:hanging="284"/>
        <w:rPr>
          <w:rFonts w:ascii="Calibri Light" w:eastAsia="Verdana" w:hAnsi="Calibri Light"/>
          <w:color w:val="000000"/>
          <w:kern w:val="24"/>
          <w:sz w:val="16"/>
          <w:szCs w:val="16"/>
          <w:lang w:eastAsia="lv-LV"/>
        </w:rPr>
      </w:pPr>
      <w:r w:rsidRPr="005565F8">
        <w:rPr>
          <w:rFonts w:ascii="Calibri Light" w:eastAsia="Verdana" w:hAnsi="Calibri Light"/>
          <w:color w:val="000000"/>
          <w:kern w:val="24"/>
          <w:sz w:val="16"/>
          <w:szCs w:val="16"/>
          <w:lang w:eastAsia="lv-LV"/>
        </w:rPr>
        <w:t>–</w:t>
      </w:r>
      <w:r w:rsidRPr="005565F8">
        <w:rPr>
          <w:rFonts w:ascii="Calibri Light" w:eastAsia="Verdana" w:hAnsi="Calibri Light"/>
          <w:color w:val="000000"/>
          <w:kern w:val="24"/>
          <w:sz w:val="16"/>
          <w:szCs w:val="16"/>
          <w:lang w:eastAsia="lv-LV"/>
        </w:rPr>
        <w:tab/>
        <w:t xml:space="preserve">kopš 2015. gada valsts sniedz palīdzību pirmā mājokļa iegādei ģimenēm ar bērniem AS „Attīstības finanšu institūcijas </w:t>
      </w:r>
      <w:r w:rsidRPr="005565F8">
        <w:rPr>
          <w:rFonts w:ascii="Calibri Light" w:eastAsia="Verdana" w:hAnsi="Calibri Light"/>
          <w:color w:val="000000"/>
          <w:kern w:val="24"/>
          <w:sz w:val="16"/>
          <w:szCs w:val="16"/>
          <w:lang w:eastAsia="lv-LV"/>
        </w:rPr>
        <w:t>Altum</w:t>
      </w:r>
      <w:r w:rsidRPr="005565F8">
        <w:rPr>
          <w:rFonts w:ascii="Calibri Light" w:eastAsia="Verdana" w:hAnsi="Calibri Light"/>
          <w:color w:val="000000"/>
          <w:kern w:val="24"/>
          <w:sz w:val="16"/>
          <w:szCs w:val="16"/>
          <w:lang w:eastAsia="lv-LV"/>
        </w:rPr>
        <w:t xml:space="preserve">” izsniegas un administrētas garantijas veidā. Kopējā izsniegto garantiju summa veido </w:t>
      </w:r>
      <w:r w:rsidRPr="005565F8" w:rsidR="00240A4C">
        <w:rPr>
          <w:rFonts w:ascii="Calibri Light" w:eastAsia="Verdana" w:hAnsi="Calibri Light"/>
          <w:color w:val="000000"/>
          <w:kern w:val="24"/>
          <w:sz w:val="16"/>
          <w:szCs w:val="16"/>
          <w:lang w:eastAsia="lv-LV"/>
        </w:rPr>
        <w:t xml:space="preserve">54 </w:t>
      </w:r>
      <w:r w:rsidRPr="005565F8">
        <w:rPr>
          <w:rFonts w:ascii="Calibri Light" w:eastAsia="Verdana" w:hAnsi="Calibri Light"/>
          <w:color w:val="000000"/>
          <w:kern w:val="24"/>
          <w:sz w:val="16"/>
          <w:szCs w:val="16"/>
          <w:lang w:eastAsia="lv-LV"/>
        </w:rPr>
        <w:t xml:space="preserve">milj. EUR. Kopš programmas darbības uzsākšanas brīža atbalstu mājokļu iegādei saņēmušas vairāk nekā </w:t>
      </w:r>
      <w:r w:rsidRPr="005565F8" w:rsidR="00240A4C">
        <w:rPr>
          <w:rFonts w:ascii="Calibri Light" w:eastAsia="Verdana" w:hAnsi="Calibri Light"/>
          <w:color w:val="000000"/>
          <w:kern w:val="24"/>
          <w:sz w:val="16"/>
          <w:szCs w:val="16"/>
          <w:lang w:eastAsia="lv-LV"/>
        </w:rPr>
        <w:t xml:space="preserve">7807 </w:t>
      </w:r>
      <w:r w:rsidRPr="005565F8">
        <w:rPr>
          <w:rFonts w:ascii="Calibri Light" w:eastAsia="Verdana" w:hAnsi="Calibri Light"/>
          <w:color w:val="000000"/>
          <w:kern w:val="24"/>
          <w:sz w:val="16"/>
          <w:szCs w:val="16"/>
          <w:lang w:eastAsia="lv-LV"/>
        </w:rPr>
        <w:t xml:space="preserve">ģimenes, tādā veidā nodrošinot vairāk nekā </w:t>
      </w:r>
      <w:r w:rsidRPr="005565F8" w:rsidR="00240A4C">
        <w:rPr>
          <w:rFonts w:ascii="Calibri Light" w:eastAsia="Verdana" w:hAnsi="Calibri Light"/>
          <w:color w:val="000000"/>
          <w:kern w:val="24"/>
          <w:sz w:val="16"/>
          <w:szCs w:val="16"/>
          <w:lang w:eastAsia="lv-LV"/>
        </w:rPr>
        <w:t>11</w:t>
      </w:r>
      <w:r w:rsidRPr="005565F8" w:rsidR="00B02F08">
        <w:rPr>
          <w:rFonts w:ascii="Calibri Light" w:eastAsia="Verdana" w:hAnsi="Calibri Light"/>
          <w:color w:val="000000"/>
          <w:kern w:val="24"/>
          <w:sz w:val="16"/>
          <w:szCs w:val="16"/>
          <w:lang w:eastAsia="lv-LV"/>
        </w:rPr>
        <w:t xml:space="preserve"> tūkst. </w:t>
      </w:r>
      <w:r w:rsidRPr="005565F8">
        <w:rPr>
          <w:rFonts w:ascii="Calibri Light" w:eastAsia="Verdana" w:hAnsi="Calibri Light"/>
          <w:color w:val="000000"/>
          <w:kern w:val="24"/>
          <w:sz w:val="16"/>
          <w:szCs w:val="16"/>
          <w:lang w:eastAsia="lv-LV"/>
        </w:rPr>
        <w:t>bērnus ar mājokli.</w:t>
      </w:r>
    </w:p>
    <w:p w:rsidR="000F3EEF" w:rsidRPr="005565F8" w:rsidP="000F3EEF" w14:paraId="43A97389" w14:textId="77777777">
      <w:pPr>
        <w:pBdr>
          <w:top w:val="single" w:sz="4" w:space="1" w:color="auto" w:shadow="1"/>
          <w:left w:val="single" w:sz="4" w:space="4" w:color="auto" w:shadow="1"/>
          <w:bottom w:val="single" w:sz="4" w:space="1" w:color="auto" w:shadow="1"/>
          <w:right w:val="single" w:sz="4" w:space="4" w:color="auto" w:shadow="1"/>
        </w:pBdr>
        <w:shd w:val="clear" w:color="auto" w:fill="B8CCE4" w:themeFill="accent1" w:themeFillTint="66"/>
        <w:spacing w:after="40"/>
        <w:rPr>
          <w:rFonts w:ascii="Calibri Light" w:eastAsia="Verdana" w:hAnsi="Calibri Light"/>
          <w:color w:val="000000"/>
          <w:kern w:val="24"/>
          <w:sz w:val="4"/>
          <w:szCs w:val="16"/>
          <w:lang w:eastAsia="lv-LV"/>
        </w:rPr>
      </w:pPr>
    </w:p>
    <w:p w:rsidR="000F3EEF" w:rsidRPr="002D47FA" w:rsidP="002D47FA" w14:paraId="56C2187F" w14:textId="77777777">
      <w:pPr>
        <w:tabs>
          <w:tab w:val="left" w:pos="0"/>
        </w:tabs>
        <w:spacing w:after="0"/>
        <w:rPr>
          <w:color w:val="000000" w:themeColor="text1"/>
          <w:sz w:val="8"/>
          <w:szCs w:val="8"/>
        </w:rPr>
      </w:pPr>
    </w:p>
    <w:p w:rsidR="000F3EEF" w:rsidRPr="002D47FA" w:rsidP="002D47FA" w14:paraId="6F32B625" w14:textId="77777777">
      <w:pPr>
        <w:tabs>
          <w:tab w:val="left" w:pos="0"/>
        </w:tabs>
        <w:spacing w:after="0"/>
        <w:rPr>
          <w:color w:val="000000" w:themeColor="text1"/>
          <w:sz w:val="8"/>
          <w:szCs w:val="8"/>
        </w:rPr>
        <w:sectPr w:rsidSect="005D1AD0">
          <w:type w:val="continuous"/>
          <w:pgSz w:w="11906" w:h="16838" w:code="9"/>
          <w:pgMar w:top="1134" w:right="1134" w:bottom="1134" w:left="1134" w:header="709" w:footer="567" w:gutter="0"/>
          <w:cols w:space="340"/>
          <w:titlePg/>
          <w:docGrid w:linePitch="360"/>
        </w:sectPr>
      </w:pPr>
    </w:p>
    <w:p w:rsidR="001054E0" w:rsidRPr="005565F8" w:rsidP="001054E0" w14:paraId="0782ACDF" w14:textId="77777777">
      <w:pPr>
        <w:rPr>
          <w:rFonts w:ascii="Calibri" w:hAnsi="Calibri"/>
          <w:sz w:val="22"/>
          <w:szCs w:val="22"/>
          <w:shd w:val="clear" w:color="auto" w:fill="FFFFFF"/>
        </w:rPr>
      </w:pPr>
      <w:r w:rsidRPr="005565F8">
        <w:t xml:space="preserve">Jaunais </w:t>
      </w:r>
      <w:r w:rsidRPr="005565F8">
        <w:rPr>
          <w:i/>
        </w:rPr>
        <w:t>Uzturlīdzekļu garantiju fonda likums</w:t>
      </w:r>
      <w:r w:rsidRPr="005565F8">
        <w:t xml:space="preserve"> </w:t>
      </w:r>
      <w:r w:rsidRPr="005565F8" w:rsidR="00B73DC7">
        <w:t xml:space="preserve">(spēkā no 2017.gada 1.februāra) </w:t>
      </w:r>
      <w:r w:rsidRPr="005565F8">
        <w:t xml:space="preserve">paredz paplašināt valsts garantēto uzturlīdzekļu saņēmēju loku, </w:t>
      </w:r>
      <w:r w:rsidRPr="005565F8">
        <w:t>efektivizēt</w:t>
      </w:r>
      <w:r w:rsidRPr="005565F8">
        <w:t xml:space="preserve"> un vienkāršot uzturlīdzekļu saņemšanas procesu. Tas paredz šādas būtiskas izmaiņas:</w:t>
      </w:r>
    </w:p>
    <w:p w:rsidR="001054E0" w:rsidRPr="005565F8" w:rsidP="00735883" w14:paraId="3B2E8B34" w14:textId="77777777">
      <w:pPr>
        <w:numPr>
          <w:ilvl w:val="0"/>
          <w:numId w:val="21"/>
        </w:numPr>
        <w:spacing w:after="60"/>
        <w:ind w:left="284" w:hanging="284"/>
        <w:jc w:val="both"/>
        <w:rPr>
          <w:rFonts w:eastAsia="Times New Roman"/>
          <w:color w:val="000000" w:themeColor="text1"/>
        </w:rPr>
      </w:pPr>
      <w:r w:rsidRPr="005565F8">
        <w:rPr>
          <w:rFonts w:eastAsia="Times New Roman"/>
          <w:color w:val="000000" w:themeColor="text1"/>
        </w:rPr>
        <w:t>izmaksāt uzturlīdzekļus personai līdz 21 gada vecuma sasniegšanai, ja tā turpina iegūt pamatizglītību, vidējo izglītību, arodizglītību</w:t>
      </w:r>
      <w:r w:rsidRPr="005565F8" w:rsidR="00B73DC7">
        <w:rPr>
          <w:rFonts w:eastAsia="Times New Roman"/>
          <w:color w:val="000000" w:themeColor="text1"/>
        </w:rPr>
        <w:t xml:space="preserve"> vai speciālo izglītību Latvijā;</w:t>
      </w:r>
    </w:p>
    <w:p w:rsidR="001054E0" w:rsidRPr="005565F8" w:rsidP="00735883" w14:paraId="039F1978" w14:textId="77777777">
      <w:pPr>
        <w:numPr>
          <w:ilvl w:val="0"/>
          <w:numId w:val="21"/>
        </w:numPr>
        <w:spacing w:after="60"/>
        <w:ind w:left="284" w:hanging="284"/>
        <w:jc w:val="both"/>
        <w:rPr>
          <w:rFonts w:eastAsia="Times New Roman"/>
          <w:color w:val="000000" w:themeColor="text1"/>
        </w:rPr>
      </w:pPr>
      <w:r w:rsidRPr="005565F8">
        <w:rPr>
          <w:rFonts w:eastAsia="Times New Roman"/>
          <w:color w:val="000000" w:themeColor="text1"/>
        </w:rPr>
        <w:t>uzturlīdzekļu izmaksas uzsākšanu no Uzturlīdzekļu garantiju fonda (UGF) – trīs mēnešu laikā līdzšinējo 9 mēnešu laikā. Ja starp vecākiem nepastāvēs strīds, uzturlīdzekļus varēs saņemt MK noteiktajā minimālajā apmērā administratīvā procesa ietvaros uzreiz vēršoties Uzturlīdzekļu garantiju fonda administrācijā (UGFA)</w:t>
      </w:r>
      <w:r w:rsidRPr="005565F8" w:rsidR="00B73DC7">
        <w:rPr>
          <w:rFonts w:eastAsia="Times New Roman"/>
          <w:color w:val="000000" w:themeColor="text1"/>
        </w:rPr>
        <w:t>;</w:t>
      </w:r>
    </w:p>
    <w:p w:rsidR="001054E0" w:rsidRPr="005565F8" w:rsidP="00735883" w14:paraId="09A0C054" w14:textId="77777777">
      <w:pPr>
        <w:numPr>
          <w:ilvl w:val="0"/>
          <w:numId w:val="21"/>
        </w:numPr>
        <w:spacing w:after="60"/>
        <w:ind w:left="284" w:hanging="284"/>
        <w:jc w:val="both"/>
        <w:rPr>
          <w:rFonts w:eastAsia="Times New Roman"/>
          <w:color w:val="000000" w:themeColor="text1"/>
        </w:rPr>
      </w:pPr>
      <w:r w:rsidRPr="005565F8">
        <w:rPr>
          <w:rFonts w:eastAsia="Times New Roman"/>
          <w:color w:val="000000" w:themeColor="text1"/>
        </w:rPr>
        <w:t>iespēju uzturlīdzekļu parādniekiem veikt uzturlīdzekļu maksājumus vismaz savu iespēju robežās. Ja uzturlīdzekļi tiks izmaksāti administratīvā procesa ietvaros un parādnieks nespēs nodrošināt minimālos uzturlīdzekļus pilnā apmērā, tad parādnieks ar UGFA varēs noslēgt vienošanos par maksājumu veikšanu</w:t>
      </w:r>
      <w:r w:rsidRPr="005565F8" w:rsidR="00B73DC7">
        <w:rPr>
          <w:rFonts w:eastAsia="Times New Roman"/>
          <w:color w:val="000000" w:themeColor="text1"/>
        </w:rPr>
        <w:t>;</w:t>
      </w:r>
    </w:p>
    <w:p w:rsidR="001054E0" w:rsidRPr="005565F8" w:rsidP="00735883" w14:paraId="76FEFEAD" w14:textId="77777777">
      <w:pPr>
        <w:numPr>
          <w:ilvl w:val="0"/>
          <w:numId w:val="21"/>
        </w:numPr>
        <w:spacing w:after="60"/>
        <w:ind w:left="284" w:hanging="284"/>
        <w:jc w:val="both"/>
        <w:rPr>
          <w:rFonts w:eastAsia="Times New Roman"/>
          <w:color w:val="000000" w:themeColor="text1"/>
        </w:rPr>
      </w:pPr>
      <w:r w:rsidRPr="005565F8">
        <w:rPr>
          <w:rFonts w:eastAsia="Times New Roman"/>
          <w:color w:val="000000" w:themeColor="text1"/>
        </w:rPr>
        <w:t xml:space="preserve">piemērot uzturlīdzekļu parādniekiem transportlīdzekļa un kuģu vadīšanas tiesību izmantošanas aizliegumu, ja parādnieka vietā tiek izmaksāti valsts garantētie minimālie uzturlīdzekļi </w:t>
      </w:r>
      <w:r w:rsidRPr="005565F8">
        <w:rPr>
          <w:rFonts w:eastAsia="Times New Roman"/>
          <w:color w:val="000000" w:themeColor="text1"/>
        </w:rPr>
        <w:t>un viņš nav noslēdzis vienošanos par parāda atmaksu vai nepilda noslēgto vienošanos trīs secīgus mēnešus. Vienlaikus UGFA katra gadījumā individuāli izvērtēs tiesību izmantošanas aizlieguma samērīgumu.</w:t>
      </w:r>
    </w:p>
    <w:p w:rsidR="001054E0" w:rsidRPr="005565F8" w:rsidP="001054E0" w14:paraId="2F7D1A7A" w14:textId="77777777">
      <w:pPr>
        <w:ind w:firstLine="567"/>
      </w:pPr>
    </w:p>
    <w:p w:rsidR="001054E0" w:rsidRPr="005565F8" w:rsidP="001054E0" w14:paraId="6D6D75E3" w14:textId="77777777">
      <w:pPr>
        <w:spacing w:before="120"/>
      </w:pPr>
      <w:r w:rsidRPr="005565F8">
        <w:t xml:space="preserve">Galvenie sabiedrības </w:t>
      </w:r>
      <w:r w:rsidRPr="005565F8">
        <w:rPr>
          <w:b/>
        </w:rPr>
        <w:t>veselības rādītāji</w:t>
      </w:r>
      <w:r w:rsidRPr="005565F8">
        <w:t xml:space="preserve"> Latvijā, kas, lai arī lēnām uzlabojas, tomēr atpaliek no ES vidējiem rādītājiem.</w:t>
      </w:r>
    </w:p>
    <w:p w:rsidR="001054E0" w:rsidRPr="005565F8" w:rsidP="001054E0" w14:paraId="1B506ED1" w14:textId="77777777">
      <w:r w:rsidRPr="005565F8">
        <w:t>Stabila tendence samazināties ir zīdaiņu mirstības rādītājam. Ja 2001. gadā zīdaiņu mirstība bija 11,1 uz 1000 dzīvi dzimušiem, tad 2016. gadā tā bija samazinājusies līdz 3,7. Jaundzimušo vidējais paredzamais mūža ilgums Latvijā pēdējo desmit gadu laikā ir palielinājies, tomēr joprojām ir viens no zemākajiem ES (2015. gadā Latvijā – 74,8 gadi, ES vidēji– 80,6 gadi). Samazinoties mirstībai un pieaugot jaundzimušo vidējam paredzamajam mūža ilgumam, pakāpeniski pieaug arī veselīgi nodzīvoto mūža gadu skaits, kas 2015. gadā, salīdzinot ar 2005. gadu, sievietēm palielinājies par 0,9 gadiem un sasniedza 54,1 gadu, savukārt, vīriešiem – par 1 gadu un sasniedza 51,8 gadus. Potenciāli zaudēto mūža gadu (turpmāk – PZMG) galvenais iemesls Latvijā ir ārējie nāves cēloņi (pašnāvības, ceļu satiksmes negadījumi), asinsrites sistēmas slimības un ļaundabīgie audzēji.</w:t>
      </w:r>
    </w:p>
    <w:p w:rsidR="00AD460D" w:rsidRPr="005565F8" w:rsidP="00124E5E" w14:paraId="77B80A62" w14:textId="77777777">
      <w:pPr>
        <w:pStyle w:val="ListParagraph"/>
        <w:keepNext/>
        <w:spacing w:before="240"/>
        <w:ind w:left="0"/>
        <w:jc w:val="right"/>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2D47FA" w:rsidP="002D47FA" w14:paraId="03DBABCD" w14:textId="77777777">
      <w:pPr>
        <w:pStyle w:val="ListParagraph"/>
        <w:keepNext/>
        <w:shd w:val="clear" w:color="auto" w:fill="FFFFFF" w:themeFill="background1"/>
        <w:tabs>
          <w:tab w:val="right" w:pos="9639"/>
        </w:tabs>
        <w:spacing w:before="240" w:after="0"/>
        <w:ind w:left="0" w:right="-1"/>
        <w:contextualSpacing w:val="0"/>
        <w:jc w:val="right"/>
      </w:pPr>
    </w:p>
    <w:p w:rsidR="001054E0" w:rsidP="002D47FA" w14:paraId="6A735639" w14:textId="0D791F57">
      <w:pPr>
        <w:pStyle w:val="ListParagraph"/>
        <w:keepNext/>
        <w:shd w:val="clear" w:color="auto" w:fill="FFFFFF" w:themeFill="background1"/>
        <w:tabs>
          <w:tab w:val="right" w:pos="9639"/>
        </w:tabs>
        <w:spacing w:before="240" w:after="0"/>
        <w:ind w:left="0" w:right="-1"/>
        <w:contextualSpacing w:val="0"/>
        <w:rPr>
          <w:rFonts w:ascii="Calibri Light" w:hAnsi="Calibri Light"/>
          <w:i/>
          <w:sz w:val="16"/>
        </w:rPr>
      </w:pPr>
      <w:r w:rsidRPr="005565F8">
        <w:rPr>
          <w:rFonts w:ascii="Calibri Light" w:hAnsi="Calibri Light"/>
        </w:rPr>
        <w:tab/>
        <w:t>3.</w:t>
      </w:r>
      <w:r w:rsidRPr="005565F8" w:rsidR="000917D3">
        <w:rPr>
          <w:rFonts w:ascii="Calibri Light" w:hAnsi="Calibri Light"/>
        </w:rPr>
        <w:t>7.attēls</w:t>
      </w:r>
      <w:r w:rsidRPr="005565F8" w:rsidR="000917D3">
        <w:rPr>
          <w:rFonts w:ascii="Calibri Light" w:hAnsi="Calibri Light"/>
        </w:rPr>
        <w:br/>
      </w:r>
      <w:r w:rsidRPr="005565F8">
        <w:rPr>
          <w:rFonts w:ascii="Calibri Light" w:hAnsi="Calibri Light"/>
          <w:b/>
          <w:sz w:val="24"/>
        </w:rPr>
        <w:tab/>
      </w:r>
      <w:r w:rsidRPr="005565F8">
        <w:rPr>
          <w:rFonts w:ascii="Calibri Light" w:hAnsi="Calibri Light"/>
          <w:b/>
          <w:sz w:val="24"/>
        </w:rPr>
        <w:t>Potenciāli zaudēto mūža gadu samazināšanas mērķ</w:t>
      </w:r>
      <w:r w:rsidRPr="005565F8" w:rsidR="00905274">
        <w:rPr>
          <w:rFonts w:ascii="Calibri Light" w:hAnsi="Calibri Light"/>
          <w:b/>
          <w:sz w:val="24"/>
        </w:rPr>
        <w:t>is</w:t>
      </w:r>
      <w:r w:rsidRPr="005565F8">
        <w:rPr>
          <w:rFonts w:ascii="Calibri Light" w:hAnsi="Calibri Light"/>
          <w:b/>
          <w:sz w:val="24"/>
        </w:rPr>
        <w:t xml:space="preserve"> </w:t>
      </w:r>
      <w:r w:rsidRPr="005565F8" w:rsidR="000917D3">
        <w:rPr>
          <w:rFonts w:ascii="Calibri Light" w:hAnsi="Calibri Light"/>
          <w:b/>
          <w:sz w:val="24"/>
        </w:rPr>
        <w:br/>
      </w:r>
      <w:r w:rsidRPr="005565F8">
        <w:rPr>
          <w:rFonts w:ascii="Calibri Light" w:hAnsi="Calibri Light"/>
          <w:i/>
          <w:sz w:val="16"/>
        </w:rPr>
        <w:tab/>
      </w:r>
      <w:r w:rsidRPr="005565F8">
        <w:rPr>
          <w:rFonts w:ascii="Calibri Light" w:hAnsi="Calibri Light"/>
          <w:i/>
          <w:sz w:val="16"/>
        </w:rPr>
        <w:t>uz 100 tūkst. iedzīvotājiem</w:t>
      </w:r>
      <w:r w:rsidRPr="005565F8" w:rsidR="00124E5E">
        <w:rPr>
          <w:rFonts w:ascii="Calibri Light" w:hAnsi="Calibri Light"/>
          <w:i/>
          <w:sz w:val="16"/>
        </w:rPr>
        <w:t>*, vecumā līdz 64 gadiem, ieskaitot</w:t>
      </w:r>
    </w:p>
    <w:p w:rsidR="002D47FA" w:rsidRPr="002D47FA" w:rsidP="002D47FA" w14:paraId="7AB40759" w14:textId="77777777">
      <w:pPr>
        <w:pStyle w:val="ListParagraph"/>
        <w:shd w:val="clear" w:color="auto" w:fill="FFFFFF" w:themeFill="background1"/>
        <w:tabs>
          <w:tab w:val="left" w:pos="426"/>
          <w:tab w:val="right" w:pos="9639"/>
        </w:tabs>
        <w:spacing w:after="0"/>
        <w:ind w:left="0" w:right="-1"/>
        <w:contextualSpacing w:val="0"/>
        <w:jc w:val="center"/>
        <w:rPr>
          <w:rFonts w:ascii="Calibri Light" w:hAnsi="Calibri Light"/>
          <w:sz w:val="16"/>
          <w:szCs w:val="20"/>
        </w:rPr>
      </w:pPr>
    </w:p>
    <w:p w:rsidR="001054E0" w:rsidRPr="005565F8" w:rsidP="002D47FA" w14:paraId="65BFB607" w14:textId="77777777">
      <w:pPr>
        <w:pStyle w:val="ListParagraph"/>
        <w:shd w:val="clear" w:color="auto" w:fill="B8CCE4" w:themeFill="accent1" w:themeFillTint="66"/>
        <w:tabs>
          <w:tab w:val="left" w:pos="426"/>
          <w:tab w:val="right" w:pos="9639"/>
        </w:tabs>
        <w:spacing w:after="0"/>
        <w:ind w:left="0" w:right="-1"/>
        <w:contextualSpacing w:val="0"/>
        <w:jc w:val="center"/>
        <w:rPr>
          <w:rFonts w:ascii="Calibri Light" w:hAnsi="Calibri Light"/>
          <w:sz w:val="16"/>
          <w:szCs w:val="20"/>
        </w:rPr>
      </w:pPr>
    </w:p>
    <w:p w:rsidR="001054E0" w:rsidRPr="005565F8" w:rsidP="002D47FA" w14:paraId="06B704E9" w14:textId="77777777">
      <w:pPr>
        <w:pStyle w:val="ListParagraph"/>
        <w:shd w:val="clear" w:color="auto" w:fill="B8CCE4" w:themeFill="accent1" w:themeFillTint="66"/>
        <w:tabs>
          <w:tab w:val="left" w:pos="426"/>
          <w:tab w:val="right" w:pos="9639"/>
        </w:tabs>
        <w:spacing w:after="0"/>
        <w:ind w:left="0" w:right="-1"/>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5760000" cy="216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32C6" w:rsidRPr="005565F8" w:rsidP="00E02326" w14:paraId="3644145E" w14:textId="77777777">
      <w:pPr>
        <w:pStyle w:val="ListParagraph"/>
        <w:shd w:val="clear" w:color="auto" w:fill="B8CCE4"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 xml:space="preserve">Avots: </w:t>
      </w:r>
      <w:r w:rsidRPr="005565F8" w:rsidR="00124E5E">
        <w:rPr>
          <w:rFonts w:ascii="Calibri Light" w:hAnsi="Calibri Light"/>
          <w:color w:val="595959" w:themeColor="text1" w:themeTint="A6"/>
          <w:sz w:val="16"/>
          <w:szCs w:val="20"/>
        </w:rPr>
        <w:t>CSP</w:t>
      </w:r>
    </w:p>
    <w:p w:rsidR="002132C6" w:rsidRPr="005565F8" w:rsidP="00E02326" w14:paraId="6CCE3D0D" w14:textId="77777777">
      <w:pPr>
        <w:pStyle w:val="ListParagraph"/>
        <w:shd w:val="clear" w:color="auto" w:fill="B8CCE4"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2015.gadam datu avots: SPKC (Slimību profilakses un kontroles centrs)</w:t>
      </w:r>
    </w:p>
    <w:p w:rsidR="002132C6" w:rsidRPr="005565F8" w:rsidP="00E02326" w14:paraId="3F0912EF" w14:textId="77777777">
      <w:pPr>
        <w:pStyle w:val="ListParagraph"/>
        <w:shd w:val="clear" w:color="auto" w:fill="B8CCE4"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 xml:space="preserve">2020.gadam – Nacionālajā attīstības plānā 2014.-2020.gadam un Sabiedrības veselības </w:t>
      </w:r>
    </w:p>
    <w:p w:rsidR="001054E0" w:rsidRPr="005565F8" w:rsidP="00E02326" w14:paraId="5A28345D" w14:textId="77777777">
      <w:pPr>
        <w:pStyle w:val="ListParagraph"/>
        <w:shd w:val="clear" w:color="auto" w:fill="B8CCE4"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565F8">
        <w:rPr>
          <w:rFonts w:ascii="Calibri Light" w:hAnsi="Calibri Light"/>
          <w:color w:val="595959" w:themeColor="text1" w:themeTint="A6"/>
          <w:sz w:val="16"/>
          <w:szCs w:val="20"/>
        </w:rPr>
        <w:t>pamatnostādnēs 2014.-2020.gadam definēts mērķis</w:t>
      </w:r>
    </w:p>
    <w:p w:rsidR="002132C6" w:rsidRPr="005565F8" w:rsidP="00E02326" w14:paraId="536DAFF2" w14:textId="77777777">
      <w:pPr>
        <w:pStyle w:val="ListParagraph"/>
        <w:shd w:val="clear" w:color="auto" w:fill="B8CCE4" w:themeFill="accent1" w:themeFillTint="66"/>
        <w:tabs>
          <w:tab w:val="left" w:pos="426"/>
          <w:tab w:val="right" w:pos="9639"/>
        </w:tabs>
        <w:spacing w:after="0"/>
        <w:ind w:left="0" w:right="-1" w:firstLine="142"/>
        <w:contextualSpacing w:val="0"/>
        <w:rPr>
          <w:rFonts w:ascii="Calibri Light" w:hAnsi="Calibri Light"/>
          <w:color w:val="595959" w:themeColor="text1" w:themeTint="A6"/>
          <w:sz w:val="8"/>
          <w:szCs w:val="20"/>
        </w:rPr>
      </w:pPr>
    </w:p>
    <w:p w:rsidR="00AD460D" w:rsidRPr="005565F8" w:rsidP="001054E0" w14:paraId="3203C0CA" w14:textId="77777777">
      <w:pPr>
        <w:rPr>
          <w:bCs/>
          <w:kern w:val="36"/>
        </w:rPr>
      </w:pPr>
    </w:p>
    <w:p w:rsidR="00F73AE1" w:rsidRPr="005565F8" w:rsidP="001054E0" w14:paraId="5507D21C" w14:textId="77777777">
      <w:pPr>
        <w:rPr>
          <w:bCs/>
          <w:kern w:val="36"/>
        </w:rPr>
        <w:sectPr w:rsidSect="005D1AD0">
          <w:type w:val="continuous"/>
          <w:pgSz w:w="11906" w:h="16838" w:code="9"/>
          <w:pgMar w:top="1134" w:right="1134" w:bottom="1134" w:left="1134" w:header="709" w:footer="567" w:gutter="0"/>
          <w:cols w:space="340"/>
          <w:titlePg/>
          <w:docGrid w:linePitch="360"/>
        </w:sectPr>
      </w:pPr>
    </w:p>
    <w:p w:rsidR="001054E0" w:rsidRPr="005565F8" w:rsidP="001054E0" w14:paraId="28145603" w14:textId="77777777">
      <w:pPr>
        <w:rPr>
          <w:lang w:eastAsia="lv-LV"/>
        </w:rPr>
      </w:pPr>
      <w:r w:rsidRPr="005565F8">
        <w:rPr>
          <w:bCs/>
          <w:kern w:val="36"/>
        </w:rPr>
        <w:t xml:space="preserve">Saskaņā ar </w:t>
      </w:r>
      <w:r w:rsidRPr="005565F8">
        <w:rPr>
          <w:bCs/>
          <w:i/>
          <w:kern w:val="36"/>
        </w:rPr>
        <w:t>Sabiedrības veselības pamatnostādņu 2014.-2020. gadam</w:t>
      </w:r>
      <w:r w:rsidRPr="005565F8">
        <w:rPr>
          <w:bCs/>
          <w:kern w:val="36"/>
        </w:rPr>
        <w:t xml:space="preserve"> īstenošanas </w:t>
      </w:r>
      <w:r w:rsidRPr="005565F8">
        <w:rPr>
          <w:bCs/>
          <w:kern w:val="36"/>
        </w:rPr>
        <w:t>vidusposma</w:t>
      </w:r>
      <w:r w:rsidRPr="005565F8">
        <w:rPr>
          <w:bCs/>
          <w:kern w:val="36"/>
        </w:rPr>
        <w:t xml:space="preserve"> (2014.-2016. gadā) novērtējumu noteikto mērķi – par 11% samazināt PZMG (līdz 64 </w:t>
      </w:r>
      <w:r w:rsidRPr="005565F8">
        <w:rPr>
          <w:bCs/>
          <w:kern w:val="36"/>
        </w:rPr>
        <w:t>g.v</w:t>
      </w:r>
      <w:r w:rsidRPr="005565F8">
        <w:rPr>
          <w:bCs/>
          <w:kern w:val="36"/>
        </w:rPr>
        <w:t>.) rādītāju (2020. gadā sasniegt 5300 uz 100 000 iedzīvotāju), secināts, ka</w:t>
      </w:r>
      <w:r w:rsidRPr="005565F8">
        <w:rPr>
          <w:rFonts w:eastAsia="Times New Roman"/>
          <w:lang w:eastAsia="lv-LV"/>
        </w:rPr>
        <w:t xml:space="preserve"> </w:t>
      </w:r>
      <w:r w:rsidRPr="005565F8">
        <w:rPr>
          <w:bCs/>
          <w:kern w:val="36"/>
        </w:rPr>
        <w:t xml:space="preserve">virzība uz mērķi notiek strauji un 2016. gadā PZMG </w:t>
      </w:r>
      <w:r w:rsidRPr="005565F8">
        <w:rPr>
          <w:bCs/>
          <w:kern w:val="36"/>
        </w:rPr>
        <w:t>plānotā sasniedzamā vērtība 2020. gadā ir jau sasniegta par 98,8% (5366 uz 100 000 iedzīvotāju).</w:t>
      </w:r>
    </w:p>
    <w:p w:rsidR="001054E0" w:rsidRPr="005565F8" w:rsidP="001054E0" w14:paraId="2F3482C3" w14:textId="77777777">
      <w:pPr>
        <w:spacing w:before="120"/>
      </w:pPr>
      <w:r w:rsidRPr="005565F8">
        <w:t>Lai izveidotu ilgtspējīgu veselības aprūpes sistēmu un uzlabotu veselības aprūpes pakalpojumu kvalitāti un pieejamību Latvijas iedzīvotājiem, tiek turpināta veselības reformu īstenošana.</w:t>
      </w:r>
    </w:p>
    <w:p w:rsidR="000917D3" w:rsidRPr="005565F8" w:rsidP="00F73AE1" w14:paraId="0C894C3C"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F73AE1" w:rsidRPr="005565F8" w:rsidP="00F73AE1" w14:paraId="1169BC26"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F73AE1" w:rsidRPr="005565F8" w:rsidP="00F73AE1" w14:paraId="2063C9C9"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Veselības aprūpes finansēšanas modelis, veselības aprūpes pakalpojumu grozs, tarifi un pakalpojumu pieejamība</w:t>
      </w:r>
    </w:p>
    <w:p w:rsidR="00F73AE1" w:rsidRPr="005565F8" w:rsidP="00F73AE1" w14:paraId="2F40DE8A"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VM/</w:t>
      </w:r>
    </w:p>
    <w:p w:rsidR="000917D3" w:rsidRPr="005565F8" w:rsidP="00B22046" w14:paraId="66A628A6"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932C2C" w:rsidRPr="005565F8" w:rsidP="00F73AE1" w14:paraId="0F726450" w14:textId="77777777">
      <w:pPr>
        <w:spacing w:before="240"/>
        <w:rPr>
          <w:lang w:eastAsia="lv-LV"/>
        </w:rPr>
      </w:pPr>
      <w:r w:rsidRPr="005565F8">
        <w:rPr>
          <w:lang w:eastAsia="lv-LV"/>
        </w:rPr>
        <w:t>Veselības aprūpes reformu mērķis ir palielināt iedzīvotāju veselīgi nodzīvoto mūža gadu skaitu un nodrošināt nepieciešamos cilvēkresursus veselības aprūpes sistēmā, uzlabojot no valsts budžeta līdzekļiem apmaksāto veselības aprūpes pakalpojumu kvalitāti un pieejamību, kā arī palielinot ārstniecības personu darba samaksu.</w:t>
      </w:r>
    </w:p>
    <w:p w:rsidR="001054E0" w:rsidRPr="005565F8" w:rsidP="004F1E46" w14:paraId="327F1C24" w14:textId="77777777">
      <w:pPr>
        <w:spacing w:before="240"/>
        <w:rPr>
          <w:lang w:eastAsia="lv-LV"/>
        </w:rPr>
      </w:pPr>
      <w:r w:rsidRPr="005565F8">
        <w:rPr>
          <w:lang w:eastAsia="lv-LV"/>
        </w:rPr>
        <w:t>2017.</w:t>
      </w:r>
      <w:r w:rsidRPr="005565F8">
        <w:rPr>
          <w:lang w:eastAsia="lv-LV"/>
        </w:rPr>
        <w:t xml:space="preserve">gadā </w:t>
      </w:r>
      <w:r w:rsidRPr="005565F8">
        <w:t xml:space="preserve">MK pieņēma </w:t>
      </w:r>
      <w:r w:rsidRPr="005565F8">
        <w:rPr>
          <w:i/>
        </w:rPr>
        <w:t>K</w:t>
      </w:r>
      <w:r w:rsidRPr="005565F8">
        <w:rPr>
          <w:i/>
        </w:rPr>
        <w:t xml:space="preserve">onceptuālo ziņojumu </w:t>
      </w:r>
      <w:r w:rsidRPr="005565F8">
        <w:rPr>
          <w:i/>
        </w:rPr>
        <w:t>p</w:t>
      </w:r>
      <w:r w:rsidRPr="005565F8">
        <w:rPr>
          <w:i/>
        </w:rPr>
        <w:t>ar veselības aprūpes sistēmas reformu</w:t>
      </w:r>
      <w:r w:rsidRPr="005565F8">
        <w:t>, kurā paredzēts papildus finansējums ambulatoro un stacionāro veselības aprūpes pakalpojumu pieejamības uzlabošanai, ārstniecības personu darba samaksas palielinājumam, ārstniecības pakalpojumu tarifa elementu palielināšanai, medicīnas izglītības nodrošināšanai, kompensējamo un centralizēti iepērkamo medikamentu apmaksai.</w:t>
      </w:r>
    </w:p>
    <w:p w:rsidR="001054E0" w:rsidRPr="005565F8" w:rsidP="00124E5E" w14:paraId="51676B11" w14:textId="77777777">
      <w:r w:rsidRPr="005565F8">
        <w:t xml:space="preserve">2017. gada nogalē MK pieņēma </w:t>
      </w:r>
      <w:r w:rsidRPr="005565F8" w:rsidR="00932C2C">
        <w:rPr>
          <w:i/>
        </w:rPr>
        <w:t>I</w:t>
      </w:r>
      <w:r w:rsidRPr="005565F8">
        <w:rPr>
          <w:i/>
        </w:rPr>
        <w:t xml:space="preserve">nformatīvo ziņojumu </w:t>
      </w:r>
      <w:r w:rsidRPr="005565F8" w:rsidR="00932C2C">
        <w:rPr>
          <w:i/>
        </w:rPr>
        <w:t>p</w:t>
      </w:r>
      <w:r w:rsidRPr="005565F8">
        <w:rPr>
          <w:i/>
        </w:rPr>
        <w:t>ar veselības reformas pasākumu īstenošanu 2018. gadā</w:t>
      </w:r>
      <w:r w:rsidRPr="005565F8">
        <w:t xml:space="preserve">, kurā iekļauti pasākumi veselības aprūpes pakalpojumu pieejamības uzlabošanai 113,4 milj. EUR apmērā </w:t>
      </w:r>
      <w:r w:rsidRPr="005565F8">
        <w:rPr>
          <w:lang w:eastAsia="lv-LV"/>
        </w:rPr>
        <w:t>šādiem veselības aprūpes pasākumiem:</w:t>
      </w:r>
    </w:p>
    <w:p w:rsidR="001054E0" w:rsidRPr="005565F8" w:rsidP="004F1E46" w14:paraId="07834ACA" w14:textId="77777777">
      <w:pPr>
        <w:numPr>
          <w:ilvl w:val="0"/>
          <w:numId w:val="21"/>
        </w:numPr>
        <w:spacing w:after="0"/>
        <w:ind w:left="284" w:hanging="284"/>
        <w:rPr>
          <w:rFonts w:eastAsia="Times New Roman"/>
          <w:color w:val="000000" w:themeColor="text1"/>
        </w:rPr>
      </w:pPr>
      <w:r w:rsidRPr="005565F8">
        <w:rPr>
          <w:rFonts w:eastAsia="Times New Roman"/>
          <w:color w:val="000000" w:themeColor="text1"/>
        </w:rPr>
        <w:t>veselības aprūpes pakalpojumu pieejamībai (46,</w:t>
      </w:r>
      <w:r w:rsidRPr="005565F8" w:rsidR="00F73AE1">
        <w:rPr>
          <w:rFonts w:eastAsia="Times New Roman"/>
          <w:color w:val="000000" w:themeColor="text1"/>
        </w:rPr>
        <w:t>1</w:t>
      </w:r>
      <w:r w:rsidRPr="005565F8">
        <w:rPr>
          <w:rFonts w:eastAsia="Times New Roman"/>
          <w:color w:val="000000" w:themeColor="text1"/>
        </w:rPr>
        <w:t> milj. EUR);</w:t>
      </w:r>
    </w:p>
    <w:p w:rsidR="001054E0" w:rsidRPr="005565F8" w:rsidP="004F1E46" w14:paraId="52D8D22B" w14:textId="77777777">
      <w:pPr>
        <w:numPr>
          <w:ilvl w:val="0"/>
          <w:numId w:val="21"/>
        </w:numPr>
        <w:spacing w:after="0"/>
        <w:ind w:left="284" w:hanging="284"/>
        <w:rPr>
          <w:rFonts w:eastAsia="Times New Roman"/>
          <w:color w:val="000000" w:themeColor="text1"/>
        </w:rPr>
      </w:pPr>
      <w:r w:rsidRPr="005565F8">
        <w:rPr>
          <w:rFonts w:eastAsia="Times New Roman"/>
          <w:color w:val="000000" w:themeColor="text1"/>
        </w:rPr>
        <w:t>onkoloģ</w:t>
      </w:r>
      <w:r w:rsidRPr="005565F8" w:rsidR="00932C2C">
        <w:rPr>
          <w:rFonts w:eastAsia="Times New Roman"/>
          <w:color w:val="000000" w:themeColor="text1"/>
        </w:rPr>
        <w:t>isko slimību ārstēšanai</w:t>
      </w:r>
      <w:r w:rsidRPr="005565F8">
        <w:rPr>
          <w:rFonts w:eastAsia="Times New Roman"/>
          <w:color w:val="000000" w:themeColor="text1"/>
        </w:rPr>
        <w:t xml:space="preserve"> (29,9 milj. EUR);</w:t>
      </w:r>
    </w:p>
    <w:p w:rsidR="001054E0" w:rsidRPr="005565F8" w:rsidP="004F1E46" w14:paraId="63038A98" w14:textId="77777777">
      <w:pPr>
        <w:numPr>
          <w:ilvl w:val="0"/>
          <w:numId w:val="21"/>
        </w:numPr>
        <w:spacing w:after="0"/>
        <w:ind w:left="284" w:hanging="284"/>
        <w:rPr>
          <w:rFonts w:eastAsia="Times New Roman"/>
          <w:color w:val="000000" w:themeColor="text1"/>
        </w:rPr>
      </w:pPr>
      <w:r w:rsidRPr="005565F8">
        <w:rPr>
          <w:rFonts w:eastAsia="Times New Roman"/>
          <w:color w:val="000000" w:themeColor="text1"/>
        </w:rPr>
        <w:t>infekcijas slimību izplatības mazināšanai (16,7 milj. </w:t>
      </w:r>
      <w:r w:rsidRPr="005565F8" w:rsidR="004F1E46">
        <w:rPr>
          <w:rFonts w:eastAsia="Times New Roman"/>
          <w:color w:val="000000" w:themeColor="text1"/>
        </w:rPr>
        <w:t>EUR</w:t>
      </w:r>
      <w:r w:rsidRPr="005565F8" w:rsidR="00BD3CBF">
        <w:rPr>
          <w:rFonts w:eastAsia="Times New Roman"/>
          <w:color w:val="000000" w:themeColor="text1"/>
        </w:rPr>
        <w:t>), t.sk. C hepatīta un HIV infekcijas ārstēšanai;</w:t>
      </w:r>
    </w:p>
    <w:p w:rsidR="004F1E46" w:rsidRPr="005565F8" w:rsidP="004F1E46" w14:paraId="19E8D44B" w14:textId="77777777">
      <w:pPr>
        <w:numPr>
          <w:ilvl w:val="0"/>
          <w:numId w:val="21"/>
        </w:numPr>
        <w:spacing w:after="0"/>
        <w:ind w:left="284" w:hanging="284"/>
        <w:rPr>
          <w:rFonts w:eastAsia="Times New Roman"/>
          <w:color w:val="000000" w:themeColor="text1"/>
        </w:rPr>
      </w:pPr>
      <w:r w:rsidRPr="005565F8">
        <w:rPr>
          <w:rFonts w:eastAsia="Times New Roman"/>
          <w:color w:val="000000" w:themeColor="text1"/>
        </w:rPr>
        <w:t xml:space="preserve">primārās veselības aprūpes sistēmas kvalitātes un pieejamības </w:t>
      </w:r>
      <w:r w:rsidRPr="005565F8">
        <w:rPr>
          <w:rFonts w:eastAsia="Times New Roman"/>
          <w:color w:val="000000" w:themeColor="text1"/>
        </w:rPr>
        <w:t>uzlabošanaI</w:t>
      </w:r>
      <w:r w:rsidRPr="005565F8">
        <w:rPr>
          <w:rFonts w:eastAsia="Times New Roman"/>
          <w:color w:val="000000" w:themeColor="text1"/>
        </w:rPr>
        <w:t xml:space="preserve"> (9,7 milj. EUR);</w:t>
      </w:r>
    </w:p>
    <w:p w:rsidR="00124E5E" w:rsidRPr="005565F8" w:rsidP="004F1E46" w14:paraId="14250A61" w14:textId="77777777">
      <w:pPr>
        <w:numPr>
          <w:ilvl w:val="0"/>
          <w:numId w:val="21"/>
        </w:numPr>
        <w:ind w:left="284" w:hanging="284"/>
        <w:rPr>
          <w:rFonts w:eastAsia="Times New Roman"/>
          <w:color w:val="000000" w:themeColor="text1"/>
        </w:rPr>
      </w:pPr>
      <w:r w:rsidRPr="005565F8">
        <w:rPr>
          <w:rFonts w:eastAsia="Times New Roman"/>
          <w:color w:val="000000" w:themeColor="text1"/>
        </w:rPr>
        <w:t>kardiovaskulārās</w:t>
      </w:r>
      <w:r w:rsidRPr="005565F8">
        <w:rPr>
          <w:rFonts w:eastAsia="Times New Roman"/>
          <w:color w:val="000000" w:themeColor="text1"/>
        </w:rPr>
        <w:t xml:space="preserve"> saslimstības mazināšana un slimību ārstēšanas efektivitātes </w:t>
      </w:r>
      <w:r w:rsidRPr="005565F8">
        <w:rPr>
          <w:rFonts w:eastAsia="Times New Roman"/>
          <w:color w:val="000000" w:themeColor="text1"/>
        </w:rPr>
        <w:t>uzlabošanaI</w:t>
      </w:r>
      <w:r w:rsidRPr="005565F8">
        <w:rPr>
          <w:rFonts w:eastAsia="Times New Roman"/>
          <w:color w:val="000000" w:themeColor="text1"/>
        </w:rPr>
        <w:t xml:space="preserve"> </w:t>
      </w:r>
      <w:r w:rsidRPr="005565F8">
        <w:rPr>
          <w:rFonts w:eastAsia="Times New Roman"/>
          <w:color w:val="000000" w:themeColor="text1"/>
        </w:rPr>
        <w:br/>
        <w:t>(11 milj. EUR).</w:t>
      </w:r>
    </w:p>
    <w:p w:rsidR="00E02326" w:rsidP="00124E5E" w14:paraId="50A1472D" w14:textId="77777777"/>
    <w:p w:rsidR="001054E0" w:rsidRPr="005565F8" w:rsidP="00124E5E" w14:paraId="6C0BE980" w14:textId="6264D08B">
      <w:r w:rsidRPr="005565F8">
        <w:t xml:space="preserve">Ar 2018. gada 1. janvāri valsts apmaksāto veselības aprūpes pakalpojumu klāstā ir iekļauta aknu transplantācija un </w:t>
      </w:r>
      <w:r w:rsidRPr="005565F8">
        <w:t>aortālā</w:t>
      </w:r>
      <w:r w:rsidRPr="005565F8">
        <w:t xml:space="preserve"> vārstuļa </w:t>
      </w:r>
      <w:r w:rsidRPr="005565F8">
        <w:t>transkatetrālā</w:t>
      </w:r>
      <w:r w:rsidRPr="005565F8">
        <w:t xml:space="preserve"> implantācij</w:t>
      </w:r>
      <w:r w:rsidRPr="005565F8" w:rsidR="008F3D2E">
        <w:t>a</w:t>
      </w:r>
      <w:r w:rsidRPr="005565F8">
        <w:t>, kā arī diabēta apmācības kabineta pakalpojumi. Tāpat ar 2018. gada 1. jūliju tiks nodrošināta pozitronu emisijas tomogrāfijas izmeklējumi personām ar aizdomām par ļaundabīgu audzēju noteiktām lokalizācijām.</w:t>
      </w:r>
    </w:p>
    <w:p w:rsidR="0005717D" w:rsidRPr="005565F8" w:rsidP="00124E5E" w14:paraId="2009D188" w14:textId="77777777">
      <w:pPr>
        <w:rPr>
          <w:bCs/>
          <w:lang w:eastAsia="lv-LV"/>
        </w:rPr>
      </w:pPr>
      <w:r w:rsidRPr="005565F8">
        <w:t>Par papildu finansējumu no EK piešķirtās budžeta deficīta atkāpes 2017. gada 1. pusgadā tika nodrošināti jaunās paaudzes medikamenti un īstenota atbilstoša ārstēšana 140 </w:t>
      </w:r>
      <w:r w:rsidRPr="005565F8">
        <w:t>vīrushepatīta</w:t>
      </w:r>
      <w:r w:rsidRPr="005565F8">
        <w:t xml:space="preserve"> C pacientiem F3-F4 stadijā, nodrošinātas speciālistu konsultācijas 7 976 onkoloģiskajiem pacientiem, 8 126 izmeklējumi onkoloģisko slimību primārās diagnostikas algoritmu ieviešanai, sekundārā diagnostika un izmeklējumi 7 267 onkoloģiskajiem pacientiem, staru terapija un ķīmijterapija 1 363 onkoloģiskajiem pacientiem, </w:t>
      </w:r>
      <w:r w:rsidRPr="005565F8">
        <w:t>kompensējamie medikamenti 3 117 onkoloģiskajiem pacientiem.</w:t>
      </w:r>
      <w:r w:rsidRPr="005565F8">
        <w:rPr>
          <w:bCs/>
          <w:lang w:eastAsia="lv-LV"/>
        </w:rPr>
        <w:t xml:space="preserve"> </w:t>
      </w:r>
      <w:r w:rsidRPr="005565F8" w:rsidR="00C14C8D">
        <w:rPr>
          <w:bCs/>
          <w:lang w:eastAsia="lv-LV"/>
        </w:rPr>
        <w:t>2017.</w:t>
      </w:r>
      <w:r w:rsidRPr="005565F8">
        <w:rPr>
          <w:bCs/>
          <w:lang w:eastAsia="lv-LV"/>
        </w:rPr>
        <w:t xml:space="preserve">gada 1.pusgadā </w:t>
      </w:r>
      <w:r w:rsidRPr="005565F8">
        <w:t xml:space="preserve">samazināts rindu garums uz speciālistu pakalpojumiem </w:t>
      </w:r>
      <w:r w:rsidRPr="005565F8" w:rsidR="00014B98">
        <w:t xml:space="preserve">vidēji </w:t>
      </w:r>
      <w:r w:rsidRPr="005565F8">
        <w:t xml:space="preserve">par 24,3%, samazināts rindu garums uz izmeklējumiem un terapiju </w:t>
      </w:r>
      <w:r w:rsidRPr="005565F8" w:rsidR="00014B98">
        <w:t xml:space="preserve">vidēji </w:t>
      </w:r>
      <w:r w:rsidRPr="005565F8">
        <w:t>par 12,4%, samazināts rindu garum</w:t>
      </w:r>
      <w:r w:rsidRPr="005565F8" w:rsidR="00C14C8D">
        <w:t>s</w:t>
      </w:r>
      <w:r w:rsidRPr="005565F8">
        <w:t xml:space="preserve"> uz dienas stacionāra pakalpojumiem </w:t>
      </w:r>
      <w:r w:rsidRPr="005565F8" w:rsidR="00014B98">
        <w:t xml:space="preserve">vidēji </w:t>
      </w:r>
      <w:r w:rsidRPr="005565F8">
        <w:t xml:space="preserve">par 39,4% un samazināts rindu garums ambulatorajā rehabilitācijā </w:t>
      </w:r>
      <w:r w:rsidRPr="005565F8" w:rsidR="00014B98">
        <w:t xml:space="preserve">vidēji </w:t>
      </w:r>
      <w:r w:rsidRPr="005565F8">
        <w:t xml:space="preserve">par 6%. </w:t>
      </w:r>
      <w:r w:rsidRPr="005565F8">
        <w:rPr>
          <w:bCs/>
          <w:lang w:eastAsia="lv-LV"/>
        </w:rPr>
        <w:t>2017.gads bija pirmais gads pēc krīzes, kad nav beigušās kvotas uz valsts apmaksātajiem veselības aprūpes pakalpojumiem.</w:t>
      </w:r>
    </w:p>
    <w:p w:rsidR="001054E0" w:rsidRPr="005565F8" w:rsidP="00124E5E" w14:paraId="33B815F7" w14:textId="77777777">
      <w:pPr>
        <w:rPr>
          <w:bCs/>
          <w:lang w:eastAsia="lv-LV"/>
        </w:rPr>
      </w:pPr>
      <w:r w:rsidRPr="005565F8">
        <w:rPr>
          <w:bCs/>
          <w:lang w:eastAsia="lv-LV"/>
        </w:rPr>
        <w:t xml:space="preserve">2016. gadā MK pieņemot </w:t>
      </w:r>
      <w:r w:rsidRPr="005565F8" w:rsidR="008E2565">
        <w:rPr>
          <w:bCs/>
          <w:i/>
          <w:lang w:eastAsia="lv-LV"/>
        </w:rPr>
        <w:t>K</w:t>
      </w:r>
      <w:r w:rsidRPr="005565F8">
        <w:rPr>
          <w:bCs/>
          <w:i/>
          <w:lang w:eastAsia="lv-LV"/>
        </w:rPr>
        <w:t>onceptuālo ziņojumu par veselības aprūpes finansēšanas modeļa maiņu</w:t>
      </w:r>
      <w:r w:rsidRPr="005565F8">
        <w:rPr>
          <w:bCs/>
          <w:lang w:eastAsia="lv-LV"/>
        </w:rPr>
        <w:t xml:space="preserve">, tika atbalstīta valsts universālā obligātā veselības apdrošināšanas ieviešana no valsts budžeta. 2017. gada vidū Saeimā tika pieņemti </w:t>
      </w:r>
      <w:r w:rsidRPr="005565F8" w:rsidR="008E2565">
        <w:rPr>
          <w:i/>
        </w:rPr>
        <w:t>G</w:t>
      </w:r>
      <w:r w:rsidRPr="005565F8">
        <w:rPr>
          <w:i/>
        </w:rPr>
        <w:t xml:space="preserve">rozījumi likumā </w:t>
      </w:r>
      <w:r w:rsidRPr="005565F8" w:rsidR="008E2565">
        <w:rPr>
          <w:i/>
        </w:rPr>
        <w:t>p</w:t>
      </w:r>
      <w:r w:rsidRPr="005565F8">
        <w:rPr>
          <w:i/>
        </w:rPr>
        <w:t xml:space="preserve">ar valsts sociālo apdrošināšanu, </w:t>
      </w:r>
      <w:r w:rsidRPr="005565F8">
        <w:rPr>
          <w:bCs/>
          <w:lang w:eastAsia="lv-LV"/>
        </w:rPr>
        <w:t xml:space="preserve">kas nosaka, ka obligāto iemaksu daļa, kas atbilst vienam procentpunktam no obligāto iemaksu likmes, ir paredzēta veselības aprūpes pakalpojumu finansēšanai. Secīgi 2017. gadā Saeimā tika pieņemts </w:t>
      </w:r>
      <w:r w:rsidRPr="005565F8">
        <w:rPr>
          <w:bCs/>
          <w:i/>
          <w:lang w:eastAsia="lv-LV"/>
        </w:rPr>
        <w:t>Veselības aprūpes finansēšanas likums</w:t>
      </w:r>
      <w:r w:rsidRPr="005565F8">
        <w:rPr>
          <w:bCs/>
          <w:lang w:eastAsia="lv-LV"/>
        </w:rPr>
        <w:t>, kurš nosaka turpmāk veselības aprūpes pakalpojumus dalīt divos grozos – pamatpakalpojumu grozā un pilnajā pakalpojumu grozā. Jaunais regulējums paredz valsts apmaksātās medicīniskās palīdzības minimumu, ko saņems visi iedzīvotāji neatkarīgi no iemaksu veikšanas veselības apdrošināšanai. Tajā ietilps neatliekamā medicīniskā palīdzība, dzemdību palīdzība, ģimenes ārsta sniegtie pakalpojumi, medicīniskās ierīces, kā arī tādu slimību ārstēšanu, kurām ir nozīmīga ietekme uz sabiedrības veselību vai apdraudējumu sabiedrības veselībai, piemēram, psihiskas saslimšanas, tuberkuloze un infekcijas slimības, kā arī zāles šo slimību ārstēšanai. Savukārt, lai papildus veselības aprūpes minimumam varētu saņemt arī vēl citus valsts apmaksātus pakalpojumus, iedzīvotājiem būs jāpiedalās valsts obligātajā veselības apdrošināšanā. Tiesības uz apdrošināšanas grozā iekļautajiem pakalpojumiem būs sociāli apdrošinātai personai, kā arī tiem, kuri brīvprātīgi veikuši veselības apdrošināšanas iemaksas. Tāpat ir iedzīvotāju grupas, kurām ir tiesības saņemt pilnu pakalpojumu grozu, tostarp, bērni, pensionāri, reģistrētie bezdarbnieki un citas likumā noteiktas kategorijas.</w:t>
      </w:r>
    </w:p>
    <w:p w:rsidR="000917D3" w:rsidRPr="005565F8" w:rsidP="00124E5E" w14:paraId="382F6A1D" w14:textId="77777777">
      <w:pPr>
        <w:sectPr w:rsidSect="005D1AD0">
          <w:type w:val="continuous"/>
          <w:pgSz w:w="11906" w:h="16838" w:code="9"/>
          <w:pgMar w:top="1134" w:right="1134" w:bottom="1134" w:left="1134" w:header="709" w:footer="567" w:gutter="0"/>
          <w:cols w:num="2" w:space="340"/>
          <w:titlePg/>
          <w:docGrid w:linePitch="360"/>
        </w:sectPr>
      </w:pPr>
      <w:r w:rsidRPr="005565F8">
        <w:t xml:space="preserve">Lai nodrošinātu efektīvu un savlaicīgu izmeklēšanu un ārstēšanas uzsākšanu vairāku onkoloģisko saslimšanu gadījumos, tiek turpināta un attīstīta 2016. gada 1. oktobrī ieviestā </w:t>
      </w:r>
      <w:r w:rsidRPr="005565F8">
        <w:rPr>
          <w:i/>
        </w:rPr>
        <w:t>„zaļā koridora”</w:t>
      </w:r>
      <w:r w:rsidRPr="005565F8">
        <w:t xml:space="preserve"> darbība. 2017. gada 1. janvāra noteikta kārtība ļaundabīgo audzēju sekundārai diagnostikai noteiktām lokalizācijām, nosakot, kā organizējami un nodrošināmi diagnostiskie izmeklējumi un uzsākama specifiska onkoloģisko slimnieku ārstēšana, vienlaikus paredzot, </w:t>
      </w:r>
      <w:r w:rsidRPr="005565F8">
        <w:t>ka ārstu konsīlijam jāpieņem lēmums par pacienta ārstēšanas taktiku ne vēlāk kā mēneša laikā pēc pirmās speciālista konsultācijas.</w:t>
      </w:r>
    </w:p>
    <w:p w:rsidR="00F73AE1" w:rsidRPr="005565F8" w:rsidP="00124E5E" w14:paraId="0E06BC05" w14:textId="77777777"/>
    <w:p w:rsidR="00F73AE1" w:rsidRPr="005565F8" w:rsidP="00F73AE1" w14:paraId="3367CB5B"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Ārstniecības iestāžu kartējums, infrastruktūras, veselības aprūpes cilvēkresursu attīstības un veselības aprūpes sistēmas pārvaldības jautājumi</w:t>
      </w:r>
    </w:p>
    <w:p w:rsidR="00F73AE1" w:rsidRPr="005565F8" w:rsidP="00F73AE1" w14:paraId="2FF13D1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VM/</w:t>
      </w:r>
    </w:p>
    <w:p w:rsidR="000917D3" w:rsidRPr="005565F8" w:rsidP="00B22046" w14:paraId="54C1B628"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1054E0" w:rsidRPr="005565F8" w:rsidP="00F73AE1" w14:paraId="267600B6" w14:textId="77777777">
      <w:pPr>
        <w:spacing w:before="240"/>
      </w:pPr>
      <w:r w:rsidRPr="005565F8">
        <w:t xml:space="preserve">2016. gada decembrī MK apstiprināts </w:t>
      </w:r>
      <w:r w:rsidRPr="005565F8" w:rsidR="00A43F09">
        <w:rPr>
          <w:i/>
        </w:rPr>
        <w:t>I</w:t>
      </w:r>
      <w:r w:rsidRPr="005565F8">
        <w:rPr>
          <w:i/>
        </w:rPr>
        <w:t>nformatīvais ziņojums par sistēmiski svarīgo ārstniecības iestāžu kartējumu un attīstības reformu</w:t>
      </w:r>
      <w:r w:rsidRPr="005565F8">
        <w:t xml:space="preserve">. 2016. gada beigās apstiprināti ieviešanas nosacījumi ES 2014.-2020. gada plānošanas perioda investīcijām augstākā līmeņa slimnīcās (universitāšu, reģionālajās un </w:t>
      </w:r>
      <w:r w:rsidRPr="005565F8">
        <w:t>monoprofila</w:t>
      </w:r>
      <w:r w:rsidRPr="005565F8">
        <w:t xml:space="preserve"> (rehabilitācija, dzemdniecība un traumatoloģija)). </w:t>
      </w:r>
      <w:r w:rsidRPr="005565F8">
        <w:rPr>
          <w:i/>
        </w:rPr>
        <w:t xml:space="preserve">Konceptuālajā ziņojumā </w:t>
      </w:r>
      <w:r w:rsidRPr="005565F8" w:rsidR="00A43F09">
        <w:rPr>
          <w:i/>
        </w:rPr>
        <w:t>p</w:t>
      </w:r>
      <w:r w:rsidRPr="005565F8">
        <w:rPr>
          <w:i/>
        </w:rPr>
        <w:t xml:space="preserve">ar veselības aprūpes sistēmas reformu </w:t>
      </w:r>
      <w:r w:rsidRPr="005565F8">
        <w:t xml:space="preserve">nodefinēts valsts apmaksāto stacionāro veselības aprūpes pakalpojumu sniedzēju sadalījums pa pakalpojumu līmeņiem, steidzamās medicīniskās palīdzības pakalpojumu sniedzēji un iezīmētas stacionāro veselības aprūpes pakalpojumu sniedzēju sadarbības teritorijas, kā arī noteiktas aktivitātes cilvēkresursu piesaistei reģioniem un ārstniecības personu atalgojuma jautājums. Ir uzsākta 1. un 2. kārtas projektu īstenošana kvalitatīvu veselības aprūpes pakalpojumu pieejamības uzlabošanai, kas paredz veikt investīcijas terciārā un reģionālā līmeņa slimnīcās, kā arī </w:t>
      </w:r>
      <w:r w:rsidRPr="005565F8">
        <w:t>monoprofila</w:t>
      </w:r>
      <w:r w:rsidRPr="005565F8">
        <w:t xml:space="preserve"> iestādēs, kas nodrošina rehabilitācijas, dzemdību palīdzības un traumatoloģijas pakalpojumu sniegšanu. 2017. gadā tika noslēgti līgumi ar ārstniecības iestādēm par finansējuma piešķiršanu un uzsākta ES fondu finansējuma apguve.</w:t>
      </w:r>
    </w:p>
    <w:p w:rsidR="001054E0" w:rsidRPr="005565F8" w:rsidP="00124E5E" w14:paraId="18061A57" w14:textId="77777777">
      <w:r w:rsidRPr="005565F8">
        <w:t>2018. gadā MK tika apstiprināti ieviešanas nosacījumi ES fondu investīcijām lokālā līmeņa slimnīcās un plānots tādus izstrādāt un sākt projektu īstenošanu arī ģimenes ārstu prakšu attīstībai.</w:t>
      </w:r>
    </w:p>
    <w:p w:rsidR="001054E0" w:rsidRPr="005565F8" w:rsidP="00124E5E" w14:paraId="3D2D3560" w14:textId="77777777">
      <w:pPr>
        <w:rPr>
          <w:color w:val="000000" w:themeColor="text1"/>
        </w:rPr>
      </w:pPr>
      <w:r w:rsidRPr="005565F8">
        <w:rPr>
          <w:color w:val="000000" w:themeColor="text1"/>
        </w:rPr>
        <w:t xml:space="preserve">Lai nodrošinātu veselības aprūpes cilvēkresursu pieejamību, tiek risināts atalgojuma jautājums. </w:t>
      </w:r>
      <w:r w:rsidRPr="005565F8">
        <w:rPr>
          <w:i/>
          <w:color w:val="000000" w:themeColor="text1"/>
        </w:rPr>
        <w:t xml:space="preserve">Konceptuālajā ziņojumā </w:t>
      </w:r>
      <w:r w:rsidRPr="005565F8" w:rsidR="00A43F09">
        <w:rPr>
          <w:i/>
          <w:color w:val="000000" w:themeColor="text1"/>
        </w:rPr>
        <w:t>p</w:t>
      </w:r>
      <w:r w:rsidRPr="005565F8">
        <w:rPr>
          <w:i/>
        </w:rPr>
        <w:t>ar veselības aprūpes sistēmas reformu</w:t>
      </w:r>
      <w:r w:rsidRPr="005565F8">
        <w:rPr>
          <w:color w:val="000000" w:themeColor="text1"/>
        </w:rPr>
        <w:t xml:space="preserve"> iekļauts aprēķins par nepieciešamo finansējumu ārstniecības personu darba samaksas pieaugumam</w:t>
      </w:r>
      <w:r>
        <w:rPr>
          <w:rStyle w:val="FootnoteReference"/>
          <w:color w:val="000000" w:themeColor="text1"/>
        </w:rPr>
        <w:footnoteReference w:id="55"/>
      </w:r>
      <w:r w:rsidRPr="005565F8">
        <w:rPr>
          <w:color w:val="000000" w:themeColor="text1"/>
        </w:rPr>
        <w:t xml:space="preserve">. Savukārt Saeimā pieņemtie </w:t>
      </w:r>
      <w:r w:rsidRPr="005565F8" w:rsidR="00A43F09">
        <w:rPr>
          <w:i/>
          <w:color w:val="000000" w:themeColor="text1"/>
        </w:rPr>
        <w:t>G</w:t>
      </w:r>
      <w:r w:rsidRPr="005565F8">
        <w:rPr>
          <w:i/>
          <w:color w:val="000000" w:themeColor="text1"/>
        </w:rPr>
        <w:t>rozījumi Ārstniecības likumā</w:t>
      </w:r>
      <w:r w:rsidRPr="005565F8">
        <w:rPr>
          <w:color w:val="000000" w:themeColor="text1"/>
        </w:rPr>
        <w:t xml:space="preserve">, ar kuriem likuma 53.1 pants par pagarināto normālo darba laiku zaudē spēku ar 2020. gada 1. janvāri. </w:t>
      </w:r>
      <w:r w:rsidRPr="005565F8" w:rsidR="00A43F09">
        <w:rPr>
          <w:color w:val="000000" w:themeColor="text1"/>
        </w:rPr>
        <w:t>G</w:t>
      </w:r>
      <w:r w:rsidRPr="005565F8">
        <w:rPr>
          <w:color w:val="000000" w:themeColor="text1"/>
        </w:rPr>
        <w:t>rozījumi</w:t>
      </w:r>
      <w:r w:rsidRPr="005565F8">
        <w:rPr>
          <w:i/>
          <w:color w:val="000000" w:themeColor="text1"/>
        </w:rPr>
        <w:t xml:space="preserve"> </w:t>
      </w:r>
      <w:r w:rsidRPr="005565F8">
        <w:rPr>
          <w:color w:val="000000" w:themeColor="text1"/>
        </w:rPr>
        <w:t xml:space="preserve">nosaka pakāpenisku atteikšanos no pagarinātā normālā darba laika, 2018. un 2019. gadā samazinot pagarinātā normāla darba laiku ilgumu. Vienlaikus, lai nodrošinātu, ka ārstniecības personām tiktu saglabāts vismaz līdzšinējais atalgojums, paredzēts, ka pagarinātā normālā darba laika gadījumā darba samaksu par darba laiku, kas pārsniedz </w:t>
      </w:r>
      <w:r w:rsidRPr="005565F8">
        <w:rPr>
          <w:i/>
          <w:color w:val="000000" w:themeColor="text1"/>
        </w:rPr>
        <w:t>Darba likumā</w:t>
      </w:r>
      <w:r w:rsidRPr="005565F8">
        <w:rPr>
          <w:color w:val="000000" w:themeColor="text1"/>
        </w:rPr>
        <w:t xml:space="preserve"> noteikto normālo darba laiku, nosaka proporcionāli darba laika </w:t>
      </w:r>
      <w:r w:rsidRPr="005565F8">
        <w:rPr>
          <w:color w:val="000000" w:themeColor="text1"/>
        </w:rPr>
        <w:t>pieaugumam (2018. gadā – ne mazāk kā 1,20 noteikto stundas algas likmju apmērā un 2019. gadā – ne mazāk kā 1,35 noteikto stundas algas likmju apmērā). Ārstniecības personu darba samaksas palielināšanai MK ir atbalstījis finansējumu 85,3 milj. EUR apmērā</w:t>
      </w:r>
      <w:r w:rsidRPr="005565F8" w:rsidR="00F05D3A">
        <w:rPr>
          <w:color w:val="000000" w:themeColor="text1"/>
        </w:rPr>
        <w:t xml:space="preserve"> (detalizētāk </w:t>
      </w:r>
      <w:r w:rsidRPr="005565F8" w:rsidR="00F05D3A">
        <w:rPr>
          <w:i/>
          <w:color w:val="000000" w:themeColor="text1"/>
        </w:rPr>
        <w:t>skat. 2.2.nodaļu par veselības reformu īstenošanu</w:t>
      </w:r>
      <w:r w:rsidRPr="005565F8" w:rsidR="00F05D3A">
        <w:rPr>
          <w:color w:val="000000" w:themeColor="text1"/>
        </w:rPr>
        <w:t>)</w:t>
      </w:r>
      <w:r w:rsidRPr="005565F8">
        <w:rPr>
          <w:color w:val="000000" w:themeColor="text1"/>
        </w:rPr>
        <w:t xml:space="preserve">. Savukārt stacionārajās iestādēs, saistībā ar obligātajām piemaksām par diennakts darba režīmu un pagarinātā normālā darba laika pakāpenisku atcelšanu, ārstiem un funkcionālajiem speciālistiem paredzēts </w:t>
      </w:r>
      <w:r w:rsidRPr="005565F8" w:rsidR="003E036B">
        <w:rPr>
          <w:color w:val="000000" w:themeColor="text1"/>
        </w:rPr>
        <w:t xml:space="preserve">vēl lielāks </w:t>
      </w:r>
      <w:r w:rsidRPr="005565F8">
        <w:rPr>
          <w:color w:val="000000" w:themeColor="text1"/>
        </w:rPr>
        <w:t>darba samaksas pieaugums</w:t>
      </w:r>
      <w:r w:rsidRPr="005565F8" w:rsidR="003E036B">
        <w:rPr>
          <w:color w:val="000000" w:themeColor="text1"/>
        </w:rPr>
        <w:t>. 2018.gadā ārstniecības personu darba samaksa palielināta</w:t>
      </w:r>
      <w:r w:rsidRPr="005565F8">
        <w:rPr>
          <w:color w:val="000000" w:themeColor="text1"/>
        </w:rPr>
        <w:t xml:space="preserve"> </w:t>
      </w:r>
      <w:r w:rsidRPr="005565F8" w:rsidR="003E036B">
        <w:rPr>
          <w:color w:val="000000" w:themeColor="text1"/>
        </w:rPr>
        <w:t xml:space="preserve">vidēji </w:t>
      </w:r>
      <w:r w:rsidRPr="005565F8">
        <w:rPr>
          <w:color w:val="000000" w:themeColor="text1"/>
        </w:rPr>
        <w:t>par 44%, ārstniecības un pacientu aprūpes personām un funkcionālo speciālistu asistentiem – par 38%, bet ārstniecības un pacientu aprūpes atbalsta personām – par 24%.</w:t>
      </w:r>
    </w:p>
    <w:p w:rsidR="001054E0" w:rsidRPr="005565F8" w:rsidP="00124E5E" w14:paraId="0A657F71" w14:textId="77777777">
      <w:r w:rsidRPr="005565F8">
        <w:rPr>
          <w:color w:val="000000" w:themeColor="text1"/>
        </w:rPr>
        <w:t>2017./2018. mācību gadā ir palielināts no valsts budžeta līdzekļiem finansēto rezidentūras studiju vietu skaits par 20 vietām (250 valsts finansētas rezidentūras studiju vietas), salīdzinot ar 2016./2017. mācību gadu.</w:t>
      </w:r>
    </w:p>
    <w:p w:rsidR="001054E0" w:rsidRPr="005565F8" w:rsidP="00124E5E" w14:paraId="72D6C42D" w14:textId="77777777">
      <w:r w:rsidRPr="005565F8">
        <w:t>Lai veicinātu jauno ģimenes ārstu ienākšanu valsts apmaksāto primārās veselības aprūpes pakalpojumu sniegšanā, un atvieglotu pensijas vecuma ārstiem iespēju doties pensijā, tika veikti grozījumi normatīvajā regulējumā, paredzot, ka gadījumā, ja ģimenes ārsta prakse, sakarā ar ģimenes ārsta aiziešanu pensijā, izbeidz līgumattiecības ar Nacionālo veselības dienestu (</w:t>
      </w:r>
      <w:r w:rsidRPr="005565F8" w:rsidR="009F6A92">
        <w:t xml:space="preserve">turpmāk – </w:t>
      </w:r>
      <w:r w:rsidRPr="005565F8">
        <w:t xml:space="preserve">NVD), NVD sniedz atbalstu ģimenes ārsta praksei darba tiesību normatīvajos aktos noteikto finanšu saistību nokārtošanai uzņēmuma likvidācijas gadījumā. Kompensācijas maksājumu praksei ir iespējams saņemt tikai gadījumā, ja cits ģimenes ārsts pārņem pacientu aprūpi attiecīgajā ģimenes ārsta darbības </w:t>
      </w:r>
      <w:r w:rsidRPr="005565F8">
        <w:t>pamatteritorijā</w:t>
      </w:r>
      <w:r w:rsidRPr="005565F8">
        <w:t>.</w:t>
      </w:r>
    </w:p>
    <w:p w:rsidR="009F6A92" w:rsidRPr="005565F8" w:rsidP="00124E5E" w14:paraId="3430E00B" w14:textId="77777777">
      <w:pPr>
        <w:rPr>
          <w:color w:val="000000" w:themeColor="text1"/>
        </w:rPr>
      </w:pPr>
      <w:r w:rsidRPr="005565F8">
        <w:t>2018. gadā ES fondu 2014.-2020.</w:t>
      </w:r>
      <w:r w:rsidRPr="005565F8">
        <w:t>g.</w:t>
      </w:r>
      <w:r w:rsidRPr="005565F8">
        <w:t> plānošanas perioda ietvaros plānots sākt atbalsta pasākumus, lai piesaistītu ārstniecības personas (ārstus un māsas) darbam reģionos ārpus Rīgas un tādējādi mazinātu šo speciālistu trūkumu ārstniecības iestādēs reģionos ārpus Rīgas, kā arī tālākizglītības</w:t>
      </w:r>
      <w:r w:rsidRPr="005565F8">
        <w:rPr>
          <w:b/>
        </w:rPr>
        <w:t xml:space="preserve"> </w:t>
      </w:r>
      <w:r w:rsidRPr="005565F8">
        <w:t>atbalsta pasākumus, kuru ietvaros būs iespējas paaugstināt savu kvalifikāciju un atjaunot ārstniecības personas sertifikātus</w:t>
      </w:r>
      <w:r w:rsidRPr="005565F8">
        <w:t>,</w:t>
      </w:r>
      <w:r w:rsidRPr="005565F8">
        <w:t xml:space="preserve"> tādējādi radot iespējas savā specialitātē nepraktizējošai ārstniecības personai atgriezties </w:t>
      </w:r>
      <w:r w:rsidRPr="005565F8">
        <w:t xml:space="preserve">darba tirgū. Projektu iesniegumu atlase un līgumu slēgšana šo projektu ietvaros tika pabeigta 2017. gadā, savukārt atbalsta pasākumu īstenošana tiks uzsākta 2018. gadā. </w:t>
      </w:r>
      <w:r w:rsidRPr="005565F8">
        <w:rPr>
          <w:color w:val="000000" w:themeColor="text1"/>
        </w:rPr>
        <w:t xml:space="preserve">Projekta ietvaros kā viena no atbalstāmajām aktivitātēm ir paredzēta atbalsta sniegšana ģimenes ārstu paaudžu nomaiņai teritorijās ārpus Rīgas, </w:t>
      </w:r>
      <w:r w:rsidRPr="005565F8">
        <w:rPr>
          <w:color w:val="000000" w:themeColor="text1"/>
        </w:rPr>
        <w:t>t.sk.</w:t>
      </w:r>
      <w:r w:rsidRPr="005565F8">
        <w:rPr>
          <w:color w:val="000000" w:themeColor="text1"/>
        </w:rPr>
        <w:t>: 1) ikmēneša uzturēšanās izmaksu kompensācijas ārstiem, t.sk. ģimenes ārstiem, kuri uzsāk darbu ģimenes ārsta praksē ārpus Rīgas, 60-200 EUR apmērā vienai ārstniecības personai reizi mēnesī, ko var saņemt uz laika periodu līdz 24 mēnešiem; 2) vienreizējas kompensācijas ģimenes ārsta prakses pārņemšanai par specifisko zināšanu, informācijas un pieredzes nodošanu ģimenes ārstam, kurš nodod ģimenes ārsta praksi un ģimenes ārstam, kurš pārņem ģimenes ārsta praksi reģionos ārpus Rīgas.</w:t>
      </w:r>
    </w:p>
    <w:p w:rsidR="009F6A92" w:rsidRPr="005565F8" w:rsidP="00124E5E" w14:paraId="520FDCD6" w14:textId="77777777">
      <w:r w:rsidRPr="005565F8">
        <w:t xml:space="preserve">Veselības aprūpes sistēmas reformas ietvaros tiks veiktas izmaiņas Veselības ministrijas un padotības iestāžu funkcijās un uzdevumos atbilstoši </w:t>
      </w:r>
      <w:r w:rsidRPr="005565F8">
        <w:rPr>
          <w:i/>
          <w:color w:val="000000" w:themeColor="text1"/>
        </w:rPr>
        <w:t xml:space="preserve">Konceptuālajā ziņojumā </w:t>
      </w:r>
      <w:r w:rsidRPr="005565F8">
        <w:rPr>
          <w:i/>
          <w:color w:val="000000" w:themeColor="text1"/>
        </w:rPr>
        <w:t>p</w:t>
      </w:r>
      <w:r w:rsidRPr="005565F8">
        <w:rPr>
          <w:i/>
        </w:rPr>
        <w:t>ar veselības aprūpes sistēmas reformu</w:t>
      </w:r>
      <w:r w:rsidRPr="005565F8">
        <w:t xml:space="preserve"> paredzētajam. Galvenās izmaiņas tiek plānotas, balstoties uz stratēģiskā iepirkuma organizāciju, datu analīzes kapacitātes konsolidāciju un stiprināšanu, kā arī uzraudzības funkcijas uzlabošanu, atbilstoši pacientu interesēm un kvalitatīvai veselības</w:t>
      </w:r>
      <w:r w:rsidRPr="005565F8">
        <w:t xml:space="preserve"> aprūpes procesa organizācijai.</w:t>
      </w:r>
    </w:p>
    <w:p w:rsidR="001054E0" w:rsidRPr="005565F8" w:rsidP="00124E5E" w14:paraId="4597EB96" w14:textId="77777777">
      <w:r w:rsidRPr="005565F8">
        <w:t xml:space="preserve">2017. gadā NVD īstenoja stratēģisko pakalpojumu sniedzēju atlasi trīs pakalpojumu grupās – ambulatorā </w:t>
      </w:r>
      <w:r w:rsidRPr="005565F8">
        <w:t>mamogrāfija</w:t>
      </w:r>
      <w:r w:rsidRPr="005565F8">
        <w:t>, medicīniskā apaugļošana un stacionārā ārstniecības iestādē plānveidā veicamā onkoloģiskā ārstēšana, un decembrī tika uzsākta attiecīgu līgumu slēgšana ar ārstniecības iestādēm par valsts apmaksātu veselības aprūpes pakalpojumu sniegšanu 2018. gadā.</w:t>
      </w:r>
    </w:p>
    <w:p w:rsidR="000917D3" w:rsidRPr="005565F8" w:rsidP="00F73AE1" w14:paraId="7035BE45" w14:textId="77777777">
      <w:pPr>
        <w:sectPr w:rsidSect="005D1AD0">
          <w:type w:val="continuous"/>
          <w:pgSz w:w="11906" w:h="16838" w:code="9"/>
          <w:pgMar w:top="1134" w:right="1134" w:bottom="1134" w:left="1134" w:header="709" w:footer="567" w:gutter="0"/>
          <w:cols w:num="2" w:space="340"/>
          <w:titlePg/>
          <w:docGrid w:linePitch="360"/>
        </w:sectPr>
      </w:pPr>
    </w:p>
    <w:p w:rsidR="00F73AE1" w:rsidRPr="005565F8" w:rsidP="00F73AE1" w14:paraId="58D142AB" w14:textId="77777777"/>
    <w:p w:rsidR="00F73AE1" w:rsidRPr="005565F8" w:rsidP="00F73AE1" w14:paraId="6EF77FA5"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E-veselības sistēma</w:t>
      </w:r>
    </w:p>
    <w:p w:rsidR="00F73AE1" w:rsidRPr="005565F8" w:rsidP="00F73AE1" w14:paraId="27E8E1DE"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VM/</w:t>
      </w:r>
    </w:p>
    <w:p w:rsidR="000917D3" w:rsidRPr="005565F8" w:rsidP="00B22046" w14:paraId="2C2DBE1E"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1054E0" w:rsidRPr="005565F8" w:rsidP="00F73AE1" w14:paraId="71E34EC6" w14:textId="77777777">
      <w:pPr>
        <w:spacing w:before="240"/>
      </w:pPr>
      <w:r w:rsidRPr="005565F8">
        <w:t xml:space="preserve">E-veselība ir instruments, ar kura palīdzību plānots nodrošināt efektīvāku veselības aprūpes sistēmas darbību, uzraudzību un analīzi. E-veselības sistēma iedzīvotājiem, ārstniecības iestādēm un aptiekām pieejama kopš 2016. gada 12. septembra. Iedzīvotāji e-veselības portālā </w:t>
      </w:r>
      <w:r w:rsidRPr="005565F8">
        <w:rPr>
          <w:spacing w:val="-6"/>
        </w:rPr>
        <w:t>www.eveseliba.gov.lv</w:t>
      </w:r>
      <w:r w:rsidRPr="005565F8">
        <w:t xml:space="preserve"> var piekļūt savai elektroniskajai veselības kartei, bet ārstniecības personas – izrakstīt medicīniskos dokumentus, piemēram, e-receptes un e-darbnespējas lapas.</w:t>
      </w:r>
    </w:p>
    <w:p w:rsidR="001054E0" w:rsidRPr="005565F8" w:rsidP="00124E5E" w14:paraId="385205E1" w14:textId="77777777">
      <w:r w:rsidRPr="005565F8">
        <w:t xml:space="preserve">Līdz 2017. gada decembra vidum visas stacionārās ārstniecības iestādes ir noslēgušas līgumu ar NVD par veselības </w:t>
      </w:r>
      <w:r w:rsidRPr="005565F8" w:rsidR="009F6A92">
        <w:t>informācijas sistēmas</w:t>
      </w:r>
      <w:r w:rsidRPr="005565F8">
        <w:t xml:space="preserve"> izmantošanu, 83% ģimenes ārstu un 99% aptieku. E-veselības sistēmā līdz 2018. gada 2. janvārim bija atvērtas 90 259 elektroniskās darbnespējas lapas, izrakstītas 368 224 </w:t>
      </w:r>
      <w:r w:rsidRPr="005565F8">
        <w:t>e</w:t>
      </w:r>
      <w:r w:rsidRPr="005565F8">
        <w:noBreakHyphen/>
        <w:t xml:space="preserve">receptes, aptiekā izmantotas 252 371 e-receptes un izveidoti 202 e-nosūtījumi. Lai nodrošinātu pacientu datu drošību e-veselības sistēmā, 2017. gadā ir veikti </w:t>
      </w:r>
      <w:r w:rsidRPr="005565F8" w:rsidR="009F6A92">
        <w:rPr>
          <w:i/>
        </w:rPr>
        <w:t>G</w:t>
      </w:r>
      <w:r w:rsidRPr="005565F8">
        <w:rPr>
          <w:i/>
        </w:rPr>
        <w:t>rozījumi MK noteikumos par vienoto veselības nozares elektronisko informācijas sistēmu</w:t>
      </w:r>
      <w:r w:rsidRPr="005565F8">
        <w:t>. 2017. gadā ir veikta arī virkne informējošu pasākumu par e-veselības darbību.</w:t>
      </w:r>
    </w:p>
    <w:p w:rsidR="001054E0" w:rsidRPr="005565F8" w:rsidP="00124E5E" w14:paraId="3DB85DA2" w14:textId="77777777">
      <w:r w:rsidRPr="005565F8">
        <w:t xml:space="preserve">Izmantojot </w:t>
      </w:r>
      <w:r w:rsidRPr="005565F8">
        <w:rPr>
          <w:bCs/>
        </w:rPr>
        <w:t>ES fondu 2014.-2020. gada plānošanas perioda finansējumu, ir plānota E</w:t>
      </w:r>
      <w:r w:rsidRPr="005565F8">
        <w:rPr>
          <w:bCs/>
        </w:rPr>
        <w:noBreakHyphen/>
        <w:t xml:space="preserve">veselības sistēmas attīstīšana, ar mērķi </w:t>
      </w:r>
      <w:r w:rsidRPr="005565F8">
        <w:t>mazināt administratīvo slogu, veicināt veselības aprūpes pakalpojumu kvalitāti, publiskās pārvaldes efektivitāti un veselības nozares pārvaldību un uzraudzību.</w:t>
      </w:r>
    </w:p>
    <w:p w:rsidR="000917D3" w:rsidRPr="005565F8" w:rsidP="00F73AE1" w14:paraId="64ECE1F9" w14:textId="77777777">
      <w:pPr>
        <w:sectPr w:rsidSect="005D1AD0">
          <w:type w:val="continuous"/>
          <w:pgSz w:w="11906" w:h="16838" w:code="9"/>
          <w:pgMar w:top="1134" w:right="1134" w:bottom="1134" w:left="1134" w:header="709" w:footer="567" w:gutter="0"/>
          <w:cols w:num="2" w:space="340"/>
          <w:titlePg/>
          <w:docGrid w:linePitch="360"/>
        </w:sectPr>
      </w:pPr>
    </w:p>
    <w:p w:rsidR="00F73AE1" w:rsidRPr="005565F8" w:rsidP="00F73AE1" w14:paraId="6EA5EA4A" w14:textId="77777777"/>
    <w:p w:rsidR="00F73AE1" w:rsidRPr="005565F8" w:rsidP="00F73AE1" w14:paraId="6E1A1B1B"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Veselības veicināšana un slimību profilakse</w:t>
      </w:r>
    </w:p>
    <w:p w:rsidR="00F73AE1" w:rsidRPr="005565F8" w:rsidP="00F73AE1" w14:paraId="7A8ECF52"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VM/</w:t>
      </w:r>
    </w:p>
    <w:p w:rsidR="000917D3" w:rsidRPr="005565F8" w:rsidP="00B22046" w14:paraId="53B46803"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1054E0" w:rsidRPr="005565F8" w:rsidP="00F73AE1" w14:paraId="4B07123B" w14:textId="77777777">
      <w:pPr>
        <w:spacing w:before="240"/>
      </w:pPr>
      <w:r w:rsidRPr="005565F8">
        <w:t>Ir uzsākta ES fondu finansēto veselības veicināšanas un slimību profilakses pasākumu īstenošana. Nacionālā līmeņa pasākumus īsteno VM sadarbībā ar padotības iestādēm, savukārt 95 pašvaldības ir uzsākušas projektu īstenošanu lokālā līmeņa veselības veicināšanas un slimību profilakses pasākumu nodrošināšanai vietējā sabiedrībā.</w:t>
      </w:r>
      <w:r w:rsidRPr="005565F8">
        <w:rPr>
          <w:rFonts w:eastAsia="Times New Roman"/>
          <w:color w:val="000000"/>
          <w:lang w:eastAsia="lv-LV"/>
        </w:rPr>
        <w:t xml:space="preserve"> Pārējās </w:t>
      </w:r>
      <w:r w:rsidRPr="005565F8">
        <w:t>24 pašvaldībās ES fondu finansēto veselības veicināšanas un slimību profilakses pasākumus īsteno SPKC.</w:t>
      </w:r>
    </w:p>
    <w:p w:rsidR="001054E0" w:rsidRPr="005565F8" w:rsidP="00124E5E" w14:paraId="695344C9" w14:textId="77777777">
      <w:pPr>
        <w:rPr>
          <w:lang w:eastAsia="lv-LV"/>
        </w:rPr>
      </w:pPr>
      <w:r w:rsidRPr="005565F8">
        <w:rPr>
          <w:lang w:eastAsia="lv-LV"/>
        </w:rPr>
        <w:t xml:space="preserve">Lai veicinātu veselīgus paradumus bērniem un pieaugušajiem, veikti grozījumi normatīvajos aktos, lai uzlabotu ēdināšanas pakalpojumu kvalitāti izglītības un ārstniecības iestādēs, ilgstošas sociālās aprūpes un sociālās rehabilitācijas institūcijās, kā arī papildinātu pārtikas produktus, kurus drīkst izplatīt vispārējās un profesionālajās izglītības iestādēs papildus </w:t>
      </w:r>
      <w:r w:rsidRPr="005565F8">
        <w:rPr>
          <w:lang w:eastAsia="lv-LV"/>
        </w:rPr>
        <w:t>kompleksajai un izvēles ēdienkartei.</w:t>
      </w:r>
      <w:r w:rsidRPr="005565F8">
        <w:t xml:space="preserve"> </w:t>
      </w:r>
      <w:r w:rsidRPr="005565F8">
        <w:rPr>
          <w:i/>
        </w:rPr>
        <w:t xml:space="preserve">Likumā </w:t>
      </w:r>
      <w:r w:rsidRPr="005565F8" w:rsidR="006D24A9">
        <w:rPr>
          <w:i/>
        </w:rPr>
        <w:t>“P</w:t>
      </w:r>
      <w:r w:rsidRPr="005565F8">
        <w:rPr>
          <w:i/>
          <w:lang w:eastAsia="lv-LV"/>
        </w:rPr>
        <w:t>ar</w:t>
      </w:r>
      <w:r w:rsidRPr="005565F8" w:rsidR="006E6959">
        <w:rPr>
          <w:i/>
          <w:lang w:eastAsia="lv-LV"/>
        </w:rPr>
        <w:t xml:space="preserve"> </w:t>
      </w:r>
      <w:r w:rsidRPr="005565F8">
        <w:rPr>
          <w:i/>
        </w:rPr>
        <w:t>akcīzes nodokli</w:t>
      </w:r>
      <w:r w:rsidRPr="005565F8" w:rsidR="006D24A9">
        <w:rPr>
          <w:i/>
        </w:rPr>
        <w:t>”</w:t>
      </w:r>
      <w:r w:rsidRPr="005565F8">
        <w:rPr>
          <w:lang w:eastAsia="lv-LV"/>
        </w:rPr>
        <w:t xml:space="preserve"> ir iestrādāts akcīzes </w:t>
      </w:r>
      <w:r w:rsidRPr="005565F8">
        <w:t xml:space="preserve">nodokļa likmju </w:t>
      </w:r>
      <w:r w:rsidRPr="005565F8">
        <w:rPr>
          <w:lang w:eastAsia="lv-LV"/>
        </w:rPr>
        <w:t xml:space="preserve">paaugstināšanas grafiks </w:t>
      </w:r>
      <w:r w:rsidRPr="005565F8">
        <w:rPr>
          <w:rFonts w:eastAsia="Times New Roman"/>
        </w:rPr>
        <w:t xml:space="preserve">tabakas izstrādājumiem, </w:t>
      </w:r>
      <w:r w:rsidRPr="005565F8" w:rsidR="006D24A9">
        <w:rPr>
          <w:rFonts w:eastAsia="Times New Roman"/>
        </w:rPr>
        <w:t xml:space="preserve">saskaņā ar </w:t>
      </w:r>
      <w:r w:rsidRPr="005565F8">
        <w:rPr>
          <w:rFonts w:eastAsia="Times New Roman"/>
        </w:rPr>
        <w:t xml:space="preserve">ko cigaretēm plānots palielināt </w:t>
      </w:r>
      <w:r w:rsidRPr="005565F8" w:rsidR="006D24A9">
        <w:rPr>
          <w:rFonts w:eastAsia="Times New Roman"/>
        </w:rPr>
        <w:t xml:space="preserve">akcīzes nodokli </w:t>
      </w:r>
      <w:r w:rsidRPr="005565F8">
        <w:rPr>
          <w:rFonts w:eastAsia="Times New Roman"/>
        </w:rPr>
        <w:t xml:space="preserve">katru gadu līdz 2019. gadam, savukārt cigāriem un cigarellām, smēķējamai un karsējamai tabakai, un tabakas lapām </w:t>
      </w:r>
      <w:r w:rsidRPr="005565F8" w:rsidR="006D24A9">
        <w:rPr>
          <w:rFonts w:eastAsia="Times New Roman"/>
        </w:rPr>
        <w:t>-</w:t>
      </w:r>
      <w:r w:rsidRPr="005565F8">
        <w:rPr>
          <w:rFonts w:eastAsia="Times New Roman"/>
        </w:rPr>
        <w:t xml:space="preserve"> līdz 2020. gadam, bet </w:t>
      </w:r>
      <w:r w:rsidRPr="005565F8">
        <w:rPr>
          <w:lang w:eastAsia="lv-LV"/>
        </w:rPr>
        <w:t xml:space="preserve">alkoholiskajiem dzērieniem no 2015. gada </w:t>
      </w:r>
      <w:r w:rsidRPr="005565F8">
        <w:rPr>
          <w:rFonts w:eastAsia="Times New Roman"/>
        </w:rPr>
        <w:t>akcīzes nodokli</w:t>
      </w:r>
      <w:r w:rsidRPr="005565F8" w:rsidR="00ED2AC5">
        <w:rPr>
          <w:rFonts w:eastAsia="Times New Roman"/>
        </w:rPr>
        <w:t>s</w:t>
      </w:r>
      <w:r w:rsidRPr="005565F8">
        <w:rPr>
          <w:rFonts w:eastAsia="Times New Roman"/>
        </w:rPr>
        <w:t xml:space="preserve"> </w:t>
      </w:r>
      <w:r w:rsidRPr="005565F8" w:rsidR="00ED2AC5">
        <w:rPr>
          <w:rFonts w:eastAsia="Times New Roman"/>
        </w:rPr>
        <w:t>tiek</w:t>
      </w:r>
      <w:r w:rsidRPr="005565F8">
        <w:rPr>
          <w:rFonts w:eastAsia="Times New Roman"/>
        </w:rPr>
        <w:t xml:space="preserve"> palielināt</w:t>
      </w:r>
      <w:r w:rsidRPr="005565F8" w:rsidR="00ED2AC5">
        <w:rPr>
          <w:rFonts w:eastAsia="Times New Roman"/>
        </w:rPr>
        <w:t>s</w:t>
      </w:r>
      <w:r w:rsidRPr="005565F8">
        <w:rPr>
          <w:rFonts w:eastAsia="Times New Roman"/>
        </w:rPr>
        <w:t xml:space="preserve"> katru gadu līdz 2020. gadam.</w:t>
      </w:r>
    </w:p>
    <w:p w:rsidR="001054E0" w:rsidRPr="005565F8" w:rsidP="00124E5E" w14:paraId="3A82CDAE" w14:textId="77777777">
      <w:pPr>
        <w:rPr>
          <w:rFonts w:eastAsia="Times New Roman"/>
          <w:color w:val="000000"/>
          <w:lang w:eastAsia="lv-LV"/>
        </w:rPr>
      </w:pPr>
      <w:r w:rsidRPr="005565F8">
        <w:rPr>
          <w:rFonts w:eastAsia="Times New Roman"/>
          <w:color w:val="000000"/>
          <w:lang w:eastAsia="lv-LV"/>
        </w:rPr>
        <w:t xml:space="preserve">2017. gadā </w:t>
      </w:r>
      <w:r w:rsidRPr="005565F8" w:rsidR="00ED2AC5">
        <w:rPr>
          <w:rFonts w:eastAsia="Times New Roman"/>
          <w:color w:val="000000"/>
          <w:lang w:eastAsia="lv-LV"/>
        </w:rPr>
        <w:t>tika</w:t>
      </w:r>
      <w:r w:rsidRPr="005565F8">
        <w:rPr>
          <w:rFonts w:eastAsia="Times New Roman"/>
          <w:color w:val="000000"/>
          <w:lang w:eastAsia="lv-LV"/>
        </w:rPr>
        <w:t xml:space="preserve"> izstrādā</w:t>
      </w:r>
      <w:r w:rsidRPr="005565F8" w:rsidR="00ED2AC5">
        <w:rPr>
          <w:rFonts w:eastAsia="Times New Roman"/>
          <w:color w:val="000000"/>
          <w:lang w:eastAsia="lv-LV"/>
        </w:rPr>
        <w:t>t</w:t>
      </w:r>
      <w:r w:rsidRPr="005565F8">
        <w:rPr>
          <w:rFonts w:eastAsia="Times New Roman"/>
          <w:color w:val="000000"/>
          <w:lang w:eastAsia="lv-LV"/>
        </w:rPr>
        <w:t xml:space="preserve">i </w:t>
      </w:r>
      <w:r w:rsidRPr="005565F8" w:rsidR="006D24A9">
        <w:rPr>
          <w:rFonts w:eastAsia="Times New Roman"/>
          <w:color w:val="000000"/>
          <w:lang w:eastAsia="lv-LV"/>
        </w:rPr>
        <w:t>g</w:t>
      </w:r>
      <w:r w:rsidRPr="005565F8">
        <w:rPr>
          <w:rFonts w:eastAsia="Times New Roman"/>
          <w:color w:val="000000"/>
          <w:lang w:eastAsia="lv-LV"/>
        </w:rPr>
        <w:t>ozījum</w:t>
      </w:r>
      <w:r w:rsidRPr="005565F8" w:rsidR="00ED2AC5">
        <w:rPr>
          <w:rFonts w:eastAsia="Times New Roman"/>
          <w:color w:val="000000"/>
          <w:lang w:eastAsia="lv-LV"/>
        </w:rPr>
        <w:t>i</w:t>
      </w:r>
      <w:r w:rsidRPr="005565F8">
        <w:rPr>
          <w:rFonts w:eastAsia="Times New Roman"/>
          <w:color w:val="000000"/>
          <w:lang w:eastAsia="lv-LV"/>
        </w:rPr>
        <w:t xml:space="preserve"> </w:t>
      </w:r>
      <w:r w:rsidRPr="005565F8" w:rsidR="006D24A9">
        <w:rPr>
          <w:rFonts w:eastAsia="Times New Roman"/>
          <w:i/>
          <w:color w:val="000000"/>
          <w:lang w:eastAsia="lv-LV"/>
        </w:rPr>
        <w:t>T</w:t>
      </w:r>
      <w:r w:rsidRPr="005565F8">
        <w:rPr>
          <w:rFonts w:eastAsia="Times New Roman"/>
          <w:i/>
          <w:iCs/>
          <w:color w:val="000000"/>
          <w:lang w:eastAsia="lv-LV"/>
        </w:rPr>
        <w:t>abakas</w:t>
      </w:r>
      <w:r w:rsidRPr="005565F8" w:rsidR="006E6959">
        <w:rPr>
          <w:rFonts w:eastAsia="Times New Roman"/>
          <w:i/>
          <w:color w:val="000000"/>
          <w:lang w:eastAsia="lv-LV"/>
        </w:rPr>
        <w:t xml:space="preserve"> </w:t>
      </w:r>
      <w:r w:rsidRPr="005565F8" w:rsidR="00C15D22">
        <w:rPr>
          <w:rFonts w:eastAsia="Times New Roman"/>
          <w:i/>
          <w:color w:val="000000"/>
          <w:lang w:eastAsia="lv-LV"/>
        </w:rPr>
        <w:t>i</w:t>
      </w:r>
      <w:r w:rsidRPr="005565F8">
        <w:rPr>
          <w:rFonts w:eastAsia="Times New Roman"/>
          <w:i/>
          <w:iCs/>
          <w:color w:val="000000"/>
          <w:lang w:eastAsia="lv-LV"/>
        </w:rPr>
        <w:t>zstrādājumu, augu smēķēšanas produktu, elektronisko smēķēšanas ierīču un to šķidrumu aprites likum</w:t>
      </w:r>
      <w:r w:rsidRPr="005565F8" w:rsidR="00ED2AC5">
        <w:rPr>
          <w:rFonts w:eastAsia="Times New Roman"/>
          <w:i/>
          <w:iCs/>
          <w:color w:val="000000"/>
          <w:lang w:eastAsia="lv-LV"/>
        </w:rPr>
        <w:t>ā</w:t>
      </w:r>
      <w:r w:rsidRPr="005565F8">
        <w:rPr>
          <w:rFonts w:eastAsia="Times New Roman"/>
          <w:i/>
          <w:iCs/>
          <w:color w:val="000000"/>
          <w:lang w:eastAsia="lv-LV"/>
        </w:rPr>
        <w:t xml:space="preserve">, </w:t>
      </w:r>
      <w:r w:rsidRPr="005565F8">
        <w:rPr>
          <w:rFonts w:eastAsia="Times New Roman"/>
          <w:color w:val="000000"/>
          <w:lang w:eastAsia="lv-LV"/>
        </w:rPr>
        <w:t xml:space="preserve">nosakot stingrākus ierobežojumus, tostarp </w:t>
      </w:r>
      <w:r w:rsidRPr="005565F8">
        <w:rPr>
          <w:rFonts w:eastAsia="Times New Roman"/>
          <w:bCs/>
          <w:color w:val="000000"/>
          <w:lang w:eastAsia="lv-LV"/>
        </w:rPr>
        <w:t xml:space="preserve">aizliegumu </w:t>
      </w:r>
      <w:bookmarkStart w:id="103" w:name="_Hlk488931213"/>
      <w:r w:rsidRPr="005565F8">
        <w:rPr>
          <w:rFonts w:eastAsia="Times New Roman"/>
          <w:bCs/>
          <w:color w:val="000000"/>
          <w:lang w:eastAsia="lv-LV"/>
        </w:rPr>
        <w:t xml:space="preserve">ražot un laist tirgū saldumus, uzkodas, kā arī rotaļlietas un citus nepilngadīgajiem pievilcīgus priekšmetus, kas vizuāli atgādina </w:t>
      </w:r>
      <w:r w:rsidRPr="005565F8">
        <w:rPr>
          <w:rFonts w:eastAsia="Times New Roman"/>
          <w:color w:val="000000"/>
          <w:lang w:eastAsia="lv-LV"/>
        </w:rPr>
        <w:t xml:space="preserve">cigaretes vai citus tabakas izstrādājumus, vai elektroniskās smēķēšanas </w:t>
      </w:r>
      <w:r w:rsidRPr="005565F8">
        <w:rPr>
          <w:rFonts w:eastAsia="Times New Roman"/>
          <w:color w:val="000000"/>
          <w:lang w:eastAsia="lv-LV"/>
        </w:rPr>
        <w:t>ierīces un var piesaistīt nepilngadīgo uzmanību smēķēšanai, vai reklamē konkrētus tabakas izstrādājumus vai to ražotājus</w:t>
      </w:r>
      <w:bookmarkEnd w:id="103"/>
      <w:r w:rsidRPr="005565F8">
        <w:rPr>
          <w:rFonts w:eastAsia="Times New Roman"/>
          <w:color w:val="000000"/>
          <w:lang w:eastAsia="lv-LV"/>
        </w:rPr>
        <w:t xml:space="preserve">. Tāpat grozījumu projekts nosaka </w:t>
      </w:r>
      <w:r w:rsidRPr="005565F8">
        <w:rPr>
          <w:rFonts w:eastAsia="Times New Roman"/>
          <w:bCs/>
          <w:color w:val="000000"/>
          <w:lang w:eastAsia="lv-LV"/>
        </w:rPr>
        <w:t xml:space="preserve">aizliegumu </w:t>
      </w:r>
      <w:r w:rsidRPr="005565F8">
        <w:rPr>
          <w:rFonts w:eastAsia="Times New Roman"/>
          <w:color w:val="000000"/>
          <w:lang w:eastAsia="lv-LV"/>
        </w:rPr>
        <w:t xml:space="preserve">uz tabakas izstrādājumu, augu smēķēšanas produktu, elektronisko smēķēšanas ierīču un to </w:t>
      </w:r>
      <w:r w:rsidRPr="005565F8">
        <w:rPr>
          <w:rFonts w:eastAsia="Times New Roman"/>
          <w:color w:val="000000"/>
          <w:lang w:eastAsia="lv-LV"/>
        </w:rPr>
        <w:t>uzpildes</w:t>
      </w:r>
      <w:r w:rsidRPr="005565F8">
        <w:rPr>
          <w:rFonts w:eastAsia="Times New Roman"/>
          <w:color w:val="000000"/>
          <w:lang w:eastAsia="lv-LV"/>
        </w:rPr>
        <w:t xml:space="preserve"> tvertņu</w:t>
      </w:r>
      <w:r w:rsidRPr="005565F8">
        <w:rPr>
          <w:rFonts w:eastAsia="Times New Roman"/>
          <w:i/>
          <w:iCs/>
          <w:color w:val="000000"/>
          <w:lang w:eastAsia="lv-LV"/>
        </w:rPr>
        <w:t xml:space="preserve"> </w:t>
      </w:r>
      <w:r w:rsidRPr="005565F8">
        <w:rPr>
          <w:rFonts w:eastAsia="Times New Roman"/>
          <w:color w:val="000000"/>
          <w:lang w:eastAsia="lv-LV"/>
        </w:rPr>
        <w:t xml:space="preserve">iepakojuma vienības un jebkāda ārējā iepakojuma </w:t>
      </w:r>
      <w:r w:rsidRPr="005565F8">
        <w:rPr>
          <w:rFonts w:eastAsia="Times New Roman"/>
          <w:bCs/>
          <w:color w:val="000000"/>
          <w:lang w:eastAsia="lv-LV"/>
        </w:rPr>
        <w:t>izvietot Latvijas valsts simbolus, animācijas tēlus un attēlot fiziskas personas</w:t>
      </w:r>
      <w:r w:rsidRPr="005565F8">
        <w:rPr>
          <w:rFonts w:eastAsia="Times New Roman"/>
          <w:color w:val="000000"/>
          <w:lang w:eastAsia="lv-LV"/>
        </w:rPr>
        <w:t xml:space="preserve">, izņemot fiziskas personas, kas attēlotas uz kombinētajiem brīdinājumiem. </w:t>
      </w:r>
      <w:r w:rsidRPr="005565F8">
        <w:rPr>
          <w:rFonts w:eastAsia="Times New Roman"/>
          <w:bCs/>
          <w:color w:val="000000"/>
          <w:lang w:eastAsia="lv-LV"/>
        </w:rPr>
        <w:t xml:space="preserve">Papildus likumprojekts paredz normas, kas šobrīd attiecas uz elektroniskajām cigaretēm (ar nikotīnu saturošo šķidrumu), attiecināt uz visām elektroniskajām smēķēšanas ierīcēm, tātad arī uz nikotīnu nesaturošajiem šķidrumiem, tādās jomās kā reklāma, elektronisko smēķēšanas ierīču aprite, informācijas norādīšana uz iepakojuma u.c. </w:t>
      </w:r>
      <w:r w:rsidRPr="005565F8">
        <w:rPr>
          <w:rFonts w:eastAsia="Times New Roman"/>
          <w:color w:val="000000"/>
          <w:lang w:eastAsia="lv-LV"/>
        </w:rPr>
        <w:t>(2017. gada 12. oktobrī likumprojekts pieņemts Saeimā 1. lasījumā).</w:t>
      </w:r>
    </w:p>
    <w:p w:rsidR="001054E0" w:rsidRPr="005565F8" w:rsidP="00124E5E" w14:paraId="47194CF3" w14:textId="77777777">
      <w:r w:rsidRPr="005565F8">
        <w:t xml:space="preserve">2017. gada 30. jūnijā stājās spēkā </w:t>
      </w:r>
      <w:r w:rsidRPr="005565F8" w:rsidR="00B2394C">
        <w:rPr>
          <w:i/>
        </w:rPr>
        <w:t>G</w:t>
      </w:r>
      <w:r w:rsidRPr="005565F8">
        <w:rPr>
          <w:i/>
        </w:rPr>
        <w:t xml:space="preserve">rozījumi </w:t>
      </w:r>
      <w:r w:rsidRPr="005565F8" w:rsidR="00B2394C">
        <w:rPr>
          <w:i/>
        </w:rPr>
        <w:t>a</w:t>
      </w:r>
      <w:r w:rsidRPr="005565F8">
        <w:rPr>
          <w:i/>
        </w:rPr>
        <w:t>lkoholisko dzērienu aprites likumā</w:t>
      </w:r>
      <w:r w:rsidRPr="005565F8">
        <w:t>, ierobežojot alkoholisko dzērienu tirdzniecību lielos iepakojumos. Sākot ar 2018. gada 1. aprīli, alu, raudzētos dzērienus, starpproduktus un pārējos alkoholiskos dzērienus aizliegts pārdot iepakojuma vienībā, kuras tilpums pārsniedz 0,5 litrus, ja absolūtā spirta daudzums minētajos alkoholiskajos dzērienos pārsniedz 5,8 tilpumprocentus, kā arī 1 litru, ja absolūtā spirta daudzums minētajos alkoholiskajos dzērienos nepārsniedz 5,8 tilpumprocentus. Vienlaikus šo normu nepiemēro, ja iepakojuma vienība ir izgatavota no stikla, keramikas, koka, metāla vai kompleksā iepakojuma, kas sastāv no polimēra vai lamināta maisa, kurš iepakots kartona kastē, kā arī, ja alu, raudzētos dzērienus, starpproduktus un pārējos alkoholiskos dzērienus tirgo to ražošanas vietā vai ražotāja struktūrvienībā.</w:t>
      </w:r>
    </w:p>
    <w:p w:rsidR="001054E0" w:rsidRPr="005565F8" w:rsidP="00124E5E" w14:paraId="30A9DDB8" w14:textId="77777777">
      <w:pPr>
        <w:rPr>
          <w:lang w:eastAsia="lv-LV"/>
        </w:rPr>
      </w:pPr>
      <w:r w:rsidRPr="005565F8">
        <w:rPr>
          <w:rFonts w:eastAsia="Meiryo"/>
          <w:szCs w:val="28"/>
        </w:rPr>
        <w:t xml:space="preserve">2017. gadā uzsākts darbs pie </w:t>
      </w:r>
      <w:r w:rsidRPr="005565F8">
        <w:rPr>
          <w:rFonts w:eastAsia="Meiryo"/>
          <w:i/>
          <w:szCs w:val="28"/>
        </w:rPr>
        <w:t>Alkoholisko dzērienu patēriņa mazināšanas un alkoholisma ierobežošanas rīcības plāna 2019.-2021. gadam</w:t>
      </w:r>
      <w:r w:rsidRPr="005565F8">
        <w:rPr>
          <w:rFonts w:eastAsia="Meiryo"/>
          <w:szCs w:val="28"/>
        </w:rPr>
        <w:t xml:space="preserve"> izstrādes, </w:t>
      </w:r>
      <w:r w:rsidRPr="005565F8">
        <w:rPr>
          <w:rFonts w:eastAsia="Times New Roman"/>
          <w:color w:val="000000"/>
          <w:lang w:eastAsia="lv-LV"/>
        </w:rPr>
        <w:t>kura ietvaros paredzēts veikt alkohola lietošanas profilakses pasākumus vispārējai populācijai un riska grupām, kā arī ierobežot alkoholisko dzērienu pieejamību un mārketingu, vienlaikus uzlabojot alkohola atkarības ārstēšanas un rehabilitācijas pakalpojumus.</w:t>
      </w:r>
    </w:p>
    <w:p w:rsidR="001054E0" w:rsidRPr="005565F8" w:rsidP="00124E5E" w14:paraId="7FABB4B5" w14:textId="77777777">
      <w:pPr>
        <w:rPr>
          <w:shd w:val="clear" w:color="auto" w:fill="FFFFFF"/>
        </w:rPr>
      </w:pPr>
      <w:r w:rsidRPr="005565F8">
        <w:t>Ņ</w:t>
      </w:r>
      <w:r w:rsidRPr="005565F8">
        <w:rPr>
          <w:shd w:val="clear" w:color="auto" w:fill="FFFFFF"/>
        </w:rPr>
        <w:t>emot vērā, ka Latvijā</w:t>
      </w:r>
      <w:r w:rsidRPr="005565F8" w:rsidR="00B2394C">
        <w:rPr>
          <w:shd w:val="clear" w:color="auto" w:fill="FFFFFF"/>
        </w:rPr>
        <w:t>,</w:t>
      </w:r>
      <w:r w:rsidRPr="005565F8">
        <w:rPr>
          <w:shd w:val="clear" w:color="auto" w:fill="FFFFFF"/>
        </w:rPr>
        <w:t xml:space="preserve"> līdzīgi kā citur pasaulē</w:t>
      </w:r>
      <w:r w:rsidRPr="005565F8" w:rsidR="00B2394C">
        <w:rPr>
          <w:shd w:val="clear" w:color="auto" w:fill="FFFFFF"/>
        </w:rPr>
        <w:t>,</w:t>
      </w:r>
      <w:r w:rsidRPr="005565F8">
        <w:rPr>
          <w:shd w:val="clear" w:color="auto" w:fill="FFFFFF"/>
        </w:rPr>
        <w:t xml:space="preserve"> aktuāla problēma ir jauno </w:t>
      </w:r>
      <w:r w:rsidRPr="005565F8">
        <w:rPr>
          <w:shd w:val="clear" w:color="auto" w:fill="FFFFFF"/>
        </w:rPr>
        <w:t>psihoaktīvo</w:t>
      </w:r>
      <w:r w:rsidRPr="005565F8">
        <w:rPr>
          <w:shd w:val="clear" w:color="auto" w:fill="FFFFFF"/>
        </w:rPr>
        <w:t xml:space="preserve"> vielu aprite un lietošana, lai risinātu šo problēmu, Latvijā ieviesta ģenēriskā sistēma jauno vielu regulārai iekļaušanai </w:t>
      </w:r>
      <w:r w:rsidRPr="005565F8">
        <w:rPr>
          <w:shd w:val="clear" w:color="auto" w:fill="FFFFFF"/>
        </w:rPr>
        <w:t>kontrolējamo vielu sarakstā, kā arī izveidota tā saucamā pagaidu aizlieguma sistēma, ar kuru jaunu vielu ātri var pakļaut pagaidu kontrolei uz laiku līdz 1 gadam. Abas minētās sistēmas ir ļāvušas samazināt jauno vielu apriti.</w:t>
      </w:r>
    </w:p>
    <w:p w:rsidR="001054E0" w:rsidRPr="005565F8" w:rsidP="00124E5E" w14:paraId="79406DED" w14:textId="77777777">
      <w:pPr>
        <w:contextualSpacing/>
        <w:rPr>
          <w:szCs w:val="28"/>
        </w:rPr>
      </w:pPr>
      <w:r w:rsidRPr="005565F8">
        <w:t xml:space="preserve">2017. gadā </w:t>
      </w:r>
      <w:r w:rsidRPr="005565F8" w:rsidR="00B2394C">
        <w:rPr>
          <w:szCs w:val="28"/>
        </w:rPr>
        <w:t>tika</w:t>
      </w:r>
      <w:r w:rsidRPr="005565F8">
        <w:rPr>
          <w:szCs w:val="28"/>
        </w:rPr>
        <w:t xml:space="preserve"> sagatavo</w:t>
      </w:r>
      <w:r w:rsidRPr="005565F8" w:rsidR="00B2394C">
        <w:rPr>
          <w:szCs w:val="28"/>
        </w:rPr>
        <w:t>ti</w:t>
      </w:r>
      <w:r w:rsidRPr="005565F8">
        <w:rPr>
          <w:szCs w:val="28"/>
        </w:rPr>
        <w:t xml:space="preserve"> </w:t>
      </w:r>
      <w:r w:rsidRPr="005565F8">
        <w:rPr>
          <w:i/>
          <w:szCs w:val="28"/>
        </w:rPr>
        <w:t>Grozījumi Sporta likumā</w:t>
      </w:r>
      <w:r w:rsidRPr="005565F8">
        <w:rPr>
          <w:szCs w:val="28"/>
        </w:rPr>
        <w:t xml:space="preserve"> (2018. gada 8. februārī pieņemts Saeimā 1. lasījumā), k</w:t>
      </w:r>
      <w:r w:rsidRPr="005565F8" w:rsidR="00B2394C">
        <w:rPr>
          <w:szCs w:val="28"/>
        </w:rPr>
        <w:t>as</w:t>
      </w:r>
      <w:r w:rsidRPr="005565F8">
        <w:rPr>
          <w:szCs w:val="28"/>
        </w:rPr>
        <w:t xml:space="preserve"> nosaka, ka Latvijas nacionālā antidopinga organizācija tiek izveidot</w:t>
      </w:r>
      <w:r w:rsidRPr="005565F8" w:rsidR="00B2394C">
        <w:rPr>
          <w:szCs w:val="28"/>
        </w:rPr>
        <w:t>a kā</w:t>
      </w:r>
      <w:r w:rsidRPr="005565F8">
        <w:rPr>
          <w:szCs w:val="28"/>
        </w:rPr>
        <w:t xml:space="preserve"> Latvijas Antidopinga birojs, tāpat tiek izveidota Terapeitiskās lietošanas izņēmumu komisija, Disciplinārā antidopinga komiteja un Latvijas Nacionālā antidopinga padome.</w:t>
      </w:r>
    </w:p>
    <w:p w:rsidR="007E5CEF" w:rsidRPr="005565F8" w:rsidP="00124E5E" w14:paraId="37C605C6" w14:textId="77777777">
      <w:pPr>
        <w:rPr>
          <w:shd w:val="clear" w:color="auto" w:fill="FFFFFF"/>
        </w:rPr>
      </w:pPr>
      <w:r w:rsidRPr="005565F8">
        <w:rPr>
          <w:shd w:val="clear" w:color="auto" w:fill="FFFFFF"/>
        </w:rPr>
        <w:t xml:space="preserve">Apstiprināts </w:t>
      </w:r>
      <w:r w:rsidRPr="005565F8">
        <w:rPr>
          <w:i/>
          <w:shd w:val="clear" w:color="auto" w:fill="FFFFFF"/>
        </w:rPr>
        <w:t>HIV infekcijas, seksuālās transmisijas infekciju, B un C hepatīta izplatības ierobežošanas rīcības plāns 2018.-2020. gadam</w:t>
      </w:r>
      <w:r w:rsidRPr="005565F8">
        <w:rPr>
          <w:shd w:val="clear" w:color="auto" w:fill="FFFFFF"/>
        </w:rPr>
        <w:t>, kurā ietverti pasākumi, kas vērsti gan uz šo infekcijas slimību profilaksi, gan diagnostikas un  ārstēšanas pakalpojumu pieejamības uzlabošanu, kā arī pasākumi, kas vērsti uz profilaksi un savlaicīgu šo slimību diagnostiku cilvēkiem, kas ir pakļauti augstākam inficēšanās riskam. 2017. gadā pieņemti grozījumi MK noteikumos, kas regulē infekcijas slimību reģistrācijas kārtību, nodrošinot ātrāku C hepatīta diagnostiku un mazina slogu laboratorijām.</w:t>
      </w:r>
    </w:p>
    <w:p w:rsidR="00A47371" w:rsidRPr="005565F8" w:rsidP="007E5CEF" w14:paraId="42D84D54" w14:textId="77777777">
      <w:pPr>
        <w:rPr>
          <w:shd w:val="clear" w:color="auto" w:fill="FFFFFF"/>
        </w:rPr>
      </w:pPr>
      <w:r w:rsidRPr="005565F8">
        <w:rPr>
          <w:shd w:val="clear" w:color="auto" w:fill="FFFFFF"/>
        </w:rPr>
        <w:t>2017.gadā īstenotas informatīvās kampaņas</w:t>
      </w:r>
      <w:r w:rsidRPr="005565F8" w:rsidR="0099251D">
        <w:rPr>
          <w:shd w:val="clear" w:color="auto" w:fill="FFFFFF"/>
        </w:rPr>
        <w:t>, lai</w:t>
      </w:r>
      <w:r w:rsidRPr="005565F8">
        <w:rPr>
          <w:shd w:val="clear" w:color="auto" w:fill="FFFFFF"/>
        </w:rPr>
        <w:t>:</w:t>
      </w:r>
    </w:p>
    <w:p w:rsidR="00A47371" w:rsidRPr="005565F8" w:rsidP="0099251D" w14:paraId="7F1B6588" w14:textId="77777777">
      <w:pPr>
        <w:pStyle w:val="ListParagraph"/>
        <w:numPr>
          <w:ilvl w:val="0"/>
          <w:numId w:val="56"/>
        </w:numPr>
        <w:spacing w:after="0"/>
        <w:ind w:left="284" w:hanging="284"/>
        <w:rPr>
          <w:shd w:val="clear" w:color="auto" w:fill="FFFFFF"/>
        </w:rPr>
      </w:pPr>
      <w:r w:rsidRPr="005565F8">
        <w:rPr>
          <w:shd w:val="clear" w:color="auto" w:fill="FFFFFF"/>
        </w:rPr>
        <w:t>mazinātu bērnu l</w:t>
      </w:r>
      <w:r w:rsidRPr="005565F8" w:rsidR="00EF21D4">
        <w:rPr>
          <w:shd w:val="clear" w:color="auto" w:fill="FFFFFF"/>
        </w:rPr>
        <w:t xml:space="preserve">īdz 5 gadu vecumam traumatismu </w:t>
      </w:r>
      <w:r w:rsidRPr="005565F8" w:rsidR="0099251D">
        <w:rPr>
          <w:shd w:val="clear" w:color="auto" w:fill="FFFFFF"/>
        </w:rPr>
        <w:t>(</w:t>
      </w:r>
      <w:r w:rsidRPr="005565F8">
        <w:rPr>
          <w:shd w:val="clear" w:color="auto" w:fill="FFFFFF"/>
        </w:rPr>
        <w:t>izplatīti informatīvi materiāli ar praktiskiem padomiem ve</w:t>
      </w:r>
      <w:r w:rsidRPr="005565F8" w:rsidR="00EF21D4">
        <w:rPr>
          <w:shd w:val="clear" w:color="auto" w:fill="FFFFFF"/>
        </w:rPr>
        <w:t>c</w:t>
      </w:r>
      <w:r w:rsidRPr="005565F8" w:rsidR="0099251D">
        <w:rPr>
          <w:shd w:val="clear" w:color="auto" w:fill="FFFFFF"/>
        </w:rPr>
        <w:t xml:space="preserve">ākiem  par bērnu drošību mājās, </w:t>
      </w:r>
      <w:r w:rsidRPr="005565F8" w:rsidR="00EF21D4">
        <w:rPr>
          <w:shd w:val="clear" w:color="auto" w:fill="FFFFFF"/>
        </w:rPr>
        <w:t>apmācītas ģimenes ārstu praksēs nodarbinātās māsas un ārstu palīgi, lai veicinātu viņu iemaņas informēt vecākus par bērnu drošību un traumtisma profilaksi</w:t>
      </w:r>
      <w:r w:rsidRPr="005565F8" w:rsidR="0099251D">
        <w:rPr>
          <w:shd w:val="clear" w:color="auto" w:fill="FFFFFF"/>
        </w:rPr>
        <w:t xml:space="preserve"> u.tml.)</w:t>
      </w:r>
      <w:r w:rsidRPr="005565F8" w:rsidR="00EF21D4">
        <w:rPr>
          <w:shd w:val="clear" w:color="auto" w:fill="FFFFFF"/>
        </w:rPr>
        <w:t>;</w:t>
      </w:r>
    </w:p>
    <w:p w:rsidR="007E5CEF" w:rsidRPr="005565F8" w:rsidP="0099251D" w14:paraId="59130053" w14:textId="77777777">
      <w:pPr>
        <w:pStyle w:val="ListParagraph"/>
        <w:numPr>
          <w:ilvl w:val="0"/>
          <w:numId w:val="56"/>
        </w:numPr>
        <w:spacing w:after="0"/>
        <w:ind w:left="284" w:hanging="284"/>
        <w:rPr>
          <w:shd w:val="clear" w:color="auto" w:fill="FFFFFF"/>
        </w:rPr>
      </w:pPr>
      <w:r w:rsidRPr="005565F8">
        <w:rPr>
          <w:shd w:val="clear" w:color="auto" w:fill="FFFFFF"/>
        </w:rPr>
        <w:t>pievērstu uzmanību augstajai saslimstībai ar difteriju (katru gadu t</w:t>
      </w:r>
      <w:r w:rsidRPr="005565F8" w:rsidR="0099251D">
        <w:rPr>
          <w:shd w:val="clear" w:color="auto" w:fill="FFFFFF"/>
        </w:rPr>
        <w:t>iek reģistrēti nāves gadījumi). I</w:t>
      </w:r>
      <w:r w:rsidRPr="005565F8">
        <w:rPr>
          <w:shd w:val="clear" w:color="auto" w:fill="FFFFFF"/>
        </w:rPr>
        <w:t>zstrādāti informatīvie materiāli, īstenoti izglītojoši pasākumi mācību iestādēs, uzņēmumos un sociālās aprūpes centros</w:t>
      </w:r>
      <w:r w:rsidRPr="005565F8" w:rsidR="0099251D">
        <w:rPr>
          <w:shd w:val="clear" w:color="auto" w:fill="FFFFFF"/>
        </w:rPr>
        <w:t xml:space="preserve">, kā arī </w:t>
      </w:r>
      <w:r w:rsidRPr="005565F8">
        <w:rPr>
          <w:shd w:val="clear" w:color="auto" w:fill="FFFFFF"/>
        </w:rPr>
        <w:t>vei</w:t>
      </w:r>
      <w:r w:rsidRPr="005565F8" w:rsidR="0029215B">
        <w:rPr>
          <w:shd w:val="clear" w:color="auto" w:fill="FFFFFF"/>
        </w:rPr>
        <w:t>kti</w:t>
      </w:r>
      <w:r w:rsidRPr="005565F8">
        <w:rPr>
          <w:shd w:val="clear" w:color="auto" w:fill="FFFFFF"/>
        </w:rPr>
        <w:t xml:space="preserve"> cit</w:t>
      </w:r>
      <w:r w:rsidRPr="005565F8" w:rsidR="0029215B">
        <w:rPr>
          <w:shd w:val="clear" w:color="auto" w:fill="FFFFFF"/>
        </w:rPr>
        <w:t>as</w:t>
      </w:r>
      <w:r w:rsidRPr="005565F8">
        <w:rPr>
          <w:shd w:val="clear" w:color="auto" w:fill="FFFFFF"/>
        </w:rPr>
        <w:t xml:space="preserve"> sabiedrību informējošas aktivitātes. Tika vērsta arī ģimenes ārstu uzmanīb</w:t>
      </w:r>
      <w:r w:rsidRPr="005565F8" w:rsidR="00DF42FC">
        <w:rPr>
          <w:shd w:val="clear" w:color="auto" w:fill="FFFFFF"/>
        </w:rPr>
        <w:t>a</w:t>
      </w:r>
      <w:r w:rsidRPr="005565F8">
        <w:rPr>
          <w:shd w:val="clear" w:color="auto" w:fill="FFFFFF"/>
        </w:rPr>
        <w:t xml:space="preserve"> uz </w:t>
      </w:r>
      <w:r w:rsidRPr="005565F8">
        <w:rPr>
          <w:shd w:val="clear" w:color="auto" w:fill="FFFFFF"/>
        </w:rPr>
        <w:t>pretdifterijas</w:t>
      </w:r>
      <w:r w:rsidRPr="005565F8">
        <w:rPr>
          <w:shd w:val="clear" w:color="auto" w:fill="FFFFFF"/>
        </w:rPr>
        <w:t xml:space="preserve"> vakcinācijas aktualitāti. Kampaņas rezultātā vakcinācija pret difteriju 2017.gadā palielināj</w:t>
      </w:r>
      <w:r w:rsidRPr="005565F8" w:rsidR="0099251D">
        <w:rPr>
          <w:shd w:val="clear" w:color="auto" w:fill="FFFFFF"/>
        </w:rPr>
        <w:t>ās</w:t>
      </w:r>
      <w:r w:rsidRPr="005565F8">
        <w:rPr>
          <w:shd w:val="clear" w:color="auto" w:fill="FFFFFF"/>
        </w:rPr>
        <w:t xml:space="preserve"> </w:t>
      </w:r>
      <w:r w:rsidRPr="005565F8" w:rsidR="0099251D">
        <w:rPr>
          <w:shd w:val="clear" w:color="auto" w:fill="FFFFFF"/>
        </w:rPr>
        <w:t xml:space="preserve">par </w:t>
      </w:r>
      <w:r w:rsidRPr="005565F8">
        <w:rPr>
          <w:shd w:val="clear" w:color="auto" w:fill="FFFFFF"/>
        </w:rPr>
        <w:t>vairāk kā 20%;</w:t>
      </w:r>
    </w:p>
    <w:p w:rsidR="000917D3" w:rsidRPr="005565F8" w:rsidP="0099251D" w14:paraId="49005BF9" w14:textId="77777777">
      <w:pPr>
        <w:pStyle w:val="ListParagraph"/>
        <w:numPr>
          <w:ilvl w:val="0"/>
          <w:numId w:val="56"/>
        </w:numPr>
        <w:spacing w:after="0"/>
        <w:ind w:left="284" w:hanging="284"/>
        <w:rPr>
          <w:shd w:val="clear" w:color="auto" w:fill="FFFFFF"/>
        </w:rPr>
        <w:sectPr w:rsidSect="005D1AD0">
          <w:type w:val="continuous"/>
          <w:pgSz w:w="11906" w:h="16838" w:code="9"/>
          <w:pgMar w:top="1134" w:right="1134" w:bottom="1134" w:left="1134" w:header="709" w:footer="567" w:gutter="0"/>
          <w:cols w:num="2" w:space="340"/>
          <w:titlePg/>
          <w:docGrid w:linePitch="360"/>
        </w:sectPr>
      </w:pPr>
      <w:r w:rsidRPr="005565F8">
        <w:rPr>
          <w:shd w:val="clear" w:color="auto" w:fill="FFFFFF"/>
        </w:rPr>
        <w:t>aicinātu sabiedrību, īpaši riska grupu pārstāvjus</w:t>
      </w:r>
      <w:r w:rsidRPr="005565F8" w:rsidR="0099251D">
        <w:rPr>
          <w:shd w:val="clear" w:color="auto" w:fill="FFFFFF"/>
        </w:rPr>
        <w:t xml:space="preserve"> (gripa veicina nāves gadījumus no sirds asinsvadu u.c. hroniskām </w:t>
      </w:r>
      <w:r w:rsidRPr="005565F8" w:rsidR="0099251D">
        <w:rPr>
          <w:shd w:val="clear" w:color="auto" w:fill="FFFFFF"/>
        </w:rPr>
        <w:t>neinfekcijas</w:t>
      </w:r>
      <w:r w:rsidRPr="005565F8" w:rsidR="0099251D">
        <w:rPr>
          <w:shd w:val="clear" w:color="auto" w:fill="FFFFFF"/>
        </w:rPr>
        <w:t xml:space="preserve"> slimībām)</w:t>
      </w:r>
      <w:r w:rsidRPr="005565F8">
        <w:rPr>
          <w:shd w:val="clear" w:color="auto" w:fill="FFFFFF"/>
        </w:rPr>
        <w:t>, vakcinēties pret gripu</w:t>
      </w:r>
      <w:r w:rsidRPr="005565F8" w:rsidR="0099251D">
        <w:rPr>
          <w:shd w:val="clear" w:color="auto" w:fill="FFFFFF"/>
        </w:rPr>
        <w:t xml:space="preserve">. </w:t>
      </w:r>
      <w:r w:rsidRPr="005565F8">
        <w:rPr>
          <w:shd w:val="clear" w:color="auto" w:fill="FFFFFF"/>
        </w:rPr>
        <w:t>Kampaņas rezultātā iedzīvotāju vakcinācija pret gripu pēc provizoriskiem datiem palielinājusies apmēram par 30%.</w:t>
      </w:r>
    </w:p>
    <w:p w:rsidR="00F73AE1" w:rsidRPr="005565F8" w:rsidP="00F73AE1" w14:paraId="2DD547E9" w14:textId="77777777"/>
    <w:p w:rsidR="00F73AE1" w:rsidRPr="005565F8" w:rsidP="00F73AE1" w14:paraId="6A34710F"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Veselības aprūpes kvalitātes un pacientu drošības uzlabošana</w:t>
      </w:r>
    </w:p>
    <w:p w:rsidR="00F73AE1" w:rsidRPr="005565F8" w:rsidP="00F73AE1" w14:paraId="78E24E3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VM/</w:t>
      </w:r>
    </w:p>
    <w:p w:rsidR="000917D3" w:rsidRPr="005565F8" w:rsidP="00B22046" w14:paraId="1CDFD1A0"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1054E0" w:rsidRPr="005565F8" w:rsidP="00F73AE1" w14:paraId="5179B6C6" w14:textId="77777777">
      <w:pPr>
        <w:spacing w:before="240"/>
      </w:pPr>
      <w:r w:rsidRPr="005565F8">
        <w:t xml:space="preserve">2017. gada janvārī apstiprināta </w:t>
      </w:r>
      <w:r w:rsidRPr="005565F8">
        <w:rPr>
          <w:rFonts w:eastAsiaTheme="majorEastAsia"/>
          <w:bCs/>
          <w:i/>
          <w:kern w:val="24"/>
        </w:rPr>
        <w:t>Veselības aprūpes sistēmas kvalitātes pilnveidošanas un pacientu drošības koncepcija</w:t>
      </w:r>
      <w:r w:rsidRPr="005565F8">
        <w:rPr>
          <w:rFonts w:eastAsiaTheme="majorEastAsia"/>
          <w:bCs/>
          <w:kern w:val="24"/>
        </w:rPr>
        <w:t xml:space="preserve"> un</w:t>
      </w:r>
      <w:r w:rsidRPr="005565F8">
        <w:t xml:space="preserve"> tās ievaros veicamo pasākumu plāns. Pasākumu realizācija ir uzsākta, un tam paredzēti ES fondu 2014.-2020. gada plānošanas perioda līdzekļi. Koncepcija ietver tādus pasākumus, kā kapacitātes </w:t>
      </w:r>
      <w:r w:rsidRPr="005565F8">
        <w:t xml:space="preserve">stiprināšana veselības aprūpes kvalitātes un pacientu drošības jautājumu koordinācijas un uzraudzības jomā, veselības aprūpes kvalitātes un pacientu drošības indikatoru noteikšana un </w:t>
      </w:r>
      <w:r w:rsidRPr="005565F8">
        <w:t>monitorēšana</w:t>
      </w:r>
      <w:r w:rsidRPr="005565F8">
        <w:t xml:space="preserve">, ārstniecības iestāžu uzraudzības kārtības pilnveidošana, klīnisko vadlīniju datubāzē reģistrēto vadlīniju un apstiprināto medicīnisko tehnoloģiju </w:t>
      </w:r>
      <w:r w:rsidRPr="005565F8">
        <w:t>izvērtēšana, ārstniecības iestāžu reģistrācijas procesa pilnveidošana, izglītošana par veselības aprūpes kvalitātes un pacientu drošības jautājumiem.</w:t>
      </w:r>
    </w:p>
    <w:p w:rsidR="001054E0" w:rsidRPr="005565F8" w:rsidP="00124E5E" w14:paraId="4565A6FE" w14:textId="77777777">
      <w:r w:rsidRPr="005565F8">
        <w:t>2017. gada otrajā pusgadā uzsākta</w:t>
      </w:r>
      <w:r w:rsidRPr="005565F8" w:rsidR="00B2394C">
        <w:t>s</w:t>
      </w:r>
      <w:r w:rsidRPr="005565F8">
        <w:t xml:space="preserve"> apmācība</w:t>
      </w:r>
      <w:r w:rsidRPr="005565F8" w:rsidR="00B2394C">
        <w:t>s</w:t>
      </w:r>
      <w:r w:rsidRPr="005565F8">
        <w:t xml:space="preserve"> pacientu drošības un kvalitātes vadības jomā </w:t>
      </w:r>
      <w:r w:rsidRPr="005565F8" w:rsidR="00B2394C">
        <w:t>(</w:t>
      </w:r>
      <w:r w:rsidRPr="005565F8">
        <w:t>līdz 2018. gada beigām paredzēts apmācīt vairāk kā 2000 personas</w:t>
      </w:r>
      <w:r w:rsidRPr="005565F8" w:rsidR="00B2394C">
        <w:t>)</w:t>
      </w:r>
      <w:r w:rsidRPr="005565F8">
        <w:t xml:space="preserve">. </w:t>
      </w:r>
    </w:p>
    <w:p w:rsidR="00523B75" w:rsidRPr="005565F8" w:rsidP="00124E5E" w14:paraId="67C428AD" w14:textId="77777777">
      <w:pPr>
        <w:rPr>
          <w:lang w:eastAsia="lv-LV"/>
        </w:rPr>
      </w:pPr>
      <w:r w:rsidRPr="005565F8">
        <w:rPr>
          <w:rFonts w:eastAsia="Batang"/>
          <w:lang w:eastAsia="ko-KR"/>
        </w:rPr>
        <w:t xml:space="preserve">2017. gada 1. oktobrī spēkā stājās </w:t>
      </w:r>
      <w:r w:rsidRPr="005565F8" w:rsidR="00B2394C">
        <w:rPr>
          <w:rFonts w:eastAsia="Batang"/>
          <w:i/>
          <w:lang w:eastAsia="ko-KR"/>
        </w:rPr>
        <w:t>G</w:t>
      </w:r>
      <w:r w:rsidRPr="005565F8">
        <w:rPr>
          <w:rFonts w:eastAsia="Batang"/>
          <w:i/>
          <w:lang w:eastAsia="ko-KR"/>
        </w:rPr>
        <w:t xml:space="preserve">rozījumi </w:t>
      </w:r>
      <w:r w:rsidRPr="005565F8" w:rsidR="00B2394C">
        <w:rPr>
          <w:rFonts w:eastAsia="Batang"/>
          <w:i/>
          <w:lang w:eastAsia="ko-KR"/>
        </w:rPr>
        <w:t xml:space="preserve">MK </w:t>
      </w:r>
      <w:r w:rsidRPr="005565F8">
        <w:rPr>
          <w:rFonts w:eastAsia="Batang"/>
          <w:i/>
          <w:lang w:eastAsia="ko-KR"/>
        </w:rPr>
        <w:t>noteikumos par obligātajām prasībām ārstniecības iestādēm un to struktūrvienībām, ar kuriem tika paplašinātas prasības veselības aprūpes kvalitātes un pacientu drošības nodrošināšanai</w:t>
      </w:r>
      <w:r w:rsidRPr="005565F8">
        <w:rPr>
          <w:rFonts w:eastAsia="Batang"/>
          <w:lang w:eastAsia="ko-KR"/>
        </w:rPr>
        <w:t xml:space="preserve">. Bez tam tika pilnveidots dzemdību palīdzības pakalpojumu (grūtniecības periodā, dzemdībās un </w:t>
      </w:r>
      <w:r w:rsidRPr="005565F8">
        <w:rPr>
          <w:rFonts w:eastAsia="Batang"/>
          <w:lang w:eastAsia="ko-KR"/>
        </w:rPr>
        <w:t>pēcdzemdību</w:t>
      </w:r>
      <w:r w:rsidRPr="005565F8">
        <w:rPr>
          <w:rFonts w:eastAsia="Batang"/>
          <w:lang w:eastAsia="ko-KR"/>
        </w:rPr>
        <w:t xml:space="preserve"> periodā) normatīvais regulējums, nosakot prasības pakalpojuma kvalitātes nodrošināšanai.</w:t>
      </w:r>
    </w:p>
    <w:p w:rsidR="00B45174" w:rsidRPr="005565F8" w:rsidP="00A20BE2" w14:paraId="6B595CD9" w14:textId="77777777">
      <w:pPr>
        <w:pStyle w:val="Heading2"/>
        <w:spacing w:before="360" w:after="120"/>
        <w:jc w:val="center"/>
        <w:rPr>
          <w:rFonts w:ascii="Times New Roman Bold" w:hAnsi="Times New Roman Bold"/>
          <w:smallCaps/>
          <w:szCs w:val="24"/>
        </w:rPr>
        <w:sectPr w:rsidSect="005D1AD0">
          <w:type w:val="continuous"/>
          <w:pgSz w:w="11906" w:h="16838" w:code="9"/>
          <w:pgMar w:top="1134" w:right="1134" w:bottom="1134" w:left="1134" w:header="709" w:footer="567" w:gutter="0"/>
          <w:cols w:num="2" w:space="340"/>
          <w:titlePg/>
          <w:docGrid w:linePitch="360"/>
        </w:sectPr>
      </w:pPr>
    </w:p>
    <w:p w:rsidR="00B45174" w:rsidRPr="005565F8" w:rsidP="00F73AE1" w14:paraId="5E4BCF2A" w14:textId="77777777"/>
    <w:p w:rsidR="00523B75" w:rsidRPr="005565F8" w:rsidP="00B45174" w14:paraId="1D577279" w14:textId="77777777">
      <w:pPr>
        <w:pStyle w:val="Heading2"/>
        <w:pBdr>
          <w:bottom w:val="single" w:sz="24" w:space="1" w:color="228B9D"/>
        </w:pBdr>
      </w:pPr>
      <w:bookmarkStart w:id="104" w:name="_Toc510687760"/>
      <w:bookmarkStart w:id="105" w:name="_Toc256000029"/>
      <w:bookmarkStart w:id="106" w:name="_Toc256000064"/>
      <w:r w:rsidRPr="005565F8">
        <w:t>3.6. Enerģētika un klimata pārmaiņas</w:t>
      </w:r>
      <w:bookmarkEnd w:id="106"/>
      <w:bookmarkEnd w:id="105"/>
      <w:bookmarkEnd w:id="104"/>
    </w:p>
    <w:p w:rsidR="00F73AE1" w:rsidRPr="005565F8" w:rsidP="00F73AE1" w14:paraId="3ECF5B3B" w14:textId="77777777">
      <w:pPr>
        <w:sectPr w:rsidSect="005D1AD0">
          <w:type w:val="continuous"/>
          <w:pgSz w:w="11906" w:h="16838" w:code="9"/>
          <w:pgMar w:top="1134" w:right="1134" w:bottom="1134" w:left="1134" w:header="709" w:footer="567" w:gutter="0"/>
          <w:cols w:space="708"/>
          <w:titlePg/>
          <w:docGrid w:linePitch="360"/>
        </w:sectPr>
      </w:pPr>
    </w:p>
    <w:p w:rsidR="0042780F" w:rsidRPr="005565F8" w:rsidP="0042780F" w14:paraId="33EBC704" w14:textId="77777777">
      <w:pPr>
        <w:pStyle w:val="liknoteik"/>
        <w:shd w:val="clear" w:color="auto" w:fill="FFFFFF"/>
        <w:spacing w:before="0" w:beforeAutospacing="0" w:after="0" w:afterAutospacing="0"/>
        <w:rPr>
          <w:color w:val="000000" w:themeColor="text1"/>
        </w:rPr>
      </w:pPr>
      <w:bookmarkStart w:id="107" w:name="_Toc446597844"/>
      <w:r w:rsidRPr="005565F8">
        <w:rPr>
          <w:color w:val="000000" w:themeColor="text1"/>
        </w:rPr>
        <w:t xml:space="preserve">2016.gadā MK ir apstiprinātas </w:t>
      </w:r>
      <w:r w:rsidRPr="005565F8">
        <w:rPr>
          <w:i/>
          <w:color w:val="000000" w:themeColor="text1"/>
        </w:rPr>
        <w:t xml:space="preserve">Enerģētikas attīstības pamatnostādnes 2016.-2020. gadam. </w:t>
      </w:r>
      <w:r w:rsidRPr="005565F8">
        <w:rPr>
          <w:color w:val="000000" w:themeColor="text1"/>
        </w:rPr>
        <w:t xml:space="preserve">Latvijas enerģētikas politikas galvenais mērķis ir kopā ar citu nozaru politiku īstenošanu paaugstināt tautsaimniecības konkurētspēju, sekmējot piegāžu drošumu, brīvā tirgus un konkurences noteiktu energoresursu un enerģijas cenu veidošanos, ilgtspējīgu enerģijas ražošanu un patēriņu ar diviem </w:t>
      </w:r>
      <w:r w:rsidRPr="005565F8">
        <w:rPr>
          <w:b/>
          <w:color w:val="000000" w:themeColor="text1"/>
        </w:rPr>
        <w:t xml:space="preserve">enerģētikas politikas </w:t>
      </w:r>
      <w:r w:rsidRPr="005565F8">
        <w:rPr>
          <w:b/>
          <w:color w:val="000000" w:themeColor="text1"/>
        </w:rPr>
        <w:t>apakšmērķiem</w:t>
      </w:r>
      <w:r w:rsidRPr="005565F8">
        <w:rPr>
          <w:color w:val="000000" w:themeColor="text1"/>
        </w:rPr>
        <w:t>:</w:t>
      </w:r>
    </w:p>
    <w:p w:rsidR="0042780F" w:rsidRPr="005565F8" w:rsidP="00735883" w14:paraId="773EC376" w14:textId="77777777">
      <w:pPr>
        <w:pStyle w:val="NormalWeb"/>
        <w:numPr>
          <w:ilvl w:val="0"/>
          <w:numId w:val="24"/>
        </w:numPr>
        <w:shd w:val="clear" w:color="auto" w:fill="FFFFFF"/>
        <w:spacing w:after="60"/>
        <w:ind w:left="284" w:hanging="284"/>
        <w:rPr>
          <w:color w:val="000000" w:themeColor="text1"/>
        </w:rPr>
      </w:pPr>
      <w:r w:rsidRPr="005565F8">
        <w:rPr>
          <w:bCs/>
          <w:color w:val="000000" w:themeColor="text1"/>
        </w:rPr>
        <w:t>energoapgādes drošuma paaugstināšana,</w:t>
      </w:r>
      <w:r w:rsidRPr="005565F8">
        <w:rPr>
          <w:rStyle w:val="apple-converted-space"/>
          <w:color w:val="000000" w:themeColor="text1"/>
        </w:rPr>
        <w:t xml:space="preserve"> </w:t>
      </w:r>
      <w:r w:rsidRPr="005565F8">
        <w:rPr>
          <w:color w:val="000000" w:themeColor="text1"/>
        </w:rPr>
        <w:t xml:space="preserve">kas paredz enerģijas lietotājiem pieejamas, stabilas enerģijas piegādes, mazinot ģeopolitiskos riskus, dažādojot enerģijas resursu piegāžu avotus un ceļus, attīstot </w:t>
      </w:r>
      <w:r w:rsidRPr="005565F8">
        <w:rPr>
          <w:color w:val="000000" w:themeColor="text1"/>
        </w:rPr>
        <w:t>starpsavienojumus</w:t>
      </w:r>
      <w:r w:rsidRPr="005565F8">
        <w:rPr>
          <w:color w:val="000000" w:themeColor="text1"/>
        </w:rPr>
        <w:t xml:space="preserve"> un valsts iekšējās energoapgādes infrastruktūru, ieviešot energoapgādes tīklos viedās tehnoloģijas, veidojot energoresursu rezerves un iesaistoties tiesiskā regulējuma pilnveidošanā;</w:t>
      </w:r>
    </w:p>
    <w:p w:rsidR="0042780F" w:rsidRPr="005565F8" w:rsidP="00735883" w14:paraId="3DDD6BFF" w14:textId="77777777">
      <w:pPr>
        <w:pStyle w:val="NormalWeb"/>
        <w:numPr>
          <w:ilvl w:val="0"/>
          <w:numId w:val="24"/>
        </w:numPr>
        <w:shd w:val="clear" w:color="auto" w:fill="FFFFFF"/>
        <w:spacing w:after="0"/>
        <w:ind w:left="284" w:hanging="284"/>
        <w:rPr>
          <w:color w:val="000000" w:themeColor="text1"/>
        </w:rPr>
      </w:pPr>
      <w:r w:rsidRPr="005565F8">
        <w:rPr>
          <w:bCs/>
          <w:color w:val="000000" w:themeColor="text1"/>
        </w:rPr>
        <w:t>ilgtspējīga enerģētika,</w:t>
      </w:r>
      <w:r w:rsidRPr="005565F8">
        <w:rPr>
          <w:rStyle w:val="apple-converted-space"/>
          <w:color w:val="000000" w:themeColor="text1"/>
        </w:rPr>
        <w:t xml:space="preserve"> </w:t>
      </w:r>
      <w:r w:rsidRPr="005565F8">
        <w:rPr>
          <w:color w:val="000000" w:themeColor="text1"/>
        </w:rPr>
        <w:t>kas nodrošina enerģētikas ilgtspēju gan ekonomiskā, gan sociālā, gan vides izpratnē. To plānots panākt, uzlabojot energoefektivitāti, ieviešot viedās tehnoloģijas un veicinot augsti efektīvu ražošanas tehnoloģiju un atjaunojamo energoresursu (turpmāk – AER) izmantošanas tehnoloģijas.</w:t>
      </w:r>
    </w:p>
    <w:p w:rsidR="0042780F" w:rsidRPr="005565F8" w:rsidP="0042780F" w14:paraId="7284DF4A" w14:textId="77777777">
      <w:pPr>
        <w:pStyle w:val="NormalWeb"/>
        <w:shd w:val="clear" w:color="auto" w:fill="FFFFFF"/>
        <w:spacing w:after="0"/>
        <w:rPr>
          <w:color w:val="000000" w:themeColor="text1"/>
        </w:rPr>
      </w:pPr>
    </w:p>
    <w:p w:rsidR="0042780F" w:rsidRPr="005565F8" w:rsidP="0042780F" w14:paraId="6E7708ED" w14:textId="77777777">
      <w:pPr>
        <w:pStyle w:val="NormalWeb"/>
        <w:shd w:val="clear" w:color="auto" w:fill="FFFFFF"/>
        <w:spacing w:after="0"/>
        <w:rPr>
          <w:color w:val="000000" w:themeColor="text1"/>
        </w:rPr>
      </w:pPr>
      <w:r w:rsidRPr="005565F8">
        <w:rPr>
          <w:color w:val="000000" w:themeColor="text1"/>
        </w:rPr>
        <w:t>2016.gada 9.decembrī Baltijas valstu premjerministri parakstījuši vienošanos par vienota gāzes tirgus attīstīšanu. Baltijas valstis un Somija jau sākušas aktīvas sarunas par reģionālā gāzes tirgus izveidošanu, detalizēti analizējot katras valsts dabasgāzes tirgus principus un nosacījumus ar mērķi nākotnē panākt vienošanos par vienotiem un kopīgiem tirgus darbības nosacījumiem.</w:t>
      </w:r>
    </w:p>
    <w:p w:rsidR="007D1DA0" w:rsidRPr="005565F8" w:rsidP="0042780F" w14:paraId="679E4D6D" w14:textId="77777777">
      <w:pPr>
        <w:pStyle w:val="NormalWeb"/>
        <w:shd w:val="clear" w:color="auto" w:fill="FFFFFF"/>
        <w:spacing w:after="0"/>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7D1DA0" w:rsidRPr="005565F8" w:rsidP="0042780F" w14:paraId="3F0D4D01" w14:textId="77777777">
      <w:pPr>
        <w:pStyle w:val="NormalWeb"/>
        <w:shd w:val="clear" w:color="auto" w:fill="FFFFFF"/>
        <w:spacing w:after="0"/>
        <w:rPr>
          <w:color w:val="000000" w:themeColor="text1"/>
        </w:rPr>
      </w:pPr>
    </w:p>
    <w:p w:rsidR="00523B75" w:rsidRPr="005565F8" w:rsidP="00523B75" w14:paraId="7C4FE33F" w14:textId="77777777">
      <w:pPr>
        <w:pStyle w:val="Heading3"/>
        <w:spacing w:before="240"/>
      </w:pPr>
      <w:bookmarkStart w:id="108" w:name="_Toc510687761"/>
      <w:bookmarkStart w:id="109" w:name="_Toc256000030"/>
      <w:bookmarkStart w:id="110" w:name="_Toc256000065"/>
      <w:r w:rsidRPr="005565F8">
        <w:t>3.6.1. Enerģijas tirgus un infrastruktūra</w:t>
      </w:r>
      <w:bookmarkEnd w:id="110"/>
      <w:bookmarkEnd w:id="109"/>
      <w:bookmarkEnd w:id="107"/>
      <w:bookmarkEnd w:id="108"/>
    </w:p>
    <w:p w:rsidR="007D1DA0" w:rsidRPr="005565F8" w:rsidP="00F73AE1" w14:paraId="1FCDD775" w14:textId="77777777">
      <w:bookmarkStart w:id="111" w:name="_Toc446597845"/>
    </w:p>
    <w:p w:rsidR="00F73AE1" w:rsidRPr="005565F8" w:rsidP="00F73AE1" w14:paraId="36CF68D0" w14:textId="77777777">
      <w:pPr>
        <w:sectPr w:rsidSect="005D1AD0">
          <w:type w:val="continuous"/>
          <w:pgSz w:w="11906" w:h="16838" w:code="9"/>
          <w:pgMar w:top="1134" w:right="1134" w:bottom="1134" w:left="1134" w:header="709" w:footer="567" w:gutter="0"/>
          <w:cols w:space="340"/>
          <w:titlePg/>
          <w:docGrid w:linePitch="360"/>
        </w:sectPr>
      </w:pPr>
    </w:p>
    <w:p w:rsidR="0042780F" w:rsidRPr="005565F8" w:rsidP="0042780F" w14:paraId="4DF4CE13" w14:textId="77777777">
      <w:r w:rsidRPr="005565F8">
        <w:t xml:space="preserve">Latvijas </w:t>
      </w:r>
      <w:r w:rsidRPr="005565F8">
        <w:rPr>
          <w:b/>
        </w:rPr>
        <w:t>elektroenerģijas</w:t>
      </w:r>
      <w:r w:rsidRPr="005565F8">
        <w:t xml:space="preserve"> tirgus ir pilnībā liberalizēts no 2015.gada 1.janvāra. Tas nozīmē, ka mājsaimniecības, tāpat kā juridiskie lietotāji brīvi izvēlas tirgotāju, vienojoties par elektroenerģijas cenu.</w:t>
      </w:r>
    </w:p>
    <w:p w:rsidR="0042780F" w:rsidRPr="005565F8" w:rsidP="0042780F" w14:paraId="439298ED" w14:textId="77777777">
      <w:r w:rsidRPr="005565F8">
        <w:t xml:space="preserve">Lai mazinātu negatīvo ietekmi uz sociāli maz aizsargātām grupām elektroenerģijas izmaksu pieauguma dēļ pēc subsidēto regulēto tarifu atcelšanas, kopš 2015.gada 1.janvāra turpina darboties atbalsta instruments aizsargātajiem patērētājiem (trūcīga, maznodrošināta, </w:t>
      </w:r>
      <w:r w:rsidRPr="005565F8">
        <w:t>daudzbērnu</w:t>
      </w:r>
      <w:r w:rsidRPr="005565F8">
        <w:t xml:space="preserve"> ģimene u.c., kas izlieto elektroenerģiju pašu patēriņam), paredzot iespēju patērētājiem noteiktu apjomu elektroenerģijas (100 vai 300 </w:t>
      </w:r>
      <w:r w:rsidRPr="005565F8">
        <w:t>kWh</w:t>
      </w:r>
      <w:r w:rsidRPr="005565F8">
        <w:t>/mēnesī) iegādāties par zemāku tarifu.</w:t>
      </w:r>
    </w:p>
    <w:p w:rsidR="00E030DA" w:rsidRPr="005565F8" w:rsidP="0042780F" w14:paraId="6A0196C2" w14:textId="77777777">
      <w:r w:rsidRPr="005565F8">
        <w:t>Lai arī jaunu elektroenerģijas ražošanas iekārtu ieviešanai atļauju izsniegšana turpinās, jaunas tiesības pārdot saražoto elektroenerģiju obligātā iepirkuma ietvaros izsniegtas netiek.</w:t>
      </w:r>
    </w:p>
    <w:p w:rsidR="0042780F" w:rsidRPr="005565F8" w:rsidP="0042780F" w14:paraId="5A01886F" w14:textId="77777777">
      <w:r w:rsidRPr="005565F8">
        <w:t xml:space="preserve">Turpinot pilnveidot Latvijas elektroenerģijas tirgus darbību un lai stiprinātu savienojumus ar Eiropas tīkliem, tiek paaugstināta pārvades infrastruktūras </w:t>
      </w:r>
      <w:r w:rsidRPr="005565F8">
        <w:t xml:space="preserve">kapacitāte Latvijā un Baltijas reģionā. Tas ir atspoguļots arī ES ietvaros nospraustajā mērķī, kas paredz līdz 2020.gadam reģionā palielināt </w:t>
      </w:r>
      <w:r w:rsidRPr="005565F8">
        <w:t>starpsavienojumu</w:t>
      </w:r>
      <w:r w:rsidRPr="005565F8">
        <w:t xml:space="preserve"> jaudu pret uzstādīto ģenerējošo jaudu līdz 10%. 2015.gada nogalē tika pabeigts darbs pie </w:t>
      </w:r>
      <w:r w:rsidRPr="005565F8">
        <w:rPr>
          <w:i/>
        </w:rPr>
        <w:t>LitPol</w:t>
      </w:r>
      <w:r w:rsidRPr="005565F8">
        <w:rPr>
          <w:i/>
        </w:rPr>
        <w:t xml:space="preserve"> </w:t>
      </w:r>
      <w:r w:rsidRPr="005565F8">
        <w:rPr>
          <w:i/>
        </w:rPr>
        <w:t>Link</w:t>
      </w:r>
      <w:r w:rsidRPr="005565F8">
        <w:t xml:space="preserve"> 1.kārtas, kas izveido savienojumu starp Lietuvu un Poliju (pārvades jauda 500 MW), kā arī tika pabeigts Lietuvas-Zviedrijas </w:t>
      </w:r>
      <w:r w:rsidRPr="005565F8">
        <w:t>starpsavienojums</w:t>
      </w:r>
      <w:r w:rsidRPr="005565F8">
        <w:t xml:space="preserve"> </w:t>
      </w:r>
      <w:r w:rsidRPr="005565F8">
        <w:rPr>
          <w:i/>
        </w:rPr>
        <w:t>NordBalt</w:t>
      </w:r>
      <w:r w:rsidRPr="005565F8">
        <w:t xml:space="preserve"> (pārvades jauda 700 MW). Šīs pārvades līnijas ļauj samazināt elektroenerģijas cenu Latvijas patērētājiem un veicina tās izlīdzināšanos reģionā. Abu elektropārvades savienojumu darbības rezultātā 2016.gadā un 2017.gadā ir būtiski samazinājušās elektroenerģijas vairumcenu atšķirības starp Latviju un Skandināvijas valstīm. 2016.gada vidējā elektroenerģijas cena Latvijas </w:t>
      </w:r>
      <w:r w:rsidRPr="005565F8">
        <w:t>vairumtirgū</w:t>
      </w:r>
      <w:r w:rsidRPr="005565F8">
        <w:t xml:space="preserve"> biržā </w:t>
      </w:r>
      <w:r w:rsidRPr="005565F8">
        <w:rPr>
          <w:i/>
        </w:rPr>
        <w:t>NordPoolSpot</w:t>
      </w:r>
      <w:r w:rsidRPr="005565F8">
        <w:t xml:space="preserve">, salīdzinot ar iepriekšējo gadu, saruka par 13%, bet 2017.gadā – par 3,9%. Tajā pašā laikā 2016.gadā elektroenerģijas vidējā cena Latvijas </w:t>
      </w:r>
      <w:r w:rsidRPr="005565F8">
        <w:t>vairumtirgū</w:t>
      </w:r>
      <w:r w:rsidRPr="005565F8">
        <w:t xml:space="preserve"> biržā </w:t>
      </w:r>
      <w:r w:rsidRPr="005565F8">
        <w:rPr>
          <w:i/>
        </w:rPr>
        <w:t>NordPoolSpot</w:t>
      </w:r>
      <w:r w:rsidRPr="005565F8">
        <w:t xml:space="preserve"> bija par 22% augstāka, nekā, piemēram, Zviedrijas dienvidu reģiona tirdzniecības apgabalā SE4, bet 2017.gadā </w:t>
      </w:r>
      <w:r w:rsidRPr="005565F8" w:rsidR="000F6877">
        <w:t>–</w:t>
      </w:r>
      <w:r w:rsidRPr="005565F8">
        <w:t xml:space="preserve"> par 7,7% augstāka. Vienlaikus jāatzīmē, ka neskatoties uz vidējo </w:t>
      </w:r>
      <w:r w:rsidRPr="005565F8">
        <w:t>vairumtirdzniecības cenas samazinājumu, vairumtirdzniecības cenas 2016. un 2017.gadā un klimatiskie apstākļi kopumā ir bijuši pietiekami labvēlīgi</w:t>
      </w:r>
      <w:r w:rsidRPr="005565F8" w:rsidR="000F6877">
        <w:t>,</w:t>
      </w:r>
      <w:r w:rsidRPr="005565F8">
        <w:t xml:space="preserve"> lai veicinātu Latvijā saražotās elektroenerģijas apjomu pieaugumu, un 2017.gadā kopumā saražots par aptuveni 1% vairāk elektroenerģijas nekā šajā periodā patērēts. </w:t>
      </w:r>
    </w:p>
    <w:p w:rsidR="0042780F" w:rsidRPr="005565F8" w:rsidP="0042780F" w14:paraId="07DC031D" w14:textId="77777777">
      <w:r w:rsidRPr="005565F8">
        <w:t xml:space="preserve">Kā daļa no </w:t>
      </w:r>
      <w:r w:rsidRPr="005565F8">
        <w:rPr>
          <w:i/>
        </w:rPr>
        <w:t>NordBalt</w:t>
      </w:r>
      <w:r w:rsidRPr="005565F8">
        <w:t xml:space="preserve"> projekta, tiek turpināts darbs pie Kurzemes loka 3.posma, kas paredzēts, lai novērstu līdz šim iztrūkstošo palielinātas jaudas </w:t>
      </w:r>
      <w:r w:rsidRPr="005565F8">
        <w:t>pieslēgumu</w:t>
      </w:r>
      <w:r w:rsidRPr="005565F8">
        <w:t xml:space="preserve"> iespējamību, nodrošinātu vēja parku attīstību un palielinātu elektroapgādes drošumu Kurzemē. Tiek turpināts darbs pie Latvijas-Igaunijas 3.starpsavienojuma, kas būtiski uzlabos energoapgādes drošumu starp Igauniju un Latviju, kā arī abu valstu energosistēmās, nodrošinot efektīvu jaudas pārvades koridoru starp Baltijas un Ziemeļvalstu elektroenerģijas sistēmām.</w:t>
      </w:r>
    </w:p>
    <w:p w:rsidR="0042780F" w:rsidRPr="005565F8" w:rsidP="0042780F" w14:paraId="1E701B85" w14:textId="77777777">
      <w:r w:rsidRPr="005565F8">
        <w:t>Papildus, Baltijas valstu elektrotīklu integrācija ES elektroenerģijas sistēmā ir izvirzīta kā viena no ES enerģētikas politikas stratēģiskajām prioritātēm, lai veicinātu drošas un uzticamas elektrosistēmas izveidi. Tādējādi turpinās aktīvs darbs Baltijas valstu starpā, lai nodrošinātu Baltijas valstu sinhronizāciju ar Polijas elektrosistēmu. Līdz 2018.gada vidum paredzēts pieņemt lēmumu par labāko scenāriju sinhronizācijai ar Poliju un turpmākajiem veicamajiem soļiem.</w:t>
      </w:r>
    </w:p>
    <w:p w:rsidR="0042780F" w:rsidRPr="005565F8" w:rsidP="0042780F" w14:paraId="4DDC88B2" w14:textId="77777777"/>
    <w:p w:rsidR="00A14822" w:rsidRPr="005565F8" w:rsidP="0042780F" w14:paraId="2074E42A" w14:textId="77777777">
      <w:r w:rsidRPr="005565F8">
        <w:t xml:space="preserve">No 2017.gada 3.aprīļa brīvai konkurencei ir atvērts arī </w:t>
      </w:r>
      <w:r w:rsidRPr="005565F8">
        <w:rPr>
          <w:b/>
        </w:rPr>
        <w:t>dabasgāzes tirgus</w:t>
      </w:r>
      <w:r w:rsidRPr="005565F8">
        <w:t>, un kopumā Latvijas tirgū darbu ir sākuši vairāki desmit</w:t>
      </w:r>
      <w:r w:rsidRPr="005565F8" w:rsidR="00E04703">
        <w:t xml:space="preserve">i </w:t>
      </w:r>
      <w:r w:rsidRPr="005565F8">
        <w:t>dabasgāzes tirgotāji, kā arī ir mainījusies dabasgāzes piegāžu struktūra un 2017.gadā Latvijas patērētāji sāka saņemt arī dabasgāzi no Lietuvas sašķidrinātās</w:t>
      </w:r>
      <w:r w:rsidRPr="005565F8">
        <w:t xml:space="preserve"> dabasgāzes termināļa Klaipēdā.</w:t>
      </w:r>
    </w:p>
    <w:p w:rsidR="0042780F" w:rsidRPr="005565F8" w:rsidP="0042780F" w14:paraId="3F61EE62" w14:textId="77777777">
      <w:r w:rsidRPr="005565F8">
        <w:t>Turpinoties dabasgāzes tirgus reformām, notikusi agrākā monopolista AS “Latvijas Gāze” reorganizācija, no uzņēmuma nodalot pārvades sistēmas operatoru AS “</w:t>
      </w:r>
      <w:r w:rsidRPr="005565F8">
        <w:t>Conexus</w:t>
      </w:r>
      <w:r w:rsidRPr="005565F8">
        <w:t xml:space="preserve"> </w:t>
      </w:r>
      <w:r w:rsidRPr="005565F8">
        <w:t>Baltic</w:t>
      </w:r>
      <w:r w:rsidRPr="005565F8">
        <w:t xml:space="preserve"> Grid” un sadales sistēmas operatoru AS “</w:t>
      </w:r>
      <w:r w:rsidRPr="005565F8">
        <w:t>Gaso</w:t>
      </w:r>
      <w:r w:rsidRPr="005565F8">
        <w:t>”, kā arī, lai veicinātu pārvades sistēmas operatora AS “</w:t>
      </w:r>
      <w:r w:rsidRPr="005565F8">
        <w:t>Conexus</w:t>
      </w:r>
      <w:r w:rsidRPr="005565F8">
        <w:t xml:space="preserve"> </w:t>
      </w:r>
      <w:r w:rsidRPr="005565F8">
        <w:t>Baltic</w:t>
      </w:r>
      <w:r w:rsidRPr="005565F8">
        <w:t xml:space="preserve"> Grid” neatkarību no dabasgāzes un elektroenerģijas ražošanā un tirdzniecībā iesaistītiem komersantiem, kā arī veicinātu reģionālā gāzes tirgus izveidi, elektropārvades sistēmas operators AS “Augstsprieguma </w:t>
      </w:r>
      <w:r w:rsidRPr="005565F8" w:rsidR="00A14822">
        <w:t>t</w:t>
      </w:r>
      <w:r w:rsidRPr="005565F8">
        <w:t>īkls” 2017.gadā ir iegādājies 34,36% AS “</w:t>
      </w:r>
      <w:r w:rsidRPr="005565F8">
        <w:t>Conexus</w:t>
      </w:r>
      <w:r w:rsidRPr="005565F8">
        <w:t xml:space="preserve"> </w:t>
      </w:r>
      <w:r w:rsidRPr="005565F8">
        <w:t>Baltic</w:t>
      </w:r>
      <w:r w:rsidRPr="005565F8">
        <w:t xml:space="preserve"> Grid” akciju. </w:t>
      </w:r>
    </w:p>
    <w:p w:rsidR="0042780F" w:rsidRPr="005565F8" w:rsidP="0042780F" w14:paraId="2B02F840" w14:textId="77777777">
      <w:r w:rsidRPr="005565F8">
        <w:t xml:space="preserve">Brīvā tirgus apstākļos vienlaikus ir nodrošināta arī dabasgāzes tirgus apgādes drošība, jo 2017.gada apkures sezonas sākumā kopumā komersanti Inčukalna pazemes krātuvē bija iesūknējuši 15,04 </w:t>
      </w:r>
      <w:r w:rsidRPr="005565F8">
        <w:t>TWh</w:t>
      </w:r>
      <w:r w:rsidRPr="005565F8">
        <w:t xml:space="preserve"> dabasgāzes, kas ir līdzvērtīgs apjoms 62% no krātuves maksimālās ietilpības un ir pietiekams apjoms, lai nodrošinātu Latvijas pieprasījumu pēc dabasgāzes apkures sezonā, kad ir iespējami dabasgāzes piegāžu ierobežojumi piegādēm pa cauruļvadiem. 2017.gadā arī apstiprināts normatīvais regulējums, kas paredz, ka Latvijā tiek uzturētas dabasgāzes drošības rezerves, tādā apjomā, lai nodrošināmajiem lietotājiem (</w:t>
      </w:r>
      <w:r w:rsidRPr="005565F8" w:rsidR="00A14822">
        <w:t>t.sk.</w:t>
      </w:r>
      <w:r w:rsidRPr="005565F8">
        <w:t xml:space="preserve"> mājsaimniecībām, skolām, pirmsskolas izglītības iestādēm, slimnīcām, valsts un pašvaldību ilgstošas sociālās aprūpes un sociālās rehabilitācijas institūcijām, krīzes centriem un citām sociāli nozīmīgām un ar valsts drošību saistītām iestādēm) varētu bez pārtraukumiem piegādāt dabasgāzi laikā, kamēr tiek novērsti iespējamie dabasgāzes piegāžu traucējumus izraisījušie apstākļi.</w:t>
      </w:r>
    </w:p>
    <w:p w:rsidR="0042780F" w:rsidRPr="005565F8" w:rsidP="0042780F" w14:paraId="2BFA7024" w14:textId="77777777">
      <w:r w:rsidRPr="005565F8">
        <w:t>Šobrīd atbildīgās institūcijas un pārvades sistēmas operators AS “</w:t>
      </w:r>
      <w:r w:rsidRPr="005565F8">
        <w:t>Conexus</w:t>
      </w:r>
      <w:r w:rsidRPr="005565F8">
        <w:t xml:space="preserve"> </w:t>
      </w:r>
      <w:r w:rsidRPr="005565F8">
        <w:t>Baltic</w:t>
      </w:r>
      <w:r w:rsidRPr="005565F8">
        <w:t xml:space="preserve"> Grid” aktīvi turpina darbu pie likvīda un efektīva reģionālā dabasgāzes tirgus izveides.</w:t>
      </w:r>
    </w:p>
    <w:p w:rsidR="007D1DA0" w:rsidRPr="005565F8" w:rsidP="0042780F" w14:paraId="41ACD418" w14:textId="77777777">
      <w:pPr>
        <w:sectPr w:rsidSect="005D1AD0">
          <w:type w:val="continuous"/>
          <w:pgSz w:w="11906" w:h="16838" w:code="9"/>
          <w:pgMar w:top="1134" w:right="1134" w:bottom="1134" w:left="1134" w:header="709" w:footer="567" w:gutter="0"/>
          <w:cols w:num="2" w:space="340"/>
          <w:titlePg/>
          <w:docGrid w:linePitch="360"/>
        </w:sectPr>
      </w:pPr>
    </w:p>
    <w:p w:rsidR="007D1DA0" w:rsidRPr="005565F8" w:rsidP="0042780F" w14:paraId="1E516D58" w14:textId="77777777"/>
    <w:p w:rsidR="00523B75" w:rsidRPr="005565F8" w:rsidP="0042780F" w14:paraId="34DC8D87" w14:textId="77777777">
      <w:pPr>
        <w:pStyle w:val="Heading3"/>
      </w:pPr>
      <w:bookmarkStart w:id="112" w:name="_Toc510687762"/>
      <w:bookmarkStart w:id="113" w:name="_Toc256000031"/>
      <w:bookmarkStart w:id="114" w:name="_Toc256000066"/>
      <w:r w:rsidRPr="005565F8">
        <w:t>3.6.2. Energoefektivitātes veicināšana</w:t>
      </w:r>
      <w:bookmarkEnd w:id="114"/>
      <w:bookmarkEnd w:id="113"/>
      <w:bookmarkEnd w:id="111"/>
      <w:bookmarkEnd w:id="112"/>
    </w:p>
    <w:p w:rsidR="00F73AE1" w:rsidRPr="005565F8" w:rsidP="0042780F" w14:paraId="0C2E559A" w14:textId="77777777">
      <w:pPr>
        <w:autoSpaceDE w:val="0"/>
        <w:autoSpaceDN w:val="0"/>
        <w:adjustRightInd w:val="0"/>
        <w:rPr>
          <w:rFonts w:eastAsiaTheme="minorHAnsi"/>
          <w:bCs/>
          <w:color w:val="000000"/>
        </w:rPr>
        <w:sectPr w:rsidSect="005D1AD0">
          <w:type w:val="continuous"/>
          <w:pgSz w:w="11906" w:h="16838" w:code="9"/>
          <w:pgMar w:top="1134" w:right="1134" w:bottom="1134" w:left="1134" w:header="709" w:footer="567" w:gutter="0"/>
          <w:cols w:space="340"/>
          <w:titlePg/>
          <w:docGrid w:linePitch="360"/>
        </w:sectPr>
      </w:pPr>
    </w:p>
    <w:p w:rsidR="0042780F" w:rsidRPr="005565F8" w:rsidP="0042780F" w14:paraId="6896BB73" w14:textId="77777777">
      <w:pPr>
        <w:autoSpaceDE w:val="0"/>
        <w:autoSpaceDN w:val="0"/>
        <w:adjustRightInd w:val="0"/>
        <w:rPr>
          <w:rFonts w:eastAsiaTheme="minorHAnsi"/>
          <w:color w:val="000000"/>
        </w:rPr>
      </w:pPr>
      <w:r w:rsidRPr="005565F8">
        <w:rPr>
          <w:rFonts w:eastAsiaTheme="minorHAnsi"/>
          <w:bCs/>
          <w:i/>
          <w:color w:val="000000"/>
        </w:rPr>
        <w:t>Eiropas Parlamenta un Padomes 2012.gada 25.oktobra</w:t>
      </w:r>
      <w:r w:rsidRPr="005565F8">
        <w:rPr>
          <w:rFonts w:eastAsiaTheme="minorHAnsi"/>
          <w:bCs/>
          <w:color w:val="000000"/>
        </w:rPr>
        <w:t xml:space="preserve"> </w:t>
      </w:r>
      <w:r w:rsidRPr="005565F8">
        <w:rPr>
          <w:rFonts w:eastAsiaTheme="minorHAnsi"/>
          <w:bCs/>
          <w:i/>
          <w:color w:val="000000"/>
        </w:rPr>
        <w:t xml:space="preserve">Direktīvas 2012/27/ES par energoefektivitāti </w:t>
      </w:r>
      <w:r w:rsidRPr="005565F8">
        <w:rPr>
          <w:rFonts w:eastAsiaTheme="minorHAnsi"/>
          <w:bCs/>
          <w:color w:val="000000"/>
        </w:rPr>
        <w:t xml:space="preserve">(turpmāk – Direktīva 2012/27/ES) mērķis ir </w:t>
      </w:r>
      <w:r w:rsidRPr="005565F8">
        <w:rPr>
          <w:rFonts w:eastAsiaTheme="minorHAnsi"/>
          <w:color w:val="000000"/>
        </w:rPr>
        <w:t xml:space="preserve">energoefektivitātes veicināšana, lai nodrošinātu 20% energoefektivitātes pamatmērķa sasniegšanu un liktu pamatus turpmākiem energoefektivitātes uzlabojumiem. </w:t>
      </w:r>
      <w:r w:rsidRPr="005565F8">
        <w:t xml:space="preserve">Atbilstoši Direktīvas 2012/27/ES prasībām Latvija </w:t>
      </w:r>
      <w:r w:rsidRPr="005565F8" w:rsidR="00DD6B7B">
        <w:t>sagatavoja un 2017.gada maijā ie</w:t>
      </w:r>
      <w:r w:rsidRPr="005565F8" w:rsidR="0037395C">
        <w:t>s</w:t>
      </w:r>
      <w:r w:rsidRPr="005565F8" w:rsidR="00DD6B7B">
        <w:t xml:space="preserve">niedza EK </w:t>
      </w:r>
      <w:r w:rsidRPr="005565F8">
        <w:t xml:space="preserve"> </w:t>
      </w:r>
      <w:r w:rsidRPr="005565F8">
        <w:rPr>
          <w:i/>
        </w:rPr>
        <w:t>Informatīvo ziņojumu par virzību uz indikatīvo valsts energoefektivitātes mērķi 2017.-2019.gadā</w:t>
      </w:r>
      <w:r w:rsidRPr="005565F8">
        <w:t xml:space="preserve">, kurā apkopoti plānotie energoefektivitātes pasākumi laika posmam līdz 2019.gadam. Ziņojumā </w:t>
      </w:r>
      <w:r w:rsidRPr="005565F8" w:rsidR="0037395C">
        <w:t xml:space="preserve">ir </w:t>
      </w:r>
      <w:r w:rsidRPr="005565F8">
        <w:t xml:space="preserve"> </w:t>
      </w:r>
      <w:r w:rsidRPr="005565F8">
        <w:t xml:space="preserve">apkopoti un izvērtēti enerģijas ietaupījumi, kas </w:t>
      </w:r>
      <w:r w:rsidRPr="005565F8" w:rsidR="0037395C">
        <w:t>iegūti</w:t>
      </w:r>
      <w:r w:rsidRPr="005565F8">
        <w:t xml:space="preserve"> laik</w:t>
      </w:r>
      <w:r w:rsidRPr="005565F8" w:rsidR="00C1435F">
        <w:t>ā</w:t>
      </w:r>
      <w:r w:rsidRPr="005565F8">
        <w:t xml:space="preserve"> no 2014. līdz 2016.gadam.</w:t>
      </w:r>
    </w:p>
    <w:p w:rsidR="0042780F" w:rsidRPr="005565F8" w:rsidP="0042780F" w14:paraId="79A2280E" w14:textId="77777777">
      <w:pPr>
        <w:rPr>
          <w:rFonts w:eastAsiaTheme="majorEastAsia"/>
          <w:bCs/>
        </w:rPr>
      </w:pPr>
      <w:r w:rsidRPr="005565F8">
        <w:rPr>
          <w:rFonts w:eastAsiaTheme="majorEastAsia"/>
          <w:b/>
          <w:bCs/>
        </w:rPr>
        <w:t>Valsts energoefektivitātes mērķi</w:t>
      </w:r>
      <w:r w:rsidRPr="005565F8">
        <w:rPr>
          <w:rFonts w:eastAsiaTheme="majorEastAsia"/>
          <w:bCs/>
        </w:rPr>
        <w:t xml:space="preserve"> atbilst šādiem enerģijas ietaupījuma skaitliskajiem apjomiem:</w:t>
      </w:r>
    </w:p>
    <w:p w:rsidR="0042780F" w:rsidRPr="005565F8" w:rsidP="009056EB" w14:paraId="5CE795E6" w14:textId="77777777">
      <w:pPr>
        <w:numPr>
          <w:ilvl w:val="0"/>
          <w:numId w:val="23"/>
        </w:numPr>
        <w:spacing w:after="60"/>
        <w:ind w:left="284" w:hanging="284"/>
        <w:rPr>
          <w:rFonts w:eastAsiaTheme="minorHAnsi"/>
          <w:color w:val="000000"/>
        </w:rPr>
      </w:pPr>
      <w:r w:rsidRPr="005565F8">
        <w:rPr>
          <w:rFonts w:eastAsiaTheme="minorHAnsi"/>
          <w:color w:val="000000"/>
        </w:rPr>
        <w:t>kopējais valsts indikatīvais energoefektivitātes mērķis</w:t>
      </w:r>
      <w:r>
        <w:rPr>
          <w:rFonts w:eastAsiaTheme="minorHAnsi"/>
          <w:color w:val="000000"/>
          <w:vertAlign w:val="superscript"/>
        </w:rPr>
        <w:footnoteReference w:id="56"/>
      </w:r>
      <w:r w:rsidRPr="005565F8">
        <w:rPr>
          <w:rFonts w:eastAsiaTheme="minorHAnsi"/>
          <w:color w:val="000000"/>
          <w:vertAlign w:val="superscript"/>
        </w:rPr>
        <w:t xml:space="preserve"> </w:t>
      </w:r>
      <w:r w:rsidRPr="005565F8">
        <w:rPr>
          <w:rFonts w:eastAsiaTheme="minorHAnsi"/>
          <w:color w:val="000000"/>
        </w:rPr>
        <w:t xml:space="preserve">– primārās enerģijas ietaupījums 2020.gadā – 0,670 </w:t>
      </w:r>
      <w:r w:rsidRPr="005565F8">
        <w:rPr>
          <w:rFonts w:eastAsiaTheme="minorHAnsi"/>
          <w:color w:val="000000"/>
        </w:rPr>
        <w:t>Mtoe</w:t>
      </w:r>
      <w:r w:rsidRPr="005565F8">
        <w:rPr>
          <w:rFonts w:eastAsiaTheme="minorHAnsi"/>
          <w:color w:val="000000"/>
        </w:rPr>
        <w:t xml:space="preserve"> (28 PJ);</w:t>
      </w:r>
    </w:p>
    <w:p w:rsidR="0042780F" w:rsidRPr="005565F8" w:rsidP="009056EB" w14:paraId="3B6E794A" w14:textId="77777777">
      <w:pPr>
        <w:numPr>
          <w:ilvl w:val="0"/>
          <w:numId w:val="23"/>
        </w:numPr>
        <w:spacing w:after="60"/>
        <w:ind w:left="284" w:hanging="284"/>
        <w:rPr>
          <w:rFonts w:eastAsiaTheme="minorHAnsi"/>
          <w:color w:val="000000"/>
        </w:rPr>
      </w:pPr>
      <w:r w:rsidRPr="005565F8">
        <w:rPr>
          <w:rFonts w:eastAsiaTheme="minorHAnsi"/>
          <w:color w:val="000000"/>
        </w:rPr>
        <w:t>ikgadējs 1,5% galalietotājiem piegādātās enerģijas ietaupījuma mērķis</w:t>
      </w:r>
      <w:r>
        <w:rPr>
          <w:rFonts w:eastAsiaTheme="minorHAnsi"/>
          <w:color w:val="000000"/>
          <w:vertAlign w:val="superscript"/>
        </w:rPr>
        <w:footnoteReference w:id="57"/>
      </w:r>
      <w:r w:rsidRPr="005565F8">
        <w:rPr>
          <w:rFonts w:eastAsiaTheme="minorHAnsi"/>
          <w:color w:val="000000"/>
          <w:vertAlign w:val="superscript"/>
        </w:rPr>
        <w:t xml:space="preserve"> </w:t>
      </w:r>
      <w:r w:rsidRPr="005565F8">
        <w:rPr>
          <w:rFonts w:eastAsiaTheme="minorHAnsi"/>
          <w:color w:val="000000"/>
        </w:rPr>
        <w:t xml:space="preserve">– gala enerģijas ietaupījums 2020.gadā – 0,213 </w:t>
      </w:r>
      <w:r w:rsidRPr="005565F8">
        <w:rPr>
          <w:rFonts w:eastAsiaTheme="minorHAnsi"/>
          <w:color w:val="000000"/>
        </w:rPr>
        <w:t>Mtoe</w:t>
      </w:r>
      <w:r w:rsidRPr="005565F8">
        <w:rPr>
          <w:rFonts w:eastAsiaTheme="minorHAnsi"/>
          <w:color w:val="000000"/>
        </w:rPr>
        <w:t xml:space="preserve"> (8,9 PJ);</w:t>
      </w:r>
    </w:p>
    <w:p w:rsidR="0042780F" w:rsidRPr="005565F8" w:rsidP="009056EB" w14:paraId="182FD278" w14:textId="77777777">
      <w:pPr>
        <w:numPr>
          <w:ilvl w:val="0"/>
          <w:numId w:val="23"/>
        </w:numPr>
        <w:spacing w:after="60"/>
        <w:ind w:left="284" w:hanging="284"/>
        <w:rPr>
          <w:rFonts w:eastAsiaTheme="minorHAnsi"/>
          <w:color w:val="000000"/>
        </w:rPr>
      </w:pPr>
      <w:r w:rsidRPr="005565F8">
        <w:rPr>
          <w:rFonts w:eastAsiaTheme="minorHAnsi"/>
          <w:color w:val="000000"/>
        </w:rPr>
        <w:t xml:space="preserve">ikgadējs 3% no valstij piederošo ēku platības renovācijas mērķis (maksimālās aplēses – </w:t>
      </w:r>
      <w:r w:rsidRPr="005565F8">
        <w:rPr>
          <w:rFonts w:eastAsiaTheme="minorHAnsi"/>
          <w:color w:val="000000"/>
        </w:rPr>
        <w:t xml:space="preserve">678,5 tūkst. m2) kopā ar pašvaldību ēku </w:t>
      </w:r>
      <w:r w:rsidRPr="005565F8" w:rsidR="00C1435F">
        <w:rPr>
          <w:rFonts w:eastAsiaTheme="minorHAnsi"/>
          <w:color w:val="000000"/>
        </w:rPr>
        <w:br/>
      </w:r>
      <w:r w:rsidRPr="005565F8">
        <w:rPr>
          <w:rFonts w:eastAsiaTheme="minorHAnsi"/>
          <w:color w:val="000000"/>
        </w:rPr>
        <w:t xml:space="preserve">renovāciju – enerģijas ietaupījums visā 2014.-2020.gadu periodā 0,016 </w:t>
      </w:r>
      <w:r w:rsidRPr="005565F8">
        <w:rPr>
          <w:rFonts w:eastAsiaTheme="minorHAnsi"/>
          <w:color w:val="000000"/>
        </w:rPr>
        <w:t>Mtoe</w:t>
      </w:r>
      <w:r w:rsidRPr="005565F8">
        <w:rPr>
          <w:rFonts w:eastAsiaTheme="minorHAnsi"/>
          <w:color w:val="000000"/>
        </w:rPr>
        <w:t xml:space="preserve"> (0,67 PJ jeb 186 </w:t>
      </w:r>
      <w:r w:rsidRPr="005565F8">
        <w:rPr>
          <w:rFonts w:eastAsiaTheme="minorHAnsi"/>
          <w:color w:val="000000"/>
        </w:rPr>
        <w:t>GWh</w:t>
      </w:r>
      <w:r w:rsidRPr="005565F8">
        <w:rPr>
          <w:rFonts w:eastAsiaTheme="minorHAnsi"/>
          <w:color w:val="000000"/>
        </w:rPr>
        <w:t>).</w:t>
      </w:r>
    </w:p>
    <w:p w:rsidR="00E02326" w:rsidP="0042780F" w14:paraId="3D759AE3" w14:textId="77777777">
      <w:pPr>
        <w:rPr>
          <w:rFonts w:eastAsia="Times New Roman"/>
          <w:lang w:eastAsia="lv-LV"/>
        </w:rPr>
      </w:pPr>
    </w:p>
    <w:p w:rsidR="0042780F" w:rsidRPr="005565F8" w:rsidP="0042780F" w14:paraId="7DA9FD1D" w14:textId="58A7EE80">
      <w:pPr>
        <w:rPr>
          <w:rFonts w:eastAsia="Times New Roman"/>
          <w:lang w:eastAsia="lv-LV"/>
        </w:rPr>
      </w:pPr>
      <w:r w:rsidRPr="005565F8">
        <w:rPr>
          <w:rFonts w:eastAsia="Times New Roman"/>
          <w:lang w:eastAsia="lv-LV"/>
        </w:rPr>
        <w:t>E</w:t>
      </w:r>
      <w:r w:rsidRPr="005565F8">
        <w:rPr>
          <w:rFonts w:eastAsia="Times New Roman"/>
          <w:lang w:eastAsia="lv-LV"/>
        </w:rPr>
        <w:t xml:space="preserve">nerģijas ietaupījuma novērtēšanā un mērķu aprēķināšanā tika ņemtas vērā IKP prognozes līdz 2020.gadam, kas nosaka enerģijas pieprasījuma izmaiņas, un spēkā esošā enerģētikas politika, </w:t>
      </w:r>
      <w:r w:rsidRPr="005565F8">
        <w:rPr>
          <w:rFonts w:eastAsia="Times New Roman"/>
          <w:lang w:eastAsia="lv-LV"/>
        </w:rPr>
        <w:t xml:space="preserve">tostarp, energoefektivitātes un </w:t>
      </w:r>
      <w:r w:rsidRPr="005565F8">
        <w:rPr>
          <w:rFonts w:eastAsia="Times New Roman"/>
          <w:lang w:eastAsia="lv-LV"/>
        </w:rPr>
        <w:t xml:space="preserve"> atjaunojamās enerģijas (turpmāk – AE) politikas </w:t>
      </w:r>
      <w:r w:rsidRPr="005565F8">
        <w:rPr>
          <w:rFonts w:eastAsia="Times New Roman"/>
          <w:lang w:eastAsia="lv-LV"/>
        </w:rPr>
        <w:t>jomā.</w:t>
      </w:r>
    </w:p>
    <w:p w:rsidR="00F73AE1" w:rsidRPr="005565F8" w:rsidP="003868BD" w14:paraId="7D603239" w14:textId="77777777">
      <w:pPr>
        <w:pStyle w:val="ListParagraph"/>
        <w:keepNext/>
        <w:spacing w:before="240"/>
        <w:ind w:left="0"/>
        <w:contextualSpacing w:val="0"/>
        <w:jc w:val="right"/>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F202F4" w:rsidRPr="00E02326" w:rsidP="00E02326" w14:paraId="6E73BC1A" w14:textId="77777777">
      <w:pPr>
        <w:rPr>
          <w:rFonts w:eastAsia="Times New Roman"/>
          <w:lang w:eastAsia="lv-LV"/>
        </w:rPr>
      </w:pPr>
    </w:p>
    <w:p w:rsidR="00784076" w:rsidRPr="005565F8" w:rsidP="00E02326" w14:paraId="690413F9" w14:textId="77777777">
      <w:pPr>
        <w:keepNext/>
        <w:shd w:val="clear" w:color="auto" w:fill="FFFFFF" w:themeFill="background1"/>
        <w:tabs>
          <w:tab w:val="left" w:pos="426"/>
          <w:tab w:val="right" w:pos="9638"/>
        </w:tabs>
        <w:spacing w:before="120" w:after="0"/>
        <w:jc w:val="right"/>
        <w:rPr>
          <w:rFonts w:ascii="Calibri Light" w:hAnsi="Calibri Light"/>
          <w:b/>
          <w:sz w:val="24"/>
        </w:rPr>
      </w:pPr>
      <w:r w:rsidRPr="005565F8">
        <w:rPr>
          <w:rFonts w:ascii="Calibri Light" w:hAnsi="Calibri Light"/>
        </w:rPr>
        <w:t>3.1.tabula</w:t>
      </w:r>
    </w:p>
    <w:p w:rsidR="00784076" w:rsidRPr="005565F8" w:rsidP="00E02326" w14:paraId="5C7F3243" w14:textId="77777777">
      <w:pPr>
        <w:keepNext/>
        <w:shd w:val="clear" w:color="auto" w:fill="FFFFFF" w:themeFill="background1"/>
        <w:tabs>
          <w:tab w:val="left" w:pos="426"/>
          <w:tab w:val="right" w:pos="9638"/>
        </w:tabs>
        <w:jc w:val="right"/>
        <w:rPr>
          <w:rFonts w:ascii="Calibri Light" w:hAnsi="Calibri Light"/>
          <w:b/>
          <w:sz w:val="24"/>
        </w:rPr>
      </w:pPr>
      <w:r w:rsidRPr="005565F8">
        <w:rPr>
          <w:rFonts w:ascii="Calibri Light" w:hAnsi="Calibri Light"/>
          <w:b/>
          <w:sz w:val="24"/>
        </w:rPr>
        <w:t xml:space="preserve">Energoefektivitātes uzlabošanas mērķa sasniegšanas trajektorija </w:t>
      </w:r>
      <w:r w:rsidRPr="005565F8">
        <w:rPr>
          <w:rFonts w:ascii="Calibri Light" w:hAnsi="Calibri Light"/>
          <w:b/>
          <w:sz w:val="24"/>
        </w:rPr>
        <w:br/>
      </w:r>
      <w:r w:rsidRPr="005565F8">
        <w:rPr>
          <w:rFonts w:ascii="Calibri Light" w:eastAsia="Times New Roman" w:hAnsi="Calibri Light"/>
          <w:i/>
          <w:color w:val="000000" w:themeColor="text1"/>
          <w:sz w:val="16"/>
          <w:szCs w:val="16"/>
        </w:rPr>
        <w:t>Mtoe</w:t>
      </w:r>
    </w:p>
    <w:tbl>
      <w:tblPr>
        <w:tblW w:w="5006" w:type="pct"/>
        <w:tblInd w:w="-5" w:type="dxa"/>
        <w:tblLayout w:type="fixed"/>
        <w:tblLook w:val="04A0"/>
      </w:tblPr>
      <w:tblGrid>
        <w:gridCol w:w="2272"/>
        <w:gridCol w:w="332"/>
        <w:gridCol w:w="568"/>
        <w:gridCol w:w="568"/>
        <w:gridCol w:w="568"/>
        <w:gridCol w:w="567"/>
        <w:gridCol w:w="569"/>
        <w:gridCol w:w="569"/>
        <w:gridCol w:w="569"/>
        <w:gridCol w:w="569"/>
        <w:gridCol w:w="569"/>
        <w:gridCol w:w="369"/>
        <w:gridCol w:w="1561"/>
      </w:tblGrid>
      <w:tr w14:paraId="1F77B68F" w14:textId="77777777" w:rsidTr="00E02326">
        <w:tblPrEx>
          <w:tblW w:w="5006" w:type="pct"/>
          <w:tblInd w:w="-5" w:type="dxa"/>
          <w:tblLayout w:type="fixed"/>
          <w:tblLook w:val="04A0"/>
        </w:tblPrEx>
        <w:trPr>
          <w:trHeight w:val="187"/>
        </w:trPr>
        <w:tc>
          <w:tcPr>
            <w:tcW w:w="1177" w:type="pct"/>
            <w:shd w:val="clear" w:color="auto" w:fill="B8CCE4" w:themeFill="accent1" w:themeFillTint="66"/>
            <w:noWrap/>
          </w:tcPr>
          <w:p w:rsidR="00997398" w:rsidRPr="005565F8" w:rsidP="00784076" w14:paraId="16B82961" w14:textId="77777777">
            <w:pPr>
              <w:spacing w:before="20" w:after="20"/>
              <w:jc w:val="center"/>
              <w:rPr>
                <w:rFonts w:ascii="Calibri Light" w:hAnsi="Calibri Light" w:eastAsiaTheme="minorHAnsi" w:cstheme="minorBidi"/>
                <w:sz w:val="16"/>
                <w:szCs w:val="16"/>
              </w:rPr>
            </w:pPr>
          </w:p>
        </w:tc>
        <w:tc>
          <w:tcPr>
            <w:tcW w:w="465" w:type="pct"/>
            <w:gridSpan w:val="2"/>
            <w:tcBorders>
              <w:bottom w:val="single" w:sz="24" w:space="0" w:color="auto"/>
            </w:tcBorders>
            <w:shd w:val="clear" w:color="auto" w:fill="B8CCE4" w:themeFill="accent1" w:themeFillTint="66"/>
          </w:tcPr>
          <w:p w:rsidR="00997398" w:rsidRPr="005565F8" w:rsidP="00997398" w14:paraId="32183D70" w14:textId="77777777">
            <w:pPr>
              <w:spacing w:before="20" w:after="20"/>
              <w:jc w:val="right"/>
              <w:rPr>
                <w:rFonts w:ascii="Calibri Light" w:hAnsi="Calibri Light"/>
                <w:b/>
                <w:sz w:val="16"/>
                <w:szCs w:val="16"/>
              </w:rPr>
            </w:pPr>
            <w:r w:rsidRPr="005565F8">
              <w:rPr>
                <w:rFonts w:ascii="Calibri Light" w:hAnsi="Calibri Light"/>
                <w:b/>
                <w:sz w:val="16"/>
                <w:szCs w:val="16"/>
              </w:rPr>
              <w:t>2008</w:t>
            </w:r>
          </w:p>
        </w:tc>
        <w:tc>
          <w:tcPr>
            <w:tcW w:w="294" w:type="pct"/>
            <w:tcBorders>
              <w:bottom w:val="single" w:sz="24" w:space="0" w:color="auto"/>
            </w:tcBorders>
            <w:shd w:val="clear" w:color="auto" w:fill="B8CCE4" w:themeFill="accent1" w:themeFillTint="66"/>
          </w:tcPr>
          <w:p w:rsidR="00997398" w:rsidRPr="005565F8" w:rsidP="00997398" w14:paraId="66F9CB4D" w14:textId="77777777">
            <w:pPr>
              <w:spacing w:before="20" w:after="20"/>
              <w:jc w:val="right"/>
              <w:rPr>
                <w:rFonts w:ascii="Calibri Light" w:hAnsi="Calibri Light"/>
                <w:b/>
                <w:sz w:val="16"/>
                <w:szCs w:val="16"/>
              </w:rPr>
            </w:pPr>
            <w:r w:rsidRPr="005565F8">
              <w:rPr>
                <w:rFonts w:ascii="Calibri Light" w:hAnsi="Calibri Light"/>
                <w:b/>
                <w:sz w:val="16"/>
                <w:szCs w:val="16"/>
              </w:rPr>
              <w:t>2009</w:t>
            </w:r>
          </w:p>
        </w:tc>
        <w:tc>
          <w:tcPr>
            <w:tcW w:w="294" w:type="pct"/>
            <w:tcBorders>
              <w:bottom w:val="single" w:sz="24" w:space="0" w:color="auto"/>
            </w:tcBorders>
            <w:shd w:val="clear" w:color="auto" w:fill="B8CCE4" w:themeFill="accent1" w:themeFillTint="66"/>
            <w:noWrap/>
          </w:tcPr>
          <w:p w:rsidR="00997398" w:rsidRPr="005565F8" w:rsidP="00997398" w14:paraId="17F92C1B" w14:textId="77777777">
            <w:pPr>
              <w:spacing w:before="20" w:after="20"/>
              <w:jc w:val="right"/>
              <w:rPr>
                <w:rFonts w:ascii="Calibri Light" w:hAnsi="Calibri Light"/>
                <w:b/>
                <w:sz w:val="16"/>
                <w:szCs w:val="16"/>
              </w:rPr>
            </w:pPr>
            <w:r w:rsidRPr="005565F8">
              <w:rPr>
                <w:rFonts w:ascii="Calibri Light" w:hAnsi="Calibri Light"/>
                <w:b/>
                <w:sz w:val="16"/>
                <w:szCs w:val="16"/>
              </w:rPr>
              <w:t>2010</w:t>
            </w:r>
          </w:p>
        </w:tc>
        <w:tc>
          <w:tcPr>
            <w:tcW w:w="294" w:type="pct"/>
            <w:tcBorders>
              <w:bottom w:val="single" w:sz="24" w:space="0" w:color="auto"/>
            </w:tcBorders>
            <w:shd w:val="clear" w:color="auto" w:fill="B8CCE4" w:themeFill="accent1" w:themeFillTint="66"/>
          </w:tcPr>
          <w:p w:rsidR="00997398" w:rsidRPr="005565F8" w:rsidP="00997398" w14:paraId="4D1DC733" w14:textId="77777777">
            <w:pPr>
              <w:spacing w:before="20" w:after="20"/>
              <w:jc w:val="right"/>
              <w:rPr>
                <w:rFonts w:ascii="Calibri Light" w:hAnsi="Calibri Light"/>
                <w:b/>
                <w:sz w:val="16"/>
                <w:szCs w:val="16"/>
              </w:rPr>
            </w:pPr>
            <w:r w:rsidRPr="005565F8">
              <w:rPr>
                <w:rFonts w:ascii="Calibri Light" w:hAnsi="Calibri Light"/>
                <w:b/>
                <w:sz w:val="16"/>
                <w:szCs w:val="16"/>
              </w:rPr>
              <w:t>2011</w:t>
            </w:r>
          </w:p>
        </w:tc>
        <w:tc>
          <w:tcPr>
            <w:tcW w:w="295" w:type="pct"/>
            <w:tcBorders>
              <w:bottom w:val="single" w:sz="24" w:space="0" w:color="auto"/>
            </w:tcBorders>
            <w:shd w:val="clear" w:color="auto" w:fill="B8CCE4" w:themeFill="accent1" w:themeFillTint="66"/>
          </w:tcPr>
          <w:p w:rsidR="00997398" w:rsidRPr="005565F8" w:rsidP="00997398" w14:paraId="0A6FBCA2" w14:textId="77777777">
            <w:pPr>
              <w:spacing w:before="20" w:after="20"/>
              <w:jc w:val="right"/>
              <w:rPr>
                <w:rFonts w:ascii="Calibri Light" w:hAnsi="Calibri Light"/>
                <w:b/>
                <w:sz w:val="16"/>
                <w:szCs w:val="16"/>
              </w:rPr>
            </w:pPr>
            <w:r w:rsidRPr="005565F8">
              <w:rPr>
                <w:rFonts w:ascii="Calibri Light" w:hAnsi="Calibri Light"/>
                <w:b/>
                <w:sz w:val="16"/>
                <w:szCs w:val="16"/>
              </w:rPr>
              <w:t>2012</w:t>
            </w:r>
          </w:p>
        </w:tc>
        <w:tc>
          <w:tcPr>
            <w:tcW w:w="295" w:type="pct"/>
            <w:tcBorders>
              <w:bottom w:val="single" w:sz="24" w:space="0" w:color="auto"/>
            </w:tcBorders>
            <w:shd w:val="clear" w:color="auto" w:fill="B8CCE4" w:themeFill="accent1" w:themeFillTint="66"/>
          </w:tcPr>
          <w:p w:rsidR="00997398" w:rsidRPr="005565F8" w:rsidP="00997398" w14:paraId="7BA442CD" w14:textId="77777777">
            <w:pPr>
              <w:spacing w:before="20" w:after="20"/>
              <w:jc w:val="right"/>
              <w:rPr>
                <w:rFonts w:ascii="Calibri Light" w:hAnsi="Calibri Light"/>
                <w:b/>
                <w:sz w:val="16"/>
                <w:szCs w:val="16"/>
              </w:rPr>
            </w:pPr>
            <w:r w:rsidRPr="005565F8">
              <w:rPr>
                <w:rFonts w:ascii="Calibri Light" w:hAnsi="Calibri Light"/>
                <w:b/>
                <w:sz w:val="16"/>
                <w:szCs w:val="16"/>
              </w:rPr>
              <w:t>2013</w:t>
            </w:r>
          </w:p>
        </w:tc>
        <w:tc>
          <w:tcPr>
            <w:tcW w:w="295" w:type="pct"/>
            <w:tcBorders>
              <w:bottom w:val="single" w:sz="24" w:space="0" w:color="auto"/>
            </w:tcBorders>
            <w:shd w:val="clear" w:color="auto" w:fill="B8CCE4" w:themeFill="accent1" w:themeFillTint="66"/>
          </w:tcPr>
          <w:p w:rsidR="00997398" w:rsidRPr="005565F8" w:rsidP="00997398" w14:paraId="67A3BC44" w14:textId="77777777">
            <w:pPr>
              <w:spacing w:before="20" w:after="20"/>
              <w:jc w:val="right"/>
              <w:rPr>
                <w:rFonts w:ascii="Calibri Light" w:hAnsi="Calibri Light"/>
                <w:b/>
                <w:sz w:val="16"/>
                <w:szCs w:val="16"/>
              </w:rPr>
            </w:pPr>
            <w:r w:rsidRPr="005565F8">
              <w:rPr>
                <w:rFonts w:ascii="Calibri Light" w:hAnsi="Calibri Light"/>
                <w:b/>
                <w:sz w:val="16"/>
                <w:szCs w:val="16"/>
              </w:rPr>
              <w:t>2014</w:t>
            </w:r>
          </w:p>
        </w:tc>
        <w:tc>
          <w:tcPr>
            <w:tcW w:w="295" w:type="pct"/>
            <w:tcBorders>
              <w:bottom w:val="single" w:sz="24" w:space="0" w:color="auto"/>
            </w:tcBorders>
            <w:shd w:val="clear" w:color="auto" w:fill="B8CCE4" w:themeFill="accent1" w:themeFillTint="66"/>
          </w:tcPr>
          <w:p w:rsidR="00997398" w:rsidRPr="005565F8" w:rsidP="00997398" w14:paraId="0F7A580B" w14:textId="77777777">
            <w:pPr>
              <w:spacing w:before="20" w:after="20"/>
              <w:jc w:val="right"/>
              <w:rPr>
                <w:rFonts w:ascii="Calibri Light" w:hAnsi="Calibri Light"/>
                <w:b/>
                <w:sz w:val="16"/>
                <w:szCs w:val="16"/>
              </w:rPr>
            </w:pPr>
            <w:r w:rsidRPr="005565F8">
              <w:rPr>
                <w:rFonts w:ascii="Calibri Light" w:hAnsi="Calibri Light"/>
                <w:b/>
                <w:sz w:val="16"/>
                <w:szCs w:val="16"/>
              </w:rPr>
              <w:t>2015</w:t>
            </w:r>
          </w:p>
        </w:tc>
        <w:tc>
          <w:tcPr>
            <w:tcW w:w="295" w:type="pct"/>
            <w:tcBorders>
              <w:bottom w:val="single" w:sz="24" w:space="0" w:color="auto"/>
            </w:tcBorders>
            <w:shd w:val="clear" w:color="auto" w:fill="B8CCE4" w:themeFill="accent1" w:themeFillTint="66"/>
          </w:tcPr>
          <w:p w:rsidR="00997398" w:rsidRPr="005565F8" w:rsidP="00997398" w14:paraId="63906194" w14:textId="77777777">
            <w:pPr>
              <w:spacing w:before="20" w:after="20"/>
              <w:jc w:val="right"/>
              <w:rPr>
                <w:rFonts w:ascii="Calibri Light" w:hAnsi="Calibri Light"/>
                <w:b/>
                <w:sz w:val="16"/>
                <w:szCs w:val="16"/>
              </w:rPr>
            </w:pPr>
            <w:r w:rsidRPr="005565F8">
              <w:rPr>
                <w:rFonts w:ascii="Calibri Light" w:hAnsi="Calibri Light"/>
                <w:b/>
                <w:sz w:val="16"/>
                <w:szCs w:val="16"/>
              </w:rPr>
              <w:t>2016</w:t>
            </w:r>
          </w:p>
        </w:tc>
        <w:tc>
          <w:tcPr>
            <w:tcW w:w="191" w:type="pct"/>
            <w:tcBorders>
              <w:bottom w:val="single" w:sz="24" w:space="0" w:color="auto"/>
            </w:tcBorders>
            <w:shd w:val="clear" w:color="auto" w:fill="B8CCE4" w:themeFill="accent1" w:themeFillTint="66"/>
            <w:noWrap/>
          </w:tcPr>
          <w:p w:rsidR="00997398" w:rsidRPr="005565F8" w:rsidP="00997398" w14:paraId="34FC64D3" w14:textId="77777777">
            <w:pPr>
              <w:spacing w:before="20" w:after="20"/>
              <w:jc w:val="right"/>
              <w:rPr>
                <w:rFonts w:ascii="Calibri Light" w:hAnsi="Calibri Light"/>
                <w:b/>
                <w:sz w:val="16"/>
                <w:szCs w:val="16"/>
              </w:rPr>
            </w:pPr>
          </w:p>
        </w:tc>
        <w:tc>
          <w:tcPr>
            <w:tcW w:w="813" w:type="pct"/>
            <w:tcBorders>
              <w:bottom w:val="single" w:sz="24" w:space="0" w:color="auto"/>
            </w:tcBorders>
            <w:shd w:val="clear" w:color="auto" w:fill="B8CCE4" w:themeFill="accent1" w:themeFillTint="66"/>
          </w:tcPr>
          <w:p w:rsidR="00997398" w:rsidRPr="005565F8" w:rsidP="00997398" w14:paraId="51B4C85F" w14:textId="77777777">
            <w:pPr>
              <w:spacing w:before="20" w:after="20"/>
              <w:jc w:val="right"/>
              <w:rPr>
                <w:rFonts w:ascii="Calibri Light" w:hAnsi="Calibri Light"/>
                <w:b/>
                <w:sz w:val="16"/>
                <w:szCs w:val="16"/>
              </w:rPr>
            </w:pPr>
            <w:r w:rsidRPr="005565F8">
              <w:rPr>
                <w:rFonts w:ascii="Calibri Light" w:hAnsi="Calibri Light"/>
                <w:b/>
                <w:sz w:val="16"/>
                <w:szCs w:val="16"/>
              </w:rPr>
              <w:t>2020</w:t>
            </w:r>
          </w:p>
        </w:tc>
      </w:tr>
      <w:tr w14:paraId="3C0DF744" w14:textId="77777777" w:rsidTr="00E02326">
        <w:tblPrEx>
          <w:tblW w:w="5006" w:type="pct"/>
          <w:tblInd w:w="-5" w:type="dxa"/>
          <w:tblLayout w:type="fixed"/>
          <w:tblLook w:val="04A0"/>
        </w:tblPrEx>
        <w:trPr>
          <w:trHeight w:val="256"/>
        </w:trPr>
        <w:tc>
          <w:tcPr>
            <w:tcW w:w="1349" w:type="pct"/>
            <w:gridSpan w:val="2"/>
            <w:tcBorders>
              <w:bottom w:val="single" w:sz="4" w:space="0" w:color="auto"/>
            </w:tcBorders>
            <w:noWrap/>
          </w:tcPr>
          <w:p w:rsidR="00997398" w:rsidRPr="005565F8" w:rsidP="00997398" w14:paraId="4EA361D1" w14:textId="77777777">
            <w:pPr>
              <w:spacing w:before="20" w:after="20"/>
              <w:rPr>
                <w:rFonts w:ascii="Calibri Light" w:hAnsi="Calibri Light"/>
                <w:bCs/>
                <w:color w:val="000000"/>
                <w:sz w:val="16"/>
                <w:szCs w:val="16"/>
              </w:rPr>
            </w:pPr>
            <w:r w:rsidRPr="005565F8">
              <w:rPr>
                <w:rFonts w:ascii="Calibri Light" w:eastAsia="Times New Roman" w:hAnsi="Calibri Light"/>
                <w:color w:val="000000" w:themeColor="text1"/>
                <w:sz w:val="16"/>
                <w:szCs w:val="16"/>
              </w:rPr>
              <w:t xml:space="preserve">Primārās enerģijas patēriņš* </w:t>
            </w:r>
          </w:p>
        </w:tc>
        <w:tc>
          <w:tcPr>
            <w:tcW w:w="294" w:type="pct"/>
            <w:tcBorders>
              <w:bottom w:val="single" w:sz="4" w:space="0" w:color="auto"/>
            </w:tcBorders>
          </w:tcPr>
          <w:p w:rsidR="00997398" w:rsidRPr="005565F8" w:rsidP="00997398" w14:paraId="6CEC6EE8" w14:textId="77777777">
            <w:pPr>
              <w:spacing w:before="20" w:after="20"/>
              <w:jc w:val="right"/>
              <w:rPr>
                <w:rFonts w:ascii="Calibri Light" w:hAnsi="Calibri Light"/>
                <w:sz w:val="16"/>
                <w:szCs w:val="16"/>
              </w:rPr>
            </w:pPr>
            <w:r w:rsidRPr="005565F8">
              <w:rPr>
                <w:rFonts w:ascii="Calibri Light" w:hAnsi="Calibri Light"/>
                <w:sz w:val="16"/>
                <w:szCs w:val="16"/>
              </w:rPr>
              <w:t>4,57</w:t>
            </w:r>
          </w:p>
        </w:tc>
        <w:tc>
          <w:tcPr>
            <w:tcW w:w="294" w:type="pct"/>
            <w:tcBorders>
              <w:bottom w:val="single" w:sz="4" w:space="0" w:color="auto"/>
            </w:tcBorders>
          </w:tcPr>
          <w:p w:rsidR="00997398" w:rsidRPr="005565F8" w:rsidP="00997398" w14:paraId="4567AE45" w14:textId="77777777">
            <w:pPr>
              <w:spacing w:before="20" w:after="20"/>
              <w:jc w:val="right"/>
              <w:rPr>
                <w:rFonts w:ascii="Calibri Light" w:hAnsi="Calibri Light"/>
                <w:sz w:val="16"/>
                <w:szCs w:val="16"/>
              </w:rPr>
            </w:pPr>
            <w:r w:rsidRPr="005565F8">
              <w:rPr>
                <w:rFonts w:ascii="Calibri Light" w:hAnsi="Calibri Light"/>
                <w:sz w:val="16"/>
                <w:szCs w:val="16"/>
              </w:rPr>
              <w:t>4,43</w:t>
            </w:r>
          </w:p>
        </w:tc>
        <w:tc>
          <w:tcPr>
            <w:tcW w:w="294" w:type="pct"/>
            <w:tcBorders>
              <w:bottom w:val="single" w:sz="4" w:space="0" w:color="auto"/>
            </w:tcBorders>
            <w:noWrap/>
          </w:tcPr>
          <w:p w:rsidR="00997398" w:rsidRPr="005565F8" w:rsidP="00997398" w14:paraId="35956DCD" w14:textId="77777777">
            <w:pPr>
              <w:spacing w:before="20" w:after="20"/>
              <w:jc w:val="right"/>
              <w:rPr>
                <w:rFonts w:ascii="Calibri Light" w:hAnsi="Calibri Light"/>
                <w:sz w:val="16"/>
                <w:szCs w:val="16"/>
              </w:rPr>
            </w:pPr>
            <w:r w:rsidRPr="005565F8">
              <w:rPr>
                <w:rFonts w:ascii="Calibri Light" w:hAnsi="Calibri Light"/>
                <w:sz w:val="16"/>
                <w:szCs w:val="16"/>
              </w:rPr>
              <w:t>4,56</w:t>
            </w:r>
          </w:p>
        </w:tc>
        <w:tc>
          <w:tcPr>
            <w:tcW w:w="294" w:type="pct"/>
            <w:tcBorders>
              <w:bottom w:val="single" w:sz="4" w:space="0" w:color="auto"/>
            </w:tcBorders>
          </w:tcPr>
          <w:p w:rsidR="00997398" w:rsidRPr="005565F8" w:rsidP="00997398" w14:paraId="40A2180E" w14:textId="77777777">
            <w:pPr>
              <w:spacing w:before="20" w:after="20"/>
              <w:jc w:val="right"/>
              <w:rPr>
                <w:rFonts w:ascii="Calibri Light" w:hAnsi="Calibri Light"/>
                <w:sz w:val="16"/>
                <w:szCs w:val="16"/>
              </w:rPr>
            </w:pPr>
            <w:r w:rsidRPr="005565F8">
              <w:rPr>
                <w:rFonts w:ascii="Calibri Light" w:hAnsi="Calibri Light"/>
                <w:sz w:val="16"/>
                <w:szCs w:val="16"/>
              </w:rPr>
              <w:t>4,30</w:t>
            </w:r>
          </w:p>
        </w:tc>
        <w:tc>
          <w:tcPr>
            <w:tcW w:w="295" w:type="pct"/>
            <w:tcBorders>
              <w:bottom w:val="single" w:sz="4" w:space="0" w:color="auto"/>
            </w:tcBorders>
          </w:tcPr>
          <w:p w:rsidR="00997398" w:rsidRPr="005565F8" w:rsidP="00997398" w14:paraId="2581AEF9" w14:textId="77777777">
            <w:pPr>
              <w:spacing w:before="20" w:after="20"/>
              <w:jc w:val="right"/>
              <w:rPr>
                <w:rFonts w:ascii="Calibri Light" w:hAnsi="Calibri Light"/>
                <w:sz w:val="16"/>
                <w:szCs w:val="16"/>
              </w:rPr>
            </w:pPr>
            <w:r w:rsidRPr="005565F8">
              <w:rPr>
                <w:rFonts w:ascii="Calibri Light" w:hAnsi="Calibri Light"/>
                <w:sz w:val="16"/>
                <w:szCs w:val="16"/>
              </w:rPr>
              <w:t>4,45</w:t>
            </w:r>
          </w:p>
        </w:tc>
        <w:tc>
          <w:tcPr>
            <w:tcW w:w="295" w:type="pct"/>
            <w:tcBorders>
              <w:bottom w:val="single" w:sz="4" w:space="0" w:color="auto"/>
            </w:tcBorders>
          </w:tcPr>
          <w:p w:rsidR="00997398" w:rsidRPr="005565F8" w:rsidP="00997398" w14:paraId="7B2250C8" w14:textId="77777777">
            <w:pPr>
              <w:spacing w:before="20" w:after="20"/>
              <w:jc w:val="right"/>
              <w:rPr>
                <w:rFonts w:ascii="Calibri Light" w:hAnsi="Calibri Light"/>
                <w:sz w:val="16"/>
                <w:szCs w:val="16"/>
              </w:rPr>
            </w:pPr>
            <w:r w:rsidRPr="005565F8">
              <w:rPr>
                <w:rFonts w:ascii="Calibri Light" w:hAnsi="Calibri Light"/>
                <w:sz w:val="16"/>
                <w:szCs w:val="16"/>
              </w:rPr>
              <w:t>4,36</w:t>
            </w:r>
          </w:p>
        </w:tc>
        <w:tc>
          <w:tcPr>
            <w:tcW w:w="295" w:type="pct"/>
            <w:tcBorders>
              <w:bottom w:val="single" w:sz="4" w:space="0" w:color="auto"/>
            </w:tcBorders>
          </w:tcPr>
          <w:p w:rsidR="00997398" w:rsidRPr="005565F8" w:rsidP="00997398" w14:paraId="6E82100D" w14:textId="77777777">
            <w:pPr>
              <w:spacing w:before="20" w:after="20"/>
              <w:jc w:val="right"/>
              <w:rPr>
                <w:rFonts w:ascii="Calibri Light" w:hAnsi="Calibri Light"/>
                <w:sz w:val="16"/>
                <w:szCs w:val="16"/>
              </w:rPr>
            </w:pPr>
            <w:r w:rsidRPr="005565F8">
              <w:rPr>
                <w:rFonts w:ascii="Calibri Light" w:hAnsi="Calibri Light"/>
                <w:sz w:val="16"/>
                <w:szCs w:val="16"/>
              </w:rPr>
              <w:t>4,35</w:t>
            </w:r>
          </w:p>
        </w:tc>
        <w:tc>
          <w:tcPr>
            <w:tcW w:w="295" w:type="pct"/>
            <w:tcBorders>
              <w:bottom w:val="single" w:sz="4" w:space="0" w:color="auto"/>
            </w:tcBorders>
          </w:tcPr>
          <w:p w:rsidR="00997398" w:rsidRPr="005565F8" w:rsidP="00997398" w14:paraId="0EAEA542" w14:textId="77777777">
            <w:pPr>
              <w:spacing w:before="20" w:after="20"/>
              <w:jc w:val="right"/>
              <w:rPr>
                <w:rFonts w:ascii="Calibri Light" w:hAnsi="Calibri Light"/>
                <w:sz w:val="16"/>
                <w:szCs w:val="16"/>
              </w:rPr>
            </w:pPr>
            <w:r w:rsidRPr="005565F8">
              <w:rPr>
                <w:rFonts w:ascii="Calibri Light" w:hAnsi="Calibri Light"/>
                <w:sz w:val="16"/>
                <w:szCs w:val="16"/>
              </w:rPr>
              <w:t>4,27</w:t>
            </w:r>
          </w:p>
        </w:tc>
        <w:tc>
          <w:tcPr>
            <w:tcW w:w="295" w:type="pct"/>
            <w:tcBorders>
              <w:bottom w:val="single" w:sz="4" w:space="0" w:color="auto"/>
            </w:tcBorders>
          </w:tcPr>
          <w:p w:rsidR="00997398" w:rsidRPr="005565F8" w:rsidP="00997398" w14:paraId="5D06830E" w14:textId="77777777">
            <w:pPr>
              <w:spacing w:before="20" w:after="20"/>
              <w:jc w:val="right"/>
              <w:rPr>
                <w:rFonts w:ascii="Calibri Light" w:hAnsi="Calibri Light"/>
                <w:sz w:val="16"/>
                <w:szCs w:val="16"/>
              </w:rPr>
            </w:pPr>
            <w:r w:rsidRPr="005565F8">
              <w:rPr>
                <w:rFonts w:ascii="Calibri Light" w:hAnsi="Calibri Light"/>
                <w:sz w:val="16"/>
                <w:szCs w:val="16"/>
              </w:rPr>
              <w:t>4,32</w:t>
            </w:r>
          </w:p>
        </w:tc>
        <w:tc>
          <w:tcPr>
            <w:tcW w:w="191" w:type="pct"/>
            <w:tcBorders>
              <w:bottom w:val="single" w:sz="4" w:space="0" w:color="auto"/>
            </w:tcBorders>
            <w:noWrap/>
          </w:tcPr>
          <w:p w:rsidR="00997398" w:rsidRPr="005565F8" w:rsidP="00997398" w14:paraId="5DDEA51F" w14:textId="77777777">
            <w:pPr>
              <w:spacing w:before="20" w:after="20"/>
              <w:jc w:val="right"/>
              <w:rPr>
                <w:rFonts w:ascii="Calibri Light" w:hAnsi="Calibri Light"/>
                <w:sz w:val="16"/>
                <w:szCs w:val="16"/>
              </w:rPr>
            </w:pPr>
          </w:p>
        </w:tc>
        <w:tc>
          <w:tcPr>
            <w:tcW w:w="813" w:type="pct"/>
            <w:tcBorders>
              <w:bottom w:val="single" w:sz="4" w:space="0" w:color="auto"/>
            </w:tcBorders>
          </w:tcPr>
          <w:p w:rsidR="00997398" w:rsidRPr="005565F8" w:rsidP="00997398" w14:paraId="41718BD3" w14:textId="77777777">
            <w:pPr>
              <w:spacing w:before="20" w:after="20"/>
              <w:jc w:val="right"/>
              <w:rPr>
                <w:rFonts w:ascii="Calibri Light" w:hAnsi="Calibri Light"/>
                <w:sz w:val="16"/>
                <w:szCs w:val="16"/>
              </w:rPr>
            </w:pPr>
            <w:r w:rsidRPr="005565F8">
              <w:rPr>
                <w:rFonts w:ascii="Calibri Light" w:hAnsi="Calibri Light"/>
                <w:sz w:val="16"/>
                <w:szCs w:val="16"/>
              </w:rPr>
              <w:t xml:space="preserve">Primārās </w:t>
            </w:r>
            <w:r w:rsidRPr="005565F8">
              <w:rPr>
                <w:rFonts w:ascii="Calibri Light" w:hAnsi="Calibri Light"/>
                <w:sz w:val="16"/>
                <w:szCs w:val="16"/>
              </w:rPr>
              <w:t xml:space="preserve">enerģijas ietaupījums </w:t>
            </w:r>
            <w:r w:rsidRPr="005565F8">
              <w:rPr>
                <w:rFonts w:ascii="Calibri Light" w:hAnsi="Calibri Light"/>
                <w:sz w:val="16"/>
                <w:szCs w:val="16"/>
              </w:rPr>
              <w:br/>
              <w:t xml:space="preserve">0,67 </w:t>
            </w:r>
            <w:r w:rsidRPr="005565F8">
              <w:rPr>
                <w:rFonts w:ascii="Calibri Light" w:hAnsi="Calibri Light"/>
                <w:sz w:val="16"/>
                <w:szCs w:val="16"/>
              </w:rPr>
              <w:t>Mtoe</w:t>
            </w:r>
            <w:r w:rsidRPr="005565F8">
              <w:rPr>
                <w:rFonts w:ascii="Calibri Light" w:hAnsi="Calibri Light"/>
                <w:sz w:val="16"/>
                <w:szCs w:val="16"/>
              </w:rPr>
              <w:t>**</w:t>
            </w:r>
          </w:p>
        </w:tc>
      </w:tr>
      <w:tr w14:paraId="46C2909A" w14:textId="77777777" w:rsidTr="00E02326">
        <w:tblPrEx>
          <w:tblW w:w="5006" w:type="pct"/>
          <w:tblInd w:w="-5" w:type="dxa"/>
          <w:tblLayout w:type="fixed"/>
          <w:tblLook w:val="04A0"/>
        </w:tblPrEx>
        <w:trPr>
          <w:trHeight w:val="256"/>
        </w:trPr>
        <w:tc>
          <w:tcPr>
            <w:tcW w:w="5000" w:type="pct"/>
            <w:gridSpan w:val="13"/>
            <w:tcBorders>
              <w:top w:val="single" w:sz="4" w:space="0" w:color="auto"/>
            </w:tcBorders>
            <w:shd w:val="clear" w:color="auto" w:fill="FFFFFF" w:themeFill="background1"/>
            <w:noWrap/>
          </w:tcPr>
          <w:p w:rsidR="00997398" w:rsidRPr="005565F8" w:rsidP="00997398" w14:paraId="7ED3CED4" w14:textId="77777777">
            <w:pPr>
              <w:tabs>
                <w:tab w:val="decimal" w:pos="393"/>
              </w:tabs>
              <w:spacing w:before="20" w:after="20"/>
              <w:rPr>
                <w:rFonts w:ascii="Calibri Light" w:hAnsi="Calibri Light"/>
                <w:sz w:val="16"/>
                <w:szCs w:val="16"/>
              </w:rPr>
            </w:pPr>
            <w:r w:rsidRPr="005565F8">
              <w:rPr>
                <w:rFonts w:ascii="Calibri Light" w:hAnsi="Calibri Light"/>
                <w:sz w:val="16"/>
                <w:szCs w:val="16"/>
              </w:rPr>
              <w:t>* Bruto iekšzemes enerģijas patēriņš – neenerģētiskais patēriņš: atbilstoši Direktīvas 2012/27/ES prasībām</w:t>
            </w:r>
          </w:p>
          <w:p w:rsidR="00997398" w:rsidRPr="005565F8" w:rsidP="00997398" w14:paraId="1EB2A722" w14:textId="77777777">
            <w:pPr>
              <w:tabs>
                <w:tab w:val="decimal" w:pos="393"/>
              </w:tabs>
              <w:spacing w:before="20" w:after="20"/>
              <w:rPr>
                <w:rFonts w:ascii="Calibri Light" w:hAnsi="Calibri Light"/>
                <w:sz w:val="16"/>
                <w:szCs w:val="16"/>
              </w:rPr>
            </w:pPr>
            <w:r w:rsidRPr="005565F8">
              <w:rPr>
                <w:rFonts w:ascii="Calibri Light" w:hAnsi="Calibri Light"/>
                <w:sz w:val="16"/>
                <w:szCs w:val="16"/>
              </w:rPr>
              <w:t>** atbilstoši Direktīvas 2012/27/ES prasībām</w:t>
            </w:r>
          </w:p>
        </w:tc>
      </w:tr>
    </w:tbl>
    <w:p w:rsidR="00997398" w:rsidRPr="00E02326" w:rsidP="00E02326" w14:paraId="31324833" w14:textId="4E4C85D5">
      <w:pPr>
        <w:rPr>
          <w:rFonts w:eastAsia="Times New Roman"/>
          <w:lang w:eastAsia="lv-LV"/>
        </w:rPr>
      </w:pPr>
    </w:p>
    <w:p w:rsidR="00E02326" w:rsidRPr="00E02326" w:rsidP="00E02326" w14:paraId="77E0F698" w14:textId="77777777">
      <w:pPr>
        <w:rPr>
          <w:rFonts w:eastAsia="Times New Roman"/>
          <w:lang w:eastAsia="lv-LV"/>
        </w:rPr>
        <w:sectPr w:rsidSect="005D1AD0">
          <w:type w:val="continuous"/>
          <w:pgSz w:w="11906" w:h="16838" w:code="9"/>
          <w:pgMar w:top="1134" w:right="1134" w:bottom="1134" w:left="1134" w:header="709" w:footer="567" w:gutter="0"/>
          <w:cols w:space="340"/>
          <w:titlePg/>
          <w:docGrid w:linePitch="360"/>
        </w:sectPr>
      </w:pPr>
    </w:p>
    <w:p w:rsidR="00E02326" w:rsidRPr="005565F8" w:rsidP="00E02326" w14:paraId="6DBDD444" w14:textId="206C5AB8">
      <w:pPr>
        <w:rPr>
          <w:rFonts w:eastAsiaTheme="minorHAnsi"/>
          <w:bCs/>
          <w:color w:val="000000"/>
        </w:rPr>
      </w:pPr>
      <w:r w:rsidRPr="005565F8">
        <w:rPr>
          <w:rFonts w:eastAsiaTheme="minorHAnsi"/>
          <w:bCs/>
          <w:color w:val="000000"/>
        </w:rPr>
        <w:t xml:space="preserve">Pašlaik ir panākts bruto iekšzemes enerģijas patēriņa samazinājums no 4,57 </w:t>
      </w:r>
      <w:r w:rsidRPr="005565F8">
        <w:rPr>
          <w:rFonts w:eastAsiaTheme="minorHAnsi"/>
          <w:bCs/>
          <w:color w:val="000000"/>
        </w:rPr>
        <w:t>Mtoe</w:t>
      </w:r>
      <w:r w:rsidRPr="005565F8">
        <w:rPr>
          <w:rFonts w:eastAsiaTheme="minorHAnsi"/>
          <w:bCs/>
          <w:color w:val="000000"/>
        </w:rPr>
        <w:t xml:space="preserve"> 2008.gadā līdz 4,32 </w:t>
      </w:r>
      <w:r w:rsidRPr="005565F8">
        <w:rPr>
          <w:rFonts w:eastAsiaTheme="minorHAnsi"/>
          <w:bCs/>
          <w:color w:val="000000"/>
        </w:rPr>
        <w:t>Mtoe</w:t>
      </w:r>
      <w:r w:rsidRPr="005565F8">
        <w:rPr>
          <w:rFonts w:eastAsiaTheme="minorHAnsi"/>
          <w:bCs/>
          <w:color w:val="000000"/>
        </w:rPr>
        <w:t xml:space="preserve"> 2016.gadā (samazinājums par 0,25 </w:t>
      </w:r>
      <w:r w:rsidRPr="005565F8">
        <w:rPr>
          <w:rFonts w:eastAsiaTheme="minorHAnsi"/>
          <w:bCs/>
          <w:color w:val="000000"/>
        </w:rPr>
        <w:t>Mtoe</w:t>
      </w:r>
      <w:r w:rsidRPr="005565F8">
        <w:rPr>
          <w:rFonts w:eastAsiaTheme="minorHAnsi"/>
          <w:bCs/>
          <w:color w:val="000000"/>
        </w:rPr>
        <w:t>), kur būtiska nozīme ir arī energoefektivitātes pasākumu īstenošanai.</w:t>
      </w:r>
      <w:r w:rsidRPr="005565F8">
        <w:t xml:space="preserve"> P</w:t>
      </w:r>
      <w:r w:rsidRPr="005565F8">
        <w:rPr>
          <w:rFonts w:eastAsiaTheme="minorHAnsi"/>
          <w:bCs/>
          <w:color w:val="000000"/>
        </w:rPr>
        <w:t xml:space="preserve">rimārās enerģijas patēriņa tendence atbilst 2020.gadam izvirzītā  mērķa (0,670 </w:t>
      </w:r>
      <w:r w:rsidRPr="005565F8">
        <w:rPr>
          <w:rFonts w:eastAsiaTheme="minorHAnsi"/>
          <w:bCs/>
          <w:color w:val="000000"/>
        </w:rPr>
        <w:t>Mtoe</w:t>
      </w:r>
      <w:r w:rsidRPr="005565F8">
        <w:rPr>
          <w:rFonts w:eastAsiaTheme="minorHAnsi"/>
          <w:bCs/>
          <w:color w:val="000000"/>
        </w:rPr>
        <w:t xml:space="preserve"> </w:t>
      </w:r>
      <w:r w:rsidRPr="005565F8">
        <w:rPr>
          <w:rFonts w:eastAsiaTheme="minorHAnsi"/>
          <w:bCs/>
          <w:color w:val="000000"/>
        </w:rPr>
        <w:t xml:space="preserve">ietaupījums)  sasniegšanai. Primārās enerģijas ietaupījums uz 2015.gadu bija 0,514 </w:t>
      </w:r>
      <w:r w:rsidRPr="005565F8">
        <w:rPr>
          <w:rFonts w:eastAsiaTheme="minorHAnsi"/>
          <w:bCs/>
          <w:color w:val="000000"/>
        </w:rPr>
        <w:t>Mtoe</w:t>
      </w:r>
      <w:r w:rsidRPr="005565F8">
        <w:rPr>
          <w:rFonts w:eastAsiaTheme="minorHAnsi"/>
          <w:bCs/>
          <w:color w:val="000000"/>
        </w:rPr>
        <w:t xml:space="preserve">, t.sk. enerģijas gala patērētājiem – 0,506 </w:t>
      </w:r>
      <w:r w:rsidRPr="005565F8">
        <w:rPr>
          <w:rFonts w:eastAsiaTheme="minorHAnsi"/>
          <w:bCs/>
          <w:color w:val="000000"/>
        </w:rPr>
        <w:t>Mtoe</w:t>
      </w:r>
      <w:r w:rsidRPr="005565F8">
        <w:rPr>
          <w:rFonts w:eastAsiaTheme="minorHAnsi"/>
          <w:bCs/>
          <w:color w:val="000000"/>
        </w:rPr>
        <w:t xml:space="preserve"> un elektroenerģijas pārvadē un sadalē – 8 </w:t>
      </w:r>
      <w:r w:rsidRPr="005565F8">
        <w:rPr>
          <w:rFonts w:eastAsiaTheme="minorHAnsi"/>
          <w:bCs/>
          <w:color w:val="000000"/>
        </w:rPr>
        <w:t>ktoe</w:t>
      </w:r>
      <w:r w:rsidRPr="005565F8">
        <w:rPr>
          <w:rFonts w:eastAsiaTheme="minorHAnsi"/>
          <w:bCs/>
          <w:color w:val="000000"/>
        </w:rPr>
        <w:t>. Tādējādi Latvija izpilda primārās enerģijas ietaupījuma mērķa  prognozēto trajektoriju (sk. 3.2.tabulu).</w:t>
      </w:r>
    </w:p>
    <w:p w:rsidR="00E02326" w:rsidP="00997398" w14:paraId="03A68BDA" w14:textId="77777777">
      <w:pPr>
        <w:spacing w:before="120" w:after="0"/>
        <w:rPr>
          <w:rFonts w:ascii="Times New Roman" w:hAnsi="Times New Roman"/>
          <w:sz w:val="24"/>
        </w:rPr>
        <w:sectPr w:rsidSect="00E02326">
          <w:type w:val="continuous"/>
          <w:pgSz w:w="11906" w:h="16838" w:code="9"/>
          <w:pgMar w:top="1134" w:right="1134" w:bottom="1134" w:left="1134" w:header="709" w:footer="567" w:gutter="0"/>
          <w:cols w:num="2" w:space="340"/>
          <w:titlePg/>
          <w:docGrid w:linePitch="360"/>
        </w:sectPr>
      </w:pPr>
    </w:p>
    <w:p w:rsidR="00E02326" w:rsidRPr="00E02326" w:rsidP="00E02326" w14:paraId="0FD67204" w14:textId="0C611670">
      <w:pPr>
        <w:rPr>
          <w:rFonts w:eastAsia="Times New Roman"/>
          <w:lang w:eastAsia="lv-LV"/>
        </w:rPr>
      </w:pPr>
    </w:p>
    <w:p w:rsidR="00997398" w:rsidRPr="005565F8" w:rsidP="00E02326" w14:paraId="7108A7B6" w14:textId="77777777">
      <w:pPr>
        <w:keepNext/>
        <w:shd w:val="clear" w:color="auto" w:fill="FFFFFF" w:themeFill="background1"/>
        <w:tabs>
          <w:tab w:val="left" w:pos="426"/>
          <w:tab w:val="right" w:pos="9638"/>
        </w:tabs>
        <w:spacing w:before="120" w:after="0"/>
        <w:jc w:val="right"/>
        <w:rPr>
          <w:rFonts w:ascii="Calibri Light" w:hAnsi="Calibri Light"/>
          <w:b/>
          <w:sz w:val="24"/>
        </w:rPr>
      </w:pPr>
      <w:r w:rsidRPr="005565F8">
        <w:rPr>
          <w:rFonts w:ascii="Calibri Light" w:hAnsi="Calibri Light"/>
        </w:rPr>
        <w:t>3.2.tabula</w:t>
      </w:r>
    </w:p>
    <w:p w:rsidR="00997398" w:rsidRPr="005565F8" w:rsidP="00E02326" w14:paraId="7416F37D" w14:textId="77777777">
      <w:pPr>
        <w:keepNext/>
        <w:shd w:val="clear" w:color="auto" w:fill="FFFFFF" w:themeFill="background1"/>
        <w:tabs>
          <w:tab w:val="left" w:pos="426"/>
          <w:tab w:val="right" w:pos="9638"/>
        </w:tabs>
        <w:jc w:val="right"/>
        <w:rPr>
          <w:rFonts w:ascii="Calibri Light" w:hAnsi="Calibri Light"/>
          <w:b/>
          <w:sz w:val="24"/>
        </w:rPr>
      </w:pPr>
      <w:r w:rsidRPr="005565F8">
        <w:rPr>
          <w:rFonts w:ascii="Calibri Light" w:hAnsi="Calibri Light"/>
          <w:b/>
          <w:sz w:val="24"/>
        </w:rPr>
        <w:t xml:space="preserve">Primārās enerģijas ietaupījumu prognoze </w:t>
      </w:r>
      <w:r w:rsidRPr="005565F8">
        <w:rPr>
          <w:rFonts w:ascii="Calibri Light" w:hAnsi="Calibri Light"/>
          <w:b/>
          <w:sz w:val="24"/>
        </w:rPr>
        <w:br/>
      </w:r>
      <w:r w:rsidRPr="005565F8">
        <w:rPr>
          <w:rFonts w:ascii="Calibri Light" w:eastAsia="Times New Roman" w:hAnsi="Calibri Light"/>
          <w:i/>
          <w:color w:val="000000" w:themeColor="text1"/>
          <w:sz w:val="16"/>
          <w:szCs w:val="16"/>
        </w:rPr>
        <w:t>Mtoe</w:t>
      </w:r>
    </w:p>
    <w:tbl>
      <w:tblPr>
        <w:tblW w:w="5000" w:type="pct"/>
        <w:tblLayout w:type="fixed"/>
        <w:tblLook w:val="04A0"/>
      </w:tblPr>
      <w:tblGrid>
        <w:gridCol w:w="4267"/>
        <w:gridCol w:w="753"/>
        <w:gridCol w:w="754"/>
        <w:gridCol w:w="754"/>
        <w:gridCol w:w="754"/>
        <w:gridCol w:w="754"/>
        <w:gridCol w:w="754"/>
        <w:gridCol w:w="848"/>
      </w:tblGrid>
      <w:tr w14:paraId="7596B06C" w14:textId="77777777" w:rsidTr="00E02326">
        <w:tblPrEx>
          <w:tblW w:w="5000" w:type="pct"/>
          <w:tblLayout w:type="fixed"/>
          <w:tblLook w:val="04A0"/>
        </w:tblPrEx>
        <w:trPr>
          <w:trHeight w:val="187"/>
        </w:trPr>
        <w:tc>
          <w:tcPr>
            <w:tcW w:w="2214" w:type="pct"/>
            <w:shd w:val="clear" w:color="auto" w:fill="B8CCE4" w:themeFill="accent1" w:themeFillTint="66"/>
            <w:noWrap/>
          </w:tcPr>
          <w:p w:rsidR="00997398" w:rsidRPr="005565F8" w:rsidP="00467B78" w14:paraId="2F8804B6" w14:textId="77777777">
            <w:pPr>
              <w:spacing w:before="20" w:after="20"/>
              <w:jc w:val="center"/>
              <w:rPr>
                <w:rFonts w:ascii="Calibri Light" w:hAnsi="Calibri Light" w:eastAsiaTheme="minorHAnsi" w:cstheme="minorBidi"/>
                <w:sz w:val="16"/>
                <w:szCs w:val="16"/>
              </w:rPr>
            </w:pPr>
          </w:p>
        </w:tc>
        <w:tc>
          <w:tcPr>
            <w:tcW w:w="391" w:type="pct"/>
            <w:tcBorders>
              <w:bottom w:val="single" w:sz="24" w:space="0" w:color="auto"/>
            </w:tcBorders>
            <w:shd w:val="clear" w:color="auto" w:fill="B8CCE4" w:themeFill="accent1" w:themeFillTint="66"/>
          </w:tcPr>
          <w:p w:rsidR="00997398" w:rsidRPr="005565F8" w:rsidP="00467B78" w14:paraId="10298F2A" w14:textId="77777777">
            <w:pPr>
              <w:spacing w:before="20" w:after="20"/>
              <w:jc w:val="right"/>
              <w:rPr>
                <w:rFonts w:ascii="Calibri Light" w:hAnsi="Calibri Light"/>
                <w:b/>
                <w:sz w:val="16"/>
                <w:szCs w:val="16"/>
              </w:rPr>
            </w:pPr>
            <w:r w:rsidRPr="005565F8">
              <w:rPr>
                <w:rFonts w:ascii="Calibri Light" w:hAnsi="Calibri Light"/>
                <w:b/>
                <w:sz w:val="16"/>
                <w:szCs w:val="16"/>
              </w:rPr>
              <w:t>2014</w:t>
            </w:r>
          </w:p>
        </w:tc>
        <w:tc>
          <w:tcPr>
            <w:tcW w:w="391" w:type="pct"/>
            <w:tcBorders>
              <w:bottom w:val="single" w:sz="24" w:space="0" w:color="auto"/>
            </w:tcBorders>
            <w:shd w:val="clear" w:color="auto" w:fill="B8CCE4" w:themeFill="accent1" w:themeFillTint="66"/>
          </w:tcPr>
          <w:p w:rsidR="00997398" w:rsidRPr="005565F8" w:rsidP="00467B78" w14:paraId="2565F7F4" w14:textId="77777777">
            <w:pPr>
              <w:spacing w:before="20" w:after="20"/>
              <w:jc w:val="right"/>
              <w:rPr>
                <w:rFonts w:ascii="Calibri Light" w:hAnsi="Calibri Light"/>
                <w:b/>
                <w:sz w:val="16"/>
                <w:szCs w:val="16"/>
              </w:rPr>
            </w:pPr>
            <w:r w:rsidRPr="005565F8">
              <w:rPr>
                <w:rFonts w:ascii="Calibri Light" w:hAnsi="Calibri Light"/>
                <w:b/>
                <w:sz w:val="16"/>
                <w:szCs w:val="16"/>
              </w:rPr>
              <w:t>2015</w:t>
            </w:r>
          </w:p>
        </w:tc>
        <w:tc>
          <w:tcPr>
            <w:tcW w:w="391" w:type="pct"/>
            <w:tcBorders>
              <w:bottom w:val="single" w:sz="24" w:space="0" w:color="auto"/>
            </w:tcBorders>
            <w:shd w:val="clear" w:color="auto" w:fill="B8CCE4" w:themeFill="accent1" w:themeFillTint="66"/>
          </w:tcPr>
          <w:p w:rsidR="00997398" w:rsidRPr="005565F8" w:rsidP="00467B78" w14:paraId="53E6203C" w14:textId="77777777">
            <w:pPr>
              <w:spacing w:before="20" w:after="20"/>
              <w:jc w:val="right"/>
              <w:rPr>
                <w:rFonts w:ascii="Calibri Light" w:hAnsi="Calibri Light"/>
                <w:b/>
                <w:sz w:val="16"/>
                <w:szCs w:val="16"/>
              </w:rPr>
            </w:pPr>
            <w:r w:rsidRPr="005565F8">
              <w:rPr>
                <w:rFonts w:ascii="Calibri Light" w:hAnsi="Calibri Light"/>
                <w:b/>
                <w:sz w:val="16"/>
                <w:szCs w:val="16"/>
              </w:rPr>
              <w:t>2016</w:t>
            </w:r>
          </w:p>
        </w:tc>
        <w:tc>
          <w:tcPr>
            <w:tcW w:w="391" w:type="pct"/>
            <w:tcBorders>
              <w:bottom w:val="single" w:sz="24" w:space="0" w:color="auto"/>
            </w:tcBorders>
            <w:shd w:val="clear" w:color="auto" w:fill="B8CCE4" w:themeFill="accent1" w:themeFillTint="66"/>
          </w:tcPr>
          <w:p w:rsidR="00997398" w:rsidRPr="005565F8" w:rsidP="00467B78" w14:paraId="3E6F7A69" w14:textId="77777777">
            <w:pPr>
              <w:spacing w:before="20" w:after="20"/>
              <w:jc w:val="right"/>
              <w:rPr>
                <w:rFonts w:ascii="Calibri Light" w:hAnsi="Calibri Light"/>
                <w:b/>
                <w:sz w:val="16"/>
                <w:szCs w:val="16"/>
              </w:rPr>
            </w:pPr>
            <w:r w:rsidRPr="005565F8">
              <w:rPr>
                <w:rFonts w:ascii="Calibri Light" w:hAnsi="Calibri Light"/>
                <w:b/>
                <w:sz w:val="16"/>
                <w:szCs w:val="16"/>
              </w:rPr>
              <w:t>2017</w:t>
            </w:r>
          </w:p>
        </w:tc>
        <w:tc>
          <w:tcPr>
            <w:tcW w:w="391" w:type="pct"/>
            <w:tcBorders>
              <w:bottom w:val="single" w:sz="24" w:space="0" w:color="auto"/>
            </w:tcBorders>
            <w:shd w:val="clear" w:color="auto" w:fill="B8CCE4" w:themeFill="accent1" w:themeFillTint="66"/>
          </w:tcPr>
          <w:p w:rsidR="00997398" w:rsidRPr="005565F8" w:rsidP="00467B78" w14:paraId="55B7D51A" w14:textId="77777777">
            <w:pPr>
              <w:spacing w:before="20" w:after="20"/>
              <w:jc w:val="right"/>
              <w:rPr>
                <w:rFonts w:ascii="Calibri Light" w:hAnsi="Calibri Light"/>
                <w:b/>
                <w:sz w:val="16"/>
                <w:szCs w:val="16"/>
              </w:rPr>
            </w:pPr>
            <w:r w:rsidRPr="005565F8">
              <w:rPr>
                <w:rFonts w:ascii="Calibri Light" w:hAnsi="Calibri Light"/>
                <w:b/>
                <w:sz w:val="16"/>
                <w:szCs w:val="16"/>
              </w:rPr>
              <w:t>2018</w:t>
            </w:r>
          </w:p>
        </w:tc>
        <w:tc>
          <w:tcPr>
            <w:tcW w:w="391" w:type="pct"/>
            <w:tcBorders>
              <w:bottom w:val="single" w:sz="24" w:space="0" w:color="auto"/>
            </w:tcBorders>
            <w:shd w:val="clear" w:color="auto" w:fill="B8CCE4" w:themeFill="accent1" w:themeFillTint="66"/>
            <w:noWrap/>
          </w:tcPr>
          <w:p w:rsidR="00997398" w:rsidRPr="005565F8" w:rsidP="00467B78" w14:paraId="087720D0" w14:textId="77777777">
            <w:pPr>
              <w:spacing w:before="20" w:after="20"/>
              <w:jc w:val="right"/>
              <w:rPr>
                <w:rFonts w:ascii="Calibri Light" w:hAnsi="Calibri Light"/>
                <w:b/>
                <w:sz w:val="16"/>
                <w:szCs w:val="16"/>
              </w:rPr>
            </w:pPr>
            <w:r w:rsidRPr="005565F8">
              <w:rPr>
                <w:rFonts w:ascii="Calibri Light" w:hAnsi="Calibri Light"/>
                <w:b/>
                <w:sz w:val="16"/>
                <w:szCs w:val="16"/>
              </w:rPr>
              <w:t>2019</w:t>
            </w:r>
          </w:p>
        </w:tc>
        <w:tc>
          <w:tcPr>
            <w:tcW w:w="442" w:type="pct"/>
            <w:tcBorders>
              <w:bottom w:val="single" w:sz="24" w:space="0" w:color="auto"/>
            </w:tcBorders>
            <w:shd w:val="clear" w:color="auto" w:fill="B8CCE4" w:themeFill="accent1" w:themeFillTint="66"/>
          </w:tcPr>
          <w:p w:rsidR="00997398" w:rsidRPr="005565F8" w:rsidP="00467B78" w14:paraId="5D328149" w14:textId="77777777">
            <w:pPr>
              <w:spacing w:before="20" w:after="20"/>
              <w:jc w:val="right"/>
              <w:rPr>
                <w:rFonts w:ascii="Calibri Light" w:hAnsi="Calibri Light"/>
                <w:b/>
                <w:sz w:val="16"/>
                <w:szCs w:val="16"/>
              </w:rPr>
            </w:pPr>
            <w:r w:rsidRPr="005565F8">
              <w:rPr>
                <w:rFonts w:ascii="Calibri Light" w:hAnsi="Calibri Light"/>
                <w:b/>
                <w:sz w:val="16"/>
                <w:szCs w:val="16"/>
              </w:rPr>
              <w:t>2020</w:t>
            </w:r>
          </w:p>
        </w:tc>
      </w:tr>
      <w:tr w14:paraId="7BF3FF0B" w14:textId="77777777" w:rsidTr="00E02326">
        <w:tblPrEx>
          <w:tblW w:w="5000" w:type="pct"/>
          <w:tblLayout w:type="fixed"/>
          <w:tblLook w:val="04A0"/>
        </w:tblPrEx>
        <w:trPr>
          <w:trHeight w:val="256"/>
        </w:trPr>
        <w:tc>
          <w:tcPr>
            <w:tcW w:w="2214" w:type="pct"/>
            <w:tcBorders>
              <w:bottom w:val="single" w:sz="4" w:space="0" w:color="auto"/>
            </w:tcBorders>
            <w:noWrap/>
          </w:tcPr>
          <w:p w:rsidR="00997398" w:rsidRPr="005565F8" w:rsidP="00467B78" w14:paraId="30FB1672" w14:textId="77777777">
            <w:pPr>
              <w:spacing w:before="20" w:after="20"/>
              <w:rPr>
                <w:rFonts w:ascii="Calibri Light" w:hAnsi="Calibri Light"/>
                <w:bCs/>
                <w:color w:val="000000"/>
                <w:sz w:val="16"/>
                <w:szCs w:val="16"/>
              </w:rPr>
            </w:pPr>
            <w:r w:rsidRPr="005565F8">
              <w:rPr>
                <w:rFonts w:ascii="Calibri Light" w:eastAsia="Times New Roman" w:hAnsi="Calibri Light"/>
                <w:color w:val="000000" w:themeColor="text1"/>
                <w:sz w:val="16"/>
                <w:szCs w:val="16"/>
              </w:rPr>
              <w:t>Primārās enerģijas ietaupījumu prognoze</w:t>
            </w:r>
            <w:r w:rsidRPr="005565F8">
              <w:rPr>
                <w:rFonts w:ascii="Times New Roman" w:hAnsi="Times New Roman"/>
                <w:color w:val="000000" w:themeColor="text1"/>
                <w:szCs w:val="20"/>
              </w:rPr>
              <w:t xml:space="preserve"> </w:t>
            </w:r>
          </w:p>
        </w:tc>
        <w:tc>
          <w:tcPr>
            <w:tcW w:w="391" w:type="pct"/>
            <w:tcBorders>
              <w:top w:val="single" w:sz="24" w:space="0" w:color="auto"/>
              <w:bottom w:val="single" w:sz="4" w:space="0" w:color="auto"/>
            </w:tcBorders>
          </w:tcPr>
          <w:p w:rsidR="00997398" w:rsidRPr="005565F8" w:rsidP="00467B78" w14:paraId="2B98ECF4" w14:textId="77777777">
            <w:pPr>
              <w:spacing w:before="20" w:after="20"/>
              <w:jc w:val="right"/>
              <w:rPr>
                <w:rFonts w:ascii="Calibri Light" w:hAnsi="Calibri Light"/>
                <w:sz w:val="16"/>
                <w:szCs w:val="16"/>
              </w:rPr>
            </w:pPr>
            <w:r w:rsidRPr="005565F8">
              <w:rPr>
                <w:rFonts w:ascii="Calibri Light" w:hAnsi="Calibri Light"/>
                <w:sz w:val="16"/>
                <w:szCs w:val="16"/>
              </w:rPr>
              <w:t>0,224</w:t>
            </w:r>
          </w:p>
        </w:tc>
        <w:tc>
          <w:tcPr>
            <w:tcW w:w="391" w:type="pct"/>
            <w:tcBorders>
              <w:top w:val="single" w:sz="24" w:space="0" w:color="auto"/>
              <w:bottom w:val="single" w:sz="4" w:space="0" w:color="auto"/>
            </w:tcBorders>
          </w:tcPr>
          <w:p w:rsidR="00997398" w:rsidRPr="005565F8" w:rsidP="00467B78" w14:paraId="24C728CE" w14:textId="77777777">
            <w:pPr>
              <w:spacing w:before="20" w:after="20"/>
              <w:jc w:val="right"/>
              <w:rPr>
                <w:rFonts w:ascii="Calibri Light" w:hAnsi="Calibri Light"/>
                <w:sz w:val="16"/>
                <w:szCs w:val="16"/>
              </w:rPr>
            </w:pPr>
            <w:r w:rsidRPr="005565F8">
              <w:rPr>
                <w:rFonts w:ascii="Calibri Light" w:hAnsi="Calibri Light"/>
                <w:sz w:val="16"/>
                <w:szCs w:val="16"/>
              </w:rPr>
              <w:t>0,295</w:t>
            </w:r>
          </w:p>
        </w:tc>
        <w:tc>
          <w:tcPr>
            <w:tcW w:w="391" w:type="pct"/>
            <w:tcBorders>
              <w:top w:val="single" w:sz="24" w:space="0" w:color="auto"/>
              <w:bottom w:val="single" w:sz="4" w:space="0" w:color="auto"/>
            </w:tcBorders>
          </w:tcPr>
          <w:p w:rsidR="00997398" w:rsidRPr="005565F8" w:rsidP="00467B78" w14:paraId="07752A5A" w14:textId="77777777">
            <w:pPr>
              <w:spacing w:before="20" w:after="20"/>
              <w:jc w:val="right"/>
              <w:rPr>
                <w:rFonts w:ascii="Calibri Light" w:hAnsi="Calibri Light"/>
                <w:sz w:val="16"/>
                <w:szCs w:val="16"/>
              </w:rPr>
            </w:pPr>
            <w:r w:rsidRPr="005565F8">
              <w:rPr>
                <w:rFonts w:ascii="Calibri Light" w:hAnsi="Calibri Light"/>
                <w:sz w:val="16"/>
                <w:szCs w:val="16"/>
              </w:rPr>
              <w:t>0,390</w:t>
            </w:r>
          </w:p>
        </w:tc>
        <w:tc>
          <w:tcPr>
            <w:tcW w:w="391" w:type="pct"/>
            <w:tcBorders>
              <w:top w:val="single" w:sz="24" w:space="0" w:color="auto"/>
              <w:bottom w:val="single" w:sz="4" w:space="0" w:color="auto"/>
            </w:tcBorders>
          </w:tcPr>
          <w:p w:rsidR="00997398" w:rsidRPr="005565F8" w:rsidP="00467B78" w14:paraId="34E6650F" w14:textId="77777777">
            <w:pPr>
              <w:spacing w:before="20" w:after="20"/>
              <w:jc w:val="right"/>
              <w:rPr>
                <w:rFonts w:ascii="Calibri Light" w:hAnsi="Calibri Light"/>
                <w:sz w:val="16"/>
                <w:szCs w:val="16"/>
              </w:rPr>
            </w:pPr>
            <w:r w:rsidRPr="005565F8">
              <w:rPr>
                <w:rFonts w:ascii="Calibri Light" w:hAnsi="Calibri Light"/>
                <w:sz w:val="16"/>
                <w:szCs w:val="16"/>
              </w:rPr>
              <w:t>0,466</w:t>
            </w:r>
          </w:p>
        </w:tc>
        <w:tc>
          <w:tcPr>
            <w:tcW w:w="391" w:type="pct"/>
            <w:tcBorders>
              <w:top w:val="single" w:sz="24" w:space="0" w:color="auto"/>
              <w:bottom w:val="single" w:sz="4" w:space="0" w:color="auto"/>
            </w:tcBorders>
          </w:tcPr>
          <w:p w:rsidR="00997398" w:rsidRPr="005565F8" w:rsidP="00467B78" w14:paraId="05BFCA4B" w14:textId="77777777">
            <w:pPr>
              <w:spacing w:before="20" w:after="20"/>
              <w:jc w:val="right"/>
              <w:rPr>
                <w:rFonts w:ascii="Calibri Light" w:hAnsi="Calibri Light"/>
                <w:sz w:val="16"/>
                <w:szCs w:val="16"/>
              </w:rPr>
            </w:pPr>
            <w:r w:rsidRPr="005565F8">
              <w:rPr>
                <w:rFonts w:ascii="Calibri Light" w:hAnsi="Calibri Light"/>
                <w:sz w:val="16"/>
                <w:szCs w:val="16"/>
              </w:rPr>
              <w:t>0,534</w:t>
            </w:r>
          </w:p>
        </w:tc>
        <w:tc>
          <w:tcPr>
            <w:tcW w:w="391" w:type="pct"/>
            <w:tcBorders>
              <w:top w:val="single" w:sz="24" w:space="0" w:color="auto"/>
              <w:bottom w:val="single" w:sz="4" w:space="0" w:color="auto"/>
            </w:tcBorders>
            <w:noWrap/>
          </w:tcPr>
          <w:p w:rsidR="00997398" w:rsidRPr="005565F8" w:rsidP="00467B78" w14:paraId="29C04A8E" w14:textId="77777777">
            <w:pPr>
              <w:spacing w:before="20" w:after="20"/>
              <w:jc w:val="right"/>
              <w:rPr>
                <w:rFonts w:ascii="Calibri Light" w:hAnsi="Calibri Light"/>
                <w:sz w:val="16"/>
                <w:szCs w:val="16"/>
              </w:rPr>
            </w:pPr>
            <w:r w:rsidRPr="005565F8">
              <w:rPr>
                <w:rFonts w:ascii="Calibri Light" w:hAnsi="Calibri Light"/>
                <w:sz w:val="16"/>
                <w:szCs w:val="16"/>
              </w:rPr>
              <w:t>0,602</w:t>
            </w:r>
          </w:p>
        </w:tc>
        <w:tc>
          <w:tcPr>
            <w:tcW w:w="442" w:type="pct"/>
            <w:tcBorders>
              <w:top w:val="single" w:sz="24" w:space="0" w:color="auto"/>
              <w:bottom w:val="single" w:sz="4" w:space="0" w:color="auto"/>
            </w:tcBorders>
          </w:tcPr>
          <w:p w:rsidR="00997398" w:rsidRPr="005565F8" w:rsidP="00467B78" w14:paraId="50F902FA" w14:textId="77777777">
            <w:pPr>
              <w:spacing w:before="20" w:after="20"/>
              <w:jc w:val="right"/>
              <w:rPr>
                <w:rFonts w:ascii="Calibri Light" w:hAnsi="Calibri Light"/>
                <w:sz w:val="16"/>
                <w:szCs w:val="16"/>
              </w:rPr>
            </w:pPr>
            <w:r w:rsidRPr="005565F8">
              <w:rPr>
                <w:rFonts w:ascii="Calibri Light" w:hAnsi="Calibri Light"/>
                <w:sz w:val="16"/>
                <w:szCs w:val="16"/>
              </w:rPr>
              <w:t>0,67</w:t>
            </w:r>
          </w:p>
        </w:tc>
      </w:tr>
      <w:tr w14:paraId="50C49396" w14:textId="77777777" w:rsidTr="00E02326">
        <w:tblPrEx>
          <w:tblW w:w="5000" w:type="pct"/>
          <w:tblLayout w:type="fixed"/>
          <w:tblLook w:val="04A0"/>
        </w:tblPrEx>
        <w:trPr>
          <w:trHeight w:val="256"/>
        </w:trPr>
        <w:tc>
          <w:tcPr>
            <w:tcW w:w="5000" w:type="pct"/>
            <w:gridSpan w:val="8"/>
            <w:tcBorders>
              <w:top w:val="single" w:sz="4" w:space="0" w:color="auto"/>
            </w:tcBorders>
            <w:shd w:val="clear" w:color="auto" w:fill="FFFFFF" w:themeFill="background1"/>
            <w:noWrap/>
          </w:tcPr>
          <w:p w:rsidR="00997398" w:rsidRPr="005565F8" w:rsidP="00467B78" w14:paraId="5A8C3B1C" w14:textId="75B1ABB2">
            <w:pPr>
              <w:tabs>
                <w:tab w:val="decimal" w:pos="393"/>
              </w:tabs>
              <w:spacing w:before="20" w:after="20"/>
              <w:rPr>
                <w:rFonts w:ascii="Calibri Light" w:hAnsi="Calibri Light"/>
                <w:sz w:val="16"/>
                <w:szCs w:val="16"/>
              </w:rPr>
            </w:pPr>
            <w:r w:rsidRPr="005565F8">
              <w:rPr>
                <w:rFonts w:ascii="Calibri Light" w:hAnsi="Calibri Light"/>
                <w:sz w:val="16"/>
                <w:szCs w:val="16"/>
              </w:rPr>
              <w:t>* Bruto iekšzemes enerģijas patēriņš – neenerģētiskais patēriņš: atbilstoši Direktīvas 2012/27/ES prasībām</w:t>
            </w:r>
          </w:p>
        </w:tc>
      </w:tr>
    </w:tbl>
    <w:p w:rsidR="00784076" w:rsidRPr="00E02326" w:rsidP="00E02326" w14:paraId="205EC958" w14:textId="77777777">
      <w:pPr>
        <w:rPr>
          <w:rFonts w:eastAsia="Times New Roman"/>
          <w:lang w:eastAsia="lv-LV"/>
        </w:rPr>
      </w:pPr>
    </w:p>
    <w:p w:rsidR="00F73AE1" w:rsidRPr="005565F8" w:rsidP="0042780F" w14:paraId="6F5F055D" w14:textId="77777777">
      <w:pPr>
        <w:rPr>
          <w:rFonts w:eastAsia="Times New Roman"/>
          <w:lang w:eastAsia="lv-LV"/>
        </w:rPr>
        <w:sectPr w:rsidSect="005D1AD0">
          <w:type w:val="continuous"/>
          <w:pgSz w:w="11906" w:h="16838" w:code="9"/>
          <w:pgMar w:top="1134" w:right="1134" w:bottom="1134" w:left="1134" w:header="709" w:footer="567" w:gutter="0"/>
          <w:cols w:space="340"/>
          <w:titlePg/>
          <w:docGrid w:linePitch="360"/>
        </w:sectPr>
      </w:pPr>
    </w:p>
    <w:p w:rsidR="008F1B1F" w:rsidRPr="005565F8" w:rsidP="008F1B1F" w14:paraId="462EE22D" w14:textId="77777777">
      <w:bookmarkStart w:id="115" w:name="_Toc446597846"/>
      <w:r w:rsidRPr="005565F8">
        <w:rPr>
          <w:szCs w:val="28"/>
        </w:rPr>
        <w:t>Līdz 2020.gadam plānotie energoefektivitātes politikas pasākumi nodrošinās m</w:t>
      </w:r>
      <w:r w:rsidRPr="005565F8">
        <w:t>ērķa</w:t>
      </w:r>
      <w:r w:rsidRPr="005565F8">
        <w:rPr>
          <w:szCs w:val="28"/>
        </w:rPr>
        <w:t xml:space="preserve"> sasniegšanu. Lielākais energoefektivitātes potenciāls konstatēts daudzdzīvokļu dzīvojamās ēkās, pašvaldības un valsts iestāžu ēkās, rūpniecībā, pakalpojumu sektorā un transportā, kā arī centralizētās siltumapgādes sistēmās. Energoefektivitātes pasākumu īstenošana kopumā </w:t>
      </w:r>
      <w:r w:rsidRPr="005565F8">
        <w:rPr>
          <w:bCs/>
          <w:color w:val="000000"/>
          <w:szCs w:val="28"/>
        </w:rPr>
        <w:t>veicinās pāreju uz energoefektīvāku ekonomiku un palielinās rūpniecības un citu sektoru konkurētspēju.</w:t>
      </w:r>
    </w:p>
    <w:p w:rsidR="008F1B1F" w:rsidRPr="005565F8" w:rsidP="008F1B1F" w14:paraId="0FA7C419" w14:textId="77777777">
      <w:r w:rsidRPr="005565F8">
        <w:t>Zems energoefektivitātes līmenis rada gan enerģētiskās drošības, gan ilgtspējas, gan konkurētspējas riskus un tā paaugstināšana ir ātrākais un izmaksu ziņā efektīvākais risku samazināšanas veids, vienlaicīgi radot papildu darbavietas un veicinot izaugsmi. Lai sasniegtu maksimālu enerģijas ietaupījumu, energoefektivitātei ir jākļūst par horizontālu starpnozaru politikas mērķi.</w:t>
      </w:r>
    </w:p>
    <w:p w:rsidR="000917D3" w:rsidRPr="005565F8" w:rsidP="00F73AE1" w14:paraId="321AAE34"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F73AE1" w:rsidRPr="005565F8" w:rsidP="00F73AE1" w14:paraId="4499C06E" w14:textId="77777777">
      <w:pPr>
        <w:rPr>
          <w:color w:val="000000" w:themeColor="text1"/>
        </w:rPr>
      </w:pPr>
    </w:p>
    <w:p w:rsidR="00F73AE1" w:rsidRPr="005565F8" w:rsidP="00F73AE1" w14:paraId="597816FF"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F73AE1" w:rsidRPr="005565F8" w:rsidP="00F73AE1" w14:paraId="6F172913"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Energoefektivitātes paaugstināšana mājokļos</w:t>
      </w:r>
      <w:r w:rsidRPr="005565F8" w:rsidR="00B66413">
        <w:rPr>
          <w:rFonts w:ascii="Calibri Light" w:hAnsi="Calibri Light"/>
          <w:b/>
          <w:color w:val="228B9D"/>
          <w:sz w:val="24"/>
        </w:rPr>
        <w:t>,</w:t>
      </w:r>
      <w:r w:rsidRPr="005565F8">
        <w:rPr>
          <w:rFonts w:ascii="Calibri Light" w:hAnsi="Calibri Light"/>
          <w:b/>
          <w:color w:val="228B9D"/>
          <w:sz w:val="24"/>
        </w:rPr>
        <w:t xml:space="preserve"> rūpnieciskajā ražošanā</w:t>
      </w:r>
      <w:r w:rsidRPr="005565F8" w:rsidR="00B66413">
        <w:rPr>
          <w:rFonts w:ascii="Calibri Light" w:hAnsi="Calibri Light"/>
          <w:b/>
          <w:color w:val="228B9D"/>
          <w:sz w:val="24"/>
        </w:rPr>
        <w:t>, sabiedriskajās ēkās</w:t>
      </w:r>
    </w:p>
    <w:p w:rsidR="00F73AE1" w:rsidRPr="005565F8" w:rsidP="00F73AE1" w14:paraId="668FA214"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w:t>
      </w:r>
      <w:r w:rsidRPr="005565F8" w:rsidR="009534F6">
        <w:rPr>
          <w:rFonts w:eastAsia="+mn-ea"/>
          <w:color w:val="595959" w:themeColor="text1" w:themeTint="A6"/>
          <w:sz w:val="16"/>
        </w:rPr>
        <w:t>s</w:t>
      </w:r>
      <w:r w:rsidRPr="005565F8">
        <w:rPr>
          <w:rFonts w:eastAsia="+mn-ea"/>
          <w:color w:val="595959" w:themeColor="text1" w:themeTint="A6"/>
          <w:sz w:val="16"/>
        </w:rPr>
        <w:t xml:space="preserve"> institūcija</w:t>
      </w:r>
      <w:r w:rsidRPr="005565F8" w:rsidR="009534F6">
        <w:rPr>
          <w:rFonts w:eastAsia="+mn-ea"/>
          <w:color w:val="595959" w:themeColor="text1" w:themeTint="A6"/>
          <w:sz w:val="16"/>
        </w:rPr>
        <w:t>s</w:t>
      </w:r>
      <w:r w:rsidRPr="005565F8">
        <w:rPr>
          <w:rFonts w:eastAsia="+mn-ea"/>
          <w:color w:val="595959" w:themeColor="text1" w:themeTint="A6"/>
          <w:sz w:val="16"/>
        </w:rPr>
        <w:t xml:space="preserve"> – </w:t>
      </w:r>
      <w:r w:rsidRPr="005565F8" w:rsidR="00B66413">
        <w:rPr>
          <w:rFonts w:eastAsia="+mn-ea"/>
          <w:color w:val="595959" w:themeColor="text1" w:themeTint="A6"/>
          <w:sz w:val="16"/>
        </w:rPr>
        <w:t xml:space="preserve">VARAM, </w:t>
      </w:r>
      <w:r w:rsidRPr="005565F8">
        <w:rPr>
          <w:rFonts w:eastAsia="+mn-ea"/>
          <w:color w:val="595959" w:themeColor="text1" w:themeTint="A6"/>
          <w:sz w:val="16"/>
        </w:rPr>
        <w:t>EM/</w:t>
      </w:r>
    </w:p>
    <w:p w:rsidR="000917D3" w:rsidRPr="005565F8" w:rsidP="00B22046" w14:paraId="2F49D3ED"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8F1B1F" w:rsidRPr="005565F8" w:rsidP="00F73AE1" w14:paraId="3E53EBD6" w14:textId="77777777">
      <w:pPr>
        <w:spacing w:before="240"/>
      </w:pPr>
      <w:r w:rsidRPr="005565F8">
        <w:t xml:space="preserve">Daudzdzīvokļu māju </w:t>
      </w:r>
      <w:r w:rsidRPr="005565F8">
        <w:t>siltumnoturības</w:t>
      </w:r>
      <w:r w:rsidRPr="005565F8">
        <w:t xml:space="preserve"> uzlabošanas pasākumu mērķis ir mājokļu energoefektivitātes paaugstināšana, lai nodrošinātu dzīvojamā fonda ilgtspēju un energoresursu efektīvu izmantošanu. Aktivitātes popularizēšanai ir īstenota apjomīga informatīvā kampaņa </w:t>
      </w:r>
      <w:r w:rsidRPr="005565F8">
        <w:rPr>
          <w:i/>
        </w:rPr>
        <w:t>“Dzīvo siltāk”</w:t>
      </w:r>
      <w:r w:rsidRPr="005565F8">
        <w:t xml:space="preserve">, mudinot dzīvokļu īpašniekus iesaistīties mājokļu kopīpašuma </w:t>
      </w:r>
      <w:r w:rsidRPr="005565F8">
        <w:t>apsaimniekošanā un ēku energoefektivitātes uzlabošanā.</w:t>
      </w:r>
    </w:p>
    <w:p w:rsidR="00E2545F" w:rsidRPr="005565F8" w:rsidP="002370B8" w14:paraId="348B482F" w14:textId="77777777">
      <w:r w:rsidRPr="005565F8">
        <w:t xml:space="preserve">ES fondu 2014.-2020.gada plānošanas perioda ietvaros tiek piešķirts ERAF un KF finansējums, lai sekmētu energoefektivitātes paaugstināšanu publiskajās un dzīvojamās ēkās – ēku atjaunošana, ēku </w:t>
      </w:r>
      <w:r w:rsidRPr="005565F8">
        <w:t>energosertifikācija</w:t>
      </w:r>
      <w:r w:rsidRPr="005565F8">
        <w:t xml:space="preserve"> un būvdarbi energoefektivitātes paaugstināšanai, kā arī </w:t>
      </w:r>
      <w:r w:rsidRPr="005565F8" w:rsidR="00467B78">
        <w:t xml:space="preserve">tādu </w:t>
      </w:r>
      <w:r w:rsidRPr="005565F8" w:rsidR="00467B78">
        <w:t xml:space="preserve">enerģiju ražojošu avotu uzstādīšana ēkā, kas enerģijas ražošanai izmanto </w:t>
      </w:r>
      <w:r w:rsidRPr="005565F8">
        <w:t xml:space="preserve">AER, ja tiek sasniegti īpaši augsti energoefektivitātes rādītāji </w:t>
      </w:r>
      <w:r w:rsidRPr="005565F8" w:rsidR="00467B78">
        <w:t xml:space="preserve">un netiek radīta negatīva ietekme uz centralizētās siltumapgādes </w:t>
      </w:r>
      <w:r w:rsidRPr="005565F8" w:rsidR="00467B78">
        <w:t>sistēmu.</w:t>
      </w:r>
      <w:r w:rsidRPr="005565F8">
        <w:t>Atbalsts</w:t>
      </w:r>
      <w:r w:rsidRPr="005565F8">
        <w:t xml:space="preserve"> tiek sniegts </w:t>
      </w:r>
      <w:r w:rsidRPr="005565F8">
        <w:t>granta</w:t>
      </w:r>
      <w:r w:rsidRPr="005565F8">
        <w:t>, aizdevuma un garantijas veidā. Dzīvojamo ēku energoefektivitātes paaugstināšanai pieejamais ERAF finansējums ir 150 milj. EUR un valsts ēku energoefektivitātes paaugstināšanai – 97,9 milj. EUR.</w:t>
      </w:r>
      <w:r w:rsidRPr="005565F8" w:rsidR="00467B78">
        <w:t xml:space="preserve"> Līdz 2018.gada 1.martam</w:t>
      </w:r>
      <w:r w:rsidRPr="005565F8">
        <w:t xml:space="preserve"> </w:t>
      </w:r>
      <w:r w:rsidRPr="005565F8">
        <w:t>dzīvojamo ēku energoefektivitātes paaugstināšanas atbalsta programmas ietvaros ir iesniegti 299 projekta pieteikumi par kopējo indikatīvo ERAF līdzfinansējumu 44,8 milj. EUR. Atbalsta programmas ietvaros jau ir pabeigta 6 projektu īstenošana.</w:t>
      </w:r>
    </w:p>
    <w:p w:rsidR="00581957" w:rsidRPr="005565F8" w:rsidP="002370B8" w14:paraId="5E5D0BF0" w14:textId="77777777">
      <w:r w:rsidRPr="005565F8">
        <w:t xml:space="preserve">ES fondu 2014.-2020.gada plānošanas periodā arī tiek veicināta efektīva energoresursu izmantošana un enerģijas patēriņa samazināšana apstrādes rūpniecības nozarē – apstrādes rūpniecības komersantu ēku energoefektivitātes uzlabošanas pasākumi, ēku </w:t>
      </w:r>
      <w:r w:rsidRPr="005565F8">
        <w:t>energosertifikācija</w:t>
      </w:r>
      <w:r w:rsidRPr="005565F8">
        <w:t xml:space="preserve"> un būvdarbi energoefektivitātes palielināšanai, un jaunu AER izmantojošu siltumenerģijas ražošanas iekārtu iegāde un uzstādīšana. Kopējais apstrādes rūpniecības nozares energoefektivitātes paaugstināšanas atbalsta programmas ietvaros pieejamais KF finansējums ir 25,7 milj. EUR, kas komersantiem tiek piešķirts </w:t>
      </w:r>
      <w:r w:rsidRPr="005565F8">
        <w:t>granta</w:t>
      </w:r>
      <w:r w:rsidRPr="005565F8">
        <w:t xml:space="preserve"> veidā. Atbalsta programmas pirmās projektu iesniegumu atlases kārtas ietvaros ir apstiprināti 26 projekta pieteikumi par kopējo KF līdzfinansējumu 7,5 milj. EUR apmērā.</w:t>
      </w:r>
    </w:p>
    <w:p w:rsidR="00581957" w:rsidRPr="005565F8" w:rsidP="002370B8" w14:paraId="329FE05D" w14:textId="77777777">
      <w:r w:rsidRPr="005565F8">
        <w:t>Publisko ēku energoefektivitātes paaugstināšanas pasākumu mērķis ir sniegt finansiālu atbalstu sabiedrisko ēku energoefektivitātes paaugstināšanas projektiem, lai samazinātu primārās enerģijas patēriņu, lai samazinātu siltumnīcefekta gāzu (turpmāk – SEG) emisijas un pašvaldību izdevumu samazināšanos par siltumapgādi.</w:t>
      </w:r>
    </w:p>
    <w:p w:rsidR="00E2545F" w:rsidRPr="005565F8" w:rsidP="002370B8" w14:paraId="3A6F1206" w14:textId="77777777">
      <w:r w:rsidRPr="005565F8">
        <w:t>Publisko ēku energoefektivitātes paaugstināšanas atbalsta programmas pirmās projektu iesniegumu atlases kārtas ietvaros līdz 2018.gada 1.martam ir apstiprināti 52 projekta pieteikumi par kopējo ERAF līdzfinansējumu 36,4 milj. EUR, t.sk. pabeigta 2 projektu īstenošana.</w:t>
      </w:r>
    </w:p>
    <w:p w:rsidR="00581957" w:rsidRPr="005565F8" w:rsidP="00581957" w14:paraId="52133989" w14:textId="77777777">
      <w:r w:rsidRPr="005565F8">
        <w:t xml:space="preserve">ES fondu 2014.-2020.gada plānošanas periodā plānots veikt pašvaldību ēku pārbūvi un atjaunošanu, ēku </w:t>
      </w:r>
      <w:r w:rsidRPr="005565F8">
        <w:t>energosertifikāciju</w:t>
      </w:r>
      <w:r w:rsidRPr="005565F8">
        <w:t xml:space="preserve"> un būvdarbus energoefektivitātes palielināšanai, kā arī veicināt AER izmantošanu ēkās. Būtiskākais atbalsta kritērijs ir primārās enerģijas patēriņa un </w:t>
      </w:r>
      <w:r w:rsidRPr="005565F8">
        <w:rPr>
          <w:iCs/>
        </w:rPr>
        <w:t xml:space="preserve">siltumnīcefekta gāzu </w:t>
      </w:r>
      <w:r w:rsidRPr="005565F8">
        <w:t>samazinājums attiecībā pret ieguldīto ERAF finansējumu. Paredzētais ERAF finansējums ir 47 milj. EUR</w:t>
      </w:r>
      <w:r w:rsidRPr="005565F8">
        <w:rPr>
          <w:i/>
          <w:iCs/>
        </w:rPr>
        <w:t>.</w:t>
      </w:r>
      <w:r w:rsidRPr="005565F8">
        <w:rPr>
          <w:iCs/>
        </w:rPr>
        <w:t xml:space="preserve"> Ieguldījumu rezultātā plānots sasniegt primārās enerģijas gada patēriņa samazinājumu sabiedriskajās ēkās – 20,54 </w:t>
      </w:r>
      <w:r w:rsidRPr="005565F8">
        <w:rPr>
          <w:iCs/>
        </w:rPr>
        <w:t>GWh</w:t>
      </w:r>
      <w:r w:rsidRPr="005565F8">
        <w:rPr>
          <w:iCs/>
        </w:rPr>
        <w:t>/gadā un siltumnīcefekta gāzu samazinājumu vismaz 5 180 CO</w:t>
      </w:r>
      <w:r w:rsidRPr="005565F8">
        <w:rPr>
          <w:iCs/>
          <w:vertAlign w:val="subscript"/>
        </w:rPr>
        <w:t>2</w:t>
      </w:r>
      <w:r w:rsidRPr="005565F8">
        <w:rPr>
          <w:iCs/>
        </w:rPr>
        <w:t xml:space="preserve"> ekvivalenta tonnas/gadā. </w:t>
      </w:r>
      <w:r w:rsidRPr="005565F8">
        <w:t xml:space="preserve"> </w:t>
      </w:r>
      <w:r w:rsidRPr="005565F8">
        <w:rPr>
          <w:iCs/>
        </w:rPr>
        <w:t xml:space="preserve">2017. gadā </w:t>
      </w:r>
      <w:r w:rsidRPr="005565F8">
        <w:rPr>
          <w:color w:val="000000" w:themeColor="text1"/>
        </w:rPr>
        <w:t>turpinājās 2016. gadā izsludinātās projektu iesniegumu atlases nacionālas nozīmes attīstības centru pašvaldībās un novados.</w:t>
      </w:r>
      <w:r w:rsidRPr="005565F8">
        <w:t xml:space="preserve"> Kopumā uzsākta 48 projektu īstenošana par ERAF </w:t>
      </w:r>
      <w:r w:rsidRPr="005565F8">
        <w:br/>
        <w:t>finansējumu – 12,6 milj. EUR.</w:t>
      </w:r>
    </w:p>
    <w:p w:rsidR="000917D3" w:rsidRPr="005565F8" w:rsidP="00F73AE1" w14:paraId="46930FF1" w14:textId="77777777">
      <w:pPr>
        <w:sectPr w:rsidSect="005D1AD0">
          <w:type w:val="continuous"/>
          <w:pgSz w:w="11906" w:h="16838" w:code="9"/>
          <w:pgMar w:top="1134" w:right="1134" w:bottom="1134" w:left="1134" w:header="709" w:footer="567" w:gutter="0"/>
          <w:cols w:num="2" w:space="340"/>
          <w:titlePg/>
          <w:docGrid w:linePitch="360"/>
        </w:sectPr>
      </w:pPr>
      <w:r w:rsidRPr="005565F8">
        <w:rPr>
          <w:iCs/>
        </w:rPr>
        <w:t>Pēc Klimata pārmaiņu finansēšanas instrumenta (KPFI) noslēgšanās ir uzsākta jaunas atbalsta programmas –EKII – īstenošana. Pārskata periodā EKII ietvaros notika projektu īstenošana 2 projektu konkursos. Konkursā „</w:t>
      </w:r>
      <w:r w:rsidRPr="005565F8">
        <w:rPr>
          <w:i/>
          <w:iCs/>
        </w:rPr>
        <w:t>Siltumnīcefekta gāzu emisiju samazināšana valsts nozīmes aizsargājamos arhitektūras pieminekļos</w:t>
      </w:r>
      <w:r w:rsidRPr="005565F8">
        <w:rPr>
          <w:iCs/>
        </w:rPr>
        <w:t>” noslēgti 9 projektu īstenošanas līgumi par kopējo EKII atbalsta summu 8,86 milj. EUR, savukārt konkursā „</w:t>
      </w:r>
      <w:r w:rsidRPr="005565F8">
        <w:rPr>
          <w:i/>
          <w:iCs/>
        </w:rPr>
        <w:t>Siltumnīcefekta gāzu emisiju samazināšana – zema enerģijas patēriņa ēkas</w:t>
      </w:r>
      <w:r w:rsidRPr="005565F8">
        <w:rPr>
          <w:iCs/>
        </w:rPr>
        <w:t>” noslēgti 7 projektu īstenošanas līgumi par kopējo EKII atbalsta summu 23 milj. EUR.</w:t>
      </w:r>
      <w:r w:rsidRPr="005565F8">
        <w:rPr>
          <w:color w:val="000000"/>
        </w:rPr>
        <w:t xml:space="preserve"> Abu konkursu ietvaros kopējais plānotais oglekļa dioksīda emisiju samazinājums būs 1 005 tonnas.</w:t>
      </w:r>
    </w:p>
    <w:p w:rsidR="00F73AE1" w:rsidRPr="005565F8" w:rsidP="00F73AE1" w14:paraId="12D75BDB" w14:textId="77777777"/>
    <w:p w:rsidR="00F73AE1" w:rsidRPr="005565F8" w:rsidP="00F73AE1" w14:paraId="6AEBA916"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Energoefektivitātes paaugstināšana siltumenerģijas ražošanā</w:t>
      </w:r>
    </w:p>
    <w:p w:rsidR="00F73AE1" w:rsidRPr="005565F8" w:rsidP="00F73AE1" w14:paraId="6DC2AA99"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w:t>
      </w:r>
      <w:r w:rsidRPr="005565F8" w:rsidR="00B22046">
        <w:rPr>
          <w:rFonts w:eastAsia="+mn-ea"/>
          <w:color w:val="595959" w:themeColor="text1" w:themeTint="A6"/>
          <w:sz w:val="16"/>
        </w:rPr>
        <w:t>/</w:t>
      </w:r>
    </w:p>
    <w:p w:rsidR="000917D3" w:rsidRPr="005565F8" w:rsidP="00B22046" w14:paraId="6017A84A"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8F1B1F" w:rsidRPr="005565F8" w:rsidP="00F73AE1" w14:paraId="06A010B4" w14:textId="77777777">
      <w:pPr>
        <w:spacing w:before="240"/>
        <w:rPr>
          <w:bCs/>
        </w:rPr>
      </w:pPr>
      <w:r w:rsidRPr="005565F8">
        <w:rPr>
          <w:bCs/>
        </w:rPr>
        <w:t>Centralizētās siltumapgādes sistēmu efektivitātes paaugstināšanas mērķis ir samazināt siltumenerģijas zudumus pārvades un sadales sistēmās un sekmēt fosilā kurināmā aizvietošanu ar atjaunojamiem kurināmiem.</w:t>
      </w:r>
    </w:p>
    <w:p w:rsidR="008F1B1F" w:rsidRPr="005565F8" w:rsidP="008F1B1F" w14:paraId="45AD797F" w14:textId="77777777">
      <w:pPr>
        <w:rPr>
          <w:i/>
        </w:rPr>
      </w:pPr>
      <w:r w:rsidRPr="005565F8">
        <w:rPr>
          <w:bCs/>
        </w:rPr>
        <w:t xml:space="preserve">ES fondu 2014.-2020.gada plānošanas periodā atbalsts centralizētās siltumapgādes sistēmas energoefektivitātes paaugstināšanai un atjaunojamo energoresursu īpatsvara palielināšanai, </w:t>
      </w:r>
      <w:r w:rsidRPr="005565F8" w:rsidR="00C1435F">
        <w:rPr>
          <w:bCs/>
        </w:rPr>
        <w:t>t.sk.</w:t>
      </w:r>
      <w:r w:rsidRPr="005565F8">
        <w:rPr>
          <w:bCs/>
        </w:rPr>
        <w:t xml:space="preserve"> siltumenerģijas pārvades un sadales tīklu rekonstrukcijai un būvniecībai, esošo siltumenerģijas ražošanas iekārtu maiņai, siltumenerģijas akumulācijas iekārtu būvniecībai un jaunu patērētāju pieslēgšanai jau esošai centralizētās siltumapgādes sistēmai, tiek piešķirts </w:t>
      </w:r>
      <w:r w:rsidRPr="005565F8">
        <w:rPr>
          <w:bCs/>
        </w:rPr>
        <w:t>granta</w:t>
      </w:r>
      <w:r w:rsidRPr="005565F8">
        <w:rPr>
          <w:bCs/>
        </w:rPr>
        <w:t xml:space="preserve"> veidā. Atbalsta programmas ietvaros kopējais KF līdzfinansējuma </w:t>
      </w:r>
      <w:r w:rsidRPr="005565F8">
        <w:rPr>
          <w:bCs/>
        </w:rPr>
        <w:t xml:space="preserve">apjoms ir 60 milj. EUR. Pirmās atlases kārtas ietvaros iesniegti 80 projektu iesniegumi par kopējo KF līdzfinansējumu 40 milj. EUR apmērā, projektu iesniegumu ietvaros plānojot uzstādīt 230 MW lielu siltumenerģijas ražošanas jaudu, </w:t>
      </w:r>
      <w:r w:rsidRPr="005565F8" w:rsidR="00C1435F">
        <w:rPr>
          <w:bCs/>
        </w:rPr>
        <w:t>t.sk.</w:t>
      </w:r>
      <w:r w:rsidRPr="005565F8">
        <w:rPr>
          <w:bCs/>
        </w:rPr>
        <w:t xml:space="preserve"> rekonstruējot jau esošos siltumenerģijas ražošanas avotus, kas darbināmi ar atjaunojamajiem energoresursiem, un veicot pāreju </w:t>
      </w:r>
      <w:r w:rsidRPr="005565F8" w:rsidR="00C1435F">
        <w:rPr>
          <w:bCs/>
        </w:rPr>
        <w:t xml:space="preserve">no fosilajiem energoresursiem uz </w:t>
      </w:r>
      <w:r w:rsidRPr="005565F8">
        <w:rPr>
          <w:bCs/>
        </w:rPr>
        <w:t>atjaunojam</w:t>
      </w:r>
      <w:r w:rsidRPr="005565F8" w:rsidR="00C1435F">
        <w:rPr>
          <w:bCs/>
        </w:rPr>
        <w:t xml:space="preserve">ajiem </w:t>
      </w:r>
      <w:r w:rsidRPr="005565F8">
        <w:rPr>
          <w:bCs/>
        </w:rPr>
        <w:t>energoresurs</w:t>
      </w:r>
      <w:r w:rsidRPr="005565F8" w:rsidR="00C1435F">
        <w:rPr>
          <w:bCs/>
        </w:rPr>
        <w:t>iem</w:t>
      </w:r>
      <w:r w:rsidRPr="005565F8">
        <w:rPr>
          <w:bCs/>
        </w:rPr>
        <w:t xml:space="preserve">. Projektu ietvaros plānots arī rekonstruēt siltumenerģijas pārvades un sadales tīklus ar kopējo tīklu garumu 48 km. Būtiski, ka aprēķinātais siltumnīcefekta gāzu samazinājums, kas tiks panākts, veicot iepriekš minētās darbības, ir lielāks, nekā 100 tūkst. t/gadā. Savukārt 2.projektu iesniegumu atlases kārtas ietvaros iesniegto 40 projektu iesniegumi par kopējo KF līdzfinansējumu 13,4 milj. EUR apmērā, paredzot gan esošu siltumenerģijas pārvades un sadales tīklu un </w:t>
      </w:r>
      <w:r w:rsidRPr="005565F8">
        <w:rPr>
          <w:bCs/>
        </w:rPr>
        <w:t xml:space="preserve">siltumenerģijas ražošanas avotu rekonstrukciju, gan jaunu siltumenerģijas akumulācijas iekārtu </w:t>
      </w:r>
      <w:r w:rsidRPr="005565F8">
        <w:rPr>
          <w:bCs/>
        </w:rPr>
        <w:t>uzstādīšanu, kā arī centralizētās siltumapgādes sistēmas paplašināšanu atsevišķās Latvijas pilsētās</w:t>
      </w:r>
      <w:r w:rsidRPr="005565F8">
        <w:rPr>
          <w:i/>
        </w:rPr>
        <w:t>.</w:t>
      </w:r>
    </w:p>
    <w:p w:rsidR="000917D3" w:rsidRPr="005565F8" w:rsidP="00F73AE1" w14:paraId="2B1AC824" w14:textId="77777777">
      <w:pPr>
        <w:sectPr w:rsidSect="005D1AD0">
          <w:type w:val="continuous"/>
          <w:pgSz w:w="11906" w:h="16838" w:code="9"/>
          <w:pgMar w:top="1134" w:right="1134" w:bottom="1134" w:left="1134" w:header="709" w:footer="567" w:gutter="0"/>
          <w:cols w:num="2" w:space="340"/>
          <w:titlePg/>
          <w:docGrid w:linePitch="360"/>
        </w:sectPr>
      </w:pPr>
    </w:p>
    <w:p w:rsidR="00F73AE1" w:rsidRPr="005565F8" w:rsidP="00F73AE1" w14:paraId="3D7CE019" w14:textId="77777777"/>
    <w:p w:rsidR="00F73AE1" w:rsidRPr="005565F8" w:rsidP="00F73AE1" w14:paraId="7AAE02CF"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Atbalsts energoietilpīgiem komersantiem</w:t>
      </w:r>
    </w:p>
    <w:p w:rsidR="00F73AE1" w:rsidRPr="005565F8" w:rsidP="00F73AE1" w14:paraId="00AEB657"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w:t>
      </w:r>
      <w:r w:rsidRPr="005565F8" w:rsidR="00AB4E7B">
        <w:rPr>
          <w:rFonts w:eastAsia="+mn-ea"/>
          <w:color w:val="595959" w:themeColor="text1" w:themeTint="A6"/>
          <w:sz w:val="16"/>
        </w:rPr>
        <w:t>/</w:t>
      </w:r>
      <w:r w:rsidRPr="005565F8">
        <w:rPr>
          <w:rFonts w:eastAsia="+mn-ea"/>
          <w:color w:val="595959" w:themeColor="text1" w:themeTint="A6"/>
          <w:sz w:val="16"/>
        </w:rPr>
        <w:t xml:space="preserve"> </w:t>
      </w:r>
    </w:p>
    <w:p w:rsidR="000917D3" w:rsidRPr="005565F8" w:rsidP="00B22046" w14:paraId="4995D3E3"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8F1B1F" w:rsidRPr="005565F8" w:rsidP="00AB4E7B" w14:paraId="13EE92B8" w14:textId="77777777">
      <w:pPr>
        <w:spacing w:before="240"/>
      </w:pPr>
      <w:r w:rsidRPr="005565F8">
        <w:t xml:space="preserve">Pēc saskaņošanas ar </w:t>
      </w:r>
      <w:r w:rsidRPr="005565F8" w:rsidR="00AB4E7B">
        <w:t>EK</w:t>
      </w:r>
      <w:r w:rsidRPr="005565F8">
        <w:t>, 2017.gada 13.jūnijā spēkā stājušies MK 2015. gada 14. jūlija noteikumi Nr.395 “</w:t>
      </w:r>
      <w:r w:rsidRPr="005565F8">
        <w:rPr>
          <w:i/>
        </w:rPr>
        <w:t>Kārtība, kādā energoietilpīgi apstrādes rūpniecības uzņēmumi iegūst tiesības uz samazinātu līdzdalību obligātā iepirkuma komponentes maksājumam</w:t>
      </w:r>
      <w:r w:rsidRPr="005565F8">
        <w:t xml:space="preserve">”, kas nosaka energoietilpīgo apstrādes rūpniecības komersantu kvalifikācijas kritērijus un kārtību, kādā </w:t>
      </w:r>
      <w:r w:rsidRPr="005565F8">
        <w:t>komersants var iegūt tiesības uz samazinātu līdzdalību tā izdevumu kompensēšanai publiskajam tirgotājam. Līdz ar to jau 2017.gadā energoietilpīgi apstrādes rūpniecības uzņēmumi, kuri darbojas noteikumos noteiktajās atbalstāmajās nozarēs, izmantojuši iespēju pretendēt uz samazinātu obligātā iepirkuma komponentes līdzdalības maksājumu</w:t>
      </w:r>
      <w:r w:rsidRPr="005565F8" w:rsidR="00AB4E7B">
        <w:t>.</w:t>
      </w:r>
    </w:p>
    <w:p w:rsidR="007D1DA0" w:rsidRPr="005565F8" w:rsidP="007D1DA0" w14:paraId="427F6753" w14:textId="77777777">
      <w:pPr>
        <w:pStyle w:val="ListParagraph"/>
        <w:spacing w:after="60"/>
        <w:ind w:left="284"/>
        <w:contextualSpacing w:val="0"/>
        <w:sectPr w:rsidSect="005D1AD0">
          <w:type w:val="continuous"/>
          <w:pgSz w:w="11906" w:h="16838" w:code="9"/>
          <w:pgMar w:top="1134" w:right="1134" w:bottom="1134" w:left="1134" w:header="709" w:footer="567" w:gutter="0"/>
          <w:cols w:num="2" w:space="340"/>
          <w:titlePg/>
          <w:docGrid w:linePitch="360"/>
        </w:sectPr>
      </w:pPr>
    </w:p>
    <w:p w:rsidR="007D1DA0" w:rsidRPr="005565F8" w:rsidP="007D1DA0" w14:paraId="2CABA3C2" w14:textId="77777777">
      <w:pPr>
        <w:pStyle w:val="ListParagraph"/>
        <w:spacing w:after="60"/>
        <w:ind w:left="284"/>
        <w:contextualSpacing w:val="0"/>
      </w:pPr>
    </w:p>
    <w:p w:rsidR="00523B75" w:rsidRPr="005565F8" w:rsidP="00523B75" w14:paraId="4FB623B1" w14:textId="77777777">
      <w:pPr>
        <w:pStyle w:val="Heading3"/>
      </w:pPr>
      <w:bookmarkStart w:id="116" w:name="_Toc510687763"/>
      <w:bookmarkStart w:id="117" w:name="_Toc256000032"/>
      <w:bookmarkStart w:id="118" w:name="_Toc256000067"/>
      <w:r w:rsidRPr="005565F8">
        <w:t>3.6.3. Atjaunojamās enerģijas īpatsvara palielināšana</w:t>
      </w:r>
      <w:bookmarkEnd w:id="118"/>
      <w:bookmarkEnd w:id="117"/>
      <w:bookmarkEnd w:id="115"/>
      <w:bookmarkEnd w:id="116"/>
    </w:p>
    <w:p w:rsidR="007D1DA0" w:rsidRPr="005565F8" w:rsidP="008F1B1F" w14:paraId="19840B74" w14:textId="77777777">
      <w:pPr>
        <w:spacing w:before="120"/>
        <w:rPr>
          <w:color w:val="000000"/>
        </w:rPr>
        <w:sectPr w:rsidSect="005D1AD0">
          <w:type w:val="continuous"/>
          <w:pgSz w:w="11906" w:h="16838" w:code="9"/>
          <w:pgMar w:top="1134" w:right="1134" w:bottom="1134" w:left="1134" w:header="709" w:footer="567" w:gutter="0"/>
          <w:cols w:space="340"/>
          <w:titlePg/>
          <w:docGrid w:linePitch="360"/>
        </w:sectPr>
      </w:pPr>
    </w:p>
    <w:p w:rsidR="00523B75" w:rsidRPr="005565F8" w:rsidP="008F1B1F" w14:paraId="79B825EC" w14:textId="77777777">
      <w:pPr>
        <w:spacing w:before="120"/>
        <w:rPr>
          <w:color w:val="000000"/>
        </w:rPr>
      </w:pPr>
      <w:r w:rsidRPr="005565F8">
        <w:rPr>
          <w:color w:val="000000"/>
        </w:rPr>
        <w:t xml:space="preserve">Latvijas kvantitatīvais mērķis ir palielināt no AER saražotās enerģijas īpatsvaru kopējā enerģijas bruto </w:t>
      </w:r>
      <w:r w:rsidRPr="005565F8">
        <w:rPr>
          <w:color w:val="000000"/>
        </w:rPr>
        <w:t>galapatēriņā</w:t>
      </w:r>
      <w:r w:rsidRPr="005565F8">
        <w:rPr>
          <w:color w:val="000000"/>
        </w:rPr>
        <w:t xml:space="preserve"> līdz 40% 2020.gadā, savukārt AE īpatsvaram transporta sektorā jāsasniedz vismaz 10% no enerģijas bruto </w:t>
      </w:r>
      <w:r w:rsidRPr="005565F8">
        <w:rPr>
          <w:color w:val="000000"/>
        </w:rPr>
        <w:t>galapatēriņa</w:t>
      </w:r>
      <w:r w:rsidRPr="005565F8">
        <w:rPr>
          <w:color w:val="000000"/>
        </w:rPr>
        <w:t xml:space="preserve"> transportā.</w:t>
      </w:r>
    </w:p>
    <w:p w:rsidR="00F73AE1" w:rsidRPr="005565F8" w:rsidP="00F73AE1" w14:paraId="2893C533" w14:textId="77777777">
      <w:pPr>
        <w:rPr>
          <w:color w:val="000000"/>
          <w:lang w:eastAsia="lv-LV"/>
        </w:rPr>
      </w:pPr>
      <w:r w:rsidRPr="005565F8">
        <w:rPr>
          <w:color w:val="000000"/>
          <w:lang w:eastAsia="lv-LV"/>
        </w:rPr>
        <w:t xml:space="preserve">Ņemot vērā esošo un plānoto energoefektivitātes pasākumu ietekmi uz kopējo enerģijas bruto </w:t>
      </w:r>
      <w:r w:rsidRPr="005565F8">
        <w:rPr>
          <w:color w:val="000000"/>
          <w:lang w:eastAsia="lv-LV"/>
        </w:rPr>
        <w:t>galapatēriņu</w:t>
      </w:r>
      <w:r w:rsidRPr="005565F8">
        <w:rPr>
          <w:color w:val="000000"/>
          <w:lang w:eastAsia="lv-LV"/>
        </w:rPr>
        <w:t>,</w:t>
      </w:r>
      <w:r w:rsidRPr="005565F8">
        <w:rPr>
          <w:color w:val="000000"/>
        </w:rPr>
        <w:t xml:space="preserve"> kā arī citus atbalsta pasākumus AE patēriņa veicināšanai (</w:t>
      </w:r>
      <w:r w:rsidRPr="005565F8" w:rsidR="006063BC">
        <w:rPr>
          <w:color w:val="000000"/>
        </w:rPr>
        <w:t>t.sk.</w:t>
      </w:r>
      <w:r w:rsidRPr="005565F8">
        <w:rPr>
          <w:color w:val="000000"/>
        </w:rPr>
        <w:t xml:space="preserve"> no AER saražotā elektroenerģija, obligātā iepirkuma mehānisms un atbalsta aktivitātes siltumenerģijas nozarē),</w:t>
      </w:r>
      <w:r w:rsidRPr="005565F8">
        <w:rPr>
          <w:color w:val="000000"/>
          <w:lang w:eastAsia="lv-LV"/>
        </w:rPr>
        <w:t xml:space="preserve"> sagaidīts, ka izvirzīto AE īpatsvara mērķi 2020.gadā izdosies sasniegt.</w:t>
      </w:r>
    </w:p>
    <w:p w:rsidR="00F73AE1" w:rsidRPr="005565F8" w:rsidP="008F1B1F" w14:paraId="4800EFBF" w14:textId="77777777">
      <w:pPr>
        <w:pStyle w:val="ListParagraph"/>
        <w:keepNext/>
        <w:spacing w:before="240"/>
        <w:ind w:left="0"/>
        <w:jc w:val="right"/>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E02326" w:rsidP="00E02326" w14:paraId="686CDF4F" w14:textId="77777777">
      <w:pPr>
        <w:pStyle w:val="ListParagraph"/>
        <w:keepNext/>
        <w:shd w:val="clear" w:color="auto" w:fill="FFFFFF" w:themeFill="background1"/>
        <w:tabs>
          <w:tab w:val="right" w:pos="9639"/>
        </w:tabs>
        <w:spacing w:before="240"/>
        <w:ind w:left="0" w:right="-1"/>
        <w:contextualSpacing w:val="0"/>
        <w:jc w:val="right"/>
        <w:rPr>
          <w:color w:val="000000"/>
          <w:lang w:eastAsia="lv-LV"/>
        </w:rPr>
      </w:pPr>
    </w:p>
    <w:p w:rsidR="008F1B1F" w:rsidRPr="005565F8" w:rsidP="00E02326" w14:paraId="66FA5165" w14:textId="2B8AF812">
      <w:pPr>
        <w:pStyle w:val="ListParagraph"/>
        <w:keepNext/>
        <w:shd w:val="clear" w:color="auto" w:fill="FFFFFF" w:themeFill="background1"/>
        <w:tabs>
          <w:tab w:val="right" w:pos="9639"/>
        </w:tabs>
        <w:spacing w:before="240"/>
        <w:ind w:left="0" w:right="-1"/>
        <w:contextualSpacing w:val="0"/>
        <w:rPr>
          <w:rFonts w:ascii="Calibri Light" w:hAnsi="Calibri Light"/>
          <w:b/>
          <w:i/>
          <w:sz w:val="16"/>
        </w:rPr>
      </w:pPr>
      <w:r w:rsidRPr="005565F8">
        <w:rPr>
          <w:rFonts w:ascii="Calibri Light" w:hAnsi="Calibri Light"/>
        </w:rPr>
        <w:tab/>
        <w:t>3.</w:t>
      </w:r>
      <w:r w:rsidR="000805EF">
        <w:rPr>
          <w:rFonts w:ascii="Calibri Light" w:hAnsi="Calibri Light"/>
        </w:rPr>
        <w:t>8</w:t>
      </w:r>
      <w:r w:rsidRPr="005565F8">
        <w:rPr>
          <w:rFonts w:ascii="Calibri Light" w:hAnsi="Calibri Light"/>
        </w:rPr>
        <w:t>.attēls</w:t>
      </w:r>
      <w:r w:rsidRPr="005565F8" w:rsidR="000917D3">
        <w:rPr>
          <w:rFonts w:ascii="Calibri Light" w:hAnsi="Calibri Light"/>
        </w:rPr>
        <w:br/>
      </w:r>
      <w:r w:rsidRPr="005565F8">
        <w:rPr>
          <w:rFonts w:ascii="Calibri Light" w:hAnsi="Calibri Light"/>
          <w:b/>
          <w:sz w:val="24"/>
        </w:rPr>
        <w:tab/>
      </w:r>
      <w:r w:rsidRPr="005565F8" w:rsidR="000917D3">
        <w:rPr>
          <w:rFonts w:ascii="Calibri Light" w:hAnsi="Calibri Light"/>
          <w:b/>
          <w:sz w:val="24"/>
        </w:rPr>
        <w:t>Atjaunojamās enerģijas palielināšanas mērķ</w:t>
      </w:r>
      <w:r w:rsidRPr="005565F8" w:rsidR="00905274">
        <w:rPr>
          <w:rFonts w:ascii="Calibri Light" w:hAnsi="Calibri Light"/>
          <w:b/>
          <w:sz w:val="24"/>
        </w:rPr>
        <w:t>is</w:t>
      </w:r>
      <w:r w:rsidRPr="005565F8" w:rsidR="000917D3">
        <w:rPr>
          <w:rFonts w:ascii="Calibri Light" w:hAnsi="Calibri Light"/>
          <w:b/>
          <w:sz w:val="24"/>
        </w:rPr>
        <w:br/>
      </w:r>
      <w:r w:rsidRPr="005565F8">
        <w:rPr>
          <w:rFonts w:ascii="Calibri Light" w:hAnsi="Calibri Light"/>
          <w:i/>
          <w:sz w:val="16"/>
        </w:rPr>
        <w:tab/>
      </w:r>
      <w:r w:rsidRPr="005565F8">
        <w:rPr>
          <w:rFonts w:ascii="Calibri Light" w:hAnsi="Calibri Light"/>
          <w:i/>
          <w:sz w:val="16"/>
        </w:rPr>
        <w:t>Atjaunojamās enerģijas īpatsvars, procentos</w:t>
      </w:r>
    </w:p>
    <w:p w:rsidR="008F1B1F" w:rsidRPr="005565F8" w:rsidP="00E02326" w14:paraId="2C1175D2" w14:textId="77777777">
      <w:pPr>
        <w:pStyle w:val="ListParagraph"/>
        <w:shd w:val="clear" w:color="auto" w:fill="B8CCE4" w:themeFill="accent1" w:themeFillTint="66"/>
        <w:tabs>
          <w:tab w:val="left" w:pos="426"/>
          <w:tab w:val="right" w:pos="9639"/>
        </w:tabs>
        <w:spacing w:before="40"/>
        <w:ind w:left="0" w:right="-1"/>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5760000" cy="21600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F1B1F" w:rsidRPr="005565F8" w:rsidP="00E02326" w14:paraId="34E1C2DF" w14:textId="77777777">
      <w:pPr>
        <w:pStyle w:val="ListParagraph"/>
        <w:shd w:val="clear" w:color="auto" w:fill="B8CCE4" w:themeFill="accent1" w:themeFillTint="66"/>
        <w:tabs>
          <w:tab w:val="left" w:pos="426"/>
          <w:tab w:val="right" w:pos="9639"/>
        </w:tabs>
        <w:spacing w:before="40"/>
        <w:ind w:left="0" w:right="-1"/>
        <w:contextualSpacing w:val="0"/>
        <w:jc w:val="center"/>
        <w:rPr>
          <w:rFonts w:ascii="Calibri Light" w:hAnsi="Calibri Light"/>
          <w:sz w:val="16"/>
          <w:szCs w:val="20"/>
        </w:rPr>
      </w:pPr>
    </w:p>
    <w:p w:rsidR="00F73AE1" w:rsidRPr="005565F8" w:rsidP="008F1B1F" w14:paraId="53FDA6B9" w14:textId="77777777">
      <w:pPr>
        <w:spacing w:before="120"/>
        <w:rPr>
          <w:color w:val="000000"/>
        </w:rPr>
      </w:pPr>
    </w:p>
    <w:p w:rsidR="003926C8" w:rsidRPr="005565F8" w:rsidP="008F1B1F" w14:paraId="44F1EC83" w14:textId="77777777">
      <w:pPr>
        <w:spacing w:before="120"/>
        <w:rPr>
          <w:color w:val="000000"/>
        </w:rPr>
        <w:sectPr w:rsidSect="005D1AD0">
          <w:type w:val="continuous"/>
          <w:pgSz w:w="11906" w:h="16838" w:code="9"/>
          <w:pgMar w:top="1134" w:right="1134" w:bottom="1134" w:left="1134" w:header="709" w:footer="567" w:gutter="0"/>
          <w:cols w:space="340"/>
          <w:titlePg/>
          <w:docGrid w:linePitch="360"/>
        </w:sectPr>
      </w:pPr>
    </w:p>
    <w:p w:rsidR="00A31E89" w:rsidRPr="005565F8" w:rsidP="003926C8" w14:paraId="100B273F" w14:textId="77777777">
      <w:pPr>
        <w:ind w:right="57"/>
      </w:pPr>
      <w:r w:rsidRPr="005565F8">
        <w:rPr>
          <w:color w:val="000000"/>
        </w:rPr>
        <w:t xml:space="preserve">Latvijai ir saistošas </w:t>
      </w:r>
      <w:r w:rsidRPr="005565F8">
        <w:rPr>
          <w:i/>
        </w:rPr>
        <w:t>Eiropas Parlamenta un Padomes 2009.gada 23.aprīļa</w:t>
      </w:r>
      <w:r w:rsidRPr="005565F8">
        <w:t xml:space="preserve"> </w:t>
      </w:r>
      <w:r w:rsidRPr="005565F8">
        <w:rPr>
          <w:i/>
        </w:rPr>
        <w:t>Direktīvas 2009/28/EK par atjaunojamo energoresursu izmantošanas veicināšanu</w:t>
      </w:r>
      <w:r w:rsidRPr="005565F8">
        <w:t xml:space="preserve"> </w:t>
      </w:r>
    </w:p>
    <w:p w:rsidR="003926C8" w:rsidRPr="005565F8" w:rsidP="00A31E89" w14:paraId="16ED6492" w14:textId="77777777">
      <w:pPr>
        <w:ind w:right="57"/>
        <w:rPr>
          <w:color w:val="000000"/>
        </w:rPr>
      </w:pPr>
      <w:r w:rsidRPr="005565F8">
        <w:t xml:space="preserve">(turpmāk – Direktīva 2009/28/EK) </w:t>
      </w:r>
      <w:r w:rsidRPr="005565F8">
        <w:rPr>
          <w:color w:val="000000"/>
        </w:rPr>
        <w:t xml:space="preserve">prasības, </w:t>
      </w:r>
      <w:r w:rsidRPr="005565F8" w:rsidR="006063BC">
        <w:rPr>
          <w:color w:val="000000"/>
        </w:rPr>
        <w:t>t.sk.</w:t>
      </w:r>
      <w:r w:rsidRPr="005565F8">
        <w:rPr>
          <w:color w:val="000000"/>
        </w:rPr>
        <w:t xml:space="preserve"> juridiski saistošie mērķi 2020.gadam attiecībā uz enerģijas </w:t>
      </w:r>
      <w:r w:rsidRPr="005565F8">
        <w:rPr>
          <w:color w:val="000000"/>
        </w:rPr>
        <w:t>galapatēriņu</w:t>
      </w:r>
      <w:r w:rsidRPr="005565F8">
        <w:rPr>
          <w:color w:val="000000"/>
        </w:rPr>
        <w:t>.</w:t>
      </w:r>
    </w:p>
    <w:p w:rsidR="00A31E89" w:rsidRPr="005565F8" w:rsidP="00A31E89" w14:paraId="2C37EFDC" w14:textId="77777777">
      <w:pPr>
        <w:ind w:right="57"/>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E02326" w:rsidP="00E02326" w14:paraId="2F61806A" w14:textId="77777777">
      <w:pPr>
        <w:pStyle w:val="ListParagraph"/>
        <w:keepNext/>
        <w:shd w:val="clear" w:color="auto" w:fill="FFFFFF" w:themeFill="background1"/>
        <w:tabs>
          <w:tab w:val="right" w:pos="9498"/>
        </w:tabs>
        <w:spacing w:before="240" w:after="0"/>
        <w:ind w:left="0"/>
        <w:contextualSpacing w:val="0"/>
        <w:rPr>
          <w:rFonts w:ascii="Calibri Light" w:hAnsi="Calibri Light"/>
          <w:sz w:val="8"/>
        </w:rPr>
      </w:pPr>
      <w:r>
        <w:rPr>
          <w:rFonts w:ascii="Calibri Light" w:hAnsi="Calibri Light"/>
          <w:sz w:val="8"/>
        </w:rPr>
        <w:br w:type="page"/>
      </w:r>
    </w:p>
    <w:p w:rsidR="00F17E7D" w:rsidP="00E02326" w14:paraId="19D419CD" w14:textId="6AACF109">
      <w:pPr>
        <w:pStyle w:val="ListParagraph"/>
        <w:keepNext/>
        <w:shd w:val="clear" w:color="auto" w:fill="FFFFFF" w:themeFill="background1"/>
        <w:tabs>
          <w:tab w:val="right" w:pos="9498"/>
        </w:tabs>
        <w:spacing w:before="240" w:after="0"/>
        <w:ind w:left="0"/>
        <w:contextualSpacing w:val="0"/>
        <w:rPr>
          <w:rFonts w:ascii="Calibri Light" w:hAnsi="Calibri Light"/>
          <w:i/>
          <w:sz w:val="16"/>
        </w:rPr>
      </w:pPr>
      <w:r w:rsidRPr="005565F8">
        <w:rPr>
          <w:rFonts w:ascii="Calibri Light" w:hAnsi="Calibri Light"/>
          <w:sz w:val="8"/>
        </w:rPr>
        <w:br/>
      </w:r>
      <w:r w:rsidRPr="005565F8">
        <w:rPr>
          <w:rFonts w:ascii="Calibri Light" w:hAnsi="Calibri Light"/>
        </w:rPr>
        <w:tab/>
        <w:t>3.</w:t>
      </w:r>
      <w:r w:rsidR="000805EF">
        <w:rPr>
          <w:rFonts w:ascii="Calibri Light" w:hAnsi="Calibri Light"/>
        </w:rPr>
        <w:t>9</w:t>
      </w:r>
      <w:r w:rsidRPr="005565F8" w:rsidR="000917D3">
        <w:rPr>
          <w:rFonts w:ascii="Calibri Light" w:hAnsi="Calibri Light"/>
        </w:rPr>
        <w:t>.attēls</w:t>
      </w:r>
      <w:r w:rsidRPr="005565F8" w:rsidR="000917D3">
        <w:rPr>
          <w:rFonts w:ascii="Calibri Light" w:hAnsi="Calibri Light"/>
        </w:rPr>
        <w:br/>
      </w:r>
      <w:r w:rsidRPr="005565F8">
        <w:rPr>
          <w:rFonts w:ascii="Calibri Light" w:hAnsi="Calibri Light"/>
          <w:b/>
          <w:sz w:val="24"/>
        </w:rPr>
        <w:tab/>
      </w:r>
      <w:r w:rsidRPr="005565F8" w:rsidR="00F659E2">
        <w:rPr>
          <w:rFonts w:ascii="Calibri Light" w:hAnsi="Calibri Light"/>
          <w:b/>
          <w:sz w:val="24"/>
        </w:rPr>
        <w:t xml:space="preserve">Atjaunojamās enerģijas īpatsvars sektora enerģijas </w:t>
      </w:r>
      <w:r w:rsidRPr="005565F8" w:rsidR="00F659E2">
        <w:rPr>
          <w:rFonts w:ascii="Calibri Light" w:hAnsi="Calibri Light"/>
          <w:b/>
          <w:sz w:val="24"/>
        </w:rPr>
        <w:t>galapatēriņā</w:t>
      </w:r>
      <w:r w:rsidRPr="005565F8" w:rsidR="000917D3">
        <w:rPr>
          <w:rFonts w:ascii="Calibri Light" w:hAnsi="Calibri Light"/>
          <w:b/>
          <w:sz w:val="24"/>
        </w:rPr>
        <w:br/>
      </w:r>
      <w:r w:rsidRPr="005565F8">
        <w:rPr>
          <w:rFonts w:ascii="Calibri Light" w:hAnsi="Calibri Light"/>
          <w:i/>
          <w:sz w:val="16"/>
        </w:rPr>
        <w:tab/>
      </w:r>
      <w:r w:rsidRPr="005565F8">
        <w:rPr>
          <w:rFonts w:ascii="Calibri Light" w:hAnsi="Calibri Light"/>
          <w:i/>
          <w:sz w:val="16"/>
        </w:rPr>
        <w:t xml:space="preserve">Procentos no katra sektora enerģijas </w:t>
      </w:r>
      <w:r w:rsidRPr="005565F8">
        <w:rPr>
          <w:rFonts w:ascii="Calibri Light" w:hAnsi="Calibri Light"/>
          <w:i/>
          <w:sz w:val="16"/>
        </w:rPr>
        <w:t>galapatēriņa</w:t>
      </w:r>
    </w:p>
    <w:p w:rsidR="00E02326" w:rsidRPr="005565F8" w:rsidP="00E02326" w14:paraId="4D5BDD5A" w14:textId="77777777">
      <w:pPr>
        <w:pStyle w:val="ListParagraph"/>
        <w:keepNext/>
        <w:shd w:val="clear" w:color="auto" w:fill="FFFFFF" w:themeFill="background1"/>
        <w:tabs>
          <w:tab w:val="right" w:pos="9498"/>
        </w:tabs>
        <w:spacing w:after="0"/>
        <w:ind w:left="0"/>
        <w:contextualSpacing w:val="0"/>
        <w:rPr>
          <w:rFonts w:ascii="Calibri Light" w:hAnsi="Calibri Light"/>
          <w:i/>
          <w:sz w:val="16"/>
        </w:rPr>
      </w:pPr>
    </w:p>
    <w:p w:rsidR="00D41859" w:rsidRPr="005565F8" w:rsidP="00E02326" w14:paraId="78EE9A1F" w14:textId="77777777">
      <w:pPr>
        <w:pStyle w:val="ListParagraph"/>
        <w:shd w:val="clear" w:color="auto" w:fill="B8CCE4" w:themeFill="accent1" w:themeFillTint="66"/>
        <w:tabs>
          <w:tab w:val="center" w:pos="1560"/>
          <w:tab w:val="center" w:pos="4820"/>
          <w:tab w:val="center" w:pos="8222"/>
        </w:tabs>
        <w:spacing w:before="240" w:after="0"/>
        <w:ind w:left="0"/>
        <w:contextualSpacing w:val="0"/>
        <w:rPr>
          <w:rFonts w:ascii="Calibri Light" w:hAnsi="Calibri Light"/>
          <w:b/>
          <w:szCs w:val="20"/>
        </w:rPr>
      </w:pPr>
      <w:r w:rsidRPr="005565F8">
        <w:rPr>
          <w:rFonts w:ascii="Calibri Light" w:hAnsi="Calibri Light"/>
          <w:b/>
          <w:szCs w:val="20"/>
        </w:rPr>
        <w:tab/>
      </w:r>
      <w:r w:rsidRPr="005565F8">
        <w:rPr>
          <w:rFonts w:ascii="Calibri Light" w:hAnsi="Calibri Light"/>
          <w:b/>
          <w:szCs w:val="20"/>
        </w:rPr>
        <w:t>AER apsilde un dzesēšana</w:t>
      </w:r>
      <w:r w:rsidRPr="005565F8">
        <w:rPr>
          <w:rFonts w:ascii="Calibri Light" w:hAnsi="Calibri Light"/>
          <w:b/>
          <w:szCs w:val="20"/>
        </w:rPr>
        <w:tab/>
        <w:t>Elektroenerģija</w:t>
      </w:r>
      <w:r w:rsidRPr="005565F8">
        <w:rPr>
          <w:rFonts w:ascii="Calibri Light" w:hAnsi="Calibri Light"/>
          <w:b/>
          <w:szCs w:val="20"/>
        </w:rPr>
        <w:tab/>
        <w:t>Transports</w:t>
      </w:r>
      <w:r>
        <w:rPr>
          <w:rStyle w:val="FootnoteReference"/>
          <w:rFonts w:ascii="Calibri Light" w:hAnsi="Calibri Light"/>
          <w:b/>
          <w:sz w:val="24"/>
        </w:rPr>
        <w:footnoteReference w:id="58"/>
      </w:r>
    </w:p>
    <w:p w:rsidR="00D41859" w:rsidRPr="005565F8" w:rsidP="00E02326" w14:paraId="749B907E" w14:textId="77777777">
      <w:pPr>
        <w:pStyle w:val="ListParagraph"/>
        <w:shd w:val="clear" w:color="auto" w:fill="B8CCE4" w:themeFill="accent1" w:themeFillTint="66"/>
        <w:tabs>
          <w:tab w:val="left" w:pos="426"/>
          <w:tab w:val="right" w:pos="9498"/>
        </w:tabs>
        <w:spacing w:after="0"/>
        <w:ind w:left="0"/>
        <w:contextualSpacing w:val="0"/>
        <w:jc w:val="center"/>
        <w:rPr>
          <w:rFonts w:ascii="Calibri Light" w:hAnsi="Calibri Light"/>
          <w:sz w:val="16"/>
          <w:szCs w:val="20"/>
        </w:rPr>
      </w:pPr>
      <w:r w:rsidRPr="005565F8">
        <w:rPr>
          <w:rFonts w:ascii="Calibri Light" w:hAnsi="Calibri Light"/>
          <w:noProof/>
          <w:sz w:val="16"/>
          <w:szCs w:val="20"/>
          <w:lang w:eastAsia="lv-LV"/>
        </w:rPr>
        <w:drawing>
          <wp:inline distT="0" distB="0" distL="0" distR="0">
            <wp:extent cx="2016000" cy="21600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5565F8">
        <w:rPr>
          <w:rFonts w:ascii="Calibri Light" w:hAnsi="Calibri Light"/>
          <w:noProof/>
          <w:sz w:val="16"/>
          <w:szCs w:val="20"/>
          <w:lang w:eastAsia="lv-LV"/>
        </w:rPr>
        <w:drawing>
          <wp:inline distT="0" distB="0" distL="0" distR="0">
            <wp:extent cx="2016000" cy="21600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5565F8">
        <w:rPr>
          <w:rFonts w:ascii="Calibri Light" w:hAnsi="Calibri Light"/>
          <w:noProof/>
          <w:sz w:val="16"/>
          <w:szCs w:val="20"/>
          <w:lang w:eastAsia="lv-LV"/>
        </w:rPr>
        <w:drawing>
          <wp:inline distT="0" distB="0" distL="0" distR="0">
            <wp:extent cx="2016000" cy="2160000"/>
            <wp:effectExtent l="0" t="0" r="381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1859" w:rsidRPr="005565F8" w:rsidP="00E02326" w14:paraId="0F032E15" w14:textId="77777777">
      <w:pPr>
        <w:pStyle w:val="ListParagraph"/>
        <w:shd w:val="clear" w:color="auto" w:fill="B8CCE4" w:themeFill="accent1" w:themeFillTint="66"/>
        <w:tabs>
          <w:tab w:val="left" w:pos="426"/>
          <w:tab w:val="right" w:pos="9498"/>
        </w:tabs>
        <w:spacing w:after="0"/>
        <w:ind w:left="0" w:right="-1"/>
        <w:contextualSpacing w:val="0"/>
        <w:jc w:val="center"/>
        <w:rPr>
          <w:rFonts w:ascii="Calibri Light" w:hAnsi="Calibri Light"/>
          <w:sz w:val="16"/>
          <w:szCs w:val="20"/>
        </w:rPr>
      </w:pPr>
    </w:p>
    <w:p w:rsidR="003926C8" w:rsidRPr="005565F8" w:rsidP="00F17E7D" w14:paraId="080B9C4C" w14:textId="77777777">
      <w:pPr>
        <w:spacing w:before="120"/>
        <w:rPr>
          <w:color w:val="000000"/>
        </w:rPr>
      </w:pPr>
    </w:p>
    <w:p w:rsidR="003926C8" w:rsidRPr="005565F8" w:rsidP="00F17E7D" w14:paraId="4077B9B8" w14:textId="77777777">
      <w:pPr>
        <w:spacing w:before="120"/>
        <w:rPr>
          <w:color w:val="000000"/>
        </w:rPr>
        <w:sectPr w:rsidSect="005D1AD0">
          <w:type w:val="continuous"/>
          <w:pgSz w:w="11906" w:h="16838" w:code="9"/>
          <w:pgMar w:top="1134" w:right="1134" w:bottom="1134" w:left="1134" w:header="709" w:footer="567" w:gutter="0"/>
          <w:cols w:space="340"/>
          <w:titlePg/>
          <w:docGrid w:linePitch="360"/>
        </w:sectPr>
      </w:pPr>
    </w:p>
    <w:p w:rsidR="00CE6F8C" w:rsidRPr="005565F8" w:rsidP="00CE6F8C" w14:paraId="4C1CA4D4" w14:textId="77777777">
      <w:pPr>
        <w:rPr>
          <w:color w:val="000000"/>
        </w:rPr>
      </w:pPr>
      <w:r w:rsidRPr="005565F8">
        <w:rPr>
          <w:color w:val="000000"/>
        </w:rPr>
        <w:t xml:space="preserve">Veicamie pasākumi un sagaidāmie rezultāti AE plašākai izmantošanai ir cieši saistīti arī ar rezultātiem, ko sniedz energoefektivitātes veicināšana, īpaši, ņemot vērā, energoefektivitātes mērķi 2020.gadam, kas ir nostiprināts Direktīvā 2012/27/ES </w:t>
      </w:r>
      <w:r w:rsidRPr="005565F8">
        <w:rPr>
          <w:i/>
          <w:color w:val="000000"/>
        </w:rPr>
        <w:t>(skat. 3.6.2.nodaļu)</w:t>
      </w:r>
      <w:r w:rsidRPr="005565F8">
        <w:rPr>
          <w:color w:val="000000"/>
        </w:rPr>
        <w:t xml:space="preserve">. Latvijā joprojām visos enerģijas </w:t>
      </w:r>
      <w:r w:rsidRPr="005565F8">
        <w:rPr>
          <w:color w:val="000000"/>
        </w:rPr>
        <w:t>galapatēriņa</w:t>
      </w:r>
      <w:r w:rsidRPr="005565F8">
        <w:rPr>
          <w:color w:val="000000"/>
        </w:rPr>
        <w:t xml:space="preserve"> sektoros ir liels enerģijas ietaupījuma potenciāls, bet tas nav proporcionāli vienāds visos sektoros. </w:t>
      </w:r>
    </w:p>
    <w:p w:rsidR="00CE6F8C" w:rsidRPr="005565F8" w:rsidP="00CE6F8C" w14:paraId="01EC42D2" w14:textId="77777777">
      <w:pPr>
        <w:rPr>
          <w:rFonts w:eastAsia="Times New Roman"/>
          <w:lang w:eastAsia="lv-LV"/>
        </w:rPr>
      </w:pPr>
      <w:r w:rsidRPr="005565F8">
        <w:rPr>
          <w:color w:val="000000"/>
        </w:rPr>
        <w:t>Sekojot tehnoloģiju attīstības tendencēm un globālajiem izaicinājumiem, Latvija pārskata savu atbalsta mehānismu atjaunojamās elektroenerģijas ražošanai efektivitāti, pastiprinot kontroli pār atbalstu saņēmušajiem komersantiem, nolūkā padarīt tos ekonomiski pamatotākus.</w:t>
      </w:r>
      <w:r w:rsidRPr="005565F8">
        <w:t xml:space="preserve"> Līdz šim ieviestie atbalsta mehānismi ir bijuši motivējoši, lai ražotāji uzsāktu projekta plānošanu un investētu elektroenerģijas ražošanā, izmantojot AER. Vienlaikus jāņem vērā, ka </w:t>
      </w:r>
      <w:r w:rsidRPr="005565F8">
        <w:t>lielais atbalstīto projektu skaits ir radījis ievērojamu OIK palielinājumu. Pieauguma apturēšanai un vidējās vērtības ierobežošanai  26,79 EUR/</w:t>
      </w:r>
      <w:r w:rsidRPr="005565F8">
        <w:t>MWh</w:t>
      </w:r>
      <w:r w:rsidRPr="005565F8">
        <w:t xml:space="preserve"> līmenī (2018. gadā 25,79 EUR/</w:t>
      </w:r>
      <w:r w:rsidRPr="005565F8">
        <w:t>MWh</w:t>
      </w:r>
      <w:r w:rsidRPr="005565F8">
        <w:t>) tiek paredzēts finansējums no valsts budžeta līdzekļiem</w:t>
      </w:r>
      <w:r>
        <w:rPr>
          <w:rStyle w:val="FootnoteReference"/>
        </w:rPr>
        <w:footnoteReference w:id="59"/>
      </w:r>
      <w:r w:rsidRPr="005565F8">
        <w:t xml:space="preserve">, lai neradītu vēl papildu slogu elektroenerģijas galalietotājiem, </w:t>
      </w:r>
      <w:r w:rsidRPr="005565F8" w:rsidR="006063BC">
        <w:t>t.sk.</w:t>
      </w:r>
      <w:r w:rsidRPr="005565F8">
        <w:t xml:space="preserve"> uz energoietilpīgo nozaru attīstību un konkurētspēju. Tomēr, lai saglabātu tautsaimniecības konkurētspēju, pārskatīti esošie atbalsta mehānismi no AER saražotai enerģijai, t.sk. rūpīgi izvērtējot kopējās izmaksas un atbalsta intensitāti. Papildus veicot saskaņošanu ar EK, </w:t>
      </w:r>
      <w:r w:rsidRPr="005565F8">
        <w:rPr>
          <w:rFonts w:eastAsia="Times New Roman"/>
          <w:lang w:eastAsia="lv-LV"/>
        </w:rPr>
        <w:t xml:space="preserve">tiek nodrošināts, ka piešķirtais atbalsts, </w:t>
      </w:r>
      <w:r w:rsidRPr="005565F8" w:rsidR="006063BC">
        <w:rPr>
          <w:rFonts w:eastAsia="Times New Roman"/>
          <w:lang w:eastAsia="lv-LV"/>
        </w:rPr>
        <w:t>t.sk.</w:t>
      </w:r>
      <w:r w:rsidRPr="005565F8">
        <w:rPr>
          <w:rFonts w:eastAsia="Times New Roman"/>
          <w:lang w:eastAsia="lv-LV"/>
        </w:rPr>
        <w:t xml:space="preserve"> korelācijā ar investīciju atbalstu, stacijām saražotās elektroenerģijas obligātā iepirkuma vai garantētas maksas par uzstādīto elektrisko jaudu veidā ir saderīgs ar ES iekšējo tirgu, </w:t>
      </w:r>
      <w:r w:rsidRPr="005565F8" w:rsidR="006063BC">
        <w:rPr>
          <w:rFonts w:eastAsia="Times New Roman"/>
          <w:lang w:eastAsia="lv-LV"/>
        </w:rPr>
        <w:t>t.sk.</w:t>
      </w:r>
      <w:r w:rsidRPr="005565F8">
        <w:rPr>
          <w:rFonts w:eastAsia="Times New Roman"/>
          <w:lang w:eastAsia="lv-LV"/>
        </w:rPr>
        <w:t>, vai atbalsta summa nepārsniedz nepieciešamo minimumu.</w:t>
      </w:r>
    </w:p>
    <w:p w:rsidR="000917D3" w:rsidRPr="005565F8" w:rsidP="003926C8" w14:paraId="5FCC11AF"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3926C8" w:rsidRPr="005565F8" w:rsidP="003926C8" w14:paraId="32CF448A" w14:textId="77777777">
      <w:pPr>
        <w:rPr>
          <w:color w:val="000000" w:themeColor="text1"/>
        </w:rPr>
      </w:pPr>
    </w:p>
    <w:p w:rsidR="003926C8" w:rsidRPr="005565F8" w:rsidP="003926C8" w14:paraId="54852412"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3926C8" w:rsidRPr="005565F8" w:rsidP="003926C8" w14:paraId="12C59A63"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Tiesiskās bāzes sakārtošana</w:t>
      </w:r>
    </w:p>
    <w:p w:rsidR="003926C8" w:rsidRPr="005565F8" w:rsidP="003926C8" w14:paraId="41C08542"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w:t>
      </w:r>
    </w:p>
    <w:p w:rsidR="000917D3" w:rsidRPr="005565F8" w:rsidP="00B22046" w14:paraId="11C4FEC9"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CE6F8C" w:rsidRPr="005565F8" w:rsidP="003926C8" w14:paraId="4D6F1546" w14:textId="77777777">
      <w:pPr>
        <w:spacing w:before="240"/>
      </w:pPr>
      <w:r w:rsidRPr="005565F8">
        <w:t>Mērķis ir veicināt plašāku AER izmantošanu enerģijas ražošanā un patēriņā, t.sk. transporta sektorā, kā arī ilgtspējīgas biodegvielas un bioloģiski šķidro kurināmo izmantošanu.</w:t>
      </w:r>
    </w:p>
    <w:p w:rsidR="00CE6F8C" w:rsidRPr="005565F8" w:rsidP="00CE6F8C" w14:paraId="398FF75F" w14:textId="77777777">
      <w:pPr>
        <w:rPr>
          <w:color w:val="000000" w:themeColor="text1"/>
        </w:rPr>
      </w:pPr>
      <w:r w:rsidRPr="005565F8">
        <w:rPr>
          <w:color w:val="000000" w:themeColor="text1"/>
        </w:rPr>
        <w:t>Ar 2014.gada 1.janvāri Latvijā ir ievesta elektroenerģijas neto norēķinu sistēma. Tās ietvaros mājsaimniecības lietotājam, kas ražo elektroenerģiju paša vajadzībām (</w:t>
      </w:r>
      <w:r w:rsidRPr="005565F8">
        <w:rPr>
          <w:color w:val="000000" w:themeColor="text1"/>
        </w:rPr>
        <w:t>galapatēriņam</w:t>
      </w:r>
      <w:r w:rsidRPr="005565F8">
        <w:rPr>
          <w:color w:val="000000" w:themeColor="text1"/>
        </w:rPr>
        <w:t xml:space="preserve">) un saskaņā ar patērētā un saražotā elektroenerģijas apjoma </w:t>
      </w:r>
      <w:r w:rsidRPr="005565F8">
        <w:rPr>
          <w:color w:val="000000" w:themeColor="text1"/>
        </w:rPr>
        <w:t>aprēķinu sadales sistēmas operatora tīklā ir nodevis vairāk elektroenerģijas nekā patērējis, attiecīgo elektroenerģijas apjomu ieskaita nākamajā elektroenerģijas norēķinu periodā tā gada ietvaros, kurš sākas 1.aprīlī un beidzas 31.martā.</w:t>
      </w:r>
    </w:p>
    <w:p w:rsidR="00CE6F8C" w:rsidRPr="005565F8" w:rsidP="00CE6F8C" w14:paraId="6311C24A" w14:textId="77777777">
      <w:pPr>
        <w:rPr>
          <w:color w:val="000000" w:themeColor="text1"/>
        </w:rPr>
      </w:pPr>
      <w:r w:rsidRPr="005565F8">
        <w:rPr>
          <w:color w:val="000000" w:themeColor="text1"/>
        </w:rPr>
        <w:t>2015.gadā veiktas izmaiņas normatīvajos aktos, lai novērstu turpmāku elektroenerģijas cenas pieauguma risku visiem elektroenerģijas galalietotājiem, paredzot, ka līdz 2020.gadam esošā atbalsta mehānisma ietvaros netiek rīkoti konkursi un elektroenerģijas ražotāji nevar kvalificēties jaunām tiesībām pārdot elektroenerģiju obligātā iepirkuma ietvaros vai saņemt garantētu maksas par elektrostacijā uzstādīto elektrisko jaudu.</w:t>
      </w:r>
    </w:p>
    <w:p w:rsidR="00CE6F8C" w:rsidRPr="005565F8" w:rsidP="00CE6F8C" w14:paraId="3B57755D" w14:textId="77777777">
      <w:pPr>
        <w:rPr>
          <w:color w:val="000000" w:themeColor="text1"/>
        </w:rPr>
      </w:pPr>
      <w:r w:rsidRPr="005565F8">
        <w:rPr>
          <w:color w:val="000000" w:themeColor="text1"/>
        </w:rPr>
        <w:t xml:space="preserve">2016.gada jūlijā pieņemti grozījumi esošajā regulējumā, kas nosaka kārtību, kādā tiek veikta samaksa par obligātā iepirkuma ietvaros iepirkto </w:t>
      </w:r>
      <w:r w:rsidRPr="005565F8">
        <w:rPr>
          <w:color w:val="000000" w:themeColor="text1"/>
        </w:rPr>
        <w:t xml:space="preserve">elektroenerģiju vai elektrostacijā uzstādīto elektrisko jaudu, ieviešot </w:t>
      </w:r>
      <w:r w:rsidRPr="005565F8">
        <w:rPr>
          <w:color w:val="000000" w:themeColor="text1"/>
        </w:rPr>
        <w:t>pārkompensācijas</w:t>
      </w:r>
      <w:r w:rsidRPr="005565F8">
        <w:rPr>
          <w:color w:val="000000" w:themeColor="text1"/>
        </w:rPr>
        <w:t xml:space="preserve"> novēršanas mehānismu un paredzot, ka elektrostacijas kopējo kapitālieguldījumu iekšējā peļņas norma visā atbalsta periodā nedrīkst pārsniegt 9%. Pēc valsts atbalsta elektroenerģijas ražotājiem saskaņošanas ar </w:t>
      </w:r>
      <w:r w:rsidRPr="005565F8" w:rsidR="007E1810">
        <w:rPr>
          <w:color w:val="000000" w:themeColor="text1"/>
        </w:rPr>
        <w:t>EK</w:t>
      </w:r>
      <w:r w:rsidRPr="005565F8">
        <w:rPr>
          <w:color w:val="000000" w:themeColor="text1"/>
        </w:rPr>
        <w:t xml:space="preserve"> 2017. gada 24. aprīlī, ar 2017. gada jūliju tiek veikta elektrostaciju kopējo kapitālieguldījumu iekšējās peļņas norma</w:t>
      </w:r>
      <w:r w:rsidRPr="005565F8" w:rsidR="007E1810">
        <w:rPr>
          <w:color w:val="000000" w:themeColor="text1"/>
        </w:rPr>
        <w:t>s</w:t>
      </w:r>
      <w:r w:rsidRPr="005565F8">
        <w:rPr>
          <w:color w:val="000000" w:themeColor="text1"/>
        </w:rPr>
        <w:t xml:space="preserve"> ierobežošana 9% līmenī visā atbalsta periodā.</w:t>
      </w:r>
    </w:p>
    <w:p w:rsidR="00CE6F8C" w:rsidRPr="005565F8" w:rsidP="00CE6F8C" w14:paraId="253E3A84" w14:textId="77777777">
      <w:pPr>
        <w:rPr>
          <w:color w:val="000000" w:themeColor="text1"/>
        </w:rPr>
      </w:pPr>
      <w:r w:rsidRPr="005565F8">
        <w:rPr>
          <w:color w:val="000000" w:themeColor="text1"/>
        </w:rPr>
        <w:t>Līdztekus tam 2017. gadā tika veikta valsts atbalsta samazināšana koģenerācijas elektrostacijām ar uzstādīto elektrisko jaudu virs 100 MW, tādā veidā būtiski mazinot elektroenerģijas obligātā iepirkuma slogu sabiedrībai.</w:t>
      </w:r>
    </w:p>
    <w:p w:rsidR="000917D3" w:rsidRPr="005565F8" w:rsidP="00CE6F8C" w14:paraId="5F57A99A"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3926C8" w:rsidRPr="005565F8" w:rsidP="00CE6F8C" w14:paraId="41125602" w14:textId="77777777">
      <w:pPr>
        <w:rPr>
          <w:color w:val="000000" w:themeColor="text1"/>
        </w:rPr>
      </w:pPr>
    </w:p>
    <w:p w:rsidR="003926C8" w:rsidRPr="005565F8" w:rsidP="003926C8" w14:paraId="777A5521"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Finanšu resursu pieejamības nodrošināšana atjaunojamās enerģijas ražošanai</w:t>
      </w:r>
    </w:p>
    <w:p w:rsidR="003926C8" w:rsidRPr="005565F8" w:rsidP="003926C8" w14:paraId="2B20BAFE"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 VARAM, ZM/</w:t>
      </w:r>
    </w:p>
    <w:p w:rsidR="000917D3" w:rsidRPr="005565F8" w:rsidP="00B22046" w14:paraId="21B25A3F"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CE6F8C" w:rsidRPr="005565F8" w:rsidP="003926C8" w14:paraId="523CF0A9" w14:textId="77777777">
      <w:pPr>
        <w:spacing w:before="240"/>
      </w:pPr>
      <w:r w:rsidRPr="005565F8">
        <w:t>Mērķis ir veicināt plašāku vietējo AER izmantošanu enerģijas ražošanā un patēriņā, veicināt enerģijas ražošanu koģenerācijā, mazināt atkarību no primāro enerģijas resursu importa.</w:t>
      </w:r>
    </w:p>
    <w:p w:rsidR="00CE6F8C" w:rsidRPr="005565F8" w:rsidP="00CE6F8C" w14:paraId="06E97211" w14:textId="77777777">
      <w:pPr>
        <w:rPr>
          <w:color w:val="000000" w:themeColor="text1"/>
        </w:rPr>
      </w:pPr>
      <w:r w:rsidRPr="005565F8">
        <w:rPr>
          <w:color w:val="000000" w:themeColor="text1"/>
        </w:rPr>
        <w:t xml:space="preserve">Latvijas </w:t>
      </w:r>
      <w:r w:rsidRPr="005565F8">
        <w:rPr>
          <w:i/>
          <w:color w:val="000000" w:themeColor="text1"/>
        </w:rPr>
        <w:t>Lauku attīstības programmas 2014.-2020.gadam</w:t>
      </w:r>
      <w:r w:rsidRPr="005565F8">
        <w:rPr>
          <w:color w:val="000000" w:themeColor="text1"/>
        </w:rPr>
        <w:t xml:space="preserve"> ietvaros tika sniegts atbalsts atjaunojamo energoresursu ražošanas iekārtu iegādei (izņemot iekārtas, kas paredzētas enerģijas ražošanai no </w:t>
      </w:r>
      <w:r w:rsidRPr="005565F8">
        <w:rPr>
          <w:color w:val="000000" w:themeColor="text1"/>
        </w:rPr>
        <w:t>lauksaimniecības vai mežsaimniecības izcelsmes biomasas) savas saimnieciskās darbības nodrošināšanai, neparedzot gūt ieņēmumus no saražotās enerģijas).  2017.gadā minētā mērķa sasniegšanai tika atbalstīti 2 projekti ar kopējo publisko finansējumu 32,8 tūkst. EUR, kopējais attiecināmo izmaksu apjoms sasniedza 103,4 tūkst EUR.</w:t>
      </w:r>
    </w:p>
    <w:p w:rsidR="000917D3" w:rsidRPr="005565F8" w:rsidP="00CE6F8C" w14:paraId="44C9B484"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3926C8" w:rsidRPr="005565F8" w:rsidP="00CE6F8C" w14:paraId="091F0A97" w14:textId="77777777">
      <w:pPr>
        <w:rPr>
          <w:color w:val="000000" w:themeColor="text1"/>
        </w:rPr>
      </w:pPr>
    </w:p>
    <w:p w:rsidR="003926C8" w:rsidRPr="005565F8" w:rsidP="003926C8" w14:paraId="06E60625"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Pasākumi AER 10% mērķa sasniegšanai transporta sektorā</w:t>
      </w:r>
    </w:p>
    <w:p w:rsidR="003926C8" w:rsidRPr="005565F8" w:rsidP="003926C8" w14:paraId="41867143"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EM, SM/</w:t>
      </w:r>
    </w:p>
    <w:p w:rsidR="000917D3" w:rsidRPr="005565F8" w:rsidP="00B22046" w14:paraId="5DB3FD8A"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CE6F8C" w:rsidRPr="005565F8" w:rsidP="003926C8" w14:paraId="5D128E0B" w14:textId="77777777">
      <w:pPr>
        <w:spacing w:before="240"/>
        <w:rPr>
          <w:color w:val="000000"/>
        </w:rPr>
      </w:pPr>
      <w:r w:rsidRPr="005565F8">
        <w:rPr>
          <w:color w:val="000000"/>
        </w:rPr>
        <w:t>Mērķis ir veicināt ilgtspējīgas biodegvielas izmantošanu, transporta sektora elektrifikāciju, piemēram, tramvaju un trolejbusu tīkla attīstību, vilcienu elektrifikāciju un</w:t>
      </w:r>
      <w:r w:rsidRPr="005565F8">
        <w:t xml:space="preserve"> </w:t>
      </w:r>
      <w:r w:rsidRPr="005565F8">
        <w:rPr>
          <w:color w:val="000000"/>
        </w:rPr>
        <w:t>elektrotransportlīdzekļu</w:t>
      </w:r>
      <w:r w:rsidRPr="005565F8">
        <w:rPr>
          <w:color w:val="000000"/>
        </w:rPr>
        <w:t xml:space="preserve"> uzlādes tīkla izveidi, tādējādi atbalstot videi draudzīgu un piegādei drošu AER izmantošanu.</w:t>
      </w:r>
    </w:p>
    <w:p w:rsidR="00CE6F8C" w:rsidRPr="005565F8" w:rsidP="00CE6F8C" w14:paraId="2BE01FF4" w14:textId="77777777">
      <w:pPr>
        <w:ind w:right="57"/>
        <w:rPr>
          <w:color w:val="000000"/>
        </w:rPr>
      </w:pPr>
      <w:r w:rsidRPr="005565F8">
        <w:rPr>
          <w:color w:val="000000"/>
        </w:rPr>
        <w:t xml:space="preserve">Lai veicinātu elektroenerģijas, fosilās un biodegvielas maisījumu ar paaugstinātu biodegvielas saturu (virs 10%) vai tīru biodegvielas izmantošanu sabiedriskajā, valsts un pašvaldības transportā 2016.gadā ir pieņemti </w:t>
      </w:r>
      <w:r w:rsidRPr="005565F8" w:rsidR="007E1810">
        <w:rPr>
          <w:i/>
          <w:color w:val="000000"/>
        </w:rPr>
        <w:t>G</w:t>
      </w:r>
      <w:r w:rsidRPr="005565F8">
        <w:rPr>
          <w:i/>
          <w:color w:val="000000"/>
        </w:rPr>
        <w:t xml:space="preserve">rozījumi </w:t>
      </w:r>
      <w:r w:rsidRPr="005565F8" w:rsidR="007E1810">
        <w:rPr>
          <w:i/>
          <w:color w:val="000000"/>
        </w:rPr>
        <w:t>s</w:t>
      </w:r>
      <w:r w:rsidRPr="005565F8">
        <w:rPr>
          <w:i/>
          <w:color w:val="000000"/>
        </w:rPr>
        <w:t>abiedrisko pakalpojumu sniedzēju iepirkumu likumā</w:t>
      </w:r>
      <w:r w:rsidRPr="005565F8">
        <w:rPr>
          <w:color w:val="000000"/>
        </w:rPr>
        <w:t xml:space="preserve"> un </w:t>
      </w:r>
      <w:r w:rsidRPr="005565F8">
        <w:rPr>
          <w:i/>
          <w:color w:val="000000"/>
        </w:rPr>
        <w:t>Sabiedriskā transporta pakalpojumu likumā</w:t>
      </w:r>
      <w:r w:rsidRPr="005565F8">
        <w:rPr>
          <w:color w:val="000000"/>
        </w:rPr>
        <w:t>. Ar šiem grozījumiem likumos pasūtītājam tiek ļauts izdarīt izvēli (var ņemt vērā) attiecībā uz jauna autotransporta vai sabiedriskā autotransporta iepirkumu un autotransporta līdzekļa spēju izmantot elektroenerģiju, fosilās un biodegvielas maisījumus ar paaugstinātu biodegvielas saturu (virs 10%) vai tīru biodegvielu.</w:t>
      </w:r>
    </w:p>
    <w:p w:rsidR="00CE6F8C" w:rsidRPr="005565F8" w:rsidP="00CE6F8C" w14:paraId="503692F4" w14:textId="77777777">
      <w:r w:rsidRPr="005565F8">
        <w:t xml:space="preserve">Mērķa sasniegšanai ES fondu 2014.-2020. gada plānošanas periodā ir pieejams ES fondu finansējums vairāku specifisko atbalsta mērķu (SAM) un pasākumu ietvaros tādām jomām kā automobiļu </w:t>
      </w:r>
      <w:r w:rsidRPr="005565F8">
        <w:t>elektrouzlādes</w:t>
      </w:r>
      <w:r w:rsidRPr="005565F8">
        <w:t xml:space="preserve"> tīkls, tramvaju infrastruktūra Rīgā, Liepājā un Daugavpilī; pasažieru autobusi pārējos nacionālas nozīmes attīstības centros, kā arī dzelzceļa tīkla elektrifikācijai.</w:t>
      </w:r>
    </w:p>
    <w:p w:rsidR="00CE6F8C" w:rsidRPr="005565F8" w:rsidP="00CE6F8C" w14:paraId="58B08723" w14:textId="77777777"/>
    <w:p w:rsidR="00CE6F8C" w:rsidRPr="005565F8" w:rsidP="00CE6F8C" w14:paraId="073D2428" w14:textId="77777777">
      <w:pPr>
        <w:rPr>
          <w:lang w:eastAsia="lv-LV"/>
        </w:rPr>
      </w:pPr>
      <w:r w:rsidRPr="005565F8">
        <w:t xml:space="preserve">2017.gadā ir izstrādāts un apstiprināts </w:t>
      </w:r>
      <w:r w:rsidRPr="005565F8">
        <w:rPr>
          <w:i/>
        </w:rPr>
        <w:t xml:space="preserve">Alternatīvo degvielu attīstības plāns 2017.-2020.gadam. </w:t>
      </w:r>
      <w:r w:rsidRPr="005565F8">
        <w:t xml:space="preserve"> Tas tiek attiecināts uz autotransportu, gaisa un jūras transportu ar nolūku samazināt SEG emisijas šajās nozarēs. Tajā galvenā uzmanība pievērsta alternatīvo degvielu veidiem, kuru ieviešana vai to ieviešanas nepieciešamības izvērtēšana noteiktos transporta sektoros ir noteikti kā obligātie pasākumi </w:t>
      </w:r>
      <w:r w:rsidRPr="005565F8" w:rsidR="007E1810">
        <w:t xml:space="preserve">ES </w:t>
      </w:r>
      <w:r w:rsidRPr="005565F8">
        <w:t xml:space="preserve">dalībvalstīm saskaņā ar </w:t>
      </w:r>
      <w:r w:rsidRPr="005565F8">
        <w:rPr>
          <w:i/>
        </w:rPr>
        <w:t>Eiropas Parlamenta un Padomes 2014.gada 22.oktobra Direktīvu 2014/94/ES</w:t>
      </w:r>
      <w:r w:rsidRPr="005565F8">
        <w:t xml:space="preserve"> </w:t>
      </w:r>
      <w:r w:rsidRPr="005565F8">
        <w:rPr>
          <w:i/>
        </w:rPr>
        <w:t>par alternatīvo degvielu infrastruktūras ieviešanu</w:t>
      </w:r>
      <w:r w:rsidRPr="005565F8">
        <w:t>.</w:t>
      </w:r>
      <w:r w:rsidRPr="005565F8">
        <w:rPr>
          <w:lang w:eastAsia="lv-LV"/>
        </w:rPr>
        <w:t xml:space="preserve"> Atbilstoši plānā noteiktajam pasākumam ir uzsākts darbs pie visaptveroša pētījuma par alternatīvo degvielu ieviešanas scenārijiem autotransportā siltumnīcefekta gāzu emisiju samazināšanai un tā ietekmi uz Latvijas tautsaimniecību.</w:t>
      </w:r>
    </w:p>
    <w:p w:rsidR="00CE6F8C" w:rsidRPr="005565F8" w:rsidP="00CE6F8C" w14:paraId="4FA0CF39" w14:textId="77777777">
      <w:r w:rsidRPr="005565F8">
        <w:t xml:space="preserve">2017.gadā tika arī apstiprināts </w:t>
      </w:r>
      <w:r w:rsidRPr="005565F8" w:rsidR="007E1810">
        <w:rPr>
          <w:i/>
        </w:rPr>
        <w:t>K</w:t>
      </w:r>
      <w:r w:rsidRPr="005565F8">
        <w:rPr>
          <w:i/>
        </w:rPr>
        <w:t>onceptuāls ziņojums</w:t>
      </w:r>
      <w:r w:rsidRPr="005565F8">
        <w:t xml:space="preserve"> </w:t>
      </w:r>
      <w:r w:rsidRPr="005565F8" w:rsidR="007E1810">
        <w:rPr>
          <w:i/>
        </w:rPr>
        <w:t>p</w:t>
      </w:r>
      <w:r w:rsidRPr="005565F8">
        <w:rPr>
          <w:i/>
        </w:rPr>
        <w:t>ar atjaunojamo energoresursu izmantošanu transporta sektorā</w:t>
      </w:r>
      <w:r w:rsidRPr="005565F8">
        <w:t xml:space="preserve">, kurā analizēti risinājumi AER 10% </w:t>
      </w:r>
      <w:r w:rsidRPr="005565F8">
        <w:t>mērķa sasniegšanai un normatīvās bāzes sakārtošanai. AER 10% mērķis ir jāsasniedz, nosakot degvielas piegādātājiem pienākumu nodrošināt noteiktu no AER ražotas enerģijas daļu to realizētajā produkcijā.</w:t>
      </w:r>
    </w:p>
    <w:p w:rsidR="00CE6F8C" w:rsidRPr="005565F8" w:rsidP="00CE6F8C" w14:paraId="673A9C7D" w14:textId="77777777">
      <w:r w:rsidRPr="005565F8">
        <w:t xml:space="preserve">Pašlaik izstrādes stadijā ir </w:t>
      </w:r>
      <w:r w:rsidRPr="005565F8" w:rsidR="007E1810">
        <w:rPr>
          <w:i/>
        </w:rPr>
        <w:t>G</w:t>
      </w:r>
      <w:r w:rsidRPr="005565F8">
        <w:rPr>
          <w:i/>
        </w:rPr>
        <w:t xml:space="preserve">rozījumi </w:t>
      </w:r>
      <w:r w:rsidRPr="005565F8" w:rsidR="007E1810">
        <w:rPr>
          <w:i/>
        </w:rPr>
        <w:t>t</w:t>
      </w:r>
      <w:r w:rsidRPr="005565F8">
        <w:rPr>
          <w:i/>
        </w:rPr>
        <w:t>ransporta enerģijas likum</w:t>
      </w:r>
      <w:r w:rsidRPr="005565F8" w:rsidR="007E1810">
        <w:rPr>
          <w:i/>
        </w:rPr>
        <w:t>ā</w:t>
      </w:r>
      <w:r w:rsidRPr="005565F8">
        <w:t xml:space="preserve">, kas paredz izveidot transporta enerģijas jomas jumta regulējumu. Šis likumprojekts aizstās aktualitāti zaudējušo </w:t>
      </w:r>
      <w:r w:rsidRPr="005565F8">
        <w:rPr>
          <w:i/>
        </w:rPr>
        <w:t>Biodegvielas likumu</w:t>
      </w:r>
      <w:r w:rsidRPr="005565F8">
        <w:t xml:space="preserve"> un tajā ietverti vairāki deleģējumi </w:t>
      </w:r>
      <w:r w:rsidRPr="005565F8" w:rsidR="007E1810">
        <w:t>MK</w:t>
      </w:r>
      <w:r w:rsidRPr="005565F8">
        <w:t xml:space="preserve"> izdot regulējošos noteikumus, kā piemēram degvielas kvalitātes un biodegvielas ilgtspējības kritērijus, prasības alternatīvo degvielu </w:t>
      </w:r>
      <w:r w:rsidRPr="005565F8">
        <w:t>uzpildes</w:t>
      </w:r>
      <w:r w:rsidRPr="005565F8">
        <w:t xml:space="preserve"> un uzlādes iekārtām, u.c.</w:t>
      </w:r>
    </w:p>
    <w:p w:rsidR="00CE6F8C" w:rsidRPr="005565F8" w:rsidP="00CE6F8C" w14:paraId="4E925EFF" w14:textId="77777777">
      <w:r w:rsidRPr="005565F8">
        <w:t xml:space="preserve">2018.gada janvārī ir pieņemti </w:t>
      </w:r>
      <w:r w:rsidRPr="005565F8" w:rsidR="007E1810">
        <w:rPr>
          <w:i/>
        </w:rPr>
        <w:t>G</w:t>
      </w:r>
      <w:r w:rsidRPr="005565F8">
        <w:rPr>
          <w:i/>
        </w:rPr>
        <w:t xml:space="preserve">rozījumi MK </w:t>
      </w:r>
      <w:r w:rsidRPr="005565F8" w:rsidR="007E1810">
        <w:rPr>
          <w:i/>
        </w:rPr>
        <w:t>n</w:t>
      </w:r>
      <w:r w:rsidRPr="005565F8">
        <w:rPr>
          <w:i/>
        </w:rPr>
        <w:t>oteikumos par benzīna un dīzeļdegvielas atbilstības novērtēšanu</w:t>
      </w:r>
      <w:r w:rsidRPr="005565F8">
        <w:t xml:space="preserve">, lai nodrošinātu, ka no 2018. gada 1. aprīļa arktisko dīzeļdegvielu bez biodegvielas piejaukuma varētu tirgot tikai ziemas periodā.  </w:t>
      </w:r>
    </w:p>
    <w:p w:rsidR="00F923BD" w:rsidRPr="005565F8" w:rsidP="00CE6F8C" w14:paraId="60533294" w14:textId="77777777">
      <w:r w:rsidRPr="005565F8">
        <w:t xml:space="preserve">Savukārt ar </w:t>
      </w:r>
      <w:r w:rsidRPr="005565F8" w:rsidR="000842E1">
        <w:rPr>
          <w:i/>
        </w:rPr>
        <w:t>G</w:t>
      </w:r>
      <w:r w:rsidRPr="005565F8">
        <w:rPr>
          <w:i/>
        </w:rPr>
        <w:t xml:space="preserve">rozījumiem likumā </w:t>
      </w:r>
      <w:r w:rsidRPr="005565F8" w:rsidR="000842E1">
        <w:rPr>
          <w:i/>
        </w:rPr>
        <w:t>p</w:t>
      </w:r>
      <w:r w:rsidRPr="005565F8">
        <w:rPr>
          <w:i/>
        </w:rPr>
        <w:t>ar piesārņojumu</w:t>
      </w:r>
      <w:r w:rsidRPr="005565F8">
        <w:t>, kuri stājās spēkā 2017.gada 6.martā, tiek nostiprināts mehānismu autotransporta līdzekļos lietojamās degvielas radīto SEG emisiju ierobežošanai, nosakot degvielas piegādātājiem pienākumu aprites cikla SEG emisiju samazināšanai.</w:t>
      </w:r>
    </w:p>
    <w:p w:rsidR="007D1DA0" w:rsidRPr="005565F8" w:rsidP="00CE6F8C" w14:paraId="72C83EB7" w14:textId="77777777">
      <w:pPr>
        <w:sectPr w:rsidSect="005D1AD0">
          <w:type w:val="continuous"/>
          <w:pgSz w:w="11906" w:h="16838" w:code="9"/>
          <w:pgMar w:top="1134" w:right="1134" w:bottom="1134" w:left="1134" w:header="709" w:footer="567" w:gutter="0"/>
          <w:cols w:num="2" w:space="340"/>
          <w:titlePg/>
          <w:docGrid w:linePitch="360"/>
        </w:sectPr>
      </w:pPr>
    </w:p>
    <w:p w:rsidR="007D1DA0" w:rsidRPr="005565F8" w:rsidP="00CE6F8C" w14:paraId="071AE25A" w14:textId="77777777"/>
    <w:p w:rsidR="00523B75" w:rsidRPr="005565F8" w:rsidP="00523B75" w14:paraId="2D6A5184" w14:textId="77777777">
      <w:pPr>
        <w:pStyle w:val="Heading3"/>
      </w:pPr>
      <w:bookmarkStart w:id="119" w:name="_Toc446597847"/>
      <w:bookmarkStart w:id="120" w:name="_Toc510687764"/>
      <w:bookmarkStart w:id="121" w:name="_Toc256000033"/>
      <w:bookmarkStart w:id="122" w:name="_Toc256000068"/>
      <w:r w:rsidRPr="005565F8">
        <w:t>3.6.4. Siltumnīcefekta gāzu emisiju samazināšana</w:t>
      </w:r>
      <w:bookmarkEnd w:id="122"/>
      <w:bookmarkEnd w:id="121"/>
      <w:bookmarkEnd w:id="119"/>
      <w:bookmarkEnd w:id="120"/>
    </w:p>
    <w:p w:rsidR="003926C8" w:rsidRPr="005565F8" w:rsidP="00CE6F8C" w14:paraId="62C5FEFB" w14:textId="77777777">
      <w:pPr>
        <w:sectPr w:rsidSect="005D1AD0">
          <w:type w:val="continuous"/>
          <w:pgSz w:w="11906" w:h="16838" w:code="9"/>
          <w:pgMar w:top="1134" w:right="1134" w:bottom="1134" w:left="1134" w:header="709" w:footer="567" w:gutter="0"/>
          <w:cols w:space="340"/>
          <w:titlePg/>
          <w:docGrid w:linePitch="360"/>
        </w:sectPr>
      </w:pPr>
    </w:p>
    <w:p w:rsidR="00CE6F8C" w:rsidRPr="005565F8" w:rsidP="00CE6F8C" w14:paraId="60D3CEB4" w14:textId="77777777">
      <w:r w:rsidRPr="005565F8">
        <w:t xml:space="preserve">Latvijas klimata politikas mērķi ir saistīti ar ES klimata politikas mērķiem, kā arī ar starptautisko klimata politiku – </w:t>
      </w:r>
      <w:r w:rsidRPr="005565F8">
        <w:rPr>
          <w:i/>
        </w:rPr>
        <w:t>ANO Vispārējo konvenciju par klimata pārmaiņām</w:t>
      </w:r>
      <w:r w:rsidRPr="005565F8">
        <w:t xml:space="preserve"> (turpmāk – Konvencija) un tās </w:t>
      </w:r>
      <w:r w:rsidRPr="005565F8">
        <w:rPr>
          <w:i/>
        </w:rPr>
        <w:t>Kioto protokolu</w:t>
      </w:r>
      <w:r w:rsidRPr="005565F8">
        <w:t>. Latvijas nacionālais mērķis ir ierobežot vai stabilizēt valsts kopējās SEG emisijas, lai 2020.gadā tās nepārsniegtu 12,16</w:t>
      </w:r>
      <w:r>
        <w:rPr>
          <w:vertAlign w:val="superscript"/>
        </w:rPr>
        <w:footnoteReference w:id="60"/>
      </w:r>
      <w:r w:rsidRPr="005565F8">
        <w:t xml:space="preserve"> </w:t>
      </w:r>
      <w:r w:rsidRPr="005565F8">
        <w:t>Mt</w:t>
      </w:r>
      <w:r w:rsidRPr="005565F8">
        <w:t xml:space="preserve"> CO</w:t>
      </w:r>
      <w:r w:rsidRPr="005565F8">
        <w:rPr>
          <w:vertAlign w:val="subscript"/>
        </w:rPr>
        <w:t>2</w:t>
      </w:r>
      <w:r w:rsidRPr="005565F8">
        <w:t xml:space="preserve"> ekvivalenta. Šis mērķis ir sadalīts attiecībā uz tām darbībām, kuras ir iekļautas ES Emisijas kvotu tirdzniecības sistēmā (turpmāk – ES ETS) un pārējām darbībām (turpmāk – ne-ETS darbības). Periodā līdz 2020.gadam zemes izmantošanas, zemes izmantošanas maiņas un mežsaimniecības (turpmāk – ZIZIMM) sektors nav iekļauts SEG emisiju samazināšanas mērķī, bet atsevišķām ZIZIMM sektora darbībām (meža apsaimniekošanas darbībām) ir noteikts atsevišķs mērķis (</w:t>
      </w:r>
      <w:r w:rsidRPr="005565F8">
        <w:rPr>
          <w:i/>
        </w:rPr>
        <w:t>forest</w:t>
      </w:r>
      <w:r w:rsidRPr="005565F8">
        <w:rPr>
          <w:i/>
        </w:rPr>
        <w:t xml:space="preserve"> </w:t>
      </w:r>
      <w:r w:rsidRPr="005565F8">
        <w:rPr>
          <w:i/>
        </w:rPr>
        <w:t>management</w:t>
      </w:r>
      <w:r w:rsidRPr="005565F8">
        <w:rPr>
          <w:i/>
        </w:rPr>
        <w:t xml:space="preserve"> reference </w:t>
      </w:r>
      <w:r w:rsidRPr="005565F8">
        <w:rPr>
          <w:i/>
        </w:rPr>
        <w:t>level</w:t>
      </w:r>
      <w:r w:rsidRPr="005565F8">
        <w:t xml:space="preserve">), kas Latvijai ir 16 302 </w:t>
      </w:r>
      <w:r w:rsidRPr="005565F8">
        <w:t>kt</w:t>
      </w:r>
      <w:r w:rsidRPr="005565F8">
        <w:t xml:space="preserve"> CO</w:t>
      </w:r>
      <w:r w:rsidRPr="005565F8">
        <w:rPr>
          <w:vertAlign w:val="subscript"/>
        </w:rPr>
        <w:t>2</w:t>
      </w:r>
      <w:r w:rsidRPr="005565F8">
        <w:t>/gadā.</w:t>
      </w:r>
    </w:p>
    <w:p w:rsidR="00CE6F8C" w:rsidRPr="005565F8" w:rsidP="00CE6F8C" w14:paraId="38ADC255" w14:textId="77777777">
      <w:r w:rsidRPr="005565F8">
        <w:t>Atbilstoši 2017.gada SEG inventarizācijai par 1990.-2015. gadu</w:t>
      </w:r>
      <w:r>
        <w:rPr>
          <w:rStyle w:val="FootnoteReference"/>
        </w:rPr>
        <w:footnoteReference w:id="61"/>
      </w:r>
      <w:r w:rsidRPr="005565F8">
        <w:t xml:space="preserve"> (turpmāk – 2017.gada SEG inventarizācija) un aptuvenai SEG inventarizācijai par 2016.gadu</w:t>
      </w:r>
      <w:r>
        <w:rPr>
          <w:rStyle w:val="FootnoteReference"/>
        </w:rPr>
        <w:footnoteReference w:id="62"/>
      </w:r>
      <w:r w:rsidRPr="005565F8">
        <w:t xml:space="preserve"> Latvijas kopējās SEG emisijas, salīdzinot ar 2005.gadu, 2015.gadā bija palielinātas par 0,06%, bet līdz 2016. gadam kopējās Latvijas SEG emisijas, salīdzinot ar 2005. gadu, bija samazinātas par 2,2% (skat. 3</w:t>
      </w:r>
      <w:r w:rsidRPr="005565F8" w:rsidR="00B22046">
        <w:t>.1</w:t>
      </w:r>
      <w:r w:rsidRPr="005565F8">
        <w:t xml:space="preserve">.tabulu). </w:t>
      </w:r>
    </w:p>
    <w:p w:rsidR="00CE6F8C" w:rsidRPr="005565F8" w:rsidP="00CE6F8C" w14:paraId="7D0502C7" w14:textId="77777777">
      <w:r w:rsidRPr="005565F8">
        <w:t xml:space="preserve">Latvijas ES ETS operatoru radītais SEG emisiju apjoms 2015. gadā bija 2 312,538 </w:t>
      </w:r>
      <w:r w:rsidRPr="005565F8">
        <w:t>kt</w:t>
      </w:r>
      <w:r w:rsidRPr="005565F8">
        <w:t xml:space="preserve"> CO</w:t>
      </w:r>
      <w:r w:rsidRPr="005565F8">
        <w:rPr>
          <w:vertAlign w:val="subscript"/>
        </w:rPr>
        <w:t>2</w:t>
      </w:r>
      <w:r w:rsidRPr="005565F8">
        <w:t xml:space="preserve"> </w:t>
      </w:r>
      <w:r w:rsidRPr="005565F8">
        <w:t>ekv</w:t>
      </w:r>
      <w:r w:rsidRPr="005565F8">
        <w:t xml:space="preserve">., bet 2016. gadā –2 196,998 </w:t>
      </w:r>
      <w:r w:rsidRPr="005565F8">
        <w:t>kt</w:t>
      </w:r>
      <w:r w:rsidRPr="005565F8">
        <w:t xml:space="preserve"> CO</w:t>
      </w:r>
      <w:r w:rsidRPr="005565F8">
        <w:rPr>
          <w:vertAlign w:val="subscript"/>
        </w:rPr>
        <w:t>2</w:t>
      </w:r>
      <w:r w:rsidRPr="005565F8">
        <w:t xml:space="preserve"> </w:t>
      </w:r>
      <w:r w:rsidRPr="005565F8">
        <w:t>ekv</w:t>
      </w:r>
      <w:r w:rsidRPr="005565F8">
        <w:t xml:space="preserve">. jeb attiecīgi 20,43% vai 19,85% </w:t>
      </w:r>
      <w:r w:rsidRPr="005565F8">
        <w:t xml:space="preserve">no kopējā Latvijas SEG emisiju apjoma. Salīdzinot ar 2005. gadu Latvijas ES ETS operatori līdz 2015. gadam bija samazinājuši savas SEG emisijas par 18,98% un līdz 2016. gadam – par 23,03%, tādējādi izpildot noteikto SEG emisiju samazināšanas mērķi 2020.gadam – 21% samazinājums 2020.gadā </w:t>
      </w:r>
      <w:r>
        <w:rPr>
          <w:rStyle w:val="FootnoteReference"/>
        </w:rPr>
        <w:footnoteReference w:id="63"/>
      </w:r>
      <w:r w:rsidRPr="005565F8">
        <w:t>.</w:t>
      </w:r>
    </w:p>
    <w:p w:rsidR="00CE6F8C" w:rsidRPr="005565F8" w:rsidP="00CE6F8C" w14:paraId="44488C92" w14:textId="77777777">
      <w:r w:rsidRPr="005565F8">
        <w:t>Ne-ETS darbību SEG emisiju dinamika šobrīd liecina par emisiju palielinājumu – 6,49% palielinājums 2005.-2015. gadā. Savukārt periodā no 2005. gada līdz 2016. gadam ne-ETS darbību SEG emisiju apjomā ir novērojams neliels samazinājums, līdz ar to kopējais palielinājums ir 4,87%. Tādējādi 2013.-2016. gadā Latvija kopumā ir iekļāvusies Latvijai noteiktajos ne-ETS darbību ikgadējos mērķos.</w:t>
      </w:r>
    </w:p>
    <w:p w:rsidR="00CE6F8C" w:rsidRPr="005565F8" w:rsidP="00CE6F8C" w14:paraId="2E4595AE" w14:textId="77777777">
      <w:r w:rsidRPr="005565F8">
        <w:t>Lielākie ne-ETS darbību SEG emisiju avoti 2015. gadā bija transports – 34,77% īpatsvars ne-ETS darbībās, lauksaimniecība – 30,42%, kā arī stacionārās sadedzināšanas iekārtas – 17,15%.</w:t>
      </w:r>
    </w:p>
    <w:p w:rsidR="00CE6F8C" w:rsidRPr="005565F8" w:rsidP="00CE6F8C" w14:paraId="3E8C097B" w14:textId="77777777">
      <w:r w:rsidRPr="005565F8">
        <w:rPr>
          <w:i/>
        </w:rPr>
        <w:t>Ziņojuma par SEG prognozēm, politiku un pasākumiem</w:t>
      </w:r>
      <w:r w:rsidRPr="005565F8">
        <w:t xml:space="preserve"> ietvaros</w:t>
      </w:r>
      <w:r>
        <w:rPr>
          <w:rStyle w:val="FootnoteReference"/>
        </w:rPr>
        <w:footnoteReference w:id="64"/>
      </w:r>
      <w:r w:rsidRPr="005565F8">
        <w:t xml:space="preserve"> (iesniegts </w:t>
      </w:r>
      <w:r w:rsidRPr="005565F8" w:rsidR="00C95BB1">
        <w:t>EK</w:t>
      </w:r>
      <w:r w:rsidRPr="005565F8">
        <w:t xml:space="preserve"> 2017. gadā) sagatavotās SEG emisiju prognozes esošo pasākumu scenārijā līdz 2030. gadam liecina, ka Latvijas kopējais SEG emisiju apjoms 2020.gadā varētu sasniegt 11 565,08 </w:t>
      </w:r>
      <w:r w:rsidRPr="005565F8">
        <w:t>kt</w:t>
      </w:r>
      <w:r w:rsidRPr="005565F8">
        <w:t xml:space="preserve"> CO</w:t>
      </w:r>
      <w:r w:rsidRPr="005565F8">
        <w:rPr>
          <w:vertAlign w:val="subscript"/>
        </w:rPr>
        <w:t>2</w:t>
      </w:r>
      <w:r w:rsidRPr="005565F8">
        <w:t xml:space="preserve"> </w:t>
      </w:r>
      <w:r w:rsidRPr="005565F8">
        <w:t>ekv</w:t>
      </w:r>
      <w:r w:rsidRPr="005565F8">
        <w:t xml:space="preserve">., tādējādi nodrošinot par 4,9% zemāku Latvijas kopējo SEG emisiju apjomu nekā noteiktais nacionālais SEG emisiju samazināšanas mērķis – 12,16 </w:t>
      </w:r>
      <w:r w:rsidRPr="005565F8">
        <w:t>Mt</w:t>
      </w:r>
      <w:r w:rsidRPr="005565F8">
        <w:t xml:space="preserve"> CO</w:t>
      </w:r>
      <w:r w:rsidRPr="005565F8">
        <w:rPr>
          <w:vertAlign w:val="subscript"/>
        </w:rPr>
        <w:t>2</w:t>
      </w:r>
      <w:r w:rsidRPr="005565F8">
        <w:t xml:space="preserve"> </w:t>
      </w:r>
      <w:r w:rsidRPr="005565F8">
        <w:t>ekv</w:t>
      </w:r>
      <w:r w:rsidRPr="005565F8">
        <w:t>.</w:t>
      </w:r>
    </w:p>
    <w:p w:rsidR="00B45174" w:rsidRPr="005565F8" w:rsidP="00523B75" w14:paraId="1D548249" w14:textId="77777777">
      <w:pPr>
        <w:ind w:firstLine="567"/>
        <w:rPr>
          <w:sz w:val="10"/>
        </w:rPr>
        <w:sectPr w:rsidSect="005D1AD0">
          <w:type w:val="continuous"/>
          <w:pgSz w:w="11906" w:h="16838" w:code="9"/>
          <w:pgMar w:top="1134" w:right="1134" w:bottom="1134" w:left="1134" w:header="709" w:footer="567" w:gutter="0"/>
          <w:cols w:num="2" w:space="340"/>
          <w:titlePg/>
          <w:docGrid w:linePitch="360"/>
        </w:sectPr>
      </w:pPr>
    </w:p>
    <w:p w:rsidR="00E02326" w:rsidP="00E02326" w14:paraId="212A89FA" w14:textId="67E6E71E">
      <w:pPr>
        <w:pStyle w:val="ListParagraph"/>
        <w:shd w:val="clear" w:color="auto" w:fill="FFFFFF" w:themeFill="background1"/>
        <w:tabs>
          <w:tab w:val="left" w:pos="426"/>
          <w:tab w:val="right" w:pos="9638"/>
        </w:tabs>
        <w:spacing w:before="240"/>
        <w:ind w:left="0"/>
        <w:contextualSpacing w:val="0"/>
        <w:jc w:val="right"/>
        <w:rPr>
          <w:rFonts w:ascii="Calibri Light" w:hAnsi="Calibri Light"/>
        </w:rPr>
      </w:pPr>
    </w:p>
    <w:p w:rsidR="00E02326" w14:paraId="1BB57321" w14:textId="77777777">
      <w:pPr>
        <w:spacing w:after="0"/>
        <w:rPr>
          <w:rFonts w:ascii="Calibri Light" w:hAnsi="Calibri Light"/>
        </w:rPr>
      </w:pPr>
      <w:r>
        <w:rPr>
          <w:rFonts w:ascii="Calibri Light" w:hAnsi="Calibri Light"/>
        </w:rPr>
        <w:br w:type="page"/>
      </w:r>
    </w:p>
    <w:p w:rsidR="000917D3" w:rsidRPr="005565F8" w:rsidP="00E02326" w14:paraId="4E16F2C0" w14:textId="77FC0E17">
      <w:pPr>
        <w:pStyle w:val="ListParagraph"/>
        <w:keepNext/>
        <w:shd w:val="clear" w:color="auto" w:fill="FFFFFF" w:themeFill="background1"/>
        <w:tabs>
          <w:tab w:val="left" w:pos="426"/>
          <w:tab w:val="right" w:pos="9638"/>
        </w:tabs>
        <w:spacing w:before="240"/>
        <w:ind w:left="0"/>
        <w:contextualSpacing w:val="0"/>
        <w:jc w:val="right"/>
        <w:rPr>
          <w:rFonts w:ascii="Calibri Light" w:hAnsi="Calibri Light"/>
          <w:b/>
          <w:sz w:val="24"/>
        </w:rPr>
      </w:pPr>
      <w:r w:rsidRPr="005565F8">
        <w:rPr>
          <w:rFonts w:ascii="Calibri Light" w:hAnsi="Calibri Light"/>
        </w:rPr>
        <w:t>3.</w:t>
      </w:r>
      <w:r w:rsidRPr="005565F8" w:rsidR="009056EB">
        <w:rPr>
          <w:rFonts w:ascii="Calibri Light" w:hAnsi="Calibri Light"/>
        </w:rPr>
        <w:t>3</w:t>
      </w:r>
      <w:r w:rsidRPr="005565F8">
        <w:rPr>
          <w:rFonts w:ascii="Calibri Light" w:hAnsi="Calibri Light"/>
        </w:rPr>
        <w:t>.tabula</w:t>
      </w:r>
      <w:r w:rsidRPr="005565F8">
        <w:rPr>
          <w:rFonts w:ascii="Calibri Light" w:hAnsi="Calibri Light"/>
        </w:rPr>
        <w:br/>
      </w:r>
      <w:r w:rsidRPr="005565F8" w:rsidR="00F90E03">
        <w:rPr>
          <w:rFonts w:ascii="Calibri Light" w:hAnsi="Calibri Light"/>
          <w:b/>
          <w:sz w:val="24"/>
        </w:rPr>
        <w:t>Latvijas SEG emisiju ierobežošanas mērķa sasniegšanas trajektorija</w:t>
      </w:r>
      <w:r w:rsidRPr="005565F8" w:rsidR="000444FE">
        <w:rPr>
          <w:rFonts w:ascii="Calibri Light" w:hAnsi="Calibri Light"/>
          <w:b/>
          <w:sz w:val="24"/>
        </w:rPr>
        <w:br/>
      </w:r>
      <w:r w:rsidRPr="005565F8" w:rsidR="000444FE">
        <w:rPr>
          <w:rFonts w:ascii="Calibri Light" w:eastAsia="Times New Roman" w:hAnsi="Calibri Light"/>
          <w:i/>
          <w:color w:val="000000" w:themeColor="text1"/>
          <w:sz w:val="16"/>
          <w:szCs w:val="16"/>
        </w:rPr>
        <w:t>Mt</w:t>
      </w:r>
      <w:r w:rsidRPr="005565F8" w:rsidR="000444FE">
        <w:rPr>
          <w:rFonts w:ascii="Calibri Light" w:eastAsia="Times New Roman" w:hAnsi="Calibri Light"/>
          <w:i/>
          <w:color w:val="000000" w:themeColor="text1"/>
          <w:sz w:val="16"/>
          <w:szCs w:val="16"/>
        </w:rPr>
        <w:t xml:space="preserve"> CO</w:t>
      </w:r>
      <w:r w:rsidRPr="005565F8" w:rsidR="000444FE">
        <w:rPr>
          <w:rFonts w:ascii="Calibri Light" w:eastAsia="Times New Roman" w:hAnsi="Calibri Light"/>
          <w:i/>
          <w:color w:val="000000" w:themeColor="text1"/>
          <w:sz w:val="16"/>
          <w:szCs w:val="16"/>
          <w:vertAlign w:val="subscript"/>
        </w:rPr>
        <w:t>2</w:t>
      </w:r>
      <w:r w:rsidRPr="005565F8" w:rsidR="000444FE">
        <w:rPr>
          <w:rFonts w:ascii="Calibri Light" w:eastAsia="Times New Roman" w:hAnsi="Calibri Light"/>
          <w:i/>
          <w:color w:val="000000" w:themeColor="text1"/>
          <w:sz w:val="16"/>
          <w:szCs w:val="16"/>
        </w:rPr>
        <w:t xml:space="preserve"> </w:t>
      </w:r>
      <w:r w:rsidRPr="005565F8" w:rsidR="000444FE">
        <w:rPr>
          <w:rFonts w:ascii="Calibri Light" w:eastAsia="Times New Roman" w:hAnsi="Calibri Light"/>
          <w:i/>
          <w:color w:val="000000" w:themeColor="text1"/>
          <w:sz w:val="16"/>
          <w:szCs w:val="16"/>
        </w:rPr>
        <w:t>ekv</w:t>
      </w:r>
      <w:r w:rsidRPr="005565F8" w:rsidR="000444FE">
        <w:rPr>
          <w:rFonts w:ascii="Calibri Light" w:eastAsia="Times New Roman" w:hAnsi="Calibri Light"/>
          <w:i/>
          <w:color w:val="000000" w:themeColor="text1"/>
          <w:sz w:val="16"/>
          <w:szCs w:val="16"/>
        </w:rPr>
        <w:t>.</w:t>
      </w:r>
    </w:p>
    <w:tbl>
      <w:tblPr>
        <w:tblW w:w="4999" w:type="pct"/>
        <w:tblLayout w:type="fixed"/>
        <w:tblLook w:val="04A0"/>
      </w:tblPr>
      <w:tblGrid>
        <w:gridCol w:w="3800"/>
        <w:gridCol w:w="620"/>
        <w:gridCol w:w="245"/>
        <w:gridCol w:w="621"/>
        <w:gridCol w:w="623"/>
        <w:gridCol w:w="623"/>
        <w:gridCol w:w="623"/>
        <w:gridCol w:w="623"/>
        <w:gridCol w:w="623"/>
        <w:gridCol w:w="623"/>
        <w:gridCol w:w="613"/>
      </w:tblGrid>
      <w:tr w14:paraId="69652860" w14:textId="77777777" w:rsidTr="00E02326">
        <w:tblPrEx>
          <w:tblW w:w="4999" w:type="pct"/>
          <w:tblLayout w:type="fixed"/>
          <w:tblLook w:val="04A0"/>
        </w:tblPrEx>
        <w:trPr>
          <w:trHeight w:val="187"/>
        </w:trPr>
        <w:tc>
          <w:tcPr>
            <w:tcW w:w="1971" w:type="pct"/>
            <w:shd w:val="clear" w:color="auto" w:fill="B8CCE4" w:themeFill="accent1" w:themeFillTint="66"/>
            <w:noWrap/>
          </w:tcPr>
          <w:p w:rsidR="00F90E03" w:rsidRPr="005565F8" w:rsidP="001B7768" w14:paraId="616B8D7C" w14:textId="77777777">
            <w:pPr>
              <w:spacing w:before="20" w:after="20"/>
              <w:jc w:val="center"/>
              <w:rPr>
                <w:rFonts w:ascii="Calibri Light" w:hAnsi="Calibri Light" w:eastAsiaTheme="minorHAnsi" w:cstheme="minorBidi"/>
                <w:sz w:val="16"/>
                <w:szCs w:val="16"/>
              </w:rPr>
            </w:pPr>
          </w:p>
        </w:tc>
        <w:tc>
          <w:tcPr>
            <w:tcW w:w="322" w:type="pct"/>
            <w:tcBorders>
              <w:bottom w:val="single" w:sz="24" w:space="0" w:color="auto"/>
            </w:tcBorders>
            <w:shd w:val="clear" w:color="auto" w:fill="B8CCE4" w:themeFill="accent1" w:themeFillTint="66"/>
            <w:noWrap/>
          </w:tcPr>
          <w:p w:rsidR="00F90E03" w:rsidRPr="005565F8" w:rsidP="001B7768" w14:paraId="761FB0CD" w14:textId="77777777">
            <w:pPr>
              <w:spacing w:before="20" w:after="20"/>
              <w:jc w:val="center"/>
              <w:rPr>
                <w:rFonts w:ascii="Calibri Light" w:hAnsi="Calibri Light"/>
                <w:b/>
                <w:sz w:val="16"/>
                <w:szCs w:val="16"/>
              </w:rPr>
            </w:pPr>
            <w:r w:rsidRPr="005565F8">
              <w:rPr>
                <w:rFonts w:ascii="Calibri Light" w:hAnsi="Calibri Light"/>
                <w:b/>
                <w:sz w:val="16"/>
                <w:szCs w:val="16"/>
              </w:rPr>
              <w:t>2005</w:t>
            </w:r>
          </w:p>
        </w:tc>
        <w:tc>
          <w:tcPr>
            <w:tcW w:w="127" w:type="pct"/>
            <w:tcBorders>
              <w:bottom w:val="single" w:sz="24" w:space="0" w:color="auto"/>
            </w:tcBorders>
            <w:shd w:val="clear" w:color="auto" w:fill="B8CCE4" w:themeFill="accent1" w:themeFillTint="66"/>
          </w:tcPr>
          <w:p w:rsidR="00F90E03" w:rsidRPr="005565F8" w:rsidP="00F90E03" w14:paraId="38CE91BF" w14:textId="77777777">
            <w:pPr>
              <w:spacing w:before="20" w:after="20"/>
              <w:ind w:left="-113" w:right="-113"/>
              <w:jc w:val="center"/>
              <w:rPr>
                <w:rFonts w:ascii="Calibri Light" w:hAnsi="Calibri Light"/>
                <w:b/>
                <w:sz w:val="16"/>
                <w:szCs w:val="16"/>
              </w:rPr>
            </w:pPr>
          </w:p>
        </w:tc>
        <w:tc>
          <w:tcPr>
            <w:tcW w:w="322" w:type="pct"/>
            <w:tcBorders>
              <w:bottom w:val="single" w:sz="24" w:space="0" w:color="auto"/>
            </w:tcBorders>
            <w:shd w:val="clear" w:color="auto" w:fill="B8CCE4" w:themeFill="accent1" w:themeFillTint="66"/>
          </w:tcPr>
          <w:p w:rsidR="00F90E03" w:rsidRPr="005565F8" w:rsidP="001B7768" w14:paraId="67BA2E2B" w14:textId="77777777">
            <w:pPr>
              <w:spacing w:before="20" w:after="20"/>
              <w:jc w:val="center"/>
              <w:rPr>
                <w:rFonts w:ascii="Calibri Light" w:hAnsi="Calibri Light"/>
                <w:b/>
                <w:sz w:val="16"/>
                <w:szCs w:val="16"/>
              </w:rPr>
            </w:pPr>
            <w:r w:rsidRPr="005565F8">
              <w:rPr>
                <w:rFonts w:ascii="Calibri Light" w:hAnsi="Calibri Light"/>
                <w:b/>
                <w:sz w:val="16"/>
                <w:szCs w:val="16"/>
              </w:rPr>
              <w:t>2013</w:t>
            </w:r>
          </w:p>
        </w:tc>
        <w:tc>
          <w:tcPr>
            <w:tcW w:w="323" w:type="pct"/>
            <w:tcBorders>
              <w:bottom w:val="single" w:sz="24" w:space="0" w:color="auto"/>
            </w:tcBorders>
            <w:shd w:val="clear" w:color="auto" w:fill="B8CCE4" w:themeFill="accent1" w:themeFillTint="66"/>
          </w:tcPr>
          <w:p w:rsidR="00F90E03" w:rsidRPr="005565F8" w:rsidP="001B7768" w14:paraId="6C8A0308" w14:textId="77777777">
            <w:pPr>
              <w:spacing w:before="20" w:after="20"/>
              <w:jc w:val="center"/>
              <w:rPr>
                <w:rFonts w:ascii="Calibri Light" w:hAnsi="Calibri Light"/>
                <w:b/>
                <w:sz w:val="16"/>
                <w:szCs w:val="16"/>
              </w:rPr>
            </w:pPr>
            <w:r w:rsidRPr="005565F8">
              <w:rPr>
                <w:rFonts w:ascii="Calibri Light" w:hAnsi="Calibri Light"/>
                <w:b/>
                <w:sz w:val="16"/>
                <w:szCs w:val="16"/>
              </w:rPr>
              <w:t>2014</w:t>
            </w:r>
          </w:p>
        </w:tc>
        <w:tc>
          <w:tcPr>
            <w:tcW w:w="323" w:type="pct"/>
            <w:tcBorders>
              <w:bottom w:val="single" w:sz="24" w:space="0" w:color="auto"/>
            </w:tcBorders>
            <w:shd w:val="clear" w:color="auto" w:fill="B8CCE4" w:themeFill="accent1" w:themeFillTint="66"/>
          </w:tcPr>
          <w:p w:rsidR="00F90E03" w:rsidRPr="005565F8" w:rsidP="001B7768" w14:paraId="05A33AD4" w14:textId="77777777">
            <w:pPr>
              <w:spacing w:before="20" w:after="20"/>
              <w:jc w:val="center"/>
              <w:rPr>
                <w:rFonts w:ascii="Calibri Light" w:hAnsi="Calibri Light"/>
                <w:b/>
                <w:sz w:val="16"/>
                <w:szCs w:val="16"/>
              </w:rPr>
            </w:pPr>
            <w:r w:rsidRPr="005565F8">
              <w:rPr>
                <w:rFonts w:ascii="Calibri Light" w:hAnsi="Calibri Light"/>
                <w:b/>
                <w:sz w:val="16"/>
                <w:szCs w:val="16"/>
              </w:rPr>
              <w:t>2015</w:t>
            </w:r>
          </w:p>
        </w:tc>
        <w:tc>
          <w:tcPr>
            <w:tcW w:w="323" w:type="pct"/>
            <w:tcBorders>
              <w:bottom w:val="single" w:sz="24" w:space="0" w:color="auto"/>
            </w:tcBorders>
            <w:shd w:val="clear" w:color="auto" w:fill="B8CCE4" w:themeFill="accent1" w:themeFillTint="66"/>
          </w:tcPr>
          <w:p w:rsidR="00F90E03" w:rsidRPr="005565F8" w:rsidP="001B7768" w14:paraId="6214804D" w14:textId="77777777">
            <w:pPr>
              <w:spacing w:before="20" w:after="20"/>
              <w:jc w:val="center"/>
              <w:rPr>
                <w:rFonts w:ascii="Calibri Light" w:hAnsi="Calibri Light"/>
                <w:b/>
                <w:sz w:val="16"/>
                <w:szCs w:val="16"/>
              </w:rPr>
            </w:pPr>
            <w:r w:rsidRPr="005565F8">
              <w:rPr>
                <w:rFonts w:ascii="Calibri Light" w:hAnsi="Calibri Light"/>
                <w:b/>
                <w:sz w:val="16"/>
                <w:szCs w:val="16"/>
              </w:rPr>
              <w:t>2016</w:t>
            </w:r>
          </w:p>
        </w:tc>
        <w:tc>
          <w:tcPr>
            <w:tcW w:w="323" w:type="pct"/>
            <w:tcBorders>
              <w:bottom w:val="single" w:sz="24" w:space="0" w:color="auto"/>
            </w:tcBorders>
            <w:shd w:val="clear" w:color="auto" w:fill="B8CCE4" w:themeFill="accent1" w:themeFillTint="66"/>
          </w:tcPr>
          <w:p w:rsidR="00F90E03" w:rsidRPr="005565F8" w:rsidP="001B7768" w14:paraId="478AE709" w14:textId="77777777">
            <w:pPr>
              <w:spacing w:before="20" w:after="20"/>
              <w:jc w:val="center"/>
              <w:rPr>
                <w:rFonts w:ascii="Calibri Light" w:hAnsi="Calibri Light"/>
                <w:b/>
                <w:sz w:val="16"/>
                <w:szCs w:val="16"/>
              </w:rPr>
            </w:pPr>
            <w:r w:rsidRPr="005565F8">
              <w:rPr>
                <w:rFonts w:ascii="Calibri Light" w:hAnsi="Calibri Light"/>
                <w:b/>
                <w:sz w:val="16"/>
                <w:szCs w:val="16"/>
              </w:rPr>
              <w:t>2017</w:t>
            </w:r>
          </w:p>
        </w:tc>
        <w:tc>
          <w:tcPr>
            <w:tcW w:w="323" w:type="pct"/>
            <w:tcBorders>
              <w:bottom w:val="single" w:sz="24" w:space="0" w:color="auto"/>
            </w:tcBorders>
            <w:shd w:val="clear" w:color="auto" w:fill="B8CCE4" w:themeFill="accent1" w:themeFillTint="66"/>
            <w:noWrap/>
          </w:tcPr>
          <w:p w:rsidR="00F90E03" w:rsidRPr="005565F8" w:rsidP="001B7768" w14:paraId="36CE0EAD" w14:textId="77777777">
            <w:pPr>
              <w:spacing w:before="20" w:after="20"/>
              <w:jc w:val="center"/>
              <w:rPr>
                <w:rFonts w:ascii="Calibri Light" w:hAnsi="Calibri Light"/>
                <w:b/>
                <w:sz w:val="16"/>
                <w:szCs w:val="16"/>
              </w:rPr>
            </w:pPr>
            <w:r w:rsidRPr="005565F8">
              <w:rPr>
                <w:rFonts w:ascii="Calibri Light" w:hAnsi="Calibri Light"/>
                <w:b/>
                <w:sz w:val="16"/>
                <w:szCs w:val="16"/>
              </w:rPr>
              <w:t>2018</w:t>
            </w:r>
          </w:p>
        </w:tc>
        <w:tc>
          <w:tcPr>
            <w:tcW w:w="323" w:type="pct"/>
            <w:tcBorders>
              <w:bottom w:val="single" w:sz="24" w:space="0" w:color="auto"/>
            </w:tcBorders>
            <w:shd w:val="clear" w:color="auto" w:fill="B8CCE4" w:themeFill="accent1" w:themeFillTint="66"/>
            <w:noWrap/>
          </w:tcPr>
          <w:p w:rsidR="00F90E03" w:rsidRPr="005565F8" w:rsidP="001B7768" w14:paraId="1A15C47D" w14:textId="77777777">
            <w:pPr>
              <w:spacing w:before="20" w:after="20"/>
              <w:jc w:val="center"/>
              <w:rPr>
                <w:rFonts w:ascii="Calibri Light" w:hAnsi="Calibri Light"/>
                <w:b/>
                <w:sz w:val="16"/>
                <w:szCs w:val="16"/>
              </w:rPr>
            </w:pPr>
            <w:r w:rsidRPr="005565F8">
              <w:rPr>
                <w:rFonts w:ascii="Calibri Light" w:hAnsi="Calibri Light"/>
                <w:b/>
                <w:sz w:val="16"/>
                <w:szCs w:val="16"/>
              </w:rPr>
              <w:t>2019</w:t>
            </w:r>
          </w:p>
        </w:tc>
        <w:tc>
          <w:tcPr>
            <w:tcW w:w="318" w:type="pct"/>
            <w:tcBorders>
              <w:bottom w:val="single" w:sz="24" w:space="0" w:color="auto"/>
            </w:tcBorders>
            <w:shd w:val="clear" w:color="auto" w:fill="B8CCE4" w:themeFill="accent1" w:themeFillTint="66"/>
          </w:tcPr>
          <w:p w:rsidR="00F90E03" w:rsidRPr="005565F8" w:rsidP="001B7768" w14:paraId="501FA762" w14:textId="77777777">
            <w:pPr>
              <w:spacing w:before="20" w:after="20"/>
              <w:jc w:val="center"/>
              <w:rPr>
                <w:rFonts w:ascii="Calibri Light" w:hAnsi="Calibri Light"/>
                <w:b/>
                <w:sz w:val="16"/>
                <w:szCs w:val="16"/>
              </w:rPr>
            </w:pPr>
            <w:r w:rsidRPr="005565F8">
              <w:rPr>
                <w:rFonts w:ascii="Calibri Light" w:hAnsi="Calibri Light"/>
                <w:b/>
                <w:sz w:val="16"/>
                <w:szCs w:val="16"/>
              </w:rPr>
              <w:t>2020</w:t>
            </w:r>
          </w:p>
        </w:tc>
      </w:tr>
      <w:tr w14:paraId="0EF13501" w14:textId="77777777" w:rsidTr="00E02326">
        <w:tblPrEx>
          <w:tblW w:w="4999" w:type="pct"/>
          <w:tblLayout w:type="fixed"/>
          <w:tblLook w:val="04A0"/>
        </w:tblPrEx>
        <w:trPr>
          <w:trHeight w:val="256"/>
        </w:trPr>
        <w:tc>
          <w:tcPr>
            <w:tcW w:w="1971" w:type="pct"/>
            <w:noWrap/>
          </w:tcPr>
          <w:p w:rsidR="00F90E03" w:rsidRPr="005565F8" w:rsidP="00F90E03" w14:paraId="68CAD98B" w14:textId="77777777">
            <w:pPr>
              <w:spacing w:before="20" w:after="20"/>
              <w:rPr>
                <w:rFonts w:ascii="Calibri Light" w:hAnsi="Calibri Light"/>
                <w:bCs/>
                <w:color w:val="000000"/>
                <w:sz w:val="16"/>
                <w:szCs w:val="16"/>
              </w:rPr>
            </w:pPr>
            <w:r w:rsidRPr="005565F8">
              <w:rPr>
                <w:rFonts w:ascii="Calibri Light" w:eastAsia="Times New Roman" w:hAnsi="Calibri Light"/>
                <w:color w:val="000000" w:themeColor="text1"/>
                <w:sz w:val="16"/>
                <w:szCs w:val="16"/>
              </w:rPr>
              <w:t>Kopējās emisijas</w:t>
            </w:r>
            <w:r>
              <w:rPr>
                <w:rStyle w:val="FootnoteReference"/>
                <w:rFonts w:ascii="Calibri Light" w:eastAsia="Times New Roman" w:hAnsi="Calibri Light"/>
                <w:color w:val="000000" w:themeColor="text1"/>
                <w:sz w:val="16"/>
                <w:szCs w:val="16"/>
              </w:rPr>
              <w:footnoteReference w:id="65"/>
            </w:r>
          </w:p>
        </w:tc>
        <w:tc>
          <w:tcPr>
            <w:tcW w:w="322" w:type="pct"/>
            <w:tcBorders>
              <w:top w:val="single" w:sz="24" w:space="0" w:color="auto"/>
            </w:tcBorders>
            <w:noWrap/>
          </w:tcPr>
          <w:p w:rsidR="00F90E03" w:rsidRPr="005565F8" w:rsidP="00F90E03" w14:paraId="49088E3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11,3</w:t>
            </w:r>
          </w:p>
        </w:tc>
        <w:tc>
          <w:tcPr>
            <w:tcW w:w="127" w:type="pct"/>
            <w:tcBorders>
              <w:top w:val="single" w:sz="24" w:space="0" w:color="auto"/>
            </w:tcBorders>
          </w:tcPr>
          <w:p w:rsidR="00F90E03" w:rsidRPr="005565F8" w:rsidP="00F90E03" w14:paraId="68441929" w14:textId="77777777">
            <w:pPr>
              <w:tabs>
                <w:tab w:val="decimal" w:pos="393"/>
              </w:tabs>
              <w:spacing w:before="20" w:after="20"/>
              <w:ind w:left="-113" w:right="-113"/>
              <w:jc w:val="right"/>
              <w:rPr>
                <w:rFonts w:ascii="Calibri Light" w:hAnsi="Calibri Light"/>
                <w:bCs/>
                <w:color w:val="000000"/>
                <w:sz w:val="8"/>
                <w:szCs w:val="8"/>
              </w:rPr>
            </w:pPr>
          </w:p>
        </w:tc>
        <w:tc>
          <w:tcPr>
            <w:tcW w:w="322" w:type="pct"/>
            <w:tcBorders>
              <w:top w:val="single" w:sz="24" w:space="0" w:color="auto"/>
            </w:tcBorders>
          </w:tcPr>
          <w:p w:rsidR="00F90E03" w:rsidRPr="005565F8" w:rsidP="00F90E03" w14:paraId="1786238C" w14:textId="77777777">
            <w:pPr>
              <w:spacing w:before="20" w:after="20"/>
              <w:jc w:val="right"/>
              <w:rPr>
                <w:rFonts w:ascii="Calibri Light" w:hAnsi="Calibri Light"/>
                <w:sz w:val="16"/>
                <w:szCs w:val="16"/>
              </w:rPr>
            </w:pPr>
            <w:r w:rsidRPr="005565F8">
              <w:rPr>
                <w:rFonts w:ascii="Calibri Light" w:hAnsi="Calibri Light"/>
                <w:sz w:val="16"/>
                <w:szCs w:val="16"/>
              </w:rPr>
              <w:t>11,3</w:t>
            </w:r>
          </w:p>
        </w:tc>
        <w:tc>
          <w:tcPr>
            <w:tcW w:w="323" w:type="pct"/>
            <w:tcBorders>
              <w:top w:val="single" w:sz="24" w:space="0" w:color="auto"/>
            </w:tcBorders>
          </w:tcPr>
          <w:p w:rsidR="00F90E03" w:rsidRPr="005565F8" w:rsidP="00F90E03" w14:paraId="100E69AF" w14:textId="77777777">
            <w:pPr>
              <w:spacing w:before="20" w:after="20"/>
              <w:jc w:val="right"/>
              <w:rPr>
                <w:rFonts w:ascii="Calibri Light" w:hAnsi="Calibri Light"/>
                <w:sz w:val="16"/>
                <w:szCs w:val="16"/>
              </w:rPr>
            </w:pPr>
            <w:r w:rsidRPr="005565F8">
              <w:rPr>
                <w:rFonts w:ascii="Calibri Light" w:hAnsi="Calibri Light"/>
                <w:sz w:val="16"/>
                <w:szCs w:val="16"/>
              </w:rPr>
              <w:t>11,2</w:t>
            </w:r>
          </w:p>
        </w:tc>
        <w:tc>
          <w:tcPr>
            <w:tcW w:w="323" w:type="pct"/>
            <w:tcBorders>
              <w:top w:val="single" w:sz="24" w:space="0" w:color="auto"/>
            </w:tcBorders>
          </w:tcPr>
          <w:p w:rsidR="00F90E03" w:rsidRPr="005565F8" w:rsidP="00F90E03" w14:paraId="13F91E6B" w14:textId="77777777">
            <w:pPr>
              <w:spacing w:before="20" w:after="20"/>
              <w:jc w:val="right"/>
              <w:rPr>
                <w:rFonts w:ascii="Calibri Light" w:hAnsi="Calibri Light"/>
                <w:sz w:val="16"/>
                <w:szCs w:val="16"/>
              </w:rPr>
            </w:pPr>
            <w:r w:rsidRPr="005565F8">
              <w:rPr>
                <w:rFonts w:ascii="Calibri Light" w:hAnsi="Calibri Light"/>
                <w:sz w:val="16"/>
                <w:szCs w:val="16"/>
              </w:rPr>
              <w:t>11,4</w:t>
            </w:r>
          </w:p>
        </w:tc>
        <w:tc>
          <w:tcPr>
            <w:tcW w:w="323" w:type="pct"/>
            <w:tcBorders>
              <w:top w:val="single" w:sz="24" w:space="0" w:color="auto"/>
            </w:tcBorders>
          </w:tcPr>
          <w:p w:rsidR="00F90E03" w:rsidRPr="005565F8" w:rsidP="00F90E03" w14:paraId="5710990E" w14:textId="77777777">
            <w:pPr>
              <w:spacing w:before="20" w:after="20"/>
              <w:jc w:val="right"/>
              <w:rPr>
                <w:rFonts w:ascii="Calibri Light" w:hAnsi="Calibri Light"/>
                <w:sz w:val="16"/>
                <w:szCs w:val="16"/>
              </w:rPr>
            </w:pPr>
            <w:r w:rsidRPr="005565F8">
              <w:rPr>
                <w:rFonts w:ascii="Calibri Light" w:hAnsi="Calibri Light"/>
                <w:sz w:val="16"/>
                <w:szCs w:val="16"/>
              </w:rPr>
              <w:t>11,1</w:t>
            </w:r>
          </w:p>
        </w:tc>
        <w:tc>
          <w:tcPr>
            <w:tcW w:w="323" w:type="pct"/>
            <w:tcBorders>
              <w:top w:val="single" w:sz="24" w:space="0" w:color="auto"/>
            </w:tcBorders>
          </w:tcPr>
          <w:p w:rsidR="00F90E03" w:rsidRPr="005565F8" w:rsidP="00F90E03" w14:paraId="32CC920B" w14:textId="77777777">
            <w:pPr>
              <w:spacing w:before="20" w:after="20"/>
              <w:jc w:val="right"/>
              <w:rPr>
                <w:rFonts w:ascii="Calibri Light" w:hAnsi="Calibri Light"/>
                <w:sz w:val="16"/>
                <w:szCs w:val="16"/>
              </w:rPr>
            </w:pPr>
            <w:r w:rsidRPr="005565F8">
              <w:rPr>
                <w:rFonts w:ascii="Calibri Light" w:hAnsi="Calibri Light"/>
                <w:sz w:val="16"/>
                <w:szCs w:val="16"/>
              </w:rPr>
              <w:t>11,5</w:t>
            </w:r>
          </w:p>
        </w:tc>
        <w:tc>
          <w:tcPr>
            <w:tcW w:w="323" w:type="pct"/>
            <w:tcBorders>
              <w:top w:val="single" w:sz="24" w:space="0" w:color="auto"/>
            </w:tcBorders>
            <w:noWrap/>
          </w:tcPr>
          <w:p w:rsidR="00F90E03" w:rsidRPr="005565F8" w:rsidP="00F90E03" w14:paraId="6D0B6F4F" w14:textId="77777777">
            <w:pPr>
              <w:spacing w:before="20" w:after="20"/>
              <w:jc w:val="right"/>
              <w:rPr>
                <w:rFonts w:ascii="Calibri Light" w:hAnsi="Calibri Light"/>
                <w:sz w:val="16"/>
                <w:szCs w:val="16"/>
              </w:rPr>
            </w:pPr>
            <w:r w:rsidRPr="005565F8">
              <w:rPr>
                <w:rFonts w:ascii="Calibri Light" w:hAnsi="Calibri Light"/>
                <w:sz w:val="16"/>
                <w:szCs w:val="16"/>
              </w:rPr>
              <w:t>11,5</w:t>
            </w:r>
          </w:p>
        </w:tc>
        <w:tc>
          <w:tcPr>
            <w:tcW w:w="323" w:type="pct"/>
            <w:tcBorders>
              <w:top w:val="single" w:sz="24" w:space="0" w:color="auto"/>
            </w:tcBorders>
            <w:noWrap/>
          </w:tcPr>
          <w:p w:rsidR="00F90E03" w:rsidRPr="005565F8" w:rsidP="00F90E03" w14:paraId="6ABA1631" w14:textId="77777777">
            <w:pPr>
              <w:spacing w:before="20" w:after="20"/>
              <w:jc w:val="right"/>
              <w:rPr>
                <w:rFonts w:ascii="Calibri Light" w:hAnsi="Calibri Light"/>
                <w:sz w:val="16"/>
                <w:szCs w:val="16"/>
              </w:rPr>
            </w:pPr>
            <w:r w:rsidRPr="005565F8">
              <w:rPr>
                <w:rFonts w:ascii="Calibri Light" w:hAnsi="Calibri Light"/>
                <w:sz w:val="16"/>
                <w:szCs w:val="16"/>
              </w:rPr>
              <w:t>11,6</w:t>
            </w:r>
          </w:p>
        </w:tc>
        <w:tc>
          <w:tcPr>
            <w:tcW w:w="318" w:type="pct"/>
            <w:tcBorders>
              <w:top w:val="single" w:sz="24" w:space="0" w:color="auto"/>
            </w:tcBorders>
          </w:tcPr>
          <w:p w:rsidR="00F90E03" w:rsidRPr="005565F8" w:rsidP="00F90E03" w14:paraId="7FF25699" w14:textId="77777777">
            <w:pPr>
              <w:spacing w:before="20" w:after="20"/>
              <w:jc w:val="right"/>
              <w:rPr>
                <w:rFonts w:ascii="Calibri Light" w:hAnsi="Calibri Light"/>
                <w:sz w:val="16"/>
                <w:szCs w:val="16"/>
              </w:rPr>
            </w:pPr>
            <w:r w:rsidRPr="005565F8">
              <w:rPr>
                <w:rFonts w:ascii="Calibri Light" w:hAnsi="Calibri Light"/>
                <w:sz w:val="16"/>
                <w:szCs w:val="16"/>
              </w:rPr>
              <w:t>11,6</w:t>
            </w:r>
          </w:p>
        </w:tc>
      </w:tr>
      <w:tr w14:paraId="320B58D0" w14:textId="77777777" w:rsidTr="00D610DB">
        <w:tblPrEx>
          <w:tblW w:w="4999" w:type="pct"/>
          <w:tblLayout w:type="fixed"/>
          <w:tblLook w:val="04A0"/>
        </w:tblPrEx>
        <w:trPr>
          <w:trHeight w:val="256"/>
        </w:trPr>
        <w:tc>
          <w:tcPr>
            <w:tcW w:w="1971" w:type="pct"/>
            <w:shd w:val="clear" w:color="auto" w:fill="B8CCE4" w:themeFill="accent1" w:themeFillTint="66"/>
            <w:noWrap/>
          </w:tcPr>
          <w:p w:rsidR="00F90E03" w:rsidRPr="005565F8" w:rsidP="00F90E03" w14:paraId="568B1FEF" w14:textId="77777777">
            <w:pPr>
              <w:spacing w:before="20" w:after="20"/>
              <w:rPr>
                <w:rFonts w:ascii="Calibri Light" w:hAnsi="Calibri Light"/>
                <w:bCs/>
                <w:color w:val="000000"/>
                <w:sz w:val="16"/>
                <w:szCs w:val="16"/>
              </w:rPr>
            </w:pPr>
            <w:r w:rsidRPr="005565F8">
              <w:rPr>
                <w:rFonts w:ascii="Calibri Light" w:eastAsia="Times New Roman" w:hAnsi="Calibri Light"/>
                <w:color w:val="000000" w:themeColor="text1"/>
                <w:sz w:val="16"/>
                <w:szCs w:val="16"/>
              </w:rPr>
              <w:t>Latvijas nacionālais kopējo SEG emisiju mērķis</w:t>
            </w:r>
            <w:r>
              <w:rPr>
                <w:rStyle w:val="FootnoteReference"/>
                <w:rFonts w:ascii="Calibri Light" w:eastAsia="Times New Roman" w:hAnsi="Calibri Light"/>
                <w:color w:val="000000" w:themeColor="text1"/>
                <w:sz w:val="16"/>
                <w:szCs w:val="16"/>
              </w:rPr>
              <w:footnoteReference w:id="66"/>
            </w:r>
          </w:p>
        </w:tc>
        <w:tc>
          <w:tcPr>
            <w:tcW w:w="322" w:type="pct"/>
            <w:shd w:val="clear" w:color="auto" w:fill="B8CCE4" w:themeFill="accent1" w:themeFillTint="66"/>
            <w:noWrap/>
          </w:tcPr>
          <w:p w:rsidR="00F90E03" w:rsidRPr="005565F8" w:rsidP="00F90E03" w14:paraId="3254F2FC" w14:textId="77777777">
            <w:pPr>
              <w:spacing w:before="20" w:after="20"/>
              <w:jc w:val="right"/>
              <w:rPr>
                <w:rFonts w:ascii="Calibri Light" w:hAnsi="Calibri Light"/>
                <w:sz w:val="16"/>
                <w:szCs w:val="16"/>
              </w:rPr>
            </w:pPr>
          </w:p>
        </w:tc>
        <w:tc>
          <w:tcPr>
            <w:tcW w:w="127" w:type="pct"/>
            <w:shd w:val="clear" w:color="auto" w:fill="B8CCE4" w:themeFill="accent1" w:themeFillTint="66"/>
          </w:tcPr>
          <w:p w:rsidR="00F90E03" w:rsidRPr="005565F8" w:rsidP="00F90E03" w14:paraId="7FFA7B3E" w14:textId="77777777">
            <w:pPr>
              <w:tabs>
                <w:tab w:val="decimal" w:pos="393"/>
              </w:tabs>
              <w:spacing w:before="20" w:after="20"/>
              <w:ind w:left="-113" w:right="-113"/>
              <w:jc w:val="right"/>
              <w:rPr>
                <w:rFonts w:ascii="Calibri Light" w:hAnsi="Calibri Light"/>
                <w:bCs/>
                <w:color w:val="000000"/>
                <w:sz w:val="8"/>
                <w:szCs w:val="8"/>
              </w:rPr>
            </w:pPr>
          </w:p>
        </w:tc>
        <w:tc>
          <w:tcPr>
            <w:tcW w:w="322" w:type="pct"/>
            <w:shd w:val="clear" w:color="auto" w:fill="B8CCE4" w:themeFill="accent1" w:themeFillTint="66"/>
          </w:tcPr>
          <w:p w:rsidR="00F90E03" w:rsidRPr="005565F8" w:rsidP="00F90E03" w14:paraId="47570796" w14:textId="77777777">
            <w:pPr>
              <w:spacing w:before="20" w:after="20"/>
              <w:jc w:val="right"/>
              <w:rPr>
                <w:rFonts w:ascii="Calibri Light" w:hAnsi="Calibri Light"/>
                <w:sz w:val="16"/>
                <w:szCs w:val="16"/>
              </w:rPr>
            </w:pPr>
          </w:p>
        </w:tc>
        <w:tc>
          <w:tcPr>
            <w:tcW w:w="323" w:type="pct"/>
            <w:shd w:val="clear" w:color="auto" w:fill="B8CCE4" w:themeFill="accent1" w:themeFillTint="66"/>
          </w:tcPr>
          <w:p w:rsidR="00F90E03" w:rsidRPr="005565F8" w:rsidP="00F90E03" w14:paraId="70CAEE50" w14:textId="77777777">
            <w:pPr>
              <w:spacing w:before="20" w:after="20"/>
              <w:jc w:val="right"/>
              <w:rPr>
                <w:rFonts w:ascii="Calibri Light" w:hAnsi="Calibri Light"/>
                <w:sz w:val="16"/>
                <w:szCs w:val="16"/>
              </w:rPr>
            </w:pPr>
            <w:r w:rsidRPr="005565F8">
              <w:rPr>
                <w:rFonts w:ascii="Calibri Light" w:hAnsi="Calibri Light"/>
                <w:sz w:val="16"/>
                <w:szCs w:val="16"/>
              </w:rPr>
              <w:t>12,0</w:t>
            </w:r>
          </w:p>
        </w:tc>
        <w:tc>
          <w:tcPr>
            <w:tcW w:w="323" w:type="pct"/>
            <w:shd w:val="clear" w:color="auto" w:fill="B8CCE4" w:themeFill="accent1" w:themeFillTint="66"/>
          </w:tcPr>
          <w:p w:rsidR="00F90E03" w:rsidRPr="005565F8" w:rsidP="00F90E03" w14:paraId="342577B0" w14:textId="77777777">
            <w:pPr>
              <w:spacing w:before="20" w:after="20"/>
              <w:jc w:val="right"/>
              <w:rPr>
                <w:rFonts w:ascii="Calibri Light" w:hAnsi="Calibri Light"/>
                <w:sz w:val="16"/>
                <w:szCs w:val="16"/>
              </w:rPr>
            </w:pPr>
            <w:r w:rsidRPr="005565F8">
              <w:rPr>
                <w:rFonts w:ascii="Calibri Light" w:hAnsi="Calibri Light"/>
                <w:sz w:val="16"/>
                <w:szCs w:val="16"/>
              </w:rPr>
              <w:t>12,0</w:t>
            </w:r>
          </w:p>
        </w:tc>
        <w:tc>
          <w:tcPr>
            <w:tcW w:w="323" w:type="pct"/>
            <w:shd w:val="clear" w:color="auto" w:fill="B8CCE4" w:themeFill="accent1" w:themeFillTint="66"/>
          </w:tcPr>
          <w:p w:rsidR="00F90E03" w:rsidRPr="005565F8" w:rsidP="00F90E03" w14:paraId="1C6D61E6" w14:textId="77777777">
            <w:pPr>
              <w:spacing w:before="20" w:after="20"/>
              <w:jc w:val="right"/>
              <w:rPr>
                <w:rFonts w:ascii="Calibri Light" w:hAnsi="Calibri Light"/>
                <w:sz w:val="16"/>
                <w:szCs w:val="16"/>
              </w:rPr>
            </w:pPr>
            <w:r w:rsidRPr="005565F8">
              <w:rPr>
                <w:rFonts w:ascii="Calibri Light" w:hAnsi="Calibri Light"/>
                <w:sz w:val="16"/>
                <w:szCs w:val="16"/>
              </w:rPr>
              <w:t>12,1</w:t>
            </w:r>
          </w:p>
        </w:tc>
        <w:tc>
          <w:tcPr>
            <w:tcW w:w="323" w:type="pct"/>
            <w:shd w:val="clear" w:color="auto" w:fill="B8CCE4" w:themeFill="accent1" w:themeFillTint="66"/>
          </w:tcPr>
          <w:p w:rsidR="00F90E03" w:rsidRPr="005565F8" w:rsidP="00F90E03" w14:paraId="2B51688E" w14:textId="77777777">
            <w:pPr>
              <w:spacing w:before="20" w:after="20"/>
              <w:jc w:val="right"/>
              <w:rPr>
                <w:rFonts w:ascii="Calibri Light" w:hAnsi="Calibri Light"/>
                <w:sz w:val="16"/>
                <w:szCs w:val="16"/>
              </w:rPr>
            </w:pPr>
            <w:r w:rsidRPr="005565F8">
              <w:rPr>
                <w:rFonts w:ascii="Calibri Light" w:hAnsi="Calibri Light"/>
                <w:sz w:val="16"/>
                <w:szCs w:val="16"/>
              </w:rPr>
              <w:t>12,1</w:t>
            </w:r>
          </w:p>
        </w:tc>
        <w:tc>
          <w:tcPr>
            <w:tcW w:w="323" w:type="pct"/>
            <w:shd w:val="clear" w:color="auto" w:fill="B8CCE4" w:themeFill="accent1" w:themeFillTint="66"/>
            <w:noWrap/>
          </w:tcPr>
          <w:p w:rsidR="00F90E03" w:rsidRPr="005565F8" w:rsidP="00F90E03" w14:paraId="6D24EBAC" w14:textId="77777777">
            <w:pPr>
              <w:spacing w:before="20" w:after="20"/>
              <w:jc w:val="right"/>
              <w:rPr>
                <w:rFonts w:ascii="Calibri Light" w:hAnsi="Calibri Light"/>
                <w:sz w:val="16"/>
                <w:szCs w:val="16"/>
              </w:rPr>
            </w:pPr>
            <w:r w:rsidRPr="005565F8">
              <w:rPr>
                <w:rFonts w:ascii="Calibri Light" w:hAnsi="Calibri Light"/>
                <w:sz w:val="16"/>
                <w:szCs w:val="16"/>
              </w:rPr>
              <w:t>12,1</w:t>
            </w:r>
          </w:p>
        </w:tc>
        <w:tc>
          <w:tcPr>
            <w:tcW w:w="323" w:type="pct"/>
            <w:shd w:val="clear" w:color="auto" w:fill="B8CCE4" w:themeFill="accent1" w:themeFillTint="66"/>
            <w:noWrap/>
          </w:tcPr>
          <w:p w:rsidR="00F90E03" w:rsidRPr="005565F8" w:rsidP="00F90E03" w14:paraId="3C720864" w14:textId="77777777">
            <w:pPr>
              <w:spacing w:before="20" w:after="20"/>
              <w:jc w:val="right"/>
              <w:rPr>
                <w:rFonts w:ascii="Calibri Light" w:hAnsi="Calibri Light"/>
                <w:sz w:val="16"/>
                <w:szCs w:val="16"/>
              </w:rPr>
            </w:pPr>
            <w:r w:rsidRPr="005565F8">
              <w:rPr>
                <w:rFonts w:ascii="Calibri Light" w:hAnsi="Calibri Light"/>
                <w:sz w:val="16"/>
                <w:szCs w:val="16"/>
              </w:rPr>
              <w:t>12,2</w:t>
            </w:r>
          </w:p>
        </w:tc>
        <w:tc>
          <w:tcPr>
            <w:tcW w:w="318" w:type="pct"/>
            <w:shd w:val="clear" w:color="auto" w:fill="B8CCE4" w:themeFill="accent1" w:themeFillTint="66"/>
          </w:tcPr>
          <w:p w:rsidR="00F90E03" w:rsidRPr="005565F8" w:rsidP="00F90E03" w14:paraId="7DB8B52C" w14:textId="77777777">
            <w:pPr>
              <w:spacing w:before="20" w:after="20"/>
              <w:jc w:val="right"/>
              <w:rPr>
                <w:rFonts w:ascii="Calibri Light" w:hAnsi="Calibri Light"/>
                <w:sz w:val="16"/>
                <w:szCs w:val="16"/>
              </w:rPr>
            </w:pPr>
            <w:r w:rsidRPr="005565F8">
              <w:rPr>
                <w:rFonts w:ascii="Calibri Light" w:hAnsi="Calibri Light"/>
                <w:sz w:val="16"/>
                <w:szCs w:val="16"/>
              </w:rPr>
              <w:t>12,2</w:t>
            </w:r>
          </w:p>
        </w:tc>
      </w:tr>
      <w:tr w14:paraId="23479C0B" w14:textId="77777777" w:rsidTr="000444FE">
        <w:tblPrEx>
          <w:tblW w:w="4999" w:type="pct"/>
          <w:tblLayout w:type="fixed"/>
          <w:tblLook w:val="04A0"/>
        </w:tblPrEx>
        <w:trPr>
          <w:trHeight w:val="113"/>
        </w:trPr>
        <w:tc>
          <w:tcPr>
            <w:tcW w:w="1971" w:type="pct"/>
            <w:noWrap/>
          </w:tcPr>
          <w:p w:rsidR="00F90E03" w:rsidRPr="005565F8" w:rsidP="00F90E03" w14:paraId="785AF8E7" w14:textId="77777777">
            <w:pPr>
              <w:spacing w:before="20" w:after="20"/>
              <w:rPr>
                <w:rFonts w:ascii="Calibri Light" w:hAnsi="Calibri Light"/>
                <w:bCs/>
                <w:color w:val="000000"/>
                <w:sz w:val="16"/>
                <w:szCs w:val="16"/>
              </w:rPr>
            </w:pPr>
            <w:r w:rsidRPr="005565F8">
              <w:rPr>
                <w:rFonts w:ascii="Calibri Light" w:eastAsia="Times New Roman" w:hAnsi="Calibri Light"/>
                <w:color w:val="000000" w:themeColor="text1"/>
                <w:sz w:val="16"/>
                <w:szCs w:val="16"/>
              </w:rPr>
              <w:t>ES ETS emisijas</w:t>
            </w:r>
            <w:r>
              <w:rPr>
                <w:rStyle w:val="FootnoteReference"/>
                <w:rFonts w:ascii="Calibri Light" w:eastAsia="Times New Roman" w:hAnsi="Calibri Light"/>
                <w:color w:val="000000" w:themeColor="text1"/>
                <w:sz w:val="16"/>
                <w:szCs w:val="16"/>
              </w:rPr>
              <w:footnoteReference w:id="67"/>
            </w:r>
          </w:p>
        </w:tc>
        <w:tc>
          <w:tcPr>
            <w:tcW w:w="322" w:type="pct"/>
            <w:noWrap/>
          </w:tcPr>
          <w:p w:rsidR="00F90E03" w:rsidRPr="005565F8" w:rsidP="00F90E03" w14:paraId="550BB1D9" w14:textId="77777777">
            <w:pPr>
              <w:spacing w:before="20" w:after="20"/>
              <w:jc w:val="right"/>
              <w:rPr>
                <w:rFonts w:ascii="Calibri Light" w:hAnsi="Calibri Light"/>
                <w:sz w:val="16"/>
                <w:szCs w:val="16"/>
              </w:rPr>
            </w:pPr>
            <w:r w:rsidRPr="005565F8">
              <w:rPr>
                <w:rFonts w:ascii="Calibri Light" w:hAnsi="Calibri Light"/>
                <w:sz w:val="16"/>
                <w:szCs w:val="16"/>
              </w:rPr>
              <w:t>2,9</w:t>
            </w:r>
          </w:p>
        </w:tc>
        <w:tc>
          <w:tcPr>
            <w:tcW w:w="127" w:type="pct"/>
          </w:tcPr>
          <w:p w:rsidR="00F90E03" w:rsidRPr="005565F8" w:rsidP="00F90E03" w14:paraId="3CB2BC75" w14:textId="77777777">
            <w:pPr>
              <w:tabs>
                <w:tab w:val="decimal" w:pos="393"/>
              </w:tabs>
              <w:spacing w:before="20" w:after="20"/>
              <w:ind w:left="-113" w:right="-113"/>
              <w:jc w:val="right"/>
              <w:rPr>
                <w:rFonts w:ascii="Calibri Light" w:hAnsi="Calibri Light"/>
                <w:bCs/>
                <w:color w:val="000000"/>
                <w:sz w:val="8"/>
                <w:szCs w:val="8"/>
              </w:rPr>
            </w:pPr>
          </w:p>
        </w:tc>
        <w:tc>
          <w:tcPr>
            <w:tcW w:w="322" w:type="pct"/>
          </w:tcPr>
          <w:p w:rsidR="00F90E03" w:rsidRPr="005565F8" w:rsidP="00F90E03" w14:paraId="2FF49A30" w14:textId="77777777">
            <w:pPr>
              <w:spacing w:before="20" w:after="20"/>
              <w:jc w:val="right"/>
              <w:rPr>
                <w:rFonts w:ascii="Calibri Light" w:hAnsi="Calibri Light"/>
                <w:sz w:val="16"/>
                <w:szCs w:val="16"/>
              </w:rPr>
            </w:pPr>
            <w:r w:rsidRPr="005565F8">
              <w:rPr>
                <w:rFonts w:ascii="Calibri Light" w:hAnsi="Calibri Light"/>
                <w:sz w:val="16"/>
                <w:szCs w:val="16"/>
              </w:rPr>
              <w:t>2,7</w:t>
            </w:r>
          </w:p>
        </w:tc>
        <w:tc>
          <w:tcPr>
            <w:tcW w:w="323" w:type="pct"/>
          </w:tcPr>
          <w:p w:rsidR="00F90E03" w:rsidRPr="005565F8" w:rsidP="00F90E03" w14:paraId="55CBFA6E" w14:textId="77777777">
            <w:pPr>
              <w:spacing w:before="20" w:after="20"/>
              <w:jc w:val="right"/>
              <w:rPr>
                <w:rFonts w:ascii="Calibri Light" w:hAnsi="Calibri Light"/>
                <w:sz w:val="16"/>
                <w:szCs w:val="16"/>
              </w:rPr>
            </w:pPr>
            <w:r w:rsidRPr="005565F8">
              <w:rPr>
                <w:rFonts w:ascii="Calibri Light" w:hAnsi="Calibri Light"/>
                <w:sz w:val="16"/>
                <w:szCs w:val="16"/>
              </w:rPr>
              <w:t>2,4</w:t>
            </w:r>
          </w:p>
        </w:tc>
        <w:tc>
          <w:tcPr>
            <w:tcW w:w="323" w:type="pct"/>
          </w:tcPr>
          <w:p w:rsidR="00F90E03" w:rsidRPr="005565F8" w:rsidP="00F90E03" w14:paraId="0D532362" w14:textId="77777777">
            <w:pPr>
              <w:spacing w:before="20" w:after="20"/>
              <w:jc w:val="right"/>
              <w:rPr>
                <w:rFonts w:ascii="Calibri Light" w:hAnsi="Calibri Light"/>
                <w:sz w:val="16"/>
                <w:szCs w:val="16"/>
              </w:rPr>
            </w:pPr>
            <w:r w:rsidRPr="005565F8">
              <w:rPr>
                <w:rFonts w:ascii="Calibri Light" w:hAnsi="Calibri Light"/>
                <w:sz w:val="16"/>
                <w:szCs w:val="16"/>
              </w:rPr>
              <w:t>2,3</w:t>
            </w:r>
          </w:p>
        </w:tc>
        <w:tc>
          <w:tcPr>
            <w:tcW w:w="323" w:type="pct"/>
          </w:tcPr>
          <w:p w:rsidR="00F90E03" w:rsidRPr="005565F8" w:rsidP="00F90E03" w14:paraId="49811CC6" w14:textId="77777777">
            <w:pPr>
              <w:spacing w:before="20" w:after="20"/>
              <w:jc w:val="right"/>
              <w:rPr>
                <w:rFonts w:ascii="Calibri Light" w:hAnsi="Calibri Light"/>
                <w:sz w:val="16"/>
                <w:szCs w:val="16"/>
              </w:rPr>
            </w:pPr>
            <w:r w:rsidRPr="005565F8">
              <w:rPr>
                <w:rFonts w:ascii="Calibri Light" w:hAnsi="Calibri Light"/>
                <w:sz w:val="16"/>
                <w:szCs w:val="16"/>
              </w:rPr>
              <w:t>2,2</w:t>
            </w:r>
          </w:p>
        </w:tc>
        <w:tc>
          <w:tcPr>
            <w:tcW w:w="323" w:type="pct"/>
          </w:tcPr>
          <w:p w:rsidR="00F90E03" w:rsidRPr="005565F8" w:rsidP="00F90E03" w14:paraId="7939BE47" w14:textId="77777777">
            <w:pPr>
              <w:spacing w:before="20" w:after="20"/>
              <w:jc w:val="right"/>
              <w:rPr>
                <w:rFonts w:ascii="Calibri Light" w:hAnsi="Calibri Light"/>
                <w:sz w:val="16"/>
                <w:szCs w:val="16"/>
              </w:rPr>
            </w:pPr>
            <w:r w:rsidRPr="005565F8">
              <w:rPr>
                <w:rFonts w:ascii="Calibri Light" w:hAnsi="Calibri Light"/>
                <w:sz w:val="16"/>
                <w:szCs w:val="16"/>
              </w:rPr>
              <w:t>2,4</w:t>
            </w:r>
          </w:p>
        </w:tc>
        <w:tc>
          <w:tcPr>
            <w:tcW w:w="323" w:type="pct"/>
            <w:noWrap/>
          </w:tcPr>
          <w:p w:rsidR="00F90E03" w:rsidRPr="005565F8" w:rsidP="00F90E03" w14:paraId="3745AEA4" w14:textId="77777777">
            <w:pPr>
              <w:spacing w:before="20" w:after="20"/>
              <w:jc w:val="right"/>
              <w:rPr>
                <w:rFonts w:ascii="Calibri Light" w:hAnsi="Calibri Light"/>
                <w:sz w:val="16"/>
                <w:szCs w:val="16"/>
              </w:rPr>
            </w:pPr>
            <w:r w:rsidRPr="005565F8">
              <w:rPr>
                <w:rFonts w:ascii="Calibri Light" w:hAnsi="Calibri Light"/>
                <w:sz w:val="16"/>
                <w:szCs w:val="16"/>
              </w:rPr>
              <w:t>2,4</w:t>
            </w:r>
          </w:p>
        </w:tc>
        <w:tc>
          <w:tcPr>
            <w:tcW w:w="323" w:type="pct"/>
            <w:noWrap/>
          </w:tcPr>
          <w:p w:rsidR="00F90E03" w:rsidRPr="005565F8" w:rsidP="00F90E03" w14:paraId="0749A55E" w14:textId="77777777">
            <w:pPr>
              <w:spacing w:before="20" w:after="20"/>
              <w:jc w:val="right"/>
              <w:rPr>
                <w:rFonts w:ascii="Calibri Light" w:hAnsi="Calibri Light"/>
                <w:sz w:val="16"/>
                <w:szCs w:val="16"/>
              </w:rPr>
            </w:pPr>
            <w:r w:rsidRPr="005565F8">
              <w:rPr>
                <w:rFonts w:ascii="Calibri Light" w:hAnsi="Calibri Light"/>
                <w:sz w:val="16"/>
                <w:szCs w:val="16"/>
              </w:rPr>
              <w:t>2,4</w:t>
            </w:r>
          </w:p>
        </w:tc>
        <w:tc>
          <w:tcPr>
            <w:tcW w:w="318" w:type="pct"/>
          </w:tcPr>
          <w:p w:rsidR="00F90E03" w:rsidRPr="005565F8" w:rsidP="00F90E03" w14:paraId="2F59CE2F" w14:textId="77777777">
            <w:pPr>
              <w:spacing w:before="20" w:after="20"/>
              <w:jc w:val="right"/>
              <w:rPr>
                <w:rFonts w:ascii="Calibri Light" w:hAnsi="Calibri Light"/>
                <w:sz w:val="16"/>
                <w:szCs w:val="16"/>
              </w:rPr>
            </w:pPr>
            <w:r w:rsidRPr="005565F8">
              <w:rPr>
                <w:rFonts w:ascii="Calibri Light" w:hAnsi="Calibri Light"/>
                <w:sz w:val="16"/>
                <w:szCs w:val="16"/>
              </w:rPr>
              <w:t>2,4</w:t>
            </w:r>
          </w:p>
        </w:tc>
      </w:tr>
      <w:tr w14:paraId="030076C9" w14:textId="77777777" w:rsidTr="00D610DB">
        <w:tblPrEx>
          <w:tblW w:w="4999" w:type="pct"/>
          <w:tblLayout w:type="fixed"/>
          <w:tblLook w:val="04A0"/>
        </w:tblPrEx>
        <w:trPr>
          <w:trHeight w:val="57"/>
        </w:trPr>
        <w:tc>
          <w:tcPr>
            <w:tcW w:w="1971" w:type="pct"/>
            <w:shd w:val="clear" w:color="auto" w:fill="B8CCE4" w:themeFill="accent1" w:themeFillTint="66"/>
            <w:noWrap/>
          </w:tcPr>
          <w:p w:rsidR="00F90E03" w:rsidRPr="005565F8" w:rsidP="00F90E03" w14:paraId="0D3A29F7" w14:textId="77777777">
            <w:pPr>
              <w:spacing w:before="20" w:after="20"/>
              <w:rPr>
                <w:rFonts w:ascii="Calibri Light" w:hAnsi="Calibri Light"/>
                <w:bCs/>
                <w:color w:val="000000"/>
                <w:sz w:val="16"/>
                <w:szCs w:val="16"/>
              </w:rPr>
            </w:pPr>
            <w:r w:rsidRPr="005565F8">
              <w:rPr>
                <w:rFonts w:ascii="Calibri Light" w:eastAsia="Times New Roman" w:hAnsi="Calibri Light"/>
                <w:color w:val="000000" w:themeColor="text1"/>
                <w:sz w:val="16"/>
                <w:szCs w:val="16"/>
              </w:rPr>
              <w:t>Latvijas nacionālais ES ETS SEG emisiju mērķis</w:t>
            </w:r>
            <w:r>
              <w:rPr>
                <w:rStyle w:val="FootnoteReference"/>
                <w:rFonts w:ascii="Calibri Light" w:eastAsia="Times New Roman" w:hAnsi="Calibri Light"/>
                <w:color w:val="000000" w:themeColor="text1"/>
                <w:sz w:val="16"/>
                <w:szCs w:val="16"/>
              </w:rPr>
              <w:footnoteReference w:id="68"/>
            </w:r>
          </w:p>
        </w:tc>
        <w:tc>
          <w:tcPr>
            <w:tcW w:w="322" w:type="pct"/>
            <w:shd w:val="clear" w:color="auto" w:fill="B8CCE4" w:themeFill="accent1" w:themeFillTint="66"/>
            <w:noWrap/>
          </w:tcPr>
          <w:p w:rsidR="00F90E03" w:rsidRPr="005565F8" w:rsidP="00F90E03" w14:paraId="0B68A5A7" w14:textId="77777777">
            <w:pPr>
              <w:spacing w:before="20" w:after="20"/>
              <w:jc w:val="right"/>
              <w:rPr>
                <w:rFonts w:ascii="Calibri Light" w:hAnsi="Calibri Light"/>
                <w:sz w:val="16"/>
                <w:szCs w:val="16"/>
              </w:rPr>
            </w:pPr>
          </w:p>
        </w:tc>
        <w:tc>
          <w:tcPr>
            <w:tcW w:w="127" w:type="pct"/>
            <w:shd w:val="clear" w:color="auto" w:fill="B8CCE4" w:themeFill="accent1" w:themeFillTint="66"/>
          </w:tcPr>
          <w:p w:rsidR="00F90E03" w:rsidRPr="005565F8" w:rsidP="00F90E03" w14:paraId="48A79EA1" w14:textId="77777777">
            <w:pPr>
              <w:tabs>
                <w:tab w:val="decimal" w:pos="393"/>
              </w:tabs>
              <w:spacing w:before="20" w:after="20"/>
              <w:ind w:left="-113" w:right="-113"/>
              <w:jc w:val="right"/>
              <w:rPr>
                <w:rFonts w:ascii="Calibri Light" w:hAnsi="Calibri Light"/>
                <w:bCs/>
                <w:color w:val="000000"/>
                <w:sz w:val="8"/>
                <w:szCs w:val="8"/>
              </w:rPr>
            </w:pPr>
          </w:p>
        </w:tc>
        <w:tc>
          <w:tcPr>
            <w:tcW w:w="322" w:type="pct"/>
            <w:shd w:val="clear" w:color="auto" w:fill="B8CCE4" w:themeFill="accent1" w:themeFillTint="66"/>
          </w:tcPr>
          <w:p w:rsidR="00F90E03" w:rsidRPr="005565F8" w:rsidP="00F90E03" w14:paraId="617D71B5" w14:textId="77777777">
            <w:pPr>
              <w:spacing w:before="20" w:after="20"/>
              <w:jc w:val="right"/>
              <w:rPr>
                <w:rFonts w:ascii="Calibri Light" w:hAnsi="Calibri Light"/>
                <w:sz w:val="16"/>
                <w:szCs w:val="16"/>
              </w:rPr>
            </w:pPr>
            <w:r w:rsidRPr="005565F8">
              <w:rPr>
                <w:rFonts w:ascii="Calibri Light" w:hAnsi="Calibri Light"/>
                <w:sz w:val="16"/>
                <w:szCs w:val="16"/>
              </w:rPr>
              <w:t>-</w:t>
            </w:r>
          </w:p>
        </w:tc>
        <w:tc>
          <w:tcPr>
            <w:tcW w:w="323" w:type="pct"/>
            <w:shd w:val="clear" w:color="auto" w:fill="B8CCE4" w:themeFill="accent1" w:themeFillTint="66"/>
          </w:tcPr>
          <w:p w:rsidR="00F90E03" w:rsidRPr="005565F8" w:rsidP="00F90E03" w14:paraId="24802A30" w14:textId="77777777">
            <w:pPr>
              <w:spacing w:before="20" w:after="20"/>
              <w:jc w:val="right"/>
              <w:rPr>
                <w:rFonts w:ascii="Calibri Light" w:hAnsi="Calibri Light"/>
                <w:sz w:val="16"/>
                <w:szCs w:val="16"/>
              </w:rPr>
            </w:pPr>
            <w:r w:rsidRPr="005565F8">
              <w:rPr>
                <w:rFonts w:ascii="Calibri Light" w:hAnsi="Calibri Light"/>
                <w:sz w:val="16"/>
                <w:szCs w:val="16"/>
              </w:rPr>
              <w:t>-</w:t>
            </w:r>
          </w:p>
        </w:tc>
        <w:tc>
          <w:tcPr>
            <w:tcW w:w="323" w:type="pct"/>
            <w:shd w:val="clear" w:color="auto" w:fill="B8CCE4" w:themeFill="accent1" w:themeFillTint="66"/>
          </w:tcPr>
          <w:p w:rsidR="00F90E03" w:rsidRPr="005565F8" w:rsidP="00F90E03" w14:paraId="63DF2975" w14:textId="77777777">
            <w:pPr>
              <w:spacing w:before="20" w:after="20"/>
              <w:jc w:val="right"/>
              <w:rPr>
                <w:rFonts w:ascii="Calibri Light" w:hAnsi="Calibri Light"/>
                <w:sz w:val="16"/>
                <w:szCs w:val="16"/>
              </w:rPr>
            </w:pPr>
            <w:r w:rsidRPr="005565F8">
              <w:rPr>
                <w:rFonts w:ascii="Calibri Light" w:hAnsi="Calibri Light"/>
                <w:sz w:val="16"/>
                <w:szCs w:val="16"/>
              </w:rPr>
              <w:t>-</w:t>
            </w:r>
          </w:p>
        </w:tc>
        <w:tc>
          <w:tcPr>
            <w:tcW w:w="323" w:type="pct"/>
            <w:shd w:val="clear" w:color="auto" w:fill="B8CCE4" w:themeFill="accent1" w:themeFillTint="66"/>
          </w:tcPr>
          <w:p w:rsidR="00F90E03" w:rsidRPr="005565F8" w:rsidP="00F90E03" w14:paraId="03466C49" w14:textId="77777777">
            <w:pPr>
              <w:spacing w:before="20" w:after="20"/>
              <w:jc w:val="right"/>
              <w:rPr>
                <w:rFonts w:ascii="Calibri Light" w:hAnsi="Calibri Light"/>
                <w:sz w:val="16"/>
                <w:szCs w:val="16"/>
              </w:rPr>
            </w:pPr>
            <w:r w:rsidRPr="005565F8">
              <w:rPr>
                <w:rFonts w:ascii="Calibri Light" w:hAnsi="Calibri Light"/>
                <w:sz w:val="16"/>
                <w:szCs w:val="16"/>
              </w:rPr>
              <w:t>-</w:t>
            </w:r>
          </w:p>
        </w:tc>
        <w:tc>
          <w:tcPr>
            <w:tcW w:w="323" w:type="pct"/>
            <w:shd w:val="clear" w:color="auto" w:fill="B8CCE4" w:themeFill="accent1" w:themeFillTint="66"/>
          </w:tcPr>
          <w:p w:rsidR="00F90E03" w:rsidRPr="005565F8" w:rsidP="00F90E03" w14:paraId="3FB4ECE2" w14:textId="77777777">
            <w:pPr>
              <w:spacing w:before="20" w:after="20"/>
              <w:jc w:val="right"/>
              <w:rPr>
                <w:rFonts w:ascii="Calibri Light" w:hAnsi="Calibri Light"/>
                <w:sz w:val="16"/>
                <w:szCs w:val="16"/>
              </w:rPr>
            </w:pPr>
            <w:r w:rsidRPr="005565F8">
              <w:rPr>
                <w:rFonts w:ascii="Calibri Light" w:hAnsi="Calibri Light"/>
                <w:sz w:val="16"/>
                <w:szCs w:val="16"/>
              </w:rPr>
              <w:t>-</w:t>
            </w:r>
          </w:p>
        </w:tc>
        <w:tc>
          <w:tcPr>
            <w:tcW w:w="323" w:type="pct"/>
            <w:shd w:val="clear" w:color="auto" w:fill="B8CCE4" w:themeFill="accent1" w:themeFillTint="66"/>
            <w:noWrap/>
          </w:tcPr>
          <w:p w:rsidR="00F90E03" w:rsidRPr="005565F8" w:rsidP="00F90E03" w14:paraId="1AF07512" w14:textId="77777777">
            <w:pPr>
              <w:spacing w:before="20" w:after="20"/>
              <w:jc w:val="right"/>
              <w:rPr>
                <w:rFonts w:ascii="Calibri Light" w:hAnsi="Calibri Light"/>
                <w:sz w:val="16"/>
                <w:szCs w:val="16"/>
              </w:rPr>
            </w:pPr>
            <w:r w:rsidRPr="005565F8">
              <w:rPr>
                <w:rFonts w:ascii="Calibri Light" w:hAnsi="Calibri Light"/>
                <w:sz w:val="16"/>
                <w:szCs w:val="16"/>
              </w:rPr>
              <w:t>-</w:t>
            </w:r>
          </w:p>
        </w:tc>
        <w:tc>
          <w:tcPr>
            <w:tcW w:w="323" w:type="pct"/>
            <w:shd w:val="clear" w:color="auto" w:fill="B8CCE4" w:themeFill="accent1" w:themeFillTint="66"/>
            <w:noWrap/>
          </w:tcPr>
          <w:p w:rsidR="00F90E03" w:rsidRPr="005565F8" w:rsidP="00F90E03" w14:paraId="15C7EB4A" w14:textId="77777777">
            <w:pPr>
              <w:spacing w:before="20" w:after="20"/>
              <w:jc w:val="right"/>
              <w:rPr>
                <w:rFonts w:ascii="Calibri Light" w:hAnsi="Calibri Light"/>
                <w:sz w:val="16"/>
                <w:szCs w:val="16"/>
              </w:rPr>
            </w:pPr>
            <w:r w:rsidRPr="005565F8">
              <w:rPr>
                <w:rFonts w:ascii="Calibri Light" w:hAnsi="Calibri Light"/>
                <w:sz w:val="16"/>
                <w:szCs w:val="16"/>
              </w:rPr>
              <w:t>-</w:t>
            </w:r>
          </w:p>
        </w:tc>
        <w:tc>
          <w:tcPr>
            <w:tcW w:w="318" w:type="pct"/>
            <w:shd w:val="clear" w:color="auto" w:fill="B8CCE4" w:themeFill="accent1" w:themeFillTint="66"/>
          </w:tcPr>
          <w:p w:rsidR="00F90E03" w:rsidRPr="005565F8" w:rsidP="00F90E03" w14:paraId="319A2EC1" w14:textId="77777777">
            <w:pPr>
              <w:spacing w:before="20" w:after="20"/>
              <w:jc w:val="right"/>
              <w:rPr>
                <w:rFonts w:ascii="Calibri Light" w:hAnsi="Calibri Light"/>
                <w:sz w:val="16"/>
                <w:szCs w:val="16"/>
              </w:rPr>
            </w:pPr>
            <w:r w:rsidRPr="005565F8">
              <w:rPr>
                <w:rFonts w:ascii="Calibri Light" w:hAnsi="Calibri Light"/>
                <w:sz w:val="16"/>
                <w:szCs w:val="16"/>
              </w:rPr>
              <w:t>2,3</w:t>
            </w:r>
          </w:p>
        </w:tc>
      </w:tr>
      <w:tr w14:paraId="2B67A866" w14:textId="77777777" w:rsidTr="00E02326">
        <w:tblPrEx>
          <w:tblW w:w="4999" w:type="pct"/>
          <w:tblLayout w:type="fixed"/>
          <w:tblLook w:val="04A0"/>
        </w:tblPrEx>
        <w:trPr>
          <w:trHeight w:val="256"/>
        </w:trPr>
        <w:tc>
          <w:tcPr>
            <w:tcW w:w="1971" w:type="pct"/>
            <w:noWrap/>
          </w:tcPr>
          <w:p w:rsidR="00F90E03" w:rsidRPr="005565F8" w:rsidP="00F90E03" w14:paraId="43D9BA3C" w14:textId="77777777">
            <w:pPr>
              <w:spacing w:before="20" w:after="20"/>
              <w:rPr>
                <w:rFonts w:ascii="Calibri Light" w:hAnsi="Calibri Light"/>
                <w:bCs/>
                <w:color w:val="000000"/>
                <w:sz w:val="16"/>
                <w:szCs w:val="16"/>
              </w:rPr>
            </w:pPr>
            <w:r w:rsidRPr="005565F8">
              <w:rPr>
                <w:rFonts w:ascii="Calibri Light" w:eastAsia="Times New Roman" w:hAnsi="Calibri Light"/>
                <w:color w:val="000000" w:themeColor="text1"/>
                <w:sz w:val="16"/>
                <w:szCs w:val="16"/>
              </w:rPr>
              <w:t>Ne-ETS emisijas</w:t>
            </w:r>
            <w:r>
              <w:rPr>
                <w:rStyle w:val="FootnoteReference"/>
                <w:rFonts w:ascii="Calibri Light" w:eastAsia="Times New Roman" w:hAnsi="Calibri Light"/>
                <w:color w:val="000000" w:themeColor="text1"/>
                <w:sz w:val="16"/>
                <w:szCs w:val="16"/>
              </w:rPr>
              <w:footnoteReference w:id="69"/>
            </w:r>
          </w:p>
        </w:tc>
        <w:tc>
          <w:tcPr>
            <w:tcW w:w="322" w:type="pct"/>
            <w:noWrap/>
          </w:tcPr>
          <w:p w:rsidR="00F90E03" w:rsidRPr="005565F8" w:rsidP="00F90E03" w14:paraId="12CA7900" w14:textId="77777777">
            <w:pPr>
              <w:spacing w:before="20" w:after="20"/>
              <w:jc w:val="right"/>
              <w:rPr>
                <w:rFonts w:ascii="Calibri Light" w:hAnsi="Calibri Light"/>
                <w:sz w:val="16"/>
                <w:szCs w:val="16"/>
              </w:rPr>
            </w:pPr>
            <w:r w:rsidRPr="005565F8">
              <w:rPr>
                <w:rFonts w:ascii="Calibri Light" w:hAnsi="Calibri Light"/>
                <w:sz w:val="16"/>
                <w:szCs w:val="16"/>
              </w:rPr>
              <w:t>8,5</w:t>
            </w:r>
          </w:p>
        </w:tc>
        <w:tc>
          <w:tcPr>
            <w:tcW w:w="127" w:type="pct"/>
          </w:tcPr>
          <w:p w:rsidR="00F90E03" w:rsidRPr="005565F8" w:rsidP="00F90E03" w14:paraId="7C90C060" w14:textId="77777777">
            <w:pPr>
              <w:tabs>
                <w:tab w:val="decimal" w:pos="393"/>
              </w:tabs>
              <w:spacing w:before="20" w:after="20"/>
              <w:ind w:left="-113" w:right="-113"/>
              <w:jc w:val="right"/>
              <w:rPr>
                <w:rFonts w:ascii="Calibri Light" w:hAnsi="Calibri Light"/>
                <w:bCs/>
                <w:color w:val="000000"/>
                <w:sz w:val="8"/>
                <w:szCs w:val="8"/>
              </w:rPr>
            </w:pPr>
          </w:p>
        </w:tc>
        <w:tc>
          <w:tcPr>
            <w:tcW w:w="322" w:type="pct"/>
          </w:tcPr>
          <w:p w:rsidR="00F90E03" w:rsidRPr="005565F8" w:rsidP="00F90E03" w14:paraId="583118BC" w14:textId="77777777">
            <w:pPr>
              <w:spacing w:before="20" w:after="20"/>
              <w:jc w:val="right"/>
              <w:rPr>
                <w:rFonts w:ascii="Calibri Light" w:hAnsi="Calibri Light"/>
                <w:sz w:val="16"/>
                <w:szCs w:val="16"/>
              </w:rPr>
            </w:pPr>
            <w:r w:rsidRPr="005565F8">
              <w:rPr>
                <w:rFonts w:ascii="Calibri Light" w:hAnsi="Calibri Light"/>
                <w:sz w:val="16"/>
                <w:szCs w:val="16"/>
              </w:rPr>
              <w:t>8,6</w:t>
            </w:r>
          </w:p>
        </w:tc>
        <w:tc>
          <w:tcPr>
            <w:tcW w:w="323" w:type="pct"/>
          </w:tcPr>
          <w:p w:rsidR="00F90E03" w:rsidRPr="005565F8" w:rsidP="00F90E03" w14:paraId="6E8ED9DB" w14:textId="77777777">
            <w:pPr>
              <w:spacing w:before="20" w:after="20"/>
              <w:jc w:val="right"/>
              <w:rPr>
                <w:rFonts w:ascii="Calibri Light" w:hAnsi="Calibri Light"/>
                <w:sz w:val="16"/>
                <w:szCs w:val="16"/>
              </w:rPr>
            </w:pPr>
            <w:r w:rsidRPr="005565F8">
              <w:rPr>
                <w:rFonts w:ascii="Calibri Light" w:hAnsi="Calibri Light"/>
                <w:sz w:val="16"/>
                <w:szCs w:val="16"/>
              </w:rPr>
              <w:t>8,9</w:t>
            </w:r>
          </w:p>
        </w:tc>
        <w:tc>
          <w:tcPr>
            <w:tcW w:w="323" w:type="pct"/>
          </w:tcPr>
          <w:p w:rsidR="00F90E03" w:rsidRPr="005565F8" w:rsidP="00F90E03" w14:paraId="7948A688" w14:textId="77777777">
            <w:pPr>
              <w:spacing w:before="20" w:after="20"/>
              <w:jc w:val="right"/>
              <w:rPr>
                <w:rFonts w:ascii="Calibri Light" w:hAnsi="Calibri Light"/>
                <w:sz w:val="16"/>
                <w:szCs w:val="16"/>
              </w:rPr>
            </w:pPr>
            <w:r w:rsidRPr="005565F8">
              <w:rPr>
                <w:rFonts w:ascii="Calibri Light" w:hAnsi="Calibri Light"/>
                <w:sz w:val="16"/>
                <w:szCs w:val="16"/>
              </w:rPr>
              <w:t>9,0</w:t>
            </w:r>
          </w:p>
        </w:tc>
        <w:tc>
          <w:tcPr>
            <w:tcW w:w="323" w:type="pct"/>
          </w:tcPr>
          <w:p w:rsidR="00F90E03" w:rsidRPr="005565F8" w:rsidP="00F90E03" w14:paraId="7329B8E6" w14:textId="77777777">
            <w:pPr>
              <w:spacing w:before="20" w:after="20"/>
              <w:jc w:val="right"/>
              <w:rPr>
                <w:rFonts w:ascii="Calibri Light" w:hAnsi="Calibri Light"/>
                <w:sz w:val="16"/>
                <w:szCs w:val="16"/>
              </w:rPr>
            </w:pPr>
            <w:r w:rsidRPr="005565F8">
              <w:rPr>
                <w:rFonts w:ascii="Calibri Light" w:hAnsi="Calibri Light"/>
                <w:sz w:val="16"/>
                <w:szCs w:val="16"/>
              </w:rPr>
              <w:t>8,9</w:t>
            </w:r>
          </w:p>
        </w:tc>
        <w:tc>
          <w:tcPr>
            <w:tcW w:w="323" w:type="pct"/>
          </w:tcPr>
          <w:p w:rsidR="00F90E03" w:rsidRPr="005565F8" w:rsidP="00F90E03" w14:paraId="22A73562" w14:textId="77777777">
            <w:pPr>
              <w:spacing w:before="20" w:after="20"/>
              <w:jc w:val="right"/>
              <w:rPr>
                <w:rFonts w:ascii="Calibri Light" w:hAnsi="Calibri Light"/>
                <w:sz w:val="16"/>
                <w:szCs w:val="16"/>
              </w:rPr>
            </w:pPr>
            <w:r w:rsidRPr="005565F8">
              <w:rPr>
                <w:rFonts w:ascii="Calibri Light" w:hAnsi="Calibri Light"/>
                <w:sz w:val="16"/>
                <w:szCs w:val="16"/>
              </w:rPr>
              <w:t>9,1</w:t>
            </w:r>
          </w:p>
        </w:tc>
        <w:tc>
          <w:tcPr>
            <w:tcW w:w="323" w:type="pct"/>
            <w:noWrap/>
          </w:tcPr>
          <w:p w:rsidR="00F90E03" w:rsidRPr="005565F8" w:rsidP="00F90E03" w14:paraId="03B7C4C0" w14:textId="77777777">
            <w:pPr>
              <w:spacing w:before="20" w:after="20"/>
              <w:jc w:val="right"/>
              <w:rPr>
                <w:rFonts w:ascii="Calibri Light" w:hAnsi="Calibri Light"/>
                <w:sz w:val="16"/>
                <w:szCs w:val="16"/>
              </w:rPr>
            </w:pPr>
            <w:r w:rsidRPr="005565F8">
              <w:rPr>
                <w:rFonts w:ascii="Calibri Light" w:hAnsi="Calibri Light"/>
                <w:sz w:val="16"/>
                <w:szCs w:val="16"/>
              </w:rPr>
              <w:t>9,1</w:t>
            </w:r>
          </w:p>
        </w:tc>
        <w:tc>
          <w:tcPr>
            <w:tcW w:w="323" w:type="pct"/>
            <w:noWrap/>
          </w:tcPr>
          <w:p w:rsidR="00F90E03" w:rsidRPr="005565F8" w:rsidP="00F90E03" w14:paraId="3C03AC8D" w14:textId="77777777">
            <w:pPr>
              <w:spacing w:before="20" w:after="20"/>
              <w:jc w:val="right"/>
              <w:rPr>
                <w:rFonts w:ascii="Calibri Light" w:hAnsi="Calibri Light"/>
                <w:sz w:val="16"/>
                <w:szCs w:val="16"/>
              </w:rPr>
            </w:pPr>
            <w:r w:rsidRPr="005565F8">
              <w:rPr>
                <w:rFonts w:ascii="Calibri Light" w:hAnsi="Calibri Light"/>
                <w:sz w:val="16"/>
                <w:szCs w:val="16"/>
              </w:rPr>
              <w:t>9,2</w:t>
            </w:r>
          </w:p>
        </w:tc>
        <w:tc>
          <w:tcPr>
            <w:tcW w:w="318" w:type="pct"/>
          </w:tcPr>
          <w:p w:rsidR="00F90E03" w:rsidRPr="005565F8" w:rsidP="00F90E03" w14:paraId="73FF7CE7" w14:textId="77777777">
            <w:pPr>
              <w:spacing w:before="20" w:after="20"/>
              <w:jc w:val="right"/>
              <w:rPr>
                <w:rFonts w:ascii="Calibri Light" w:hAnsi="Calibri Light"/>
                <w:sz w:val="16"/>
                <w:szCs w:val="16"/>
              </w:rPr>
            </w:pPr>
            <w:r w:rsidRPr="005565F8">
              <w:rPr>
                <w:rFonts w:ascii="Calibri Light" w:hAnsi="Calibri Light"/>
                <w:sz w:val="16"/>
                <w:szCs w:val="16"/>
              </w:rPr>
              <w:t>9,2</w:t>
            </w:r>
          </w:p>
        </w:tc>
      </w:tr>
      <w:tr w14:paraId="44263975" w14:textId="77777777" w:rsidTr="00E02326">
        <w:tblPrEx>
          <w:tblW w:w="4999" w:type="pct"/>
          <w:tblLayout w:type="fixed"/>
          <w:tblLook w:val="04A0"/>
        </w:tblPrEx>
        <w:trPr>
          <w:trHeight w:val="256"/>
        </w:trPr>
        <w:tc>
          <w:tcPr>
            <w:tcW w:w="1971" w:type="pct"/>
            <w:tcBorders>
              <w:bottom w:val="single" w:sz="4" w:space="0" w:color="auto"/>
            </w:tcBorders>
            <w:shd w:val="clear" w:color="auto" w:fill="B8CCE4" w:themeFill="accent1" w:themeFillTint="66"/>
            <w:noWrap/>
          </w:tcPr>
          <w:p w:rsidR="00F90E03" w:rsidRPr="005565F8" w:rsidP="00F90E03" w14:paraId="42B41BE9" w14:textId="77777777">
            <w:pPr>
              <w:spacing w:before="20" w:after="20"/>
              <w:rPr>
                <w:rFonts w:ascii="Calibri Light" w:hAnsi="Calibri Light"/>
                <w:bCs/>
                <w:color w:val="000000"/>
                <w:sz w:val="16"/>
                <w:szCs w:val="16"/>
              </w:rPr>
            </w:pPr>
            <w:r w:rsidRPr="005565F8">
              <w:rPr>
                <w:rFonts w:ascii="Calibri Light" w:eastAsia="Times New Roman" w:hAnsi="Calibri Light"/>
                <w:color w:val="000000" w:themeColor="text1"/>
                <w:sz w:val="16"/>
                <w:szCs w:val="16"/>
              </w:rPr>
              <w:t>Latvijas ne-ETS SEG emisiju mērķis</w:t>
            </w:r>
            <w:r>
              <w:rPr>
                <w:rStyle w:val="FootnoteReference"/>
                <w:rFonts w:ascii="Calibri Light" w:eastAsia="Times New Roman" w:hAnsi="Calibri Light"/>
                <w:color w:val="000000" w:themeColor="text1"/>
                <w:sz w:val="16"/>
                <w:szCs w:val="16"/>
              </w:rPr>
              <w:footnoteReference w:id="70"/>
            </w:r>
            <w:r w:rsidRPr="005565F8">
              <w:rPr>
                <w:rFonts w:ascii="Calibri Light" w:eastAsia="Times New Roman" w:hAnsi="Calibri Light"/>
                <w:color w:val="000000" w:themeColor="text1"/>
                <w:sz w:val="16"/>
                <w:szCs w:val="16"/>
              </w:rPr>
              <w:t xml:space="preserve"> </w:t>
            </w:r>
          </w:p>
        </w:tc>
        <w:tc>
          <w:tcPr>
            <w:tcW w:w="322" w:type="pct"/>
            <w:tcBorders>
              <w:bottom w:val="single" w:sz="4" w:space="0" w:color="auto"/>
            </w:tcBorders>
            <w:shd w:val="clear" w:color="auto" w:fill="B8CCE4" w:themeFill="accent1" w:themeFillTint="66"/>
            <w:noWrap/>
          </w:tcPr>
          <w:p w:rsidR="00F90E03" w:rsidRPr="005565F8" w:rsidP="00F90E03" w14:paraId="129F7EBB" w14:textId="77777777">
            <w:pPr>
              <w:spacing w:before="20" w:after="20"/>
              <w:jc w:val="right"/>
              <w:rPr>
                <w:rFonts w:ascii="Calibri Light" w:hAnsi="Calibri Light"/>
                <w:sz w:val="16"/>
                <w:szCs w:val="16"/>
              </w:rPr>
            </w:pPr>
          </w:p>
        </w:tc>
        <w:tc>
          <w:tcPr>
            <w:tcW w:w="127" w:type="pct"/>
            <w:tcBorders>
              <w:bottom w:val="single" w:sz="4" w:space="0" w:color="auto"/>
            </w:tcBorders>
            <w:shd w:val="clear" w:color="auto" w:fill="B8CCE4" w:themeFill="accent1" w:themeFillTint="66"/>
          </w:tcPr>
          <w:p w:rsidR="00F90E03" w:rsidRPr="005565F8" w:rsidP="00F90E03" w14:paraId="0BCD918C" w14:textId="77777777">
            <w:pPr>
              <w:spacing w:before="20" w:after="20"/>
              <w:ind w:left="-113" w:right="-113"/>
              <w:jc w:val="right"/>
              <w:rPr>
                <w:rFonts w:ascii="Calibri Light" w:hAnsi="Calibri Light"/>
                <w:bCs/>
                <w:color w:val="000000"/>
                <w:sz w:val="8"/>
                <w:szCs w:val="8"/>
              </w:rPr>
            </w:pPr>
          </w:p>
        </w:tc>
        <w:tc>
          <w:tcPr>
            <w:tcW w:w="322" w:type="pct"/>
            <w:tcBorders>
              <w:bottom w:val="single" w:sz="4" w:space="0" w:color="auto"/>
            </w:tcBorders>
            <w:shd w:val="clear" w:color="auto" w:fill="B8CCE4" w:themeFill="accent1" w:themeFillTint="66"/>
          </w:tcPr>
          <w:p w:rsidR="00F90E03" w:rsidRPr="005565F8" w:rsidP="00F90E03" w14:paraId="68555184" w14:textId="77777777">
            <w:pPr>
              <w:spacing w:before="20" w:after="20"/>
              <w:jc w:val="right"/>
              <w:rPr>
                <w:rFonts w:ascii="Calibri Light" w:hAnsi="Calibri Light"/>
                <w:sz w:val="16"/>
                <w:szCs w:val="16"/>
              </w:rPr>
            </w:pPr>
            <w:r w:rsidRPr="005565F8">
              <w:rPr>
                <w:rFonts w:ascii="Calibri Light" w:hAnsi="Calibri Light"/>
                <w:sz w:val="16"/>
                <w:szCs w:val="16"/>
              </w:rPr>
              <w:t>9,3</w:t>
            </w:r>
          </w:p>
        </w:tc>
        <w:tc>
          <w:tcPr>
            <w:tcW w:w="323" w:type="pct"/>
            <w:tcBorders>
              <w:bottom w:val="single" w:sz="4" w:space="0" w:color="auto"/>
            </w:tcBorders>
            <w:shd w:val="clear" w:color="auto" w:fill="B8CCE4" w:themeFill="accent1" w:themeFillTint="66"/>
          </w:tcPr>
          <w:p w:rsidR="00F90E03" w:rsidRPr="005565F8" w:rsidP="00F90E03" w14:paraId="2C2534DB" w14:textId="77777777">
            <w:pPr>
              <w:spacing w:before="20" w:after="20"/>
              <w:jc w:val="right"/>
              <w:rPr>
                <w:rFonts w:ascii="Calibri Light" w:hAnsi="Calibri Light"/>
                <w:sz w:val="16"/>
                <w:szCs w:val="16"/>
              </w:rPr>
            </w:pPr>
            <w:r w:rsidRPr="005565F8">
              <w:rPr>
                <w:rFonts w:ascii="Calibri Light" w:hAnsi="Calibri Light"/>
                <w:sz w:val="16"/>
                <w:szCs w:val="16"/>
              </w:rPr>
              <w:t>9,4</w:t>
            </w:r>
          </w:p>
        </w:tc>
        <w:tc>
          <w:tcPr>
            <w:tcW w:w="323" w:type="pct"/>
            <w:tcBorders>
              <w:bottom w:val="single" w:sz="4" w:space="0" w:color="auto"/>
            </w:tcBorders>
            <w:shd w:val="clear" w:color="auto" w:fill="B8CCE4" w:themeFill="accent1" w:themeFillTint="66"/>
          </w:tcPr>
          <w:p w:rsidR="00F90E03" w:rsidRPr="005565F8" w:rsidP="00F90E03" w14:paraId="2A6991B9" w14:textId="77777777">
            <w:pPr>
              <w:spacing w:before="20" w:after="20"/>
              <w:jc w:val="right"/>
              <w:rPr>
                <w:rFonts w:ascii="Calibri Light" w:hAnsi="Calibri Light"/>
                <w:sz w:val="16"/>
                <w:szCs w:val="16"/>
              </w:rPr>
            </w:pPr>
            <w:r w:rsidRPr="005565F8">
              <w:rPr>
                <w:rFonts w:ascii="Calibri Light" w:hAnsi="Calibri Light"/>
                <w:sz w:val="16"/>
                <w:szCs w:val="16"/>
              </w:rPr>
              <w:t>9,4</w:t>
            </w:r>
          </w:p>
        </w:tc>
        <w:tc>
          <w:tcPr>
            <w:tcW w:w="323" w:type="pct"/>
            <w:tcBorders>
              <w:bottom w:val="single" w:sz="4" w:space="0" w:color="auto"/>
            </w:tcBorders>
            <w:shd w:val="clear" w:color="auto" w:fill="B8CCE4" w:themeFill="accent1" w:themeFillTint="66"/>
          </w:tcPr>
          <w:p w:rsidR="00F90E03" w:rsidRPr="005565F8" w:rsidP="00F90E03" w14:paraId="2F0829B8" w14:textId="77777777">
            <w:pPr>
              <w:spacing w:before="20" w:after="20"/>
              <w:jc w:val="right"/>
              <w:rPr>
                <w:rFonts w:ascii="Calibri Light" w:hAnsi="Calibri Light"/>
                <w:sz w:val="16"/>
                <w:szCs w:val="16"/>
              </w:rPr>
            </w:pPr>
            <w:r w:rsidRPr="005565F8">
              <w:rPr>
                <w:rFonts w:ascii="Calibri Light" w:hAnsi="Calibri Light"/>
                <w:sz w:val="16"/>
                <w:szCs w:val="16"/>
              </w:rPr>
              <w:t>9,5</w:t>
            </w:r>
          </w:p>
        </w:tc>
        <w:tc>
          <w:tcPr>
            <w:tcW w:w="323" w:type="pct"/>
            <w:tcBorders>
              <w:bottom w:val="single" w:sz="4" w:space="0" w:color="auto"/>
            </w:tcBorders>
            <w:shd w:val="clear" w:color="auto" w:fill="B8CCE4" w:themeFill="accent1" w:themeFillTint="66"/>
          </w:tcPr>
          <w:p w:rsidR="00F90E03" w:rsidRPr="005565F8" w:rsidP="00F90E03" w14:paraId="67354491" w14:textId="77777777">
            <w:pPr>
              <w:spacing w:before="20" w:after="20"/>
              <w:jc w:val="right"/>
              <w:rPr>
                <w:rFonts w:ascii="Calibri Light" w:hAnsi="Calibri Light"/>
                <w:sz w:val="16"/>
                <w:szCs w:val="16"/>
              </w:rPr>
            </w:pPr>
            <w:r w:rsidRPr="005565F8">
              <w:rPr>
                <w:rFonts w:ascii="Calibri Light" w:hAnsi="Calibri Light"/>
                <w:sz w:val="16"/>
                <w:szCs w:val="16"/>
              </w:rPr>
              <w:t>9,7</w:t>
            </w:r>
          </w:p>
        </w:tc>
        <w:tc>
          <w:tcPr>
            <w:tcW w:w="323" w:type="pct"/>
            <w:tcBorders>
              <w:bottom w:val="single" w:sz="4" w:space="0" w:color="auto"/>
            </w:tcBorders>
            <w:shd w:val="clear" w:color="auto" w:fill="B8CCE4" w:themeFill="accent1" w:themeFillTint="66"/>
            <w:noWrap/>
          </w:tcPr>
          <w:p w:rsidR="00F90E03" w:rsidRPr="005565F8" w:rsidP="00F90E03" w14:paraId="01946EE2" w14:textId="77777777">
            <w:pPr>
              <w:spacing w:before="20" w:after="20"/>
              <w:jc w:val="right"/>
              <w:rPr>
                <w:rFonts w:ascii="Calibri Light" w:hAnsi="Calibri Light"/>
                <w:sz w:val="16"/>
                <w:szCs w:val="16"/>
              </w:rPr>
            </w:pPr>
            <w:r w:rsidRPr="005565F8">
              <w:rPr>
                <w:rFonts w:ascii="Calibri Light" w:hAnsi="Calibri Light"/>
                <w:sz w:val="16"/>
                <w:szCs w:val="16"/>
              </w:rPr>
              <w:t>9,8</w:t>
            </w:r>
          </w:p>
        </w:tc>
        <w:tc>
          <w:tcPr>
            <w:tcW w:w="323" w:type="pct"/>
            <w:tcBorders>
              <w:bottom w:val="single" w:sz="4" w:space="0" w:color="auto"/>
            </w:tcBorders>
            <w:shd w:val="clear" w:color="auto" w:fill="B8CCE4" w:themeFill="accent1" w:themeFillTint="66"/>
            <w:noWrap/>
          </w:tcPr>
          <w:p w:rsidR="00F90E03" w:rsidRPr="005565F8" w:rsidP="00F90E03" w14:paraId="366E7F69" w14:textId="77777777">
            <w:pPr>
              <w:tabs>
                <w:tab w:val="decimal" w:pos="393"/>
              </w:tabs>
              <w:spacing w:before="20" w:after="20"/>
              <w:jc w:val="right"/>
              <w:rPr>
                <w:rFonts w:ascii="Calibri Light" w:hAnsi="Calibri Light"/>
                <w:sz w:val="16"/>
                <w:szCs w:val="16"/>
              </w:rPr>
            </w:pPr>
            <w:r w:rsidRPr="005565F8">
              <w:rPr>
                <w:rFonts w:ascii="Calibri Light" w:hAnsi="Calibri Light"/>
                <w:sz w:val="16"/>
                <w:szCs w:val="16"/>
              </w:rPr>
              <w:t>9,9</w:t>
            </w:r>
          </w:p>
        </w:tc>
        <w:tc>
          <w:tcPr>
            <w:tcW w:w="318" w:type="pct"/>
            <w:tcBorders>
              <w:bottom w:val="single" w:sz="4" w:space="0" w:color="auto"/>
            </w:tcBorders>
            <w:shd w:val="clear" w:color="auto" w:fill="B8CCE4" w:themeFill="accent1" w:themeFillTint="66"/>
          </w:tcPr>
          <w:p w:rsidR="00F90E03" w:rsidRPr="005565F8" w:rsidP="00F90E03" w14:paraId="481AB889" w14:textId="77777777">
            <w:pPr>
              <w:tabs>
                <w:tab w:val="decimal" w:pos="393"/>
              </w:tabs>
              <w:spacing w:before="20" w:after="20"/>
              <w:jc w:val="right"/>
              <w:rPr>
                <w:rFonts w:ascii="Calibri Light" w:hAnsi="Calibri Light"/>
                <w:sz w:val="16"/>
                <w:szCs w:val="16"/>
              </w:rPr>
            </w:pPr>
            <w:r w:rsidRPr="005565F8">
              <w:rPr>
                <w:rFonts w:ascii="Calibri Light" w:hAnsi="Calibri Light"/>
                <w:sz w:val="16"/>
                <w:szCs w:val="16"/>
              </w:rPr>
              <w:t>10,0</w:t>
            </w:r>
          </w:p>
        </w:tc>
      </w:tr>
    </w:tbl>
    <w:p w:rsidR="00523B75" w:rsidRPr="005565F8" w:rsidP="00523B75" w14:paraId="0977279B" w14:textId="77777777">
      <w:pPr>
        <w:ind w:firstLine="567"/>
        <w:jc w:val="center"/>
        <w:rPr>
          <w:sz w:val="16"/>
        </w:rPr>
      </w:pPr>
    </w:p>
    <w:p w:rsidR="00B45174" w:rsidRPr="005565F8" w:rsidP="00D610DB" w14:paraId="3B372094" w14:textId="77777777">
      <w:pPr>
        <w:ind w:hanging="142"/>
        <w:sectPr w:rsidSect="00D610DB">
          <w:type w:val="continuous"/>
          <w:pgSz w:w="11906" w:h="16838" w:code="9"/>
          <w:pgMar w:top="1134" w:right="1133" w:bottom="1134" w:left="1134" w:header="709" w:footer="567" w:gutter="0"/>
          <w:cols w:space="708"/>
          <w:titlePg/>
          <w:docGrid w:linePitch="360"/>
        </w:sectPr>
      </w:pPr>
    </w:p>
    <w:p w:rsidR="00075C9C" w:rsidRPr="005565F8" w:rsidP="00075C9C" w14:paraId="4CE99B3E" w14:textId="77777777">
      <w:r w:rsidRPr="005565F8">
        <w:t xml:space="preserve">Kopējais ne-ETS darbību SEG emisiju no 2005.-2020. gadam pieaugs par apmēram 8,86 % un 2020.gadā varētu sasniegt 9 207,6 </w:t>
      </w:r>
      <w:r w:rsidRPr="005565F8">
        <w:t>kt</w:t>
      </w:r>
      <w:r w:rsidRPr="005565F8">
        <w:t xml:space="preserve"> CO</w:t>
      </w:r>
      <w:r w:rsidRPr="005565F8">
        <w:rPr>
          <w:vertAlign w:val="subscript"/>
        </w:rPr>
        <w:t>2</w:t>
      </w:r>
      <w:r w:rsidRPr="005565F8">
        <w:t xml:space="preserve"> </w:t>
      </w:r>
      <w:r w:rsidRPr="005565F8">
        <w:t>ekv</w:t>
      </w:r>
      <w:r w:rsidRPr="005565F8">
        <w:t xml:space="preserve">. Tādējādi Latvija varēs izpildīt arī savu 2020. gada ne-ETS mērķi – ne vairāk kā 17% ne-ETS darbību SEG emisiju pieaugums 2005.-2020. gadam. Līdz ar to ir secināms, ka Latvijai ES ietvaros noteiktais ne-ETS </w:t>
      </w:r>
      <w:r w:rsidRPr="005565F8">
        <w:t>darbību SEG emisiju samazināšanas mērķis 2020.gadam tiks sasniegts jau esošo pasākumu scenārijā. Savukārt ES ETS SEG emisiju apjoms esošo pasākumu scenārijā varētu sasniegt 2 357,48 </w:t>
      </w:r>
      <w:r w:rsidRPr="005565F8">
        <w:t>kt</w:t>
      </w:r>
      <w:r w:rsidRPr="005565F8">
        <w:t xml:space="preserve"> CO</w:t>
      </w:r>
      <w:r w:rsidRPr="005565F8">
        <w:rPr>
          <w:vertAlign w:val="subscript"/>
        </w:rPr>
        <w:t>2</w:t>
      </w:r>
      <w:r w:rsidRPr="005565F8">
        <w:t xml:space="preserve"> </w:t>
      </w:r>
      <w:r w:rsidRPr="005565F8">
        <w:t>ekv</w:t>
      </w:r>
      <w:r w:rsidRPr="005565F8">
        <w:t>., kas ir apmēram 4,24% lielāks apjoms nekā noteiktais 2020.gada mērķis.</w:t>
      </w:r>
    </w:p>
    <w:p w:rsidR="000917D3" w:rsidRPr="005565F8" w:rsidP="003926C8" w14:paraId="38F56C52"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3926C8" w:rsidRPr="005565F8" w:rsidP="003926C8" w14:paraId="3A49549D" w14:textId="77777777">
      <w:pPr>
        <w:rPr>
          <w:color w:val="000000" w:themeColor="text1"/>
        </w:rPr>
      </w:pPr>
    </w:p>
    <w:p w:rsidR="003926C8" w:rsidRPr="005565F8" w:rsidP="003926C8" w14:paraId="2A3FE82C" w14:textId="77777777">
      <w:pPr>
        <w:spacing w:before="120" w:after="240"/>
        <w:rPr>
          <w:rFonts w:ascii="Calibri Light" w:hAnsi="Calibri Light" w:cs="Segoe UI"/>
          <w:b/>
          <w:sz w:val="24"/>
          <w:u w:val="double"/>
        </w:rPr>
      </w:pPr>
      <w:r w:rsidRPr="005565F8">
        <w:rPr>
          <w:rFonts w:ascii="Calibri Light" w:hAnsi="Calibri Light" w:cs="Segoe UI"/>
          <w:b/>
          <w:sz w:val="24"/>
          <w:u w:val="double"/>
        </w:rPr>
        <w:t>Galvenie politikas virzieni un pasākumi:</w:t>
      </w:r>
    </w:p>
    <w:p w:rsidR="003926C8" w:rsidRPr="005565F8" w:rsidP="003926C8" w14:paraId="70BAB15B"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Ne-ETS emisiju ierobežošana</w:t>
      </w:r>
    </w:p>
    <w:p w:rsidR="003926C8" w:rsidRPr="005565F8" w:rsidP="003926C8" w14:paraId="4532D3F0"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VARAM, EM, ZM, SM/</w:t>
      </w:r>
    </w:p>
    <w:p w:rsidR="000917D3" w:rsidRPr="005565F8" w:rsidP="00B22046" w14:paraId="49F97CF9"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075C9C" w:rsidRPr="005565F8" w:rsidP="003926C8" w14:paraId="033C2DAF" w14:textId="77777777">
      <w:pPr>
        <w:spacing w:before="240"/>
        <w:rPr>
          <w:rFonts w:eastAsia="Times New Roman"/>
        </w:rPr>
      </w:pPr>
      <w:r w:rsidRPr="005565F8">
        <w:rPr>
          <w:rFonts w:eastAsia="Times New Roman"/>
        </w:rPr>
        <w:t>Ne-ETS darbību SEG emisiju samazināšanas mērķī ir iekļautas tādas darbības, kā visās stacionārās sadedzināšanas iekārtās (ieskaitot mājsaimniecības iekārtas) veiktās kurināmā un degvielas sadedzināšanas darbības siltumenerģijas un elektroenerģijas, kā arī rūpnieciskās ražošanas procesos, darbības, kuras ir saistītas ar degvielas izmantošanu transportlīdzekļos – autotransportā, dzelzceļā, vietējās aviācijas un kuģniecības darbībās, lauksaimniecības – lopkopības, zemkopības un augļkopības darbības, atkritumu un notekūdeņu apsaimniekošanas darbības, kā arī rūpniecisko izejvielu un dažādu ķīmisko vielu izmantošanas darbības.</w:t>
      </w:r>
    </w:p>
    <w:p w:rsidR="00075C9C" w:rsidRPr="005565F8" w:rsidP="00075C9C" w14:paraId="36B14228" w14:textId="77777777">
      <w:pPr>
        <w:rPr>
          <w:lang w:eastAsia="lv-LV"/>
        </w:rPr>
      </w:pPr>
      <w:r w:rsidRPr="005565F8">
        <w:rPr>
          <w:lang w:eastAsia="lv-LV"/>
        </w:rPr>
        <w:t xml:space="preserve">Samazināt SEG emisijas </w:t>
      </w:r>
      <w:r w:rsidRPr="005565F8">
        <w:rPr>
          <w:b/>
          <w:lang w:eastAsia="lv-LV"/>
        </w:rPr>
        <w:t>enerģētikas jomā</w:t>
      </w:r>
      <w:r w:rsidRPr="005565F8">
        <w:rPr>
          <w:lang w:eastAsia="lv-LV"/>
        </w:rPr>
        <w:t xml:space="preserve"> ir iespējams, nodrošinot izmantoto stacionāro sadedzināšanas iekārtu tehnoloģiju nomaiņu vai uzlabojot to energoefektivitāti, nomainot izmantoto kurināmo vai degvielu uz atjaunojamiem energoresursiem, kā arī nodrošinot kurināmā vai degvielas, kā arī siltumenerģijas vai elektroenerģijas izmantošanas apjomu samazināšanu.</w:t>
      </w:r>
    </w:p>
    <w:p w:rsidR="00075C9C" w:rsidRPr="005565F8" w:rsidP="00075C9C" w14:paraId="4943B91F" w14:textId="77777777">
      <w:pPr>
        <w:rPr>
          <w:lang w:eastAsia="lv-LV"/>
        </w:rPr>
      </w:pPr>
      <w:r w:rsidRPr="005565F8">
        <w:rPr>
          <w:b/>
          <w:color w:val="000000"/>
        </w:rPr>
        <w:t>Transporta sektora</w:t>
      </w:r>
      <w:r w:rsidRPr="005565F8">
        <w:rPr>
          <w:color w:val="000000"/>
        </w:rPr>
        <w:t xml:space="preserve"> darbību rezultātā radušos SEG emisiju samazināšana galvenokārt ir iespējama </w:t>
      </w:r>
      <w:r w:rsidRPr="005565F8">
        <w:rPr>
          <w:color w:val="000000"/>
        </w:rPr>
        <w:t>samazinot patērēto degvielu (ekonomiskāki dzinēji ar mazāku tilpumu), padarot ilgtspējīgus kravas un pasažieru (sabiedriskos un privātos) pārvadājumus, atjauninot izmantoto autoparku, elektrificējot pasažieru (sabiedrisko un privāto) un kravas pārvadāšanā izmantotos transportlīdzekļus, pārejot no izmantotās fosilās degvielas uz atjaunojamiem energoresursiem vai elektroenerģiju un citiem alternatīvo degvielu veidiem. Netieša pozitīva ietekme uz SEG emisiju samazināšanu sagaidāma no vairākiem ES līmeņa instrumentiem – prasības par CO</w:t>
      </w:r>
      <w:r w:rsidRPr="005565F8">
        <w:rPr>
          <w:color w:val="000000"/>
          <w:vertAlign w:val="subscript"/>
        </w:rPr>
        <w:t>2</w:t>
      </w:r>
      <w:r w:rsidRPr="005565F8">
        <w:rPr>
          <w:color w:val="000000"/>
        </w:rPr>
        <w:t xml:space="preserve"> emisijām jauniem transportlīdzekļiem, transportlīdzekļ</w:t>
      </w:r>
      <w:r w:rsidRPr="005565F8" w:rsidR="00F7014B">
        <w:rPr>
          <w:color w:val="000000"/>
        </w:rPr>
        <w:t xml:space="preserve">a </w:t>
      </w:r>
      <w:r w:rsidRPr="005565F8">
        <w:rPr>
          <w:color w:val="000000"/>
        </w:rPr>
        <w:t>ekspluatācijas nodokļa piemērošanas pēc to radītā CO</w:t>
      </w:r>
      <w:r w:rsidRPr="005565F8">
        <w:rPr>
          <w:color w:val="000000"/>
          <w:vertAlign w:val="subscript"/>
        </w:rPr>
        <w:t>2</w:t>
      </w:r>
      <w:r w:rsidRPr="005565F8">
        <w:rPr>
          <w:color w:val="000000"/>
        </w:rPr>
        <w:t xml:space="preserve"> emisijām jaunākiem transportlīdzekļiem, plašāka alternatīvo enerģijas nesēju (elektroenerģija, dabasgāze, ūdeņradis, biodegviela, u.c.) izmantošana transporta līdzekļos, autoceļu infrastruktūras atjaunināšana, dzelzceļa infrastruktūras tālāka elektrificēšana u.c. Turpmākajos gados paredzēta transporta infrastruktūras tālāka uzlabošana – reģionālo autoceļu tīklu uzlabojumi, specializēto transporta koridoru attīstība, kas radīs pozitīvu efektu transporta plūsmas optimizēšanā.</w:t>
      </w:r>
    </w:p>
    <w:p w:rsidR="00075C9C" w:rsidRPr="005565F8" w:rsidP="00075C9C" w14:paraId="4621BAC5" w14:textId="77777777">
      <w:pPr>
        <w:rPr>
          <w:color w:val="000000" w:themeColor="text1"/>
        </w:rPr>
      </w:pPr>
      <w:r w:rsidRPr="005565F8">
        <w:rPr>
          <w:b/>
          <w:color w:val="000000" w:themeColor="text1"/>
        </w:rPr>
        <w:t>Lauksaimniecības sektorā</w:t>
      </w:r>
      <w:r w:rsidRPr="005565F8">
        <w:rPr>
          <w:color w:val="000000" w:themeColor="text1"/>
        </w:rPr>
        <w:t xml:space="preserve"> lielākais emisiju apjoms rodas augsnes apstrādes (slāpekļa minerālmēslu </w:t>
      </w:r>
      <w:r w:rsidRPr="005565F8">
        <w:rPr>
          <w:color w:val="000000" w:themeColor="text1"/>
        </w:rPr>
        <w:t xml:space="preserve">izmantošana, drenēto organisko augšņu apsaimniekošana, organiskā mēslojuma izmantošana, kaļķošana u.c.) un lauksaimniecības dzīvnieku zarnu fermentācijas procesos, kopā veidojot vairāk nekā 90% no kopējām lauksaimniecības sektora emisijām. Šo emisiju samazināšanas potenciāls ir ierobežots. Pašreizējais slāpekļa minerālmēslu izlietojums uz 1 apstrādātās lauksaimniecības zemes hektāru Latvijā ir viens no zemākajiem ES un, attīstoties lauksaimnieciskajai ražošanai, minerālmēslu izlietojums palielināsies. Minerālmēslu aizstāšanu ar organisko mēslojumu būtiski ierobežo tas, ka Latvijā, </w:t>
      </w:r>
      <w:r w:rsidRPr="005565F8">
        <w:rPr>
          <w:color w:val="000000" w:themeColor="text1"/>
        </w:rPr>
        <w:t xml:space="preserve">saistībā ar zemu lauksaimniecības dzīvnieku blīvumu, organiskais mēslojums nav pieejams pietiekamā apjomā. Lai samazinātu SEG emisijas,  </w:t>
      </w:r>
      <w:r w:rsidRPr="005565F8">
        <w:rPr>
          <w:i/>
          <w:color w:val="000000" w:themeColor="text1"/>
        </w:rPr>
        <w:t>Lauku attīstības programmas 2014</w:t>
      </w:r>
      <w:r w:rsidRPr="005565F8" w:rsidR="00913118">
        <w:rPr>
          <w:i/>
          <w:color w:val="000000" w:themeColor="text1"/>
        </w:rPr>
        <w:t>.</w:t>
      </w:r>
      <w:r w:rsidRPr="005565F8">
        <w:rPr>
          <w:i/>
          <w:color w:val="000000" w:themeColor="text1"/>
        </w:rPr>
        <w:t>-2020</w:t>
      </w:r>
      <w:r w:rsidRPr="005565F8" w:rsidR="00913118">
        <w:rPr>
          <w:i/>
          <w:color w:val="000000" w:themeColor="text1"/>
        </w:rPr>
        <w:t>.g.</w:t>
      </w:r>
      <w:r w:rsidRPr="005565F8">
        <w:rPr>
          <w:color w:val="000000" w:themeColor="text1"/>
        </w:rPr>
        <w:t xml:space="preserve">  ietvaros 2017. gadā tika piešķirts atbalsts segto kūtsmēslu krātuvju izveidei 10 projektiem </w:t>
      </w:r>
      <w:r w:rsidRPr="005565F8" w:rsidR="00913118">
        <w:rPr>
          <w:color w:val="000000" w:themeColor="text1"/>
        </w:rPr>
        <w:t>–</w:t>
      </w:r>
      <w:r w:rsidRPr="005565F8">
        <w:rPr>
          <w:color w:val="000000" w:themeColor="text1"/>
        </w:rPr>
        <w:t xml:space="preserve"> publiskais finansējums 326,5  tūkst. EUR ar kopējo attiecināmo izmaksu a</w:t>
      </w:r>
      <w:r w:rsidRPr="005565F8" w:rsidR="00913118">
        <w:rPr>
          <w:color w:val="000000" w:themeColor="text1"/>
        </w:rPr>
        <w:t xml:space="preserve">pjomu 638,4 tūkst. EUR, kā arī </w:t>
      </w:r>
      <w:r w:rsidRPr="005565F8">
        <w:rPr>
          <w:color w:val="000000" w:themeColor="text1"/>
        </w:rPr>
        <w:t>precīzo tehnoloģiju iegādei 40 projektiem ar kopējām attiecināmajām izmaksām  2346,8 tūkst. EUR apmērā, t.sk. publiskais finansējums 919,1 tūkst. EUR.</w:t>
      </w:r>
    </w:p>
    <w:p w:rsidR="000917D3" w:rsidRPr="005565F8" w:rsidP="00075C9C" w14:paraId="1706EF9C" w14:textId="77777777">
      <w:pPr>
        <w:rPr>
          <w:color w:val="000000" w:themeColor="text1"/>
        </w:rPr>
        <w:sectPr w:rsidSect="005D1AD0">
          <w:type w:val="continuous"/>
          <w:pgSz w:w="11906" w:h="16838" w:code="9"/>
          <w:pgMar w:top="1134" w:right="1134" w:bottom="1134" w:left="1134" w:header="709" w:footer="567" w:gutter="0"/>
          <w:cols w:num="2" w:space="340"/>
          <w:titlePg/>
          <w:docGrid w:linePitch="360"/>
        </w:sectPr>
      </w:pPr>
    </w:p>
    <w:p w:rsidR="003926C8" w:rsidRPr="005565F8" w:rsidP="00075C9C" w14:paraId="0022F790" w14:textId="77777777">
      <w:pPr>
        <w:rPr>
          <w:color w:val="000000" w:themeColor="text1"/>
        </w:rPr>
      </w:pPr>
    </w:p>
    <w:p w:rsidR="003926C8" w:rsidRPr="005565F8" w:rsidP="003926C8" w14:paraId="587FF227" w14:textId="77777777">
      <w:pPr>
        <w:pBdr>
          <w:left w:val="single" w:sz="24" w:space="4" w:color="228B9D"/>
        </w:pBdr>
        <w:spacing w:before="120"/>
        <w:rPr>
          <w:rFonts w:ascii="Calibri Light" w:hAnsi="Calibri Light"/>
          <w:b/>
          <w:color w:val="228B9D"/>
          <w:sz w:val="24"/>
        </w:rPr>
      </w:pPr>
      <w:r w:rsidRPr="005565F8">
        <w:rPr>
          <w:rFonts w:ascii="Calibri Light" w:hAnsi="Calibri Light"/>
          <w:b/>
          <w:color w:val="228B9D"/>
          <w:sz w:val="24"/>
        </w:rPr>
        <w:t>Pētniecība, inovācijas, sabiedrības informēšana</w:t>
      </w:r>
    </w:p>
    <w:p w:rsidR="003926C8" w:rsidRPr="005565F8" w:rsidP="003926C8" w14:paraId="3F79ADC4" w14:textId="77777777">
      <w:pPr>
        <w:pBdr>
          <w:left w:val="single" w:sz="24" w:space="4" w:color="00879B"/>
        </w:pBdr>
        <w:spacing w:before="120"/>
        <w:rPr>
          <w:rFonts w:eastAsia="+mn-ea"/>
          <w:color w:val="595959" w:themeColor="text1" w:themeTint="A6"/>
          <w:sz w:val="16"/>
        </w:rPr>
      </w:pPr>
      <w:r w:rsidRPr="005565F8">
        <w:rPr>
          <w:rFonts w:eastAsia="+mn-ea"/>
          <w:color w:val="595959" w:themeColor="text1" w:themeTint="A6"/>
          <w:sz w:val="16"/>
        </w:rPr>
        <w:t>/atbildīgā institūcija – VARAM/</w:t>
      </w:r>
    </w:p>
    <w:p w:rsidR="000917D3" w:rsidRPr="005565F8" w:rsidP="00B22046" w14:paraId="3A0C1A23" w14:textId="77777777">
      <w:pPr>
        <w:pBdr>
          <w:left w:val="single" w:sz="24" w:space="4" w:color="00879B"/>
        </w:pBdr>
        <w:spacing w:before="120"/>
        <w:rPr>
          <w:rFonts w:eastAsia="+mn-ea"/>
          <w:color w:val="595959" w:themeColor="text1" w:themeTint="A6"/>
          <w:sz w:val="16"/>
        </w:rPr>
        <w:sectPr w:rsidSect="005D1AD0">
          <w:type w:val="continuous"/>
          <w:pgSz w:w="11906" w:h="16838" w:code="9"/>
          <w:pgMar w:top="1134" w:right="1134" w:bottom="1134" w:left="1134" w:header="709" w:footer="567" w:gutter="0"/>
          <w:cols w:space="340"/>
          <w:titlePg/>
          <w:docGrid w:linePitch="360"/>
        </w:sectPr>
      </w:pPr>
    </w:p>
    <w:p w:rsidR="00075C9C" w:rsidRPr="005565F8" w:rsidP="003926C8" w14:paraId="7D5373B3" w14:textId="77777777">
      <w:pPr>
        <w:spacing w:before="240"/>
      </w:pPr>
      <w:r w:rsidRPr="005565F8">
        <w:t>Mērķis ir veicināt SEG emisiju samazinošu produktu un tehnoloģiju pārnesi Latvijā, kā arī veicināt sabiedrības rīcības maiņas pasākumus.</w:t>
      </w:r>
    </w:p>
    <w:p w:rsidR="00075C9C" w:rsidRPr="005565F8" w:rsidP="00075C9C" w14:paraId="058A82B5" w14:textId="77777777">
      <w:pPr>
        <w:rPr>
          <w:color w:val="000000"/>
        </w:rPr>
      </w:pPr>
      <w:r w:rsidRPr="005565F8">
        <w:rPr>
          <w:color w:val="000000"/>
        </w:rPr>
        <w:t xml:space="preserve">SEG emisiju samazināšanas un AER jomā Latvijā ir veikti vairāki pētījumi. Pētījumi ir tikuši finansēti ne vien no KPFI, bet arī no Valsts pētījumu programmas, Latvijas vides aizsardzības fonda administrācijas, </w:t>
      </w:r>
      <w:r w:rsidRPr="005565F8">
        <w:rPr>
          <w:i/>
          <w:color w:val="000000"/>
        </w:rPr>
        <w:t>Apvārsnis</w:t>
      </w:r>
      <w:r w:rsidRPr="005565F8" w:rsidR="00913118">
        <w:rPr>
          <w:i/>
          <w:color w:val="000000"/>
        </w:rPr>
        <w:t xml:space="preserve"> </w:t>
      </w:r>
      <w:r w:rsidRPr="005565F8">
        <w:rPr>
          <w:i/>
          <w:color w:val="000000"/>
        </w:rPr>
        <w:t>2020</w:t>
      </w:r>
      <w:r w:rsidRPr="005565F8">
        <w:rPr>
          <w:color w:val="000000"/>
        </w:rPr>
        <w:t xml:space="preserve"> programmas u.c. projektu budžetiem.</w:t>
      </w:r>
    </w:p>
    <w:p w:rsidR="00075C9C" w:rsidRPr="005565F8" w:rsidP="00075C9C" w14:paraId="2DC503CA" w14:textId="77777777">
      <w:pPr>
        <w:rPr>
          <w:color w:val="000000"/>
        </w:rPr>
      </w:pPr>
      <w:r w:rsidRPr="005565F8">
        <w:rPr>
          <w:color w:val="000000"/>
        </w:rPr>
        <w:t xml:space="preserve">Valsts pētījumu programmas 2014.-2017.gadam ietvaros tiek realizēta pētījumu programma </w:t>
      </w:r>
      <w:r w:rsidRPr="005565F8">
        <w:rPr>
          <w:i/>
          <w:color w:val="000000"/>
        </w:rPr>
        <w:t>Latvijas ekosistēmu vērtība un tās dinamika klimata ietekmē (</w:t>
      </w:r>
      <w:r w:rsidRPr="005565F8">
        <w:rPr>
          <w:i/>
          <w:color w:val="000000"/>
        </w:rPr>
        <w:t>EVIDEnT</w:t>
      </w:r>
      <w:r w:rsidRPr="005565F8">
        <w:rPr>
          <w:i/>
          <w:color w:val="000000"/>
        </w:rPr>
        <w:t>).</w:t>
      </w:r>
      <w:r w:rsidRPr="005565F8">
        <w:rPr>
          <w:color w:val="000000"/>
        </w:rPr>
        <w:t xml:space="preserve"> Tās mērķis ir veikt vides un dabas resursu izpēti, lai panāktu to racionālu un ilgtspējīgu izmantošanu un paaugstinātu uz vietējo dabas resursu pamata ražotu produktu konkurētspēju globālajā tirgū, kā arī veikt bioloģiskās daudzveidības un ekosistēmu izmaiņu izpēti un prognožu izstrādi. </w:t>
      </w:r>
      <w:r w:rsidRPr="005565F8">
        <w:rPr>
          <w:color w:val="000000"/>
        </w:rPr>
        <w:t>EVIDEnT</w:t>
      </w:r>
      <w:r w:rsidRPr="005565F8">
        <w:rPr>
          <w:color w:val="000000"/>
        </w:rPr>
        <w:t xml:space="preserve"> būtiskākie uzdevumi saistībā ar SEG emisiju samazināšanu ir:</w:t>
      </w:r>
    </w:p>
    <w:p w:rsidR="00075C9C" w:rsidRPr="005565F8" w:rsidP="00735883" w14:paraId="7A2F3266" w14:textId="77777777">
      <w:pPr>
        <w:pStyle w:val="ListParagraph"/>
        <w:numPr>
          <w:ilvl w:val="0"/>
          <w:numId w:val="26"/>
        </w:numPr>
        <w:spacing w:after="0"/>
        <w:ind w:left="284" w:hanging="284"/>
        <w:rPr>
          <w:color w:val="000000"/>
        </w:rPr>
      </w:pPr>
      <w:r w:rsidRPr="005565F8">
        <w:rPr>
          <w:color w:val="000000"/>
        </w:rPr>
        <w:t>izstrādāt un pielietot modernas zinātnisko pētījumu metodes, pieejas un modeļus, kuri, atsedzot un prognozējot tautsaimniecības dažādu sektoru attīstības parametru un radīto emisiju mijsakarību, veicina ilgtspējīgu, ES 2030/2050 klimata politikai atbilstošu Latvijas tautsaimniecības klimata pārmaiņu samazināšanas politiku;</w:t>
      </w:r>
    </w:p>
    <w:p w:rsidR="00075C9C" w:rsidRPr="005565F8" w:rsidP="00735883" w14:paraId="7FAD60F9" w14:textId="77777777">
      <w:pPr>
        <w:pStyle w:val="ListParagraph"/>
        <w:numPr>
          <w:ilvl w:val="0"/>
          <w:numId w:val="26"/>
        </w:numPr>
        <w:spacing w:after="0"/>
        <w:ind w:left="284" w:hanging="284"/>
        <w:rPr>
          <w:color w:val="000000"/>
        </w:rPr>
      </w:pPr>
      <w:r w:rsidRPr="005565F8">
        <w:rPr>
          <w:color w:val="000000"/>
        </w:rPr>
        <w:t>apzināt SEG emisijas samazināšanas potenciālu lauksaimniecības sektorā;</w:t>
      </w:r>
    </w:p>
    <w:p w:rsidR="00075C9C" w:rsidRPr="005565F8" w:rsidP="00735883" w14:paraId="396E1C48" w14:textId="77777777">
      <w:pPr>
        <w:pStyle w:val="ListParagraph"/>
        <w:numPr>
          <w:ilvl w:val="0"/>
          <w:numId w:val="25"/>
        </w:numPr>
        <w:spacing w:after="0"/>
        <w:ind w:left="284" w:hanging="284"/>
        <w:rPr>
          <w:color w:val="000000"/>
        </w:rPr>
      </w:pPr>
      <w:r w:rsidRPr="005565F8">
        <w:rPr>
          <w:color w:val="000000"/>
        </w:rPr>
        <w:t>izanalizēt mežsaimnieciskās darbības potenciālo ietekmi uz CO</w:t>
      </w:r>
      <w:r w:rsidRPr="005565F8">
        <w:rPr>
          <w:color w:val="000000"/>
          <w:vertAlign w:val="subscript"/>
        </w:rPr>
        <w:t>2</w:t>
      </w:r>
      <w:r w:rsidRPr="005565F8">
        <w:rPr>
          <w:color w:val="000000"/>
        </w:rPr>
        <w:t xml:space="preserve"> piesaistes pieaugumu;</w:t>
      </w:r>
    </w:p>
    <w:p w:rsidR="00075C9C" w:rsidRPr="005565F8" w:rsidP="00735883" w14:paraId="503FB851" w14:textId="77777777">
      <w:pPr>
        <w:pStyle w:val="ListParagraph"/>
        <w:numPr>
          <w:ilvl w:val="0"/>
          <w:numId w:val="25"/>
        </w:numPr>
        <w:spacing w:after="0"/>
        <w:ind w:left="284" w:hanging="284"/>
        <w:rPr>
          <w:color w:val="000000"/>
        </w:rPr>
      </w:pPr>
      <w:r w:rsidRPr="005565F8">
        <w:rPr>
          <w:color w:val="000000"/>
        </w:rPr>
        <w:t>meža apsaimniekošanas, apmežošanas un atmežošanas radīto SEG emisiju samazināšanas un CO</w:t>
      </w:r>
      <w:r w:rsidRPr="005565F8">
        <w:rPr>
          <w:color w:val="000000"/>
          <w:vertAlign w:val="subscript"/>
        </w:rPr>
        <w:t>2</w:t>
      </w:r>
      <w:r w:rsidRPr="005565F8">
        <w:rPr>
          <w:color w:val="000000"/>
        </w:rPr>
        <w:t xml:space="preserve"> piesaistes potenciāla novērtējums.</w:t>
      </w:r>
    </w:p>
    <w:p w:rsidR="00075C9C" w:rsidRPr="005565F8" w:rsidP="00075C9C" w14:paraId="378EE42D" w14:textId="77777777">
      <w:pPr>
        <w:ind w:firstLine="567"/>
        <w:rPr>
          <w:color w:val="000000"/>
        </w:rPr>
      </w:pPr>
    </w:p>
    <w:p w:rsidR="00075C9C" w:rsidRPr="005565F8" w:rsidP="00075C9C" w14:paraId="7FD469A3" w14:textId="77777777">
      <w:pPr>
        <w:rPr>
          <w:color w:val="000000"/>
        </w:rPr>
      </w:pPr>
      <w:r w:rsidRPr="005565F8">
        <w:rPr>
          <w:color w:val="000000"/>
        </w:rPr>
        <w:t xml:space="preserve">2017.gadā tika turpināts projekts </w:t>
      </w:r>
      <w:r w:rsidRPr="005565F8">
        <w:rPr>
          <w:i/>
          <w:color w:val="000000"/>
        </w:rPr>
        <w:t>„Kapacitātes palielināšana LIFE programmas ieviešanai Latvijā”</w:t>
      </w:r>
      <w:r w:rsidRPr="005565F8">
        <w:rPr>
          <w:color w:val="000000"/>
        </w:rPr>
        <w:t xml:space="preserve">, kura finansējums </w:t>
      </w:r>
      <w:r w:rsidRPr="005565F8">
        <w:t xml:space="preserve">paredz vides kvalitātes un klimata pārmaiņu inovatīvu un ilgtspējīgu </w:t>
      </w:r>
      <w:r w:rsidRPr="005565F8">
        <w:rPr>
          <w:i/>
        </w:rPr>
        <w:t>LIFE programmas</w:t>
      </w:r>
      <w:r w:rsidRPr="005565F8">
        <w:t xml:space="preserve"> projektu īstenošanu līdz 2020.gadam.</w:t>
      </w:r>
    </w:p>
    <w:p w:rsidR="00075C9C" w:rsidRPr="005565F8" w:rsidP="00075C9C" w14:paraId="12E58382" w14:textId="77777777">
      <w:pPr>
        <w:ind w:firstLine="567"/>
        <w:rPr>
          <w:color w:val="000000"/>
        </w:rPr>
      </w:pPr>
    </w:p>
    <w:p w:rsidR="00075C9C" w:rsidRPr="005565F8" w:rsidP="00075C9C" w14:paraId="09F2DE48" w14:textId="77777777">
      <w:pPr>
        <w:rPr>
          <w:bCs/>
          <w:color w:val="000000"/>
        </w:rPr>
      </w:pPr>
      <w:r w:rsidRPr="005565F8">
        <w:rPr>
          <w:color w:val="000000"/>
        </w:rPr>
        <w:t>Savukārt 2017.gadā tika noslēgti EEZ finanšu instrumenta 2009.-2014.gada perioda programmas „</w:t>
      </w:r>
      <w:r w:rsidRPr="005565F8">
        <w:rPr>
          <w:i/>
          <w:color w:val="000000"/>
        </w:rPr>
        <w:t xml:space="preserve">Nacionālā klimata politika” </w:t>
      </w:r>
      <w:r w:rsidRPr="005565F8">
        <w:rPr>
          <w:color w:val="000000"/>
        </w:rPr>
        <w:t>ietvaros realizētie</w:t>
      </w:r>
      <w:r w:rsidRPr="005565F8">
        <w:rPr>
          <w:i/>
          <w:color w:val="000000"/>
        </w:rPr>
        <w:t xml:space="preserve"> </w:t>
      </w:r>
      <w:r w:rsidRPr="005565F8">
        <w:rPr>
          <w:color w:val="000000"/>
        </w:rPr>
        <w:t>iepriekš noteiktie projekti</w:t>
      </w:r>
      <w:r w:rsidRPr="005565F8">
        <w:rPr>
          <w:color w:val="000000"/>
        </w:rPr>
        <w:t xml:space="preserve"> </w:t>
      </w:r>
      <w:r w:rsidRPr="005565F8">
        <w:rPr>
          <w:i/>
          <w:color w:val="000000"/>
        </w:rPr>
        <w:t>„</w:t>
      </w:r>
      <w:r w:rsidRPr="005565F8">
        <w:rPr>
          <w:bCs/>
          <w:i/>
          <w:color w:val="000000"/>
        </w:rPr>
        <w:t xml:space="preserve">Nacionālās sistēmas pilnveidošana siltumnīcefekta gāzu inventarizācijai un ziņošanai par politikām, pasākumiem un prognozēm” </w:t>
      </w:r>
      <w:r w:rsidRPr="005565F8">
        <w:rPr>
          <w:bCs/>
          <w:color w:val="000000"/>
        </w:rPr>
        <w:t>(turpmāk – INVENT projekts)</w:t>
      </w:r>
      <w:r w:rsidRPr="005565F8">
        <w:rPr>
          <w:bCs/>
          <w:i/>
          <w:color w:val="000000"/>
        </w:rPr>
        <w:t xml:space="preserve"> </w:t>
      </w:r>
      <w:r w:rsidRPr="005565F8">
        <w:rPr>
          <w:bCs/>
          <w:color w:val="000000"/>
        </w:rPr>
        <w:t>un</w:t>
      </w:r>
      <w:r w:rsidRPr="005565F8">
        <w:rPr>
          <w:bCs/>
          <w:i/>
          <w:color w:val="000000"/>
        </w:rPr>
        <w:t xml:space="preserve"> „Priekšlikumu izstrāde Nacionālajai klimata pārmaiņu pielāgošanās stratēģijai, identificējot zinātniskos datus un pasākumus pielāgošanās klimata pārmaiņām nodrošināšanai, kā arī veicot ietekmju un izmaksu novērtējumu”</w:t>
      </w:r>
      <w:r w:rsidRPr="005565F8">
        <w:rPr>
          <w:bCs/>
          <w:color w:val="000000"/>
        </w:rPr>
        <w:t xml:space="preserve"> (turpmāk – ADAPT projekts). ADAPT projekta ietvaros 2017.gadā tika izstrādāts priekšlikums </w:t>
      </w:r>
      <w:r w:rsidRPr="005565F8">
        <w:rPr>
          <w:bCs/>
          <w:i/>
          <w:color w:val="000000"/>
        </w:rPr>
        <w:t>Nacionālajai klimata pārmaiņu pielāgošanās stratēģijai</w:t>
      </w:r>
      <w:r w:rsidRPr="005565F8">
        <w:rPr>
          <w:bCs/>
          <w:color w:val="000000"/>
        </w:rPr>
        <w:t>, veikti vairāki tematiskie pētījumi risku un ievainojamību novērtējumam un pielāgošanās pasākumu identificēšanai. Savukārt INVENT projekta ietvaros tika veikts n</w:t>
      </w:r>
      <w:r w:rsidRPr="005565F8">
        <w:t xml:space="preserve">ovērtējums par sadzīves, bīstamo un ražošanas atkritumu sastāvu atkritumu apsaimniekošanas reģionos, atsevišķu atkritumu veidu apsaimniekošanu un atkritumu poligonos apglabājamo atkritumu daudzuma samazināšanas iespējām, kā arī tika veikta </w:t>
      </w:r>
      <w:r w:rsidRPr="005565F8">
        <w:rPr>
          <w:bCs/>
        </w:rPr>
        <w:t xml:space="preserve">Latvijas primāro energoresursu statistikas sadalīšana ES </w:t>
      </w:r>
      <w:r w:rsidRPr="005565F8" w:rsidR="00913118">
        <w:rPr>
          <w:bCs/>
        </w:rPr>
        <w:t>ETS</w:t>
      </w:r>
      <w:r w:rsidRPr="005565F8">
        <w:rPr>
          <w:bCs/>
        </w:rPr>
        <w:t xml:space="preserve"> iekļautajām un neiekļautajām darbībām</w:t>
      </w:r>
      <w:r w:rsidRPr="005565F8" w:rsidR="00913118">
        <w:rPr>
          <w:bCs/>
        </w:rPr>
        <w:t>,</w:t>
      </w:r>
      <w:r w:rsidRPr="005565F8">
        <w:rPr>
          <w:bCs/>
        </w:rPr>
        <w:t xml:space="preserve"> datu integrēšana MARKAL modelī</w:t>
      </w:r>
      <w:r w:rsidRPr="005565F8" w:rsidR="00913118">
        <w:rPr>
          <w:bCs/>
        </w:rPr>
        <w:t>,</w:t>
      </w:r>
      <w:r w:rsidRPr="005565F8">
        <w:rPr>
          <w:bCs/>
        </w:rPr>
        <w:t xml:space="preserve"> v</w:t>
      </w:r>
      <w:r w:rsidRPr="005565F8">
        <w:t>adlīniju izstrāde klimata pārmaiņu samazināšanas politikas un pasākumu ietekmes novērtēšanai un izmaksu-ieguvumu analīzei sektoru griezumā</w:t>
      </w:r>
      <w:r w:rsidRPr="005565F8">
        <w:rPr>
          <w:bCs/>
        </w:rPr>
        <w:t>.</w:t>
      </w:r>
      <w:r w:rsidRPr="005565F8">
        <w:rPr>
          <w:bCs/>
          <w:color w:val="000000"/>
        </w:rPr>
        <w:t xml:space="preserve"> </w:t>
      </w:r>
    </w:p>
    <w:p w:rsidR="0026406F" w:rsidRPr="005565F8" w:rsidP="00B45174" w14:paraId="454631A5" w14:textId="77777777">
      <w:pPr>
        <w:rPr>
          <w:color w:val="000000"/>
        </w:rPr>
      </w:pPr>
      <w:r w:rsidRPr="005565F8">
        <w:t xml:space="preserve">EEZ finanšu instrumenta programmas </w:t>
      </w:r>
      <w:r w:rsidRPr="005565F8">
        <w:rPr>
          <w:i/>
        </w:rPr>
        <w:t>“Nacionālā klimata politika”</w:t>
      </w:r>
      <w:r w:rsidRPr="005565F8">
        <w:t xml:space="preserve"> divpusējās sadarbības fonda ietvaros 2017. gada oktobrī tika organizēta starptautiska konference </w:t>
      </w:r>
      <w:r w:rsidRPr="005565F8">
        <w:rPr>
          <w:i/>
        </w:rPr>
        <w:t>“</w:t>
      </w:r>
      <w:r w:rsidRPr="005565F8">
        <w:rPr>
          <w:i/>
          <w:lang w:eastAsia="lv-LV"/>
        </w:rPr>
        <w:t xml:space="preserve">Baltijas ceļš uz oglekļa mazietilpīgu un </w:t>
      </w:r>
      <w:r w:rsidRPr="005565F8">
        <w:rPr>
          <w:i/>
          <w:lang w:eastAsia="lv-LV"/>
        </w:rPr>
        <w:t>klimatnoturīgu</w:t>
      </w:r>
      <w:r w:rsidRPr="005565F8">
        <w:rPr>
          <w:i/>
          <w:lang w:eastAsia="lv-LV"/>
        </w:rPr>
        <w:t xml:space="preserve"> attīstību”</w:t>
      </w:r>
      <w:r w:rsidRPr="005565F8">
        <w:rPr>
          <w:lang w:eastAsia="lv-LV"/>
        </w:rPr>
        <w:t xml:space="preserve">, kas bija Latvijā līdz šim plašākais klimata tematikai veltītais pasākums. </w:t>
      </w:r>
      <w:r w:rsidRPr="005565F8">
        <w:t xml:space="preserve">Konferences mērķis bija pievērst visu sabiedrības grupu uzmanību klimata pārmaiņu aktualitātei un pārrunāt oglekļa mazietilpīgas attīstības (OMA) un </w:t>
      </w:r>
      <w:r w:rsidRPr="005565F8">
        <w:t>klimatnoturīgas</w:t>
      </w:r>
      <w:r w:rsidRPr="005565F8">
        <w:t xml:space="preserve"> attīstības nepieciešamību un iespējas Baltijas valstīs, kā arī identificēt konkrētus uzdevumus šādas attīstības sasniegšanai, intensificēt pārmaiņu materializēšanos.</w:t>
      </w:r>
    </w:p>
    <w:p w:rsidR="00B45174" w:rsidRPr="005565F8" w:rsidP="0026406F" w14:paraId="30EB5757" w14:textId="77777777">
      <w:pPr>
        <w:ind w:firstLine="426"/>
        <w:sectPr w:rsidSect="005D1AD0">
          <w:type w:val="continuous"/>
          <w:pgSz w:w="11906" w:h="16838" w:code="9"/>
          <w:pgMar w:top="1134" w:right="1134" w:bottom="1134" w:left="1134" w:header="709" w:footer="567" w:gutter="0"/>
          <w:cols w:num="2" w:space="340"/>
          <w:titlePg/>
          <w:docGrid w:linePitch="360"/>
        </w:sectPr>
      </w:pPr>
    </w:p>
    <w:p w:rsidR="005F7AA3" w:rsidRPr="005565F8" w:rsidP="0026406F" w14:paraId="4F827A9F" w14:textId="77777777">
      <w:pPr>
        <w:ind w:firstLine="426"/>
      </w:pPr>
      <w:r w:rsidRPr="005565F8">
        <w:t xml:space="preserve"> </w:t>
      </w:r>
      <w:r w:rsidRPr="005565F8">
        <w:br w:type="page"/>
      </w:r>
    </w:p>
    <w:p w:rsidR="009536C8" w:rsidRPr="005565F8" w:rsidP="003926C8" w14:paraId="5BA713AE" w14:textId="77777777">
      <w:pPr>
        <w:pStyle w:val="Heading1"/>
        <w:sectPr w:rsidSect="005D1AD0">
          <w:type w:val="continuous"/>
          <w:pgSz w:w="11906" w:h="16838" w:code="9"/>
          <w:pgMar w:top="1134" w:right="1134" w:bottom="1134" w:left="1134" w:header="709" w:footer="567" w:gutter="0"/>
          <w:cols w:space="708"/>
          <w:titlePg/>
          <w:docGrid w:linePitch="360"/>
        </w:sectPr>
      </w:pPr>
      <w:bookmarkStart w:id="123" w:name="_Toc510687765"/>
      <w:bookmarkStart w:id="124" w:name="_Toc256000034"/>
      <w:bookmarkStart w:id="125" w:name="_Toc256000069"/>
      <w:r w:rsidRPr="005565F8">
        <w:t xml:space="preserve">4. </w:t>
      </w:r>
      <w:r w:rsidRPr="005565F8" w:rsidR="00913118">
        <w:t xml:space="preserve">ES </w:t>
      </w:r>
      <w:r w:rsidRPr="005565F8">
        <w:t xml:space="preserve">FONDU </w:t>
      </w:r>
      <w:r w:rsidRPr="005565F8" w:rsidR="00036DA5">
        <w:t>ieguldījumi</w:t>
      </w:r>
      <w:bookmarkEnd w:id="125"/>
      <w:bookmarkEnd w:id="124"/>
      <w:bookmarkEnd w:id="123"/>
    </w:p>
    <w:p w:rsidR="00F35C47" w:rsidRPr="005565F8" w:rsidP="00F659E2" w14:paraId="33AAE5F5" w14:textId="77777777">
      <w:pPr>
        <w:spacing w:before="160"/>
        <w:jc w:val="both"/>
        <w:rPr>
          <w:b/>
        </w:rPr>
      </w:pPr>
      <w:r w:rsidRPr="005565F8">
        <w:rPr>
          <w:b/>
        </w:rPr>
        <w:t>ES strukturālo un Investīciju fondu 2014.-2020.gada plānošanas perioda finansējuma sadalījums un sasaiste ar “Eiropa 2020” stratēģiju</w:t>
      </w:r>
    </w:p>
    <w:p w:rsidR="00F659E2" w:rsidRPr="005565F8" w:rsidP="00F659E2" w14:paraId="3E44C97C" w14:textId="77777777">
      <w:pPr>
        <w:spacing w:before="160"/>
        <w:jc w:val="both"/>
        <w:rPr>
          <w:b/>
        </w:rPr>
      </w:pPr>
    </w:p>
    <w:p w:rsidR="00F659E2" w:rsidRPr="005565F8" w:rsidP="00F659E2" w14:paraId="6FF27FF2" w14:textId="77777777">
      <w:pPr>
        <w:spacing w:before="120"/>
        <w:jc w:val="both"/>
        <w:sectPr w:rsidSect="005D1AD0">
          <w:type w:val="continuous"/>
          <w:pgSz w:w="11906" w:h="16838" w:code="9"/>
          <w:pgMar w:top="1134" w:right="1134" w:bottom="1134" w:left="1134" w:header="709" w:footer="567" w:gutter="0"/>
          <w:cols w:space="340"/>
          <w:titlePg/>
          <w:docGrid w:linePitch="360"/>
        </w:sectPr>
      </w:pPr>
    </w:p>
    <w:p w:rsidR="00F35C47" w:rsidRPr="005565F8" w:rsidP="009536C8" w14:paraId="45236851" w14:textId="77777777">
      <w:pPr>
        <w:spacing w:before="120"/>
      </w:pPr>
      <w:r w:rsidRPr="005565F8">
        <w:t xml:space="preserve">ES strukturālo un investīciju fondu (ESF, ERAF, KF, ELFLA un EJZF) ieviešanai 2014.-2020.gada plānošanas periodā kopumā pieejami 5350,1 milj. </w:t>
      </w:r>
      <w:r w:rsidRPr="005565F8" w:rsidR="009536C8">
        <w:t>EUR</w:t>
      </w:r>
      <w:r w:rsidRPr="005565F8">
        <w:t xml:space="preserve">. Atbilstoši </w:t>
      </w:r>
      <w:r w:rsidRPr="005565F8">
        <w:rPr>
          <w:i/>
        </w:rPr>
        <w:t>Eiropas Parlamenta un Padomes Regulā (ES) Nr.1303/2013</w:t>
      </w:r>
      <w:r>
        <w:rPr>
          <w:rStyle w:val="FootnoteReference"/>
        </w:rPr>
        <w:footnoteReference w:id="71"/>
      </w:r>
      <w:r w:rsidRPr="005565F8">
        <w:t xml:space="preserve"> noteiktajiem tematiskajiem mērķiem, kuri nodrošina Kohēzijas politikas saikni ar </w:t>
      </w:r>
      <w:r w:rsidRPr="005565F8">
        <w:rPr>
          <w:i/>
        </w:rPr>
        <w:t>“Eiropa 2020”</w:t>
      </w:r>
      <w:r w:rsidRPr="005565F8">
        <w:t xml:space="preserve"> stratēģiju, </w:t>
      </w:r>
      <w:r w:rsidRPr="005565F8">
        <w:rPr>
          <w:i/>
        </w:rPr>
        <w:t>Partnerības līgumā ESI fondu 2014.-2020.gada plānošanas periodam</w:t>
      </w:r>
      <w:r>
        <w:rPr>
          <w:rStyle w:val="FootnoteReference"/>
        </w:rPr>
        <w:footnoteReference w:id="72"/>
      </w:r>
      <w:r w:rsidRPr="005565F8">
        <w:t xml:space="preserve"> ir noteikts indikatīvs ES strukturālo un investīciju fondu finansējuma sadalījums un norādīta sasaiste ar nacionālajiem mērķiem </w:t>
      </w:r>
      <w:r w:rsidRPr="005565F8">
        <w:rPr>
          <w:i/>
        </w:rPr>
        <w:t>“Eiropa 2020”</w:t>
      </w:r>
      <w:r w:rsidRPr="005565F8">
        <w:t xml:space="preserve"> stratēģijas kontekstā (skat. iepriekšējos Progresa ziņojumos par Latvijas NRP īstenošanu).</w:t>
      </w:r>
    </w:p>
    <w:p w:rsidR="009536C8" w:rsidRPr="005565F8" w:rsidP="00F35C47" w14:paraId="7A65B993" w14:textId="77777777">
      <w:pPr>
        <w:pStyle w:val="ListParagraph"/>
        <w:keepNext/>
        <w:tabs>
          <w:tab w:val="left" w:pos="426"/>
        </w:tabs>
        <w:spacing w:before="240"/>
        <w:jc w:val="right"/>
        <w:rPr>
          <w:rFonts w:ascii="Calibri Light" w:hAnsi="Calibri Light"/>
        </w:rPr>
        <w:sectPr w:rsidSect="005D1AD0">
          <w:type w:val="continuous"/>
          <w:pgSz w:w="11906" w:h="16838" w:code="9"/>
          <w:pgMar w:top="1134" w:right="1134" w:bottom="1134" w:left="1134" w:header="709" w:footer="567" w:gutter="0"/>
          <w:cols w:num="2" w:space="340"/>
          <w:titlePg/>
          <w:docGrid w:linePitch="360"/>
        </w:sectPr>
      </w:pPr>
    </w:p>
    <w:p w:rsidR="00131D09" w:rsidP="00DB68EA" w14:paraId="627F0461" w14:textId="77777777">
      <w:pPr>
        <w:pStyle w:val="ListParagraph"/>
        <w:tabs>
          <w:tab w:val="left" w:pos="426"/>
        </w:tabs>
        <w:spacing w:before="240"/>
        <w:contextualSpacing w:val="0"/>
        <w:jc w:val="right"/>
        <w:rPr>
          <w:rFonts w:ascii="Calibri Light" w:hAnsi="Calibri Light"/>
        </w:rPr>
      </w:pPr>
    </w:p>
    <w:p w:rsidR="00F35C47" w:rsidRPr="005565F8" w:rsidP="00DB68EA" w14:paraId="2B8D278D" w14:textId="2E3C831F">
      <w:pPr>
        <w:pStyle w:val="ListParagraph"/>
        <w:tabs>
          <w:tab w:val="left" w:pos="426"/>
        </w:tabs>
        <w:spacing w:before="240"/>
        <w:contextualSpacing w:val="0"/>
        <w:jc w:val="right"/>
        <w:rPr>
          <w:rFonts w:ascii="Calibri Light" w:hAnsi="Calibri Light"/>
          <w:b/>
          <w:i/>
          <w:sz w:val="24"/>
        </w:rPr>
      </w:pPr>
      <w:r w:rsidRPr="005565F8">
        <w:rPr>
          <w:rFonts w:ascii="Calibri Light" w:hAnsi="Calibri Light"/>
        </w:rPr>
        <w:t>4.1</w:t>
      </w:r>
      <w:r w:rsidRPr="005565F8" w:rsidR="000917D3">
        <w:rPr>
          <w:rFonts w:ascii="Calibri Light" w:hAnsi="Calibri Light"/>
        </w:rPr>
        <w:t>.tabula</w:t>
      </w:r>
      <w:r w:rsidRPr="005565F8" w:rsidR="000917D3">
        <w:rPr>
          <w:rFonts w:ascii="Calibri Light" w:hAnsi="Calibri Light"/>
        </w:rPr>
        <w:br/>
      </w:r>
      <w:r w:rsidRPr="005565F8">
        <w:rPr>
          <w:rFonts w:ascii="Calibri Light" w:hAnsi="Calibri Light"/>
          <w:b/>
          <w:sz w:val="24"/>
        </w:rPr>
        <w:t>Latvijas nacionālie mērķi “Eiropa 2020” stratēģijas kontekstā un kopējais finansējums*</w:t>
      </w:r>
    </w:p>
    <w:tbl>
      <w:tblPr>
        <w:tblW w:w="4985" w:type="pct"/>
        <w:tblBorders>
          <w:top w:val="single" w:sz="8" w:space="0" w:color="000000"/>
          <w:bottom w:val="single" w:sz="8" w:space="0" w:color="000000"/>
        </w:tblBorders>
        <w:tblLayout w:type="fixed"/>
        <w:tblLook w:val="04A0"/>
      </w:tblPr>
      <w:tblGrid>
        <w:gridCol w:w="398"/>
        <w:gridCol w:w="5191"/>
        <w:gridCol w:w="1245"/>
        <w:gridCol w:w="1981"/>
        <w:gridCol w:w="794"/>
      </w:tblGrid>
      <w:tr w14:paraId="272329E1" w14:textId="77777777" w:rsidTr="00E02326">
        <w:tblPrEx>
          <w:tblW w:w="4985" w:type="pct"/>
          <w:tblBorders>
            <w:top w:val="single" w:sz="8" w:space="0" w:color="000000"/>
            <w:bottom w:val="single" w:sz="8" w:space="0" w:color="000000"/>
          </w:tblBorders>
          <w:tblLayout w:type="fixed"/>
          <w:tblLook w:val="04A0"/>
        </w:tblPrEx>
        <w:trPr>
          <w:trHeight w:val="187"/>
          <w:tblHeader/>
        </w:trPr>
        <w:tc>
          <w:tcPr>
            <w:tcW w:w="207" w:type="pct"/>
            <w:tcBorders>
              <w:top w:val="nil"/>
              <w:left w:val="nil"/>
              <w:bottom w:val="nil"/>
              <w:right w:val="nil"/>
            </w:tcBorders>
            <w:shd w:val="clear" w:color="auto" w:fill="B8CCE4" w:themeFill="accent1" w:themeFillTint="66"/>
          </w:tcPr>
          <w:p w:rsidR="00F35C47" w:rsidRPr="005565F8" w:rsidP="00B01751" w14:paraId="61331C78" w14:textId="77777777">
            <w:pPr>
              <w:spacing w:before="20" w:after="20"/>
              <w:jc w:val="center"/>
              <w:rPr>
                <w:rFonts w:ascii="Calibri Light" w:hAnsi="Calibri Light" w:eastAsiaTheme="minorHAnsi" w:cstheme="minorBidi"/>
                <w:sz w:val="16"/>
                <w:szCs w:val="16"/>
              </w:rPr>
            </w:pPr>
          </w:p>
        </w:tc>
        <w:tc>
          <w:tcPr>
            <w:tcW w:w="2701" w:type="pct"/>
            <w:tcBorders>
              <w:top w:val="nil"/>
              <w:left w:val="nil"/>
              <w:bottom w:val="nil"/>
              <w:right w:val="nil"/>
            </w:tcBorders>
            <w:shd w:val="clear" w:color="auto" w:fill="B8CCE4" w:themeFill="accent1" w:themeFillTint="66"/>
            <w:noWrap/>
            <w:vAlign w:val="center"/>
          </w:tcPr>
          <w:p w:rsidR="00F35C47" w:rsidRPr="005565F8" w:rsidP="00B01751" w14:paraId="00D8160B" w14:textId="77777777">
            <w:pPr>
              <w:spacing w:before="20" w:after="20"/>
              <w:jc w:val="center"/>
              <w:rPr>
                <w:rFonts w:ascii="Calibri Light" w:hAnsi="Calibri Light" w:eastAsiaTheme="minorHAnsi" w:cstheme="minorBidi"/>
                <w:sz w:val="16"/>
                <w:szCs w:val="16"/>
              </w:rPr>
            </w:pPr>
          </w:p>
        </w:tc>
        <w:tc>
          <w:tcPr>
            <w:tcW w:w="648" w:type="pct"/>
            <w:tcBorders>
              <w:top w:val="nil"/>
              <w:left w:val="nil"/>
              <w:bottom w:val="single" w:sz="24" w:space="0" w:color="000000"/>
              <w:right w:val="nil"/>
            </w:tcBorders>
            <w:shd w:val="clear" w:color="auto" w:fill="B8CCE4" w:themeFill="accent1" w:themeFillTint="66"/>
            <w:noWrap/>
            <w:vAlign w:val="center"/>
          </w:tcPr>
          <w:p w:rsidR="00F35C47" w:rsidRPr="005565F8" w:rsidP="00B01751" w14:paraId="7CD24D6E" w14:textId="77777777">
            <w:pPr>
              <w:spacing w:before="20" w:after="20"/>
              <w:jc w:val="center"/>
              <w:rPr>
                <w:rFonts w:ascii="Calibri Light" w:hAnsi="Calibri Light"/>
                <w:b/>
                <w:sz w:val="16"/>
                <w:szCs w:val="16"/>
              </w:rPr>
            </w:pPr>
            <w:r w:rsidRPr="005565F8">
              <w:rPr>
                <w:rFonts w:ascii="Calibri Light" w:hAnsi="Calibri Light"/>
                <w:b/>
                <w:sz w:val="16"/>
                <w:szCs w:val="16"/>
              </w:rPr>
              <w:t>Sākuma vērtība</w:t>
            </w:r>
          </w:p>
        </w:tc>
        <w:tc>
          <w:tcPr>
            <w:tcW w:w="1031" w:type="pct"/>
            <w:tcBorders>
              <w:top w:val="nil"/>
              <w:left w:val="nil"/>
              <w:bottom w:val="single" w:sz="24" w:space="0" w:color="000000"/>
              <w:right w:val="nil"/>
            </w:tcBorders>
            <w:shd w:val="clear" w:color="auto" w:fill="B8CCE4" w:themeFill="accent1" w:themeFillTint="66"/>
            <w:noWrap/>
            <w:vAlign w:val="center"/>
          </w:tcPr>
          <w:p w:rsidR="00F35C47" w:rsidRPr="005565F8" w:rsidP="00B01751" w14:paraId="2AF15FF6" w14:textId="77777777">
            <w:pPr>
              <w:spacing w:before="20" w:after="20"/>
              <w:jc w:val="center"/>
              <w:rPr>
                <w:rFonts w:ascii="Calibri Light" w:hAnsi="Calibri Light"/>
                <w:b/>
                <w:sz w:val="16"/>
                <w:szCs w:val="16"/>
              </w:rPr>
            </w:pPr>
            <w:r w:rsidRPr="005565F8">
              <w:rPr>
                <w:rFonts w:ascii="Calibri Light" w:hAnsi="Calibri Light"/>
                <w:b/>
                <w:sz w:val="16"/>
                <w:szCs w:val="16"/>
              </w:rPr>
              <w:t>2020</w:t>
            </w:r>
          </w:p>
        </w:tc>
        <w:tc>
          <w:tcPr>
            <w:tcW w:w="414" w:type="pct"/>
            <w:tcBorders>
              <w:top w:val="nil"/>
              <w:left w:val="nil"/>
              <w:bottom w:val="single" w:sz="24" w:space="0" w:color="000000"/>
              <w:right w:val="nil"/>
            </w:tcBorders>
            <w:shd w:val="clear" w:color="auto" w:fill="B8CCE4" w:themeFill="accent1" w:themeFillTint="66"/>
            <w:noWrap/>
            <w:vAlign w:val="center"/>
          </w:tcPr>
          <w:p w:rsidR="00F35C47" w:rsidRPr="005565F8" w:rsidP="00B01751" w14:paraId="08FB2E12" w14:textId="77777777">
            <w:pPr>
              <w:spacing w:before="20" w:after="20"/>
              <w:jc w:val="center"/>
              <w:rPr>
                <w:rFonts w:ascii="Calibri Light" w:hAnsi="Calibri Light"/>
                <w:b/>
                <w:sz w:val="16"/>
                <w:szCs w:val="16"/>
              </w:rPr>
            </w:pPr>
            <w:r w:rsidRPr="005565F8">
              <w:rPr>
                <w:rFonts w:ascii="Calibri Light" w:hAnsi="Calibri Light"/>
                <w:b/>
                <w:sz w:val="16"/>
                <w:szCs w:val="16"/>
              </w:rPr>
              <w:t xml:space="preserve">milj. </w:t>
            </w:r>
            <w:r w:rsidRPr="005565F8">
              <w:rPr>
                <w:rFonts w:ascii="Calibri Light" w:hAnsi="Calibri Light"/>
                <w:b/>
                <w:sz w:val="16"/>
                <w:szCs w:val="16"/>
              </w:rPr>
              <w:t>EUR</w:t>
            </w:r>
          </w:p>
        </w:tc>
      </w:tr>
      <w:tr w14:paraId="3516E136" w14:textId="77777777" w:rsidTr="00E02326">
        <w:tblPrEx>
          <w:tblW w:w="4985" w:type="pct"/>
          <w:tblLayout w:type="fixed"/>
          <w:tblLook w:val="04A0"/>
        </w:tblPrEx>
        <w:trPr>
          <w:trHeight w:val="256"/>
        </w:trPr>
        <w:tc>
          <w:tcPr>
            <w:tcW w:w="207" w:type="pct"/>
            <w:tcBorders>
              <w:top w:val="nil"/>
              <w:left w:val="nil"/>
              <w:bottom w:val="nil"/>
              <w:right w:val="nil"/>
            </w:tcBorders>
          </w:tcPr>
          <w:p w:rsidR="00B01751" w:rsidRPr="005565F8" w:rsidP="00B01751" w14:paraId="0B0A5F34"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1.</w:t>
            </w:r>
          </w:p>
        </w:tc>
        <w:tc>
          <w:tcPr>
            <w:tcW w:w="2701" w:type="pct"/>
            <w:tcBorders>
              <w:top w:val="nil"/>
              <w:left w:val="nil"/>
              <w:bottom w:val="nil"/>
              <w:right w:val="nil"/>
            </w:tcBorders>
            <w:shd w:val="clear" w:color="auto" w:fill="auto"/>
            <w:noWrap/>
            <w:vAlign w:val="center"/>
          </w:tcPr>
          <w:p w:rsidR="00B01751" w:rsidRPr="005565F8" w:rsidP="00B01751" w14:paraId="27F305CA"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Nodarbinātības līmenis (vecuma grupa 20-64 gadi), %</w:t>
            </w:r>
          </w:p>
        </w:tc>
        <w:tc>
          <w:tcPr>
            <w:tcW w:w="648" w:type="pct"/>
            <w:tcBorders>
              <w:top w:val="single" w:sz="24" w:space="0" w:color="000000"/>
              <w:left w:val="nil"/>
              <w:bottom w:val="nil"/>
              <w:right w:val="nil"/>
            </w:tcBorders>
            <w:shd w:val="clear" w:color="auto" w:fill="auto"/>
            <w:noWrap/>
            <w:vAlign w:val="center"/>
          </w:tcPr>
          <w:p w:rsidR="00B01751" w:rsidRPr="005565F8" w:rsidP="00B01751" w14:paraId="3131DD3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67,1 (2009)</w:t>
            </w:r>
          </w:p>
        </w:tc>
        <w:tc>
          <w:tcPr>
            <w:tcW w:w="1031" w:type="pct"/>
            <w:tcBorders>
              <w:top w:val="single" w:sz="24" w:space="0" w:color="000000"/>
              <w:left w:val="nil"/>
              <w:bottom w:val="nil"/>
              <w:right w:val="nil"/>
            </w:tcBorders>
            <w:shd w:val="clear" w:color="auto" w:fill="auto"/>
            <w:noWrap/>
            <w:vAlign w:val="center"/>
          </w:tcPr>
          <w:p w:rsidR="00B01751" w:rsidRPr="005565F8" w:rsidP="00B01751" w14:paraId="60FF6D3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73</w:t>
            </w:r>
          </w:p>
        </w:tc>
        <w:tc>
          <w:tcPr>
            <w:tcW w:w="414" w:type="pct"/>
            <w:tcBorders>
              <w:top w:val="single" w:sz="24" w:space="0" w:color="000000"/>
              <w:left w:val="nil"/>
              <w:bottom w:val="nil"/>
              <w:right w:val="nil"/>
            </w:tcBorders>
            <w:shd w:val="clear" w:color="auto" w:fill="auto"/>
            <w:noWrap/>
            <w:vAlign w:val="center"/>
          </w:tcPr>
          <w:p w:rsidR="00B01751" w:rsidRPr="005565F8" w:rsidP="00B01751" w14:paraId="420E2E66"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946,2</w:t>
            </w:r>
          </w:p>
        </w:tc>
      </w:tr>
      <w:tr w14:paraId="628701A4" w14:textId="77777777" w:rsidTr="002132C6">
        <w:tblPrEx>
          <w:tblW w:w="4985" w:type="pct"/>
          <w:tblLayout w:type="fixed"/>
          <w:tblLook w:val="04A0"/>
        </w:tblPrEx>
        <w:trPr>
          <w:trHeight w:val="256"/>
        </w:trPr>
        <w:tc>
          <w:tcPr>
            <w:tcW w:w="207" w:type="pct"/>
            <w:tcBorders>
              <w:top w:val="nil"/>
              <w:left w:val="nil"/>
              <w:bottom w:val="nil"/>
              <w:right w:val="nil"/>
            </w:tcBorders>
            <w:shd w:val="clear" w:color="auto" w:fill="B8CCE4" w:themeFill="accent1" w:themeFillTint="66"/>
          </w:tcPr>
          <w:p w:rsidR="00B01751" w:rsidRPr="005565F8" w:rsidP="00B01751" w14:paraId="49CAAC82"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2.</w:t>
            </w:r>
          </w:p>
        </w:tc>
        <w:tc>
          <w:tcPr>
            <w:tcW w:w="2701" w:type="pct"/>
            <w:tcBorders>
              <w:top w:val="nil"/>
              <w:left w:val="nil"/>
              <w:bottom w:val="nil"/>
              <w:right w:val="nil"/>
            </w:tcBorders>
            <w:shd w:val="clear" w:color="auto" w:fill="B8CCE4" w:themeFill="accent1" w:themeFillTint="66"/>
            <w:noWrap/>
            <w:vAlign w:val="center"/>
          </w:tcPr>
          <w:p w:rsidR="00B01751" w:rsidRPr="005565F8" w:rsidP="00B01751" w14:paraId="7F48D389"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Ieguldījumi pētniecībā un attīstībā (% no IKP) </w:t>
            </w:r>
          </w:p>
        </w:tc>
        <w:tc>
          <w:tcPr>
            <w:tcW w:w="648" w:type="pct"/>
            <w:tcBorders>
              <w:top w:val="nil"/>
              <w:left w:val="nil"/>
              <w:bottom w:val="nil"/>
              <w:right w:val="nil"/>
            </w:tcBorders>
            <w:shd w:val="clear" w:color="auto" w:fill="B8CCE4" w:themeFill="accent1" w:themeFillTint="66"/>
            <w:noWrap/>
            <w:vAlign w:val="bottom"/>
          </w:tcPr>
          <w:p w:rsidR="00B01751" w:rsidRPr="005565F8" w:rsidP="00B01751" w14:paraId="27E82695" w14:textId="77777777">
            <w:pPr>
              <w:spacing w:before="20" w:after="20"/>
              <w:jc w:val="right"/>
            </w:pPr>
            <w:r w:rsidRPr="005565F8">
              <w:rPr>
                <w:rFonts w:ascii="Calibri Light" w:hAnsi="Calibri Light"/>
                <w:bCs/>
                <w:color w:val="000000"/>
                <w:sz w:val="16"/>
                <w:szCs w:val="16"/>
              </w:rPr>
              <w:t>0,46 (2009)</w:t>
            </w:r>
          </w:p>
        </w:tc>
        <w:tc>
          <w:tcPr>
            <w:tcW w:w="1031" w:type="pct"/>
            <w:tcBorders>
              <w:top w:val="nil"/>
              <w:left w:val="nil"/>
              <w:bottom w:val="nil"/>
              <w:right w:val="nil"/>
            </w:tcBorders>
            <w:shd w:val="clear" w:color="auto" w:fill="B8CCE4" w:themeFill="accent1" w:themeFillTint="66"/>
            <w:noWrap/>
            <w:vAlign w:val="center"/>
          </w:tcPr>
          <w:p w:rsidR="00B01751" w:rsidRPr="005565F8" w:rsidP="00B01751" w14:paraId="101CE6B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1,5</w:t>
            </w:r>
          </w:p>
        </w:tc>
        <w:tc>
          <w:tcPr>
            <w:tcW w:w="414" w:type="pct"/>
            <w:tcBorders>
              <w:top w:val="nil"/>
              <w:left w:val="nil"/>
              <w:bottom w:val="nil"/>
              <w:right w:val="nil"/>
            </w:tcBorders>
            <w:shd w:val="clear" w:color="auto" w:fill="B8CCE4" w:themeFill="accent1" w:themeFillTint="66"/>
            <w:noWrap/>
            <w:vAlign w:val="center"/>
          </w:tcPr>
          <w:p w:rsidR="00B01751" w:rsidRPr="005565F8" w:rsidP="00B01751" w14:paraId="3FCACF7F"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544,4</w:t>
            </w:r>
          </w:p>
        </w:tc>
      </w:tr>
      <w:tr w14:paraId="22599CC2" w14:textId="77777777" w:rsidTr="009536C8">
        <w:tblPrEx>
          <w:tblW w:w="4985" w:type="pct"/>
          <w:tblLayout w:type="fixed"/>
          <w:tblLook w:val="04A0"/>
        </w:tblPrEx>
        <w:trPr>
          <w:trHeight w:val="113"/>
        </w:trPr>
        <w:tc>
          <w:tcPr>
            <w:tcW w:w="207" w:type="pct"/>
            <w:tcBorders>
              <w:top w:val="nil"/>
              <w:left w:val="nil"/>
              <w:bottom w:val="nil"/>
              <w:right w:val="nil"/>
            </w:tcBorders>
          </w:tcPr>
          <w:p w:rsidR="00B01751" w:rsidRPr="005565F8" w:rsidP="00B01751" w14:paraId="7056EDDB"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3.</w:t>
            </w:r>
          </w:p>
        </w:tc>
        <w:tc>
          <w:tcPr>
            <w:tcW w:w="2701" w:type="pct"/>
            <w:tcBorders>
              <w:top w:val="nil"/>
              <w:left w:val="nil"/>
              <w:bottom w:val="nil"/>
              <w:right w:val="nil"/>
            </w:tcBorders>
            <w:shd w:val="clear" w:color="auto" w:fill="auto"/>
            <w:noWrap/>
            <w:vAlign w:val="center"/>
          </w:tcPr>
          <w:p w:rsidR="00B01751" w:rsidRPr="005565F8" w:rsidP="00B01751" w14:paraId="51EFDF5F"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Augstākā izglītība (iedzīvotāju īpatsvars ar augstāko izglītību vecuma grupā 30-34 gadi), %</w:t>
            </w:r>
          </w:p>
        </w:tc>
        <w:tc>
          <w:tcPr>
            <w:tcW w:w="648" w:type="pct"/>
            <w:tcBorders>
              <w:top w:val="nil"/>
              <w:left w:val="nil"/>
              <w:bottom w:val="nil"/>
              <w:right w:val="nil"/>
            </w:tcBorders>
            <w:shd w:val="clear" w:color="auto" w:fill="auto"/>
            <w:noWrap/>
            <w:vAlign w:val="bottom"/>
          </w:tcPr>
          <w:p w:rsidR="00B01751" w:rsidRPr="005565F8" w:rsidP="00B01751" w14:paraId="7A59203E" w14:textId="77777777">
            <w:pPr>
              <w:spacing w:before="20" w:after="20"/>
              <w:jc w:val="right"/>
            </w:pPr>
            <w:r w:rsidRPr="005565F8">
              <w:rPr>
                <w:rFonts w:ascii="Calibri Light" w:hAnsi="Calibri Light"/>
                <w:bCs/>
                <w:color w:val="000000"/>
                <w:sz w:val="16"/>
                <w:szCs w:val="16"/>
              </w:rPr>
              <w:t>30,1 (2009)</w:t>
            </w:r>
          </w:p>
        </w:tc>
        <w:tc>
          <w:tcPr>
            <w:tcW w:w="1031" w:type="pct"/>
            <w:tcBorders>
              <w:top w:val="nil"/>
              <w:left w:val="nil"/>
              <w:bottom w:val="nil"/>
              <w:right w:val="nil"/>
            </w:tcBorders>
            <w:shd w:val="clear" w:color="auto" w:fill="auto"/>
            <w:noWrap/>
            <w:vAlign w:val="center"/>
          </w:tcPr>
          <w:p w:rsidR="00B01751" w:rsidRPr="005565F8" w:rsidP="00B01751" w14:paraId="4836D778"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34,0-36,0</w:t>
            </w:r>
          </w:p>
        </w:tc>
        <w:tc>
          <w:tcPr>
            <w:tcW w:w="414" w:type="pct"/>
            <w:tcBorders>
              <w:top w:val="nil"/>
              <w:left w:val="nil"/>
              <w:bottom w:val="nil"/>
              <w:right w:val="nil"/>
            </w:tcBorders>
            <w:shd w:val="clear" w:color="auto" w:fill="auto"/>
            <w:noWrap/>
            <w:vAlign w:val="center"/>
          </w:tcPr>
          <w:p w:rsidR="00B01751" w:rsidRPr="005565F8" w:rsidP="00B01751" w14:paraId="7AF4F4A0"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43,2</w:t>
            </w:r>
          </w:p>
        </w:tc>
      </w:tr>
      <w:tr w14:paraId="00F48106" w14:textId="77777777" w:rsidTr="002132C6">
        <w:tblPrEx>
          <w:tblW w:w="4985" w:type="pct"/>
          <w:tblLayout w:type="fixed"/>
          <w:tblLook w:val="04A0"/>
        </w:tblPrEx>
        <w:trPr>
          <w:trHeight w:val="57"/>
        </w:trPr>
        <w:tc>
          <w:tcPr>
            <w:tcW w:w="207" w:type="pct"/>
            <w:tcBorders>
              <w:top w:val="nil"/>
              <w:left w:val="nil"/>
              <w:bottom w:val="nil"/>
              <w:right w:val="nil"/>
            </w:tcBorders>
            <w:shd w:val="clear" w:color="auto" w:fill="B8CCE4" w:themeFill="accent1" w:themeFillTint="66"/>
          </w:tcPr>
          <w:p w:rsidR="00B01751" w:rsidRPr="005565F8" w:rsidP="00B01751" w14:paraId="62DF710D"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4.</w:t>
            </w:r>
          </w:p>
        </w:tc>
        <w:tc>
          <w:tcPr>
            <w:tcW w:w="2701" w:type="pct"/>
            <w:tcBorders>
              <w:top w:val="nil"/>
              <w:left w:val="nil"/>
              <w:bottom w:val="nil"/>
              <w:right w:val="nil"/>
            </w:tcBorders>
            <w:shd w:val="clear" w:color="auto" w:fill="B8CCE4" w:themeFill="accent1" w:themeFillTint="66"/>
            <w:noWrap/>
            <w:vAlign w:val="center"/>
          </w:tcPr>
          <w:p w:rsidR="00B01751" w:rsidRPr="005565F8" w:rsidP="00B01751" w14:paraId="3100F0DE"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Skolu nepabeigušo iedzīvotāju īpatsvars (vecuma grupā 18-24 gadi), % </w:t>
            </w:r>
          </w:p>
        </w:tc>
        <w:tc>
          <w:tcPr>
            <w:tcW w:w="648" w:type="pct"/>
            <w:tcBorders>
              <w:top w:val="nil"/>
              <w:left w:val="nil"/>
              <w:bottom w:val="nil"/>
              <w:right w:val="nil"/>
            </w:tcBorders>
            <w:shd w:val="clear" w:color="auto" w:fill="B8CCE4" w:themeFill="accent1" w:themeFillTint="66"/>
            <w:noWrap/>
            <w:vAlign w:val="bottom"/>
          </w:tcPr>
          <w:p w:rsidR="00B01751" w:rsidRPr="005565F8" w:rsidP="00B01751" w14:paraId="0C2532C4" w14:textId="77777777">
            <w:pPr>
              <w:spacing w:before="20" w:after="20"/>
              <w:jc w:val="right"/>
            </w:pPr>
            <w:r w:rsidRPr="005565F8">
              <w:rPr>
                <w:rFonts w:ascii="Calibri Light" w:hAnsi="Calibri Light"/>
                <w:bCs/>
                <w:color w:val="000000"/>
                <w:sz w:val="16"/>
                <w:szCs w:val="16"/>
              </w:rPr>
              <w:t>13,9 (2009)</w:t>
            </w:r>
          </w:p>
        </w:tc>
        <w:tc>
          <w:tcPr>
            <w:tcW w:w="1031" w:type="pct"/>
            <w:tcBorders>
              <w:top w:val="nil"/>
              <w:left w:val="nil"/>
              <w:bottom w:val="nil"/>
              <w:right w:val="nil"/>
            </w:tcBorders>
            <w:shd w:val="clear" w:color="auto" w:fill="B8CCE4" w:themeFill="accent1" w:themeFillTint="66"/>
            <w:noWrap/>
            <w:vAlign w:val="center"/>
          </w:tcPr>
          <w:p w:rsidR="00B01751" w:rsidRPr="005565F8" w:rsidP="00B01751" w14:paraId="0A1952F0"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13,4</w:t>
            </w:r>
          </w:p>
        </w:tc>
        <w:tc>
          <w:tcPr>
            <w:tcW w:w="414" w:type="pct"/>
            <w:tcBorders>
              <w:top w:val="nil"/>
              <w:left w:val="nil"/>
              <w:bottom w:val="nil"/>
              <w:right w:val="nil"/>
            </w:tcBorders>
            <w:shd w:val="clear" w:color="auto" w:fill="B8CCE4" w:themeFill="accent1" w:themeFillTint="66"/>
            <w:noWrap/>
            <w:vAlign w:val="center"/>
          </w:tcPr>
          <w:p w:rsidR="00B01751" w:rsidRPr="005565F8" w:rsidP="00B01751" w14:paraId="088F6A7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174,8</w:t>
            </w:r>
          </w:p>
        </w:tc>
      </w:tr>
      <w:tr w14:paraId="79FD46D4" w14:textId="77777777" w:rsidTr="009536C8">
        <w:tblPrEx>
          <w:tblW w:w="4985" w:type="pct"/>
          <w:tblLayout w:type="fixed"/>
          <w:tblLook w:val="04A0"/>
        </w:tblPrEx>
        <w:trPr>
          <w:trHeight w:val="256"/>
        </w:trPr>
        <w:tc>
          <w:tcPr>
            <w:tcW w:w="207" w:type="pct"/>
            <w:tcBorders>
              <w:top w:val="nil"/>
              <w:left w:val="nil"/>
              <w:bottom w:val="nil"/>
              <w:right w:val="nil"/>
            </w:tcBorders>
            <w:shd w:val="clear" w:color="auto" w:fill="auto"/>
          </w:tcPr>
          <w:p w:rsidR="00B01751" w:rsidRPr="005565F8" w:rsidP="00B01751" w14:paraId="3F066738"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5.</w:t>
            </w:r>
          </w:p>
        </w:tc>
        <w:tc>
          <w:tcPr>
            <w:tcW w:w="2701" w:type="pct"/>
            <w:tcBorders>
              <w:top w:val="nil"/>
              <w:left w:val="nil"/>
              <w:bottom w:val="nil"/>
              <w:right w:val="nil"/>
            </w:tcBorders>
            <w:shd w:val="clear" w:color="auto" w:fill="auto"/>
            <w:noWrap/>
            <w:vAlign w:val="center"/>
          </w:tcPr>
          <w:p w:rsidR="00B01751" w:rsidRPr="005565F8" w:rsidP="00B01751" w14:paraId="73B2B758"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 xml:space="preserve">Nabadzības riskam pakļauto iedzīvotāju īpatsvars, % </w:t>
            </w:r>
          </w:p>
        </w:tc>
        <w:tc>
          <w:tcPr>
            <w:tcW w:w="648" w:type="pct"/>
            <w:tcBorders>
              <w:top w:val="nil"/>
              <w:left w:val="nil"/>
              <w:bottom w:val="nil"/>
              <w:right w:val="nil"/>
            </w:tcBorders>
            <w:shd w:val="clear" w:color="auto" w:fill="auto"/>
            <w:noWrap/>
            <w:vAlign w:val="bottom"/>
          </w:tcPr>
          <w:p w:rsidR="00B01751" w:rsidRPr="005565F8" w:rsidP="00B01751" w14:paraId="2A3094C5" w14:textId="77777777">
            <w:pPr>
              <w:spacing w:before="20" w:after="20"/>
              <w:jc w:val="right"/>
            </w:pPr>
            <w:r w:rsidRPr="005565F8">
              <w:rPr>
                <w:rFonts w:ascii="Calibri Light" w:hAnsi="Calibri Light"/>
                <w:bCs/>
                <w:color w:val="000000"/>
                <w:sz w:val="16"/>
                <w:szCs w:val="16"/>
              </w:rPr>
              <w:t>26 (2009)</w:t>
            </w:r>
          </w:p>
        </w:tc>
        <w:tc>
          <w:tcPr>
            <w:tcW w:w="1031" w:type="pct"/>
            <w:tcBorders>
              <w:top w:val="nil"/>
              <w:left w:val="nil"/>
              <w:bottom w:val="nil"/>
              <w:right w:val="nil"/>
            </w:tcBorders>
            <w:shd w:val="clear" w:color="auto" w:fill="auto"/>
            <w:noWrap/>
            <w:vAlign w:val="center"/>
          </w:tcPr>
          <w:p w:rsidR="00B01751" w:rsidRPr="005565F8" w:rsidP="00B01751" w14:paraId="24C80F5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21,0</w:t>
            </w:r>
          </w:p>
        </w:tc>
        <w:tc>
          <w:tcPr>
            <w:tcW w:w="414" w:type="pct"/>
            <w:tcBorders>
              <w:top w:val="nil"/>
              <w:left w:val="nil"/>
              <w:bottom w:val="nil"/>
              <w:right w:val="nil"/>
            </w:tcBorders>
            <w:shd w:val="clear" w:color="auto" w:fill="auto"/>
            <w:noWrap/>
            <w:vAlign w:val="center"/>
          </w:tcPr>
          <w:p w:rsidR="00B01751" w:rsidRPr="005565F8" w:rsidP="00B01751" w14:paraId="2A00C11D"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430,4</w:t>
            </w:r>
          </w:p>
        </w:tc>
      </w:tr>
      <w:tr w14:paraId="53B03703" w14:textId="77777777" w:rsidTr="002132C6">
        <w:tblPrEx>
          <w:tblW w:w="4985" w:type="pct"/>
          <w:tblLayout w:type="fixed"/>
          <w:tblLook w:val="04A0"/>
        </w:tblPrEx>
        <w:trPr>
          <w:trHeight w:val="256"/>
        </w:trPr>
        <w:tc>
          <w:tcPr>
            <w:tcW w:w="207" w:type="pct"/>
            <w:tcBorders>
              <w:top w:val="nil"/>
              <w:left w:val="nil"/>
              <w:bottom w:val="nil"/>
              <w:right w:val="nil"/>
            </w:tcBorders>
            <w:shd w:val="clear" w:color="auto" w:fill="B8CCE4" w:themeFill="accent1" w:themeFillTint="66"/>
            <w:vAlign w:val="center"/>
          </w:tcPr>
          <w:p w:rsidR="00B01751" w:rsidRPr="005565F8" w:rsidP="00B01751" w14:paraId="0493364B"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6.</w:t>
            </w:r>
          </w:p>
        </w:tc>
        <w:tc>
          <w:tcPr>
            <w:tcW w:w="2701" w:type="pct"/>
            <w:tcBorders>
              <w:top w:val="nil"/>
              <w:left w:val="nil"/>
              <w:bottom w:val="nil"/>
              <w:right w:val="nil"/>
            </w:tcBorders>
            <w:shd w:val="clear" w:color="auto" w:fill="B8CCE4" w:themeFill="accent1" w:themeFillTint="66"/>
            <w:noWrap/>
            <w:vAlign w:val="center"/>
          </w:tcPr>
          <w:p w:rsidR="00B01751" w:rsidRPr="005565F8" w:rsidP="00B01751" w14:paraId="1E9697B7"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 xml:space="preserve">Energoefektivitāte (bruto iekšzemes enerģijas patēriņš), </w:t>
            </w:r>
            <w:r w:rsidRPr="005565F8">
              <w:rPr>
                <w:rFonts w:ascii="Calibri Light" w:hAnsi="Calibri Light"/>
                <w:bCs/>
                <w:color w:val="000000"/>
                <w:sz w:val="16"/>
                <w:szCs w:val="16"/>
              </w:rPr>
              <w:t>Mtoe</w:t>
            </w:r>
            <w:r w:rsidRPr="005565F8">
              <w:rPr>
                <w:rFonts w:ascii="Calibri Light" w:hAnsi="Calibri Light"/>
                <w:bCs/>
                <w:color w:val="000000"/>
                <w:sz w:val="16"/>
                <w:szCs w:val="16"/>
              </w:rPr>
              <w:t> </w:t>
            </w:r>
          </w:p>
        </w:tc>
        <w:tc>
          <w:tcPr>
            <w:tcW w:w="648" w:type="pct"/>
            <w:tcBorders>
              <w:top w:val="nil"/>
              <w:left w:val="nil"/>
              <w:bottom w:val="nil"/>
              <w:right w:val="nil"/>
            </w:tcBorders>
            <w:shd w:val="clear" w:color="auto" w:fill="B8CCE4" w:themeFill="accent1" w:themeFillTint="66"/>
            <w:noWrap/>
            <w:vAlign w:val="bottom"/>
          </w:tcPr>
          <w:p w:rsidR="00B01751" w:rsidRPr="005565F8" w:rsidP="00B01751" w14:paraId="1247115D" w14:textId="77777777">
            <w:pPr>
              <w:spacing w:before="20" w:after="20"/>
              <w:jc w:val="right"/>
            </w:pPr>
            <w:r w:rsidRPr="005565F8">
              <w:rPr>
                <w:rFonts w:ascii="Calibri Light" w:hAnsi="Calibri Light"/>
                <w:bCs/>
                <w:color w:val="000000"/>
                <w:sz w:val="16"/>
                <w:szCs w:val="16"/>
              </w:rPr>
              <w:t>4,6 (2009)</w:t>
            </w:r>
          </w:p>
        </w:tc>
        <w:tc>
          <w:tcPr>
            <w:tcW w:w="1031" w:type="pct"/>
            <w:tcBorders>
              <w:top w:val="nil"/>
              <w:left w:val="nil"/>
              <w:bottom w:val="nil"/>
              <w:right w:val="nil"/>
            </w:tcBorders>
            <w:shd w:val="clear" w:color="auto" w:fill="B8CCE4" w:themeFill="accent1" w:themeFillTint="66"/>
            <w:noWrap/>
            <w:vAlign w:val="center"/>
          </w:tcPr>
          <w:p w:rsidR="00B01751" w:rsidRPr="005565F8" w:rsidP="00B01751" w14:paraId="4B71D402" w14:textId="77777777">
            <w:pPr>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iegūt samazinājumu par 0,668</w:t>
            </w:r>
          </w:p>
        </w:tc>
        <w:tc>
          <w:tcPr>
            <w:tcW w:w="414" w:type="pct"/>
            <w:tcBorders>
              <w:top w:val="nil"/>
              <w:left w:val="nil"/>
              <w:bottom w:val="nil"/>
              <w:right w:val="nil"/>
            </w:tcBorders>
            <w:shd w:val="clear" w:color="auto" w:fill="B8CCE4" w:themeFill="accent1" w:themeFillTint="66"/>
            <w:noWrap/>
            <w:vAlign w:val="center"/>
          </w:tcPr>
          <w:p w:rsidR="00B01751" w:rsidRPr="005565F8" w:rsidP="00B01751" w14:paraId="68DF258B"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182,9</w:t>
            </w:r>
          </w:p>
        </w:tc>
      </w:tr>
      <w:tr w14:paraId="2ECA0853" w14:textId="77777777" w:rsidTr="009536C8">
        <w:tblPrEx>
          <w:tblW w:w="4985" w:type="pct"/>
          <w:tblLayout w:type="fixed"/>
          <w:tblLook w:val="04A0"/>
        </w:tblPrEx>
        <w:trPr>
          <w:trHeight w:val="256"/>
        </w:trPr>
        <w:tc>
          <w:tcPr>
            <w:tcW w:w="207" w:type="pct"/>
            <w:tcBorders>
              <w:top w:val="nil"/>
              <w:left w:val="nil"/>
              <w:bottom w:val="nil"/>
              <w:right w:val="nil"/>
            </w:tcBorders>
            <w:shd w:val="clear" w:color="auto" w:fill="auto"/>
          </w:tcPr>
          <w:p w:rsidR="00B01751" w:rsidRPr="005565F8" w:rsidP="00B01751" w14:paraId="2A3B4F0C"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7.</w:t>
            </w:r>
          </w:p>
        </w:tc>
        <w:tc>
          <w:tcPr>
            <w:tcW w:w="2701" w:type="pct"/>
            <w:tcBorders>
              <w:top w:val="nil"/>
              <w:left w:val="nil"/>
              <w:bottom w:val="nil"/>
              <w:right w:val="nil"/>
            </w:tcBorders>
            <w:shd w:val="clear" w:color="auto" w:fill="auto"/>
            <w:noWrap/>
            <w:vAlign w:val="center"/>
          </w:tcPr>
          <w:p w:rsidR="00B01751" w:rsidRPr="005565F8" w:rsidP="00B01751" w14:paraId="40545AD9"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 xml:space="preserve">Atjaunojamās enerģijas īpatsvars bruto enerģijas </w:t>
            </w:r>
            <w:r w:rsidRPr="005565F8">
              <w:rPr>
                <w:rFonts w:ascii="Calibri Light" w:hAnsi="Calibri Light"/>
                <w:bCs/>
                <w:color w:val="000000"/>
                <w:sz w:val="16"/>
                <w:szCs w:val="16"/>
              </w:rPr>
              <w:t>galapatēriņā</w:t>
            </w:r>
            <w:r w:rsidRPr="005565F8">
              <w:rPr>
                <w:rFonts w:ascii="Calibri Light" w:hAnsi="Calibri Light"/>
                <w:bCs/>
                <w:color w:val="000000"/>
                <w:sz w:val="16"/>
                <w:szCs w:val="16"/>
              </w:rPr>
              <w:t>, % </w:t>
            </w:r>
          </w:p>
        </w:tc>
        <w:tc>
          <w:tcPr>
            <w:tcW w:w="648" w:type="pct"/>
            <w:tcBorders>
              <w:top w:val="nil"/>
              <w:left w:val="nil"/>
              <w:bottom w:val="nil"/>
              <w:right w:val="nil"/>
            </w:tcBorders>
            <w:shd w:val="clear" w:color="auto" w:fill="auto"/>
            <w:noWrap/>
            <w:vAlign w:val="bottom"/>
          </w:tcPr>
          <w:p w:rsidR="00B01751" w:rsidRPr="005565F8" w:rsidP="00B01751" w14:paraId="7F2E085A" w14:textId="77777777">
            <w:pPr>
              <w:spacing w:before="20" w:after="20"/>
              <w:jc w:val="right"/>
            </w:pPr>
            <w:r w:rsidRPr="005565F8">
              <w:rPr>
                <w:rFonts w:ascii="Calibri Light" w:hAnsi="Calibri Light"/>
                <w:bCs/>
                <w:color w:val="000000"/>
                <w:sz w:val="16"/>
                <w:szCs w:val="16"/>
              </w:rPr>
              <w:t>29,9 (2009)</w:t>
            </w:r>
          </w:p>
        </w:tc>
        <w:tc>
          <w:tcPr>
            <w:tcW w:w="1031" w:type="pct"/>
            <w:tcBorders>
              <w:top w:val="nil"/>
              <w:left w:val="nil"/>
              <w:bottom w:val="nil"/>
              <w:right w:val="nil"/>
            </w:tcBorders>
            <w:shd w:val="clear" w:color="auto" w:fill="auto"/>
            <w:noWrap/>
            <w:vAlign w:val="center"/>
          </w:tcPr>
          <w:p w:rsidR="00B01751" w:rsidRPr="005565F8" w:rsidP="00B01751" w14:paraId="2403568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līdz 40%</w:t>
            </w:r>
          </w:p>
        </w:tc>
        <w:tc>
          <w:tcPr>
            <w:tcW w:w="414" w:type="pct"/>
            <w:tcBorders>
              <w:top w:val="nil"/>
              <w:left w:val="nil"/>
              <w:bottom w:val="nil"/>
              <w:right w:val="nil"/>
            </w:tcBorders>
            <w:shd w:val="clear" w:color="auto" w:fill="auto"/>
            <w:noWrap/>
            <w:vAlign w:val="center"/>
          </w:tcPr>
          <w:p w:rsidR="00B01751" w:rsidRPr="005565F8" w:rsidP="00B01751" w14:paraId="2F1AB62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182,9</w:t>
            </w:r>
          </w:p>
        </w:tc>
      </w:tr>
      <w:tr w14:paraId="64A89CD0" w14:textId="77777777" w:rsidTr="002132C6">
        <w:tblPrEx>
          <w:tblW w:w="4985" w:type="pct"/>
          <w:tblLayout w:type="fixed"/>
          <w:tblLook w:val="04A0"/>
        </w:tblPrEx>
        <w:trPr>
          <w:trHeight w:val="256"/>
        </w:trPr>
        <w:tc>
          <w:tcPr>
            <w:tcW w:w="207" w:type="pct"/>
            <w:tcBorders>
              <w:top w:val="nil"/>
              <w:left w:val="nil"/>
              <w:bottom w:val="nil"/>
              <w:right w:val="nil"/>
            </w:tcBorders>
            <w:shd w:val="clear" w:color="auto" w:fill="B8CCE4" w:themeFill="accent1" w:themeFillTint="66"/>
          </w:tcPr>
          <w:p w:rsidR="00B01751" w:rsidRPr="005565F8" w:rsidP="00B01751" w14:paraId="17AE270E"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8.</w:t>
            </w:r>
          </w:p>
        </w:tc>
        <w:tc>
          <w:tcPr>
            <w:tcW w:w="2701" w:type="pct"/>
            <w:tcBorders>
              <w:top w:val="nil"/>
              <w:left w:val="nil"/>
              <w:bottom w:val="nil"/>
              <w:right w:val="nil"/>
            </w:tcBorders>
            <w:shd w:val="clear" w:color="auto" w:fill="B8CCE4" w:themeFill="accent1" w:themeFillTint="66"/>
            <w:noWrap/>
            <w:vAlign w:val="center"/>
          </w:tcPr>
          <w:p w:rsidR="00B01751" w:rsidRPr="005565F8" w:rsidP="00B01751" w14:paraId="0F1D01D5"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Siltumnīcefekta gāzu (SEG) emisijas (% pret emisiju apjomu 1990.gadā)</w:t>
            </w:r>
          </w:p>
        </w:tc>
        <w:tc>
          <w:tcPr>
            <w:tcW w:w="648" w:type="pct"/>
            <w:tcBorders>
              <w:top w:val="nil"/>
              <w:left w:val="nil"/>
              <w:bottom w:val="nil"/>
              <w:right w:val="nil"/>
            </w:tcBorders>
            <w:shd w:val="clear" w:color="auto" w:fill="B8CCE4" w:themeFill="accent1" w:themeFillTint="66"/>
            <w:noWrap/>
            <w:vAlign w:val="center"/>
          </w:tcPr>
          <w:p w:rsidR="00B01751" w:rsidRPr="005565F8" w:rsidP="00B01751" w14:paraId="66DBEF44" w14:textId="77777777">
            <w:pPr>
              <w:tabs>
                <w:tab w:val="decimal" w:pos="393"/>
              </w:tabs>
              <w:spacing w:before="20" w:after="20"/>
              <w:jc w:val="right"/>
              <w:rPr>
                <w:rFonts w:ascii="Calibri Light" w:hAnsi="Calibri Light"/>
                <w:bCs/>
                <w:color w:val="000000"/>
                <w:sz w:val="16"/>
                <w:szCs w:val="16"/>
              </w:rPr>
            </w:pPr>
          </w:p>
        </w:tc>
        <w:tc>
          <w:tcPr>
            <w:tcW w:w="1031" w:type="pct"/>
            <w:tcBorders>
              <w:top w:val="nil"/>
              <w:left w:val="nil"/>
              <w:bottom w:val="nil"/>
              <w:right w:val="nil"/>
            </w:tcBorders>
            <w:shd w:val="clear" w:color="auto" w:fill="B8CCE4" w:themeFill="accent1" w:themeFillTint="66"/>
            <w:noWrap/>
            <w:vAlign w:val="center"/>
          </w:tcPr>
          <w:p w:rsidR="00B01751" w:rsidRPr="005565F8" w:rsidP="00B01751" w14:paraId="1E76E7F6" w14:textId="77777777">
            <w:pPr>
              <w:tabs>
                <w:tab w:val="decimal" w:pos="393"/>
              </w:tabs>
              <w:spacing w:before="20" w:after="20"/>
              <w:jc w:val="right"/>
              <w:rPr>
                <w:rFonts w:ascii="Calibri Light" w:hAnsi="Calibri Light"/>
                <w:bCs/>
                <w:color w:val="000000"/>
                <w:sz w:val="16"/>
                <w:szCs w:val="16"/>
              </w:rPr>
            </w:pPr>
          </w:p>
        </w:tc>
        <w:tc>
          <w:tcPr>
            <w:tcW w:w="414" w:type="pct"/>
            <w:tcBorders>
              <w:top w:val="nil"/>
              <w:left w:val="nil"/>
              <w:bottom w:val="nil"/>
              <w:right w:val="nil"/>
            </w:tcBorders>
            <w:shd w:val="clear" w:color="auto" w:fill="B8CCE4" w:themeFill="accent1" w:themeFillTint="66"/>
            <w:noWrap/>
            <w:vAlign w:val="center"/>
          </w:tcPr>
          <w:p w:rsidR="00B01751" w:rsidRPr="005565F8" w:rsidP="00B01751" w14:paraId="52AD7D3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1 339,2</w:t>
            </w:r>
          </w:p>
        </w:tc>
      </w:tr>
      <w:tr w14:paraId="767D26D0" w14:textId="77777777" w:rsidTr="00E02326">
        <w:tblPrEx>
          <w:tblW w:w="4985" w:type="pct"/>
          <w:tblLayout w:type="fixed"/>
          <w:tblLook w:val="04A0"/>
        </w:tblPrEx>
        <w:trPr>
          <w:trHeight w:val="256"/>
        </w:trPr>
        <w:tc>
          <w:tcPr>
            <w:tcW w:w="207" w:type="pct"/>
            <w:tcBorders>
              <w:top w:val="nil"/>
              <w:left w:val="nil"/>
              <w:bottom w:val="nil"/>
              <w:right w:val="nil"/>
            </w:tcBorders>
            <w:shd w:val="clear" w:color="auto" w:fill="auto"/>
          </w:tcPr>
          <w:p w:rsidR="00B01751" w:rsidRPr="005565F8" w:rsidP="00B01751" w14:paraId="3394B380" w14:textId="77777777">
            <w:pPr>
              <w:spacing w:before="20" w:after="20"/>
              <w:rPr>
                <w:rFonts w:ascii="Calibri Light" w:hAnsi="Calibri Light"/>
                <w:bCs/>
                <w:color w:val="000000"/>
                <w:sz w:val="16"/>
                <w:szCs w:val="16"/>
              </w:rPr>
            </w:pPr>
          </w:p>
        </w:tc>
        <w:tc>
          <w:tcPr>
            <w:tcW w:w="2701" w:type="pct"/>
            <w:tcBorders>
              <w:top w:val="nil"/>
              <w:left w:val="nil"/>
              <w:bottom w:val="nil"/>
              <w:right w:val="nil"/>
            </w:tcBorders>
            <w:shd w:val="clear" w:color="auto" w:fill="auto"/>
            <w:noWrap/>
            <w:vAlign w:val="center"/>
          </w:tcPr>
          <w:p w:rsidR="00B01751" w:rsidRPr="005565F8" w:rsidP="00B01751" w14:paraId="6AB70A77" w14:textId="77777777">
            <w:pPr>
              <w:spacing w:before="20" w:after="20"/>
              <w:ind w:left="3237"/>
              <w:rPr>
                <w:rFonts w:ascii="Calibri Light" w:hAnsi="Calibri Light"/>
                <w:bCs/>
                <w:color w:val="000000"/>
                <w:sz w:val="16"/>
                <w:szCs w:val="16"/>
              </w:rPr>
            </w:pPr>
            <w:r w:rsidRPr="005565F8">
              <w:rPr>
                <w:rFonts w:ascii="Calibri Light" w:hAnsi="Calibri Light"/>
                <w:bCs/>
                <w:color w:val="000000"/>
                <w:sz w:val="16"/>
                <w:szCs w:val="16"/>
              </w:rPr>
              <w:t>SEG nozarēs ārpus ETS</w:t>
            </w:r>
          </w:p>
        </w:tc>
        <w:tc>
          <w:tcPr>
            <w:tcW w:w="648" w:type="pct"/>
            <w:tcBorders>
              <w:top w:val="nil"/>
              <w:left w:val="nil"/>
              <w:bottom w:val="nil"/>
              <w:right w:val="nil"/>
            </w:tcBorders>
            <w:shd w:val="clear" w:color="auto" w:fill="auto"/>
            <w:noWrap/>
            <w:vAlign w:val="center"/>
          </w:tcPr>
          <w:p w:rsidR="00B01751" w:rsidRPr="005565F8" w:rsidP="00B01751" w14:paraId="0B1976B0" w14:textId="77777777">
            <w:pPr>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44,4% (2008)</w:t>
            </w:r>
          </w:p>
        </w:tc>
        <w:tc>
          <w:tcPr>
            <w:tcW w:w="1031" w:type="pct"/>
            <w:tcBorders>
              <w:top w:val="nil"/>
              <w:left w:val="nil"/>
              <w:bottom w:val="nil"/>
              <w:right w:val="nil"/>
            </w:tcBorders>
            <w:shd w:val="clear" w:color="auto" w:fill="auto"/>
            <w:noWrap/>
            <w:vAlign w:val="center"/>
          </w:tcPr>
          <w:p w:rsidR="00B01751" w:rsidRPr="005565F8" w:rsidP="00B01751" w14:paraId="6AEAF049" w14:textId="77777777">
            <w:pPr>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salīdzinājumā ar 2005.gadu nepārsniegt 17%</w:t>
            </w:r>
          </w:p>
        </w:tc>
        <w:tc>
          <w:tcPr>
            <w:tcW w:w="414" w:type="pct"/>
            <w:tcBorders>
              <w:top w:val="nil"/>
              <w:left w:val="nil"/>
              <w:bottom w:val="nil"/>
              <w:right w:val="nil"/>
            </w:tcBorders>
            <w:shd w:val="clear" w:color="auto" w:fill="auto"/>
            <w:noWrap/>
            <w:vAlign w:val="center"/>
          </w:tcPr>
          <w:p w:rsidR="00B01751" w:rsidRPr="005565F8" w:rsidP="00B01751" w14:paraId="5211231E" w14:textId="77777777">
            <w:pPr>
              <w:tabs>
                <w:tab w:val="decimal" w:pos="393"/>
              </w:tabs>
              <w:spacing w:before="20" w:after="20"/>
              <w:jc w:val="right"/>
              <w:rPr>
                <w:rFonts w:ascii="Calibri Light" w:hAnsi="Calibri Light"/>
                <w:bCs/>
                <w:color w:val="000000"/>
                <w:sz w:val="16"/>
                <w:szCs w:val="16"/>
              </w:rPr>
            </w:pPr>
          </w:p>
        </w:tc>
      </w:tr>
      <w:tr w14:paraId="463D0003" w14:textId="77777777" w:rsidTr="00E02326">
        <w:tblPrEx>
          <w:tblW w:w="4985" w:type="pct"/>
          <w:tblLayout w:type="fixed"/>
          <w:tblLook w:val="04A0"/>
        </w:tblPrEx>
        <w:trPr>
          <w:trHeight w:val="256"/>
        </w:trPr>
        <w:tc>
          <w:tcPr>
            <w:tcW w:w="207" w:type="pct"/>
            <w:tcBorders>
              <w:top w:val="nil"/>
              <w:left w:val="nil"/>
              <w:bottom w:val="single" w:sz="4" w:space="0" w:color="auto"/>
              <w:right w:val="nil"/>
            </w:tcBorders>
            <w:shd w:val="clear" w:color="auto" w:fill="B8CCE4" w:themeFill="accent1" w:themeFillTint="66"/>
          </w:tcPr>
          <w:p w:rsidR="00B01751" w:rsidRPr="005565F8" w:rsidP="00B01751" w14:paraId="3A46EF80" w14:textId="77777777">
            <w:pPr>
              <w:spacing w:before="20" w:after="20"/>
              <w:rPr>
                <w:rFonts w:ascii="Calibri Light" w:hAnsi="Calibri Light"/>
                <w:bCs/>
                <w:color w:val="000000"/>
                <w:sz w:val="16"/>
                <w:szCs w:val="16"/>
              </w:rPr>
            </w:pPr>
          </w:p>
        </w:tc>
        <w:tc>
          <w:tcPr>
            <w:tcW w:w="2701" w:type="pct"/>
            <w:tcBorders>
              <w:top w:val="nil"/>
              <w:left w:val="nil"/>
              <w:bottom w:val="single" w:sz="4" w:space="0" w:color="auto"/>
              <w:right w:val="nil"/>
            </w:tcBorders>
            <w:shd w:val="clear" w:color="auto" w:fill="B8CCE4" w:themeFill="accent1" w:themeFillTint="66"/>
            <w:noWrap/>
            <w:vAlign w:val="center"/>
          </w:tcPr>
          <w:p w:rsidR="00B01751" w:rsidRPr="005565F8" w:rsidP="00B01751" w14:paraId="4E5ED7BE" w14:textId="77777777">
            <w:pPr>
              <w:spacing w:before="20" w:after="20"/>
              <w:ind w:left="3237"/>
              <w:rPr>
                <w:rFonts w:ascii="Calibri Light" w:hAnsi="Calibri Light"/>
                <w:bCs/>
                <w:color w:val="000000"/>
                <w:sz w:val="16"/>
                <w:szCs w:val="16"/>
              </w:rPr>
            </w:pPr>
            <w:r w:rsidRPr="005565F8">
              <w:rPr>
                <w:rFonts w:ascii="Calibri Light" w:hAnsi="Calibri Light"/>
                <w:bCs/>
                <w:color w:val="000000"/>
                <w:sz w:val="16"/>
                <w:szCs w:val="16"/>
              </w:rPr>
              <w:t>Kopējā SEG Latvijā</w:t>
            </w:r>
          </w:p>
        </w:tc>
        <w:tc>
          <w:tcPr>
            <w:tcW w:w="648" w:type="pct"/>
            <w:tcBorders>
              <w:top w:val="nil"/>
              <w:left w:val="nil"/>
              <w:bottom w:val="single" w:sz="4" w:space="0" w:color="auto"/>
              <w:right w:val="nil"/>
            </w:tcBorders>
            <w:shd w:val="clear" w:color="auto" w:fill="B8CCE4" w:themeFill="accent1" w:themeFillTint="66"/>
            <w:noWrap/>
            <w:vAlign w:val="center"/>
          </w:tcPr>
          <w:p w:rsidR="00B01751" w:rsidRPr="005565F8" w:rsidP="00B01751" w14:paraId="2787707D" w14:textId="77777777">
            <w:pPr>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 xml:space="preserve">11,9 </w:t>
            </w:r>
            <w:r w:rsidRPr="005565F8">
              <w:rPr>
                <w:rFonts w:ascii="Calibri Light" w:hAnsi="Calibri Light"/>
                <w:bCs/>
                <w:color w:val="000000"/>
                <w:sz w:val="16"/>
                <w:szCs w:val="16"/>
              </w:rPr>
              <w:t>Mt</w:t>
            </w:r>
            <w:r w:rsidRPr="005565F8">
              <w:rPr>
                <w:rFonts w:ascii="Calibri Light" w:hAnsi="Calibri Light"/>
                <w:bCs/>
                <w:color w:val="000000"/>
                <w:sz w:val="16"/>
                <w:szCs w:val="16"/>
              </w:rPr>
              <w:t xml:space="preserve"> (2008)</w:t>
            </w:r>
          </w:p>
        </w:tc>
        <w:tc>
          <w:tcPr>
            <w:tcW w:w="1031" w:type="pct"/>
            <w:tcBorders>
              <w:top w:val="nil"/>
              <w:left w:val="nil"/>
              <w:bottom w:val="single" w:sz="4" w:space="0" w:color="auto"/>
              <w:right w:val="nil"/>
            </w:tcBorders>
            <w:shd w:val="clear" w:color="auto" w:fill="B8CCE4" w:themeFill="accent1" w:themeFillTint="66"/>
            <w:noWrap/>
            <w:vAlign w:val="center"/>
          </w:tcPr>
          <w:p w:rsidR="00B01751" w:rsidRPr="005565F8" w:rsidP="00B01751" w14:paraId="11F3246F" w14:textId="77777777">
            <w:pPr>
              <w:spacing w:before="20" w:after="20"/>
              <w:jc w:val="right"/>
              <w:rPr>
                <w:rFonts w:ascii="Calibri Light" w:hAnsi="Calibri Light"/>
                <w:bCs/>
                <w:color w:val="000000"/>
                <w:sz w:val="16"/>
                <w:szCs w:val="16"/>
              </w:rPr>
            </w:pPr>
            <w:r w:rsidRPr="005565F8">
              <w:rPr>
                <w:rFonts w:ascii="Calibri Light" w:hAnsi="Calibri Light"/>
                <w:bCs/>
                <w:color w:val="000000"/>
                <w:sz w:val="16"/>
                <w:szCs w:val="16"/>
              </w:rPr>
              <w:t xml:space="preserve">nepārsniegt 12,19 </w:t>
            </w:r>
            <w:r w:rsidRPr="005565F8">
              <w:rPr>
                <w:rFonts w:ascii="Calibri Light" w:hAnsi="Calibri Light"/>
                <w:bCs/>
                <w:color w:val="000000"/>
                <w:sz w:val="16"/>
                <w:szCs w:val="16"/>
              </w:rPr>
              <w:t>Mt</w:t>
            </w:r>
            <w:r w:rsidRPr="005565F8">
              <w:rPr>
                <w:rFonts w:ascii="Calibri Light" w:hAnsi="Calibri Light"/>
                <w:bCs/>
                <w:color w:val="000000"/>
                <w:sz w:val="16"/>
                <w:szCs w:val="16"/>
              </w:rPr>
              <w:t xml:space="preserve"> CO2 ekvivalenta</w:t>
            </w:r>
          </w:p>
        </w:tc>
        <w:tc>
          <w:tcPr>
            <w:tcW w:w="414" w:type="pct"/>
            <w:tcBorders>
              <w:top w:val="nil"/>
              <w:left w:val="nil"/>
              <w:bottom w:val="single" w:sz="4" w:space="0" w:color="auto"/>
              <w:right w:val="nil"/>
            </w:tcBorders>
            <w:shd w:val="clear" w:color="auto" w:fill="B8CCE4" w:themeFill="accent1" w:themeFillTint="66"/>
            <w:noWrap/>
            <w:vAlign w:val="center"/>
          </w:tcPr>
          <w:p w:rsidR="00B01751" w:rsidRPr="005565F8" w:rsidP="00B01751" w14:paraId="37C97291" w14:textId="77777777">
            <w:pPr>
              <w:tabs>
                <w:tab w:val="decimal" w:pos="393"/>
              </w:tabs>
              <w:spacing w:before="20" w:after="20"/>
              <w:jc w:val="right"/>
              <w:rPr>
                <w:rFonts w:ascii="Calibri Light" w:hAnsi="Calibri Light"/>
                <w:bCs/>
                <w:color w:val="000000"/>
                <w:sz w:val="16"/>
                <w:szCs w:val="16"/>
              </w:rPr>
            </w:pPr>
          </w:p>
        </w:tc>
      </w:tr>
    </w:tbl>
    <w:p w:rsidR="00F35C47" w:rsidRPr="005565F8" w:rsidP="00F35C47" w14:paraId="2D365D0A" w14:textId="77777777">
      <w:pPr>
        <w:pStyle w:val="ListParagraph"/>
        <w:tabs>
          <w:tab w:val="left" w:pos="426"/>
        </w:tabs>
        <w:spacing w:before="40"/>
        <w:ind w:left="0"/>
        <w:contextualSpacing w:val="0"/>
        <w:rPr>
          <w:rFonts w:ascii="Calibri Light" w:hAnsi="Calibri Light"/>
          <w:i/>
          <w:sz w:val="16"/>
          <w:szCs w:val="20"/>
        </w:rPr>
      </w:pPr>
      <w:r w:rsidRPr="005565F8">
        <w:rPr>
          <w:rFonts w:ascii="Calibri Light" w:hAnsi="Calibri Light"/>
          <w:i/>
          <w:sz w:val="16"/>
          <w:szCs w:val="20"/>
        </w:rPr>
        <w:t>* ES fondi (ERAF, ESF, KF) un kopējais nacionālais finansējums</w:t>
      </w:r>
      <w:r w:rsidRPr="005565F8" w:rsidR="009536C8">
        <w:rPr>
          <w:rFonts w:ascii="Calibri Light" w:hAnsi="Calibri Light"/>
          <w:i/>
          <w:sz w:val="16"/>
          <w:szCs w:val="20"/>
        </w:rPr>
        <w:br/>
        <w:t>Avots: ES struktūrfondu un Kohēzijas fonda 2014.-2020.gada plānošanas perioda darbības programma “Izaugsme un nodarbinātība”</w:t>
      </w:r>
    </w:p>
    <w:p w:rsidR="009536C8" w:rsidRPr="005565F8" w:rsidP="00F35C47" w14:paraId="199C1C55" w14:textId="77777777">
      <w:pPr>
        <w:autoSpaceDE w:val="0"/>
        <w:autoSpaceDN w:val="0"/>
        <w:adjustRightInd w:val="0"/>
        <w:spacing w:before="120"/>
        <w:ind w:firstLine="567"/>
      </w:pPr>
    </w:p>
    <w:p w:rsidR="009536C8" w:rsidRPr="005565F8" w:rsidP="00F35C47" w14:paraId="14F7983D" w14:textId="77777777">
      <w:pPr>
        <w:autoSpaceDE w:val="0"/>
        <w:autoSpaceDN w:val="0"/>
        <w:adjustRightInd w:val="0"/>
        <w:spacing w:before="120"/>
        <w:ind w:firstLine="567"/>
        <w:sectPr w:rsidSect="005D1AD0">
          <w:type w:val="continuous"/>
          <w:pgSz w:w="11906" w:h="16838" w:code="9"/>
          <w:pgMar w:top="1134" w:right="1134" w:bottom="1134" w:left="1134" w:header="709" w:footer="567" w:gutter="0"/>
          <w:cols w:space="708"/>
          <w:titlePg/>
          <w:docGrid w:linePitch="360"/>
        </w:sectPr>
      </w:pPr>
    </w:p>
    <w:p w:rsidR="00F35C47" w:rsidRPr="005565F8" w:rsidP="009536C8" w14:paraId="799807D7" w14:textId="77777777">
      <w:pPr>
        <w:autoSpaceDE w:val="0"/>
        <w:autoSpaceDN w:val="0"/>
        <w:adjustRightInd w:val="0"/>
        <w:spacing w:before="120"/>
      </w:pPr>
      <w:r w:rsidRPr="005565F8">
        <w:t xml:space="preserve">Detalizētāka informācija par tematiskajiem mērķiem, izvēlētajiem prioritārajiem virzieniem un ieguldījumu prioritātēm, kā arī informācija par plānotajām atbalstāmajām darbībām un tematisko mērķu sasaisti ar nacionālajiem mērķiem </w:t>
      </w:r>
      <w:r w:rsidRPr="005565F8">
        <w:rPr>
          <w:i/>
        </w:rPr>
        <w:t>“Eiropa 2020”</w:t>
      </w:r>
      <w:r w:rsidRPr="005565F8">
        <w:t xml:space="preserve"> stratēģijas kontekstā pieejama </w:t>
      </w:r>
      <w:r w:rsidRPr="005565F8">
        <w:rPr>
          <w:i/>
        </w:rPr>
        <w:t>Partnerības līgumā ESI fondu 2014.-2020.gada plānošanas periodam</w:t>
      </w:r>
      <w:r w:rsidRPr="005565F8">
        <w:t xml:space="preserve">, kā arī ES struktūrfondu un Kohēzijas fonda 2014.-2020.gada plānošanas perioda darbības programmā </w:t>
      </w:r>
      <w:r w:rsidRPr="005565F8">
        <w:rPr>
          <w:i/>
        </w:rPr>
        <w:t>“Izaugsme un nodarbinātība”</w:t>
      </w:r>
      <w:r>
        <w:rPr>
          <w:rStyle w:val="FootnoteReference"/>
        </w:rPr>
        <w:footnoteReference w:id="73"/>
      </w:r>
      <w:r w:rsidRPr="005565F8">
        <w:t xml:space="preserve">, </w:t>
      </w:r>
      <w:r w:rsidRPr="005565F8">
        <w:rPr>
          <w:i/>
        </w:rPr>
        <w:t>“Latvijas lauku attīstības programmā 2014.-2020.gadam”</w:t>
      </w:r>
      <w:r w:rsidRPr="005565F8">
        <w:t xml:space="preserve"> un </w:t>
      </w:r>
      <w:r w:rsidRPr="005565F8">
        <w:rPr>
          <w:i/>
        </w:rPr>
        <w:t>“</w:t>
      </w:r>
      <w:r w:rsidRPr="005565F8">
        <w:rPr>
          <w:i/>
          <w:lang w:eastAsia="lv-LV"/>
        </w:rPr>
        <w:t>Rīcības programmā zivsaimniecības attīstībai 2014.-2020.gadam”</w:t>
      </w:r>
      <w:r w:rsidRPr="005565F8">
        <w:t>.</w:t>
      </w:r>
    </w:p>
    <w:p w:rsidR="00F35C47" w:rsidRPr="005565F8" w:rsidP="009536C8" w14:paraId="5871BF56" w14:textId="77777777">
      <w:pPr>
        <w:spacing w:before="120"/>
      </w:pPr>
      <w:r w:rsidRPr="005565F8">
        <w:t xml:space="preserve">Līdz šim ES fondu ieguldījumu sasaiste ar </w:t>
      </w:r>
      <w:r w:rsidRPr="005565F8">
        <w:rPr>
          <w:i/>
        </w:rPr>
        <w:t>“Eiropa 2020”</w:t>
      </w:r>
      <w:r w:rsidRPr="005565F8">
        <w:t xml:space="preserve"> stratēģijas mērķiem analizēta tikai prioritāro virzienu līmenī. Lai varētu precīzāk identificēt darbības programmas ieguldījumu apstiprināto </w:t>
      </w:r>
      <w:r w:rsidRPr="005565F8">
        <w:rPr>
          <w:i/>
        </w:rPr>
        <w:t>“Eiropa 2020”</w:t>
      </w:r>
      <w:r w:rsidRPr="005565F8">
        <w:t xml:space="preserve"> stratēģijas mērķu sasniegšanā, nepieciešams ieguldījumus analizēt specifisko atbalsta mērķu un to pasākumu līmenī.</w:t>
      </w:r>
    </w:p>
    <w:p w:rsidR="00F35C47" w:rsidRPr="005565F8" w:rsidP="009536C8" w14:paraId="1EC62661" w14:textId="77777777">
      <w:r w:rsidRPr="005565F8">
        <w:t xml:space="preserve">Analizējot definētos </w:t>
      </w:r>
      <w:r w:rsidRPr="005565F8">
        <w:rPr>
          <w:i/>
        </w:rPr>
        <w:t>“Eiropa 2020”</w:t>
      </w:r>
      <w:r w:rsidRPr="005565F8">
        <w:t xml:space="preserve"> stratēģijas mērķus, jākonstatē, ka vairāki no tiem pēc savas būtības raksturo visu Latvijas sociālekonomisko situāciju un tos ietekmē ne tikai ES fondu ieguldījumi, bet iespējams lielākā mērā valsts budžeta finansējums un </w:t>
      </w:r>
      <w:r w:rsidRPr="005565F8">
        <w:t xml:space="preserve">vispārējie iekšējās un ārējās vides sociālekonomiskie faktori. </w:t>
      </w:r>
    </w:p>
    <w:p w:rsidR="00F35C47" w:rsidRPr="005565F8" w:rsidP="009536C8" w14:paraId="32BB0C70" w14:textId="77777777">
      <w:r w:rsidRPr="005565F8">
        <w:t xml:space="preserve">Lai noteiktu SAM un tajos ietverto pasākumu ieguldījumu ietekmi uz stratēģijas mērķiem, tika analizēti SAM un tajos ietverto pasākumu atbalstāmās darbības (definētas Darbības programmā un attiecīgo pasākumu MK noteikumos). Zemāk piedāvātais iedalījums ES fondu ieguldījumu potenciālajā ietekmē uz </w:t>
      </w:r>
      <w:r w:rsidRPr="005565F8">
        <w:rPr>
          <w:i/>
        </w:rPr>
        <w:t>“Eiropa 2020”</w:t>
      </w:r>
      <w:r w:rsidRPr="005565F8">
        <w:t xml:space="preserve"> stratēģijas mērķu sasniegšanu ir jāvērtē</w:t>
      </w:r>
      <w:r w:rsidRPr="005565F8">
        <w:rPr>
          <w:b/>
        </w:rPr>
        <w:t xml:space="preserve"> </w:t>
      </w:r>
      <w:r w:rsidRPr="005565F8">
        <w:t xml:space="preserve">piesardzīgi, jo balstās uz pieņēmumu, ka atbalstāmās darbības un izvirzītie rādītāji tiešā vai </w:t>
      </w:r>
      <w:r w:rsidRPr="005565F8">
        <w:t xml:space="preserve">netiešā veidā sekmē </w:t>
      </w:r>
      <w:r w:rsidRPr="005565F8">
        <w:rPr>
          <w:i/>
        </w:rPr>
        <w:t>“Eiropa 2020”</w:t>
      </w:r>
      <w:r w:rsidRPr="005565F8">
        <w:t xml:space="preserve"> stratēģijas mērķu sasniegšanu. Lai varētu iegūt apstiprinājumu šim pieņēmumam, ir jāiegūst pierādījumu bāze, ko iespējams veikt tikai noslēdzoties 2014.-2020.gada plānošanas perioda ES fondu ieguldījumu fāzei. </w:t>
      </w:r>
    </w:p>
    <w:p w:rsidR="00F35C47" w:rsidRPr="005565F8" w:rsidP="009536C8" w14:paraId="4CD8FD2D" w14:textId="77777777">
      <w:r w:rsidRPr="005565F8">
        <w:t xml:space="preserve">Visi ieguldījumi pasākumu līmenī analizēti, nosakot pasākumu tiešu vai netiešu ietekmi. Analīzē tika ņemts vērā arī tas, ka pasākumi potenciāli var sekmēt vienlaikus vairākus stratēģijas mērķus. </w:t>
      </w:r>
      <w:r w:rsidRPr="005565F8" w:rsidR="00CC0C24">
        <w:t>4</w:t>
      </w:r>
      <w:r w:rsidRPr="005565F8">
        <w:t>.</w:t>
      </w:r>
      <w:r w:rsidRPr="005565F8" w:rsidR="00B22046">
        <w:t>2.</w:t>
      </w:r>
      <w:r w:rsidRPr="005565F8">
        <w:t xml:space="preserve"> tabulā apkopoti veiktās analīzes rezultāti.</w:t>
      </w:r>
    </w:p>
    <w:p w:rsidR="009536C8" w:rsidRPr="005565F8" w:rsidP="00F35C47" w14:paraId="3B75950B" w14:textId="77777777">
      <w:pPr>
        <w:spacing w:before="120"/>
        <w:ind w:firstLine="567"/>
        <w:jc w:val="center"/>
        <w:rPr>
          <w:b/>
        </w:rPr>
        <w:sectPr w:rsidSect="005D1AD0">
          <w:type w:val="continuous"/>
          <w:pgSz w:w="11906" w:h="16838" w:code="9"/>
          <w:pgMar w:top="1134" w:right="1134" w:bottom="1134" w:left="1134" w:header="709" w:footer="567" w:gutter="0"/>
          <w:cols w:num="2" w:space="340"/>
          <w:titlePg/>
          <w:docGrid w:linePitch="360"/>
        </w:sectPr>
      </w:pPr>
    </w:p>
    <w:p w:rsidR="001F06AD" w:rsidP="000917D3" w14:paraId="766BD716" w14:textId="77777777">
      <w:pPr>
        <w:pStyle w:val="ListParagraph"/>
        <w:keepNext/>
        <w:tabs>
          <w:tab w:val="left" w:pos="426"/>
        </w:tabs>
        <w:spacing w:before="240"/>
        <w:contextualSpacing w:val="0"/>
        <w:jc w:val="right"/>
        <w:rPr>
          <w:rFonts w:ascii="Calibri Light" w:hAnsi="Calibri Light"/>
        </w:rPr>
      </w:pPr>
    </w:p>
    <w:p w:rsidR="000917D3" w:rsidRPr="005565F8" w:rsidP="000917D3" w14:paraId="28E39DD7" w14:textId="3C7BDA20">
      <w:pPr>
        <w:pStyle w:val="ListParagraph"/>
        <w:keepNext/>
        <w:tabs>
          <w:tab w:val="left" w:pos="426"/>
        </w:tabs>
        <w:spacing w:before="240"/>
        <w:contextualSpacing w:val="0"/>
        <w:jc w:val="right"/>
        <w:rPr>
          <w:rFonts w:ascii="Calibri Light" w:hAnsi="Calibri Light"/>
          <w:i/>
          <w:sz w:val="16"/>
        </w:rPr>
      </w:pPr>
      <w:r w:rsidRPr="005565F8">
        <w:rPr>
          <w:rFonts w:ascii="Calibri Light" w:hAnsi="Calibri Light"/>
        </w:rPr>
        <w:t>4</w:t>
      </w:r>
      <w:r w:rsidRPr="005565F8" w:rsidR="00B22046">
        <w:rPr>
          <w:rFonts w:ascii="Calibri Light" w:hAnsi="Calibri Light"/>
        </w:rPr>
        <w:t>.2</w:t>
      </w:r>
      <w:r w:rsidRPr="005565F8">
        <w:rPr>
          <w:rFonts w:ascii="Calibri Light" w:hAnsi="Calibri Light"/>
        </w:rPr>
        <w:t>.tabula</w:t>
      </w:r>
      <w:r w:rsidRPr="005565F8">
        <w:rPr>
          <w:rFonts w:ascii="Calibri Light" w:hAnsi="Calibri Light"/>
        </w:rPr>
        <w:br/>
      </w:r>
      <w:r w:rsidRPr="005565F8" w:rsidR="009536C8">
        <w:rPr>
          <w:rFonts w:ascii="Calibri Light" w:hAnsi="Calibri Light"/>
          <w:b/>
          <w:sz w:val="24"/>
        </w:rPr>
        <w:t>Latvijas nacionālie “Eiropa 2020” stratēģiskie mērķi un pieejamais ES fondu finansējums</w:t>
      </w:r>
      <w:r w:rsidRPr="005565F8" w:rsidR="000444FE">
        <w:rPr>
          <w:rFonts w:ascii="Calibri Light" w:hAnsi="Calibri Light"/>
          <w:b/>
          <w:sz w:val="24"/>
        </w:rPr>
        <w:t>*</w:t>
      </w:r>
      <w:r w:rsidRPr="005565F8" w:rsidR="000444FE">
        <w:rPr>
          <w:rFonts w:ascii="Calibri Light" w:hAnsi="Calibri Light"/>
          <w:b/>
          <w:sz w:val="24"/>
        </w:rPr>
        <w:br/>
      </w:r>
      <w:r w:rsidRPr="005565F8" w:rsidR="009536C8">
        <w:rPr>
          <w:rFonts w:ascii="Calibri Light" w:hAnsi="Calibri Light"/>
          <w:i/>
          <w:sz w:val="16"/>
        </w:rPr>
        <w:t>milj. EUR</w:t>
      </w:r>
    </w:p>
    <w:tbl>
      <w:tblPr>
        <w:tblW w:w="5000" w:type="pct"/>
        <w:tblBorders>
          <w:top w:val="single" w:sz="8" w:space="0" w:color="000000"/>
          <w:bottom w:val="single" w:sz="8" w:space="0" w:color="000000"/>
        </w:tblBorders>
        <w:tblLayout w:type="fixed"/>
        <w:tblLook w:val="04A0"/>
      </w:tblPr>
      <w:tblGrid>
        <w:gridCol w:w="578"/>
        <w:gridCol w:w="4532"/>
        <w:gridCol w:w="906"/>
        <w:gridCol w:w="906"/>
        <w:gridCol w:w="906"/>
        <w:gridCol w:w="906"/>
        <w:gridCol w:w="904"/>
      </w:tblGrid>
      <w:tr w14:paraId="3AC99319" w14:textId="77777777" w:rsidTr="00E02326">
        <w:tblPrEx>
          <w:tblW w:w="5000" w:type="pct"/>
          <w:tblBorders>
            <w:top w:val="single" w:sz="8" w:space="0" w:color="000000"/>
            <w:bottom w:val="single" w:sz="8" w:space="0" w:color="000000"/>
          </w:tblBorders>
          <w:tblLayout w:type="fixed"/>
          <w:tblLook w:val="04A0"/>
        </w:tblPrEx>
        <w:trPr>
          <w:trHeight w:val="187"/>
          <w:tblHeader/>
        </w:trPr>
        <w:tc>
          <w:tcPr>
            <w:tcW w:w="300" w:type="pct"/>
            <w:tcBorders>
              <w:top w:val="nil"/>
              <w:left w:val="nil"/>
              <w:bottom w:val="nil"/>
              <w:right w:val="nil"/>
            </w:tcBorders>
            <w:shd w:val="clear" w:color="auto" w:fill="B8CCE4" w:themeFill="accent1" w:themeFillTint="66"/>
          </w:tcPr>
          <w:p w:rsidR="009536C8" w:rsidRPr="005565F8" w:rsidP="00697769" w14:paraId="3F2B0896" w14:textId="77777777">
            <w:pPr>
              <w:spacing w:before="20" w:after="20"/>
              <w:jc w:val="center"/>
              <w:rPr>
                <w:rFonts w:ascii="Calibri Light" w:hAnsi="Calibri Light" w:eastAsiaTheme="minorHAnsi" w:cstheme="minorBidi"/>
                <w:sz w:val="16"/>
                <w:szCs w:val="16"/>
              </w:rPr>
            </w:pPr>
          </w:p>
        </w:tc>
        <w:tc>
          <w:tcPr>
            <w:tcW w:w="2351" w:type="pct"/>
            <w:tcBorders>
              <w:top w:val="nil"/>
              <w:left w:val="nil"/>
              <w:bottom w:val="nil"/>
              <w:right w:val="nil"/>
            </w:tcBorders>
            <w:shd w:val="clear" w:color="auto" w:fill="B8CCE4" w:themeFill="accent1" w:themeFillTint="66"/>
            <w:noWrap/>
            <w:vAlign w:val="center"/>
          </w:tcPr>
          <w:p w:rsidR="009536C8" w:rsidRPr="005565F8" w:rsidP="00697769" w14:paraId="70F54745" w14:textId="77777777">
            <w:pPr>
              <w:spacing w:before="20" w:after="20"/>
              <w:jc w:val="center"/>
              <w:rPr>
                <w:rFonts w:ascii="Calibri Light" w:hAnsi="Calibri Light" w:eastAsiaTheme="minorHAnsi" w:cstheme="minorBidi"/>
                <w:sz w:val="16"/>
                <w:szCs w:val="16"/>
              </w:rPr>
            </w:pPr>
          </w:p>
        </w:tc>
        <w:tc>
          <w:tcPr>
            <w:tcW w:w="470" w:type="pct"/>
            <w:tcBorders>
              <w:top w:val="nil"/>
              <w:left w:val="nil"/>
              <w:bottom w:val="single" w:sz="24" w:space="0" w:color="000000"/>
              <w:right w:val="nil"/>
            </w:tcBorders>
            <w:shd w:val="clear" w:color="auto" w:fill="B8CCE4" w:themeFill="accent1" w:themeFillTint="66"/>
            <w:noWrap/>
            <w:vAlign w:val="center"/>
          </w:tcPr>
          <w:p w:rsidR="009536C8" w:rsidRPr="005565F8" w:rsidP="00697769" w14:paraId="0CBC07AC" w14:textId="77777777">
            <w:pPr>
              <w:spacing w:before="20" w:after="20"/>
              <w:jc w:val="center"/>
              <w:rPr>
                <w:rFonts w:ascii="Calibri Light" w:hAnsi="Calibri Light"/>
                <w:b/>
                <w:sz w:val="16"/>
                <w:szCs w:val="16"/>
              </w:rPr>
            </w:pPr>
            <w:r w:rsidRPr="005565F8">
              <w:rPr>
                <w:rFonts w:ascii="Calibri Light" w:hAnsi="Calibri Light"/>
                <w:b/>
                <w:sz w:val="16"/>
                <w:szCs w:val="16"/>
              </w:rPr>
              <w:t>ERAF</w:t>
            </w:r>
          </w:p>
        </w:tc>
        <w:tc>
          <w:tcPr>
            <w:tcW w:w="470" w:type="pct"/>
            <w:tcBorders>
              <w:top w:val="nil"/>
              <w:left w:val="nil"/>
              <w:bottom w:val="single" w:sz="24" w:space="0" w:color="000000"/>
              <w:right w:val="nil"/>
            </w:tcBorders>
            <w:shd w:val="clear" w:color="auto" w:fill="B8CCE4" w:themeFill="accent1" w:themeFillTint="66"/>
            <w:vAlign w:val="center"/>
          </w:tcPr>
          <w:p w:rsidR="009536C8" w:rsidRPr="005565F8" w:rsidP="00697769" w14:paraId="247F10A7" w14:textId="77777777">
            <w:pPr>
              <w:spacing w:before="20" w:after="20"/>
              <w:jc w:val="center"/>
              <w:rPr>
                <w:rFonts w:ascii="Calibri Light" w:hAnsi="Calibri Light"/>
                <w:b/>
                <w:sz w:val="16"/>
                <w:szCs w:val="16"/>
              </w:rPr>
            </w:pPr>
            <w:r w:rsidRPr="005565F8">
              <w:rPr>
                <w:rFonts w:ascii="Calibri Light" w:hAnsi="Calibri Light"/>
                <w:b/>
                <w:sz w:val="16"/>
                <w:szCs w:val="16"/>
              </w:rPr>
              <w:t>ESF</w:t>
            </w:r>
          </w:p>
        </w:tc>
        <w:tc>
          <w:tcPr>
            <w:tcW w:w="470" w:type="pct"/>
            <w:tcBorders>
              <w:top w:val="nil"/>
              <w:left w:val="nil"/>
              <w:bottom w:val="single" w:sz="24" w:space="0" w:color="000000"/>
              <w:right w:val="nil"/>
            </w:tcBorders>
            <w:shd w:val="clear" w:color="auto" w:fill="B8CCE4" w:themeFill="accent1" w:themeFillTint="66"/>
            <w:vAlign w:val="center"/>
          </w:tcPr>
          <w:p w:rsidR="009536C8" w:rsidRPr="005565F8" w:rsidP="00697769" w14:paraId="39AE8EDD" w14:textId="77777777">
            <w:pPr>
              <w:spacing w:before="20" w:after="20"/>
              <w:jc w:val="center"/>
              <w:rPr>
                <w:rFonts w:ascii="Calibri Light" w:hAnsi="Calibri Light"/>
                <w:b/>
                <w:sz w:val="16"/>
                <w:szCs w:val="16"/>
              </w:rPr>
            </w:pPr>
            <w:r w:rsidRPr="005565F8">
              <w:rPr>
                <w:rFonts w:ascii="Calibri Light" w:hAnsi="Calibri Light"/>
                <w:b/>
                <w:sz w:val="16"/>
                <w:szCs w:val="16"/>
              </w:rPr>
              <w:t>KF</w:t>
            </w:r>
          </w:p>
        </w:tc>
        <w:tc>
          <w:tcPr>
            <w:tcW w:w="470" w:type="pct"/>
            <w:tcBorders>
              <w:top w:val="nil"/>
              <w:left w:val="nil"/>
              <w:bottom w:val="single" w:sz="24" w:space="0" w:color="000000"/>
              <w:right w:val="nil"/>
            </w:tcBorders>
            <w:shd w:val="clear" w:color="auto" w:fill="B8CCE4" w:themeFill="accent1" w:themeFillTint="66"/>
            <w:noWrap/>
            <w:vAlign w:val="center"/>
          </w:tcPr>
          <w:p w:rsidR="009536C8" w:rsidRPr="005565F8" w:rsidP="00697769" w14:paraId="78AB96F6" w14:textId="77777777">
            <w:pPr>
              <w:spacing w:before="20" w:after="20"/>
              <w:jc w:val="center"/>
              <w:rPr>
                <w:rFonts w:ascii="Calibri Light" w:hAnsi="Calibri Light"/>
                <w:b/>
                <w:sz w:val="16"/>
                <w:szCs w:val="16"/>
              </w:rPr>
            </w:pPr>
            <w:r w:rsidRPr="005565F8">
              <w:rPr>
                <w:rFonts w:ascii="Calibri Light" w:hAnsi="Calibri Light"/>
                <w:b/>
                <w:sz w:val="16"/>
                <w:szCs w:val="16"/>
              </w:rPr>
              <w:t>Kopā</w:t>
            </w:r>
            <w:r w:rsidRPr="005565F8">
              <w:rPr>
                <w:rFonts w:ascii="Calibri Light" w:hAnsi="Calibri Light"/>
                <w:b/>
                <w:sz w:val="16"/>
                <w:szCs w:val="16"/>
              </w:rPr>
              <w:br/>
              <w:t>milj. EUR</w:t>
            </w:r>
          </w:p>
        </w:tc>
        <w:tc>
          <w:tcPr>
            <w:tcW w:w="469" w:type="pct"/>
            <w:tcBorders>
              <w:top w:val="nil"/>
              <w:left w:val="nil"/>
              <w:bottom w:val="single" w:sz="24" w:space="0" w:color="000000"/>
              <w:right w:val="nil"/>
            </w:tcBorders>
            <w:shd w:val="clear" w:color="auto" w:fill="B8CCE4" w:themeFill="accent1" w:themeFillTint="66"/>
            <w:noWrap/>
            <w:vAlign w:val="center"/>
          </w:tcPr>
          <w:p w:rsidR="009536C8" w:rsidRPr="005565F8" w:rsidP="00697769" w14:paraId="69CB6409" w14:textId="77777777">
            <w:pPr>
              <w:spacing w:before="20" w:after="20"/>
              <w:jc w:val="center"/>
              <w:rPr>
                <w:rFonts w:ascii="Calibri Light" w:hAnsi="Calibri Light"/>
                <w:b/>
                <w:sz w:val="16"/>
                <w:szCs w:val="16"/>
              </w:rPr>
            </w:pPr>
            <w:r w:rsidRPr="005565F8">
              <w:rPr>
                <w:rFonts w:ascii="Calibri Light" w:hAnsi="Calibri Light"/>
                <w:b/>
                <w:sz w:val="16"/>
                <w:szCs w:val="16"/>
              </w:rPr>
              <w:t>Kopā</w:t>
            </w:r>
            <w:r w:rsidRPr="005565F8">
              <w:rPr>
                <w:rFonts w:ascii="Calibri Light" w:hAnsi="Calibri Light"/>
                <w:b/>
                <w:sz w:val="16"/>
                <w:szCs w:val="16"/>
              </w:rPr>
              <w:br/>
              <w:t>%</w:t>
            </w:r>
          </w:p>
        </w:tc>
      </w:tr>
      <w:tr w14:paraId="0796DC90" w14:textId="77777777" w:rsidTr="00E02326">
        <w:tblPrEx>
          <w:tblW w:w="5000" w:type="pct"/>
          <w:tblBorders>
            <w:top w:val="none" w:sz="0" w:space="0" w:color="auto"/>
            <w:bottom w:val="none" w:sz="0" w:space="0" w:color="auto"/>
          </w:tblBorders>
          <w:tblLayout w:type="fixed"/>
          <w:tblLook w:val="04A0"/>
        </w:tblPrEx>
        <w:trPr>
          <w:trHeight w:val="256"/>
        </w:trPr>
        <w:tc>
          <w:tcPr>
            <w:tcW w:w="300" w:type="pct"/>
          </w:tcPr>
          <w:p w:rsidR="009536C8" w:rsidRPr="005565F8" w:rsidP="00697769" w14:paraId="621CFA26"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1.</w:t>
            </w:r>
          </w:p>
        </w:tc>
        <w:tc>
          <w:tcPr>
            <w:tcW w:w="2351" w:type="pct"/>
            <w:noWrap/>
          </w:tcPr>
          <w:p w:rsidR="009536C8" w:rsidRPr="005565F8" w:rsidP="00697769" w14:paraId="0CB57C5E"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Nodarbinātības līmenis</w:t>
            </w:r>
          </w:p>
        </w:tc>
        <w:tc>
          <w:tcPr>
            <w:tcW w:w="470" w:type="pct"/>
            <w:tcBorders>
              <w:top w:val="single" w:sz="24" w:space="0" w:color="000000"/>
            </w:tcBorders>
            <w:noWrap/>
          </w:tcPr>
          <w:p w:rsidR="009536C8" w:rsidRPr="005565F8" w:rsidP="00697769" w14:paraId="2970DF97"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479</w:t>
            </w:r>
            <w:r w:rsidRPr="005565F8" w:rsidR="00227D8A">
              <w:rPr>
                <w:rFonts w:ascii="Calibri Light" w:hAnsi="Calibri Light"/>
                <w:color w:val="000000"/>
                <w:sz w:val="16"/>
                <w:szCs w:val="16"/>
              </w:rPr>
              <w:t>,8</w:t>
            </w:r>
          </w:p>
        </w:tc>
        <w:tc>
          <w:tcPr>
            <w:tcW w:w="470" w:type="pct"/>
            <w:tcBorders>
              <w:top w:val="single" w:sz="24" w:space="0" w:color="000000"/>
            </w:tcBorders>
          </w:tcPr>
          <w:p w:rsidR="009536C8" w:rsidRPr="005565F8" w:rsidP="0021549E" w14:paraId="6A3E7B98"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268,7</w:t>
            </w:r>
          </w:p>
        </w:tc>
        <w:tc>
          <w:tcPr>
            <w:tcW w:w="470" w:type="pct"/>
            <w:tcBorders>
              <w:top w:val="single" w:sz="24" w:space="0" w:color="000000"/>
            </w:tcBorders>
          </w:tcPr>
          <w:p w:rsidR="009536C8" w:rsidRPr="005565F8" w:rsidP="00697769" w14:paraId="7A186AF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20,7</w:t>
            </w:r>
          </w:p>
        </w:tc>
        <w:tc>
          <w:tcPr>
            <w:tcW w:w="470" w:type="pct"/>
            <w:tcBorders>
              <w:top w:val="single" w:sz="24" w:space="0" w:color="000000"/>
            </w:tcBorders>
            <w:noWrap/>
          </w:tcPr>
          <w:p w:rsidR="009536C8" w:rsidRPr="005565F8" w:rsidP="0021549E" w14:paraId="15CC12B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769,</w:t>
            </w:r>
            <w:r w:rsidRPr="005565F8" w:rsidR="0021549E">
              <w:rPr>
                <w:rFonts w:ascii="Calibri Light" w:hAnsi="Calibri Light"/>
                <w:color w:val="000000"/>
                <w:sz w:val="16"/>
                <w:szCs w:val="16"/>
              </w:rPr>
              <w:t>2</w:t>
            </w:r>
          </w:p>
        </w:tc>
        <w:tc>
          <w:tcPr>
            <w:tcW w:w="469" w:type="pct"/>
            <w:tcBorders>
              <w:top w:val="single" w:sz="24" w:space="0" w:color="000000"/>
            </w:tcBorders>
            <w:noWrap/>
          </w:tcPr>
          <w:p w:rsidR="009536C8" w:rsidRPr="005565F8" w:rsidP="00697769" w14:paraId="50F5FA79"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24</w:t>
            </w:r>
            <w:r w:rsidRPr="005565F8" w:rsidR="00227D8A">
              <w:rPr>
                <w:rFonts w:ascii="Calibri Light" w:hAnsi="Calibri Light"/>
                <w:color w:val="000000"/>
                <w:sz w:val="16"/>
                <w:szCs w:val="16"/>
              </w:rPr>
              <w:t>,75</w:t>
            </w:r>
          </w:p>
        </w:tc>
      </w:tr>
      <w:tr w14:paraId="70EF27E4" w14:textId="77777777" w:rsidTr="00DF67EF">
        <w:tblPrEx>
          <w:tblW w:w="5000" w:type="pct"/>
          <w:tblBorders>
            <w:top w:val="none" w:sz="0" w:space="0" w:color="auto"/>
            <w:bottom w:val="none" w:sz="0" w:space="0" w:color="auto"/>
          </w:tblBorders>
          <w:tblLayout w:type="fixed"/>
          <w:tblLook w:val="04A0"/>
        </w:tblPrEx>
        <w:trPr>
          <w:trHeight w:val="256"/>
        </w:trPr>
        <w:tc>
          <w:tcPr>
            <w:tcW w:w="300" w:type="pct"/>
            <w:shd w:val="clear" w:color="auto" w:fill="B8CCE4" w:themeFill="accent1" w:themeFillTint="66"/>
          </w:tcPr>
          <w:p w:rsidR="009536C8" w:rsidRPr="005565F8" w:rsidP="00697769" w14:paraId="4198234E"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2.</w:t>
            </w:r>
          </w:p>
        </w:tc>
        <w:tc>
          <w:tcPr>
            <w:tcW w:w="2351" w:type="pct"/>
            <w:shd w:val="clear" w:color="auto" w:fill="B8CCE4" w:themeFill="accent1" w:themeFillTint="66"/>
            <w:noWrap/>
          </w:tcPr>
          <w:p w:rsidR="009536C8" w:rsidRPr="005565F8" w:rsidP="00697769" w14:paraId="048F3A83"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Ieguldījumi pētniecībā un attīstībā</w:t>
            </w:r>
          </w:p>
        </w:tc>
        <w:tc>
          <w:tcPr>
            <w:tcW w:w="470" w:type="pct"/>
            <w:shd w:val="clear" w:color="auto" w:fill="B8CCE4" w:themeFill="accent1" w:themeFillTint="66"/>
            <w:noWrap/>
          </w:tcPr>
          <w:p w:rsidR="009536C8" w:rsidRPr="005565F8" w:rsidP="00697769" w14:paraId="05C45889" w14:textId="77777777">
            <w:pPr>
              <w:spacing w:before="20" w:after="20"/>
              <w:jc w:val="right"/>
              <w:rPr>
                <w:rFonts w:ascii="Calibri Light" w:hAnsi="Calibri Light"/>
                <w:sz w:val="16"/>
                <w:szCs w:val="16"/>
              </w:rPr>
            </w:pPr>
            <w:r w:rsidRPr="005565F8">
              <w:rPr>
                <w:rFonts w:ascii="Calibri Light" w:hAnsi="Calibri Light"/>
                <w:color w:val="000000"/>
                <w:sz w:val="16"/>
                <w:szCs w:val="16"/>
              </w:rPr>
              <w:t>452</w:t>
            </w:r>
            <w:r w:rsidRPr="005565F8" w:rsidR="00227D8A">
              <w:rPr>
                <w:rFonts w:ascii="Calibri Light" w:hAnsi="Calibri Light"/>
                <w:color w:val="000000"/>
                <w:sz w:val="16"/>
                <w:szCs w:val="16"/>
              </w:rPr>
              <w:t>,7</w:t>
            </w:r>
          </w:p>
        </w:tc>
        <w:tc>
          <w:tcPr>
            <w:tcW w:w="470" w:type="pct"/>
            <w:shd w:val="clear" w:color="auto" w:fill="B8CCE4" w:themeFill="accent1" w:themeFillTint="66"/>
          </w:tcPr>
          <w:p w:rsidR="009536C8" w:rsidRPr="005565F8" w:rsidP="00697769" w14:paraId="588521F0"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0,0</w:t>
            </w:r>
          </w:p>
        </w:tc>
        <w:tc>
          <w:tcPr>
            <w:tcW w:w="470" w:type="pct"/>
            <w:shd w:val="clear" w:color="auto" w:fill="B8CCE4" w:themeFill="accent1" w:themeFillTint="66"/>
          </w:tcPr>
          <w:p w:rsidR="009536C8" w:rsidRPr="005565F8" w:rsidP="00697769" w14:paraId="0673C770"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0,0</w:t>
            </w:r>
          </w:p>
        </w:tc>
        <w:tc>
          <w:tcPr>
            <w:tcW w:w="470" w:type="pct"/>
            <w:shd w:val="clear" w:color="auto" w:fill="B8CCE4" w:themeFill="accent1" w:themeFillTint="66"/>
            <w:noWrap/>
          </w:tcPr>
          <w:p w:rsidR="009536C8" w:rsidRPr="005565F8" w:rsidP="00697769" w14:paraId="22B6BF99"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452</w:t>
            </w:r>
            <w:r w:rsidRPr="005565F8" w:rsidR="00227D8A">
              <w:rPr>
                <w:rFonts w:ascii="Calibri Light" w:hAnsi="Calibri Light"/>
                <w:color w:val="000000"/>
                <w:sz w:val="16"/>
                <w:szCs w:val="16"/>
              </w:rPr>
              <w:t>,7</w:t>
            </w:r>
          </w:p>
        </w:tc>
        <w:tc>
          <w:tcPr>
            <w:tcW w:w="469" w:type="pct"/>
            <w:shd w:val="clear" w:color="auto" w:fill="B8CCE4" w:themeFill="accent1" w:themeFillTint="66"/>
            <w:noWrap/>
          </w:tcPr>
          <w:p w:rsidR="009536C8" w:rsidRPr="005565F8" w:rsidP="00697769" w14:paraId="57E114FE"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14</w:t>
            </w:r>
            <w:r w:rsidRPr="005565F8" w:rsidR="00227D8A">
              <w:rPr>
                <w:rFonts w:ascii="Calibri Light" w:hAnsi="Calibri Light"/>
                <w:color w:val="000000"/>
                <w:sz w:val="16"/>
                <w:szCs w:val="16"/>
              </w:rPr>
              <w:t>,56</w:t>
            </w:r>
          </w:p>
        </w:tc>
      </w:tr>
      <w:tr w14:paraId="636A7B98" w14:textId="77777777" w:rsidTr="00F674A0">
        <w:tblPrEx>
          <w:tblW w:w="5000" w:type="pct"/>
          <w:tblBorders>
            <w:top w:val="none" w:sz="0" w:space="0" w:color="auto"/>
            <w:bottom w:val="none" w:sz="0" w:space="0" w:color="auto"/>
          </w:tblBorders>
          <w:tblLayout w:type="fixed"/>
          <w:tblLook w:val="04A0"/>
        </w:tblPrEx>
        <w:trPr>
          <w:trHeight w:val="113"/>
        </w:trPr>
        <w:tc>
          <w:tcPr>
            <w:tcW w:w="300" w:type="pct"/>
          </w:tcPr>
          <w:p w:rsidR="009536C8" w:rsidRPr="005565F8" w:rsidP="00697769" w14:paraId="21DA4AF1"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3.</w:t>
            </w:r>
          </w:p>
        </w:tc>
        <w:tc>
          <w:tcPr>
            <w:tcW w:w="2351" w:type="pct"/>
            <w:noWrap/>
          </w:tcPr>
          <w:p w:rsidR="009536C8" w:rsidRPr="005565F8" w:rsidP="00697769" w14:paraId="4E79D5CB"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Augstākā izglītību ieguvušo īpatsvars</w:t>
            </w:r>
          </w:p>
        </w:tc>
        <w:tc>
          <w:tcPr>
            <w:tcW w:w="470" w:type="pct"/>
            <w:noWrap/>
          </w:tcPr>
          <w:p w:rsidR="009536C8" w:rsidRPr="005565F8" w:rsidP="0021549E" w14:paraId="330BA935" w14:textId="77777777">
            <w:pPr>
              <w:spacing w:before="20" w:after="20"/>
              <w:jc w:val="right"/>
              <w:rPr>
                <w:rFonts w:ascii="Calibri Light" w:hAnsi="Calibri Light"/>
                <w:sz w:val="16"/>
                <w:szCs w:val="16"/>
              </w:rPr>
            </w:pPr>
            <w:r w:rsidRPr="005565F8">
              <w:rPr>
                <w:rFonts w:ascii="Calibri Light" w:hAnsi="Calibri Light"/>
                <w:color w:val="000000"/>
                <w:sz w:val="16"/>
                <w:szCs w:val="16"/>
              </w:rPr>
              <w:t>6,0</w:t>
            </w:r>
          </w:p>
        </w:tc>
        <w:tc>
          <w:tcPr>
            <w:tcW w:w="470" w:type="pct"/>
          </w:tcPr>
          <w:p w:rsidR="009536C8" w:rsidRPr="005565F8" w:rsidP="0021549E" w14:paraId="616735A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30,7</w:t>
            </w:r>
          </w:p>
        </w:tc>
        <w:tc>
          <w:tcPr>
            <w:tcW w:w="470" w:type="pct"/>
          </w:tcPr>
          <w:p w:rsidR="009536C8" w:rsidRPr="005565F8" w:rsidP="00697769" w14:paraId="4F8190D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0,0</w:t>
            </w:r>
          </w:p>
        </w:tc>
        <w:tc>
          <w:tcPr>
            <w:tcW w:w="470" w:type="pct"/>
            <w:noWrap/>
          </w:tcPr>
          <w:p w:rsidR="009536C8" w:rsidRPr="005565F8" w:rsidP="0021549E" w14:paraId="389DA3A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36,7</w:t>
            </w:r>
          </w:p>
        </w:tc>
        <w:tc>
          <w:tcPr>
            <w:tcW w:w="469" w:type="pct"/>
            <w:noWrap/>
          </w:tcPr>
          <w:p w:rsidR="009536C8" w:rsidRPr="005565F8" w:rsidP="0021549E" w14:paraId="129B1B1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1,18</w:t>
            </w:r>
          </w:p>
        </w:tc>
      </w:tr>
      <w:tr w14:paraId="20CB117F" w14:textId="77777777" w:rsidTr="00DF67EF">
        <w:tblPrEx>
          <w:tblW w:w="5000" w:type="pct"/>
          <w:tblBorders>
            <w:top w:val="none" w:sz="0" w:space="0" w:color="auto"/>
            <w:bottom w:val="none" w:sz="0" w:space="0" w:color="auto"/>
          </w:tblBorders>
          <w:tblLayout w:type="fixed"/>
          <w:tblLook w:val="04A0"/>
        </w:tblPrEx>
        <w:trPr>
          <w:trHeight w:val="57"/>
        </w:trPr>
        <w:tc>
          <w:tcPr>
            <w:tcW w:w="300" w:type="pct"/>
            <w:shd w:val="clear" w:color="auto" w:fill="B8CCE4" w:themeFill="accent1" w:themeFillTint="66"/>
          </w:tcPr>
          <w:p w:rsidR="009536C8" w:rsidRPr="005565F8" w:rsidP="00697769" w14:paraId="0714724E"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4.</w:t>
            </w:r>
          </w:p>
        </w:tc>
        <w:tc>
          <w:tcPr>
            <w:tcW w:w="2351" w:type="pct"/>
            <w:shd w:val="clear" w:color="auto" w:fill="B8CCE4" w:themeFill="accent1" w:themeFillTint="66"/>
            <w:noWrap/>
          </w:tcPr>
          <w:p w:rsidR="009536C8" w:rsidRPr="005565F8" w:rsidP="00697769" w14:paraId="3671C605"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Skolu nepabeigušo iedzīvotāju īpatsvars</w:t>
            </w:r>
          </w:p>
        </w:tc>
        <w:tc>
          <w:tcPr>
            <w:tcW w:w="470" w:type="pct"/>
            <w:shd w:val="clear" w:color="auto" w:fill="B8CCE4" w:themeFill="accent1" w:themeFillTint="66"/>
            <w:noWrap/>
          </w:tcPr>
          <w:p w:rsidR="009536C8" w:rsidRPr="005565F8" w:rsidP="00697769" w14:paraId="45C683AF" w14:textId="77777777">
            <w:pPr>
              <w:spacing w:before="20" w:after="20"/>
              <w:jc w:val="right"/>
              <w:rPr>
                <w:rFonts w:ascii="Calibri Light" w:hAnsi="Calibri Light"/>
                <w:sz w:val="16"/>
                <w:szCs w:val="16"/>
              </w:rPr>
            </w:pPr>
            <w:r w:rsidRPr="005565F8">
              <w:rPr>
                <w:rFonts w:ascii="Calibri Light" w:hAnsi="Calibri Light"/>
                <w:color w:val="000000"/>
                <w:sz w:val="16"/>
                <w:szCs w:val="16"/>
              </w:rPr>
              <w:t>88,4</w:t>
            </w:r>
          </w:p>
        </w:tc>
        <w:tc>
          <w:tcPr>
            <w:tcW w:w="470" w:type="pct"/>
            <w:shd w:val="clear" w:color="auto" w:fill="B8CCE4" w:themeFill="accent1" w:themeFillTint="66"/>
          </w:tcPr>
          <w:p w:rsidR="009536C8" w:rsidRPr="005565F8" w:rsidP="00251AFC" w14:paraId="6BB6B08E"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59,9</w:t>
            </w:r>
          </w:p>
        </w:tc>
        <w:tc>
          <w:tcPr>
            <w:tcW w:w="470" w:type="pct"/>
            <w:shd w:val="clear" w:color="auto" w:fill="B8CCE4" w:themeFill="accent1" w:themeFillTint="66"/>
          </w:tcPr>
          <w:p w:rsidR="009536C8" w:rsidRPr="005565F8" w:rsidP="00697769" w14:paraId="5AA02B9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0,0</w:t>
            </w:r>
          </w:p>
        </w:tc>
        <w:tc>
          <w:tcPr>
            <w:tcW w:w="470" w:type="pct"/>
            <w:shd w:val="clear" w:color="auto" w:fill="B8CCE4" w:themeFill="accent1" w:themeFillTint="66"/>
            <w:noWrap/>
          </w:tcPr>
          <w:p w:rsidR="009536C8" w:rsidRPr="005565F8" w:rsidP="00251AFC" w14:paraId="4DB4872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148,3</w:t>
            </w:r>
          </w:p>
        </w:tc>
        <w:tc>
          <w:tcPr>
            <w:tcW w:w="469" w:type="pct"/>
            <w:shd w:val="clear" w:color="auto" w:fill="B8CCE4" w:themeFill="accent1" w:themeFillTint="66"/>
            <w:noWrap/>
          </w:tcPr>
          <w:p w:rsidR="009536C8" w:rsidRPr="005565F8" w:rsidP="00251AFC" w14:paraId="21B1104D"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4,77</w:t>
            </w:r>
          </w:p>
        </w:tc>
      </w:tr>
      <w:tr w14:paraId="1EAD9AC7" w14:textId="77777777" w:rsidTr="00F674A0">
        <w:tblPrEx>
          <w:tblW w:w="5000" w:type="pct"/>
          <w:tblBorders>
            <w:top w:val="none" w:sz="0" w:space="0" w:color="auto"/>
            <w:bottom w:val="none" w:sz="0" w:space="0" w:color="auto"/>
          </w:tblBorders>
          <w:tblLayout w:type="fixed"/>
          <w:tblLook w:val="04A0"/>
        </w:tblPrEx>
        <w:trPr>
          <w:trHeight w:val="256"/>
        </w:trPr>
        <w:tc>
          <w:tcPr>
            <w:tcW w:w="300" w:type="pct"/>
          </w:tcPr>
          <w:p w:rsidR="009536C8" w:rsidRPr="005565F8" w:rsidP="00697769" w14:paraId="296AFF78"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5.</w:t>
            </w:r>
          </w:p>
        </w:tc>
        <w:tc>
          <w:tcPr>
            <w:tcW w:w="2351" w:type="pct"/>
            <w:noWrap/>
          </w:tcPr>
          <w:p w:rsidR="009536C8" w:rsidRPr="005565F8" w:rsidP="00697769" w14:paraId="08D75944"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Nabadzības riskam pakļauto iedzīvotāju īpatsvars</w:t>
            </w:r>
          </w:p>
        </w:tc>
        <w:tc>
          <w:tcPr>
            <w:tcW w:w="470" w:type="pct"/>
            <w:noWrap/>
          </w:tcPr>
          <w:p w:rsidR="009536C8" w:rsidRPr="005565F8" w:rsidP="00697769" w14:paraId="488841CC" w14:textId="77777777">
            <w:pPr>
              <w:spacing w:before="20" w:after="20"/>
              <w:jc w:val="right"/>
              <w:rPr>
                <w:rFonts w:ascii="Calibri Light" w:hAnsi="Calibri Light"/>
                <w:sz w:val="16"/>
                <w:szCs w:val="16"/>
              </w:rPr>
            </w:pPr>
            <w:r w:rsidRPr="005565F8">
              <w:rPr>
                <w:rFonts w:ascii="Calibri Light" w:hAnsi="Calibri Light"/>
                <w:color w:val="000000"/>
                <w:sz w:val="16"/>
                <w:szCs w:val="16"/>
              </w:rPr>
              <w:t>193</w:t>
            </w:r>
            <w:r w:rsidRPr="005565F8" w:rsidR="00227D8A">
              <w:rPr>
                <w:rFonts w:ascii="Calibri Light" w:hAnsi="Calibri Light"/>
                <w:color w:val="000000"/>
                <w:sz w:val="16"/>
                <w:szCs w:val="16"/>
              </w:rPr>
              <w:t>,4</w:t>
            </w:r>
          </w:p>
        </w:tc>
        <w:tc>
          <w:tcPr>
            <w:tcW w:w="470" w:type="pct"/>
          </w:tcPr>
          <w:p w:rsidR="009536C8" w:rsidRPr="005565F8" w:rsidP="00251AFC" w14:paraId="2E50FC8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159,9</w:t>
            </w:r>
          </w:p>
        </w:tc>
        <w:tc>
          <w:tcPr>
            <w:tcW w:w="470" w:type="pct"/>
          </w:tcPr>
          <w:p w:rsidR="009536C8" w:rsidRPr="005565F8" w:rsidP="00697769" w14:paraId="73F3F96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0,0</w:t>
            </w:r>
          </w:p>
        </w:tc>
        <w:tc>
          <w:tcPr>
            <w:tcW w:w="470" w:type="pct"/>
            <w:noWrap/>
          </w:tcPr>
          <w:p w:rsidR="009536C8" w:rsidRPr="005565F8" w:rsidP="00251AFC" w14:paraId="71B450D0"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353,3</w:t>
            </w:r>
          </w:p>
        </w:tc>
        <w:tc>
          <w:tcPr>
            <w:tcW w:w="469" w:type="pct"/>
            <w:noWrap/>
          </w:tcPr>
          <w:p w:rsidR="009536C8" w:rsidRPr="005565F8" w:rsidP="00697769" w14:paraId="2D8D3EC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11</w:t>
            </w:r>
            <w:r w:rsidRPr="005565F8" w:rsidR="00227D8A">
              <w:rPr>
                <w:rFonts w:ascii="Calibri Light" w:hAnsi="Calibri Light"/>
                <w:color w:val="000000"/>
                <w:sz w:val="16"/>
                <w:szCs w:val="16"/>
              </w:rPr>
              <w:t>,37</w:t>
            </w:r>
          </w:p>
        </w:tc>
      </w:tr>
      <w:tr w14:paraId="5F3E8FF9" w14:textId="77777777" w:rsidTr="00DF67EF">
        <w:tblPrEx>
          <w:tblW w:w="5000" w:type="pct"/>
          <w:tblBorders>
            <w:top w:val="none" w:sz="0" w:space="0" w:color="auto"/>
            <w:bottom w:val="none" w:sz="0" w:space="0" w:color="auto"/>
          </w:tblBorders>
          <w:tblLayout w:type="fixed"/>
          <w:tblLook w:val="04A0"/>
        </w:tblPrEx>
        <w:trPr>
          <w:trHeight w:val="256"/>
        </w:trPr>
        <w:tc>
          <w:tcPr>
            <w:tcW w:w="300" w:type="pct"/>
            <w:shd w:val="clear" w:color="auto" w:fill="B8CCE4" w:themeFill="accent1" w:themeFillTint="66"/>
          </w:tcPr>
          <w:p w:rsidR="009536C8" w:rsidRPr="005565F8" w:rsidP="00697769" w14:paraId="05179944"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6.</w:t>
            </w:r>
          </w:p>
        </w:tc>
        <w:tc>
          <w:tcPr>
            <w:tcW w:w="2351" w:type="pct"/>
            <w:shd w:val="clear" w:color="auto" w:fill="B8CCE4" w:themeFill="accent1" w:themeFillTint="66"/>
            <w:noWrap/>
          </w:tcPr>
          <w:p w:rsidR="009536C8" w:rsidRPr="005565F8" w:rsidP="00697769" w14:paraId="755F786D"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Energoefektivitāte</w:t>
            </w:r>
          </w:p>
        </w:tc>
        <w:tc>
          <w:tcPr>
            <w:tcW w:w="470" w:type="pct"/>
            <w:shd w:val="clear" w:color="auto" w:fill="B8CCE4" w:themeFill="accent1" w:themeFillTint="66"/>
            <w:noWrap/>
          </w:tcPr>
          <w:p w:rsidR="009536C8" w:rsidRPr="005565F8" w:rsidP="00697769" w14:paraId="6A9BECAC" w14:textId="77777777">
            <w:pPr>
              <w:spacing w:before="20" w:after="20"/>
              <w:jc w:val="right"/>
              <w:rPr>
                <w:rFonts w:ascii="Calibri Light" w:hAnsi="Calibri Light"/>
                <w:sz w:val="16"/>
                <w:szCs w:val="16"/>
              </w:rPr>
            </w:pPr>
            <w:r w:rsidRPr="005565F8">
              <w:rPr>
                <w:rFonts w:ascii="Calibri Light" w:hAnsi="Calibri Light"/>
                <w:color w:val="000000"/>
                <w:sz w:val="16"/>
                <w:szCs w:val="16"/>
              </w:rPr>
              <w:t>93</w:t>
            </w:r>
            <w:r w:rsidRPr="005565F8" w:rsidR="00227D8A">
              <w:rPr>
                <w:rFonts w:ascii="Calibri Light" w:hAnsi="Calibri Light"/>
                <w:color w:val="000000"/>
                <w:sz w:val="16"/>
                <w:szCs w:val="16"/>
              </w:rPr>
              <w:t>,1</w:t>
            </w:r>
          </w:p>
        </w:tc>
        <w:tc>
          <w:tcPr>
            <w:tcW w:w="470" w:type="pct"/>
            <w:shd w:val="clear" w:color="auto" w:fill="B8CCE4" w:themeFill="accent1" w:themeFillTint="66"/>
          </w:tcPr>
          <w:p w:rsidR="009536C8" w:rsidRPr="005565F8" w:rsidP="00697769" w14:paraId="7AD38515" w14:textId="77777777">
            <w:pPr>
              <w:spacing w:before="20" w:after="20"/>
              <w:jc w:val="right"/>
              <w:rPr>
                <w:rFonts w:ascii="Calibri Light" w:hAnsi="Calibri Light"/>
                <w:bCs/>
                <w:color w:val="000000"/>
                <w:sz w:val="16"/>
                <w:szCs w:val="16"/>
              </w:rPr>
            </w:pPr>
            <w:r w:rsidRPr="005565F8">
              <w:rPr>
                <w:rFonts w:ascii="Calibri Light" w:hAnsi="Calibri Light"/>
                <w:color w:val="000000"/>
                <w:sz w:val="16"/>
                <w:szCs w:val="16"/>
              </w:rPr>
              <w:t>0,0</w:t>
            </w:r>
          </w:p>
        </w:tc>
        <w:tc>
          <w:tcPr>
            <w:tcW w:w="470" w:type="pct"/>
            <w:shd w:val="clear" w:color="auto" w:fill="B8CCE4" w:themeFill="accent1" w:themeFillTint="66"/>
          </w:tcPr>
          <w:p w:rsidR="009536C8" w:rsidRPr="005565F8" w:rsidP="00251AFC" w14:paraId="1FA56779" w14:textId="77777777">
            <w:pPr>
              <w:spacing w:before="20" w:after="20"/>
              <w:jc w:val="right"/>
              <w:rPr>
                <w:rFonts w:ascii="Calibri Light" w:hAnsi="Calibri Light"/>
                <w:bCs/>
                <w:color w:val="000000"/>
                <w:sz w:val="16"/>
                <w:szCs w:val="16"/>
              </w:rPr>
            </w:pPr>
            <w:r w:rsidRPr="005565F8">
              <w:rPr>
                <w:rFonts w:ascii="Calibri Light" w:hAnsi="Calibri Light"/>
                <w:color w:val="000000"/>
                <w:sz w:val="16"/>
                <w:szCs w:val="16"/>
              </w:rPr>
              <w:t>28,6</w:t>
            </w:r>
          </w:p>
        </w:tc>
        <w:tc>
          <w:tcPr>
            <w:tcW w:w="470" w:type="pct"/>
            <w:shd w:val="clear" w:color="auto" w:fill="B8CCE4" w:themeFill="accent1" w:themeFillTint="66"/>
            <w:noWrap/>
          </w:tcPr>
          <w:p w:rsidR="009536C8" w:rsidRPr="005565F8" w:rsidP="00251AFC" w14:paraId="277F55B7" w14:textId="77777777">
            <w:pPr>
              <w:spacing w:before="20" w:after="20"/>
              <w:jc w:val="right"/>
              <w:rPr>
                <w:rFonts w:ascii="Calibri Light" w:hAnsi="Calibri Light"/>
                <w:bCs/>
                <w:color w:val="000000"/>
                <w:sz w:val="16"/>
                <w:szCs w:val="16"/>
              </w:rPr>
            </w:pPr>
            <w:r w:rsidRPr="005565F8">
              <w:rPr>
                <w:rFonts w:ascii="Calibri Light" w:hAnsi="Calibri Light"/>
                <w:color w:val="000000"/>
                <w:sz w:val="16"/>
                <w:szCs w:val="16"/>
              </w:rPr>
              <w:t>121,7</w:t>
            </w:r>
          </w:p>
        </w:tc>
        <w:tc>
          <w:tcPr>
            <w:tcW w:w="469" w:type="pct"/>
            <w:shd w:val="clear" w:color="auto" w:fill="B8CCE4" w:themeFill="accent1" w:themeFillTint="66"/>
            <w:noWrap/>
          </w:tcPr>
          <w:p w:rsidR="009536C8" w:rsidRPr="005565F8" w:rsidP="00697769" w14:paraId="5B080F44"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3</w:t>
            </w:r>
            <w:r w:rsidRPr="005565F8" w:rsidR="00227D8A">
              <w:rPr>
                <w:rFonts w:ascii="Calibri Light" w:hAnsi="Calibri Light"/>
                <w:color w:val="000000"/>
                <w:sz w:val="16"/>
                <w:szCs w:val="16"/>
              </w:rPr>
              <w:t>,91</w:t>
            </w:r>
          </w:p>
        </w:tc>
      </w:tr>
      <w:tr w14:paraId="3A431604" w14:textId="77777777" w:rsidTr="00F674A0">
        <w:tblPrEx>
          <w:tblW w:w="5000" w:type="pct"/>
          <w:tblBorders>
            <w:top w:val="none" w:sz="0" w:space="0" w:color="auto"/>
            <w:bottom w:val="none" w:sz="0" w:space="0" w:color="auto"/>
          </w:tblBorders>
          <w:tblLayout w:type="fixed"/>
          <w:tblLook w:val="04A0"/>
        </w:tblPrEx>
        <w:trPr>
          <w:trHeight w:val="256"/>
        </w:trPr>
        <w:tc>
          <w:tcPr>
            <w:tcW w:w="300" w:type="pct"/>
          </w:tcPr>
          <w:p w:rsidR="009536C8" w:rsidRPr="005565F8" w:rsidP="00697769" w14:paraId="7E262F5A"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7.</w:t>
            </w:r>
          </w:p>
        </w:tc>
        <w:tc>
          <w:tcPr>
            <w:tcW w:w="2351" w:type="pct"/>
            <w:noWrap/>
          </w:tcPr>
          <w:p w:rsidR="009536C8" w:rsidRPr="005565F8" w:rsidP="00697769" w14:paraId="19F37F1E"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 xml:space="preserve">Atjaunojamās enerģijas īpatsvars bruto enerģijas </w:t>
            </w:r>
            <w:r w:rsidRPr="005565F8">
              <w:rPr>
                <w:rFonts w:ascii="Calibri Light" w:hAnsi="Calibri Light"/>
                <w:bCs/>
                <w:color w:val="000000"/>
                <w:sz w:val="16"/>
                <w:szCs w:val="16"/>
              </w:rPr>
              <w:t>galapatēriņā</w:t>
            </w:r>
          </w:p>
        </w:tc>
        <w:tc>
          <w:tcPr>
            <w:tcW w:w="470" w:type="pct"/>
            <w:noWrap/>
          </w:tcPr>
          <w:p w:rsidR="009536C8" w:rsidRPr="005565F8" w:rsidP="00251AFC" w14:paraId="2D605946" w14:textId="77777777">
            <w:pPr>
              <w:spacing w:before="20" w:after="20"/>
              <w:jc w:val="right"/>
              <w:rPr>
                <w:rFonts w:ascii="Calibri Light" w:hAnsi="Calibri Light"/>
                <w:sz w:val="16"/>
                <w:szCs w:val="16"/>
              </w:rPr>
            </w:pPr>
            <w:r w:rsidRPr="005565F8">
              <w:rPr>
                <w:rFonts w:ascii="Calibri Light" w:hAnsi="Calibri Light"/>
                <w:color w:val="000000"/>
                <w:sz w:val="16"/>
                <w:szCs w:val="16"/>
              </w:rPr>
              <w:t>93,1</w:t>
            </w:r>
          </w:p>
        </w:tc>
        <w:tc>
          <w:tcPr>
            <w:tcW w:w="470" w:type="pct"/>
          </w:tcPr>
          <w:p w:rsidR="009536C8" w:rsidRPr="005565F8" w:rsidP="00697769" w14:paraId="644D8ED2"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0,0</w:t>
            </w:r>
          </w:p>
        </w:tc>
        <w:tc>
          <w:tcPr>
            <w:tcW w:w="470" w:type="pct"/>
          </w:tcPr>
          <w:p w:rsidR="009536C8" w:rsidRPr="005565F8" w:rsidP="00251AFC" w14:paraId="0E6CF791"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28,</w:t>
            </w:r>
            <w:r w:rsidRPr="005565F8" w:rsidR="00251AFC">
              <w:rPr>
                <w:rFonts w:ascii="Calibri Light" w:hAnsi="Calibri Light"/>
                <w:color w:val="000000"/>
                <w:sz w:val="16"/>
                <w:szCs w:val="16"/>
              </w:rPr>
              <w:t>6</w:t>
            </w:r>
          </w:p>
        </w:tc>
        <w:tc>
          <w:tcPr>
            <w:tcW w:w="470" w:type="pct"/>
            <w:noWrap/>
          </w:tcPr>
          <w:p w:rsidR="009536C8" w:rsidRPr="005565F8" w:rsidP="00251AFC" w14:paraId="05623106"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121,7</w:t>
            </w:r>
          </w:p>
        </w:tc>
        <w:tc>
          <w:tcPr>
            <w:tcW w:w="469" w:type="pct"/>
            <w:noWrap/>
          </w:tcPr>
          <w:p w:rsidR="009536C8" w:rsidRPr="005565F8" w:rsidP="00251AFC" w14:paraId="22FF6143"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3,91</w:t>
            </w:r>
          </w:p>
        </w:tc>
      </w:tr>
      <w:tr w14:paraId="0B42FBC1" w14:textId="77777777" w:rsidTr="00DF67EF">
        <w:tblPrEx>
          <w:tblW w:w="5000" w:type="pct"/>
          <w:tblBorders>
            <w:top w:val="none" w:sz="0" w:space="0" w:color="auto"/>
            <w:bottom w:val="none" w:sz="0" w:space="0" w:color="auto"/>
          </w:tblBorders>
          <w:tblLayout w:type="fixed"/>
          <w:tblLook w:val="04A0"/>
        </w:tblPrEx>
        <w:trPr>
          <w:trHeight w:val="256"/>
        </w:trPr>
        <w:tc>
          <w:tcPr>
            <w:tcW w:w="300" w:type="pct"/>
            <w:shd w:val="clear" w:color="auto" w:fill="B8CCE4" w:themeFill="accent1" w:themeFillTint="66"/>
          </w:tcPr>
          <w:p w:rsidR="009536C8" w:rsidRPr="005565F8" w:rsidP="00697769" w14:paraId="3AB066A7"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8., 9.</w:t>
            </w:r>
          </w:p>
        </w:tc>
        <w:tc>
          <w:tcPr>
            <w:tcW w:w="2351" w:type="pct"/>
            <w:shd w:val="clear" w:color="auto" w:fill="B8CCE4" w:themeFill="accent1" w:themeFillTint="66"/>
            <w:noWrap/>
          </w:tcPr>
          <w:p w:rsidR="009536C8" w:rsidRPr="005565F8" w:rsidP="00697769" w14:paraId="1C5EEE49" w14:textId="77777777">
            <w:pPr>
              <w:spacing w:before="20" w:after="20"/>
              <w:rPr>
                <w:rFonts w:ascii="Calibri Light" w:hAnsi="Calibri Light"/>
                <w:bCs/>
                <w:color w:val="000000"/>
                <w:sz w:val="16"/>
                <w:szCs w:val="16"/>
              </w:rPr>
            </w:pPr>
            <w:r w:rsidRPr="005565F8">
              <w:rPr>
                <w:rFonts w:ascii="Calibri Light" w:hAnsi="Calibri Light"/>
                <w:bCs/>
                <w:color w:val="000000"/>
                <w:sz w:val="16"/>
                <w:szCs w:val="16"/>
              </w:rPr>
              <w:t>Siltumnīcefekta gāzu emisiju samazināšana</w:t>
            </w:r>
          </w:p>
        </w:tc>
        <w:tc>
          <w:tcPr>
            <w:tcW w:w="470" w:type="pct"/>
            <w:shd w:val="clear" w:color="auto" w:fill="B8CCE4" w:themeFill="accent1" w:themeFillTint="66"/>
            <w:noWrap/>
          </w:tcPr>
          <w:p w:rsidR="009536C8" w:rsidRPr="005565F8" w:rsidP="00251AFC" w14:paraId="00E8234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217,9</w:t>
            </w:r>
          </w:p>
        </w:tc>
        <w:tc>
          <w:tcPr>
            <w:tcW w:w="470" w:type="pct"/>
            <w:shd w:val="clear" w:color="auto" w:fill="B8CCE4" w:themeFill="accent1" w:themeFillTint="66"/>
          </w:tcPr>
          <w:p w:rsidR="009536C8" w:rsidRPr="005565F8" w:rsidP="00697769" w14:paraId="649E8D45"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0,0</w:t>
            </w:r>
          </w:p>
        </w:tc>
        <w:tc>
          <w:tcPr>
            <w:tcW w:w="470" w:type="pct"/>
            <w:shd w:val="clear" w:color="auto" w:fill="B8CCE4" w:themeFill="accent1" w:themeFillTint="66"/>
          </w:tcPr>
          <w:p w:rsidR="009536C8" w:rsidRPr="005565F8" w:rsidP="00251AFC" w14:paraId="319E8389"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886,6</w:t>
            </w:r>
          </w:p>
        </w:tc>
        <w:tc>
          <w:tcPr>
            <w:tcW w:w="470" w:type="pct"/>
            <w:shd w:val="clear" w:color="auto" w:fill="B8CCE4" w:themeFill="accent1" w:themeFillTint="66"/>
            <w:noWrap/>
          </w:tcPr>
          <w:p w:rsidR="009536C8" w:rsidRPr="005565F8" w:rsidP="00697769" w14:paraId="2928DA30"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1</w:t>
            </w:r>
            <w:r w:rsidRPr="005565F8" w:rsidR="00227D8A">
              <w:rPr>
                <w:rFonts w:ascii="Calibri Light" w:hAnsi="Calibri Light"/>
                <w:color w:val="000000"/>
                <w:sz w:val="16"/>
                <w:szCs w:val="16"/>
              </w:rPr>
              <w:t xml:space="preserve"> 104,5</w:t>
            </w:r>
          </w:p>
        </w:tc>
        <w:tc>
          <w:tcPr>
            <w:tcW w:w="469" w:type="pct"/>
            <w:shd w:val="clear" w:color="auto" w:fill="B8CCE4" w:themeFill="accent1" w:themeFillTint="66"/>
            <w:noWrap/>
          </w:tcPr>
          <w:p w:rsidR="009536C8" w:rsidRPr="005565F8" w:rsidP="00697769" w14:paraId="1F473EDA"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35</w:t>
            </w:r>
            <w:r w:rsidRPr="005565F8" w:rsidR="00227D8A">
              <w:rPr>
                <w:rFonts w:ascii="Calibri Light" w:hAnsi="Calibri Light"/>
                <w:color w:val="000000"/>
                <w:sz w:val="16"/>
                <w:szCs w:val="16"/>
              </w:rPr>
              <w:t>,54</w:t>
            </w:r>
          </w:p>
        </w:tc>
      </w:tr>
      <w:tr w14:paraId="179E2E55" w14:textId="77777777" w:rsidTr="00DF67EF">
        <w:tblPrEx>
          <w:tblW w:w="5000" w:type="pct"/>
          <w:tblBorders>
            <w:top w:val="none" w:sz="0" w:space="0" w:color="auto"/>
            <w:bottom w:val="none" w:sz="0" w:space="0" w:color="auto"/>
          </w:tblBorders>
          <w:tblLayout w:type="fixed"/>
          <w:tblLook w:val="04A0"/>
        </w:tblPrEx>
        <w:trPr>
          <w:trHeight w:val="256"/>
        </w:trPr>
        <w:tc>
          <w:tcPr>
            <w:tcW w:w="300" w:type="pct"/>
            <w:tcBorders>
              <w:bottom w:val="single" w:sz="4" w:space="0" w:color="auto"/>
            </w:tcBorders>
          </w:tcPr>
          <w:p w:rsidR="009536C8" w:rsidRPr="005565F8" w:rsidP="00697769" w14:paraId="23C0C453" w14:textId="77777777">
            <w:pPr>
              <w:spacing w:before="20" w:after="20"/>
              <w:rPr>
                <w:rFonts w:ascii="Calibri Light" w:hAnsi="Calibri Light"/>
                <w:b/>
                <w:bCs/>
                <w:color w:val="000000"/>
                <w:sz w:val="16"/>
                <w:szCs w:val="16"/>
              </w:rPr>
            </w:pPr>
          </w:p>
        </w:tc>
        <w:tc>
          <w:tcPr>
            <w:tcW w:w="2351" w:type="pct"/>
            <w:tcBorders>
              <w:bottom w:val="single" w:sz="4" w:space="0" w:color="auto"/>
            </w:tcBorders>
            <w:noWrap/>
          </w:tcPr>
          <w:p w:rsidR="009536C8" w:rsidRPr="005565F8" w:rsidP="00697769" w14:paraId="35387A3F" w14:textId="77777777">
            <w:pPr>
              <w:spacing w:before="20" w:after="20"/>
              <w:rPr>
                <w:rFonts w:ascii="Calibri Light" w:hAnsi="Calibri Light"/>
                <w:b/>
                <w:bCs/>
                <w:color w:val="000000"/>
                <w:sz w:val="16"/>
                <w:szCs w:val="16"/>
              </w:rPr>
            </w:pPr>
            <w:r w:rsidRPr="005565F8">
              <w:rPr>
                <w:rFonts w:ascii="Calibri Light" w:hAnsi="Calibri Light"/>
                <w:b/>
                <w:bCs/>
                <w:color w:val="000000"/>
                <w:sz w:val="16"/>
                <w:szCs w:val="16"/>
              </w:rPr>
              <w:t>Kopā</w:t>
            </w:r>
          </w:p>
        </w:tc>
        <w:tc>
          <w:tcPr>
            <w:tcW w:w="470" w:type="pct"/>
            <w:tcBorders>
              <w:bottom w:val="single" w:sz="4" w:space="0" w:color="auto"/>
            </w:tcBorders>
            <w:noWrap/>
          </w:tcPr>
          <w:p w:rsidR="009536C8" w:rsidRPr="005565F8" w:rsidP="00697769" w14:paraId="52B69169" w14:textId="77777777">
            <w:pPr>
              <w:spacing w:before="20" w:after="20"/>
              <w:jc w:val="right"/>
              <w:rPr>
                <w:rFonts w:ascii="Calibri Light" w:hAnsi="Calibri Light"/>
                <w:bCs/>
                <w:color w:val="000000"/>
                <w:sz w:val="16"/>
                <w:szCs w:val="16"/>
              </w:rPr>
            </w:pPr>
            <w:r w:rsidRPr="005565F8">
              <w:rPr>
                <w:rFonts w:ascii="Calibri Light" w:hAnsi="Calibri Light"/>
                <w:color w:val="000000"/>
                <w:sz w:val="16"/>
                <w:szCs w:val="16"/>
              </w:rPr>
              <w:t>1</w:t>
            </w:r>
            <w:r w:rsidRPr="005565F8" w:rsidR="00227D8A">
              <w:rPr>
                <w:rFonts w:ascii="Calibri Light" w:hAnsi="Calibri Light"/>
                <w:color w:val="000000"/>
                <w:sz w:val="16"/>
                <w:szCs w:val="16"/>
              </w:rPr>
              <w:t xml:space="preserve"> 624,4</w:t>
            </w:r>
          </w:p>
        </w:tc>
        <w:tc>
          <w:tcPr>
            <w:tcW w:w="470" w:type="pct"/>
            <w:tcBorders>
              <w:bottom w:val="single" w:sz="4" w:space="0" w:color="auto"/>
            </w:tcBorders>
          </w:tcPr>
          <w:p w:rsidR="009536C8" w:rsidRPr="005565F8" w:rsidP="00251AFC" w14:paraId="40F550C5" w14:textId="77777777">
            <w:pPr>
              <w:spacing w:before="20" w:after="20"/>
              <w:jc w:val="right"/>
              <w:rPr>
                <w:rFonts w:ascii="Calibri Light" w:hAnsi="Calibri Light"/>
                <w:bCs/>
                <w:color w:val="000000"/>
                <w:sz w:val="16"/>
                <w:szCs w:val="16"/>
              </w:rPr>
            </w:pPr>
            <w:r w:rsidRPr="005565F8">
              <w:rPr>
                <w:rFonts w:ascii="Calibri Light" w:hAnsi="Calibri Light"/>
                <w:color w:val="000000"/>
                <w:sz w:val="16"/>
                <w:szCs w:val="16"/>
              </w:rPr>
              <w:t>519,2</w:t>
            </w:r>
          </w:p>
        </w:tc>
        <w:tc>
          <w:tcPr>
            <w:tcW w:w="470" w:type="pct"/>
            <w:tcBorders>
              <w:bottom w:val="single" w:sz="4" w:space="0" w:color="auto"/>
            </w:tcBorders>
          </w:tcPr>
          <w:p w:rsidR="009536C8" w:rsidRPr="005565F8" w:rsidP="00251AFC" w14:paraId="1E28776D" w14:textId="77777777">
            <w:pPr>
              <w:spacing w:before="20" w:after="20"/>
              <w:jc w:val="right"/>
              <w:rPr>
                <w:rFonts w:ascii="Calibri Light" w:hAnsi="Calibri Light"/>
                <w:bCs/>
                <w:color w:val="000000"/>
                <w:sz w:val="16"/>
                <w:szCs w:val="16"/>
              </w:rPr>
            </w:pPr>
            <w:r w:rsidRPr="005565F8">
              <w:rPr>
                <w:rFonts w:ascii="Calibri Light" w:hAnsi="Calibri Light"/>
                <w:color w:val="000000"/>
                <w:sz w:val="16"/>
                <w:szCs w:val="16"/>
              </w:rPr>
              <w:t>964,4</w:t>
            </w:r>
          </w:p>
        </w:tc>
        <w:tc>
          <w:tcPr>
            <w:tcW w:w="470" w:type="pct"/>
            <w:tcBorders>
              <w:bottom w:val="single" w:sz="4" w:space="0" w:color="auto"/>
            </w:tcBorders>
            <w:noWrap/>
          </w:tcPr>
          <w:p w:rsidR="009536C8" w:rsidRPr="005565F8" w:rsidP="00697769" w14:paraId="117A4C9E" w14:textId="77777777">
            <w:pPr>
              <w:spacing w:before="20" w:after="20"/>
              <w:jc w:val="right"/>
              <w:rPr>
                <w:rFonts w:ascii="Calibri Light" w:hAnsi="Calibri Light"/>
                <w:bCs/>
                <w:color w:val="000000"/>
                <w:sz w:val="16"/>
                <w:szCs w:val="16"/>
              </w:rPr>
            </w:pPr>
            <w:r w:rsidRPr="005565F8">
              <w:rPr>
                <w:rFonts w:ascii="Calibri Light" w:hAnsi="Calibri Light"/>
                <w:color w:val="000000"/>
                <w:sz w:val="16"/>
                <w:szCs w:val="16"/>
              </w:rPr>
              <w:t>3</w:t>
            </w:r>
            <w:r w:rsidRPr="005565F8" w:rsidR="00227D8A">
              <w:rPr>
                <w:rFonts w:ascii="Calibri Light" w:hAnsi="Calibri Light"/>
                <w:color w:val="000000"/>
                <w:sz w:val="16"/>
                <w:szCs w:val="16"/>
              </w:rPr>
              <w:t xml:space="preserve"> 108,0</w:t>
            </w:r>
          </w:p>
        </w:tc>
        <w:tc>
          <w:tcPr>
            <w:tcW w:w="469" w:type="pct"/>
            <w:tcBorders>
              <w:bottom w:val="single" w:sz="4" w:space="0" w:color="auto"/>
            </w:tcBorders>
            <w:noWrap/>
          </w:tcPr>
          <w:p w:rsidR="009536C8" w:rsidRPr="005565F8" w:rsidP="00251AFC" w14:paraId="1BDA0FD5" w14:textId="77777777">
            <w:pPr>
              <w:tabs>
                <w:tab w:val="decimal" w:pos="393"/>
              </w:tabs>
              <w:spacing w:before="20" w:after="20"/>
              <w:jc w:val="right"/>
              <w:rPr>
                <w:rFonts w:ascii="Calibri Light" w:hAnsi="Calibri Light"/>
                <w:bCs/>
                <w:color w:val="000000"/>
                <w:sz w:val="16"/>
                <w:szCs w:val="16"/>
              </w:rPr>
            </w:pPr>
            <w:r w:rsidRPr="005565F8">
              <w:rPr>
                <w:rFonts w:ascii="Calibri Light" w:hAnsi="Calibri Light"/>
                <w:color w:val="000000"/>
                <w:sz w:val="16"/>
                <w:szCs w:val="16"/>
              </w:rPr>
              <w:t>100</w:t>
            </w:r>
          </w:p>
        </w:tc>
      </w:tr>
    </w:tbl>
    <w:p w:rsidR="009536C8" w:rsidRPr="005565F8" w:rsidP="009536C8" w14:paraId="2A641F17" w14:textId="77777777">
      <w:pPr>
        <w:pStyle w:val="ListParagraph"/>
        <w:tabs>
          <w:tab w:val="left" w:pos="426"/>
        </w:tabs>
        <w:spacing w:before="40"/>
        <w:ind w:left="0"/>
        <w:contextualSpacing w:val="0"/>
        <w:rPr>
          <w:rFonts w:ascii="Calibri Light" w:hAnsi="Calibri Light"/>
          <w:sz w:val="16"/>
          <w:szCs w:val="20"/>
        </w:rPr>
      </w:pPr>
      <w:r w:rsidRPr="005565F8">
        <w:rPr>
          <w:rFonts w:ascii="Calibri Light" w:hAnsi="Calibri Light"/>
          <w:sz w:val="16"/>
          <w:szCs w:val="20"/>
        </w:rPr>
        <w:t xml:space="preserve">* </w:t>
      </w:r>
      <w:r w:rsidRPr="005565F8" w:rsidR="00697769">
        <w:rPr>
          <w:rFonts w:ascii="Calibri Light" w:hAnsi="Calibri Light"/>
          <w:sz w:val="16"/>
          <w:szCs w:val="20"/>
        </w:rPr>
        <w:t>neskaitot</w:t>
      </w:r>
      <w:r w:rsidRPr="005565F8">
        <w:rPr>
          <w:rFonts w:ascii="Calibri Light" w:hAnsi="Calibri Light"/>
          <w:sz w:val="16"/>
          <w:szCs w:val="20"/>
        </w:rPr>
        <w:t xml:space="preserve"> nacionāl</w:t>
      </w:r>
      <w:r w:rsidRPr="005565F8" w:rsidR="00697769">
        <w:rPr>
          <w:rFonts w:ascii="Calibri Light" w:hAnsi="Calibri Light"/>
          <w:sz w:val="16"/>
          <w:szCs w:val="20"/>
        </w:rPr>
        <w:t>o līdz</w:t>
      </w:r>
      <w:r w:rsidRPr="005565F8">
        <w:rPr>
          <w:rFonts w:ascii="Calibri Light" w:hAnsi="Calibri Light"/>
          <w:sz w:val="16"/>
          <w:szCs w:val="20"/>
        </w:rPr>
        <w:t>finansējum</w:t>
      </w:r>
      <w:r w:rsidRPr="005565F8" w:rsidR="00697769">
        <w:rPr>
          <w:rFonts w:ascii="Calibri Light" w:hAnsi="Calibri Light"/>
          <w:sz w:val="16"/>
          <w:szCs w:val="20"/>
        </w:rPr>
        <w:t>u</w:t>
      </w:r>
      <w:r w:rsidRPr="005565F8" w:rsidR="00697769">
        <w:rPr>
          <w:rFonts w:ascii="Calibri Light" w:hAnsi="Calibri Light"/>
          <w:sz w:val="16"/>
          <w:szCs w:val="20"/>
        </w:rPr>
        <w:br/>
        <w:t>Avots: ES struktūrfondu un Kohēzijas fonda 2014.-2020.gada plānošanas perioda darbības programma “</w:t>
      </w:r>
      <w:r w:rsidRPr="005565F8" w:rsidR="00697769">
        <w:rPr>
          <w:rFonts w:ascii="Calibri Light" w:hAnsi="Calibri Light"/>
          <w:i/>
          <w:sz w:val="16"/>
          <w:szCs w:val="20"/>
        </w:rPr>
        <w:t>Izaugsme un nodarbinātība</w:t>
      </w:r>
      <w:r w:rsidRPr="005565F8" w:rsidR="00697769">
        <w:rPr>
          <w:rFonts w:ascii="Calibri Light" w:hAnsi="Calibri Light"/>
          <w:sz w:val="16"/>
          <w:szCs w:val="20"/>
        </w:rPr>
        <w:t>”</w:t>
      </w:r>
    </w:p>
    <w:p w:rsidR="00697769" w:rsidRPr="005565F8" w:rsidP="00A63CD1" w14:paraId="5E096F46" w14:textId="77777777"/>
    <w:p w:rsidR="00697769" w:rsidRPr="005565F8" w:rsidP="00F35C47" w14:paraId="2AFEB9EE" w14:textId="77777777">
      <w:pPr>
        <w:spacing w:before="120"/>
        <w:ind w:firstLine="567"/>
        <w:sectPr w:rsidSect="005D1AD0">
          <w:type w:val="continuous"/>
          <w:pgSz w:w="11906" w:h="16838" w:code="9"/>
          <w:pgMar w:top="1134" w:right="1134" w:bottom="1134" w:left="1134" w:header="709" w:footer="567" w:gutter="0"/>
          <w:cols w:space="708"/>
          <w:titlePg/>
          <w:docGrid w:linePitch="360"/>
        </w:sectPr>
      </w:pPr>
    </w:p>
    <w:p w:rsidR="00F36D69" w:rsidRPr="005565F8" w:rsidP="00697769" w14:paraId="092FAFB6" w14:textId="77777777">
      <w:pPr>
        <w:spacing w:before="120"/>
      </w:pPr>
      <w:r w:rsidRPr="005565F8">
        <w:rPr>
          <w:szCs w:val="20"/>
        </w:rPr>
        <w:t xml:space="preserve">Kopējais </w:t>
      </w:r>
      <w:r w:rsidRPr="005565F8">
        <w:rPr>
          <w:i/>
          <w:szCs w:val="20"/>
        </w:rPr>
        <w:t>Jauniešu garantijas</w:t>
      </w:r>
      <w:r w:rsidRPr="005565F8" w:rsidR="00DF42FC">
        <w:rPr>
          <w:szCs w:val="20"/>
        </w:rPr>
        <w:t xml:space="preserve"> programmas finansējums 2014.-</w:t>
      </w:r>
      <w:r w:rsidRPr="005565F8">
        <w:rPr>
          <w:szCs w:val="20"/>
        </w:rPr>
        <w:t>2019.gadā</w:t>
      </w:r>
      <w:r>
        <w:rPr>
          <w:rStyle w:val="FootnoteReference"/>
          <w:szCs w:val="20"/>
        </w:rPr>
        <w:footnoteReference w:id="74"/>
      </w:r>
      <w:r w:rsidRPr="005565F8" w:rsidR="00DB68EA">
        <w:rPr>
          <w:szCs w:val="20"/>
        </w:rPr>
        <w:t xml:space="preserve"> veido</w:t>
      </w:r>
      <w:r w:rsidRPr="005565F8">
        <w:rPr>
          <w:szCs w:val="20"/>
        </w:rPr>
        <w:t xml:space="preserve"> 70</w:t>
      </w:r>
      <w:r w:rsidRPr="005565F8" w:rsidR="00D05F69">
        <w:rPr>
          <w:szCs w:val="20"/>
        </w:rPr>
        <w:t>,2 milj.</w:t>
      </w:r>
      <w:r>
        <w:rPr>
          <w:rStyle w:val="FootnoteReference"/>
          <w:szCs w:val="20"/>
        </w:rPr>
        <w:footnoteReference w:id="75"/>
      </w:r>
      <w:r w:rsidRPr="005565F8">
        <w:rPr>
          <w:szCs w:val="20"/>
        </w:rPr>
        <w:t xml:space="preserve"> EUR, </w:t>
      </w:r>
      <w:r w:rsidRPr="005565F8" w:rsidR="00DF42FC">
        <w:rPr>
          <w:szCs w:val="20"/>
        </w:rPr>
        <w:t>t.sk.</w:t>
      </w:r>
      <w:r w:rsidRPr="005565F8">
        <w:rPr>
          <w:szCs w:val="20"/>
        </w:rPr>
        <w:t xml:space="preserve"> </w:t>
      </w:r>
      <w:r w:rsidRPr="005565F8">
        <w:rPr>
          <w:i/>
          <w:szCs w:val="20"/>
        </w:rPr>
        <w:t>Jauniešu nodarbinātības iniciatīvas</w:t>
      </w:r>
      <w:r w:rsidRPr="005565F8">
        <w:rPr>
          <w:szCs w:val="20"/>
        </w:rPr>
        <w:t xml:space="preserve"> finansējums – 29</w:t>
      </w:r>
      <w:r w:rsidRPr="005565F8" w:rsidR="00D05F69">
        <w:rPr>
          <w:szCs w:val="20"/>
        </w:rPr>
        <w:t xml:space="preserve"> milj. </w:t>
      </w:r>
      <w:r w:rsidRPr="005565F8">
        <w:rPr>
          <w:szCs w:val="20"/>
        </w:rPr>
        <w:t>EUR</w:t>
      </w:r>
      <w:r w:rsidRPr="005565F8" w:rsidR="00D05F69">
        <w:rPr>
          <w:szCs w:val="20"/>
        </w:rPr>
        <w:t>, ESF finansējums – 35</w:t>
      </w:r>
      <w:r w:rsidRPr="005565F8">
        <w:rPr>
          <w:szCs w:val="20"/>
        </w:rPr>
        <w:t> </w:t>
      </w:r>
      <w:r w:rsidRPr="005565F8" w:rsidR="00D05F69">
        <w:rPr>
          <w:szCs w:val="20"/>
        </w:rPr>
        <w:t xml:space="preserve">milj. </w:t>
      </w:r>
      <w:r w:rsidRPr="005565F8">
        <w:rPr>
          <w:szCs w:val="20"/>
        </w:rPr>
        <w:t>EUR, valsts budžeta līdzfinansējums – 4</w:t>
      </w:r>
      <w:r w:rsidRPr="005565F8" w:rsidR="00D05F69">
        <w:rPr>
          <w:szCs w:val="20"/>
        </w:rPr>
        <w:t>,7 milj.</w:t>
      </w:r>
      <w:r w:rsidRPr="005565F8">
        <w:rPr>
          <w:szCs w:val="20"/>
        </w:rPr>
        <w:t xml:space="preserve"> EUR un privātais līdzfinansējums</w:t>
      </w:r>
      <w:r>
        <w:rPr>
          <w:rStyle w:val="FootnoteReference"/>
          <w:szCs w:val="20"/>
        </w:rPr>
        <w:footnoteReference w:id="76"/>
      </w:r>
      <w:r w:rsidRPr="005565F8" w:rsidR="00A63CD1">
        <w:rPr>
          <w:szCs w:val="20"/>
        </w:rPr>
        <w:t xml:space="preserve"> – ne mazāk kā</w:t>
      </w:r>
      <w:r w:rsidRPr="005565F8">
        <w:rPr>
          <w:szCs w:val="20"/>
        </w:rPr>
        <w:t xml:space="preserve"> 1</w:t>
      </w:r>
      <w:r w:rsidRPr="005565F8" w:rsidR="00D05F69">
        <w:rPr>
          <w:szCs w:val="20"/>
        </w:rPr>
        <w:t xml:space="preserve">,5 milj. </w:t>
      </w:r>
      <w:r w:rsidRPr="005565F8">
        <w:rPr>
          <w:szCs w:val="20"/>
        </w:rPr>
        <w:t>EUR.</w:t>
      </w:r>
    </w:p>
    <w:p w:rsidR="00D9573D" w:rsidRPr="005565F8" w:rsidP="00697769" w14:paraId="0574A134" w14:textId="77777777">
      <w:pPr>
        <w:spacing w:before="120"/>
      </w:pPr>
      <w:r w:rsidRPr="005565F8">
        <w:t xml:space="preserve">EJZF 2014-2020.gadu periodā pieejamais finansējums ir 139,8 milj. EUR. </w:t>
      </w:r>
      <w:r w:rsidRPr="005565F8">
        <w:rPr>
          <w:i/>
        </w:rPr>
        <w:t>Rīcības programmas zivsaimniecības attīstībai 2014.-2020.g.</w:t>
      </w:r>
      <w:r w:rsidRPr="005565F8">
        <w:t xml:space="preserve"> īstenošana palīdzēs sasniegt </w:t>
      </w:r>
      <w:r w:rsidRPr="005565F8">
        <w:rPr>
          <w:i/>
        </w:rPr>
        <w:t>“Eiropa 2020”</w:t>
      </w:r>
      <w:r w:rsidRPr="005565F8">
        <w:t xml:space="preserve"> stratēģijas mērķus, kas izvirzīti trīs </w:t>
      </w:r>
      <w:r w:rsidRPr="005565F8">
        <w:t>pamatiniciatīvās</w:t>
      </w:r>
      <w:r w:rsidRPr="005565F8">
        <w:t xml:space="preserve">: </w:t>
      </w:r>
      <w:r w:rsidRPr="005565F8">
        <w:rPr>
          <w:i/>
        </w:rPr>
        <w:t>Inovācijas savienība</w:t>
      </w:r>
      <w:r w:rsidRPr="005565F8">
        <w:t xml:space="preserve">; </w:t>
      </w:r>
      <w:r w:rsidRPr="005565F8">
        <w:rPr>
          <w:i/>
        </w:rPr>
        <w:t>Resursu ziņā efektīva Eiropa</w:t>
      </w:r>
      <w:r w:rsidRPr="005565F8">
        <w:t xml:space="preserve">; </w:t>
      </w:r>
      <w:r w:rsidRPr="005565F8">
        <w:rPr>
          <w:i/>
        </w:rPr>
        <w:t>Jaunu prasmju un darbvietu programma</w:t>
      </w:r>
      <w:r w:rsidRPr="005565F8">
        <w:t>.</w:t>
      </w:r>
    </w:p>
    <w:p w:rsidR="00D9573D" w:rsidRPr="005565F8" w:rsidP="00697769" w14:paraId="6658F153" w14:textId="77777777">
      <w:pPr>
        <w:spacing w:before="120"/>
      </w:pPr>
      <w:r w:rsidRPr="005565F8">
        <w:t xml:space="preserve">ELFLA pieejamais finansējums 2014.-2020.gadam ir </w:t>
      </w:r>
      <w:r w:rsidRPr="005565F8">
        <w:br/>
        <w:t xml:space="preserve">1 075,6 milj. EUR un tas palīdz īstenot </w:t>
      </w:r>
      <w:r w:rsidRPr="005565F8">
        <w:rPr>
          <w:i/>
        </w:rPr>
        <w:t>„Eiropa 2020”</w:t>
      </w:r>
      <w:r w:rsidRPr="005565F8">
        <w:t xml:space="preserve"> stratēģiju, sekmējot ilgtspējīgu lauku attīstību, veicinot tādas lauksaimniecības nozares un lauku teritoriju attīstību, kas teritorijas un vides ziņā ir līdzsvarotāka, klimatam labvēlīgāka, noturīgāka, konkurētspējīgāka un novatoriska. </w:t>
      </w:r>
      <w:r w:rsidRPr="005565F8">
        <w:t>Nacionalā</w:t>
      </w:r>
      <w:r w:rsidRPr="005565F8">
        <w:t xml:space="preserve"> līmeņa </w:t>
      </w:r>
      <w:r w:rsidRPr="005565F8">
        <w:t>mēŗki</w:t>
      </w:r>
      <w:r w:rsidRPr="005565F8">
        <w:t xml:space="preserve">, kuru sasniegšanu palīdzēs programmas mērķtiecīgie ieguldījumi ir: nodarbinātības līmenis; </w:t>
      </w:r>
      <w:r w:rsidRPr="005565F8">
        <w:t>ieguldījumi P&amp;A; energoefektivitāte</w:t>
      </w:r>
      <w:r w:rsidRPr="005565F8" w:rsidR="0021655B">
        <w:t>s veicināšana</w:t>
      </w:r>
      <w:r w:rsidRPr="005565F8">
        <w:t xml:space="preserve"> un </w:t>
      </w:r>
      <w:r w:rsidRPr="005565F8" w:rsidR="0021655B">
        <w:t>s</w:t>
      </w:r>
      <w:r w:rsidRPr="005565F8">
        <w:t>iltumnīcefekta gāzu emisiju samazināšana.</w:t>
      </w:r>
    </w:p>
    <w:p w:rsidR="00F35C47" w:rsidRPr="005565F8" w:rsidP="00697769" w14:paraId="7D2EE826" w14:textId="77777777">
      <w:pPr>
        <w:spacing w:before="120"/>
      </w:pPr>
      <w:r w:rsidRPr="005565F8">
        <w:t xml:space="preserve">Ar tiešu ietekmi jāsaprot tādu ietekmi, kurā SAM vai pasākuma ieguldījumi ir tematiski saistīti ar </w:t>
      </w:r>
      <w:r w:rsidRPr="005565F8">
        <w:rPr>
          <w:i/>
        </w:rPr>
        <w:t>“Eiropa 2020”</w:t>
      </w:r>
      <w:r w:rsidRPr="005565F8">
        <w:t xml:space="preserve"> stratēģijas mērķa sasniegšanu. Tiešā ietekme jeb primārais efekts ir sekas, ko rada ES fondu ieguldījumi un kas konstatējama tūlīt pēc ieguldījumu veikšanas vai jau to laikā. Netieša ietekme ir tādiem SAM un tajos ietvertajiem pasākumiem, kuros plānoti ieguldījumi pastarpināti pozitīvi ietekmē </w:t>
      </w:r>
      <w:r w:rsidRPr="005565F8">
        <w:rPr>
          <w:i/>
        </w:rPr>
        <w:t>“Eiropa 2020”</w:t>
      </w:r>
      <w:r w:rsidRPr="005565F8">
        <w:t xml:space="preserve"> stratēģijas mērķu sasniegšanu un/vai mērķa grupu, piemēram, darba vidē nodrošinātas apmācības netiešā veidā sekmē nodarbinātību.</w:t>
      </w:r>
    </w:p>
    <w:p w:rsidR="00F35C47" w:rsidRPr="005565F8" w:rsidP="00697769" w14:paraId="0B8CE255" w14:textId="77777777">
      <w:r w:rsidRPr="005565F8">
        <w:t xml:space="preserve">Netiešā ietekme jeb sekundārais efekts ir sekas, ko rada ES fondu ieguldījumi, bet kas konstatējama ilgākā laika periodā un nereti arī pastarpinātā veidā. Jāņem vērā arī tas, ka Darbības programmā iekļauti tādi atbalsta pasākumi, kas pēc savas būtības ir ar kumulatīvu jeb kopēju ietekmi. Šāda ietekme ir tāda, kas apvieno viena vai vairāku ES fondu finansēto projektu radīto ietekmi un kopā rada būtiskas pārmaiņas jeb kumulatīvo ietekmi (piemēram, </w:t>
      </w:r>
      <w:r w:rsidRPr="005565F8">
        <w:t>atsevišķi projekti, kas realizēti secīgi viens pēc otra; vairāki projekti, kas realizēti vienlaicīgi u.tml.).</w:t>
      </w:r>
    </w:p>
    <w:p w:rsidR="00697769" w:rsidP="00DB68EA" w14:paraId="36D39957" w14:textId="2AD06CA1">
      <w:pPr>
        <w:sectPr w:rsidSect="005D1AD0">
          <w:type w:val="continuous"/>
          <w:pgSz w:w="11906" w:h="16838" w:code="9"/>
          <w:pgMar w:top="1134" w:right="1134" w:bottom="1134" w:left="1134" w:header="709" w:footer="567" w:gutter="0"/>
          <w:cols w:num="2" w:space="340"/>
          <w:titlePg/>
          <w:docGrid w:linePitch="360"/>
        </w:sectPr>
      </w:pPr>
      <w:r w:rsidRPr="005565F8">
        <w:t xml:space="preserve">ES fondu investīcijas kopumā sniedz ievērojamu ieguldījumu </w:t>
      </w:r>
      <w:r w:rsidRPr="005565F8">
        <w:rPr>
          <w:i/>
        </w:rPr>
        <w:t>“Eiropa 2020”</w:t>
      </w:r>
      <w:r w:rsidRPr="005565F8">
        <w:t xml:space="preserve"> stratēģijas mērķu sasniegšanā arī tajos gadījumos, kad nav konstatēta tieša/netieša SAM vai to pasākumu ieguldījumu </w:t>
      </w:r>
      <w:r w:rsidRPr="005565F8">
        <w:t xml:space="preserve">tematiskā saistība ar Latvijas nacionālajiem </w:t>
      </w:r>
      <w:r w:rsidRPr="005565F8">
        <w:rPr>
          <w:i/>
        </w:rPr>
        <w:t>“Eiropa 2020”</w:t>
      </w:r>
      <w:r w:rsidRPr="005565F8">
        <w:t xml:space="preserve"> stratēģiskajiem mērķiem. Detalizēti ES fondu ietekme uz </w:t>
      </w:r>
      <w:r w:rsidRPr="005565F8">
        <w:rPr>
          <w:i/>
        </w:rPr>
        <w:t>“Eiropa 2020”</w:t>
      </w:r>
      <w:r w:rsidRPr="005565F8">
        <w:t xml:space="preserve"> stratēģijā noteikto mērķu sasniegšanu tiks vērtēta 2014.</w:t>
      </w:r>
      <w:r w:rsidRPr="005565F8" w:rsidR="0084737D">
        <w:t>-</w:t>
      </w:r>
      <w:r w:rsidRPr="005565F8">
        <w:t xml:space="preserve">2020.gada plānošanas perioda noslēguma tematiskajos ietekmes </w:t>
      </w:r>
      <w:r w:rsidRPr="005565F8">
        <w:t>izvērtējumos</w:t>
      </w:r>
      <w:r w:rsidRPr="005565F8">
        <w:t>, ie</w:t>
      </w:r>
      <w:r w:rsidRPr="005565F8" w:rsidR="00B312B0">
        <w:t>vērojot EK regulējuma prasības</w:t>
      </w:r>
      <w:r w:rsidR="00DF67EF">
        <w:t>.</w:t>
      </w:r>
    </w:p>
    <w:p w:rsidR="001F06AD" w:rsidP="00EA36D3" w14:paraId="2BF8CE62" w14:textId="77777777">
      <w:pPr>
        <w:spacing w:after="0"/>
        <w:rPr>
          <w:rFonts w:ascii="Times New Roman" w:hAnsi="Times New Roman"/>
          <w:sz w:val="24"/>
        </w:rPr>
      </w:pPr>
    </w:p>
    <w:p w:rsidR="001F06AD" w:rsidP="00EA36D3" w14:paraId="47BFEBD0" w14:textId="77777777">
      <w:pPr>
        <w:spacing w:after="0"/>
        <w:rPr>
          <w:rFonts w:ascii="Times New Roman" w:hAnsi="Times New Roman"/>
          <w:sz w:val="24"/>
        </w:rPr>
      </w:pPr>
    </w:p>
    <w:p w:rsidR="001F06AD" w:rsidP="00EA36D3" w14:paraId="11EADC1B" w14:textId="77777777">
      <w:pPr>
        <w:spacing w:after="0"/>
        <w:rPr>
          <w:rFonts w:ascii="Times New Roman" w:hAnsi="Times New Roman"/>
          <w:sz w:val="24"/>
        </w:rPr>
      </w:pPr>
    </w:p>
    <w:p w:rsidR="00EA36D3" w:rsidRPr="00EA36D3" w:rsidP="00EA36D3" w14:paraId="48449CEE" w14:textId="7CA73F2F">
      <w:pPr>
        <w:spacing w:after="0"/>
        <w:rPr>
          <w:rFonts w:ascii="Times New Roman" w:hAnsi="Times New Roman"/>
          <w:sz w:val="24"/>
        </w:rPr>
      </w:pPr>
      <w:r w:rsidRPr="00EA36D3">
        <w:rPr>
          <w:rFonts w:ascii="Times New Roman" w:hAnsi="Times New Roman"/>
          <w:sz w:val="24"/>
        </w:rPr>
        <w:t>Ministru prezidenta biedrs,</w:t>
      </w:r>
    </w:p>
    <w:p w:rsidR="00EA36D3" w:rsidRPr="00EA36D3" w:rsidP="00EA36D3" w14:paraId="0B452032" w14:textId="4BF088EE">
      <w:pPr>
        <w:spacing w:after="0"/>
        <w:rPr>
          <w:rFonts w:ascii="Times New Roman" w:hAnsi="Times New Roman"/>
          <w:sz w:val="24"/>
        </w:rPr>
      </w:pPr>
      <w:r w:rsidRPr="00EA36D3">
        <w:rPr>
          <w:rFonts w:ascii="Times New Roman" w:hAnsi="Times New Roman"/>
          <w:sz w:val="24"/>
        </w:rPr>
        <w:t>ekonomikas ministrs</w:t>
      </w:r>
      <w:r>
        <w:rPr>
          <w:rFonts w:ascii="Times New Roman" w:hAnsi="Times New Roman"/>
          <w:sz w:val="24"/>
        </w:rPr>
        <w:t xml:space="preserve"> </w:t>
      </w:r>
      <w:r w:rsidRPr="00EA36D3">
        <w:rPr>
          <w:rFonts w:ascii="Times New Roman" w:hAnsi="Times New Roman"/>
          <w:sz w:val="24"/>
        </w:rPr>
        <w:t xml:space="preserve">                                                                                                         </w:t>
      </w:r>
      <w:r w:rsidRPr="00EA36D3">
        <w:rPr>
          <w:rFonts w:ascii="Times New Roman" w:hAnsi="Times New Roman"/>
          <w:sz w:val="24"/>
        </w:rPr>
        <w:t>A.Ašeradens</w:t>
      </w:r>
    </w:p>
    <w:p w:rsidR="00EA36D3" w:rsidRPr="00EA36D3" w:rsidP="00EA36D3" w14:paraId="75F0C772" w14:textId="77777777">
      <w:pPr>
        <w:spacing w:after="0"/>
        <w:ind w:left="-284" w:firstLine="567"/>
        <w:rPr>
          <w:rFonts w:ascii="Times New Roman" w:hAnsi="Times New Roman"/>
          <w:sz w:val="24"/>
        </w:rPr>
      </w:pPr>
    </w:p>
    <w:p w:rsidR="00EA36D3" w:rsidRPr="00EA36D3" w:rsidP="00EA36D3" w14:paraId="312063D7" w14:textId="77777777">
      <w:pPr>
        <w:spacing w:after="0"/>
        <w:rPr>
          <w:rFonts w:ascii="Times New Roman" w:hAnsi="Times New Roman"/>
          <w:sz w:val="24"/>
        </w:rPr>
      </w:pPr>
      <w:r w:rsidRPr="00EA36D3">
        <w:rPr>
          <w:rFonts w:ascii="Times New Roman" w:hAnsi="Times New Roman"/>
          <w:sz w:val="24"/>
        </w:rPr>
        <w:t>Vīza:</w:t>
      </w:r>
    </w:p>
    <w:p w:rsidR="00EA36D3" w:rsidRPr="00EA36D3" w:rsidP="00EA36D3" w14:paraId="42A2F9A9" w14:textId="484551F5">
      <w:pPr>
        <w:spacing w:after="0"/>
        <w:rPr>
          <w:rFonts w:ascii="Times New Roman" w:hAnsi="Times New Roman"/>
          <w:sz w:val="24"/>
        </w:rPr>
      </w:pPr>
      <w:r w:rsidRPr="00EA36D3">
        <w:rPr>
          <w:rFonts w:ascii="Times New Roman" w:hAnsi="Times New Roman"/>
          <w:sz w:val="24"/>
        </w:rPr>
        <w:t>Valsts sekretārs</w:t>
      </w:r>
      <w:r>
        <w:rPr>
          <w:rFonts w:ascii="Times New Roman" w:hAnsi="Times New Roman"/>
          <w:sz w:val="24"/>
        </w:rPr>
        <w:t xml:space="preserve">  </w:t>
      </w:r>
      <w:r w:rsidRPr="00EA36D3">
        <w:rPr>
          <w:rFonts w:ascii="Times New Roman" w:hAnsi="Times New Roman"/>
          <w:sz w:val="24"/>
        </w:rPr>
        <w:t xml:space="preserve">                                                                                                                       </w:t>
      </w:r>
      <w:r w:rsidRPr="00EA36D3">
        <w:rPr>
          <w:rFonts w:ascii="Times New Roman" w:hAnsi="Times New Roman"/>
          <w:sz w:val="24"/>
        </w:rPr>
        <w:t>Ē.Eglītis</w:t>
      </w:r>
    </w:p>
    <w:p w:rsidR="00EA36D3" w:rsidP="00EA36D3" w14:paraId="015097F9" w14:textId="6E6617E0">
      <w:pPr>
        <w:spacing w:after="0"/>
      </w:pPr>
    </w:p>
    <w:p w:rsidR="00EA36D3" w:rsidP="00EA36D3" w14:paraId="5DAECBAF" w14:textId="3EFDC12C">
      <w:pPr>
        <w:spacing w:after="0"/>
      </w:pPr>
    </w:p>
    <w:p w:rsidR="00EA36D3" w:rsidRPr="007D3CF4" w:rsidP="00EA36D3" w14:paraId="27E890B3" w14:textId="77777777">
      <w:pPr>
        <w:spacing w:after="0"/>
      </w:pPr>
    </w:p>
    <w:p w:rsidR="00EA36D3" w:rsidRPr="00EA36D3" w:rsidP="00EA36D3" w14:paraId="0BE2DB31" w14:textId="588AE60F">
      <w:pPr>
        <w:spacing w:after="0"/>
        <w:rPr>
          <w:rFonts w:ascii="Times New Roman" w:hAnsi="Times New Roman"/>
          <w:szCs w:val="20"/>
        </w:rPr>
      </w:pPr>
      <w:r w:rsidRPr="00EA36D3">
        <w:rPr>
          <w:rFonts w:ascii="Times New Roman" w:hAnsi="Times New Roman"/>
          <w:szCs w:val="20"/>
        </w:rPr>
        <w:t>0</w:t>
      </w:r>
      <w:r>
        <w:rPr>
          <w:rFonts w:ascii="Times New Roman" w:hAnsi="Times New Roman"/>
          <w:szCs w:val="20"/>
        </w:rPr>
        <w:t>5</w:t>
      </w:r>
      <w:r w:rsidRPr="00EA36D3">
        <w:rPr>
          <w:rFonts w:ascii="Times New Roman" w:hAnsi="Times New Roman"/>
          <w:szCs w:val="20"/>
        </w:rPr>
        <w:t>.04.201</w:t>
      </w:r>
      <w:r>
        <w:rPr>
          <w:rFonts w:ascii="Times New Roman" w:hAnsi="Times New Roman"/>
          <w:szCs w:val="20"/>
        </w:rPr>
        <w:t>8</w:t>
      </w:r>
      <w:r w:rsidRPr="00EA36D3">
        <w:rPr>
          <w:rFonts w:ascii="Times New Roman" w:hAnsi="Times New Roman"/>
          <w:szCs w:val="20"/>
        </w:rPr>
        <w:t xml:space="preserve">. </w:t>
      </w:r>
      <w:r>
        <w:rPr>
          <w:rFonts w:ascii="Times New Roman" w:hAnsi="Times New Roman"/>
          <w:szCs w:val="20"/>
        </w:rPr>
        <w:t>1</w:t>
      </w:r>
      <w:r w:rsidR="00631874">
        <w:rPr>
          <w:rFonts w:ascii="Times New Roman" w:hAnsi="Times New Roman"/>
          <w:szCs w:val="20"/>
        </w:rPr>
        <w:t>5</w:t>
      </w:r>
      <w:bookmarkStart w:id="126" w:name="_GoBack"/>
      <w:bookmarkEnd w:id="126"/>
      <w:r w:rsidRPr="00EA36D3">
        <w:rPr>
          <w:rFonts w:ascii="Times New Roman" w:hAnsi="Times New Roman"/>
          <w:szCs w:val="20"/>
        </w:rPr>
        <w:t>:</w:t>
      </w:r>
      <w:r>
        <w:rPr>
          <w:rFonts w:ascii="Times New Roman" w:hAnsi="Times New Roman"/>
          <w:szCs w:val="20"/>
        </w:rPr>
        <w:t>0</w:t>
      </w:r>
      <w:r w:rsidRPr="00EA36D3">
        <w:rPr>
          <w:rFonts w:ascii="Times New Roman" w:hAnsi="Times New Roman"/>
          <w:szCs w:val="20"/>
        </w:rPr>
        <w:t>0</w:t>
      </w:r>
    </w:p>
    <w:p w:rsidR="00EA36D3" w:rsidRPr="00EA36D3" w:rsidP="00EA36D3" w14:paraId="18FF8EF7" w14:textId="5DB8D6F0">
      <w:pPr>
        <w:spacing w:after="0"/>
        <w:rPr>
          <w:rFonts w:ascii="Times New Roman" w:hAnsi="Times New Roman"/>
          <w:szCs w:val="20"/>
        </w:rPr>
      </w:pPr>
      <w:bookmarkStart w:id="127" w:name="OLE_LINK3"/>
      <w:bookmarkStart w:id="128" w:name="OLE_LINK4"/>
      <w:r w:rsidRPr="00EA36D3">
        <w:rPr>
          <w:rFonts w:ascii="Times New Roman" w:hAnsi="Times New Roman"/>
          <w:szCs w:val="20"/>
        </w:rPr>
        <w:fldChar w:fldCharType="begin"/>
      </w:r>
      <w:r w:rsidRPr="00EA36D3">
        <w:rPr>
          <w:rFonts w:ascii="Times New Roman" w:hAnsi="Times New Roman"/>
          <w:szCs w:val="20"/>
        </w:rPr>
        <w:instrText xml:space="preserve"> NUMWORDS  \# "0"  \* MERGEFORMAT </w:instrText>
      </w:r>
      <w:r w:rsidRPr="00EA36D3">
        <w:rPr>
          <w:rFonts w:ascii="Times New Roman" w:hAnsi="Times New Roman"/>
          <w:szCs w:val="20"/>
        </w:rPr>
        <w:fldChar w:fldCharType="separate"/>
      </w:r>
      <w:r w:rsidR="00631874">
        <w:rPr>
          <w:rFonts w:ascii="Times New Roman" w:hAnsi="Times New Roman"/>
          <w:noProof/>
          <w:szCs w:val="20"/>
        </w:rPr>
        <w:t>41368</w:t>
      </w:r>
      <w:r w:rsidRPr="00EA36D3">
        <w:rPr>
          <w:rFonts w:ascii="Times New Roman" w:hAnsi="Times New Roman"/>
          <w:szCs w:val="20"/>
        </w:rPr>
        <w:fldChar w:fldCharType="end"/>
      </w:r>
    </w:p>
    <w:p w:rsidR="00EA36D3" w:rsidRPr="00EA36D3" w:rsidP="00EA36D3" w14:paraId="1F1C667F" w14:textId="77777777">
      <w:pPr>
        <w:spacing w:after="0"/>
        <w:rPr>
          <w:rFonts w:ascii="Times New Roman" w:hAnsi="Times New Roman"/>
          <w:szCs w:val="20"/>
        </w:rPr>
      </w:pPr>
      <w:r w:rsidRPr="00EA36D3">
        <w:rPr>
          <w:rFonts w:ascii="Times New Roman" w:hAnsi="Times New Roman"/>
          <w:szCs w:val="20"/>
        </w:rPr>
        <w:t>Č.Gržibovskis</w:t>
      </w:r>
    </w:p>
    <w:p w:rsidR="00581F58" w:rsidRPr="00EA36D3" w:rsidP="00EA36D3" w14:paraId="6EAE7CDD" w14:textId="1F94E048">
      <w:pPr>
        <w:spacing w:after="0"/>
        <w:rPr>
          <w:rFonts w:ascii="Times New Roman" w:hAnsi="Times New Roman"/>
        </w:rPr>
      </w:pPr>
      <w:r w:rsidRPr="00EA36D3">
        <w:rPr>
          <w:rFonts w:ascii="Times New Roman" w:hAnsi="Times New Roman"/>
          <w:szCs w:val="20"/>
        </w:rPr>
        <w:t>67013258, Ceslavs.Grzibovskis@em.gov.lv</w:t>
      </w:r>
      <w:bookmarkEnd w:id="127"/>
      <w:bookmarkEnd w:id="128"/>
    </w:p>
    <w:sectPr w:rsidSect="00650559">
      <w:type w:val="continuous"/>
      <w:pgSz w:w="11906" w:h="16838" w:code="9"/>
      <w:pgMar w:top="1134" w:right="1134" w:bottom="1134" w:left="1134" w:header="709" w:footer="56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Arial Narrow">
    <w:panose1 w:val="020B0606020202030204"/>
    <w:charset w:val="BA"/>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BA"/>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BA"/>
    <w:family w:val="swiss"/>
    <w:pitch w:val="variable"/>
    <w:sig w:usb0="E10022FF" w:usb1="C000E47F" w:usb2="00000029" w:usb3="00000000" w:csb0="000001DF" w:csb1="00000000"/>
  </w:font>
  <w:font w:name="+mn-ea">
    <w:panose1 w:val="00000000000000000000"/>
    <w:charset w:val="00"/>
    <w:family w:val="roman"/>
    <w:notTrueType/>
    <w:pitch w:val="default"/>
  </w:font>
  <w:font w:name="Verdana">
    <w:panose1 w:val="020B0604030504040204"/>
    <w:charset w:val="BA"/>
    <w:family w:val="swiss"/>
    <w:pitch w:val="variable"/>
    <w:sig w:usb0="A10006FF" w:usb1="4000205B" w:usb2="00000010" w:usb3="00000000" w:csb0="0000019F" w:csb1="00000000"/>
  </w:font>
  <w:font w:name="TimesNewRomanPSMT">
    <w:altName w:val="Times New Roman"/>
    <w:panose1 w:val="00000000000000000000"/>
    <w:charset w:val="EE"/>
    <w:family w:val="auto"/>
    <w:notTrueType/>
    <w:pitch w:val="default"/>
    <w:sig w:usb0="00000005" w:usb1="00000000" w:usb2="00000000" w:usb3="00000000" w:csb0="00000082"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942" w14:paraId="19F7017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7588E" w:rsidP="00697A08" w14:paraId="0B9BF438" w14:textId="6B0D30C5">
    <w:pPr>
      <w:pStyle w:val="Footer"/>
      <w:tabs>
        <w:tab w:val="clear" w:pos="8306"/>
        <w:tab w:val="right" w:pos="9639"/>
      </w:tabs>
      <w:spacing w:after="0"/>
    </w:pPr>
    <w:r>
      <w:rPr>
        <w:rFonts w:ascii="Calibri Light" w:hAnsi="Calibri Light"/>
        <w:sz w:val="16"/>
        <w:szCs w:val="16"/>
      </w:rPr>
      <w:t>EMz</w:t>
    </w:r>
    <w:r w:rsidRPr="00982942">
      <w:rPr>
        <w:rFonts w:ascii="Calibri Light" w:hAnsi="Calibri Light"/>
        <w:sz w:val="16"/>
        <w:szCs w:val="16"/>
      </w:rPr>
      <w:t>in_</w:t>
    </w:r>
    <w:r>
      <w:rPr>
        <w:rFonts w:ascii="Calibri Light" w:hAnsi="Calibri Light"/>
        <w:sz w:val="16"/>
        <w:szCs w:val="16"/>
      </w:rPr>
      <w:t>05042018</w:t>
    </w:r>
    <w:r w:rsidRPr="00982942">
      <w:rPr>
        <w:rFonts w:ascii="Calibri Light" w:hAnsi="Calibri Light"/>
        <w:sz w:val="16"/>
        <w:szCs w:val="16"/>
      </w:rPr>
      <w:t>_NRP; Progresa ziņojums par Latvijas nacionālās reformu programmas “Eiropa 2020” stratēģijas kontekstā īstenošanu</w:t>
    </w:r>
    <w:sdt>
      <w:sdtPr>
        <w:rPr>
          <w:rFonts w:ascii="Calibri Light" w:hAnsi="Calibri Light"/>
          <w:sz w:val="16"/>
          <w:szCs w:val="16"/>
        </w:rPr>
        <w:id w:val="1251577476"/>
        <w:docPartObj>
          <w:docPartGallery w:val="Page Numbers (Bottom of Page)"/>
          <w:docPartUnique/>
        </w:docPartObj>
      </w:sdtPr>
      <w:sdtEndPr>
        <w:rPr>
          <w:rFonts w:ascii="Cambria" w:hAnsi="Cambria"/>
          <w:sz w:val="20"/>
          <w:szCs w:val="24"/>
        </w:rPr>
      </w:sdtEndPr>
      <w:sdtContent>
        <w:r>
          <w:rPr>
            <w:szCs w:val="20"/>
          </w:rPr>
          <w:tab/>
        </w:r>
        <w:r w:rsidRPr="003328D4">
          <w:rPr>
            <w:szCs w:val="20"/>
          </w:rPr>
          <w:fldChar w:fldCharType="begin"/>
        </w:r>
        <w:r w:rsidRPr="003328D4">
          <w:rPr>
            <w:szCs w:val="20"/>
          </w:rPr>
          <w:instrText xml:space="preserve"> PAGE   \* MERGEFORMAT </w:instrText>
        </w:r>
        <w:r w:rsidRPr="003328D4">
          <w:rPr>
            <w:szCs w:val="20"/>
          </w:rPr>
          <w:fldChar w:fldCharType="separate"/>
        </w:r>
        <w:r w:rsidR="00631874">
          <w:rPr>
            <w:noProof/>
            <w:szCs w:val="20"/>
          </w:rPr>
          <w:t>96</w:t>
        </w:r>
        <w:r w:rsidRPr="003328D4">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7588E" w:rsidP="00650559" w14:paraId="60ED0C6A" w14:textId="21BC5945">
    <w:pPr>
      <w:pStyle w:val="Footer"/>
      <w:tabs>
        <w:tab w:val="clear" w:pos="8306"/>
        <w:tab w:val="right" w:pos="9639"/>
      </w:tabs>
      <w:spacing w:after="0"/>
    </w:pPr>
    <w:r w:rsidRPr="00697A08">
      <w:rPr>
        <w:rFonts w:ascii="Calibri Light" w:hAnsi="Calibri Light"/>
        <w:sz w:val="16"/>
        <w:szCs w:val="16"/>
      </w:rPr>
      <w:t>LATVIJAS NACIONĀLĀ REFORMU PROGRAMMA „EIROPA 2020” STRATĒĢIJAS ĪSTENOŠANAI</w:t>
    </w:r>
    <w:r>
      <w:rPr>
        <w:rFonts w:ascii="Calibri Light" w:hAnsi="Calibri Light"/>
        <w:sz w:val="16"/>
        <w:szCs w:val="16"/>
      </w:rPr>
      <w:t xml:space="preserve">  |  </w:t>
    </w:r>
    <w:r w:rsidRPr="00697A08">
      <w:rPr>
        <w:rFonts w:ascii="Calibri Light" w:hAnsi="Calibri Light"/>
        <w:sz w:val="16"/>
        <w:szCs w:val="16"/>
      </w:rPr>
      <w:t xml:space="preserve">PROGRESA ZIŅOJUMS </w:t>
    </w:r>
    <w:sdt>
      <w:sdtPr>
        <w:rPr>
          <w:rFonts w:ascii="Calibri Light" w:hAnsi="Calibri Light"/>
          <w:sz w:val="16"/>
          <w:szCs w:val="16"/>
        </w:rPr>
        <w:id w:val="1990934528"/>
        <w:docPartObj>
          <w:docPartGallery w:val="Page Numbers (Bottom of Page)"/>
          <w:docPartUnique/>
        </w:docPartObj>
      </w:sdtPr>
      <w:sdtEndPr>
        <w:rPr>
          <w:rFonts w:ascii="Cambria" w:hAnsi="Cambria"/>
          <w:sz w:val="20"/>
          <w:szCs w:val="24"/>
        </w:rPr>
      </w:sdtEndPr>
      <w:sdtContent>
        <w:r>
          <w:rPr>
            <w:rFonts w:ascii="Calibri Light" w:hAnsi="Calibri Light"/>
            <w:sz w:val="16"/>
            <w:szCs w:val="16"/>
          </w:rPr>
          <w:t xml:space="preserve"> |  2018</w:t>
        </w:r>
        <w:r>
          <w:rPr>
            <w:szCs w:val="20"/>
          </w:rPr>
          <w:tab/>
        </w:r>
        <w:r w:rsidRPr="003328D4">
          <w:rPr>
            <w:szCs w:val="20"/>
          </w:rPr>
          <w:fldChar w:fldCharType="begin"/>
        </w:r>
        <w:r w:rsidRPr="003328D4">
          <w:rPr>
            <w:szCs w:val="20"/>
          </w:rPr>
          <w:instrText xml:space="preserve"> PAGE   \* MERGEFORMAT </w:instrText>
        </w:r>
        <w:r w:rsidRPr="003328D4">
          <w:rPr>
            <w:szCs w:val="20"/>
          </w:rPr>
          <w:fldChar w:fldCharType="separate"/>
        </w:r>
        <w:r w:rsidR="00631874">
          <w:rPr>
            <w:noProof/>
            <w:szCs w:val="20"/>
          </w:rPr>
          <w:t>99</w:t>
        </w:r>
        <w:r w:rsidRPr="003328D4">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7588E" w:rsidP="006C7F87" w14:paraId="10BB1C95" w14:textId="77777777">
      <w:r>
        <w:separator/>
      </w:r>
    </w:p>
  </w:footnote>
  <w:footnote w:type="continuationSeparator" w:id="1">
    <w:p w:rsidR="00A7588E" w:rsidP="006C7F87" w14:paraId="5406B848" w14:textId="77777777">
      <w:r>
        <w:continuationSeparator/>
      </w:r>
    </w:p>
  </w:footnote>
  <w:footnote w:type="continuationNotice" w:id="2">
    <w:p w:rsidR="00A7588E" w14:paraId="2E5E5D30" w14:textId="77777777"/>
  </w:footnote>
  <w:footnote w:id="3">
    <w:p w:rsidR="00A7588E" w:rsidRPr="00215698" w:rsidP="00215698" w14:paraId="5C2B27D3" w14:textId="77777777">
      <w:pPr>
        <w:pStyle w:val="FootnoteText"/>
        <w:keepNext/>
        <w:keepLines/>
        <w:widowControl w:val="0"/>
        <w:spacing w:after="0"/>
        <w:ind w:left="142" w:right="-285"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215698">
        <w:rPr>
          <w:rFonts w:ascii="Calibri Light" w:hAnsi="Calibri Light"/>
          <w:i/>
          <w:color w:val="595959" w:themeColor="text1" w:themeTint="A6"/>
          <w:sz w:val="16"/>
          <w:szCs w:val="16"/>
        </w:rPr>
        <w:t>Latvijas nacionālā reformu programma Eiropa 2020 stratēģijas īstenošanai</w:t>
      </w:r>
      <w:r w:rsidRPr="00215698">
        <w:rPr>
          <w:rFonts w:ascii="Calibri Light" w:hAnsi="Calibri Light"/>
          <w:color w:val="595959" w:themeColor="text1" w:themeTint="A6"/>
          <w:sz w:val="16"/>
          <w:szCs w:val="16"/>
        </w:rPr>
        <w:t xml:space="preserve"> vienlaicīgi ar </w:t>
      </w:r>
      <w:r w:rsidRPr="00215698">
        <w:rPr>
          <w:rFonts w:ascii="Calibri Light" w:hAnsi="Calibri Light"/>
          <w:i/>
          <w:color w:val="595959" w:themeColor="text1" w:themeTint="A6"/>
          <w:sz w:val="16"/>
          <w:szCs w:val="16"/>
        </w:rPr>
        <w:t>Latvijas Konverģences programmu 2011.-2014.gadam</w:t>
      </w:r>
      <w:r w:rsidRPr="00215698">
        <w:rPr>
          <w:rFonts w:ascii="Calibri Light" w:hAnsi="Calibri Light"/>
          <w:color w:val="595959" w:themeColor="text1" w:themeTint="A6"/>
          <w:sz w:val="16"/>
          <w:szCs w:val="16"/>
        </w:rPr>
        <w:t xml:space="preserve"> tika apstiprinātas MK 2011.gada 26.aprīlī un iesniegtas EK 2011.gada 29.aprīlī.</w:t>
      </w:r>
    </w:p>
  </w:footnote>
  <w:footnote w:id="4">
    <w:p w:rsidR="00A7588E" w:rsidRPr="00215698" w:rsidP="00215698" w14:paraId="7EA3C402" w14:textId="77777777">
      <w:pPr>
        <w:pStyle w:val="FootnoteText"/>
        <w:keepNext/>
        <w:keepLines/>
        <w:widowControl w:val="0"/>
        <w:spacing w:after="0"/>
        <w:ind w:left="142" w:right="-285"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5F5456">
        <w:rPr>
          <w:rFonts w:ascii="Calibri Light" w:hAnsi="Calibri Light"/>
          <w:i/>
          <w:color w:val="595959" w:themeColor="text1" w:themeTint="A6"/>
          <w:sz w:val="16"/>
          <w:szCs w:val="16"/>
        </w:rPr>
        <w:t>Eiro Plus pakts</w:t>
      </w:r>
      <w:r w:rsidRPr="00215698">
        <w:rPr>
          <w:rFonts w:ascii="Calibri Light" w:hAnsi="Calibri Light"/>
          <w:color w:val="595959" w:themeColor="text1" w:themeTint="A6"/>
          <w:sz w:val="16"/>
          <w:szCs w:val="16"/>
        </w:rPr>
        <w:t>, 2011.gada 24.-25.marta Eiropadomes secinājumi: http://www.consilium.europa.eu/uedocs/cms_data/docs/pressdata/en/ec/120296.pdf</w:t>
      </w:r>
    </w:p>
  </w:footnote>
  <w:footnote w:id="5">
    <w:p w:rsidR="00A7588E" w:rsidRPr="00215698" w:rsidP="00215698" w14:paraId="6BA37251" w14:textId="77777777">
      <w:pPr>
        <w:pStyle w:val="FootnoteText"/>
        <w:keepNext/>
        <w:keepLines/>
        <w:widowControl w:val="0"/>
        <w:spacing w:after="0"/>
        <w:ind w:left="142" w:right="-285"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201</w:t>
      </w:r>
      <w:r>
        <w:rPr>
          <w:rFonts w:ascii="Calibri Light" w:hAnsi="Calibri Light"/>
          <w:color w:val="595959" w:themeColor="text1" w:themeTint="A6"/>
          <w:sz w:val="16"/>
          <w:szCs w:val="16"/>
        </w:rPr>
        <w:t>7</w:t>
      </w:r>
      <w:r w:rsidRPr="00215698">
        <w:rPr>
          <w:rFonts w:ascii="Calibri Light" w:hAnsi="Calibri Light"/>
          <w:color w:val="595959" w:themeColor="text1" w:themeTint="A6"/>
          <w:sz w:val="16"/>
          <w:szCs w:val="16"/>
        </w:rPr>
        <w:t xml:space="preserve">.gada ES Padomes rekomendācijas Latvijai: </w:t>
      </w:r>
      <w:r>
        <w:fldChar w:fldCharType="begin"/>
      </w:r>
      <w:r>
        <w:instrText xml:space="preserve"> HYPERLINK "http://eur-lex.europa.eu/legal-content/LV/TXT/PDF/?uri=CELEX:32017H0809(13)&amp;from=EN" </w:instrText>
      </w:r>
      <w:r>
        <w:fldChar w:fldCharType="separate"/>
      </w:r>
      <w:r w:rsidRPr="004C11FA">
        <w:rPr>
          <w:rStyle w:val="Hyperlink"/>
          <w:rFonts w:ascii="Calibri Light" w:hAnsi="Calibri Light"/>
          <w:sz w:val="16"/>
          <w:szCs w:val="16"/>
        </w:rPr>
        <w:t>http://eur-lex.europa.eu/legal-content/LV/TXT/PDF/?uri=CELEX:32017H0809(13)&amp;from=EN</w:t>
      </w:r>
      <w:r>
        <w:fldChar w:fldCharType="end"/>
      </w:r>
      <w:r>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 xml:space="preserve"> </w:t>
      </w:r>
    </w:p>
  </w:footnote>
  <w:footnote w:id="6">
    <w:p w:rsidR="00A7588E" w:rsidRPr="00215698" w:rsidP="00215698" w14:paraId="78657559" w14:textId="77777777">
      <w:pPr>
        <w:pStyle w:val="FootnoteText"/>
        <w:keepNext/>
        <w:keepLines/>
        <w:widowControl w:val="0"/>
        <w:spacing w:after="0"/>
        <w:ind w:left="142" w:right="-285"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215698">
        <w:rPr>
          <w:rFonts w:ascii="Calibri Light" w:hAnsi="Calibri Light"/>
          <w:i/>
          <w:color w:val="595959" w:themeColor="text1" w:themeTint="A6"/>
          <w:sz w:val="16"/>
          <w:szCs w:val="16"/>
        </w:rPr>
        <w:t>201</w:t>
      </w:r>
      <w:r>
        <w:rPr>
          <w:rFonts w:ascii="Calibri Light" w:hAnsi="Calibri Light"/>
          <w:i/>
          <w:color w:val="595959" w:themeColor="text1" w:themeTint="A6"/>
          <w:sz w:val="16"/>
          <w:szCs w:val="16"/>
        </w:rPr>
        <w:t>8</w:t>
      </w:r>
      <w:r w:rsidRPr="00215698">
        <w:rPr>
          <w:rFonts w:ascii="Calibri Light" w:hAnsi="Calibri Light"/>
          <w:i/>
          <w:color w:val="595959" w:themeColor="text1" w:themeTint="A6"/>
          <w:sz w:val="16"/>
          <w:szCs w:val="16"/>
        </w:rPr>
        <w:t>.gada izaugsmes ziņojums</w:t>
      </w:r>
      <w:r w:rsidRPr="00215698">
        <w:rPr>
          <w:rFonts w:ascii="Calibri Light" w:hAnsi="Calibri Light"/>
          <w:color w:val="595959" w:themeColor="text1" w:themeTint="A6"/>
          <w:sz w:val="16"/>
          <w:szCs w:val="16"/>
        </w:rPr>
        <w:t xml:space="preserve">: </w:t>
      </w:r>
      <w:r>
        <w:fldChar w:fldCharType="begin"/>
      </w:r>
      <w:r>
        <w:instrText xml:space="preserve"> HYPERLINK "https://ec.europa.eu/info/sites/info/files/2017-comm-690_en_0.pdf" </w:instrText>
      </w:r>
      <w:r>
        <w:fldChar w:fldCharType="separate"/>
      </w:r>
      <w:r w:rsidRPr="004C11FA">
        <w:rPr>
          <w:rStyle w:val="Hyperlink"/>
          <w:rFonts w:ascii="Calibri Light" w:hAnsi="Calibri Light"/>
          <w:sz w:val="16"/>
          <w:szCs w:val="16"/>
        </w:rPr>
        <w:t>https://ec.europa.eu/info/sites/info/files/2017-comm-690_en_0.pdf</w:t>
      </w:r>
      <w:r>
        <w:fldChar w:fldCharType="end"/>
      </w:r>
      <w:r>
        <w:rPr>
          <w:rFonts w:ascii="Calibri Light" w:hAnsi="Calibri Light"/>
          <w:color w:val="595959" w:themeColor="text1" w:themeTint="A6"/>
          <w:sz w:val="16"/>
          <w:szCs w:val="16"/>
        </w:rPr>
        <w:t xml:space="preserve"> </w:t>
      </w:r>
    </w:p>
  </w:footnote>
  <w:footnote w:id="7">
    <w:p w:rsidR="00A7588E" w:rsidRPr="00215698" w:rsidP="00215698" w14:paraId="6753D522" w14:textId="77777777">
      <w:pPr>
        <w:pStyle w:val="FootnoteText"/>
        <w:keepNext/>
        <w:keepLines/>
        <w:widowControl w:val="0"/>
        <w:spacing w:after="0"/>
        <w:ind w:left="142" w:right="-285"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215698">
        <w:rPr>
          <w:rFonts w:ascii="Calibri Light" w:hAnsi="Calibri Light"/>
          <w:i/>
          <w:color w:val="595959" w:themeColor="text1" w:themeTint="A6"/>
          <w:sz w:val="16"/>
          <w:szCs w:val="16"/>
        </w:rPr>
        <w:t>Ziņojums par valsti – Latvija (201</w:t>
      </w:r>
      <w:r>
        <w:rPr>
          <w:rFonts w:ascii="Calibri Light" w:hAnsi="Calibri Light"/>
          <w:i/>
          <w:color w:val="595959" w:themeColor="text1" w:themeTint="A6"/>
          <w:sz w:val="16"/>
          <w:szCs w:val="16"/>
        </w:rPr>
        <w:t>8.g.</w:t>
      </w:r>
      <w:r w:rsidRPr="00215698">
        <w:rPr>
          <w:rFonts w:ascii="Calibri Light" w:hAnsi="Calibri Light"/>
          <w:i/>
          <w:color w:val="595959" w:themeColor="text1" w:themeTint="A6"/>
          <w:sz w:val="16"/>
          <w:szCs w:val="16"/>
        </w:rPr>
        <w:t>)</w:t>
      </w:r>
      <w:r w:rsidRPr="00215698">
        <w:rPr>
          <w:rFonts w:ascii="Calibri Light" w:hAnsi="Calibri Light"/>
          <w:color w:val="595959" w:themeColor="text1" w:themeTint="A6"/>
          <w:sz w:val="16"/>
          <w:szCs w:val="16"/>
        </w:rPr>
        <w:t>:</w:t>
      </w:r>
      <w:r w:rsidRPr="00215698">
        <w:rPr>
          <w:rFonts w:ascii="Calibri Light" w:hAnsi="Calibri Light"/>
          <w:i/>
          <w:color w:val="595959" w:themeColor="text1" w:themeTint="A6"/>
          <w:sz w:val="16"/>
          <w:szCs w:val="16"/>
        </w:rPr>
        <w:t xml:space="preserve"> </w:t>
      </w:r>
      <w:r>
        <w:fldChar w:fldCharType="begin"/>
      </w:r>
      <w:r>
        <w:instrText xml:space="preserve"> HYPERLINK "https://ec.europa.eu/info/sites/info/files/2018-european-semester-country-report-latvia-en.pdf" </w:instrText>
      </w:r>
      <w:r>
        <w:fldChar w:fldCharType="separate"/>
      </w:r>
      <w:r w:rsidRPr="004C11FA">
        <w:rPr>
          <w:rStyle w:val="Hyperlink"/>
          <w:rFonts w:ascii="Calibri Light" w:hAnsi="Calibri Light"/>
          <w:sz w:val="16"/>
          <w:szCs w:val="16"/>
        </w:rPr>
        <w:t>https://ec.europa.eu/info/sites/info/files/2018-european-semester-country-report-latvia-en.pdf</w:t>
      </w:r>
      <w:r>
        <w:fldChar w:fldCharType="end"/>
      </w:r>
      <w:r>
        <w:rPr>
          <w:rFonts w:ascii="Calibri Light" w:hAnsi="Calibri Light"/>
          <w:color w:val="595959" w:themeColor="text1" w:themeTint="A6"/>
          <w:sz w:val="16"/>
          <w:szCs w:val="16"/>
        </w:rPr>
        <w:t xml:space="preserve"> </w:t>
      </w:r>
    </w:p>
  </w:footnote>
  <w:footnote w:id="8">
    <w:p w:rsidR="00A7588E" w:rsidRPr="00215698" w:rsidP="00215698" w14:paraId="162478A8" w14:textId="77777777">
      <w:pPr>
        <w:pStyle w:val="FootnoteText"/>
        <w:keepNext/>
        <w:keepLines/>
        <w:widowControl w:val="0"/>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EK Ģenerālsekretariāta vēstule ES dalībvalstīm par 201</w:t>
      </w:r>
      <w:r>
        <w:rPr>
          <w:rFonts w:ascii="Calibri Light" w:hAnsi="Calibri Light"/>
          <w:color w:val="595959" w:themeColor="text1" w:themeTint="A6"/>
          <w:sz w:val="16"/>
          <w:szCs w:val="16"/>
        </w:rPr>
        <w:t>8</w:t>
      </w:r>
      <w:r w:rsidRPr="00215698">
        <w:rPr>
          <w:rFonts w:ascii="Calibri Light" w:hAnsi="Calibri Light"/>
          <w:color w:val="595959" w:themeColor="text1" w:themeTint="A6"/>
          <w:sz w:val="16"/>
          <w:szCs w:val="16"/>
        </w:rPr>
        <w:t xml:space="preserve">.gada Eiropas semestri, </w:t>
      </w:r>
      <w:r w:rsidRPr="0077646C">
        <w:rPr>
          <w:rFonts w:ascii="Calibri Light" w:hAnsi="Calibri Light"/>
          <w:color w:val="595959" w:themeColor="text1" w:themeTint="A6"/>
          <w:sz w:val="16"/>
          <w:szCs w:val="16"/>
        </w:rPr>
        <w:t>Ref.Ares</w:t>
      </w:r>
      <w:r w:rsidRPr="0077646C">
        <w:rPr>
          <w:rFonts w:ascii="Calibri Light" w:hAnsi="Calibri Light"/>
          <w:color w:val="595959" w:themeColor="text1" w:themeTint="A6"/>
          <w:sz w:val="16"/>
          <w:szCs w:val="16"/>
        </w:rPr>
        <w:t>(2017)5333418-31/10/2017.</w:t>
      </w:r>
    </w:p>
  </w:footnote>
  <w:footnote w:id="9">
    <w:p w:rsidR="00A7588E" w:rsidRPr="00215698" w:rsidP="00215698" w14:paraId="10358FD0"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http://fdp.gov.lv/jaunumi/fiskala-padome-latvijai-butiski-jakapina-razigums-lai-saglabatu-prognozeto-ekonomikas-izaugsmes-tempu</w:t>
      </w:r>
    </w:p>
  </w:footnote>
  <w:footnote w:id="10">
    <w:p w:rsidR="00A7588E" w:rsidRPr="00215698" w:rsidP="00215698" w14:paraId="71DADCAD"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Nodokļa </w:t>
      </w:r>
      <w:r>
        <w:rPr>
          <w:rFonts w:ascii="Calibri Light" w:hAnsi="Calibri Light"/>
          <w:color w:val="595959" w:themeColor="text1" w:themeTint="A6"/>
          <w:sz w:val="16"/>
          <w:szCs w:val="16"/>
        </w:rPr>
        <w:t>slogs</w:t>
      </w:r>
      <w:r w:rsidRPr="00215698">
        <w:rPr>
          <w:rFonts w:ascii="Calibri Light" w:hAnsi="Calibri Light"/>
          <w:color w:val="595959" w:themeColor="text1" w:themeTint="A6"/>
          <w:sz w:val="16"/>
          <w:szCs w:val="16"/>
        </w:rPr>
        <w:t xml:space="preserve"> jeb ķīlis (</w:t>
      </w:r>
      <w:r w:rsidRPr="00975ADA">
        <w:rPr>
          <w:rFonts w:ascii="Calibri Light" w:hAnsi="Calibri Light"/>
          <w:i/>
          <w:color w:val="595959" w:themeColor="text1" w:themeTint="A6"/>
          <w:sz w:val="16"/>
          <w:szCs w:val="16"/>
        </w:rPr>
        <w:t>tax</w:t>
      </w:r>
      <w:r w:rsidRPr="00975ADA">
        <w:rPr>
          <w:rFonts w:ascii="Calibri Light" w:hAnsi="Calibri Light"/>
          <w:i/>
          <w:color w:val="595959" w:themeColor="text1" w:themeTint="A6"/>
          <w:sz w:val="16"/>
          <w:szCs w:val="16"/>
        </w:rPr>
        <w:t xml:space="preserve"> </w:t>
      </w:r>
      <w:r w:rsidRPr="00975ADA">
        <w:rPr>
          <w:rFonts w:ascii="Calibri Light" w:hAnsi="Calibri Light"/>
          <w:i/>
          <w:color w:val="595959" w:themeColor="text1" w:themeTint="A6"/>
          <w:sz w:val="16"/>
          <w:szCs w:val="16"/>
        </w:rPr>
        <w:t>wedge</w:t>
      </w:r>
      <w:r w:rsidRPr="00215698">
        <w:rPr>
          <w:rFonts w:ascii="Calibri Light" w:hAnsi="Calibri Light"/>
          <w:color w:val="595959" w:themeColor="text1" w:themeTint="A6"/>
          <w:sz w:val="16"/>
          <w:szCs w:val="16"/>
        </w:rPr>
        <w:t>) – raksturo starpību starp darba ņēmēja neto ienākumiem un to, cik šis darbaspēks izmaksā darba devējam. To aprēķina kā darba nodokļu (iedzīvotāju ienākuma nodokļa, darba ņēmēja un darba devēja valsts sociālās apdrošināšanas obligāto iemaksu) procentuālo attiecību pret darba algu pirms visu nodokļu nomaksas un darba devēja valsts sociālās apdrošināšanas obligāto iemaksu summu.</w:t>
      </w:r>
    </w:p>
  </w:footnote>
  <w:footnote w:id="11">
    <w:p w:rsidR="00A7588E" w:rsidRPr="001519E3" w:rsidP="001519E3" w14:paraId="7450C8F0" w14:textId="77777777">
      <w:pPr>
        <w:pStyle w:val="FootnoteText"/>
        <w:spacing w:after="0"/>
        <w:ind w:left="142" w:hanging="142"/>
        <w:rPr>
          <w:sz w:val="16"/>
          <w:szCs w:val="16"/>
        </w:rPr>
      </w:pPr>
      <w:r w:rsidRPr="00D0314A">
        <w:rPr>
          <w:rFonts w:ascii="Calibri Light" w:hAnsi="Calibri Light"/>
          <w:color w:val="595959" w:themeColor="text1" w:themeTint="A6"/>
          <w:sz w:val="16"/>
          <w:szCs w:val="16"/>
          <w:vertAlign w:val="superscript"/>
        </w:rPr>
        <w:footnoteRef/>
      </w:r>
      <w:r w:rsidRPr="00D0314A">
        <w:rPr>
          <w:rFonts w:ascii="Calibri Light" w:hAnsi="Calibri Light"/>
          <w:color w:val="595959" w:themeColor="text1" w:themeTint="A6"/>
          <w:sz w:val="16"/>
          <w:szCs w:val="16"/>
          <w:vertAlign w:val="superscript"/>
        </w:rPr>
        <w:t xml:space="preserve"> </w:t>
      </w:r>
      <w:r>
        <w:rPr>
          <w:rFonts w:ascii="Calibri Light" w:hAnsi="Calibri Light"/>
          <w:color w:val="595959" w:themeColor="text1" w:themeTint="A6"/>
          <w:sz w:val="16"/>
          <w:szCs w:val="16"/>
          <w:vertAlign w:val="superscript"/>
        </w:rPr>
        <w:t xml:space="preserve"> </w:t>
      </w:r>
      <w:r>
        <w:rPr>
          <w:rFonts w:ascii="Calibri Light" w:hAnsi="Calibri Light"/>
          <w:color w:val="595959" w:themeColor="text1" w:themeTint="A6"/>
          <w:sz w:val="16"/>
          <w:szCs w:val="16"/>
        </w:rPr>
        <w:t xml:space="preserve"> </w:t>
      </w:r>
      <w:r w:rsidRPr="00D0314A">
        <w:rPr>
          <w:rFonts w:ascii="Calibri Light" w:hAnsi="Calibri Light"/>
          <w:color w:val="595959" w:themeColor="text1" w:themeTint="A6"/>
          <w:sz w:val="16"/>
          <w:szCs w:val="16"/>
        </w:rPr>
        <w:t>2013.gad</w:t>
      </w:r>
      <w:r>
        <w:rPr>
          <w:rFonts w:ascii="Calibri Light" w:hAnsi="Calibri Light"/>
          <w:color w:val="595959" w:themeColor="text1" w:themeTint="A6"/>
          <w:sz w:val="16"/>
          <w:szCs w:val="16"/>
        </w:rPr>
        <w:t xml:space="preserve">a </w:t>
      </w:r>
      <w:r w:rsidRPr="001519E3">
        <w:rPr>
          <w:rFonts w:ascii="Calibri Light" w:hAnsi="Calibri Light"/>
          <w:color w:val="595959" w:themeColor="text1" w:themeTint="A6"/>
          <w:sz w:val="16"/>
          <w:szCs w:val="16"/>
        </w:rPr>
        <w:t xml:space="preserve">Pasaules Bankas pētījums </w:t>
      </w:r>
      <w:r w:rsidRPr="001519E3">
        <w:rPr>
          <w:rFonts w:ascii="Calibri Light" w:hAnsi="Calibri Light"/>
          <w:i/>
          <w:color w:val="595959" w:themeColor="text1" w:themeTint="A6"/>
          <w:sz w:val="16"/>
          <w:szCs w:val="16"/>
        </w:rPr>
        <w:t xml:space="preserve">“Latvija: kurš ir bezdarbnieks, ekonomiski neaktīvais vai trūcīgais? </w:t>
      </w:r>
      <w:r w:rsidRPr="001519E3">
        <w:rPr>
          <w:rFonts w:ascii="Calibri Light" w:hAnsi="Calibri Light"/>
          <w:i/>
          <w:color w:val="595959" w:themeColor="text1" w:themeTint="A6"/>
          <w:sz w:val="16"/>
          <w:szCs w:val="16"/>
        </w:rPr>
        <w:t>Pēckrīzes</w:t>
      </w:r>
      <w:r w:rsidRPr="001519E3">
        <w:rPr>
          <w:rFonts w:ascii="Calibri Light" w:hAnsi="Calibri Light"/>
          <w:i/>
          <w:color w:val="595959" w:themeColor="text1" w:themeTint="A6"/>
          <w:sz w:val="16"/>
          <w:szCs w:val="16"/>
        </w:rPr>
        <w:t xml:space="preserve"> politikas izvēļu </w:t>
      </w:r>
      <w:r w:rsidRPr="001519E3">
        <w:rPr>
          <w:rFonts w:ascii="Calibri Light" w:hAnsi="Calibri Light"/>
          <w:i/>
          <w:color w:val="595959" w:themeColor="text1" w:themeTint="A6"/>
          <w:sz w:val="16"/>
          <w:szCs w:val="16"/>
        </w:rPr>
        <w:t>izvērtējums</w:t>
      </w:r>
      <w:r w:rsidRPr="001519E3">
        <w:rPr>
          <w:rFonts w:ascii="Calibri Light" w:hAnsi="Calibri Light"/>
          <w:i/>
          <w:color w:val="595959" w:themeColor="text1" w:themeTint="A6"/>
          <w:sz w:val="16"/>
          <w:szCs w:val="16"/>
        </w:rPr>
        <w:t>”</w:t>
      </w:r>
      <w:r w:rsidRPr="001519E3">
        <w:rPr>
          <w:rFonts w:ascii="Calibri Light" w:hAnsi="Calibri Light"/>
          <w:color w:val="595959" w:themeColor="text1" w:themeTint="A6"/>
          <w:sz w:val="16"/>
          <w:szCs w:val="16"/>
        </w:rPr>
        <w:t>.</w:t>
      </w:r>
    </w:p>
  </w:footnote>
  <w:footnote w:id="12">
    <w:p w:rsidR="00A7588E" w:rsidRPr="001519E3" w:rsidP="001519E3" w14:paraId="5A399533" w14:textId="77777777">
      <w:pPr>
        <w:pStyle w:val="FootnoteText"/>
        <w:keepLines/>
        <w:spacing w:after="0"/>
        <w:ind w:left="142" w:hanging="142"/>
        <w:rPr>
          <w:rFonts w:ascii="Calibri Light" w:hAnsi="Calibri Light"/>
          <w:color w:val="595959" w:themeColor="text1" w:themeTint="A6"/>
          <w:sz w:val="16"/>
          <w:szCs w:val="16"/>
        </w:rPr>
      </w:pPr>
      <w:r w:rsidRPr="001519E3">
        <w:rPr>
          <w:rStyle w:val="FootnoteReference"/>
          <w:rFonts w:ascii="Calibri Light" w:hAnsi="Calibri Light"/>
          <w:color w:val="595959" w:themeColor="text1" w:themeTint="A6"/>
          <w:sz w:val="16"/>
          <w:szCs w:val="16"/>
        </w:rPr>
        <w:footnoteRef/>
      </w:r>
      <w:r w:rsidRPr="001519E3">
        <w:rPr>
          <w:rFonts w:ascii="Calibri Light" w:hAnsi="Calibri Light"/>
          <w:color w:val="595959" w:themeColor="text1" w:themeTint="A6"/>
          <w:sz w:val="16"/>
          <w:szCs w:val="16"/>
        </w:rPr>
        <w:t xml:space="preserve"> </w:t>
      </w:r>
      <w:r w:rsidRPr="001519E3">
        <w:rPr>
          <w:rFonts w:ascii="Calibri Light" w:hAnsi="Calibri Light"/>
          <w:color w:val="595959" w:themeColor="text1" w:themeTint="A6"/>
          <w:sz w:val="16"/>
          <w:szCs w:val="16"/>
        </w:rPr>
        <w:tab/>
        <w:t>2015.gada novembrī noslēdzās pirmais reformas posms, kas bija vērsts uz sadarbības mehānismu attīstību un metodoloģiju izstrādi, kā arī ekonomikas nozaru vajadzību izpēti. Šajā posmā tika veikti vispusīgi pētījumi par 14 tautsaimniecības nozarēm, izveidotas 12 nozaru ekspertu padomes, izstrādāti vai uzlaboti 61 profesijas standarti un 19 kvalifikācijas prasības (kopā 80), izstrādātas 56 modulārās profesionālās izglītības programmas un kvalifikācijas eksāmenu saturs 32 profesionālajām kvalifikācijām.</w:t>
      </w:r>
    </w:p>
  </w:footnote>
  <w:footnote w:id="13">
    <w:p w:rsidR="00A7588E" w:rsidRPr="001519E3" w:rsidP="001519E3" w14:paraId="6E1DA2A9" w14:textId="77777777">
      <w:pPr>
        <w:pStyle w:val="FootnoteText"/>
        <w:spacing w:after="0"/>
        <w:ind w:left="142" w:hanging="142"/>
        <w:rPr>
          <w:sz w:val="16"/>
          <w:szCs w:val="16"/>
        </w:rPr>
      </w:pPr>
      <w:r w:rsidRPr="001519E3">
        <w:rPr>
          <w:rFonts w:ascii="Calibri Light" w:hAnsi="Calibri Light"/>
          <w:color w:val="595959" w:themeColor="text1" w:themeTint="A6"/>
          <w:sz w:val="16"/>
          <w:szCs w:val="16"/>
          <w:vertAlign w:val="superscript"/>
        </w:rPr>
        <w:footnoteRef/>
      </w:r>
      <w:r w:rsidRPr="001519E3">
        <w:rPr>
          <w:rFonts w:ascii="Calibri Light" w:hAnsi="Calibri Light"/>
          <w:color w:val="595959" w:themeColor="text1" w:themeTint="A6"/>
          <w:sz w:val="16"/>
          <w:szCs w:val="16"/>
          <w:vertAlign w:val="superscript"/>
        </w:rPr>
        <w:t xml:space="preserve"> </w:t>
      </w:r>
      <w:r w:rsidRPr="001519E3">
        <w:rPr>
          <w:rFonts w:ascii="Calibri Light" w:hAnsi="Calibri Light"/>
          <w:color w:val="595959" w:themeColor="text1" w:themeTint="A6"/>
          <w:sz w:val="16"/>
          <w:szCs w:val="16"/>
        </w:rPr>
        <w:t>Projektu īsteno Valsts izglītības satura centrs sadarbībā ar LBAS, LDDK, Lauksaimnieku organizāciju sadarbības padomi un Izglītības kvalitātes valsts dienestu.</w:t>
      </w:r>
    </w:p>
  </w:footnote>
  <w:footnote w:id="14">
    <w:p w:rsidR="00A7588E" w:rsidRPr="001519E3" w:rsidP="001519E3" w14:paraId="01F62522" w14:textId="77777777">
      <w:pPr>
        <w:pStyle w:val="FootnoteText"/>
        <w:keepLines/>
        <w:spacing w:after="0"/>
        <w:ind w:left="142" w:hanging="142"/>
        <w:rPr>
          <w:rFonts w:ascii="Calibri Light" w:hAnsi="Calibri Light"/>
          <w:color w:val="595959" w:themeColor="text1" w:themeTint="A6"/>
          <w:sz w:val="16"/>
          <w:szCs w:val="16"/>
        </w:rPr>
      </w:pPr>
      <w:r w:rsidRPr="001519E3">
        <w:rPr>
          <w:rStyle w:val="FootnoteReference"/>
          <w:rFonts w:ascii="Calibri Light" w:hAnsi="Calibri Light"/>
          <w:color w:val="595959" w:themeColor="text1" w:themeTint="A6"/>
          <w:sz w:val="16"/>
          <w:szCs w:val="16"/>
        </w:rPr>
        <w:footnoteRef/>
      </w:r>
      <w:r w:rsidRPr="001519E3">
        <w:rPr>
          <w:rFonts w:ascii="Calibri Light" w:hAnsi="Calibri Light"/>
          <w:color w:val="595959" w:themeColor="text1" w:themeTint="A6"/>
          <w:sz w:val="16"/>
          <w:szCs w:val="16"/>
        </w:rPr>
        <w:t xml:space="preserve"> </w:t>
      </w:r>
      <w:r w:rsidRPr="001519E3">
        <w:rPr>
          <w:rFonts w:ascii="Calibri Light" w:hAnsi="Calibri Light"/>
          <w:color w:val="595959" w:themeColor="text1" w:themeTint="A6"/>
          <w:sz w:val="16"/>
          <w:szCs w:val="16"/>
        </w:rPr>
        <w:tab/>
        <w:t xml:space="preserve">Kopā ar iepriekšējā </w:t>
      </w:r>
      <w:r w:rsidRPr="001519E3">
        <w:rPr>
          <w:rFonts w:ascii="Calibri Light" w:hAnsi="Calibri Light"/>
          <w:iCs/>
          <w:color w:val="595959" w:themeColor="text1" w:themeTint="A6"/>
          <w:sz w:val="16"/>
          <w:szCs w:val="16"/>
        </w:rPr>
        <w:t>ES fondu</w:t>
      </w:r>
      <w:r w:rsidRPr="001519E3">
        <w:rPr>
          <w:rFonts w:ascii="Calibri Light" w:hAnsi="Calibri Light"/>
          <w:color w:val="595959" w:themeColor="text1" w:themeTint="A6"/>
          <w:sz w:val="16"/>
          <w:szCs w:val="16"/>
        </w:rPr>
        <w:t xml:space="preserve"> plānošanas periodā izstrādātajiem un saskaņotajiem profesiju standartiem un profesionālās kvalifikācijas prasībām.</w:t>
      </w:r>
    </w:p>
  </w:footnote>
  <w:footnote w:id="15">
    <w:p w:rsidR="00A7588E" w:rsidRPr="00215698" w:rsidP="00215698" w14:paraId="5AFB4704"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t xml:space="preserve">Konceptuālais ziņojums </w:t>
      </w:r>
      <w:r w:rsidRPr="003929A6">
        <w:rPr>
          <w:rFonts w:ascii="Calibri Light" w:hAnsi="Calibri Light"/>
          <w:i/>
          <w:color w:val="595959" w:themeColor="text1" w:themeTint="A6"/>
          <w:sz w:val="16"/>
          <w:szCs w:val="16"/>
        </w:rPr>
        <w:t>“Par veselības aprūpes sistēmas reformu”</w:t>
      </w:r>
      <w:r w:rsidRPr="00215698">
        <w:rPr>
          <w:rFonts w:ascii="Calibri Light" w:hAnsi="Calibri Light"/>
          <w:color w:val="595959" w:themeColor="text1" w:themeTint="A6"/>
          <w:sz w:val="16"/>
          <w:szCs w:val="16"/>
        </w:rPr>
        <w:t xml:space="preserve"> pieņemts 25.07.2017. MK sēdē (prot. Nr.37, 34.§).</w:t>
      </w:r>
    </w:p>
  </w:footnote>
  <w:footnote w:id="16">
    <w:p w:rsidR="00A7588E" w:rsidRPr="001519E3" w:rsidP="002F12F9" w14:paraId="74E05119" w14:textId="77777777">
      <w:pPr>
        <w:pStyle w:val="FootnoteText"/>
        <w:spacing w:after="0"/>
        <w:ind w:left="142" w:hanging="142"/>
        <w:rPr>
          <w:sz w:val="16"/>
          <w:szCs w:val="16"/>
        </w:rPr>
      </w:pPr>
      <w:r w:rsidRPr="002F12F9">
        <w:rPr>
          <w:rFonts w:ascii="Calibri Light" w:hAnsi="Calibri Light"/>
          <w:color w:val="595959" w:themeColor="text1" w:themeTint="A6"/>
          <w:sz w:val="16"/>
          <w:szCs w:val="16"/>
          <w:vertAlign w:val="superscript"/>
        </w:rPr>
        <w:footnoteRef/>
      </w:r>
      <w:r w:rsidRPr="002F12F9">
        <w:t xml:space="preserve"> </w:t>
      </w:r>
      <w:r w:rsidRPr="001519E3">
        <w:rPr>
          <w:rFonts w:ascii="Calibri Light" w:hAnsi="Calibri Light"/>
          <w:color w:val="595959" w:themeColor="text1" w:themeTint="A6"/>
          <w:sz w:val="16"/>
          <w:szCs w:val="16"/>
        </w:rPr>
        <w:t xml:space="preserve">Konceptuālā ziņojuma </w:t>
      </w:r>
      <w:r w:rsidRPr="001519E3">
        <w:rPr>
          <w:rFonts w:ascii="Calibri Light" w:hAnsi="Calibri Light"/>
          <w:i/>
          <w:color w:val="595959" w:themeColor="text1" w:themeTint="A6"/>
          <w:sz w:val="16"/>
          <w:szCs w:val="16"/>
        </w:rPr>
        <w:t>“Par veselības aprūpes sistēmas reformu”</w:t>
      </w:r>
      <w:r w:rsidRPr="001519E3">
        <w:rPr>
          <w:rFonts w:ascii="Calibri Light" w:hAnsi="Calibri Light"/>
          <w:color w:val="595959" w:themeColor="text1" w:themeTint="A6"/>
          <w:sz w:val="16"/>
          <w:szCs w:val="16"/>
        </w:rPr>
        <w:t xml:space="preserve"> 280. un 295.punkts.</w:t>
      </w:r>
    </w:p>
  </w:footnote>
  <w:footnote w:id="17">
    <w:p w:rsidR="00A7588E" w:rsidRPr="00215698" w:rsidP="00215698" w14:paraId="5C942B75"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t xml:space="preserve">27.07.2017. grozījumi likumā </w:t>
      </w:r>
      <w:r w:rsidRPr="003929A6">
        <w:rPr>
          <w:rFonts w:ascii="Calibri Light" w:hAnsi="Calibri Light"/>
          <w:i/>
          <w:color w:val="595959" w:themeColor="text1" w:themeTint="A6"/>
          <w:sz w:val="16"/>
          <w:szCs w:val="16"/>
        </w:rPr>
        <w:t>“Par valsts sociālo apdrošināšanu”</w:t>
      </w:r>
      <w:r w:rsidRPr="00215698">
        <w:rPr>
          <w:rFonts w:ascii="Calibri Light" w:hAnsi="Calibri Light"/>
          <w:color w:val="595959" w:themeColor="text1" w:themeTint="A6"/>
          <w:sz w:val="16"/>
          <w:szCs w:val="16"/>
        </w:rPr>
        <w:t>.</w:t>
      </w:r>
    </w:p>
  </w:footnote>
  <w:footnote w:id="18">
    <w:p w:rsidR="00A7588E" w:rsidRPr="00215698" w:rsidP="00215698" w14:paraId="3B541F9D"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3929A6">
        <w:rPr>
          <w:rFonts w:ascii="Calibri Light" w:hAnsi="Calibri Light"/>
          <w:i/>
          <w:color w:val="595959" w:themeColor="text1" w:themeTint="A6"/>
          <w:sz w:val="16"/>
          <w:szCs w:val="16"/>
        </w:rPr>
        <w:tab/>
        <w:t>Veselības aprūpes finansēšanas likums</w:t>
      </w:r>
      <w:r w:rsidRPr="00215698">
        <w:rPr>
          <w:rFonts w:ascii="Calibri Light" w:hAnsi="Calibri Light"/>
          <w:color w:val="595959" w:themeColor="text1" w:themeTint="A6"/>
          <w:sz w:val="16"/>
          <w:szCs w:val="16"/>
        </w:rPr>
        <w:t xml:space="preserve"> atbalstīts 26.09.2017. MK sēdē (prot.Nr.48, 36.§) un pieņemts 14.12.2017.</w:t>
      </w:r>
    </w:p>
  </w:footnote>
  <w:footnote w:id="19">
    <w:p w:rsidR="00A7588E" w:rsidRPr="00215698" w:rsidP="00215698" w14:paraId="254DAA65"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t>Ministru kabineta 20.12.2016. noteikumi Nr. 870 “Noteikumi par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pirmo un otro kārtu”.</w:t>
      </w:r>
    </w:p>
  </w:footnote>
  <w:footnote w:id="20">
    <w:p w:rsidR="00A7588E" w:rsidRPr="00215698" w:rsidP="00215698" w14:paraId="2F8EAECC"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2014.gadā, pirmo reizi kopš 2009.gada, sociālās apdrošināšanas budžeta ieņēmumi pārsniedza izdevumus, un gads noslēdzās ar pozitīvu bilanci: +100,4 milj. EUR. 2015.gada finansiālā bilance bija: +91,1 milj. EUR, 2016.gada finansiālā bilance bija: +47,8 milj. EUR. 2017.gada finansiālā bilance bija +113,8 milj. EUR.</w:t>
      </w:r>
    </w:p>
  </w:footnote>
  <w:footnote w:id="21">
    <w:p w:rsidR="00A7588E" w:rsidRPr="00215698" w:rsidP="00215698" w14:paraId="0FD4943D"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Pensionēšanās vecuma paaugstināšana līdz 65 gadiem līdz 2025.gadam; </w:t>
      </w:r>
      <w:r w:rsidRPr="00215698">
        <w:rPr>
          <w:rFonts w:ascii="Calibri Light" w:hAnsi="Calibri Light"/>
          <w:color w:val="595959" w:themeColor="text1" w:themeTint="A6"/>
          <w:sz w:val="16"/>
          <w:szCs w:val="16"/>
          <w:lang w:eastAsia="lv-LV"/>
        </w:rPr>
        <w:t xml:space="preserve">minimālā apdrošināšanas iemaksu stāža, kas ļauj kvalificēties vecuma pensijas saņemšanai, paaugstināšana no 10 uz 15 gadiem, un, sākot ar 2025.gadu, no 15 uz 20 gadiem; </w:t>
      </w:r>
      <w:r w:rsidRPr="00215698">
        <w:rPr>
          <w:rFonts w:ascii="Calibri Light" w:hAnsi="Calibri Light"/>
          <w:color w:val="595959" w:themeColor="text1" w:themeTint="A6"/>
          <w:sz w:val="16"/>
          <w:szCs w:val="16"/>
        </w:rPr>
        <w:t>piemaksu pie vecuma un invaliditātes pensijām finansēšana no valsts pamatbudžeta; sociālo iemaksu griestu atjaunošana.</w:t>
      </w:r>
    </w:p>
  </w:footnote>
  <w:footnote w:id="22">
    <w:p w:rsidR="00A7588E" w:rsidRPr="00215698" w:rsidP="00215698" w14:paraId="6947B09D"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215698">
        <w:rPr>
          <w:rFonts w:ascii="Calibri Light" w:eastAsia="Times New Roman" w:hAnsi="Calibri Light"/>
          <w:color w:val="595959" w:themeColor="text1" w:themeTint="A6"/>
          <w:sz w:val="16"/>
          <w:szCs w:val="16"/>
        </w:rPr>
        <w:t xml:space="preserve">Jāatzīmē, ka līdz 2016.gada 31.decembrim </w:t>
      </w:r>
      <w:r w:rsidRPr="00215698">
        <w:rPr>
          <w:rFonts w:ascii="Calibri Light" w:eastAsia="Times New Roman" w:hAnsi="Calibri Light"/>
          <w:color w:val="595959" w:themeColor="text1" w:themeTint="A6"/>
          <w:sz w:val="16"/>
          <w:szCs w:val="16"/>
        </w:rPr>
        <w:t>mikrouzņēmuma</w:t>
      </w:r>
      <w:r w:rsidRPr="00215698">
        <w:rPr>
          <w:rFonts w:ascii="Calibri Light" w:eastAsia="Times New Roman" w:hAnsi="Calibri Light"/>
          <w:color w:val="595959" w:themeColor="text1" w:themeTint="A6"/>
          <w:sz w:val="16"/>
          <w:szCs w:val="16"/>
        </w:rPr>
        <w:t xml:space="preserve"> nodokļa likme apgrozījumam līdz 100 000 EUR bija 9%, no kuriem 72,4% tika novirzīti valsts sociālās apdrošināšanas obligātajām iemaksām</w:t>
      </w:r>
      <w:r w:rsidRPr="00215698">
        <w:rPr>
          <w:rFonts w:ascii="Calibri Light" w:hAnsi="Calibri Light"/>
          <w:color w:val="595959" w:themeColor="text1" w:themeTint="A6"/>
          <w:sz w:val="16"/>
          <w:szCs w:val="16"/>
        </w:rPr>
        <w:t>.</w:t>
      </w:r>
    </w:p>
  </w:footnote>
  <w:footnote w:id="23">
    <w:p w:rsidR="00A7588E" w:rsidRPr="00215698" w:rsidP="00215698" w14:paraId="7E4F69AC"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Eiropas Parlamenta un Padomes Regula (ES) Nr. 575/2013 (2013.gada 26. jūnijs)</w:t>
      </w:r>
      <w:r w:rsidRPr="00215698">
        <w:rPr>
          <w:rFonts w:ascii="Calibri Light" w:hAnsi="Calibri Light"/>
          <w:i/>
          <w:color w:val="595959" w:themeColor="text1" w:themeTint="A6"/>
          <w:sz w:val="16"/>
          <w:szCs w:val="16"/>
        </w:rPr>
        <w:t xml:space="preserve"> par </w:t>
      </w:r>
      <w:r w:rsidRPr="00215698">
        <w:rPr>
          <w:rFonts w:ascii="Calibri Light" w:hAnsi="Calibri Light"/>
          <w:i/>
          <w:color w:val="595959" w:themeColor="text1" w:themeTint="A6"/>
          <w:sz w:val="16"/>
          <w:szCs w:val="16"/>
        </w:rPr>
        <w:t>prudenciālajām</w:t>
      </w:r>
      <w:r w:rsidRPr="00215698">
        <w:rPr>
          <w:rFonts w:ascii="Calibri Light" w:hAnsi="Calibri Light"/>
          <w:i/>
          <w:color w:val="595959" w:themeColor="text1" w:themeTint="A6"/>
          <w:sz w:val="16"/>
          <w:szCs w:val="16"/>
        </w:rPr>
        <w:t xml:space="preserve"> prasībām attiecībā uz kredītiestādēm un ieguldījumu brokeru sabiedrībām, ar ko groza Regulu (ES) Nr. 648/2012, kas ievieš ES likumdošanā starptautisko banku uzraudzības standartu </w:t>
      </w:r>
      <w:r w:rsidRPr="00215698">
        <w:rPr>
          <w:rFonts w:ascii="Calibri Light" w:hAnsi="Calibri Light"/>
          <w:i/>
          <w:color w:val="595959" w:themeColor="text1" w:themeTint="A6"/>
          <w:sz w:val="16"/>
          <w:szCs w:val="16"/>
        </w:rPr>
        <w:t>Basel</w:t>
      </w:r>
      <w:r w:rsidRPr="00215698">
        <w:rPr>
          <w:rFonts w:ascii="Calibri Light" w:hAnsi="Calibri Light"/>
          <w:i/>
          <w:color w:val="595959" w:themeColor="text1" w:themeTint="A6"/>
          <w:sz w:val="16"/>
          <w:szCs w:val="16"/>
        </w:rPr>
        <w:t xml:space="preserve"> 3</w:t>
      </w:r>
      <w:r w:rsidRPr="00215698">
        <w:rPr>
          <w:rFonts w:ascii="Calibri Light" w:hAnsi="Calibri Light"/>
          <w:color w:val="595959" w:themeColor="text1" w:themeTint="A6"/>
          <w:sz w:val="16"/>
          <w:szCs w:val="16"/>
        </w:rPr>
        <w:t>.</w:t>
      </w:r>
    </w:p>
  </w:footnote>
  <w:footnote w:id="24">
    <w:p w:rsidR="00A7588E" w:rsidP="001519E3" w14:paraId="4795E83D" w14:textId="77777777">
      <w:pPr>
        <w:pStyle w:val="FootnoteText"/>
        <w:ind w:left="142" w:hanging="142"/>
      </w:pPr>
      <w:r w:rsidRPr="00AF628D">
        <w:rPr>
          <w:rStyle w:val="FootnoteReference"/>
          <w:rFonts w:ascii="Calibri Light" w:hAnsi="Calibri Light"/>
          <w:sz w:val="16"/>
          <w:szCs w:val="16"/>
        </w:rPr>
        <w:footnoteRef/>
      </w:r>
      <w:r>
        <w:t xml:space="preserve"> </w:t>
      </w:r>
      <w:r w:rsidRPr="00AF628D">
        <w:rPr>
          <w:rFonts w:ascii="Calibri Light" w:hAnsi="Calibri Light"/>
          <w:i/>
          <w:color w:val="595959" w:themeColor="text1" w:themeTint="A6"/>
          <w:sz w:val="16"/>
          <w:szCs w:val="16"/>
        </w:rPr>
        <w:t>Eiropas Parlamenta un Padomes Direktīva (ES) 2015/849 (2015. gada 20. maijs) par to, lai nepieļautu finanšu sistēmas izmantošanu nelikumīgi iegūtu līdzekļu legalizēšanai vai teroristu finansēšanai, un ar ko groza Eiropas Parlamenta un Padomes Regulu (ES) Nr. 684/2012 un atceļ Eiropas Parlamenta un Padomes Direktīvu 2005/60/EK un Komisijas Direktīvu 2006/70/</w:t>
      </w:r>
      <w:r w:rsidRPr="00AF628D">
        <w:rPr>
          <w:rFonts w:ascii="Calibri Light" w:hAnsi="Calibri Light"/>
          <w:bCs/>
          <w:i/>
          <w:color w:val="595959" w:themeColor="text1" w:themeTint="A6"/>
          <w:sz w:val="16"/>
          <w:szCs w:val="16"/>
        </w:rPr>
        <w:t>EK</w:t>
      </w:r>
      <w:r>
        <w:rPr>
          <w:rFonts w:ascii="Calibri Light" w:hAnsi="Calibri Light"/>
          <w:bCs/>
          <w:i/>
          <w:color w:val="595959" w:themeColor="text1" w:themeTint="A6"/>
          <w:sz w:val="16"/>
          <w:szCs w:val="16"/>
        </w:rPr>
        <w:t>.</w:t>
      </w:r>
    </w:p>
  </w:footnote>
  <w:footnote w:id="25">
    <w:p w:rsidR="00A7588E" w:rsidRPr="00215698" w:rsidP="00215698" w14:paraId="5CFB56A2"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MK noteikumi Nr. 399 </w:t>
      </w:r>
      <w:r w:rsidRPr="00215698">
        <w:rPr>
          <w:rFonts w:ascii="Calibri Light" w:hAnsi="Calibri Light"/>
          <w:i/>
          <w:color w:val="595959" w:themeColor="text1" w:themeTint="A6"/>
          <w:sz w:val="16"/>
          <w:szCs w:val="16"/>
        </w:rPr>
        <w:t>“Valsts pārvaldes pakalpojumu uzskaites, kvalitātes kontroles un sniegšanas kārtība”</w:t>
      </w:r>
      <w:r w:rsidRPr="00215698">
        <w:rPr>
          <w:rFonts w:ascii="Calibri Light" w:hAnsi="Calibri Light"/>
          <w:color w:val="595959" w:themeColor="text1" w:themeTint="A6"/>
          <w:sz w:val="16"/>
          <w:szCs w:val="16"/>
        </w:rPr>
        <w:t xml:space="preserve">, MK noteikumi Nr. 400 </w:t>
      </w:r>
      <w:r w:rsidRPr="00215698">
        <w:rPr>
          <w:rFonts w:ascii="Calibri Light" w:hAnsi="Calibri Light"/>
          <w:i/>
          <w:color w:val="595959" w:themeColor="text1" w:themeTint="A6"/>
          <w:sz w:val="16"/>
          <w:szCs w:val="16"/>
        </w:rPr>
        <w:t>“Valsts pārvaldes pakalpojumu portāla noteikumi”</w:t>
      </w:r>
      <w:r w:rsidRPr="00215698">
        <w:rPr>
          <w:rFonts w:ascii="Calibri Light" w:hAnsi="Calibri Light"/>
          <w:color w:val="595959" w:themeColor="text1" w:themeTint="A6"/>
          <w:sz w:val="16"/>
          <w:szCs w:val="16"/>
        </w:rPr>
        <w:t xml:space="preserve">, MK noteikumi Nr. 401 </w:t>
      </w:r>
      <w:r w:rsidRPr="00215698">
        <w:rPr>
          <w:rFonts w:ascii="Calibri Light" w:hAnsi="Calibri Light"/>
          <w:i/>
          <w:color w:val="595959" w:themeColor="text1" w:themeTint="A6"/>
          <w:sz w:val="16"/>
          <w:szCs w:val="16"/>
        </w:rPr>
        <w:t>“Noteikumi par valsts pārvaldes vienoto klientu apkalpošanas centru veidiem, sniegto pakalpojumu apjomu un pakalpojumu sniegšanas kārtību”</w:t>
      </w:r>
      <w:r w:rsidRPr="00215698">
        <w:rPr>
          <w:rFonts w:ascii="Calibri Light" w:hAnsi="Calibri Light"/>
          <w:color w:val="595959" w:themeColor="text1" w:themeTint="A6"/>
          <w:sz w:val="16"/>
          <w:szCs w:val="16"/>
        </w:rPr>
        <w:t xml:space="preserve"> un MK noteikumi Nr. 402 </w:t>
      </w:r>
      <w:r w:rsidRPr="00215698">
        <w:rPr>
          <w:rFonts w:ascii="Calibri Light" w:hAnsi="Calibri Light"/>
          <w:i/>
          <w:color w:val="595959" w:themeColor="text1" w:themeTint="A6"/>
          <w:sz w:val="16"/>
          <w:szCs w:val="16"/>
        </w:rPr>
        <w:t>“Valsts pārvaldes e-pakalpojumu noteikumi”</w:t>
      </w:r>
      <w:r w:rsidRPr="00215698">
        <w:rPr>
          <w:rFonts w:ascii="Calibri Light" w:hAnsi="Calibri Light"/>
          <w:color w:val="595959" w:themeColor="text1" w:themeTint="A6"/>
          <w:sz w:val="16"/>
          <w:szCs w:val="16"/>
        </w:rPr>
        <w:t>.</w:t>
      </w:r>
    </w:p>
  </w:footnote>
  <w:footnote w:id="26">
    <w:p w:rsidR="00A7588E" w:rsidRPr="00215698" w:rsidP="00CB7E3B" w14:paraId="313762F6" w14:textId="77777777">
      <w:pPr>
        <w:pStyle w:val="FootnoteText"/>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215698">
        <w:rPr>
          <w:rFonts w:ascii="Calibri Light" w:hAnsi="Calibri Light"/>
          <w:i/>
          <w:color w:val="595959" w:themeColor="text1" w:themeTint="A6"/>
          <w:sz w:val="16"/>
          <w:szCs w:val="16"/>
        </w:rPr>
        <w:t xml:space="preserve">Eiropas Parlamenta un Padomes 2015.gada 6.oktobra direktīva (ES) 2015/1794, ar kuru attiecībā uz jūrniekiem groza Eiropas Parlamenta un Padomes Direktīvas 2008/94/EK, 2009/38/EK un 2012/14/EK un Padomes Direktīvas 98/59/EK un 2001/23/EK, Eiropas Parlamenta un Padomes 2014.gada 16.aprīļa direktīvas 2014/54/ES par pasākumiem, ar ko veicina darba ņēmējiem piešķirto tiesību īstenošanu darba ņēmēju pārvietošanās brīvības jomā, Eiropas Parlamenta un Padomes 2016.gada 11.maija direktīvas (ES) 2016/801 par nosacījumiem attiecībā uz trešo valstu </w:t>
      </w:r>
      <w:r w:rsidRPr="00215698">
        <w:rPr>
          <w:rFonts w:ascii="Calibri Light" w:hAnsi="Calibri Light"/>
          <w:i/>
          <w:color w:val="595959" w:themeColor="text1" w:themeTint="A6"/>
          <w:sz w:val="16"/>
          <w:szCs w:val="16"/>
        </w:rPr>
        <w:t>valstspiederīgo</w:t>
      </w:r>
      <w:r w:rsidRPr="00215698">
        <w:rPr>
          <w:rFonts w:ascii="Calibri Light" w:hAnsi="Calibri Light"/>
          <w:i/>
          <w:color w:val="595959" w:themeColor="text1" w:themeTint="A6"/>
          <w:sz w:val="16"/>
          <w:szCs w:val="16"/>
        </w:rPr>
        <w:t xml:space="preserve"> ieceļošanu un uzturēšanos pētniecības, studiju, stažēšanās, brīvprātīgā darba, skolēnu apmaiņas programmu vai izglītības projektu un </w:t>
      </w:r>
      <w:r w:rsidRPr="00215698">
        <w:rPr>
          <w:rFonts w:ascii="Calibri Light" w:hAnsi="Calibri Light"/>
          <w:i/>
          <w:color w:val="595959" w:themeColor="text1" w:themeTint="A6"/>
          <w:sz w:val="16"/>
          <w:szCs w:val="16"/>
        </w:rPr>
        <w:t>viesaukles</w:t>
      </w:r>
      <w:r w:rsidRPr="00215698">
        <w:rPr>
          <w:rFonts w:ascii="Calibri Light" w:hAnsi="Calibri Light"/>
          <w:i/>
          <w:color w:val="595959" w:themeColor="text1" w:themeTint="A6"/>
          <w:sz w:val="16"/>
          <w:szCs w:val="16"/>
        </w:rPr>
        <w:t xml:space="preserve"> darba nolūkā</w:t>
      </w:r>
      <w:r w:rsidRPr="00215698">
        <w:rPr>
          <w:rFonts w:ascii="Calibri Light" w:hAnsi="Calibri Light"/>
          <w:color w:val="595959" w:themeColor="text1" w:themeTint="A6"/>
          <w:sz w:val="16"/>
          <w:szCs w:val="16"/>
        </w:rPr>
        <w:t>.</w:t>
      </w:r>
    </w:p>
  </w:footnote>
  <w:footnote w:id="27">
    <w:p w:rsidR="00A7588E" w:rsidRPr="00215698" w:rsidP="00CB7E3B" w14:paraId="34DC569A" w14:textId="77777777">
      <w:pPr>
        <w:pStyle w:val="FootnoteText"/>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215698">
        <w:rPr>
          <w:rFonts w:ascii="Calibri Light" w:eastAsia="Times New Roman" w:hAnsi="Calibri Light"/>
          <w:color w:val="595959" w:themeColor="text1" w:themeTint="A6"/>
          <w:sz w:val="16"/>
          <w:szCs w:val="16"/>
          <w:lang w:eastAsia="lv-LV"/>
        </w:rPr>
        <w:t xml:space="preserve">MK 2016.gada 1.marta noteikumi Nr.127 </w:t>
      </w:r>
      <w:r w:rsidRPr="00215698">
        <w:rPr>
          <w:rFonts w:ascii="Calibri Light" w:eastAsia="Times New Roman" w:hAnsi="Calibri Light"/>
          <w:i/>
          <w:color w:val="595959" w:themeColor="text1" w:themeTint="A6"/>
          <w:sz w:val="16"/>
          <w:szCs w:val="16"/>
          <w:lang w:eastAsia="lv-LV"/>
        </w:rPr>
        <w:t>„Darbības programmas „Izaugsme un nodarbinātība" 7.3.1. specifiskā atbalsta mērķa „Uzlabot darba drošību, it īpaši bīstamo nozaru uzņēmumos” īstenošanas noteikumi”</w:t>
      </w:r>
      <w:r w:rsidRPr="00215698">
        <w:rPr>
          <w:rFonts w:ascii="Calibri Light" w:eastAsia="Times New Roman" w:hAnsi="Calibri Light"/>
          <w:color w:val="595959" w:themeColor="text1" w:themeTint="A6"/>
          <w:sz w:val="16"/>
          <w:szCs w:val="16"/>
          <w:lang w:eastAsia="lv-LV"/>
        </w:rPr>
        <w:t>.</w:t>
      </w:r>
    </w:p>
  </w:footnote>
  <w:footnote w:id="28">
    <w:p w:rsidR="00A7588E" w:rsidRPr="00215698" w:rsidP="00215698" w14:paraId="03F3269E"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Saskaņā ar 2016.gada 5.janvāra MK noteikumiem Nr. 20 </w:t>
      </w:r>
      <w:r w:rsidRPr="00215698">
        <w:rPr>
          <w:rFonts w:ascii="Calibri Light" w:hAnsi="Calibri Light"/>
          <w:i/>
          <w:color w:val="595959" w:themeColor="text1" w:themeTint="A6"/>
          <w:sz w:val="16"/>
          <w:szCs w:val="16"/>
        </w:rPr>
        <w:t>“Kārtība, kādā finanšu iestāde izpilda finanšu kontu pienācīgas pārbaudes procedūras un sniedz Valsts ieņēmumu dienestam informāciju par finanšu kontiem”</w:t>
      </w:r>
    </w:p>
  </w:footnote>
  <w:footnote w:id="29">
    <w:p w:rsidR="00A7588E" w:rsidRPr="00215698" w:rsidP="00215698" w14:paraId="221D389E"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215698">
        <w:rPr>
          <w:rFonts w:ascii="Calibri Light" w:hAnsi="Calibri Light"/>
          <w:i/>
          <w:color w:val="595959" w:themeColor="text1" w:themeTint="A6"/>
          <w:sz w:val="16"/>
          <w:szCs w:val="16"/>
        </w:rPr>
        <w:t xml:space="preserve">Grozījumi Noziedzīgi iegūtu līdzekļu legalizācijas un terorisma finansēšanas novēršanas likumā, Noziedzīgi iegūtas mantas konfiskācijas izpildes likums, </w:t>
      </w:r>
      <w:r w:rsidRPr="00215698">
        <w:rPr>
          <w:rFonts w:ascii="Calibri Light" w:hAnsi="Calibri Light"/>
          <w:bCs/>
          <w:i/>
          <w:color w:val="595959" w:themeColor="text1" w:themeTint="A6"/>
          <w:sz w:val="16"/>
          <w:szCs w:val="16"/>
        </w:rPr>
        <w:t>Grozījumi Kriminālprocesa likumā</w:t>
      </w:r>
      <w:r w:rsidRPr="00215698">
        <w:rPr>
          <w:rFonts w:ascii="Calibri Light" w:hAnsi="Calibri Light"/>
          <w:i/>
          <w:iCs/>
          <w:color w:val="595959" w:themeColor="text1" w:themeTint="A6"/>
          <w:sz w:val="16"/>
          <w:szCs w:val="16"/>
        </w:rPr>
        <w:t>, Grozījumi Krimināllikumā</w:t>
      </w:r>
      <w:r w:rsidRPr="00215698">
        <w:rPr>
          <w:rFonts w:ascii="Calibri Light" w:hAnsi="Calibri Light"/>
          <w:iCs/>
          <w:color w:val="595959" w:themeColor="text1" w:themeTint="A6"/>
          <w:sz w:val="16"/>
          <w:szCs w:val="16"/>
        </w:rPr>
        <w:t>.</w:t>
      </w:r>
    </w:p>
  </w:footnote>
  <w:footnote w:id="30">
    <w:p w:rsidR="00A7588E" w:rsidRPr="00215698" w:rsidP="00215698" w14:paraId="5611C83C"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MK 2013.gada 12.novembra noteikumi Nr. 1316 </w:t>
      </w:r>
      <w:r w:rsidRPr="00215698">
        <w:rPr>
          <w:rFonts w:ascii="Calibri Light" w:hAnsi="Calibri Light"/>
          <w:i/>
          <w:color w:val="595959" w:themeColor="text1" w:themeTint="A6"/>
          <w:sz w:val="16"/>
          <w:szCs w:val="16"/>
        </w:rPr>
        <w:t>“Kārtība, kādā aprēķina un piešķir bāzes finansējumu zinātniskajām institūcijām”</w:t>
      </w:r>
      <w:r w:rsidRPr="00215698">
        <w:rPr>
          <w:rFonts w:ascii="Calibri Light" w:hAnsi="Calibri Light"/>
          <w:color w:val="595959" w:themeColor="text1" w:themeTint="A6"/>
          <w:sz w:val="16"/>
          <w:szCs w:val="16"/>
        </w:rPr>
        <w:t>.</w:t>
      </w:r>
    </w:p>
  </w:footnote>
  <w:footnote w:id="31">
    <w:p w:rsidR="00A7588E" w:rsidRPr="00E776A7" w14:paraId="033B808A" w14:textId="48A7DCEC">
      <w:pPr>
        <w:pStyle w:val="FootnoteText"/>
        <w:rPr>
          <w:rFonts w:ascii="Calibri Light" w:hAnsi="Calibri Light"/>
          <w:color w:val="595959" w:themeColor="text1" w:themeTint="A6"/>
          <w:sz w:val="16"/>
          <w:szCs w:val="16"/>
        </w:rPr>
      </w:pPr>
      <w:r w:rsidRPr="00E776A7">
        <w:rPr>
          <w:rStyle w:val="FootnoteReference"/>
          <w:rFonts w:ascii="Calibri Light" w:hAnsi="Calibri Light"/>
          <w:color w:val="595959" w:themeColor="text1" w:themeTint="A6"/>
          <w:sz w:val="16"/>
          <w:szCs w:val="16"/>
        </w:rPr>
        <w:footnoteRef/>
      </w:r>
      <w:r w:rsidRPr="00E776A7">
        <w:rPr>
          <w:rFonts w:ascii="Calibri Light" w:hAnsi="Calibri Light"/>
          <w:color w:val="595959" w:themeColor="text1" w:themeTint="A6"/>
          <w:sz w:val="16"/>
          <w:szCs w:val="16"/>
        </w:rPr>
        <w:t xml:space="preserve"> Pieņemtas 2013.gada </w:t>
      </w:r>
      <w:r>
        <w:rPr>
          <w:rFonts w:ascii="Calibri Light" w:hAnsi="Calibri Light"/>
          <w:color w:val="595959" w:themeColor="text1" w:themeTint="A6"/>
          <w:sz w:val="16"/>
          <w:szCs w:val="16"/>
        </w:rPr>
        <w:t>beigās</w:t>
      </w:r>
      <w:r w:rsidRPr="00E776A7">
        <w:rPr>
          <w:rFonts w:ascii="Calibri Light" w:hAnsi="Calibri Light"/>
          <w:color w:val="595959" w:themeColor="text1" w:themeTint="A6"/>
          <w:sz w:val="16"/>
          <w:szCs w:val="16"/>
        </w:rPr>
        <w:t>.</w:t>
      </w:r>
    </w:p>
  </w:footnote>
  <w:footnote w:id="32">
    <w:p w:rsidR="00A7588E" w:rsidRPr="00026DE0" w14:paraId="1CBEE056" w14:textId="77777777">
      <w:pPr>
        <w:pStyle w:val="FootnoteText"/>
        <w:rPr>
          <w:rFonts w:ascii="Calibri Light" w:hAnsi="Calibri Light"/>
          <w:sz w:val="16"/>
          <w:szCs w:val="16"/>
        </w:rPr>
      </w:pPr>
      <w:r w:rsidRPr="00026DE0">
        <w:rPr>
          <w:rStyle w:val="FootnoteReference"/>
          <w:rFonts w:ascii="Calibri Light" w:hAnsi="Calibri Light"/>
          <w:sz w:val="16"/>
          <w:szCs w:val="16"/>
        </w:rPr>
        <w:footnoteRef/>
      </w:r>
      <w:r w:rsidRPr="00026DE0">
        <w:rPr>
          <w:rFonts w:ascii="Calibri Light" w:hAnsi="Calibri Light"/>
          <w:sz w:val="16"/>
          <w:szCs w:val="16"/>
        </w:rPr>
        <w:t xml:space="preserve"> Pieņemtas MK 2013. gada oktobrī.</w:t>
      </w:r>
    </w:p>
  </w:footnote>
  <w:footnote w:id="33">
    <w:p w:rsidR="00A7588E" w:rsidRPr="00267C1A" w14:paraId="61B1118B" w14:textId="77777777">
      <w:pPr>
        <w:pStyle w:val="FootnoteText"/>
        <w:rPr>
          <w:rFonts w:ascii="Calibri Light" w:hAnsi="Calibri Light"/>
          <w:sz w:val="16"/>
          <w:szCs w:val="16"/>
        </w:rPr>
      </w:pPr>
      <w:r w:rsidRPr="00267C1A">
        <w:rPr>
          <w:rStyle w:val="FootnoteReference"/>
          <w:rFonts w:ascii="Calibri Light" w:hAnsi="Calibri Light"/>
          <w:sz w:val="16"/>
          <w:szCs w:val="16"/>
        </w:rPr>
        <w:footnoteRef/>
      </w:r>
      <w:r w:rsidRPr="00267C1A">
        <w:rPr>
          <w:rFonts w:ascii="Calibri Light" w:hAnsi="Calibri Light"/>
          <w:sz w:val="16"/>
          <w:szCs w:val="16"/>
        </w:rPr>
        <w:t xml:space="preserve"> </w:t>
      </w:r>
      <w:r w:rsidRPr="00267C1A">
        <w:rPr>
          <w:rFonts w:ascii="Calibri Light" w:hAnsi="Calibri Light"/>
          <w:i/>
          <w:sz w:val="16"/>
          <w:szCs w:val="16"/>
        </w:rPr>
        <w:t>Eiropas Parlamenta un Padomes regulas (ES) Nr.910/2014</w:t>
      </w:r>
      <w:r w:rsidRPr="00267C1A">
        <w:rPr>
          <w:rFonts w:ascii="Calibri Light" w:hAnsi="Calibri Light"/>
          <w:sz w:val="16"/>
          <w:szCs w:val="16"/>
        </w:rPr>
        <w:t xml:space="preserve"> </w:t>
      </w:r>
      <w:r w:rsidRPr="00267C1A">
        <w:rPr>
          <w:rFonts w:ascii="Calibri Light" w:hAnsi="Calibri Light"/>
          <w:i/>
          <w:sz w:val="16"/>
          <w:szCs w:val="16"/>
        </w:rPr>
        <w:t>par elektronisko identifikāciju un uzticamības pakalpojumiem elektronisko darījumu veikšanai iekšējā tirgū un ar ko atceļ Direktīvu 1999/93/EK</w:t>
      </w:r>
    </w:p>
  </w:footnote>
  <w:footnote w:id="34">
    <w:p w:rsidR="00A7588E" w:rsidRPr="00267C1A" w14:paraId="60FAEB38" w14:textId="77777777">
      <w:pPr>
        <w:pStyle w:val="FootnoteText"/>
        <w:rPr>
          <w:rFonts w:ascii="Calibri Light" w:hAnsi="Calibri Light"/>
          <w:sz w:val="16"/>
          <w:szCs w:val="16"/>
        </w:rPr>
      </w:pPr>
      <w:r w:rsidRPr="00267C1A">
        <w:rPr>
          <w:rStyle w:val="FootnoteReference"/>
          <w:rFonts w:ascii="Calibri Light" w:hAnsi="Calibri Light"/>
          <w:sz w:val="16"/>
          <w:szCs w:val="16"/>
        </w:rPr>
        <w:footnoteRef/>
      </w:r>
      <w:r w:rsidRPr="00267C1A">
        <w:rPr>
          <w:rFonts w:ascii="Calibri Light" w:hAnsi="Calibri Light"/>
          <w:sz w:val="16"/>
          <w:szCs w:val="16"/>
        </w:rPr>
        <w:t xml:space="preserve"> </w:t>
      </w:r>
      <w:r w:rsidRPr="00267C1A">
        <w:rPr>
          <w:rFonts w:ascii="Calibri Light" w:hAnsi="Calibri Light"/>
          <w:i/>
          <w:color w:val="000000" w:themeColor="text1"/>
          <w:sz w:val="16"/>
          <w:szCs w:val="16"/>
        </w:rPr>
        <w:t>Eiropas Parlamenta un Padomes direktīva (ES) 2016/1148</w:t>
      </w:r>
      <w:r w:rsidRPr="00267C1A">
        <w:rPr>
          <w:rFonts w:ascii="Calibri Light" w:hAnsi="Calibri Light"/>
          <w:color w:val="000000" w:themeColor="text1"/>
          <w:sz w:val="16"/>
          <w:szCs w:val="16"/>
        </w:rPr>
        <w:t xml:space="preserve"> (2016. gada 6. jūlijs) </w:t>
      </w:r>
      <w:r w:rsidRPr="00267C1A">
        <w:rPr>
          <w:rFonts w:ascii="Calibri Light" w:hAnsi="Calibri Light"/>
          <w:i/>
          <w:color w:val="000000" w:themeColor="text1"/>
          <w:sz w:val="16"/>
          <w:szCs w:val="16"/>
        </w:rPr>
        <w:t>par pasākumiem nolūkā panākt vienādi augsta līmeņa tīklu un informācijas sistēmu drošību visā Savienībā.</w:t>
      </w:r>
    </w:p>
  </w:footnote>
  <w:footnote w:id="35">
    <w:p w:rsidR="00A7588E" w:rsidRPr="00215698" w:rsidP="00215698" w14:paraId="151EA880" w14:textId="77777777">
      <w:pPr>
        <w:pStyle w:val="Normal1"/>
        <w:keepLines/>
        <w:ind w:left="142" w:hanging="142"/>
        <w:rPr>
          <w:rFonts w:ascii="Calibri Light" w:hAnsi="Calibri Light" w:cs="Times New Roman"/>
          <w:color w:val="595959" w:themeColor="text1" w:themeTint="A6"/>
          <w:sz w:val="16"/>
          <w:szCs w:val="16"/>
        </w:rPr>
      </w:pPr>
      <w:r w:rsidRPr="00215698">
        <w:rPr>
          <w:rFonts w:ascii="Calibri Light" w:hAnsi="Calibri Light" w:cs="Times New Roman"/>
          <w:color w:val="595959" w:themeColor="text1" w:themeTint="A6"/>
          <w:sz w:val="16"/>
          <w:szCs w:val="16"/>
          <w:vertAlign w:val="superscript"/>
        </w:rPr>
        <w:footnoteRef/>
      </w:r>
      <w:r w:rsidRPr="00215698">
        <w:rPr>
          <w:rFonts w:ascii="Calibri Light" w:eastAsia="Times New Roman" w:hAnsi="Calibri Light" w:cs="Times New Roman"/>
          <w:color w:val="595959" w:themeColor="text1" w:themeTint="A6"/>
          <w:sz w:val="16"/>
          <w:szCs w:val="16"/>
        </w:rPr>
        <w:tab/>
      </w:r>
      <w:r w:rsidRPr="00215698">
        <w:rPr>
          <w:rFonts w:ascii="Calibri Light" w:eastAsia="Times New Roman" w:hAnsi="Calibri Light" w:cs="Times New Roman"/>
          <w:i/>
          <w:color w:val="595959" w:themeColor="text1" w:themeTint="A6"/>
          <w:sz w:val="16"/>
          <w:szCs w:val="16"/>
        </w:rPr>
        <w:t>Governance</w:t>
      </w:r>
      <w:r w:rsidRPr="00215698">
        <w:rPr>
          <w:rFonts w:ascii="Calibri Light" w:eastAsia="Times New Roman" w:hAnsi="Calibri Light" w:cs="Times New Roman"/>
          <w:i/>
          <w:color w:val="595959" w:themeColor="text1" w:themeTint="A6"/>
          <w:sz w:val="16"/>
          <w:szCs w:val="16"/>
        </w:rPr>
        <w:t xml:space="preserve"> </w:t>
      </w:r>
      <w:r w:rsidRPr="00215698">
        <w:rPr>
          <w:rFonts w:ascii="Calibri Light" w:eastAsia="Times New Roman" w:hAnsi="Calibri Light" w:cs="Times New Roman"/>
          <w:i/>
          <w:color w:val="595959" w:themeColor="text1" w:themeTint="A6"/>
          <w:sz w:val="16"/>
          <w:szCs w:val="16"/>
        </w:rPr>
        <w:t>Research</w:t>
      </w:r>
      <w:r w:rsidRPr="00215698">
        <w:rPr>
          <w:rFonts w:ascii="Calibri Light" w:eastAsia="Times New Roman" w:hAnsi="Calibri Light" w:cs="Times New Roman"/>
          <w:i/>
          <w:color w:val="595959" w:themeColor="text1" w:themeTint="A6"/>
          <w:sz w:val="16"/>
          <w:szCs w:val="16"/>
        </w:rPr>
        <w:t xml:space="preserve"> </w:t>
      </w:r>
      <w:r w:rsidRPr="00215698">
        <w:rPr>
          <w:rFonts w:ascii="Calibri Light" w:eastAsia="Times New Roman" w:hAnsi="Calibri Light" w:cs="Times New Roman"/>
          <w:i/>
          <w:color w:val="595959" w:themeColor="text1" w:themeTint="A6"/>
          <w:sz w:val="16"/>
          <w:szCs w:val="16"/>
        </w:rPr>
        <w:t>Indicator</w:t>
      </w:r>
      <w:r w:rsidRPr="00215698">
        <w:rPr>
          <w:rFonts w:ascii="Calibri Light" w:eastAsia="Times New Roman" w:hAnsi="Calibri Light" w:cs="Times New Roman"/>
          <w:i/>
          <w:color w:val="595959" w:themeColor="text1" w:themeTint="A6"/>
          <w:sz w:val="16"/>
          <w:szCs w:val="16"/>
        </w:rPr>
        <w:t xml:space="preserve"> </w:t>
      </w:r>
      <w:r w:rsidRPr="00215698">
        <w:rPr>
          <w:rFonts w:ascii="Calibri Light" w:eastAsia="Times New Roman" w:hAnsi="Calibri Light" w:cs="Times New Roman"/>
          <w:i/>
          <w:color w:val="595959" w:themeColor="text1" w:themeTint="A6"/>
          <w:sz w:val="16"/>
          <w:szCs w:val="16"/>
        </w:rPr>
        <w:t>Country</w:t>
      </w:r>
      <w:r w:rsidRPr="00215698">
        <w:rPr>
          <w:rFonts w:ascii="Calibri Light" w:eastAsia="Times New Roman" w:hAnsi="Calibri Light" w:cs="Times New Roman"/>
          <w:i/>
          <w:color w:val="595959" w:themeColor="text1" w:themeTint="A6"/>
          <w:sz w:val="16"/>
          <w:szCs w:val="16"/>
        </w:rPr>
        <w:t xml:space="preserve"> </w:t>
      </w:r>
      <w:r w:rsidRPr="00215698">
        <w:rPr>
          <w:rFonts w:ascii="Calibri Light" w:eastAsia="Times New Roman" w:hAnsi="Calibri Light" w:cs="Times New Roman"/>
          <w:i/>
          <w:color w:val="595959" w:themeColor="text1" w:themeTint="A6"/>
          <w:sz w:val="16"/>
          <w:szCs w:val="16"/>
        </w:rPr>
        <w:t>Snapshot</w:t>
      </w:r>
      <w:r w:rsidRPr="00215698">
        <w:rPr>
          <w:rFonts w:ascii="Calibri Light" w:eastAsia="Times New Roman" w:hAnsi="Calibri Light" w:cs="Times New Roman"/>
          <w:i/>
          <w:color w:val="595959" w:themeColor="text1" w:themeTint="A6"/>
          <w:sz w:val="16"/>
          <w:szCs w:val="16"/>
        </w:rPr>
        <w:t>.</w:t>
      </w:r>
    </w:p>
  </w:footnote>
  <w:footnote w:id="36">
    <w:p w:rsidR="00A7588E" w:rsidRPr="00A043F6" w14:paraId="5432F238" w14:textId="77777777">
      <w:pPr>
        <w:pStyle w:val="FootnoteText"/>
        <w:rPr>
          <w:rFonts w:ascii="Calibri Light" w:hAnsi="Calibri Light"/>
          <w:sz w:val="16"/>
          <w:szCs w:val="16"/>
        </w:rPr>
      </w:pPr>
      <w:r w:rsidRPr="00A043F6">
        <w:rPr>
          <w:rStyle w:val="FootnoteReference"/>
          <w:rFonts w:ascii="Calibri Light" w:hAnsi="Calibri Light"/>
          <w:sz w:val="16"/>
          <w:szCs w:val="16"/>
        </w:rPr>
        <w:footnoteRef/>
      </w:r>
      <w:r w:rsidRPr="00A043F6">
        <w:rPr>
          <w:rFonts w:ascii="Calibri Light" w:hAnsi="Calibri Light"/>
          <w:sz w:val="16"/>
          <w:szCs w:val="16"/>
        </w:rPr>
        <w:t xml:space="preserve"> 1) </w:t>
      </w:r>
      <w:r w:rsidRPr="00A043F6">
        <w:rPr>
          <w:rFonts w:ascii="Calibri Light" w:eastAsia="Times New Roman" w:hAnsi="Calibri Light"/>
          <w:sz w:val="16"/>
          <w:szCs w:val="16"/>
          <w:lang w:eastAsia="lv-LV"/>
        </w:rPr>
        <w:t>dabas parkiem „Ragakāpa”, „Dvietes paliene”, „Vidzemes akmeņainā jūrmala”, „Vecumu meži”, „Aiviekstes paliene” un „Silene”, 2) aizsargājamo ainavu apvidum „Nīcgales meži” un 3) dabas liegumam „Dūņezers”.</w:t>
      </w:r>
    </w:p>
  </w:footnote>
  <w:footnote w:id="37">
    <w:p w:rsidR="00A7588E" w:rsidRPr="00215698" w:rsidP="00215698" w14:paraId="41831F44"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EM gatavo </w:t>
      </w:r>
      <w:r w:rsidRPr="00215698">
        <w:rPr>
          <w:rFonts w:ascii="Calibri Light" w:hAnsi="Calibri Light"/>
          <w:i/>
          <w:color w:val="595959" w:themeColor="text1" w:themeTint="A6"/>
          <w:sz w:val="16"/>
          <w:szCs w:val="16"/>
        </w:rPr>
        <w:t>Informatīvo ziņojumu par darba tirgus vidēja un ilgtermiņa prognozēm</w:t>
      </w:r>
      <w:r w:rsidRPr="00215698">
        <w:rPr>
          <w:rFonts w:ascii="Calibri Light" w:hAnsi="Calibri Light"/>
          <w:color w:val="595959" w:themeColor="text1" w:themeTint="A6"/>
          <w:sz w:val="16"/>
          <w:szCs w:val="16"/>
        </w:rPr>
        <w:t>, kas tiek ņemts vērā IZM un NVA piedāvājuma koriģēšanā.</w:t>
      </w:r>
    </w:p>
  </w:footnote>
  <w:footnote w:id="38">
    <w:p w:rsidR="00A7588E" w:rsidRPr="00215698" w:rsidP="00215698" w14:paraId="5E535422" w14:textId="77777777">
      <w:pPr>
        <w:pStyle w:val="FootnoteText"/>
        <w:keepLines/>
        <w:tabs>
          <w:tab w:val="left" w:pos="284"/>
        </w:tab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Style w:val="FootnoteReference"/>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t>Saskaņā</w:t>
      </w:r>
      <w:r>
        <w:rPr>
          <w:rFonts w:ascii="Calibri Light" w:hAnsi="Calibri Light"/>
          <w:color w:val="595959" w:themeColor="text1" w:themeTint="A6"/>
          <w:sz w:val="16"/>
          <w:szCs w:val="16"/>
        </w:rPr>
        <w:t xml:space="preserve"> ar JSPA operatīvo informāciju</w:t>
      </w:r>
      <w:r w:rsidRPr="005565F8">
        <w:rPr>
          <w:rFonts w:ascii="Calibri Light" w:hAnsi="Calibri Light"/>
          <w:color w:val="595959" w:themeColor="text1" w:themeTint="A6"/>
          <w:sz w:val="16"/>
          <w:szCs w:val="16"/>
        </w:rPr>
        <w:t>, programmu sekmīgi pabeidzis 391 jaunietis, no tiem 38% - iesaistījušies</w:t>
      </w:r>
      <w:r w:rsidRPr="00215698">
        <w:rPr>
          <w:rFonts w:ascii="Calibri Light" w:hAnsi="Calibri Light"/>
          <w:color w:val="595959" w:themeColor="text1" w:themeTint="A6"/>
          <w:sz w:val="16"/>
          <w:szCs w:val="16"/>
        </w:rPr>
        <w:t xml:space="preserve"> darba tirgū, 28% – iesaistījušies </w:t>
      </w:r>
      <w:r w:rsidRPr="00034FEB">
        <w:rPr>
          <w:rFonts w:ascii="Calibri Light" w:hAnsi="Calibri Light"/>
          <w:i/>
          <w:color w:val="595959" w:themeColor="text1" w:themeTint="A6"/>
          <w:sz w:val="16"/>
          <w:szCs w:val="16"/>
        </w:rPr>
        <w:t>Jauniešu garantijas</w:t>
      </w:r>
      <w:r w:rsidRPr="00215698">
        <w:rPr>
          <w:rFonts w:ascii="Calibri Light" w:hAnsi="Calibri Light"/>
          <w:color w:val="595959" w:themeColor="text1" w:themeTint="A6"/>
          <w:sz w:val="16"/>
          <w:szCs w:val="16"/>
        </w:rPr>
        <w:t xml:space="preserve"> projektu pasākumos vai NVA īstenotajos aktīvajos nodarbinātības vai preventīvajos bezdarba samazināšanas pasākumos, 22% – iesaistījušies izglītībā, t.sk. aroda apguvē pie amata meistara, 12% – iesaistījušies nevalstisko organizāciju vai jauniešu centru darbībā.</w:t>
      </w:r>
    </w:p>
  </w:footnote>
  <w:footnote w:id="39">
    <w:p w:rsidR="00A7588E" w:rsidRPr="00215698" w:rsidP="00215698" w14:paraId="3DCF93CA" w14:textId="77777777">
      <w:pPr>
        <w:pStyle w:val="FootnoteText"/>
        <w:keepLines/>
        <w:tabs>
          <w:tab w:val="left" w:pos="284"/>
        </w:tab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t>VIAA programmās var iesaistīties jaunieši, kuri var būt/nebūt reģistrēti NVA kā bezdarbnieki vai darba meklētāji, bet kuri vienlaikus nepiedalās NVA īstenotajā atbalsta pasākumā (izņemot jauniešus, kuri iesaistīti darba meklēšanas atbalsta pasākumos, konkurētspējas paaugstināšanas pasākumos un karjeras konsultācijās).</w:t>
      </w:r>
    </w:p>
  </w:footnote>
  <w:footnote w:id="40">
    <w:p w:rsidR="00A7588E" w:rsidRPr="00215698" w:rsidP="00CC5E28" w14:paraId="5F657463" w14:textId="77777777">
      <w:pPr>
        <w:pStyle w:val="FootnoteText"/>
        <w:keepLines/>
        <w:tabs>
          <w:tab w:val="left" w:pos="284"/>
        </w:tab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t xml:space="preserve">Par kvalitatīvo piedāvājumu tiek uzskatīti pasākumi, kas palīdz jaunietim iegūt profesionālo kvalifikāciju (profesionālās izglītības programmas, neformālās izglītības programmas tiem jauniešiem, kuriem jāapgūst noteiktās prasmes, lai varētu atrast darbu – piemēram, valodas, IT iemaņas u.c., darbnīcas jauniešiem, kas palīdz izvēlēties apmācību veidu un nekavējoties pēc dalības uzsākt profesijas ieguvi), darba pieredzi (subsidētās darbavietas, pirmā darba pieredze jaunietim, darbam nepieciešamo iemaņu attīstība nevalstiskajā sektorā) un uzsākt </w:t>
      </w:r>
      <w:r w:rsidRPr="00215698">
        <w:rPr>
          <w:rFonts w:ascii="Calibri Light" w:hAnsi="Calibri Light"/>
          <w:color w:val="595959" w:themeColor="text1" w:themeTint="A6"/>
          <w:sz w:val="16"/>
          <w:szCs w:val="16"/>
        </w:rPr>
        <w:t>pašnodarbinātību</w:t>
      </w:r>
      <w:r w:rsidRPr="00215698">
        <w:rPr>
          <w:rFonts w:ascii="Calibri Light" w:hAnsi="Calibri Light"/>
          <w:color w:val="595959" w:themeColor="text1" w:themeTint="A6"/>
          <w:sz w:val="16"/>
          <w:szCs w:val="16"/>
        </w:rPr>
        <w:t xml:space="preserve"> vai uzņēmējdarbību. Papildinošie pasākumi ir darba meklēšanas atbalsta pasākumi, karjeras konsultācijas un konkurētspējas paaugstināšanas pasākumi.</w:t>
      </w:r>
    </w:p>
  </w:footnote>
  <w:footnote w:id="41">
    <w:p w:rsidR="00A7588E" w:rsidRPr="00215698" w:rsidP="00E776A7" w14:paraId="21A2064D" w14:textId="77777777">
      <w:pPr>
        <w:pStyle w:val="FootnoteText"/>
        <w:keepLines/>
        <w:tabs>
          <w:tab w:val="left" w:pos="284"/>
        </w:tab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Style w:val="FootnoteReference"/>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t xml:space="preserve">Privāto līdzfinansējumu veido darba devēju izmaksas jauniešu darba algai, iesaistoties pasākumos </w:t>
      </w:r>
      <w:r w:rsidRPr="00215698">
        <w:rPr>
          <w:rFonts w:ascii="Calibri Light" w:hAnsi="Calibri Light"/>
          <w:i/>
          <w:color w:val="595959" w:themeColor="text1" w:themeTint="A6"/>
          <w:sz w:val="16"/>
          <w:szCs w:val="16"/>
        </w:rPr>
        <w:t>Pirmā darba pieredze jaunietim</w:t>
      </w:r>
      <w:r w:rsidRPr="00215698">
        <w:rPr>
          <w:rFonts w:ascii="Calibri Light" w:hAnsi="Calibri Light"/>
          <w:color w:val="595959" w:themeColor="text1" w:themeTint="A6"/>
          <w:sz w:val="16"/>
          <w:szCs w:val="16"/>
        </w:rPr>
        <w:t xml:space="preserve"> un </w:t>
      </w:r>
      <w:r w:rsidRPr="00215698">
        <w:rPr>
          <w:rFonts w:ascii="Calibri Light" w:hAnsi="Calibri Light"/>
          <w:i/>
          <w:color w:val="595959" w:themeColor="text1" w:themeTint="A6"/>
          <w:sz w:val="16"/>
          <w:szCs w:val="16"/>
        </w:rPr>
        <w:t>Subsidētās darba vietas jauniešiem bezdarbniekiem (pasākumos noteiktām personu grupām)</w:t>
      </w:r>
      <w:r w:rsidRPr="00215698">
        <w:rPr>
          <w:rFonts w:ascii="Calibri Light" w:hAnsi="Calibri Light"/>
          <w:color w:val="595959" w:themeColor="text1" w:themeTint="A6"/>
          <w:sz w:val="16"/>
          <w:szCs w:val="16"/>
        </w:rPr>
        <w:t>.</w:t>
      </w:r>
    </w:p>
  </w:footnote>
  <w:footnote w:id="42">
    <w:p w:rsidR="00A7588E" w:rsidRPr="00E776A7" w:rsidP="00E776A7" w14:paraId="6CB392A6" w14:textId="77777777">
      <w:pPr>
        <w:pStyle w:val="FootnoteText"/>
        <w:ind w:left="142" w:hanging="142"/>
        <w:rPr>
          <w:rFonts w:ascii="Calibri Light" w:hAnsi="Calibri Light"/>
          <w:color w:val="595959" w:themeColor="text1" w:themeTint="A6"/>
          <w:sz w:val="16"/>
          <w:szCs w:val="16"/>
        </w:rPr>
      </w:pPr>
      <w:r w:rsidRPr="00E776A7">
        <w:rPr>
          <w:rStyle w:val="FootnoteReference"/>
          <w:rFonts w:ascii="Calibri Light" w:hAnsi="Calibri Light"/>
          <w:color w:val="595959" w:themeColor="text1" w:themeTint="A6"/>
          <w:sz w:val="16"/>
          <w:szCs w:val="16"/>
        </w:rPr>
        <w:footnoteRef/>
      </w:r>
      <w:r w:rsidRPr="00E776A7">
        <w:rPr>
          <w:rFonts w:ascii="Calibri Light" w:hAnsi="Calibri Light"/>
          <w:color w:val="595959" w:themeColor="text1" w:themeTint="A6"/>
          <w:sz w:val="16"/>
          <w:szCs w:val="16"/>
        </w:rPr>
        <w:t xml:space="preserve"> </w:t>
      </w:r>
      <w:r w:rsidRPr="00E776A7">
        <w:rPr>
          <w:rFonts w:ascii="Calibri Light" w:hAnsi="Calibri Light"/>
          <w:bCs/>
          <w:color w:val="595959" w:themeColor="text1" w:themeTint="A6"/>
          <w:sz w:val="16"/>
          <w:szCs w:val="16"/>
        </w:rPr>
        <w:t>Piemēram,</w:t>
      </w:r>
      <w:r w:rsidRPr="00E776A7">
        <w:rPr>
          <w:rFonts w:ascii="Calibri Light" w:hAnsi="Calibri Light"/>
          <w:color w:val="595959" w:themeColor="text1" w:themeTint="A6"/>
          <w:sz w:val="16"/>
          <w:szCs w:val="16"/>
        </w:rPr>
        <w:t xml:space="preserve"> tika sniegts atbalsts </w:t>
      </w:r>
      <w:r w:rsidRPr="00E776A7">
        <w:rPr>
          <w:rFonts w:ascii="Calibri Light" w:hAnsi="Calibri Light" w:eastAsiaTheme="minorHAnsi" w:cs="TimesNewRomanPSMT"/>
          <w:color w:val="595959" w:themeColor="text1" w:themeTint="A6"/>
          <w:sz w:val="16"/>
          <w:szCs w:val="16"/>
        </w:rPr>
        <w:t>biedrības “Latvijas Skautu un gaidu centrālās</w:t>
      </w:r>
      <w:r w:rsidRPr="00E776A7">
        <w:rPr>
          <w:rFonts w:ascii="Calibri Light" w:hAnsi="Calibri Light"/>
          <w:color w:val="595959" w:themeColor="text1" w:themeTint="A6"/>
          <w:sz w:val="16"/>
          <w:szCs w:val="16"/>
          <w:lang w:eastAsia="lv-LV"/>
        </w:rPr>
        <w:t xml:space="preserve"> </w:t>
      </w:r>
      <w:r w:rsidRPr="00E776A7">
        <w:rPr>
          <w:rFonts w:ascii="Calibri Light" w:hAnsi="Calibri Light" w:eastAsiaTheme="minorHAnsi" w:cs="TimesNewRomanPSMT"/>
          <w:color w:val="595959" w:themeColor="text1" w:themeTint="A6"/>
          <w:sz w:val="16"/>
          <w:szCs w:val="16"/>
        </w:rPr>
        <w:t>organizācija” darbības nodrošināšanai un biedrības “Latvijas Mazpulki” Valstiskās</w:t>
      </w:r>
      <w:r w:rsidRPr="00E776A7">
        <w:rPr>
          <w:rFonts w:ascii="Calibri Light" w:hAnsi="Calibri Light"/>
          <w:color w:val="595959" w:themeColor="text1" w:themeTint="A6"/>
          <w:sz w:val="16"/>
          <w:szCs w:val="16"/>
          <w:lang w:eastAsia="lv-LV"/>
        </w:rPr>
        <w:t xml:space="preserve"> </w:t>
      </w:r>
      <w:r w:rsidRPr="00E776A7">
        <w:rPr>
          <w:rFonts w:ascii="Calibri Light" w:hAnsi="Calibri Light" w:eastAsiaTheme="minorHAnsi" w:cs="TimesNewRomanPSMT"/>
          <w:color w:val="595959" w:themeColor="text1" w:themeTint="A6"/>
          <w:sz w:val="16"/>
          <w:szCs w:val="16"/>
        </w:rPr>
        <w:t>audzināšanas programmas īstenošanai.</w:t>
      </w:r>
    </w:p>
  </w:footnote>
  <w:footnote w:id="43">
    <w:p w:rsidR="00A7588E" w:rsidRPr="006B2430" w14:paraId="400DD275" w14:textId="19F28AD4">
      <w:pPr>
        <w:pStyle w:val="FootnoteText"/>
        <w:rPr>
          <w:rFonts w:ascii="Calibri Light" w:hAnsi="Calibri Light"/>
          <w:sz w:val="16"/>
          <w:szCs w:val="16"/>
        </w:rPr>
      </w:pPr>
      <w:r w:rsidRPr="00532335">
        <w:rPr>
          <w:rStyle w:val="FootnoteReference"/>
          <w:rFonts w:ascii="Calibri Light" w:hAnsi="Calibri Light"/>
          <w:sz w:val="16"/>
          <w:szCs w:val="16"/>
        </w:rPr>
        <w:footnoteRef/>
      </w:r>
      <w:r w:rsidRPr="00532335">
        <w:rPr>
          <w:rFonts w:ascii="Calibri Light" w:hAnsi="Calibri Light"/>
          <w:sz w:val="16"/>
          <w:szCs w:val="16"/>
        </w:rPr>
        <w:t xml:space="preserve"> </w:t>
      </w:r>
      <w:r w:rsidRPr="00532335">
        <w:rPr>
          <w:rFonts w:ascii="Calibri Light" w:hAnsi="Calibri Light"/>
          <w:color w:val="000000"/>
          <w:spacing w:val="-2"/>
          <w:sz w:val="16"/>
          <w:szCs w:val="16"/>
        </w:rPr>
        <w:t xml:space="preserve">Izglītības kvalitātes valsts dienesta ziņojums </w:t>
      </w:r>
      <w:r w:rsidRPr="00532335">
        <w:rPr>
          <w:rFonts w:ascii="Calibri Light" w:hAnsi="Calibri Light"/>
          <w:i/>
          <w:color w:val="000000"/>
          <w:spacing w:val="-2"/>
          <w:sz w:val="16"/>
          <w:szCs w:val="16"/>
        </w:rPr>
        <w:t>Vispārējās izglītības un profesionālās izglītības iestāžu izglītojamo ilgstoši neattaisnoti kavējumi un rīcība to novēršanai 2016./2017. mācību gadā</w:t>
      </w:r>
      <w:r>
        <w:rPr>
          <w:rFonts w:ascii="Calibri Light" w:hAnsi="Calibri Light"/>
          <w:i/>
          <w:color w:val="000000"/>
          <w:spacing w:val="-2"/>
          <w:sz w:val="16"/>
          <w:szCs w:val="16"/>
        </w:rPr>
        <w:t>.</w:t>
      </w:r>
    </w:p>
  </w:footnote>
  <w:footnote w:id="44">
    <w:p w:rsidR="00A7588E" w:rsidRPr="00215698" w:rsidP="00215698" w14:paraId="6D4F988F"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fldChar w:fldCharType="begin"/>
      </w:r>
      <w:r>
        <w:instrText xml:space="preserve"> HYPERLINK "C:\\Users\\GergelevicsE\\AppData\\Local\\Microsoft\\Windows\\Temporary Internet Files\\Content.Outlook\\GGIYS447\\Pētījuma" </w:instrText>
      </w:r>
      <w:r>
        <w:fldChar w:fldCharType="separate"/>
      </w:r>
      <w:r w:rsidRPr="00215698">
        <w:rPr>
          <w:rFonts w:ascii="Calibri Light" w:hAnsi="Calibri Light"/>
          <w:color w:val="595959" w:themeColor="text1" w:themeTint="A6"/>
          <w:sz w:val="16"/>
          <w:szCs w:val="16"/>
        </w:rPr>
        <w:t>Pētījuma</w:t>
      </w:r>
      <w:r>
        <w:fldChar w:fldCharType="end"/>
      </w:r>
      <w:r w:rsidRPr="00215698">
        <w:rPr>
          <w:rFonts w:ascii="Calibri Light" w:hAnsi="Calibri Light"/>
          <w:color w:val="595959" w:themeColor="text1" w:themeTint="A6"/>
          <w:sz w:val="16"/>
          <w:szCs w:val="16"/>
        </w:rPr>
        <w:t xml:space="preserve"> gala ziņojums ir pieejams: </w:t>
      </w:r>
      <w:r>
        <w:fldChar w:fldCharType="begin"/>
      </w:r>
      <w:r>
        <w:instrText xml:space="preserve"> HYPERLINK "http://izm.gov.lv/images/izglitiba_visp/download/Optimala-visparejas-izglitibas-iestazu-tikla-modela-izveide-Latvija.pdf" </w:instrText>
      </w:r>
      <w:r>
        <w:fldChar w:fldCharType="separate"/>
      </w:r>
      <w:r w:rsidRPr="00215698">
        <w:rPr>
          <w:rStyle w:val="Hyperlink"/>
          <w:rFonts w:ascii="Calibri Light" w:hAnsi="Calibri Light"/>
          <w:color w:val="595959" w:themeColor="text1" w:themeTint="A6"/>
          <w:sz w:val="16"/>
          <w:szCs w:val="16"/>
        </w:rPr>
        <w:t>http://izm.gov.lv/images/izglitiba_</w:t>
      </w:r>
      <w:r w:rsidRPr="00215698">
        <w:rPr>
          <w:rStyle w:val="Hyperlink"/>
          <w:rFonts w:ascii="Calibri Light" w:hAnsi="Calibri Light"/>
          <w:color w:val="595959" w:themeColor="text1" w:themeTint="A6"/>
          <w:sz w:val="16"/>
          <w:szCs w:val="16"/>
        </w:rPr>
        <w:br/>
        <w:t>visp/download/Optimala-visparejas-izglitibas-iestazu-tikla-modela-izveide-Latvija.pdf</w:t>
      </w:r>
      <w:r>
        <w:fldChar w:fldCharType="end"/>
      </w:r>
    </w:p>
  </w:footnote>
  <w:footnote w:id="45">
    <w:p w:rsidR="00A7588E" w:rsidRPr="00215698" w:rsidP="00215698" w14:paraId="219C9FC9" w14:textId="77777777">
      <w:pPr>
        <w:pStyle w:val="FootnoteText"/>
        <w:keepLines/>
        <w:spacing w:after="0"/>
        <w:ind w:left="142" w:hanging="142"/>
        <w:rPr>
          <w:rStyle w:val="Hyperlink"/>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Vispārējās izglītības iestāžu tīkla ģeotelpiskās plānošanas platforma </w:t>
      </w:r>
      <w:r w:rsidRPr="00C96B10">
        <w:rPr>
          <w:rFonts w:ascii="Calibri Light" w:hAnsi="Calibri Light"/>
          <w:i/>
          <w:color w:val="595959" w:themeColor="text1" w:themeTint="A6"/>
          <w:sz w:val="16"/>
          <w:szCs w:val="16"/>
        </w:rPr>
        <w:t>“Skolu karte”</w:t>
      </w:r>
      <w:r w:rsidRPr="00215698">
        <w:rPr>
          <w:rFonts w:ascii="Calibri Light" w:hAnsi="Calibri Light"/>
          <w:color w:val="595959" w:themeColor="text1" w:themeTint="A6"/>
          <w:sz w:val="16"/>
          <w:szCs w:val="16"/>
        </w:rPr>
        <w:t xml:space="preserve">: </w:t>
      </w:r>
      <w:r>
        <w:fldChar w:fldCharType="begin"/>
      </w:r>
      <w:r>
        <w:instrText xml:space="preserve"> HYPERLINK "https://izm.kartes.lv/" </w:instrText>
      </w:r>
      <w:r>
        <w:fldChar w:fldCharType="separate"/>
      </w:r>
      <w:r w:rsidRPr="00215698">
        <w:rPr>
          <w:rStyle w:val="Hyperlink"/>
          <w:rFonts w:ascii="Calibri Light" w:hAnsi="Calibri Light"/>
          <w:color w:val="595959" w:themeColor="text1" w:themeTint="A6"/>
          <w:sz w:val="16"/>
          <w:szCs w:val="16"/>
        </w:rPr>
        <w:t>https://izm.kartes.lv/</w:t>
      </w:r>
      <w:r>
        <w:fldChar w:fldCharType="end"/>
      </w:r>
    </w:p>
  </w:footnote>
  <w:footnote w:id="46">
    <w:p w:rsidR="00A7588E" w:rsidRPr="00215698" w:rsidP="00215698" w14:paraId="10AAA2FC" w14:textId="77777777">
      <w:pPr>
        <w:pStyle w:val="FootnoteText"/>
        <w:keepLines/>
        <w:tabs>
          <w:tab w:val="left" w:pos="142"/>
        </w:tab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Atbilstoši </w:t>
      </w:r>
      <w:r w:rsidRPr="00C96B10">
        <w:rPr>
          <w:rFonts w:ascii="Calibri Light" w:hAnsi="Calibri Light"/>
          <w:i/>
          <w:color w:val="595959" w:themeColor="text1" w:themeTint="A6"/>
          <w:sz w:val="16"/>
          <w:szCs w:val="16"/>
        </w:rPr>
        <w:t>Likumā p</w:t>
      </w:r>
      <w:r w:rsidRPr="00215698">
        <w:rPr>
          <w:rFonts w:ascii="Calibri Light" w:hAnsi="Calibri Light"/>
          <w:i/>
          <w:color w:val="595959" w:themeColor="text1" w:themeTint="A6"/>
          <w:sz w:val="16"/>
          <w:szCs w:val="16"/>
        </w:rPr>
        <w:t>ar pašvaldībām</w:t>
      </w:r>
      <w:r w:rsidRPr="00215698">
        <w:rPr>
          <w:rFonts w:ascii="Calibri Light" w:hAnsi="Calibri Light"/>
          <w:color w:val="595959" w:themeColor="text1" w:themeTint="A6"/>
          <w:sz w:val="16"/>
          <w:szCs w:val="16"/>
        </w:rPr>
        <w:t xml:space="preserve"> noteiktajam izglītības nodrošināšana ir viena no pašvaldības funkcijām, tādēļ pašvaldību pienākums ir regulāri aktualizēt informāciju par iemesliem, kādēļ pašvaldībā deklarēti bērni nav reģistrēti izglītības iestādēs, kā arī veikt visas nepieciešamās darbības, lai šie bērni turpinātu iegūt izglītību.</w:t>
      </w:r>
    </w:p>
  </w:footnote>
  <w:footnote w:id="47">
    <w:p w:rsidR="00A7588E" w:rsidRPr="00215698" w:rsidP="00215698" w14:paraId="7D3B6387" w14:textId="77777777">
      <w:pPr>
        <w:pStyle w:val="FootnoteText"/>
        <w:keepLines/>
        <w:spacing w:after="0"/>
        <w:ind w:left="142" w:hanging="142"/>
        <w:rPr>
          <w:rFonts w:ascii="Calibri Light" w:hAnsi="Calibri Light"/>
          <w:color w:val="595959" w:themeColor="text1" w:themeTint="A6"/>
          <w:sz w:val="16"/>
          <w:szCs w:val="16"/>
        </w:rPr>
      </w:pPr>
      <w:r w:rsidRPr="00215698">
        <w:rPr>
          <w:rFonts w:ascii="Calibri Light" w:hAnsi="Calibri Light"/>
          <w:color w:val="595959" w:themeColor="text1" w:themeTint="A6"/>
          <w:sz w:val="16"/>
          <w:szCs w:val="16"/>
          <w:vertAlign w:val="superscript"/>
        </w:rPr>
        <w:footnoteRef/>
      </w:r>
      <w:r w:rsidRPr="00215698">
        <w:rPr>
          <w:rFonts w:ascii="Calibri Light" w:hAnsi="Calibri Light"/>
          <w:color w:val="595959" w:themeColor="text1" w:themeTint="A6"/>
          <w:sz w:val="16"/>
          <w:szCs w:val="16"/>
        </w:rPr>
        <w:t xml:space="preserve"> Dati uz 2017.gada 1.septembri.</w:t>
      </w:r>
    </w:p>
  </w:footnote>
  <w:footnote w:id="48">
    <w:p w:rsidR="00A7588E" w:rsidRPr="002D47FA" w:rsidP="002D47FA" w14:paraId="6A6624E8" w14:textId="17E05B18">
      <w:pPr>
        <w:pStyle w:val="FootnoteText"/>
        <w:ind w:left="142" w:hanging="142"/>
        <w:rPr>
          <w:rFonts w:ascii="Calibri Light" w:hAnsi="Calibri Light"/>
          <w:color w:val="595959" w:themeColor="text1" w:themeTint="A6"/>
          <w:sz w:val="16"/>
          <w:szCs w:val="16"/>
        </w:rPr>
      </w:pPr>
      <w:r w:rsidRPr="002D47FA">
        <w:rPr>
          <w:rStyle w:val="FootnoteReference"/>
          <w:rFonts w:ascii="Calibri Light" w:hAnsi="Calibri Light"/>
          <w:color w:val="595959" w:themeColor="text1" w:themeTint="A6"/>
          <w:sz w:val="16"/>
          <w:szCs w:val="16"/>
        </w:rPr>
        <w:footnoteRef/>
      </w:r>
      <w:r w:rsidRPr="002D47FA">
        <w:rPr>
          <w:rFonts w:ascii="Calibri Light" w:hAnsi="Calibri Light"/>
          <w:color w:val="595959" w:themeColor="text1" w:themeTint="A6"/>
          <w:sz w:val="16"/>
          <w:szCs w:val="16"/>
        </w:rPr>
        <w:t xml:space="preserve"> </w:t>
      </w:r>
      <w:r w:rsidRPr="002D47FA">
        <w:rPr>
          <w:rFonts w:ascii="Calibri Light" w:eastAsia="Times New Roman" w:hAnsi="Calibri Light"/>
          <w:color w:val="595959" w:themeColor="text1" w:themeTint="A6"/>
          <w:sz w:val="16"/>
          <w:szCs w:val="16"/>
          <w:lang w:eastAsia="lv-LV"/>
        </w:rPr>
        <w:t xml:space="preserve">Nodarbinātības padome trīs ministru </w:t>
      </w:r>
      <w:r>
        <w:rPr>
          <w:rFonts w:ascii="Calibri Light" w:eastAsia="Times New Roman" w:hAnsi="Calibri Light"/>
          <w:color w:val="595959" w:themeColor="text1" w:themeTint="A6"/>
          <w:sz w:val="16"/>
          <w:szCs w:val="16"/>
          <w:lang w:eastAsia="lv-LV"/>
        </w:rPr>
        <w:t xml:space="preserve">– </w:t>
      </w:r>
      <w:r w:rsidRPr="002D47FA">
        <w:rPr>
          <w:rFonts w:ascii="Calibri Light" w:eastAsia="Times New Roman" w:hAnsi="Calibri Light"/>
          <w:color w:val="595959" w:themeColor="text1" w:themeTint="A6"/>
          <w:sz w:val="16"/>
          <w:szCs w:val="16"/>
          <w:lang w:eastAsia="lv-LV"/>
        </w:rPr>
        <w:t>ekonomikas, izglītības un zinātnes, un labklājības ministru - sastāvā izveidota 2016.gadā. Padomes mērķis ir saskaņot starpresoru sadarbību nepieciešamo darba tirgus reformu jeb pārkārtojumu plānošanā, izstrādē, ieviešanā un uzraudzībā, lai tādējādi mazinātu disproporcijas Latvijas darba tirgū.</w:t>
      </w:r>
    </w:p>
  </w:footnote>
  <w:footnote w:id="49">
    <w:p w:rsidR="00A7588E" w:rsidRPr="00215698" w:rsidP="00215698" w14:paraId="6BA2C3A7"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r>
      <w:r>
        <w:rPr>
          <w:rFonts w:ascii="Calibri Light" w:hAnsi="Calibri Light"/>
          <w:color w:val="595959" w:themeColor="text1" w:themeTint="A6"/>
          <w:sz w:val="16"/>
          <w:szCs w:val="16"/>
        </w:rPr>
        <w:t xml:space="preserve">2015.gadā tika uzsākta </w:t>
      </w:r>
      <w:r w:rsidRPr="00215698">
        <w:rPr>
          <w:rFonts w:ascii="Calibri Light" w:hAnsi="Calibri Light"/>
          <w:color w:val="595959" w:themeColor="text1" w:themeTint="A6"/>
          <w:sz w:val="16"/>
          <w:szCs w:val="16"/>
        </w:rPr>
        <w:t>jauna augstākās izglītības finansēšanas modeļa ieviešan</w:t>
      </w:r>
      <w:r>
        <w:rPr>
          <w:rFonts w:ascii="Calibri Light" w:hAnsi="Calibri Light"/>
          <w:color w:val="595959" w:themeColor="text1" w:themeTint="A6"/>
          <w:sz w:val="16"/>
          <w:szCs w:val="16"/>
        </w:rPr>
        <w:t>a ar mērķi</w:t>
      </w:r>
      <w:r w:rsidRPr="00215698">
        <w:rPr>
          <w:rFonts w:ascii="Calibri Light" w:hAnsi="Calibri Light"/>
          <w:color w:val="595959" w:themeColor="text1" w:themeTint="A6"/>
          <w:sz w:val="16"/>
          <w:szCs w:val="16"/>
        </w:rPr>
        <w:t xml:space="preserve"> sakārto</w:t>
      </w:r>
      <w:r>
        <w:rPr>
          <w:rFonts w:ascii="Calibri Light" w:hAnsi="Calibri Light"/>
          <w:color w:val="595959" w:themeColor="text1" w:themeTint="A6"/>
          <w:sz w:val="16"/>
          <w:szCs w:val="16"/>
        </w:rPr>
        <w:t>t</w:t>
      </w:r>
      <w:r w:rsidRPr="00215698">
        <w:rPr>
          <w:rFonts w:ascii="Calibri Light" w:hAnsi="Calibri Light"/>
          <w:color w:val="595959" w:themeColor="text1" w:themeTint="A6"/>
          <w:sz w:val="16"/>
          <w:szCs w:val="16"/>
        </w:rPr>
        <w:t xml:space="preserve"> augstskolu finansēšanas sistēmu</w:t>
      </w:r>
    </w:p>
  </w:footnote>
  <w:footnote w:id="50">
    <w:p w:rsidR="00A7588E" w:rsidRPr="00215698" w:rsidP="00215698" w14:paraId="5E38C2AB"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i/>
          <w:color w:val="595959" w:themeColor="text1" w:themeTint="A6"/>
          <w:sz w:val="16"/>
          <w:szCs w:val="16"/>
          <w:lang w:val="en-GB"/>
        </w:rPr>
        <w:t>European Standards and Guidelines for Quality Assurance</w:t>
      </w:r>
    </w:p>
  </w:footnote>
  <w:footnote w:id="51">
    <w:p w:rsidR="00A7588E" w:rsidRPr="00215698" w:rsidP="00215698" w14:paraId="429114A1"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Izvērtējuma</w:t>
      </w:r>
      <w:r w:rsidRPr="00215698">
        <w:rPr>
          <w:rFonts w:ascii="Calibri Light" w:hAnsi="Calibri Light"/>
          <w:color w:val="595959" w:themeColor="text1" w:themeTint="A6"/>
          <w:sz w:val="16"/>
          <w:szCs w:val="16"/>
        </w:rPr>
        <w:t xml:space="preserve"> ziņojums pieejams: </w:t>
      </w:r>
      <w:r>
        <w:fldChar w:fldCharType="begin"/>
      </w:r>
      <w:r>
        <w:instrText xml:space="preserve"> HYPERLINK "http://www.esfondi.lv/izvertejumi-1" </w:instrText>
      </w:r>
      <w:r>
        <w:fldChar w:fldCharType="separate"/>
      </w:r>
      <w:r w:rsidRPr="00215698">
        <w:rPr>
          <w:rStyle w:val="Hyperlink"/>
          <w:rFonts w:ascii="Calibri Light" w:hAnsi="Calibri Light"/>
          <w:color w:val="595959" w:themeColor="text1" w:themeTint="A6"/>
          <w:sz w:val="16"/>
          <w:szCs w:val="16"/>
        </w:rPr>
        <w:t>http://www.esfondi.lv/izvertejumi-1</w:t>
      </w:r>
      <w:r>
        <w:fldChar w:fldCharType="end"/>
      </w:r>
    </w:p>
  </w:footnote>
  <w:footnote w:id="52">
    <w:p w:rsidR="00A7588E" w:rsidRPr="00215698" w:rsidP="00215698" w14:paraId="52D13DA7"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MK 2016.gada 5.maija rīkojums Nr.287 </w:t>
      </w:r>
      <w:r w:rsidRPr="00215698">
        <w:rPr>
          <w:rFonts w:ascii="Calibri Light" w:hAnsi="Calibri Light"/>
          <w:i/>
          <w:color w:val="595959" w:themeColor="text1" w:themeTint="A6"/>
          <w:sz w:val="16"/>
          <w:szCs w:val="16"/>
        </w:rPr>
        <w:t>Par Pieaugušo izglītības pārvaldības modeļa ieviešanas plānu 2016. – 2020.gadam</w:t>
      </w:r>
      <w:r w:rsidRPr="00215698">
        <w:rPr>
          <w:rFonts w:ascii="Calibri Light" w:hAnsi="Calibri Light"/>
          <w:color w:val="595959" w:themeColor="text1" w:themeTint="A6"/>
          <w:sz w:val="16"/>
          <w:szCs w:val="16"/>
        </w:rPr>
        <w:t>.</w:t>
      </w:r>
    </w:p>
  </w:footnote>
  <w:footnote w:id="53">
    <w:p w:rsidR="00A7588E" w:rsidRPr="00215698" w:rsidP="00215698" w14:paraId="40370F5A"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Prioritārās nozares, kā arī mācību vajadzības tajās apstiprina Pieaugušo izglītības pārvaldības padome. Pirmais mācību uzsaukums bija </w:t>
      </w:r>
      <w:r w:rsidRPr="00215698">
        <w:rPr>
          <w:rFonts w:ascii="Calibri Light" w:eastAsia="MS Mincho" w:hAnsi="Calibri Light"/>
          <w:color w:val="595959" w:themeColor="text1" w:themeTint="A6"/>
          <w:sz w:val="16"/>
          <w:szCs w:val="16"/>
          <w:lang w:eastAsia="ja-JP" w:bidi="lo-LA"/>
        </w:rPr>
        <w:t xml:space="preserve">būvniecības, metālapstrādes, mašīnbūves un </w:t>
      </w:r>
      <w:r w:rsidRPr="00215698">
        <w:rPr>
          <w:rFonts w:ascii="Calibri Light" w:eastAsia="MS Mincho" w:hAnsi="Calibri Light"/>
          <w:color w:val="595959" w:themeColor="text1" w:themeTint="A6"/>
          <w:sz w:val="16"/>
          <w:szCs w:val="16"/>
          <w:lang w:eastAsia="ja-JP" w:bidi="lo-LA"/>
        </w:rPr>
        <w:t>mašīnzinību</w:t>
      </w:r>
      <w:r w:rsidRPr="00215698">
        <w:rPr>
          <w:rFonts w:ascii="Calibri Light" w:eastAsia="MS Mincho" w:hAnsi="Calibri Light"/>
          <w:color w:val="595959" w:themeColor="text1" w:themeTint="A6"/>
          <w:sz w:val="16"/>
          <w:szCs w:val="16"/>
          <w:lang w:eastAsia="ja-JP" w:bidi="lo-LA"/>
        </w:rPr>
        <w:t>, kokrūpniecības, elektronisko un optisko iekārtu ražošanas, informācijas un komunikācijas tehnoloģiju nozarēs.</w:t>
      </w:r>
    </w:p>
  </w:footnote>
  <w:footnote w:id="54">
    <w:p w:rsidR="00A7588E" w:rsidRPr="00215698" w:rsidP="00215698" w14:paraId="1B54C7D0"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Tekstilizstrādājumu, apģērbu, ādas un ādas izstrādājumu ražošana,  pārtikas rūpniecība un lauksaimniecība, ēdināšanas pakalpojumi un tūrisms, drukas un mediju tehnoloģijas, transports un loģistika, enerģētika, ķīmiskā rūpniecība, kultūra, būvniecība, kokrūpniecība, elektronisko un optisko iekārtu ražošana, informācijas un komunikācijas tehnoloģijas, metālapstrāde, mašīnbūve un </w:t>
      </w:r>
      <w:r w:rsidRPr="00215698">
        <w:rPr>
          <w:rFonts w:ascii="Calibri Light" w:hAnsi="Calibri Light"/>
          <w:color w:val="595959" w:themeColor="text1" w:themeTint="A6"/>
          <w:sz w:val="16"/>
          <w:szCs w:val="16"/>
        </w:rPr>
        <w:t>mašīnzinības</w:t>
      </w:r>
      <w:r w:rsidRPr="00215698">
        <w:rPr>
          <w:rFonts w:ascii="Calibri Light" w:hAnsi="Calibri Light"/>
          <w:color w:val="595959" w:themeColor="text1" w:themeTint="A6"/>
          <w:sz w:val="16"/>
          <w:szCs w:val="16"/>
        </w:rPr>
        <w:t>.</w:t>
      </w:r>
    </w:p>
  </w:footnote>
  <w:footnote w:id="55">
    <w:p w:rsidR="00A7588E" w:rsidRPr="003929A6" w:rsidP="00043CCD" w14:paraId="1E82416B" w14:textId="77777777">
      <w:pPr>
        <w:pStyle w:val="FootnoteText"/>
        <w:ind w:left="142" w:hanging="142"/>
      </w:pPr>
      <w:r w:rsidRPr="005565F8">
        <w:rPr>
          <w:rFonts w:ascii="Calibri Light" w:hAnsi="Calibri Light"/>
          <w:color w:val="595959" w:themeColor="text1" w:themeTint="A6"/>
          <w:sz w:val="16"/>
          <w:szCs w:val="16"/>
          <w:vertAlign w:val="superscript"/>
        </w:rPr>
        <w:footnoteRef/>
      </w:r>
      <w:r w:rsidRPr="005565F8">
        <w:t xml:space="preserve"> </w:t>
      </w:r>
      <w:r w:rsidRPr="005565F8">
        <w:rPr>
          <w:rFonts w:ascii="Calibri Light" w:hAnsi="Calibri Light"/>
          <w:color w:val="595959" w:themeColor="text1" w:themeTint="A6"/>
          <w:sz w:val="16"/>
          <w:szCs w:val="16"/>
        </w:rPr>
        <w:t>Konceptuālā ziņojuma 12.tabula “</w:t>
      </w:r>
      <w:r w:rsidRPr="005565F8">
        <w:rPr>
          <w:rFonts w:ascii="Calibri Light" w:hAnsi="Calibri Light"/>
          <w:i/>
          <w:color w:val="595959" w:themeColor="text1" w:themeTint="A6"/>
          <w:sz w:val="16"/>
          <w:szCs w:val="16"/>
        </w:rPr>
        <w:t>Veselības nozares budžeta pieaugums 2018 – 2023.gadam ārstniecības personu darba samaksas palielinājumam”</w:t>
      </w:r>
      <w:r w:rsidRPr="005565F8">
        <w:rPr>
          <w:rFonts w:ascii="Calibri Light" w:hAnsi="Calibri Light"/>
          <w:color w:val="595959" w:themeColor="text1" w:themeTint="A6"/>
          <w:sz w:val="16"/>
          <w:szCs w:val="16"/>
        </w:rPr>
        <w:t xml:space="preserve"> 57.lpp.</w:t>
      </w:r>
    </w:p>
  </w:footnote>
  <w:footnote w:id="56">
    <w:p w:rsidR="00A7588E" w:rsidRPr="00215698" w:rsidP="00215698" w14:paraId="06146AF5" w14:textId="77777777">
      <w:pPr>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Ietaupījums, kas tiek aprēķināts kā starpība starp bāzes scenāriju un scenāriju ar pasākumiem. Šis ietaupījums nenozīmē valsts enerģijas patēriņa absolūto samazinājumu, bet gan pieauguma ierobežojumu, ko nodrošina minētie pasākumi. Mērķa ziņošanas metodiskās prasības noteiktas Direktīvas 2012/27/ES V pielikumā.</w:t>
      </w:r>
    </w:p>
  </w:footnote>
  <w:footnote w:id="57">
    <w:p w:rsidR="00A7588E" w:rsidRPr="00215698" w:rsidP="00215698" w14:paraId="5857FE9C"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Ikgadējs gala enerģijas ietaupījumam atbilst valsts obligātais uzkrātais gala enerģijas ietaupījums 0,850 </w:t>
      </w:r>
      <w:r w:rsidRPr="00215698">
        <w:rPr>
          <w:rFonts w:ascii="Calibri Light" w:hAnsi="Calibri Light"/>
          <w:color w:val="595959" w:themeColor="text1" w:themeTint="A6"/>
          <w:sz w:val="16"/>
          <w:szCs w:val="16"/>
        </w:rPr>
        <w:t>Mtoe</w:t>
      </w:r>
      <w:r w:rsidRPr="00215698">
        <w:rPr>
          <w:rFonts w:ascii="Calibri Light" w:hAnsi="Calibri Light"/>
          <w:color w:val="595959" w:themeColor="text1" w:themeTint="A6"/>
          <w:sz w:val="16"/>
          <w:szCs w:val="16"/>
        </w:rPr>
        <w:t>.</w:t>
      </w:r>
    </w:p>
  </w:footnote>
  <w:footnote w:id="58">
    <w:p w:rsidR="00A7588E" w:rsidRPr="00215698" w:rsidP="00F659E2" w14:paraId="42CF9D0F"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t>Ar Eiropas parlamenta un padomes direktīvu (ES) 2015/1513, ar kuru groza Direktīvu 98/70/EK, kas attiecas uz benzīna un dīzeļdegvielu kvalitāti, un Direktīvu 2009/28/EK par atjaunojamo energoresursu izmantošanas veicināšanu (ILUC direktīva) aprēķina metodika transporta sektorā ir izmainīta, piemērojot reizinātājus dzelzceļā un autotransportā patērētajai elektroenerģijai</w:t>
      </w:r>
      <w:r>
        <w:rPr>
          <w:rFonts w:ascii="Calibri Light" w:hAnsi="Calibri Light"/>
          <w:color w:val="595959" w:themeColor="text1" w:themeTint="A6"/>
          <w:sz w:val="16"/>
          <w:szCs w:val="16"/>
        </w:rPr>
        <w:t>.</w:t>
      </w:r>
    </w:p>
  </w:footnote>
  <w:footnote w:id="59">
    <w:p w:rsidR="00A7588E" w:rsidRPr="00215698" w:rsidP="00215698" w14:paraId="31C921FD"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MK 2016.gada 4.oktobra rīkojums Nr.572 </w:t>
      </w:r>
      <w:r w:rsidRPr="00215698">
        <w:rPr>
          <w:rFonts w:ascii="Calibri Light" w:hAnsi="Calibri Light"/>
          <w:i/>
          <w:color w:val="595959" w:themeColor="text1" w:themeTint="A6"/>
          <w:sz w:val="16"/>
          <w:szCs w:val="16"/>
        </w:rPr>
        <w:t>“Par konceptuālo ziņojumu “Kompleksi pasākumi elektroenerģijas tirgus attīstībai””</w:t>
      </w:r>
      <w:r w:rsidRPr="00215698">
        <w:rPr>
          <w:rFonts w:ascii="Calibri Light" w:hAnsi="Calibri Light"/>
          <w:color w:val="595959" w:themeColor="text1" w:themeTint="A6"/>
          <w:sz w:val="16"/>
          <w:szCs w:val="16"/>
        </w:rPr>
        <w:t xml:space="preserve">: </w:t>
      </w:r>
      <w:r>
        <w:fldChar w:fldCharType="begin"/>
      </w:r>
      <w:r>
        <w:instrText xml:space="preserve"> HYPERLINK "https://likumi.lv/ta/id/285195-par-konceptualo-zinojumu-kompleksi-pasakumi-elektroenergijas-tirgus-attistibai-" </w:instrText>
      </w:r>
      <w:r>
        <w:fldChar w:fldCharType="separate"/>
      </w:r>
      <w:r w:rsidRPr="00215698">
        <w:rPr>
          <w:rStyle w:val="Hyperlink"/>
          <w:rFonts w:ascii="Calibri Light" w:hAnsi="Calibri Light"/>
          <w:color w:val="595959" w:themeColor="text1" w:themeTint="A6"/>
          <w:sz w:val="16"/>
          <w:szCs w:val="16"/>
        </w:rPr>
        <w:t>https://likumi.lv/ta/id/285195-par-konceptualo-zinojumu-kompleksi-pasakumi-elektroenergijas-tirgus-attistibai-</w:t>
      </w:r>
      <w:r>
        <w:fldChar w:fldCharType="end"/>
      </w:r>
      <w:r w:rsidRPr="00215698">
        <w:rPr>
          <w:rFonts w:ascii="Calibri Light" w:hAnsi="Calibri Light"/>
          <w:color w:val="595959" w:themeColor="text1" w:themeTint="A6"/>
          <w:sz w:val="16"/>
          <w:szCs w:val="16"/>
        </w:rPr>
        <w:t xml:space="preserve">. MK 2017. gada 22. septembra rīkojums Nr. 530 </w:t>
      </w:r>
      <w:r w:rsidRPr="006063BC">
        <w:rPr>
          <w:rFonts w:ascii="Calibri Light" w:hAnsi="Calibri Light"/>
          <w:i/>
          <w:color w:val="595959" w:themeColor="text1" w:themeTint="A6"/>
          <w:sz w:val="16"/>
          <w:szCs w:val="16"/>
        </w:rPr>
        <w:t>“Par konceptuālo ziņojumu “Kompleksi pasākumi elektroenerģijas tirgus attīstībai”</w:t>
      </w:r>
      <w:r w:rsidRPr="00215698">
        <w:rPr>
          <w:rFonts w:ascii="Calibri Light" w:hAnsi="Calibri Light"/>
          <w:color w:val="595959" w:themeColor="text1" w:themeTint="A6"/>
          <w:sz w:val="16"/>
          <w:szCs w:val="16"/>
        </w:rPr>
        <w:t>: https://likumi.lv/ta/id/293753-par-konceptualo-zinojumu-kompleksi-pasakumi-elektroenergijas-tirgus-attistibai</w:t>
      </w:r>
      <w:r>
        <w:rPr>
          <w:rFonts w:ascii="Calibri Light" w:hAnsi="Calibri Light"/>
          <w:color w:val="595959" w:themeColor="text1" w:themeTint="A6"/>
          <w:sz w:val="16"/>
          <w:szCs w:val="16"/>
        </w:rPr>
        <w:t>.</w:t>
      </w:r>
    </w:p>
  </w:footnote>
  <w:footnote w:id="60">
    <w:p w:rsidR="00A7588E" w:rsidRPr="00215698" w:rsidP="00215698" w14:paraId="0C29C313" w14:textId="77777777">
      <w:pPr>
        <w:pStyle w:val="FootnoteText"/>
        <w:keepLines/>
        <w:spacing w:after="0"/>
        <w:ind w:left="142" w:hanging="142"/>
        <w:rPr>
          <w:rFonts w:ascii="Calibri Light" w:hAnsi="Calibri Light"/>
          <w:color w:val="595959" w:themeColor="text1" w:themeTint="A6"/>
          <w:spacing w:val="-2"/>
          <w:sz w:val="16"/>
          <w:szCs w:val="16"/>
        </w:rPr>
      </w:pPr>
      <w:r w:rsidRPr="00215698">
        <w:rPr>
          <w:rStyle w:val="FootnoteReference"/>
          <w:rFonts w:ascii="Calibri Light" w:hAnsi="Calibri Light"/>
          <w:color w:val="595959" w:themeColor="text1" w:themeTint="A6"/>
          <w:spacing w:val="-2"/>
          <w:sz w:val="16"/>
          <w:szCs w:val="16"/>
        </w:rPr>
        <w:footnoteRef/>
      </w:r>
      <w:r w:rsidRPr="00215698">
        <w:rPr>
          <w:rFonts w:ascii="Calibri Light" w:hAnsi="Calibri Light"/>
          <w:color w:val="595959" w:themeColor="text1" w:themeTint="A6"/>
          <w:spacing w:val="-2"/>
          <w:sz w:val="16"/>
          <w:szCs w:val="16"/>
        </w:rPr>
        <w:tab/>
      </w:r>
      <w:r w:rsidRPr="00C5412D">
        <w:rPr>
          <w:rFonts w:ascii="Calibri Light" w:hAnsi="Calibri Light"/>
          <w:i/>
          <w:color w:val="595959" w:themeColor="text1" w:themeTint="A6"/>
          <w:spacing w:val="-2"/>
          <w:sz w:val="16"/>
          <w:szCs w:val="16"/>
        </w:rPr>
        <w:t>Vides politikas pamatnostādnes 2014.-2020.gadam</w:t>
      </w:r>
      <w:r w:rsidRPr="00215698">
        <w:rPr>
          <w:rFonts w:ascii="Calibri Light" w:hAnsi="Calibri Light"/>
          <w:color w:val="595959" w:themeColor="text1" w:themeTint="A6"/>
          <w:spacing w:val="-2"/>
          <w:sz w:val="16"/>
          <w:szCs w:val="16"/>
        </w:rPr>
        <w:t xml:space="preserve"> (</w:t>
      </w:r>
      <w:r w:rsidRPr="00215698">
        <w:rPr>
          <w:rFonts w:ascii="Calibri Light" w:hAnsi="Calibri Light"/>
          <w:color w:val="595959" w:themeColor="text1" w:themeTint="A6"/>
          <w:sz w:val="16"/>
          <w:szCs w:val="16"/>
        </w:rPr>
        <w:t>MK 26.03.2014.http://polsis.mk.gov.lv/</w:t>
      </w:r>
      <w:r w:rsidRPr="00215698">
        <w:rPr>
          <w:rFonts w:ascii="Calibri Light" w:hAnsi="Calibri Light"/>
          <w:color w:val="595959" w:themeColor="text1" w:themeTint="A6"/>
          <w:sz w:val="16"/>
          <w:szCs w:val="16"/>
        </w:rPr>
        <w:t>documents</w:t>
      </w:r>
      <w:r w:rsidRPr="00215698">
        <w:rPr>
          <w:rFonts w:ascii="Calibri Light" w:hAnsi="Calibri Light"/>
          <w:color w:val="595959" w:themeColor="text1" w:themeTint="A6"/>
          <w:sz w:val="16"/>
          <w:szCs w:val="16"/>
        </w:rPr>
        <w:t>/4711).</w:t>
      </w:r>
    </w:p>
  </w:footnote>
  <w:footnote w:id="61">
    <w:p w:rsidR="00A7588E" w:rsidRPr="00215698" w:rsidP="00215698" w14:paraId="392D736A"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w:t>
      </w:r>
      <w:r w:rsidRPr="00215698">
        <w:rPr>
          <w:rFonts w:ascii="Calibri Light" w:hAnsi="Calibri Light"/>
          <w:color w:val="595959" w:themeColor="text1" w:themeTint="A6"/>
          <w:sz w:val="16"/>
          <w:szCs w:val="16"/>
          <w:u w:val="single"/>
        </w:rPr>
        <w:t>http://cdr.eionet.europa.eu/lv/eu/mmr/art07_inventory/ghg_inventory/envv2e22q/</w:t>
      </w:r>
      <w:r w:rsidRPr="00215698">
        <w:rPr>
          <w:rFonts w:ascii="Calibri Light" w:hAnsi="Calibri Light"/>
          <w:color w:val="595959" w:themeColor="text1" w:themeTint="A6"/>
          <w:sz w:val="16"/>
          <w:szCs w:val="16"/>
        </w:rPr>
        <w:t>.</w:t>
      </w:r>
      <w:r w:rsidRPr="00215698">
        <w:rPr>
          <w:rFonts w:ascii="Calibri Light" w:hAnsi="Calibri Light"/>
          <w:color w:val="595959" w:themeColor="text1" w:themeTint="A6"/>
          <w:sz w:val="16"/>
          <w:szCs w:val="16"/>
        </w:rPr>
        <w:br/>
      </w:r>
      <w:r>
        <w:fldChar w:fldCharType="begin"/>
      </w:r>
      <w:r>
        <w:instrText xml:space="preserve"> HYPERLINK "http://cdr.eionet.europa.eu/lv/eu/mmr/art07_inventory/ghg_inventory/envwo8hw/" </w:instrText>
      </w:r>
      <w:r>
        <w:fldChar w:fldCharType="separate"/>
      </w:r>
      <w:r w:rsidRPr="00215698">
        <w:rPr>
          <w:rStyle w:val="Hyperlink"/>
          <w:rFonts w:ascii="Calibri Light" w:hAnsi="Calibri Light"/>
          <w:color w:val="595959" w:themeColor="text1" w:themeTint="A6"/>
          <w:sz w:val="16"/>
          <w:szCs w:val="16"/>
        </w:rPr>
        <w:t>http://cdr.eionet.europa.eu/lv/eu/mmr/art07_inventory/ghg_inventory/envwo8hw/</w:t>
      </w:r>
      <w:r>
        <w:fldChar w:fldCharType="end"/>
      </w:r>
    </w:p>
  </w:footnote>
  <w:footnote w:id="62">
    <w:p w:rsidR="00A7588E" w:rsidRPr="00215698" w:rsidP="00215698" w14:paraId="1FB1763D"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215698">
        <w:rPr>
          <w:rFonts w:ascii="Calibri Light" w:hAnsi="Calibri Light"/>
          <w:color w:val="595959" w:themeColor="text1" w:themeTint="A6"/>
          <w:sz w:val="16"/>
          <w:szCs w:val="16"/>
          <w:u w:val="single"/>
        </w:rPr>
        <w:t xml:space="preserve">http://cdr.eionet.europa.eu/lv/eu/mmr/art08_proxy/envv5gjkq/ </w:t>
      </w:r>
      <w:r>
        <w:fldChar w:fldCharType="begin"/>
      </w:r>
      <w:r>
        <w:instrText xml:space="preserve"> HYPERLINK "http://cdr.eionet.europa.eu/lv/eu/mmr/art08_proxy/envww_uig/" </w:instrText>
      </w:r>
      <w:r>
        <w:fldChar w:fldCharType="separate"/>
      </w:r>
      <w:r w:rsidRPr="00215698">
        <w:rPr>
          <w:rStyle w:val="Hyperlink"/>
          <w:rFonts w:ascii="Calibri Light" w:hAnsi="Calibri Light"/>
          <w:color w:val="595959" w:themeColor="text1" w:themeTint="A6"/>
          <w:sz w:val="16"/>
          <w:szCs w:val="16"/>
        </w:rPr>
        <w:t>http://cdr.eionet.europa.eu/lv/eu/mmr/art08_proxy/envww_uig/</w:t>
      </w:r>
      <w:r>
        <w:fldChar w:fldCharType="end"/>
      </w:r>
    </w:p>
  </w:footnote>
  <w:footnote w:id="63">
    <w:p w:rsidR="00A7588E" w:rsidRPr="00215698" w:rsidP="00215698" w14:paraId="7611B5A2"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pacing w:val="-2"/>
          <w:sz w:val="16"/>
          <w:szCs w:val="16"/>
        </w:rPr>
        <w:tab/>
      </w:r>
      <w:r w:rsidRPr="00C5412D">
        <w:rPr>
          <w:rFonts w:ascii="Calibri Light" w:hAnsi="Calibri Light"/>
          <w:i/>
          <w:color w:val="595959" w:themeColor="text1" w:themeTint="A6"/>
          <w:spacing w:val="-2"/>
          <w:sz w:val="16"/>
          <w:szCs w:val="16"/>
        </w:rPr>
        <w:t>Vides politikas pamatnostādnes 2014.-2020.gadam</w:t>
      </w:r>
      <w:r w:rsidRPr="00215698">
        <w:rPr>
          <w:rFonts w:ascii="Calibri Light" w:hAnsi="Calibri Light"/>
          <w:color w:val="595959" w:themeColor="text1" w:themeTint="A6"/>
          <w:spacing w:val="-2"/>
          <w:sz w:val="16"/>
          <w:szCs w:val="16"/>
        </w:rPr>
        <w:t xml:space="preserve"> (</w:t>
      </w:r>
      <w:r w:rsidRPr="00215698">
        <w:rPr>
          <w:rFonts w:ascii="Calibri Light" w:hAnsi="Calibri Light"/>
          <w:color w:val="595959" w:themeColor="text1" w:themeTint="A6"/>
          <w:sz w:val="16"/>
          <w:szCs w:val="16"/>
        </w:rPr>
        <w:t xml:space="preserve">MK 26.03.2014. </w:t>
      </w:r>
      <w:r w:rsidRPr="00215698">
        <w:rPr>
          <w:rFonts w:ascii="Calibri Light" w:hAnsi="Calibri Light"/>
          <w:color w:val="595959" w:themeColor="text1" w:themeTint="A6"/>
          <w:sz w:val="16"/>
          <w:szCs w:val="16"/>
          <w:u w:val="single"/>
        </w:rPr>
        <w:t>http://polsis.mk.gov.lv/documents/4711)</w:t>
      </w:r>
    </w:p>
  </w:footnote>
  <w:footnote w:id="64">
    <w:p w:rsidR="00A7588E" w:rsidRPr="00215698" w:rsidP="00D610DB" w14:paraId="2071FFE4" w14:textId="77777777">
      <w:pPr>
        <w:pStyle w:val="FootnoteText"/>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fldChar w:fldCharType="begin"/>
      </w:r>
      <w:r>
        <w:instrText xml:space="preserve"> HYPERLINK "http://cdr.eionet.europa.eu/lv/eu/mmr/art04-13-14_lcds_pams_projections/projections/envws0bea/" </w:instrText>
      </w:r>
      <w:r>
        <w:fldChar w:fldCharType="separate"/>
      </w:r>
      <w:r w:rsidRPr="00215698">
        <w:rPr>
          <w:rStyle w:val="Hyperlink"/>
          <w:rFonts w:ascii="Calibri Light" w:hAnsi="Calibri Light"/>
          <w:color w:val="595959" w:themeColor="text1" w:themeTint="A6"/>
          <w:sz w:val="16"/>
          <w:szCs w:val="16"/>
        </w:rPr>
        <w:t>http://cdr.eionet.europa.eu/lv/eu/mmr/art04-13-14_lcds_pams_projections/projections/envws0bea/</w:t>
      </w:r>
      <w:r>
        <w:fldChar w:fldCharType="end"/>
      </w:r>
      <w:r w:rsidRPr="00215698">
        <w:rPr>
          <w:rFonts w:ascii="Calibri Light" w:hAnsi="Calibri Light"/>
          <w:color w:val="595959" w:themeColor="text1" w:themeTint="A6"/>
          <w:sz w:val="16"/>
          <w:szCs w:val="16"/>
        </w:rPr>
        <w:t xml:space="preserve"> </w:t>
      </w:r>
    </w:p>
  </w:footnote>
  <w:footnote w:id="65">
    <w:p w:rsidR="00A7588E" w:rsidRPr="00215698" w:rsidP="00215698" w14:paraId="50728101"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2017.gada SEG inventarizācija, un aptuvenā SEG inventarizācija par 2016.gadu, </w:t>
      </w:r>
      <w:r w:rsidRPr="00C5412D">
        <w:rPr>
          <w:rFonts w:ascii="Calibri Light" w:hAnsi="Calibri Light"/>
          <w:i/>
          <w:color w:val="595959" w:themeColor="text1" w:themeTint="A6"/>
          <w:sz w:val="16"/>
          <w:szCs w:val="16"/>
        </w:rPr>
        <w:t>Ziņojums par SEG prognozēm, politiku un pasākumiem</w:t>
      </w:r>
      <w:r w:rsidRPr="00215698">
        <w:rPr>
          <w:rFonts w:ascii="Calibri Light" w:hAnsi="Calibri Light"/>
          <w:color w:val="595959" w:themeColor="text1" w:themeTint="A6"/>
          <w:sz w:val="16"/>
          <w:szCs w:val="16"/>
        </w:rPr>
        <w:t xml:space="preserve"> (2017.g.).</w:t>
      </w:r>
    </w:p>
  </w:footnote>
  <w:footnote w:id="66">
    <w:p w:rsidR="00A7588E" w:rsidRPr="00215698" w:rsidP="00215698" w14:paraId="53CBDF86" w14:textId="77777777">
      <w:pPr>
        <w:pStyle w:val="FootnoteText"/>
        <w:keepLines/>
        <w:spacing w:after="0"/>
        <w:ind w:left="142" w:hanging="142"/>
        <w:rPr>
          <w:rFonts w:ascii="Calibri Light" w:hAnsi="Calibri Light"/>
          <w:color w:val="595959" w:themeColor="text1" w:themeTint="A6"/>
          <w:spacing w:val="-2"/>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C5412D">
        <w:rPr>
          <w:rFonts w:ascii="Calibri Light" w:hAnsi="Calibri Light"/>
          <w:i/>
          <w:color w:val="595959" w:themeColor="text1" w:themeTint="A6"/>
          <w:spacing w:val="-2"/>
          <w:sz w:val="16"/>
          <w:szCs w:val="16"/>
        </w:rPr>
        <w:t>Vides politikas pamatnostādnes 2014.-2020.gadam</w:t>
      </w:r>
      <w:r w:rsidRPr="00215698">
        <w:rPr>
          <w:rFonts w:ascii="Calibri Light" w:hAnsi="Calibri Light"/>
          <w:color w:val="595959" w:themeColor="text1" w:themeTint="A6"/>
          <w:spacing w:val="-2"/>
          <w:sz w:val="16"/>
          <w:szCs w:val="16"/>
        </w:rPr>
        <w:t xml:space="preserve"> (</w:t>
      </w:r>
      <w:r w:rsidRPr="00215698">
        <w:rPr>
          <w:rFonts w:ascii="Calibri Light" w:hAnsi="Calibri Light"/>
          <w:color w:val="595959" w:themeColor="text1" w:themeTint="A6"/>
          <w:sz w:val="16"/>
          <w:szCs w:val="16"/>
        </w:rPr>
        <w:t xml:space="preserve">MK 26.03.2014. </w:t>
      </w:r>
      <w:r w:rsidRPr="00215698">
        <w:rPr>
          <w:rFonts w:ascii="Calibri Light" w:hAnsi="Calibri Light"/>
          <w:color w:val="595959" w:themeColor="text1" w:themeTint="A6"/>
          <w:sz w:val="16"/>
          <w:szCs w:val="16"/>
          <w:u w:val="single"/>
        </w:rPr>
        <w:t>http://polsis.mk.gov.lv/documents/4711</w:t>
      </w:r>
      <w:r w:rsidRPr="00215698">
        <w:rPr>
          <w:rFonts w:ascii="Calibri Light" w:hAnsi="Calibri Light"/>
          <w:color w:val="595959" w:themeColor="text1" w:themeTint="A6"/>
          <w:sz w:val="16"/>
          <w:szCs w:val="16"/>
        </w:rPr>
        <w:t>).</w:t>
      </w:r>
    </w:p>
  </w:footnote>
  <w:footnote w:id="67">
    <w:p w:rsidR="00A7588E" w:rsidRPr="00215698" w:rsidP="00215698" w14:paraId="4F4B018E"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 xml:space="preserve">Latvijas ES ETS operatoru iesniegtie emisiju ziņojumi, </w:t>
      </w:r>
      <w:r w:rsidRPr="00C5412D">
        <w:rPr>
          <w:rFonts w:ascii="Calibri Light" w:hAnsi="Calibri Light"/>
          <w:i/>
          <w:color w:val="595959" w:themeColor="text1" w:themeTint="A6"/>
          <w:sz w:val="16"/>
          <w:szCs w:val="16"/>
        </w:rPr>
        <w:t>Ziņojums par SEG prognozēm, politiku un pasākumiem</w:t>
      </w:r>
      <w:r w:rsidRPr="00215698">
        <w:rPr>
          <w:rFonts w:ascii="Calibri Light" w:hAnsi="Calibri Light"/>
          <w:color w:val="595959" w:themeColor="text1" w:themeTint="A6"/>
          <w:sz w:val="16"/>
          <w:szCs w:val="16"/>
        </w:rPr>
        <w:t xml:space="preserve"> (2017.g.).</w:t>
      </w:r>
    </w:p>
  </w:footnote>
  <w:footnote w:id="68">
    <w:p w:rsidR="00A7588E" w:rsidRPr="00215698" w:rsidP="00215698" w14:paraId="0B877151" w14:textId="77777777">
      <w:pPr>
        <w:pStyle w:val="FootnoteText"/>
        <w:keepLines/>
        <w:spacing w:after="0"/>
        <w:ind w:left="142" w:hanging="142"/>
        <w:rPr>
          <w:rFonts w:ascii="Calibri Light" w:hAnsi="Calibri Light"/>
          <w:color w:val="595959" w:themeColor="text1" w:themeTint="A6"/>
          <w:spacing w:val="-2"/>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r>
      <w:r w:rsidRPr="00C5412D">
        <w:rPr>
          <w:rFonts w:ascii="Calibri Light" w:hAnsi="Calibri Light"/>
          <w:i/>
          <w:color w:val="595959" w:themeColor="text1" w:themeTint="A6"/>
          <w:spacing w:val="-2"/>
          <w:sz w:val="16"/>
          <w:szCs w:val="16"/>
        </w:rPr>
        <w:t>Vides politikas pamatnostādnes 2014.-2020.gadam</w:t>
      </w:r>
      <w:r w:rsidRPr="00215698">
        <w:rPr>
          <w:rFonts w:ascii="Calibri Light" w:hAnsi="Calibri Light"/>
          <w:color w:val="595959" w:themeColor="text1" w:themeTint="A6"/>
          <w:spacing w:val="-2"/>
          <w:sz w:val="16"/>
          <w:szCs w:val="16"/>
        </w:rPr>
        <w:t xml:space="preserve"> (</w:t>
      </w:r>
      <w:r w:rsidRPr="00215698">
        <w:rPr>
          <w:rFonts w:ascii="Calibri Light" w:hAnsi="Calibri Light"/>
          <w:color w:val="595959" w:themeColor="text1" w:themeTint="A6"/>
          <w:sz w:val="16"/>
          <w:szCs w:val="16"/>
        </w:rPr>
        <w:t xml:space="preserve">MK 26.03.2014. </w:t>
      </w:r>
      <w:r w:rsidRPr="00215698">
        <w:rPr>
          <w:rFonts w:ascii="Calibri Light" w:hAnsi="Calibri Light"/>
          <w:color w:val="595959" w:themeColor="text1" w:themeTint="A6"/>
          <w:sz w:val="16"/>
          <w:szCs w:val="16"/>
          <w:u w:val="single"/>
        </w:rPr>
        <w:t>http://polsis.mk.gov.lv/documents/4711</w:t>
      </w:r>
      <w:r w:rsidRPr="00215698">
        <w:rPr>
          <w:rFonts w:ascii="Calibri Light" w:hAnsi="Calibri Light"/>
          <w:color w:val="595959" w:themeColor="text1" w:themeTint="A6"/>
          <w:sz w:val="16"/>
          <w:szCs w:val="16"/>
        </w:rPr>
        <w:t>).</w:t>
      </w:r>
    </w:p>
  </w:footnote>
  <w:footnote w:id="69">
    <w:p w:rsidR="00A7588E" w:rsidRPr="00215698" w:rsidP="00215698" w14:paraId="6612E3E6"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2017.gada SEG inventarizācija, un aptuvenā SEG inventarizācija par 2016.gadu, </w:t>
      </w:r>
      <w:r w:rsidRPr="00C5412D">
        <w:rPr>
          <w:rFonts w:ascii="Calibri Light" w:hAnsi="Calibri Light"/>
          <w:i/>
          <w:color w:val="595959" w:themeColor="text1" w:themeTint="A6"/>
          <w:sz w:val="16"/>
          <w:szCs w:val="16"/>
        </w:rPr>
        <w:t>Ziņojums par SEG prognozēm politiku un pasākumiem</w:t>
      </w:r>
      <w:r w:rsidRPr="00215698">
        <w:rPr>
          <w:rFonts w:ascii="Calibri Light" w:hAnsi="Calibri Light"/>
          <w:color w:val="595959" w:themeColor="text1" w:themeTint="A6"/>
          <w:sz w:val="16"/>
          <w:szCs w:val="16"/>
        </w:rPr>
        <w:t xml:space="preserve"> (2017.g.).</w:t>
      </w:r>
    </w:p>
  </w:footnote>
  <w:footnote w:id="70">
    <w:p w:rsidR="00A7588E" w:rsidRPr="00215698" w:rsidP="00215698" w14:paraId="7DBDE696" w14:textId="77777777">
      <w:pPr>
        <w:pStyle w:val="FootnoteText"/>
        <w:keepLines/>
        <w:spacing w:after="0"/>
        <w:ind w:left="142" w:right="-144" w:hanging="142"/>
        <w:rPr>
          <w:rFonts w:ascii="Calibri Light" w:hAnsi="Calibri Light"/>
          <w:color w:val="595959" w:themeColor="text1" w:themeTint="A6"/>
          <w:spacing w:val="-2"/>
          <w:sz w:val="16"/>
          <w:szCs w:val="16"/>
        </w:rPr>
      </w:pPr>
      <w:r w:rsidRPr="00215698">
        <w:rPr>
          <w:rStyle w:val="FootnoteReference"/>
          <w:rFonts w:ascii="Calibri Light" w:hAnsi="Calibri Light"/>
          <w:color w:val="595959" w:themeColor="text1" w:themeTint="A6"/>
          <w:spacing w:val="-2"/>
          <w:sz w:val="16"/>
          <w:szCs w:val="16"/>
        </w:rPr>
        <w:footnoteRef/>
      </w:r>
      <w:r w:rsidRPr="00215698">
        <w:rPr>
          <w:rFonts w:ascii="Calibri Light" w:hAnsi="Calibri Light"/>
          <w:color w:val="595959" w:themeColor="text1" w:themeTint="A6"/>
          <w:spacing w:val="-2"/>
          <w:sz w:val="16"/>
          <w:szCs w:val="16"/>
        </w:rPr>
        <w:tab/>
        <w:t xml:space="preserve">Ne-ETS darbību SEG emisiju samazināšanas mērķi saskaņā ar </w:t>
      </w:r>
      <w:r w:rsidRPr="00C5412D">
        <w:rPr>
          <w:rFonts w:ascii="Calibri Light" w:hAnsi="Calibri Light"/>
          <w:i/>
          <w:color w:val="595959" w:themeColor="text1" w:themeTint="A6"/>
          <w:spacing w:val="-2"/>
          <w:sz w:val="16"/>
          <w:szCs w:val="16"/>
        </w:rPr>
        <w:t>Eiropas Komisijas 2013. gada 26. marta lēmumu Nr. 2013/162/ES par dalībvalstu ikgadējo emisiju sadales apjomu noteikšanu laikposmam no 2013. līdz 2020. gadam saskaņā ar Eiropas Parlamenta un Padomes Lēmumu Nr. 406/2009/EK</w:t>
      </w:r>
      <w:r w:rsidRPr="00215698">
        <w:rPr>
          <w:rFonts w:ascii="Calibri Light" w:hAnsi="Calibri Light"/>
          <w:color w:val="595959" w:themeColor="text1" w:themeTint="A6"/>
          <w:spacing w:val="-2"/>
          <w:sz w:val="16"/>
          <w:szCs w:val="16"/>
        </w:rPr>
        <w:t xml:space="preserve">; </w:t>
      </w:r>
      <w:r w:rsidRPr="00C5412D">
        <w:rPr>
          <w:rFonts w:ascii="Calibri Light" w:hAnsi="Calibri Light"/>
          <w:i/>
          <w:color w:val="595959" w:themeColor="text1" w:themeTint="A6"/>
          <w:spacing w:val="-2"/>
          <w:sz w:val="16"/>
          <w:szCs w:val="16"/>
        </w:rPr>
        <w:t>Eiropas Komisijas 2013. gada 31. oktobra Īstenošanas lēmums Nr. 2013/634/ES par dalībvalstu ikgadējo emisiju sadales apjomu korekcijām laikposmam no 2013. līdz 2020. gadam saskaņā ar Eiropas Parlamenta un Padomes Lēmumu Nr. 406/2009/EK.406/2009/EK</w:t>
      </w:r>
      <w:r w:rsidRPr="00215698">
        <w:rPr>
          <w:rFonts w:ascii="Calibri Light" w:hAnsi="Calibri Light"/>
          <w:color w:val="595959" w:themeColor="text1" w:themeTint="A6"/>
          <w:spacing w:val="-2"/>
          <w:sz w:val="16"/>
          <w:szCs w:val="16"/>
        </w:rPr>
        <w:t xml:space="preserve">; </w:t>
      </w:r>
      <w:r w:rsidRPr="00C5412D">
        <w:rPr>
          <w:rFonts w:ascii="Calibri Light" w:hAnsi="Calibri Light"/>
          <w:i/>
          <w:color w:val="595959" w:themeColor="text1" w:themeTint="A6"/>
          <w:spacing w:val="-2"/>
          <w:sz w:val="16"/>
          <w:szCs w:val="16"/>
        </w:rPr>
        <w:t>Eiropas Komisijas 2017. gada 10. augusta lēmums Nr.2017/1471, ar ko lēmumu 2013/162/ES groza, lai pārskatītu dalībvalstu ikgadējo emisiju sadales apjomu laikposmam no 2017. līdz 2020. gadam</w:t>
      </w:r>
      <w:r>
        <w:rPr>
          <w:rFonts w:ascii="Calibri Light" w:hAnsi="Calibri Light"/>
          <w:i/>
          <w:color w:val="595959" w:themeColor="text1" w:themeTint="A6"/>
          <w:spacing w:val="-2"/>
          <w:sz w:val="16"/>
          <w:szCs w:val="16"/>
        </w:rPr>
        <w:t>.</w:t>
      </w:r>
    </w:p>
  </w:footnote>
  <w:footnote w:id="71">
    <w:p w:rsidR="00A7588E" w:rsidRPr="00215698" w:rsidP="00215698" w14:paraId="7944083E"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 xml:space="preserve"> </w:t>
      </w:r>
      <w:r w:rsidRPr="00215698">
        <w:rPr>
          <w:rFonts w:ascii="Calibri Light" w:hAnsi="Calibri Light"/>
          <w:color w:val="595959" w:themeColor="text1" w:themeTint="A6"/>
          <w:sz w:val="16"/>
          <w:szCs w:val="16"/>
        </w:rPr>
        <w:tab/>
      </w:r>
      <w:r w:rsidRPr="004E7CB5">
        <w:rPr>
          <w:rFonts w:ascii="Calibri Light" w:hAnsi="Calibri Light"/>
          <w:i/>
          <w:color w:val="595959" w:themeColor="text1" w:themeTint="A6"/>
          <w:sz w:val="16"/>
          <w:szCs w:val="16"/>
        </w:rPr>
        <w:t>Eiropas Parlamenta un Padomes Regula (ES) Nr.1303/2013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un Kohēzijas fondu un atceļ padomes regulu (EK) Nr.1083/2006</w:t>
      </w:r>
      <w:r w:rsidRPr="00215698">
        <w:rPr>
          <w:rFonts w:ascii="Calibri Light" w:hAnsi="Calibri Light"/>
          <w:color w:val="595959" w:themeColor="text1" w:themeTint="A6"/>
          <w:sz w:val="16"/>
          <w:szCs w:val="16"/>
        </w:rPr>
        <w:t>.</w:t>
      </w:r>
    </w:p>
  </w:footnote>
  <w:footnote w:id="72">
    <w:p w:rsidR="00A7588E" w:rsidRPr="00215698" w:rsidP="00215698" w14:paraId="41FD2730"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Apstiprināts ar MK 2014.gada 19.jūnija rīkojumu Nr.313 “</w:t>
      </w:r>
      <w:r w:rsidRPr="00215698">
        <w:rPr>
          <w:rFonts w:ascii="Calibri Light" w:hAnsi="Calibri Light"/>
          <w:i/>
          <w:color w:val="595959" w:themeColor="text1" w:themeTint="A6"/>
          <w:sz w:val="16"/>
          <w:szCs w:val="16"/>
        </w:rPr>
        <w:t>Par Partnerības līgumu Eiropas Savienības investīciju fondu 2014.-2020.gada plānošanas periodam</w:t>
      </w:r>
      <w:r w:rsidRPr="00215698">
        <w:rPr>
          <w:rFonts w:ascii="Calibri Light" w:hAnsi="Calibri Light"/>
          <w:color w:val="595959" w:themeColor="text1" w:themeTint="A6"/>
          <w:sz w:val="16"/>
          <w:szCs w:val="16"/>
        </w:rPr>
        <w:t xml:space="preserve">” un EK 2014.gada 20.jūnija lēmumu C(2014) 4237 par Partnerības līguma apstiprināšanu. </w:t>
      </w:r>
    </w:p>
  </w:footnote>
  <w:footnote w:id="73">
    <w:p w:rsidR="00A7588E" w:rsidRPr="00215698" w:rsidP="00215698" w14:paraId="27D52F3C" w14:textId="77777777">
      <w:pPr>
        <w:pStyle w:val="FootnoteText"/>
        <w:keepLines/>
        <w:spacing w:after="0"/>
        <w:ind w:left="142" w:hanging="142"/>
        <w:rPr>
          <w:rFonts w:ascii="Calibri Light" w:hAnsi="Calibri Light"/>
          <w:color w:val="595959" w:themeColor="text1" w:themeTint="A6"/>
          <w:sz w:val="16"/>
          <w:szCs w:val="16"/>
        </w:rPr>
      </w:pPr>
      <w:r w:rsidRPr="00215698">
        <w:rPr>
          <w:rStyle w:val="FootnoteReference"/>
          <w:rFonts w:ascii="Calibri Light" w:hAnsi="Calibri Light"/>
          <w:color w:val="595959" w:themeColor="text1" w:themeTint="A6"/>
          <w:sz w:val="16"/>
          <w:szCs w:val="16"/>
        </w:rPr>
        <w:footnoteRef/>
      </w:r>
      <w:r w:rsidRPr="00215698">
        <w:rPr>
          <w:rFonts w:ascii="Calibri Light" w:hAnsi="Calibri Light"/>
          <w:color w:val="595959" w:themeColor="text1" w:themeTint="A6"/>
          <w:sz w:val="16"/>
          <w:szCs w:val="16"/>
        </w:rPr>
        <w:tab/>
        <w:t>Apstiprināta ar MK 2015.gada 4.februāra rīkojumu Nr.62 “</w:t>
      </w:r>
      <w:r w:rsidRPr="00215698">
        <w:rPr>
          <w:rFonts w:ascii="Calibri Light" w:hAnsi="Calibri Light"/>
          <w:i/>
          <w:color w:val="595959" w:themeColor="text1" w:themeTint="A6"/>
          <w:sz w:val="16"/>
          <w:szCs w:val="16"/>
        </w:rPr>
        <w:t>Par ES struktūrfondu un Kohēzijas fonda 2014.-2020.gada plānošanas perioda darbības programmu “Izaugsme un nodarbinātība</w:t>
      </w:r>
      <w:r w:rsidRPr="00215698">
        <w:rPr>
          <w:rFonts w:ascii="Calibri Light" w:hAnsi="Calibri Light"/>
          <w:color w:val="595959" w:themeColor="text1" w:themeTint="A6"/>
          <w:sz w:val="16"/>
          <w:szCs w:val="16"/>
        </w:rPr>
        <w:t xml:space="preserve">”” un EK 2014.gada 11.novembra lēmumu </w:t>
      </w:r>
      <w:r w:rsidRPr="00215698">
        <w:rPr>
          <w:rFonts w:ascii="Calibri Light" w:hAnsi="Calibri Light"/>
          <w:i/>
          <w:color w:val="595959" w:themeColor="text1" w:themeTint="A6"/>
          <w:sz w:val="16"/>
          <w:szCs w:val="16"/>
        </w:rPr>
        <w:t>C(2014)8508 par darbības programmas „Izaugsme un nodarbinātība”</w:t>
      </w:r>
      <w:r w:rsidRPr="00215698">
        <w:rPr>
          <w:rFonts w:ascii="Calibri Light" w:hAnsi="Calibri Light"/>
          <w:color w:val="595959" w:themeColor="text1" w:themeTint="A6"/>
          <w:sz w:val="16"/>
          <w:szCs w:val="16"/>
        </w:rPr>
        <w:t xml:space="preserve"> apstiprināšanu.</w:t>
      </w:r>
    </w:p>
  </w:footnote>
  <w:footnote w:id="74">
    <w:p w:rsidR="00A7588E" w:rsidRPr="005565F8" w:rsidP="00F36D69" w14:paraId="3881DF9F" w14:textId="77777777">
      <w:pPr>
        <w:pStyle w:val="FootnoteText"/>
        <w:spacing w:after="0"/>
        <w:rPr>
          <w:sz w:val="16"/>
          <w:szCs w:val="16"/>
        </w:rPr>
      </w:pPr>
      <w:r w:rsidRPr="005565F8">
        <w:rPr>
          <w:rStyle w:val="FootnoteReference"/>
          <w:sz w:val="16"/>
          <w:szCs w:val="16"/>
        </w:rPr>
        <w:footnoteRef/>
      </w:r>
      <w:r w:rsidRPr="005565F8">
        <w:rPr>
          <w:sz w:val="16"/>
          <w:szCs w:val="16"/>
        </w:rPr>
        <w:t xml:space="preserve"> Pasākumu īstenošanu plānots pabeigt 2019.gadā.</w:t>
      </w:r>
    </w:p>
  </w:footnote>
  <w:footnote w:id="75">
    <w:p w:rsidR="00A7588E" w:rsidRPr="005565F8" w:rsidP="00F36D69" w14:paraId="696CB3E5" w14:textId="77777777">
      <w:pPr>
        <w:pStyle w:val="FootnoteText"/>
        <w:spacing w:after="0"/>
        <w:rPr>
          <w:sz w:val="16"/>
          <w:szCs w:val="16"/>
        </w:rPr>
      </w:pPr>
      <w:r w:rsidRPr="005565F8">
        <w:rPr>
          <w:rStyle w:val="FootnoteReference"/>
          <w:sz w:val="16"/>
          <w:szCs w:val="16"/>
        </w:rPr>
        <w:footnoteRef/>
      </w:r>
      <w:r w:rsidRPr="005565F8">
        <w:rPr>
          <w:sz w:val="16"/>
          <w:szCs w:val="16"/>
        </w:rPr>
        <w:t xml:space="preserve"> https://likumi.lv/ta/id/274081-darbibas-programmas-izaugsme-un-nodarbinatiba-7-2-1-specifiska-atbalsta-merka-palielinat-nodarbinatiba-izglitiba-vai</w:t>
      </w:r>
    </w:p>
  </w:footnote>
  <w:footnote w:id="76">
    <w:p w:rsidR="00A7588E" w:rsidRPr="00F36D69" w:rsidP="00F36D69" w14:paraId="0A3E4FEE" w14:textId="77777777">
      <w:pPr>
        <w:pStyle w:val="FootnoteText"/>
        <w:spacing w:after="0"/>
        <w:rPr>
          <w:rFonts w:ascii="Times New Roman" w:hAnsi="Times New Roman"/>
          <w:sz w:val="16"/>
          <w:szCs w:val="16"/>
        </w:rPr>
      </w:pPr>
      <w:r w:rsidRPr="005565F8">
        <w:rPr>
          <w:rStyle w:val="FootnoteReference"/>
          <w:sz w:val="16"/>
          <w:szCs w:val="16"/>
        </w:rPr>
        <w:footnoteRef/>
      </w:r>
      <w:r w:rsidRPr="005565F8">
        <w:rPr>
          <w:rStyle w:val="FootnoteReference"/>
          <w:sz w:val="16"/>
          <w:szCs w:val="16"/>
        </w:rPr>
        <w:t xml:space="preserve"> </w:t>
      </w:r>
      <w:r w:rsidRPr="005565F8">
        <w:rPr>
          <w:sz w:val="16"/>
          <w:szCs w:val="16"/>
        </w:rPr>
        <w:t>Privāto līdzfinansējumu veido darba devēju izmaksas jauniešu darba algai, iesaistoties pasākumos „Pirmā darba pieredze jaunietim” un „Subsidētās darba vietas jauniešiem bezdarbniekiem (pasākumos noteiktām personu grupām)”.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942" w14:paraId="555DA9F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942" w14:paraId="18AF8A3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942" w14:paraId="1A647A2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014A1C26"/>
    <w:multiLevelType w:val="hybridMultilevel"/>
    <w:tmpl w:val="D1FC2C36"/>
    <w:lvl w:ilvl="0">
      <w:start w:val="1"/>
      <w:numFmt w:val="bullet"/>
      <w:lvlText w:val="–"/>
      <w:lvlJc w:val="left"/>
      <w:pPr>
        <w:ind w:left="720" w:hanging="360"/>
      </w:pPr>
      <w:rPr>
        <w:rFonts w:ascii="Times New Roman" w:hAnsi="Times New Roman" w:cs="Times New Roman" w:hint="default"/>
        <w:i w:val="0"/>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1">
    <w:nsid w:val="02DE219F"/>
    <w:multiLevelType w:val="hybridMultilevel"/>
    <w:tmpl w:val="2FCAC3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1">
    <w:nsid w:val="04637D72"/>
    <w:multiLevelType w:val="hybridMultilevel"/>
    <w:tmpl w:val="AA5AB24A"/>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3" w15:restartNumberingAfterBreak="1">
    <w:nsid w:val="064D6133"/>
    <w:multiLevelType w:val="hybridMultilevel"/>
    <w:tmpl w:val="3E0CCF80"/>
    <w:lvl w:ilvl="0">
      <w:start w:val="46"/>
      <w:numFmt w:val="bullet"/>
      <w:lvlText w:val="–"/>
      <w:lvlJc w:val="left"/>
      <w:pPr>
        <w:ind w:left="1287" w:hanging="360"/>
      </w:pPr>
      <w:rPr>
        <w:rFonts w:ascii="Times New Roman"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 w15:restartNumberingAfterBreak="1">
    <w:nsid w:val="0FE86032"/>
    <w:multiLevelType w:val="hybridMultilevel"/>
    <w:tmpl w:val="7080389E"/>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5" w15:restartNumberingAfterBreak="1">
    <w:nsid w:val="1A5C651A"/>
    <w:multiLevelType w:val="hybridMultilevel"/>
    <w:tmpl w:val="C2C0B788"/>
    <w:lvl w:ilvl="0">
      <w:start w:val="1"/>
      <w:numFmt w:val="bullet"/>
      <w:lvlText w:val="−"/>
      <w:lvlJc w:val="left"/>
      <w:pPr>
        <w:ind w:left="927" w:hanging="360"/>
      </w:pPr>
      <w:rPr>
        <w:rFonts w:ascii="Times New Roman" w:hAnsi="Times New Roman" w:cs="Times New Roman"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6" w15:restartNumberingAfterBreak="1">
    <w:nsid w:val="1ADF0280"/>
    <w:multiLevelType w:val="hybridMultilevel"/>
    <w:tmpl w:val="48E85DAE"/>
    <w:lvl w:ilvl="0">
      <w:start w:val="0"/>
      <w:numFmt w:val="bullet"/>
      <w:lvlText w:val="–"/>
      <w:lvlJc w:val="left"/>
      <w:pPr>
        <w:ind w:left="1287" w:hanging="360"/>
      </w:pPr>
      <w:rPr>
        <w:rFonts w:ascii="Times New Roman" w:eastAsia="Calibri"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7" w15:restartNumberingAfterBreak="1">
    <w:nsid w:val="1E7F2AFF"/>
    <w:multiLevelType w:val="hybridMultilevel"/>
    <w:tmpl w:val="5FC0C074"/>
    <w:lvl w:ilvl="0">
      <w:start w:val="1"/>
      <w:numFmt w:val="bullet"/>
      <w:lvlText w:val="–"/>
      <w:lvlJc w:val="left"/>
      <w:pPr>
        <w:ind w:left="360" w:hanging="360"/>
      </w:pPr>
      <w:rPr>
        <w:rFonts w:ascii="Times New Roman" w:hAnsi="Times New Roman" w:cs="Times New Roman" w:hint="default"/>
        <w:i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15:restartNumberingAfterBreak="1">
    <w:nsid w:val="1EBF46AD"/>
    <w:multiLevelType w:val="hybridMultilevel"/>
    <w:tmpl w:val="1D1037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1">
    <w:nsid w:val="202850B0"/>
    <w:multiLevelType w:val="hybridMultilevel"/>
    <w:tmpl w:val="5470B822"/>
    <w:lvl w:ilvl="0">
      <w:start w:val="0"/>
      <w:numFmt w:val="bullet"/>
      <w:lvlText w:val="–"/>
      <w:lvlJc w:val="left"/>
      <w:pPr>
        <w:ind w:left="720" w:hanging="360"/>
      </w:pPr>
      <w:rPr>
        <w:rFonts w:ascii="Times New Roman" w:eastAsia="Calibri"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1">
    <w:nsid w:val="20923688"/>
    <w:multiLevelType w:val="hybridMultilevel"/>
    <w:tmpl w:val="9356CB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1">
    <w:nsid w:val="20BA4842"/>
    <w:multiLevelType w:val="hybridMultilevel"/>
    <w:tmpl w:val="87E4C2E2"/>
    <w:lvl w:ilvl="0">
      <w:start w:val="0"/>
      <w:numFmt w:val="bullet"/>
      <w:lvlText w:val="-"/>
      <w:lvlJc w:val="left"/>
      <w:pPr>
        <w:ind w:left="720" w:hanging="360"/>
      </w:pPr>
      <w:rPr>
        <w:rFonts w:ascii="Times New Roman" w:eastAsia="Times New Roman" w:hAnsi="Times New Roman" w:cs="Times New Roman" w:hint="default"/>
        <w:b/>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1">
    <w:nsid w:val="25EB7474"/>
    <w:multiLevelType w:val="hybridMultilevel"/>
    <w:tmpl w:val="592436F8"/>
    <w:lvl w:ilvl="0">
      <w:start w:val="1"/>
      <w:numFmt w:val="bullet"/>
      <w:lvlText w:val="–"/>
      <w:lvlJc w:val="left"/>
      <w:pPr>
        <w:ind w:left="360" w:hanging="360"/>
      </w:pPr>
      <w:rPr>
        <w:rFonts w:asciiTheme="majorHAnsi" w:hAnsiTheme="majorHAnsi" w:cs="Times New Roman" w:hint="default"/>
        <w:b w:val="0"/>
        <w:i w:val="0"/>
        <w:color w:val="auto"/>
        <w:sz w:val="20"/>
        <w:szCs w:val="20"/>
      </w:rPr>
    </w:lvl>
    <w:lvl w:ilvl="1" w:tentative="1">
      <w:start w:val="1"/>
      <w:numFmt w:val="lowerLetter"/>
      <w:lvlText w:val="%2."/>
      <w:lvlJc w:val="left"/>
      <w:pPr>
        <w:ind w:left="1014" w:hanging="360"/>
      </w:pPr>
    </w:lvl>
    <w:lvl w:ilvl="2" w:tentative="1">
      <w:start w:val="1"/>
      <w:numFmt w:val="lowerRoman"/>
      <w:lvlText w:val="%3."/>
      <w:lvlJc w:val="right"/>
      <w:pPr>
        <w:ind w:left="1734" w:hanging="180"/>
      </w:pPr>
    </w:lvl>
    <w:lvl w:ilvl="3" w:tentative="1">
      <w:start w:val="1"/>
      <w:numFmt w:val="decimal"/>
      <w:lvlText w:val="%4."/>
      <w:lvlJc w:val="left"/>
      <w:pPr>
        <w:ind w:left="2454" w:hanging="360"/>
      </w:pPr>
    </w:lvl>
    <w:lvl w:ilvl="4" w:tentative="1">
      <w:start w:val="1"/>
      <w:numFmt w:val="lowerLetter"/>
      <w:lvlText w:val="%5."/>
      <w:lvlJc w:val="left"/>
      <w:pPr>
        <w:ind w:left="3174" w:hanging="360"/>
      </w:pPr>
    </w:lvl>
    <w:lvl w:ilvl="5" w:tentative="1">
      <w:start w:val="1"/>
      <w:numFmt w:val="lowerRoman"/>
      <w:lvlText w:val="%6."/>
      <w:lvlJc w:val="right"/>
      <w:pPr>
        <w:ind w:left="3894" w:hanging="180"/>
      </w:pPr>
    </w:lvl>
    <w:lvl w:ilvl="6" w:tentative="1">
      <w:start w:val="1"/>
      <w:numFmt w:val="decimal"/>
      <w:lvlText w:val="%7."/>
      <w:lvlJc w:val="left"/>
      <w:pPr>
        <w:ind w:left="4614" w:hanging="360"/>
      </w:pPr>
    </w:lvl>
    <w:lvl w:ilvl="7" w:tentative="1">
      <w:start w:val="1"/>
      <w:numFmt w:val="lowerLetter"/>
      <w:lvlText w:val="%8."/>
      <w:lvlJc w:val="left"/>
      <w:pPr>
        <w:ind w:left="5334" w:hanging="360"/>
      </w:pPr>
    </w:lvl>
    <w:lvl w:ilvl="8" w:tentative="1">
      <w:start w:val="1"/>
      <w:numFmt w:val="lowerRoman"/>
      <w:lvlText w:val="%9."/>
      <w:lvlJc w:val="right"/>
      <w:pPr>
        <w:ind w:left="6054" w:hanging="180"/>
      </w:pPr>
    </w:lvl>
  </w:abstractNum>
  <w:abstractNum w:abstractNumId="13" w15:restartNumberingAfterBreak="1">
    <w:nsid w:val="29C517C0"/>
    <w:multiLevelType w:val="hybridMultilevel"/>
    <w:tmpl w:val="A9DE55A4"/>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1">
    <w:nsid w:val="2AAF3380"/>
    <w:multiLevelType w:val="hybridMultilevel"/>
    <w:tmpl w:val="ED768AF2"/>
    <w:lvl w:ilvl="0">
      <w:start w:val="1"/>
      <w:numFmt w:val="bullet"/>
      <w:lvlText w:val="–"/>
      <w:lvlJc w:val="left"/>
      <w:pPr>
        <w:ind w:left="720" w:hanging="360"/>
      </w:pPr>
      <w:rPr>
        <w:rFonts w:ascii="Times New Roman" w:hAnsi="Times New Roman" w:cs="Times New Roman" w:hint="default"/>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1">
    <w:nsid w:val="2CBA0C6C"/>
    <w:multiLevelType w:val="hybridMultilevel"/>
    <w:tmpl w:val="6AE8B7E0"/>
    <w:lvl w:ilvl="0">
      <w:start w:val="1"/>
      <w:numFmt w:val="bullet"/>
      <w:lvlText w:val=""/>
      <w:lvlJc w:val="left"/>
      <w:pPr>
        <w:ind w:left="1346" w:hanging="360"/>
      </w:pPr>
      <w:rPr>
        <w:rFonts w:ascii="Symbol" w:hAnsi="Symbol" w:hint="default"/>
      </w:rPr>
    </w:lvl>
    <w:lvl w:ilvl="1" w:tentative="1">
      <w:start w:val="1"/>
      <w:numFmt w:val="lowerLetter"/>
      <w:lvlText w:val="%2."/>
      <w:lvlJc w:val="left"/>
      <w:pPr>
        <w:ind w:left="2066" w:hanging="360"/>
      </w:pPr>
    </w:lvl>
    <w:lvl w:ilvl="2" w:tentative="1">
      <w:start w:val="1"/>
      <w:numFmt w:val="lowerRoman"/>
      <w:lvlText w:val="%3."/>
      <w:lvlJc w:val="right"/>
      <w:pPr>
        <w:ind w:left="2786" w:hanging="180"/>
      </w:pPr>
    </w:lvl>
    <w:lvl w:ilvl="3" w:tentative="1">
      <w:start w:val="1"/>
      <w:numFmt w:val="decimal"/>
      <w:lvlText w:val="%4."/>
      <w:lvlJc w:val="left"/>
      <w:pPr>
        <w:ind w:left="3506" w:hanging="360"/>
      </w:pPr>
    </w:lvl>
    <w:lvl w:ilvl="4" w:tentative="1">
      <w:start w:val="1"/>
      <w:numFmt w:val="lowerLetter"/>
      <w:lvlText w:val="%5."/>
      <w:lvlJc w:val="left"/>
      <w:pPr>
        <w:ind w:left="4226" w:hanging="360"/>
      </w:pPr>
    </w:lvl>
    <w:lvl w:ilvl="5" w:tentative="1">
      <w:start w:val="1"/>
      <w:numFmt w:val="lowerRoman"/>
      <w:lvlText w:val="%6."/>
      <w:lvlJc w:val="right"/>
      <w:pPr>
        <w:ind w:left="4946" w:hanging="180"/>
      </w:pPr>
    </w:lvl>
    <w:lvl w:ilvl="6" w:tentative="1">
      <w:start w:val="1"/>
      <w:numFmt w:val="decimal"/>
      <w:lvlText w:val="%7."/>
      <w:lvlJc w:val="left"/>
      <w:pPr>
        <w:ind w:left="5666" w:hanging="360"/>
      </w:pPr>
    </w:lvl>
    <w:lvl w:ilvl="7" w:tentative="1">
      <w:start w:val="1"/>
      <w:numFmt w:val="lowerLetter"/>
      <w:lvlText w:val="%8."/>
      <w:lvlJc w:val="left"/>
      <w:pPr>
        <w:ind w:left="6386" w:hanging="360"/>
      </w:pPr>
    </w:lvl>
    <w:lvl w:ilvl="8" w:tentative="1">
      <w:start w:val="1"/>
      <w:numFmt w:val="lowerRoman"/>
      <w:lvlText w:val="%9."/>
      <w:lvlJc w:val="right"/>
      <w:pPr>
        <w:ind w:left="7106" w:hanging="180"/>
      </w:pPr>
    </w:lvl>
  </w:abstractNum>
  <w:abstractNum w:abstractNumId="16" w15:restartNumberingAfterBreak="1">
    <w:nsid w:val="2FB312B6"/>
    <w:multiLevelType w:val="hybridMultilevel"/>
    <w:tmpl w:val="F6A24D8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1">
    <w:nsid w:val="30E74B02"/>
    <w:multiLevelType w:val="hybridMultilevel"/>
    <w:tmpl w:val="847616B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15:restartNumberingAfterBreak="1">
    <w:nsid w:val="341714A7"/>
    <w:multiLevelType w:val="hybridMultilevel"/>
    <w:tmpl w:val="0FB28948"/>
    <w:lvl w:ilvl="0">
      <w:start w:val="1"/>
      <w:numFmt w:val="bullet"/>
      <w:lvlText w:val="–"/>
      <w:lvlJc w:val="left"/>
      <w:pPr>
        <w:ind w:left="720" w:hanging="360"/>
      </w:pPr>
      <w:rPr>
        <w:rFonts w:ascii="Times New Roman" w:hAnsi="Times New Roman" w:cs="Times New Roman" w:hint="default"/>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1">
    <w:nsid w:val="35AF3589"/>
    <w:multiLevelType w:val="hybridMultilevel"/>
    <w:tmpl w:val="EEE462DE"/>
    <w:lvl w:ilvl="0">
      <w:start w:val="0"/>
      <w:numFmt w:val="bullet"/>
      <w:lvlText w:val="-"/>
      <w:lvlJc w:val="left"/>
      <w:pPr>
        <w:ind w:left="720" w:hanging="360"/>
      </w:pPr>
      <w:rPr>
        <w:rFonts w:ascii="Times New Roman" w:eastAsia="Times New Roman" w:hAnsi="Times New Roman" w:cs="Times New Roman" w:hint="default"/>
        <w:b/>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1">
    <w:nsid w:val="35D97B21"/>
    <w:multiLevelType w:val="hybridMultilevel"/>
    <w:tmpl w:val="0EE6F978"/>
    <w:lvl w:ilvl="0">
      <w:start w:val="1"/>
      <w:numFmt w:val="bullet"/>
      <w:lvlText w:val="–"/>
      <w:lvlJc w:val="left"/>
      <w:pPr>
        <w:ind w:left="765" w:hanging="360"/>
      </w:pPr>
      <w:rPr>
        <w:rFonts w:ascii="Times New Roman" w:eastAsia="Times New Roman" w:hAnsi="Times New Roman" w:cs="Times New Roman" w:hint="default"/>
        <w:strike w:val="0"/>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21" w15:restartNumberingAfterBreak="1">
    <w:nsid w:val="37366279"/>
    <w:multiLevelType w:val="hybridMultilevel"/>
    <w:tmpl w:val="333ABD48"/>
    <w:lvl w:ilvl="0">
      <w:start w:val="1"/>
      <w:numFmt w:val="bullet"/>
      <w:lvlText w:val="–"/>
      <w:lvlJc w:val="left"/>
      <w:pPr>
        <w:ind w:left="1571" w:hanging="360"/>
      </w:pPr>
      <w:rPr>
        <w:rFonts w:ascii="Times New Roman" w:hAnsi="Times New Roman" w:cs="Times New Roman" w:hint="default"/>
        <w:i w:val="0"/>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22" w15:restartNumberingAfterBreak="1">
    <w:nsid w:val="40442AF3"/>
    <w:multiLevelType w:val="hybridMultilevel"/>
    <w:tmpl w:val="CB32E2AE"/>
    <w:lvl w:ilvl="0">
      <w:start w:val="1"/>
      <w:numFmt w:val="bullet"/>
      <w:lvlText w:val=""/>
      <w:lvlJc w:val="left"/>
      <w:pPr>
        <w:ind w:left="643" w:hanging="360"/>
      </w:pPr>
      <w:rPr>
        <w:rFonts w:ascii="Symbol" w:hAnsi="Symbol" w:hint="default"/>
      </w:rPr>
    </w:lvl>
    <w:lvl w:ilvl="1" w:tentative="1">
      <w:start w:val="1"/>
      <w:numFmt w:val="bullet"/>
      <w:lvlText w:val="o"/>
      <w:lvlJc w:val="left"/>
      <w:pPr>
        <w:ind w:left="1363" w:hanging="360"/>
      </w:pPr>
      <w:rPr>
        <w:rFonts w:ascii="Courier New" w:hAnsi="Courier New" w:cs="Courier New" w:hint="default"/>
      </w:rPr>
    </w:lvl>
    <w:lvl w:ilvl="2" w:tentative="1">
      <w:start w:val="1"/>
      <w:numFmt w:val="bullet"/>
      <w:lvlText w:val=""/>
      <w:lvlJc w:val="left"/>
      <w:pPr>
        <w:ind w:left="2083" w:hanging="360"/>
      </w:pPr>
      <w:rPr>
        <w:rFonts w:ascii="Wingdings" w:hAnsi="Wingdings" w:hint="default"/>
      </w:rPr>
    </w:lvl>
    <w:lvl w:ilvl="3" w:tentative="1">
      <w:start w:val="1"/>
      <w:numFmt w:val="bullet"/>
      <w:lvlText w:val=""/>
      <w:lvlJc w:val="left"/>
      <w:pPr>
        <w:ind w:left="2803" w:hanging="360"/>
      </w:pPr>
      <w:rPr>
        <w:rFonts w:ascii="Symbol" w:hAnsi="Symbol" w:hint="default"/>
      </w:rPr>
    </w:lvl>
    <w:lvl w:ilvl="4" w:tentative="1">
      <w:start w:val="1"/>
      <w:numFmt w:val="bullet"/>
      <w:lvlText w:val="o"/>
      <w:lvlJc w:val="left"/>
      <w:pPr>
        <w:ind w:left="3523" w:hanging="360"/>
      </w:pPr>
      <w:rPr>
        <w:rFonts w:ascii="Courier New" w:hAnsi="Courier New" w:cs="Courier New" w:hint="default"/>
      </w:rPr>
    </w:lvl>
    <w:lvl w:ilvl="5" w:tentative="1">
      <w:start w:val="1"/>
      <w:numFmt w:val="bullet"/>
      <w:lvlText w:val=""/>
      <w:lvlJc w:val="left"/>
      <w:pPr>
        <w:ind w:left="4243" w:hanging="360"/>
      </w:pPr>
      <w:rPr>
        <w:rFonts w:ascii="Wingdings" w:hAnsi="Wingdings" w:hint="default"/>
      </w:rPr>
    </w:lvl>
    <w:lvl w:ilvl="6" w:tentative="1">
      <w:start w:val="1"/>
      <w:numFmt w:val="bullet"/>
      <w:lvlText w:val=""/>
      <w:lvlJc w:val="left"/>
      <w:pPr>
        <w:ind w:left="4963" w:hanging="360"/>
      </w:pPr>
      <w:rPr>
        <w:rFonts w:ascii="Symbol" w:hAnsi="Symbol" w:hint="default"/>
      </w:rPr>
    </w:lvl>
    <w:lvl w:ilvl="7" w:tentative="1">
      <w:start w:val="1"/>
      <w:numFmt w:val="bullet"/>
      <w:lvlText w:val="o"/>
      <w:lvlJc w:val="left"/>
      <w:pPr>
        <w:ind w:left="5683" w:hanging="360"/>
      </w:pPr>
      <w:rPr>
        <w:rFonts w:ascii="Courier New" w:hAnsi="Courier New" w:cs="Courier New" w:hint="default"/>
      </w:rPr>
    </w:lvl>
    <w:lvl w:ilvl="8" w:tentative="1">
      <w:start w:val="1"/>
      <w:numFmt w:val="bullet"/>
      <w:lvlText w:val=""/>
      <w:lvlJc w:val="left"/>
      <w:pPr>
        <w:ind w:left="6403" w:hanging="360"/>
      </w:pPr>
      <w:rPr>
        <w:rFonts w:ascii="Wingdings" w:hAnsi="Wingdings" w:hint="default"/>
      </w:rPr>
    </w:lvl>
  </w:abstractNum>
  <w:abstractNum w:abstractNumId="23" w15:restartNumberingAfterBreak="1">
    <w:nsid w:val="41383168"/>
    <w:multiLevelType w:val="hybridMultilevel"/>
    <w:tmpl w:val="1FD81E28"/>
    <w:lvl w:ilvl="0">
      <w:start w:val="0"/>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1">
    <w:nsid w:val="45982464"/>
    <w:multiLevelType w:val="hybridMultilevel"/>
    <w:tmpl w:val="6D3271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1">
    <w:nsid w:val="45A50638"/>
    <w:multiLevelType w:val="hybridMultilevel"/>
    <w:tmpl w:val="7ED2BE7C"/>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1">
    <w:nsid w:val="46D219F1"/>
    <w:multiLevelType w:val="hybridMultilevel"/>
    <w:tmpl w:val="B01A79EE"/>
    <w:lvl w:ilvl="0">
      <w:start w:val="1"/>
      <w:numFmt w:val="bullet"/>
      <w:lvlText w:val="−"/>
      <w:lvlJc w:val="left"/>
      <w:pPr>
        <w:ind w:left="927" w:hanging="360"/>
      </w:pPr>
      <w:rPr>
        <w:rFonts w:ascii="Times New Roman" w:hAnsi="Times New Roman" w:cs="Times New Roman" w:hint="default"/>
      </w:rPr>
    </w:lvl>
    <w:lvl w:ilvl="1" w:tentative="1">
      <w:start w:val="1"/>
      <w:numFmt w:val="bullet"/>
      <w:lvlText w:val="o"/>
      <w:lvlJc w:val="left"/>
      <w:pPr>
        <w:ind w:left="1167" w:hanging="360"/>
      </w:pPr>
      <w:rPr>
        <w:rFonts w:ascii="Courier New" w:hAnsi="Courier New" w:cs="Courier New" w:hint="default"/>
      </w:rPr>
    </w:lvl>
    <w:lvl w:ilvl="2" w:tentative="1">
      <w:start w:val="1"/>
      <w:numFmt w:val="bullet"/>
      <w:lvlText w:val=""/>
      <w:lvlJc w:val="left"/>
      <w:pPr>
        <w:ind w:left="1887" w:hanging="360"/>
      </w:pPr>
      <w:rPr>
        <w:rFonts w:ascii="Wingdings" w:hAnsi="Wingdings" w:hint="default"/>
      </w:rPr>
    </w:lvl>
    <w:lvl w:ilvl="3" w:tentative="1">
      <w:start w:val="1"/>
      <w:numFmt w:val="bullet"/>
      <w:lvlText w:val=""/>
      <w:lvlJc w:val="left"/>
      <w:pPr>
        <w:ind w:left="2607" w:hanging="360"/>
      </w:pPr>
      <w:rPr>
        <w:rFonts w:ascii="Symbol" w:hAnsi="Symbol" w:hint="default"/>
      </w:rPr>
    </w:lvl>
    <w:lvl w:ilvl="4" w:tentative="1">
      <w:start w:val="1"/>
      <w:numFmt w:val="bullet"/>
      <w:lvlText w:val="o"/>
      <w:lvlJc w:val="left"/>
      <w:pPr>
        <w:ind w:left="3327" w:hanging="360"/>
      </w:pPr>
      <w:rPr>
        <w:rFonts w:ascii="Courier New" w:hAnsi="Courier New" w:cs="Courier New" w:hint="default"/>
      </w:rPr>
    </w:lvl>
    <w:lvl w:ilvl="5" w:tentative="1">
      <w:start w:val="1"/>
      <w:numFmt w:val="bullet"/>
      <w:lvlText w:val=""/>
      <w:lvlJc w:val="left"/>
      <w:pPr>
        <w:ind w:left="4047" w:hanging="360"/>
      </w:pPr>
      <w:rPr>
        <w:rFonts w:ascii="Wingdings" w:hAnsi="Wingdings" w:hint="default"/>
      </w:rPr>
    </w:lvl>
    <w:lvl w:ilvl="6" w:tentative="1">
      <w:start w:val="1"/>
      <w:numFmt w:val="bullet"/>
      <w:lvlText w:val=""/>
      <w:lvlJc w:val="left"/>
      <w:pPr>
        <w:ind w:left="4767" w:hanging="360"/>
      </w:pPr>
      <w:rPr>
        <w:rFonts w:ascii="Symbol" w:hAnsi="Symbol" w:hint="default"/>
      </w:rPr>
    </w:lvl>
    <w:lvl w:ilvl="7" w:tentative="1">
      <w:start w:val="1"/>
      <w:numFmt w:val="bullet"/>
      <w:lvlText w:val="o"/>
      <w:lvlJc w:val="left"/>
      <w:pPr>
        <w:ind w:left="5487" w:hanging="360"/>
      </w:pPr>
      <w:rPr>
        <w:rFonts w:ascii="Courier New" w:hAnsi="Courier New" w:cs="Courier New" w:hint="default"/>
      </w:rPr>
    </w:lvl>
    <w:lvl w:ilvl="8" w:tentative="1">
      <w:start w:val="1"/>
      <w:numFmt w:val="bullet"/>
      <w:lvlText w:val=""/>
      <w:lvlJc w:val="left"/>
      <w:pPr>
        <w:ind w:left="6207" w:hanging="360"/>
      </w:pPr>
      <w:rPr>
        <w:rFonts w:ascii="Wingdings" w:hAnsi="Wingdings" w:hint="default"/>
      </w:rPr>
    </w:lvl>
  </w:abstractNum>
  <w:abstractNum w:abstractNumId="27" w15:restartNumberingAfterBreak="1">
    <w:nsid w:val="491445A6"/>
    <w:multiLevelType w:val="hybridMultilevel"/>
    <w:tmpl w:val="720002D8"/>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8" w15:restartNumberingAfterBreak="1">
    <w:nsid w:val="49F61E45"/>
    <w:multiLevelType w:val="hybridMultilevel"/>
    <w:tmpl w:val="D20481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1">
    <w:nsid w:val="4B3503A8"/>
    <w:multiLevelType w:val="hybridMultilevel"/>
    <w:tmpl w:val="06AC6F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1">
    <w:nsid w:val="4BD615D1"/>
    <w:multiLevelType w:val="hybridMultilevel"/>
    <w:tmpl w:val="4B78AD04"/>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31" w15:restartNumberingAfterBreak="1">
    <w:nsid w:val="522E690D"/>
    <w:multiLevelType w:val="hybridMultilevel"/>
    <w:tmpl w:val="E49846E0"/>
    <w:lvl w:ilvl="0">
      <w:start w:val="1"/>
      <w:numFmt w:val="bullet"/>
      <w:lvlText w:val=""/>
      <w:lvlJc w:val="left"/>
      <w:pPr>
        <w:ind w:left="1854" w:hanging="360"/>
      </w:pPr>
      <w:rPr>
        <w:rFonts w:ascii="Symbol" w:hAnsi="Symbol"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abstractNum w:abstractNumId="32" w15:restartNumberingAfterBreak="1">
    <w:nsid w:val="525B37DC"/>
    <w:multiLevelType w:val="hybridMultilevel"/>
    <w:tmpl w:val="5010E558"/>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3" w15:restartNumberingAfterBreak="1">
    <w:nsid w:val="59CB19D1"/>
    <w:multiLevelType w:val="hybridMultilevel"/>
    <w:tmpl w:val="20CEE1E6"/>
    <w:lvl w:ilvl="0">
      <w:start w:val="1"/>
      <w:numFmt w:val="bullet"/>
      <w:lvlText w:val="–"/>
      <w:lvlJc w:val="left"/>
      <w:pPr>
        <w:tabs>
          <w:tab w:val="num" w:pos="1650"/>
        </w:tabs>
        <w:ind w:left="1650" w:hanging="930"/>
      </w:pPr>
      <w:rPr>
        <w:rFonts w:ascii="Times New Roman" w:hAnsi="Times New Roman" w:cs="Times New Roman" w:hint="default"/>
        <w:sz w:val="20"/>
        <w:szCs w:val="2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4" w15:restartNumberingAfterBreak="1">
    <w:nsid w:val="5B41053E"/>
    <w:multiLevelType w:val="hybridMultilevel"/>
    <w:tmpl w:val="B07C106C"/>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ind w:left="928" w:hanging="360"/>
      </w:pPr>
      <w:rPr>
        <w:rFonts w:ascii="Times New Roman" w:eastAsia="Times New Roman"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1">
    <w:nsid w:val="5F837B71"/>
    <w:multiLevelType w:val="hybridMultilevel"/>
    <w:tmpl w:val="EB083BA6"/>
    <w:lvl w:ilvl="0">
      <w:start w:val="1"/>
      <w:numFmt w:val="bullet"/>
      <w:lvlText w:val="‒"/>
      <w:lvlJc w:val="left"/>
      <w:pPr>
        <w:ind w:left="1077" w:hanging="360"/>
      </w:pPr>
      <w:rPr>
        <w:rFonts w:ascii="Times New Roman" w:hAnsi="Times New Roman" w:cs="Times New Roman"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36" w15:restartNumberingAfterBreak="1">
    <w:nsid w:val="611B0A88"/>
    <w:multiLevelType w:val="hybridMultilevel"/>
    <w:tmpl w:val="8E68BC18"/>
    <w:lvl w:ilvl="0">
      <w:start w:val="1"/>
      <w:numFmt w:val="bullet"/>
      <w:lvlText w:val=""/>
      <w:lvlJc w:val="left"/>
      <w:pPr>
        <w:ind w:left="643" w:hanging="360"/>
      </w:pPr>
      <w:rPr>
        <w:rFonts w:ascii="Symbol" w:hAnsi="Symbol" w:hint="default"/>
      </w:rPr>
    </w:lvl>
    <w:lvl w:ilvl="1" w:tentative="1">
      <w:start w:val="1"/>
      <w:numFmt w:val="bullet"/>
      <w:lvlText w:val="o"/>
      <w:lvlJc w:val="left"/>
      <w:pPr>
        <w:ind w:left="1363" w:hanging="360"/>
      </w:pPr>
      <w:rPr>
        <w:rFonts w:ascii="Courier New" w:hAnsi="Courier New" w:cs="Courier New" w:hint="default"/>
      </w:rPr>
    </w:lvl>
    <w:lvl w:ilvl="2" w:tentative="1">
      <w:start w:val="1"/>
      <w:numFmt w:val="bullet"/>
      <w:lvlText w:val=""/>
      <w:lvlJc w:val="left"/>
      <w:pPr>
        <w:ind w:left="2083" w:hanging="360"/>
      </w:pPr>
      <w:rPr>
        <w:rFonts w:ascii="Wingdings" w:hAnsi="Wingdings" w:hint="default"/>
      </w:rPr>
    </w:lvl>
    <w:lvl w:ilvl="3" w:tentative="1">
      <w:start w:val="1"/>
      <w:numFmt w:val="bullet"/>
      <w:lvlText w:val=""/>
      <w:lvlJc w:val="left"/>
      <w:pPr>
        <w:ind w:left="2803" w:hanging="360"/>
      </w:pPr>
      <w:rPr>
        <w:rFonts w:ascii="Symbol" w:hAnsi="Symbol" w:hint="default"/>
      </w:rPr>
    </w:lvl>
    <w:lvl w:ilvl="4" w:tentative="1">
      <w:start w:val="1"/>
      <w:numFmt w:val="bullet"/>
      <w:lvlText w:val="o"/>
      <w:lvlJc w:val="left"/>
      <w:pPr>
        <w:ind w:left="3523" w:hanging="360"/>
      </w:pPr>
      <w:rPr>
        <w:rFonts w:ascii="Courier New" w:hAnsi="Courier New" w:cs="Courier New" w:hint="default"/>
      </w:rPr>
    </w:lvl>
    <w:lvl w:ilvl="5" w:tentative="1">
      <w:start w:val="1"/>
      <w:numFmt w:val="bullet"/>
      <w:lvlText w:val=""/>
      <w:lvlJc w:val="left"/>
      <w:pPr>
        <w:ind w:left="4243" w:hanging="360"/>
      </w:pPr>
      <w:rPr>
        <w:rFonts w:ascii="Wingdings" w:hAnsi="Wingdings" w:hint="default"/>
      </w:rPr>
    </w:lvl>
    <w:lvl w:ilvl="6" w:tentative="1">
      <w:start w:val="1"/>
      <w:numFmt w:val="bullet"/>
      <w:lvlText w:val=""/>
      <w:lvlJc w:val="left"/>
      <w:pPr>
        <w:ind w:left="4963" w:hanging="360"/>
      </w:pPr>
      <w:rPr>
        <w:rFonts w:ascii="Symbol" w:hAnsi="Symbol" w:hint="default"/>
      </w:rPr>
    </w:lvl>
    <w:lvl w:ilvl="7" w:tentative="1">
      <w:start w:val="1"/>
      <w:numFmt w:val="bullet"/>
      <w:lvlText w:val="o"/>
      <w:lvlJc w:val="left"/>
      <w:pPr>
        <w:ind w:left="5683" w:hanging="360"/>
      </w:pPr>
      <w:rPr>
        <w:rFonts w:ascii="Courier New" w:hAnsi="Courier New" w:cs="Courier New" w:hint="default"/>
      </w:rPr>
    </w:lvl>
    <w:lvl w:ilvl="8" w:tentative="1">
      <w:start w:val="1"/>
      <w:numFmt w:val="bullet"/>
      <w:lvlText w:val=""/>
      <w:lvlJc w:val="left"/>
      <w:pPr>
        <w:ind w:left="6403" w:hanging="360"/>
      </w:pPr>
      <w:rPr>
        <w:rFonts w:ascii="Wingdings" w:hAnsi="Wingdings" w:hint="default"/>
      </w:rPr>
    </w:lvl>
  </w:abstractNum>
  <w:abstractNum w:abstractNumId="37" w15:restartNumberingAfterBreak="1">
    <w:nsid w:val="61954AA4"/>
    <w:multiLevelType w:val="hybridMultilevel"/>
    <w:tmpl w:val="6044A762"/>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960" w:hanging="360"/>
      </w:pPr>
      <w:rPr>
        <w:rFonts w:ascii="Courier New" w:hAnsi="Courier New" w:cs="Courier New" w:hint="default"/>
      </w:rPr>
    </w:lvl>
    <w:lvl w:ilvl="2" w:tentative="1">
      <w:start w:val="1"/>
      <w:numFmt w:val="bullet"/>
      <w:lvlText w:val=""/>
      <w:lvlJc w:val="left"/>
      <w:pPr>
        <w:ind w:left="1680" w:hanging="360"/>
      </w:pPr>
      <w:rPr>
        <w:rFonts w:ascii="Wingdings" w:hAnsi="Wingdings" w:hint="default"/>
      </w:rPr>
    </w:lvl>
    <w:lvl w:ilvl="3" w:tentative="1">
      <w:start w:val="1"/>
      <w:numFmt w:val="bullet"/>
      <w:lvlText w:val=""/>
      <w:lvlJc w:val="left"/>
      <w:pPr>
        <w:ind w:left="2400" w:hanging="360"/>
      </w:pPr>
      <w:rPr>
        <w:rFonts w:ascii="Symbol" w:hAnsi="Symbol" w:hint="default"/>
      </w:rPr>
    </w:lvl>
    <w:lvl w:ilvl="4" w:tentative="1">
      <w:start w:val="1"/>
      <w:numFmt w:val="bullet"/>
      <w:lvlText w:val="o"/>
      <w:lvlJc w:val="left"/>
      <w:pPr>
        <w:ind w:left="3120" w:hanging="360"/>
      </w:pPr>
      <w:rPr>
        <w:rFonts w:ascii="Courier New" w:hAnsi="Courier New" w:cs="Courier New" w:hint="default"/>
      </w:rPr>
    </w:lvl>
    <w:lvl w:ilvl="5" w:tentative="1">
      <w:start w:val="1"/>
      <w:numFmt w:val="bullet"/>
      <w:lvlText w:val=""/>
      <w:lvlJc w:val="left"/>
      <w:pPr>
        <w:ind w:left="3840" w:hanging="360"/>
      </w:pPr>
      <w:rPr>
        <w:rFonts w:ascii="Wingdings" w:hAnsi="Wingdings" w:hint="default"/>
      </w:rPr>
    </w:lvl>
    <w:lvl w:ilvl="6" w:tentative="1">
      <w:start w:val="1"/>
      <w:numFmt w:val="bullet"/>
      <w:lvlText w:val=""/>
      <w:lvlJc w:val="left"/>
      <w:pPr>
        <w:ind w:left="4560" w:hanging="360"/>
      </w:pPr>
      <w:rPr>
        <w:rFonts w:ascii="Symbol" w:hAnsi="Symbol" w:hint="default"/>
      </w:rPr>
    </w:lvl>
    <w:lvl w:ilvl="7" w:tentative="1">
      <w:start w:val="1"/>
      <w:numFmt w:val="bullet"/>
      <w:lvlText w:val="o"/>
      <w:lvlJc w:val="left"/>
      <w:pPr>
        <w:ind w:left="5280" w:hanging="360"/>
      </w:pPr>
      <w:rPr>
        <w:rFonts w:ascii="Courier New" w:hAnsi="Courier New" w:cs="Courier New" w:hint="default"/>
      </w:rPr>
    </w:lvl>
    <w:lvl w:ilvl="8" w:tentative="1">
      <w:start w:val="1"/>
      <w:numFmt w:val="bullet"/>
      <w:lvlText w:val=""/>
      <w:lvlJc w:val="left"/>
      <w:pPr>
        <w:ind w:left="6000" w:hanging="360"/>
      </w:pPr>
      <w:rPr>
        <w:rFonts w:ascii="Wingdings" w:hAnsi="Wingdings" w:hint="default"/>
      </w:rPr>
    </w:lvl>
  </w:abstractNum>
  <w:abstractNum w:abstractNumId="38" w15:restartNumberingAfterBreak="1">
    <w:nsid w:val="63895987"/>
    <w:multiLevelType w:val="hybridMultilevel"/>
    <w:tmpl w:val="C0867B06"/>
    <w:lvl w:ilvl="0">
      <w:start w:val="1"/>
      <w:numFmt w:val="bullet"/>
      <w:lvlText w:val=""/>
      <w:lvlJc w:val="left"/>
      <w:pPr>
        <w:ind w:left="927" w:hanging="360"/>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9" w15:restartNumberingAfterBreak="1">
    <w:nsid w:val="64351E76"/>
    <w:multiLevelType w:val="hybridMultilevel"/>
    <w:tmpl w:val="AA8A07A6"/>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0" w15:restartNumberingAfterBreak="1">
    <w:nsid w:val="6A3710B3"/>
    <w:multiLevelType w:val="multilevel"/>
    <w:tmpl w:val="A7B077A4"/>
    <w:lvl w:ilvl="0">
      <w:start w:val="1"/>
      <w:numFmt w:val="decimal"/>
      <w:pStyle w:val="Virsraksti1"/>
      <w:isLgl/>
      <w:suff w:val="space"/>
      <w:lvlText w:val="%1."/>
      <w:lvlJc w:val="left"/>
      <w:pPr>
        <w:ind w:left="1561" w:hanging="1561"/>
      </w:pPr>
      <w:rPr>
        <w:rFonts w:ascii="Times New Roman" w:hAnsi="Times New Roman" w:hint="default"/>
        <w:b/>
        <w:i w:val="0"/>
        <w:caps w:val="0"/>
        <w:strike w:val="0"/>
        <w:dstrike w:val="0"/>
        <w:vanish w:val="0"/>
        <w:color w:val="000000"/>
        <w:sz w:val="32"/>
        <w:vertAlign w:val="baseline"/>
      </w:rPr>
    </w:lvl>
    <w:lvl w:ilvl="1">
      <w:start w:val="2"/>
      <w:numFmt w:val="decimal"/>
      <w:lvlRestart w:val="0"/>
      <w:pStyle w:val="Virsraksti2"/>
      <w:isLgl/>
      <w:suff w:val="space"/>
      <w:lvlText w:val="%1.%2."/>
      <w:lvlJc w:val="left"/>
      <w:pPr>
        <w:ind w:left="284" w:firstLine="284"/>
      </w:pPr>
      <w:rPr>
        <w:rFonts w:ascii="Times New Roman Bold" w:hAnsi="Times New Roman Bold" w:hint="default"/>
        <w:b/>
        <w:i w:val="0"/>
        <w:sz w:val="28"/>
      </w:rPr>
    </w:lvl>
    <w:lvl w:ilvl="2">
      <w:start w:val="1"/>
      <w:numFmt w:val="decimal"/>
      <w:lvlRestart w:val="0"/>
      <w:pStyle w:val="Virsraksti3"/>
      <w:isLgl/>
      <w:suff w:val="space"/>
      <w:lvlText w:val="%1.%2.%3."/>
      <w:lvlJc w:val="left"/>
      <w:pPr>
        <w:ind w:left="142" w:firstLine="284"/>
      </w:pPr>
      <w:rPr>
        <w:rFonts w:ascii="Times New Roman Bold" w:hAnsi="Times New Roman Bold" w:hint="default"/>
        <w:b/>
        <w:i w:val="0"/>
        <w:spacing w:val="0"/>
        <w:w w:val="100"/>
        <w:position w:val="0"/>
        <w:sz w:val="24"/>
      </w:rPr>
    </w:lvl>
    <w:lvl w:ilvl="3">
      <w:start w:val="41"/>
      <w:numFmt w:val="none"/>
      <w:lvlRestart w:val="0"/>
      <w:pStyle w:val="Statuti"/>
      <w:isLgl/>
      <w:suff w:val="space"/>
      <w:lvlJc w:val="left"/>
      <w:pPr>
        <w:ind w:left="0" w:firstLine="284"/>
      </w:pPr>
      <w:rPr>
        <w:rFonts w:ascii="Arial Narrow" w:hAnsi="Arial Narrow" w:hint="default"/>
        <w:b/>
        <w:i w:val="0"/>
        <w:sz w:val="28"/>
      </w:rPr>
    </w:lvl>
    <w:lvl w:ilvl="4">
      <w:start w:val="4"/>
      <w:numFmt w:val="decimal"/>
      <w:pStyle w:val="Virsraksti4"/>
      <w:isLgl/>
      <w:suff w:val="space"/>
      <w:lvlText w:val="%1.%2.%3.%5"/>
      <w:lvlJc w:val="left"/>
      <w:pPr>
        <w:ind w:left="1843" w:firstLine="284"/>
      </w:pPr>
      <w:rPr>
        <w:rFonts w:ascii="Times New Roman" w:hAnsi="Times New Roman" w:hint="default"/>
        <w:sz w:val="24"/>
      </w:rPr>
    </w:lvl>
    <w:lvl w:ilvl="5">
      <w:start w:val="1"/>
      <w:numFmt w:val="none"/>
      <w:suff w:val="space"/>
      <w:lvlJc w:val="left"/>
      <w:pPr>
        <w:ind w:left="0" w:firstLine="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41" w15:restartNumberingAfterBreak="1">
    <w:nsid w:val="6C8040DA"/>
    <w:multiLevelType w:val="hybridMultilevel"/>
    <w:tmpl w:val="78246B48"/>
    <w:lvl w:ilvl="0">
      <w:start w:val="1"/>
      <w:numFmt w:val="bullet"/>
      <w:lvlText w:val=""/>
      <w:lvlJc w:val="left"/>
      <w:pPr>
        <w:ind w:left="2007" w:hanging="360"/>
      </w:pPr>
      <w:rPr>
        <w:rFonts w:ascii="Symbol" w:hAnsi="Symbol" w:hint="default"/>
      </w:rPr>
    </w:lvl>
    <w:lvl w:ilvl="1" w:tentative="1">
      <w:start w:val="1"/>
      <w:numFmt w:val="bullet"/>
      <w:lvlText w:val="o"/>
      <w:lvlJc w:val="left"/>
      <w:pPr>
        <w:ind w:left="2727" w:hanging="360"/>
      </w:pPr>
      <w:rPr>
        <w:rFonts w:ascii="Courier New" w:hAnsi="Courier New" w:cs="Courier New" w:hint="default"/>
      </w:rPr>
    </w:lvl>
    <w:lvl w:ilvl="2" w:tentative="1">
      <w:start w:val="1"/>
      <w:numFmt w:val="bullet"/>
      <w:lvlText w:val=""/>
      <w:lvlJc w:val="left"/>
      <w:pPr>
        <w:ind w:left="3447" w:hanging="360"/>
      </w:pPr>
      <w:rPr>
        <w:rFonts w:ascii="Wingdings" w:hAnsi="Wingdings" w:hint="default"/>
      </w:rPr>
    </w:lvl>
    <w:lvl w:ilvl="3" w:tentative="1">
      <w:start w:val="1"/>
      <w:numFmt w:val="bullet"/>
      <w:lvlText w:val=""/>
      <w:lvlJc w:val="left"/>
      <w:pPr>
        <w:ind w:left="4167" w:hanging="360"/>
      </w:pPr>
      <w:rPr>
        <w:rFonts w:ascii="Symbol" w:hAnsi="Symbol" w:hint="default"/>
      </w:rPr>
    </w:lvl>
    <w:lvl w:ilvl="4" w:tentative="1">
      <w:start w:val="1"/>
      <w:numFmt w:val="bullet"/>
      <w:lvlText w:val="o"/>
      <w:lvlJc w:val="left"/>
      <w:pPr>
        <w:ind w:left="4887" w:hanging="360"/>
      </w:pPr>
      <w:rPr>
        <w:rFonts w:ascii="Courier New" w:hAnsi="Courier New" w:cs="Courier New" w:hint="default"/>
      </w:rPr>
    </w:lvl>
    <w:lvl w:ilvl="5" w:tentative="1">
      <w:start w:val="1"/>
      <w:numFmt w:val="bullet"/>
      <w:lvlText w:val=""/>
      <w:lvlJc w:val="left"/>
      <w:pPr>
        <w:ind w:left="5607" w:hanging="360"/>
      </w:pPr>
      <w:rPr>
        <w:rFonts w:ascii="Wingdings" w:hAnsi="Wingdings" w:hint="default"/>
      </w:rPr>
    </w:lvl>
    <w:lvl w:ilvl="6" w:tentative="1">
      <w:start w:val="1"/>
      <w:numFmt w:val="bullet"/>
      <w:lvlText w:val=""/>
      <w:lvlJc w:val="left"/>
      <w:pPr>
        <w:ind w:left="6327" w:hanging="360"/>
      </w:pPr>
      <w:rPr>
        <w:rFonts w:ascii="Symbol" w:hAnsi="Symbol" w:hint="default"/>
      </w:rPr>
    </w:lvl>
    <w:lvl w:ilvl="7" w:tentative="1">
      <w:start w:val="1"/>
      <w:numFmt w:val="bullet"/>
      <w:lvlText w:val="o"/>
      <w:lvlJc w:val="left"/>
      <w:pPr>
        <w:ind w:left="7047" w:hanging="360"/>
      </w:pPr>
      <w:rPr>
        <w:rFonts w:ascii="Courier New" w:hAnsi="Courier New" w:cs="Courier New" w:hint="default"/>
      </w:rPr>
    </w:lvl>
    <w:lvl w:ilvl="8" w:tentative="1">
      <w:start w:val="1"/>
      <w:numFmt w:val="bullet"/>
      <w:lvlText w:val=""/>
      <w:lvlJc w:val="left"/>
      <w:pPr>
        <w:ind w:left="7767" w:hanging="360"/>
      </w:pPr>
      <w:rPr>
        <w:rFonts w:ascii="Wingdings" w:hAnsi="Wingdings" w:hint="default"/>
      </w:rPr>
    </w:lvl>
  </w:abstractNum>
  <w:abstractNum w:abstractNumId="42" w15:restartNumberingAfterBreak="1">
    <w:nsid w:val="6DA65B61"/>
    <w:multiLevelType w:val="hybridMultilevel"/>
    <w:tmpl w:val="DEEA7B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15:restartNumberingAfterBreak="1">
    <w:nsid w:val="700946F1"/>
    <w:multiLevelType w:val="hybridMultilevel"/>
    <w:tmpl w:val="B3E256E2"/>
    <w:lvl w:ilvl="0">
      <w:start w:val="1"/>
      <w:numFmt w:val="bullet"/>
      <w:lvlText w:val="–"/>
      <w:lvlJc w:val="left"/>
      <w:pPr>
        <w:ind w:left="928"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1">
    <w:nsid w:val="71866BBF"/>
    <w:multiLevelType w:val="hybridMultilevel"/>
    <w:tmpl w:val="A376857C"/>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15:restartNumberingAfterBreak="1">
    <w:nsid w:val="76167477"/>
    <w:multiLevelType w:val="hybridMultilevel"/>
    <w:tmpl w:val="B2A05AA8"/>
    <w:lvl w:ilvl="0">
      <w:start w:val="1"/>
      <w:numFmt w:val="bullet"/>
      <w:lvlText w:val="–"/>
      <w:lvlJc w:val="left"/>
      <w:pPr>
        <w:ind w:left="1495" w:hanging="360"/>
      </w:pPr>
      <w:rPr>
        <w:rFonts w:ascii="Times New Roman" w:hAnsi="Times New Roman" w:cs="Times New Roman" w:hint="default"/>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15:restartNumberingAfterBreak="1">
    <w:nsid w:val="77205DB9"/>
    <w:multiLevelType w:val="hybridMultilevel"/>
    <w:tmpl w:val="68BC73A4"/>
    <w:lvl w:ilvl="0">
      <w:start w:val="1"/>
      <w:numFmt w:val="decimal"/>
      <w:lvlText w:val="%1)"/>
      <w:lvlJc w:val="left"/>
      <w:pPr>
        <w:ind w:left="1069" w:hanging="360"/>
      </w:p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7" w15:restartNumberingAfterBreak="1">
    <w:nsid w:val="78204832"/>
    <w:multiLevelType w:val="hybridMultilevel"/>
    <w:tmpl w:val="DBD61B6E"/>
    <w:lvl w:ilvl="0">
      <w:start w:val="0"/>
      <w:numFmt w:val="bullet"/>
      <w:lvlText w:val="–"/>
      <w:lvlJc w:val="left"/>
      <w:pPr>
        <w:ind w:left="1287" w:hanging="360"/>
      </w:pPr>
      <w:rPr>
        <w:rFonts w:ascii="Times New Roman" w:eastAsia="Calibri" w:hAnsi="Times New Roman" w:cs="Times New Roman" w:hint="default"/>
      </w:rPr>
    </w:lvl>
    <w:lvl w:ilvl="1" w:tentative="1">
      <w:start w:val="1"/>
      <w:numFmt w:val="bullet"/>
      <w:lvlText w:val="o"/>
      <w:lvlJc w:val="left"/>
      <w:pPr>
        <w:ind w:left="1527" w:hanging="360"/>
      </w:pPr>
      <w:rPr>
        <w:rFonts w:ascii="Courier New" w:hAnsi="Courier New" w:cs="Courier New" w:hint="default"/>
      </w:rPr>
    </w:lvl>
    <w:lvl w:ilvl="2" w:tentative="1">
      <w:start w:val="1"/>
      <w:numFmt w:val="bullet"/>
      <w:lvlText w:val=""/>
      <w:lvlJc w:val="left"/>
      <w:pPr>
        <w:ind w:left="2247" w:hanging="360"/>
      </w:pPr>
      <w:rPr>
        <w:rFonts w:ascii="Wingdings" w:hAnsi="Wingdings" w:hint="default"/>
      </w:rPr>
    </w:lvl>
    <w:lvl w:ilvl="3" w:tentative="1">
      <w:start w:val="1"/>
      <w:numFmt w:val="bullet"/>
      <w:lvlText w:val=""/>
      <w:lvlJc w:val="left"/>
      <w:pPr>
        <w:ind w:left="2967" w:hanging="360"/>
      </w:pPr>
      <w:rPr>
        <w:rFonts w:ascii="Symbol" w:hAnsi="Symbol" w:hint="default"/>
      </w:rPr>
    </w:lvl>
    <w:lvl w:ilvl="4" w:tentative="1">
      <w:start w:val="1"/>
      <w:numFmt w:val="bullet"/>
      <w:lvlText w:val="o"/>
      <w:lvlJc w:val="left"/>
      <w:pPr>
        <w:ind w:left="3687" w:hanging="360"/>
      </w:pPr>
      <w:rPr>
        <w:rFonts w:ascii="Courier New" w:hAnsi="Courier New" w:cs="Courier New" w:hint="default"/>
      </w:rPr>
    </w:lvl>
    <w:lvl w:ilvl="5" w:tentative="1">
      <w:start w:val="1"/>
      <w:numFmt w:val="bullet"/>
      <w:lvlText w:val=""/>
      <w:lvlJc w:val="left"/>
      <w:pPr>
        <w:ind w:left="4407" w:hanging="360"/>
      </w:pPr>
      <w:rPr>
        <w:rFonts w:ascii="Wingdings" w:hAnsi="Wingdings" w:hint="default"/>
      </w:rPr>
    </w:lvl>
    <w:lvl w:ilvl="6" w:tentative="1">
      <w:start w:val="1"/>
      <w:numFmt w:val="bullet"/>
      <w:lvlText w:val=""/>
      <w:lvlJc w:val="left"/>
      <w:pPr>
        <w:ind w:left="5127" w:hanging="360"/>
      </w:pPr>
      <w:rPr>
        <w:rFonts w:ascii="Symbol" w:hAnsi="Symbol" w:hint="default"/>
      </w:rPr>
    </w:lvl>
    <w:lvl w:ilvl="7" w:tentative="1">
      <w:start w:val="1"/>
      <w:numFmt w:val="bullet"/>
      <w:lvlText w:val="o"/>
      <w:lvlJc w:val="left"/>
      <w:pPr>
        <w:ind w:left="5847" w:hanging="360"/>
      </w:pPr>
      <w:rPr>
        <w:rFonts w:ascii="Courier New" w:hAnsi="Courier New" w:cs="Courier New" w:hint="default"/>
      </w:rPr>
    </w:lvl>
    <w:lvl w:ilvl="8" w:tentative="1">
      <w:start w:val="1"/>
      <w:numFmt w:val="bullet"/>
      <w:lvlText w:val=""/>
      <w:lvlJc w:val="left"/>
      <w:pPr>
        <w:ind w:left="6567" w:hanging="360"/>
      </w:pPr>
      <w:rPr>
        <w:rFonts w:ascii="Wingdings" w:hAnsi="Wingdings" w:hint="default"/>
      </w:rPr>
    </w:lvl>
  </w:abstractNum>
  <w:abstractNum w:abstractNumId="48" w15:restartNumberingAfterBreak="1">
    <w:nsid w:val="79336466"/>
    <w:multiLevelType w:val="hybridMultilevel"/>
    <w:tmpl w:val="B0EE1566"/>
    <w:lvl w:ilvl="0">
      <w:start w:val="1"/>
      <w:numFmt w:val="decimal"/>
      <w:lvlText w:val="%1)"/>
      <w:lvlJc w:val="left"/>
      <w:pPr>
        <w:ind w:left="1287" w:hanging="360"/>
      </w:pPr>
      <w:rPr>
        <w:rFonts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9" w15:restartNumberingAfterBreak="1">
    <w:nsid w:val="794D60F4"/>
    <w:multiLevelType w:val="hybridMultilevel"/>
    <w:tmpl w:val="5862FC96"/>
    <w:lvl w:ilvl="0">
      <w:start w:val="1"/>
      <w:numFmt w:val="bullet"/>
      <w:lvlText w:val="–"/>
      <w:lvlJc w:val="left"/>
      <w:pPr>
        <w:ind w:left="720" w:hanging="360"/>
      </w:pPr>
      <w:rPr>
        <w:rFonts w:ascii="Times New Roman" w:hAnsi="Times New Roman" w:cs="Times New Roman" w:hint="default"/>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15:restartNumberingAfterBreak="1">
    <w:nsid w:val="7ABA0474"/>
    <w:multiLevelType w:val="hybridMultilevel"/>
    <w:tmpl w:val="28103892"/>
    <w:lvl w:ilvl="0">
      <w:start w:val="1"/>
      <w:numFmt w:val="bullet"/>
      <w:lvlText w:val="−"/>
      <w:lvlJc w:val="left"/>
      <w:pPr>
        <w:ind w:left="261" w:hanging="360"/>
      </w:pPr>
      <w:rPr>
        <w:rFonts w:ascii="Times New Roman" w:hAnsi="Times New Roman" w:cs="Times New Roman" w:hint="default"/>
      </w:rPr>
    </w:lvl>
    <w:lvl w:ilvl="1" w:tentative="1">
      <w:start w:val="1"/>
      <w:numFmt w:val="bullet"/>
      <w:lvlText w:val="o"/>
      <w:lvlJc w:val="left"/>
      <w:pPr>
        <w:ind w:left="501" w:hanging="360"/>
      </w:pPr>
      <w:rPr>
        <w:rFonts w:ascii="Courier New" w:hAnsi="Courier New" w:cs="Courier New" w:hint="default"/>
      </w:rPr>
    </w:lvl>
    <w:lvl w:ilvl="2" w:tentative="1">
      <w:start w:val="1"/>
      <w:numFmt w:val="bullet"/>
      <w:lvlText w:val=""/>
      <w:lvlJc w:val="left"/>
      <w:pPr>
        <w:ind w:left="1221" w:hanging="360"/>
      </w:pPr>
      <w:rPr>
        <w:rFonts w:ascii="Wingdings" w:hAnsi="Wingdings" w:hint="default"/>
      </w:rPr>
    </w:lvl>
    <w:lvl w:ilvl="3" w:tentative="1">
      <w:start w:val="1"/>
      <w:numFmt w:val="bullet"/>
      <w:lvlText w:val=""/>
      <w:lvlJc w:val="left"/>
      <w:pPr>
        <w:ind w:left="1941" w:hanging="360"/>
      </w:pPr>
      <w:rPr>
        <w:rFonts w:ascii="Symbol" w:hAnsi="Symbol" w:hint="default"/>
      </w:rPr>
    </w:lvl>
    <w:lvl w:ilvl="4" w:tentative="1">
      <w:start w:val="1"/>
      <w:numFmt w:val="bullet"/>
      <w:lvlText w:val="o"/>
      <w:lvlJc w:val="left"/>
      <w:pPr>
        <w:ind w:left="2661" w:hanging="360"/>
      </w:pPr>
      <w:rPr>
        <w:rFonts w:ascii="Courier New" w:hAnsi="Courier New" w:cs="Courier New" w:hint="default"/>
      </w:rPr>
    </w:lvl>
    <w:lvl w:ilvl="5" w:tentative="1">
      <w:start w:val="1"/>
      <w:numFmt w:val="bullet"/>
      <w:lvlText w:val=""/>
      <w:lvlJc w:val="left"/>
      <w:pPr>
        <w:ind w:left="3381" w:hanging="360"/>
      </w:pPr>
      <w:rPr>
        <w:rFonts w:ascii="Wingdings" w:hAnsi="Wingdings" w:hint="default"/>
      </w:rPr>
    </w:lvl>
    <w:lvl w:ilvl="6" w:tentative="1">
      <w:start w:val="1"/>
      <w:numFmt w:val="bullet"/>
      <w:lvlText w:val=""/>
      <w:lvlJc w:val="left"/>
      <w:pPr>
        <w:ind w:left="4101" w:hanging="360"/>
      </w:pPr>
      <w:rPr>
        <w:rFonts w:ascii="Symbol" w:hAnsi="Symbol" w:hint="default"/>
      </w:rPr>
    </w:lvl>
    <w:lvl w:ilvl="7" w:tentative="1">
      <w:start w:val="1"/>
      <w:numFmt w:val="bullet"/>
      <w:lvlText w:val="o"/>
      <w:lvlJc w:val="left"/>
      <w:pPr>
        <w:ind w:left="4821" w:hanging="360"/>
      </w:pPr>
      <w:rPr>
        <w:rFonts w:ascii="Courier New" w:hAnsi="Courier New" w:cs="Courier New" w:hint="default"/>
      </w:rPr>
    </w:lvl>
    <w:lvl w:ilvl="8" w:tentative="1">
      <w:start w:val="1"/>
      <w:numFmt w:val="bullet"/>
      <w:lvlText w:val=""/>
      <w:lvlJc w:val="left"/>
      <w:pPr>
        <w:ind w:left="5541" w:hanging="360"/>
      </w:pPr>
      <w:rPr>
        <w:rFonts w:ascii="Wingdings" w:hAnsi="Wingdings" w:hint="default"/>
      </w:rPr>
    </w:lvl>
  </w:abstractNum>
  <w:abstractNum w:abstractNumId="51" w15:restartNumberingAfterBreak="1">
    <w:nsid w:val="7CC5591E"/>
    <w:multiLevelType w:val="hybridMultilevel"/>
    <w:tmpl w:val="97CABFFC"/>
    <w:lvl w:ilvl="0">
      <w:start w:val="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52" w15:restartNumberingAfterBreak="1">
    <w:nsid w:val="7D807AED"/>
    <w:multiLevelType w:val="hybridMultilevel"/>
    <w:tmpl w:val="0AF82E7C"/>
    <w:lvl w:ilvl="0">
      <w:start w:val="1"/>
      <w:numFmt w:val="bullet"/>
      <w:lvlText w:val="–"/>
      <w:lvlJc w:val="left"/>
      <w:pPr>
        <w:ind w:left="644" w:hanging="360"/>
      </w:pPr>
      <w:rPr>
        <w:rFonts w:ascii="Times New Roman" w:eastAsia="Times New Roman" w:hAnsi="Times New Roman" w:cs="Times New Roman"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53" w15:restartNumberingAfterBreak="1">
    <w:nsid w:val="7E294AE3"/>
    <w:multiLevelType w:val="hybridMultilevel"/>
    <w:tmpl w:val="591C19C2"/>
    <w:lvl w:ilvl="0">
      <w:start w:val="1"/>
      <w:numFmt w:val="bullet"/>
      <w:lvlText w:val="–"/>
      <w:lvlJc w:val="left"/>
      <w:pPr>
        <w:ind w:left="1287" w:hanging="360"/>
      </w:pPr>
      <w:rPr>
        <w:rFonts w:ascii="Times New Roman" w:hAnsi="Times New Roman" w:cs="Times New Roman" w:hint="default"/>
        <w:i w:val="0"/>
      </w:rPr>
    </w:lvl>
    <w:lvl w:ilvl="1">
      <w:start w:val="0"/>
      <w:numFmt w:val="bullet"/>
      <w:lvlText w:val="–"/>
      <w:lvlJc w:val="left"/>
      <w:pPr>
        <w:ind w:left="2007" w:hanging="360"/>
      </w:pPr>
      <w:rPr>
        <w:rFonts w:ascii="Times New Roman" w:eastAsia="Calibri" w:hAnsi="Times New Roman" w:cs="Times New Roman" w:hint="default"/>
        <w:color w:val="auto"/>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54" w15:restartNumberingAfterBreak="1">
    <w:nsid w:val="7E8C1053"/>
    <w:multiLevelType w:val="hybridMultilevel"/>
    <w:tmpl w:val="F4727A8C"/>
    <w:lvl w:ilvl="0">
      <w:start w:val="1"/>
      <w:numFmt w:val="decimal"/>
      <w:lvlText w:val="%1)"/>
      <w:lvlJc w:val="left"/>
      <w:pPr>
        <w:ind w:left="1287" w:hanging="360"/>
      </w:pPr>
      <w:rPr>
        <w:rFonts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55" w15:restartNumberingAfterBreak="1">
    <w:nsid w:val="7FF24CE5"/>
    <w:multiLevelType w:val="hybridMultilevel"/>
    <w:tmpl w:val="BE44EA5A"/>
    <w:lvl w:ilvl="0">
      <w:start w:val="1"/>
      <w:numFmt w:val="bullet"/>
      <w:lvlText w:val="–"/>
      <w:lvlJc w:val="left"/>
      <w:pPr>
        <w:ind w:left="629" w:hanging="360"/>
      </w:pPr>
      <w:rPr>
        <w:rFonts w:ascii="Times New Roman" w:eastAsia="Times New Roman" w:hAnsi="Times New Roman" w:cs="Times New Roman" w:hint="default"/>
      </w:rPr>
    </w:lvl>
    <w:lvl w:ilvl="1">
      <w:start w:val="1"/>
      <w:numFmt w:val="bullet"/>
      <w:lvlText w:val="o"/>
      <w:lvlJc w:val="left"/>
      <w:pPr>
        <w:ind w:left="1349" w:hanging="360"/>
      </w:pPr>
      <w:rPr>
        <w:rFonts w:ascii="Courier New" w:hAnsi="Courier New" w:cs="Courier New" w:hint="default"/>
      </w:rPr>
    </w:lvl>
    <w:lvl w:ilvl="2" w:tentative="1">
      <w:start w:val="1"/>
      <w:numFmt w:val="bullet"/>
      <w:lvlText w:val=""/>
      <w:lvlJc w:val="left"/>
      <w:pPr>
        <w:ind w:left="2069" w:hanging="360"/>
      </w:pPr>
      <w:rPr>
        <w:rFonts w:ascii="Wingdings" w:hAnsi="Wingdings" w:hint="default"/>
      </w:rPr>
    </w:lvl>
    <w:lvl w:ilvl="3" w:tentative="1">
      <w:start w:val="1"/>
      <w:numFmt w:val="bullet"/>
      <w:lvlText w:val=""/>
      <w:lvlJc w:val="left"/>
      <w:pPr>
        <w:ind w:left="2789" w:hanging="360"/>
      </w:pPr>
      <w:rPr>
        <w:rFonts w:ascii="Symbol" w:hAnsi="Symbol" w:hint="default"/>
      </w:rPr>
    </w:lvl>
    <w:lvl w:ilvl="4" w:tentative="1">
      <w:start w:val="1"/>
      <w:numFmt w:val="bullet"/>
      <w:lvlText w:val="o"/>
      <w:lvlJc w:val="left"/>
      <w:pPr>
        <w:ind w:left="3509" w:hanging="360"/>
      </w:pPr>
      <w:rPr>
        <w:rFonts w:ascii="Courier New" w:hAnsi="Courier New" w:cs="Courier New" w:hint="default"/>
      </w:rPr>
    </w:lvl>
    <w:lvl w:ilvl="5" w:tentative="1">
      <w:start w:val="1"/>
      <w:numFmt w:val="bullet"/>
      <w:lvlText w:val=""/>
      <w:lvlJc w:val="left"/>
      <w:pPr>
        <w:ind w:left="4229" w:hanging="360"/>
      </w:pPr>
      <w:rPr>
        <w:rFonts w:ascii="Wingdings" w:hAnsi="Wingdings" w:hint="default"/>
      </w:rPr>
    </w:lvl>
    <w:lvl w:ilvl="6" w:tentative="1">
      <w:start w:val="1"/>
      <w:numFmt w:val="bullet"/>
      <w:lvlText w:val=""/>
      <w:lvlJc w:val="left"/>
      <w:pPr>
        <w:ind w:left="4949" w:hanging="360"/>
      </w:pPr>
      <w:rPr>
        <w:rFonts w:ascii="Symbol" w:hAnsi="Symbol" w:hint="default"/>
      </w:rPr>
    </w:lvl>
    <w:lvl w:ilvl="7" w:tentative="1">
      <w:start w:val="1"/>
      <w:numFmt w:val="bullet"/>
      <w:lvlText w:val="o"/>
      <w:lvlJc w:val="left"/>
      <w:pPr>
        <w:ind w:left="5669" w:hanging="360"/>
      </w:pPr>
      <w:rPr>
        <w:rFonts w:ascii="Courier New" w:hAnsi="Courier New" w:cs="Courier New" w:hint="default"/>
      </w:rPr>
    </w:lvl>
    <w:lvl w:ilvl="8" w:tentative="1">
      <w:start w:val="1"/>
      <w:numFmt w:val="bullet"/>
      <w:lvlText w:val=""/>
      <w:lvlJc w:val="left"/>
      <w:pPr>
        <w:ind w:left="6389" w:hanging="360"/>
      </w:pPr>
      <w:rPr>
        <w:rFonts w:ascii="Wingdings" w:hAnsi="Wingdings" w:hint="default"/>
      </w:rPr>
    </w:lvl>
  </w:abstractNum>
  <w:num w:numId="1">
    <w:abstractNumId w:val="0"/>
  </w:num>
  <w:num w:numId="2">
    <w:abstractNumId w:val="52"/>
  </w:num>
  <w:num w:numId="3">
    <w:abstractNumId w:val="55"/>
  </w:num>
  <w:num w:numId="4">
    <w:abstractNumId w:val="23"/>
  </w:num>
  <w:num w:numId="5">
    <w:abstractNumId w:val="40"/>
  </w:num>
  <w:num w:numId="6">
    <w:abstractNumId w:val="53"/>
  </w:num>
  <w:num w:numId="7">
    <w:abstractNumId w:val="28"/>
  </w:num>
  <w:num w:numId="8">
    <w:abstractNumId w:val="4"/>
  </w:num>
  <w:num w:numId="9">
    <w:abstractNumId w:val="33"/>
  </w:num>
  <w:num w:numId="1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14"/>
  </w:num>
  <w:num w:numId="13">
    <w:abstractNumId w:val="45"/>
  </w:num>
  <w:num w:numId="14">
    <w:abstractNumId w:val="7"/>
  </w:num>
  <w:num w:numId="15">
    <w:abstractNumId w:val="49"/>
  </w:num>
  <w:num w:numId="16">
    <w:abstractNumId w:val="1"/>
  </w:num>
  <w:num w:numId="17">
    <w:abstractNumId w:val="12"/>
  </w:num>
  <w:num w:numId="18">
    <w:abstractNumId w:val="3"/>
  </w:num>
  <w:num w:numId="19">
    <w:abstractNumId w:val="41"/>
  </w:num>
  <w:num w:numId="20">
    <w:abstractNumId w:val="42"/>
  </w:num>
  <w:num w:numId="21">
    <w:abstractNumId w:val="17"/>
  </w:num>
  <w:num w:numId="22">
    <w:abstractNumId w:val="51"/>
  </w:num>
  <w:num w:numId="23">
    <w:abstractNumId w:val="29"/>
  </w:num>
  <w:num w:numId="24">
    <w:abstractNumId w:val="30"/>
  </w:num>
  <w:num w:numId="25">
    <w:abstractNumId w:val="31"/>
  </w:num>
  <w:num w:numId="26">
    <w:abstractNumId w:val="10"/>
  </w:num>
  <w:num w:numId="27">
    <w:abstractNumId w:val="35"/>
  </w:num>
  <w:num w:numId="28">
    <w:abstractNumId w:val="54"/>
  </w:num>
  <w:num w:numId="29">
    <w:abstractNumId w:val="48"/>
  </w:num>
  <w:num w:numId="30">
    <w:abstractNumId w:val="2"/>
  </w:num>
  <w:num w:numId="31">
    <w:abstractNumId w:val="6"/>
  </w:num>
  <w:num w:numId="32">
    <w:abstractNumId w:val="9"/>
  </w:num>
  <w:num w:numId="33">
    <w:abstractNumId w:val="38"/>
  </w:num>
  <w:num w:numId="34">
    <w:abstractNumId w:val="47"/>
  </w:num>
  <w:num w:numId="35">
    <w:abstractNumId w:val="50"/>
  </w:num>
  <w:num w:numId="36">
    <w:abstractNumId w:val="37"/>
  </w:num>
  <w:num w:numId="37">
    <w:abstractNumId w:val="26"/>
  </w:num>
  <w:num w:numId="38">
    <w:abstractNumId w:val="5"/>
  </w:num>
  <w:num w:numId="39">
    <w:abstractNumId w:val="46"/>
  </w:num>
  <w:num w:numId="40">
    <w:abstractNumId w:val="19"/>
  </w:num>
  <w:num w:numId="41">
    <w:abstractNumId w:val="11"/>
  </w:num>
  <w:num w:numId="42">
    <w:abstractNumId w:val="22"/>
  </w:num>
  <w:num w:numId="43">
    <w:abstractNumId w:val="36"/>
  </w:num>
  <w:num w:numId="44">
    <w:abstractNumId w:val="27"/>
  </w:num>
  <w:num w:numId="45">
    <w:abstractNumId w:val="39"/>
  </w:num>
  <w:num w:numId="46">
    <w:abstractNumId w:val="32"/>
  </w:num>
  <w:num w:numId="47">
    <w:abstractNumId w:val="21"/>
  </w:num>
  <w:num w:numId="48">
    <w:abstractNumId w:val="24"/>
  </w:num>
  <w:num w:numId="49">
    <w:abstractNumId w:val="8"/>
  </w:num>
  <w:num w:numId="50">
    <w:abstractNumId w:val="15"/>
  </w:num>
  <w:num w:numId="51">
    <w:abstractNumId w:val="13"/>
  </w:num>
  <w:num w:numId="52">
    <w:abstractNumId w:val="20"/>
  </w:num>
  <w:num w:numId="53">
    <w:abstractNumId w:val="18"/>
  </w:num>
  <w:num w:numId="54">
    <w:abstractNumId w:val="16"/>
  </w:num>
  <w:num w:numId="55">
    <w:abstractNumId w:val="34"/>
  </w:num>
  <w:num w:numId="56">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defaultTabStop w:val="720"/>
  <w:drawingGridHorizontalSpacing w:val="12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2E0"/>
    <w:rsid w:val="00000A65"/>
    <w:rsid w:val="00000DDB"/>
    <w:rsid w:val="0000116B"/>
    <w:rsid w:val="0000150F"/>
    <w:rsid w:val="00001C31"/>
    <w:rsid w:val="00002D33"/>
    <w:rsid w:val="00003AAE"/>
    <w:rsid w:val="00003B45"/>
    <w:rsid w:val="00003D15"/>
    <w:rsid w:val="00003F2D"/>
    <w:rsid w:val="00003F67"/>
    <w:rsid w:val="00004028"/>
    <w:rsid w:val="00004436"/>
    <w:rsid w:val="0000455D"/>
    <w:rsid w:val="00004786"/>
    <w:rsid w:val="000050DB"/>
    <w:rsid w:val="000053E7"/>
    <w:rsid w:val="0000540D"/>
    <w:rsid w:val="00005484"/>
    <w:rsid w:val="00005982"/>
    <w:rsid w:val="00005A9F"/>
    <w:rsid w:val="00005B4A"/>
    <w:rsid w:val="00005F0D"/>
    <w:rsid w:val="000067A9"/>
    <w:rsid w:val="0000699B"/>
    <w:rsid w:val="00006DDD"/>
    <w:rsid w:val="0000713E"/>
    <w:rsid w:val="00007229"/>
    <w:rsid w:val="000076F8"/>
    <w:rsid w:val="00007ED3"/>
    <w:rsid w:val="0001032A"/>
    <w:rsid w:val="00010465"/>
    <w:rsid w:val="000106ED"/>
    <w:rsid w:val="0001079A"/>
    <w:rsid w:val="000110C3"/>
    <w:rsid w:val="0001138A"/>
    <w:rsid w:val="000113AD"/>
    <w:rsid w:val="00011D63"/>
    <w:rsid w:val="000128B7"/>
    <w:rsid w:val="00013169"/>
    <w:rsid w:val="0001346A"/>
    <w:rsid w:val="00013517"/>
    <w:rsid w:val="00013562"/>
    <w:rsid w:val="0001391C"/>
    <w:rsid w:val="00013EDB"/>
    <w:rsid w:val="00014492"/>
    <w:rsid w:val="00014604"/>
    <w:rsid w:val="000149DE"/>
    <w:rsid w:val="00014B3E"/>
    <w:rsid w:val="00014B98"/>
    <w:rsid w:val="0001532B"/>
    <w:rsid w:val="00015C1F"/>
    <w:rsid w:val="00015EAE"/>
    <w:rsid w:val="00015F58"/>
    <w:rsid w:val="00016940"/>
    <w:rsid w:val="0001696A"/>
    <w:rsid w:val="00016B27"/>
    <w:rsid w:val="00016DA4"/>
    <w:rsid w:val="00017323"/>
    <w:rsid w:val="00017706"/>
    <w:rsid w:val="00017D8C"/>
    <w:rsid w:val="00017ED0"/>
    <w:rsid w:val="000200EA"/>
    <w:rsid w:val="0002011E"/>
    <w:rsid w:val="0002063F"/>
    <w:rsid w:val="00020BCC"/>
    <w:rsid w:val="00020D52"/>
    <w:rsid w:val="00021097"/>
    <w:rsid w:val="0002159F"/>
    <w:rsid w:val="00021DA7"/>
    <w:rsid w:val="00021FD4"/>
    <w:rsid w:val="00022673"/>
    <w:rsid w:val="00022D0B"/>
    <w:rsid w:val="00022E09"/>
    <w:rsid w:val="000235B9"/>
    <w:rsid w:val="000235BF"/>
    <w:rsid w:val="0002367F"/>
    <w:rsid w:val="00023CA2"/>
    <w:rsid w:val="00023D57"/>
    <w:rsid w:val="00024432"/>
    <w:rsid w:val="00024448"/>
    <w:rsid w:val="00024588"/>
    <w:rsid w:val="00024619"/>
    <w:rsid w:val="00024B20"/>
    <w:rsid w:val="00024CFF"/>
    <w:rsid w:val="00024DFA"/>
    <w:rsid w:val="000257DB"/>
    <w:rsid w:val="00025B49"/>
    <w:rsid w:val="00026342"/>
    <w:rsid w:val="00026376"/>
    <w:rsid w:val="000264C8"/>
    <w:rsid w:val="00026613"/>
    <w:rsid w:val="000267A7"/>
    <w:rsid w:val="00026A5D"/>
    <w:rsid w:val="00026DE0"/>
    <w:rsid w:val="00026F83"/>
    <w:rsid w:val="00027399"/>
    <w:rsid w:val="000278F1"/>
    <w:rsid w:val="00027C29"/>
    <w:rsid w:val="00030784"/>
    <w:rsid w:val="000309F9"/>
    <w:rsid w:val="00030F0F"/>
    <w:rsid w:val="00030FF9"/>
    <w:rsid w:val="0003114F"/>
    <w:rsid w:val="000313BE"/>
    <w:rsid w:val="00031BAA"/>
    <w:rsid w:val="00031C92"/>
    <w:rsid w:val="00031D88"/>
    <w:rsid w:val="00032230"/>
    <w:rsid w:val="000328DB"/>
    <w:rsid w:val="00032EA0"/>
    <w:rsid w:val="000330CE"/>
    <w:rsid w:val="00033E32"/>
    <w:rsid w:val="000342EB"/>
    <w:rsid w:val="00034F4C"/>
    <w:rsid w:val="00034FEB"/>
    <w:rsid w:val="00035156"/>
    <w:rsid w:val="00035AC2"/>
    <w:rsid w:val="00035D56"/>
    <w:rsid w:val="00036DA5"/>
    <w:rsid w:val="00036E97"/>
    <w:rsid w:val="00037288"/>
    <w:rsid w:val="00037402"/>
    <w:rsid w:val="00037482"/>
    <w:rsid w:val="00037826"/>
    <w:rsid w:val="00037BFF"/>
    <w:rsid w:val="00037C8B"/>
    <w:rsid w:val="00040006"/>
    <w:rsid w:val="00040D8A"/>
    <w:rsid w:val="00040E65"/>
    <w:rsid w:val="00041557"/>
    <w:rsid w:val="00041991"/>
    <w:rsid w:val="00041D00"/>
    <w:rsid w:val="00041F21"/>
    <w:rsid w:val="000421C5"/>
    <w:rsid w:val="00042898"/>
    <w:rsid w:val="00042931"/>
    <w:rsid w:val="000435C0"/>
    <w:rsid w:val="000438BE"/>
    <w:rsid w:val="00043BA9"/>
    <w:rsid w:val="00043CCD"/>
    <w:rsid w:val="00043CD5"/>
    <w:rsid w:val="00043E05"/>
    <w:rsid w:val="00044477"/>
    <w:rsid w:val="00044493"/>
    <w:rsid w:val="000444C7"/>
    <w:rsid w:val="000444FE"/>
    <w:rsid w:val="0004455B"/>
    <w:rsid w:val="000449A4"/>
    <w:rsid w:val="000449E8"/>
    <w:rsid w:val="00044B3C"/>
    <w:rsid w:val="000450F8"/>
    <w:rsid w:val="000457C0"/>
    <w:rsid w:val="0004592A"/>
    <w:rsid w:val="0004609C"/>
    <w:rsid w:val="00046C8D"/>
    <w:rsid w:val="00047AD3"/>
    <w:rsid w:val="00050A1A"/>
    <w:rsid w:val="00050CE4"/>
    <w:rsid w:val="000512B6"/>
    <w:rsid w:val="0005148F"/>
    <w:rsid w:val="00052663"/>
    <w:rsid w:val="00052CF6"/>
    <w:rsid w:val="000533E7"/>
    <w:rsid w:val="000537CD"/>
    <w:rsid w:val="00053CEA"/>
    <w:rsid w:val="0005466C"/>
    <w:rsid w:val="000547DC"/>
    <w:rsid w:val="000547FE"/>
    <w:rsid w:val="00054A5A"/>
    <w:rsid w:val="00054F1E"/>
    <w:rsid w:val="000551B9"/>
    <w:rsid w:val="000551C0"/>
    <w:rsid w:val="0005577C"/>
    <w:rsid w:val="00056ACE"/>
    <w:rsid w:val="0005717D"/>
    <w:rsid w:val="00057406"/>
    <w:rsid w:val="000575B9"/>
    <w:rsid w:val="00057E07"/>
    <w:rsid w:val="00060B64"/>
    <w:rsid w:val="00060E18"/>
    <w:rsid w:val="00061083"/>
    <w:rsid w:val="00061443"/>
    <w:rsid w:val="000617E1"/>
    <w:rsid w:val="00061951"/>
    <w:rsid w:val="00061C36"/>
    <w:rsid w:val="00061EBE"/>
    <w:rsid w:val="00061F2E"/>
    <w:rsid w:val="00062247"/>
    <w:rsid w:val="000625FD"/>
    <w:rsid w:val="00062933"/>
    <w:rsid w:val="00062B94"/>
    <w:rsid w:val="00063698"/>
    <w:rsid w:val="000639A8"/>
    <w:rsid w:val="00063C1E"/>
    <w:rsid w:val="00063E76"/>
    <w:rsid w:val="00063EC8"/>
    <w:rsid w:val="0006409B"/>
    <w:rsid w:val="00064115"/>
    <w:rsid w:val="0006426B"/>
    <w:rsid w:val="000645CF"/>
    <w:rsid w:val="00064F13"/>
    <w:rsid w:val="00064F28"/>
    <w:rsid w:val="00065C30"/>
    <w:rsid w:val="000662F9"/>
    <w:rsid w:val="00066653"/>
    <w:rsid w:val="00066E36"/>
    <w:rsid w:val="00066EC4"/>
    <w:rsid w:val="0006760F"/>
    <w:rsid w:val="000676F4"/>
    <w:rsid w:val="00067E26"/>
    <w:rsid w:val="00070319"/>
    <w:rsid w:val="000705B9"/>
    <w:rsid w:val="000707EC"/>
    <w:rsid w:val="00070BC3"/>
    <w:rsid w:val="00070E42"/>
    <w:rsid w:val="0007103C"/>
    <w:rsid w:val="00071945"/>
    <w:rsid w:val="00071FC9"/>
    <w:rsid w:val="000720D9"/>
    <w:rsid w:val="0007234D"/>
    <w:rsid w:val="000725A1"/>
    <w:rsid w:val="0007273D"/>
    <w:rsid w:val="00073393"/>
    <w:rsid w:val="00073425"/>
    <w:rsid w:val="000739F1"/>
    <w:rsid w:val="00073B29"/>
    <w:rsid w:val="00073E1E"/>
    <w:rsid w:val="00073E41"/>
    <w:rsid w:val="000742CD"/>
    <w:rsid w:val="00074722"/>
    <w:rsid w:val="000747B8"/>
    <w:rsid w:val="00074A87"/>
    <w:rsid w:val="00074AC4"/>
    <w:rsid w:val="00074F69"/>
    <w:rsid w:val="00075140"/>
    <w:rsid w:val="00075259"/>
    <w:rsid w:val="00075C9C"/>
    <w:rsid w:val="00076A38"/>
    <w:rsid w:val="00076AE0"/>
    <w:rsid w:val="00076BC8"/>
    <w:rsid w:val="000773FF"/>
    <w:rsid w:val="00077560"/>
    <w:rsid w:val="00077ADD"/>
    <w:rsid w:val="00077B8A"/>
    <w:rsid w:val="000805EF"/>
    <w:rsid w:val="00080760"/>
    <w:rsid w:val="00080884"/>
    <w:rsid w:val="000808A5"/>
    <w:rsid w:val="00080B1C"/>
    <w:rsid w:val="0008118E"/>
    <w:rsid w:val="00081300"/>
    <w:rsid w:val="00081486"/>
    <w:rsid w:val="00081825"/>
    <w:rsid w:val="00081891"/>
    <w:rsid w:val="00082FE3"/>
    <w:rsid w:val="00083066"/>
    <w:rsid w:val="0008347B"/>
    <w:rsid w:val="00083545"/>
    <w:rsid w:val="000837A3"/>
    <w:rsid w:val="000842E1"/>
    <w:rsid w:val="000844C7"/>
    <w:rsid w:val="000844DE"/>
    <w:rsid w:val="0008495F"/>
    <w:rsid w:val="000849D0"/>
    <w:rsid w:val="000856A5"/>
    <w:rsid w:val="000856E2"/>
    <w:rsid w:val="00086114"/>
    <w:rsid w:val="000864CE"/>
    <w:rsid w:val="000866E0"/>
    <w:rsid w:val="00086753"/>
    <w:rsid w:val="0008704B"/>
    <w:rsid w:val="0008715B"/>
    <w:rsid w:val="00087727"/>
    <w:rsid w:val="00087D92"/>
    <w:rsid w:val="0009016D"/>
    <w:rsid w:val="00090386"/>
    <w:rsid w:val="00091300"/>
    <w:rsid w:val="000917D3"/>
    <w:rsid w:val="00091ED1"/>
    <w:rsid w:val="000920D3"/>
    <w:rsid w:val="00092341"/>
    <w:rsid w:val="000925CC"/>
    <w:rsid w:val="00092B9C"/>
    <w:rsid w:val="00093BFE"/>
    <w:rsid w:val="0009405D"/>
    <w:rsid w:val="000942ED"/>
    <w:rsid w:val="00095A35"/>
    <w:rsid w:val="000962CF"/>
    <w:rsid w:val="00096CEB"/>
    <w:rsid w:val="00096D58"/>
    <w:rsid w:val="00096DD3"/>
    <w:rsid w:val="00097053"/>
    <w:rsid w:val="0009725B"/>
    <w:rsid w:val="00097766"/>
    <w:rsid w:val="00097ECB"/>
    <w:rsid w:val="000A0327"/>
    <w:rsid w:val="000A034D"/>
    <w:rsid w:val="000A05F5"/>
    <w:rsid w:val="000A1ADA"/>
    <w:rsid w:val="000A1F0D"/>
    <w:rsid w:val="000A240B"/>
    <w:rsid w:val="000A246E"/>
    <w:rsid w:val="000A2491"/>
    <w:rsid w:val="000A26A6"/>
    <w:rsid w:val="000A2945"/>
    <w:rsid w:val="000A2CEA"/>
    <w:rsid w:val="000A36C3"/>
    <w:rsid w:val="000A3DD8"/>
    <w:rsid w:val="000A3FF7"/>
    <w:rsid w:val="000A41E5"/>
    <w:rsid w:val="000A45C4"/>
    <w:rsid w:val="000A4C19"/>
    <w:rsid w:val="000A5538"/>
    <w:rsid w:val="000A5A04"/>
    <w:rsid w:val="000A69C3"/>
    <w:rsid w:val="000A6BC3"/>
    <w:rsid w:val="000A703D"/>
    <w:rsid w:val="000A7BDA"/>
    <w:rsid w:val="000A7C1F"/>
    <w:rsid w:val="000A7DB8"/>
    <w:rsid w:val="000B0287"/>
    <w:rsid w:val="000B076C"/>
    <w:rsid w:val="000B08F1"/>
    <w:rsid w:val="000B0A70"/>
    <w:rsid w:val="000B0B93"/>
    <w:rsid w:val="000B0D66"/>
    <w:rsid w:val="000B10DB"/>
    <w:rsid w:val="000B1234"/>
    <w:rsid w:val="000B169C"/>
    <w:rsid w:val="000B1873"/>
    <w:rsid w:val="000B1C3C"/>
    <w:rsid w:val="000B1EB6"/>
    <w:rsid w:val="000B294B"/>
    <w:rsid w:val="000B2D62"/>
    <w:rsid w:val="000B3380"/>
    <w:rsid w:val="000B3AC8"/>
    <w:rsid w:val="000B3DCC"/>
    <w:rsid w:val="000B3EDA"/>
    <w:rsid w:val="000B40A9"/>
    <w:rsid w:val="000B4569"/>
    <w:rsid w:val="000B4644"/>
    <w:rsid w:val="000B4E32"/>
    <w:rsid w:val="000B5782"/>
    <w:rsid w:val="000B5C20"/>
    <w:rsid w:val="000B5DB7"/>
    <w:rsid w:val="000B67DD"/>
    <w:rsid w:val="000B75C0"/>
    <w:rsid w:val="000B7704"/>
    <w:rsid w:val="000B776E"/>
    <w:rsid w:val="000B77B7"/>
    <w:rsid w:val="000B7F38"/>
    <w:rsid w:val="000B7F3C"/>
    <w:rsid w:val="000C0285"/>
    <w:rsid w:val="000C093B"/>
    <w:rsid w:val="000C1499"/>
    <w:rsid w:val="000C14DE"/>
    <w:rsid w:val="000C1658"/>
    <w:rsid w:val="000C1D5F"/>
    <w:rsid w:val="000C1E06"/>
    <w:rsid w:val="000C2267"/>
    <w:rsid w:val="000C2443"/>
    <w:rsid w:val="000C2A5B"/>
    <w:rsid w:val="000C3071"/>
    <w:rsid w:val="000C3089"/>
    <w:rsid w:val="000C341F"/>
    <w:rsid w:val="000C3B33"/>
    <w:rsid w:val="000C4130"/>
    <w:rsid w:val="000C43A5"/>
    <w:rsid w:val="000C4681"/>
    <w:rsid w:val="000C477B"/>
    <w:rsid w:val="000C4CA1"/>
    <w:rsid w:val="000C4FFC"/>
    <w:rsid w:val="000C51D1"/>
    <w:rsid w:val="000C524D"/>
    <w:rsid w:val="000C525D"/>
    <w:rsid w:val="000C605D"/>
    <w:rsid w:val="000C6460"/>
    <w:rsid w:val="000C6B3E"/>
    <w:rsid w:val="000C6D8B"/>
    <w:rsid w:val="000C7731"/>
    <w:rsid w:val="000C7A26"/>
    <w:rsid w:val="000D04B2"/>
    <w:rsid w:val="000D19ED"/>
    <w:rsid w:val="000D242E"/>
    <w:rsid w:val="000D25D1"/>
    <w:rsid w:val="000D27D7"/>
    <w:rsid w:val="000D3ECE"/>
    <w:rsid w:val="000D4385"/>
    <w:rsid w:val="000D4619"/>
    <w:rsid w:val="000D5140"/>
    <w:rsid w:val="000D524D"/>
    <w:rsid w:val="000D5350"/>
    <w:rsid w:val="000D5983"/>
    <w:rsid w:val="000D5C73"/>
    <w:rsid w:val="000D5DCA"/>
    <w:rsid w:val="000D6A32"/>
    <w:rsid w:val="000D6A9A"/>
    <w:rsid w:val="000D705E"/>
    <w:rsid w:val="000D706F"/>
    <w:rsid w:val="000D7CF1"/>
    <w:rsid w:val="000D7DF6"/>
    <w:rsid w:val="000D7E9C"/>
    <w:rsid w:val="000E0ABE"/>
    <w:rsid w:val="000E10D6"/>
    <w:rsid w:val="000E10E9"/>
    <w:rsid w:val="000E16E4"/>
    <w:rsid w:val="000E17FD"/>
    <w:rsid w:val="000E19AB"/>
    <w:rsid w:val="000E1A92"/>
    <w:rsid w:val="000E2942"/>
    <w:rsid w:val="000E2BA7"/>
    <w:rsid w:val="000E410B"/>
    <w:rsid w:val="000E4F37"/>
    <w:rsid w:val="000E545A"/>
    <w:rsid w:val="000E55D3"/>
    <w:rsid w:val="000E58A4"/>
    <w:rsid w:val="000E5EE6"/>
    <w:rsid w:val="000E5F37"/>
    <w:rsid w:val="000E6158"/>
    <w:rsid w:val="000E65A7"/>
    <w:rsid w:val="000E7303"/>
    <w:rsid w:val="000E7AD4"/>
    <w:rsid w:val="000E7CBD"/>
    <w:rsid w:val="000E7CF3"/>
    <w:rsid w:val="000F0141"/>
    <w:rsid w:val="000F033A"/>
    <w:rsid w:val="000F0537"/>
    <w:rsid w:val="000F11E6"/>
    <w:rsid w:val="000F1AF1"/>
    <w:rsid w:val="000F1ED9"/>
    <w:rsid w:val="000F20B9"/>
    <w:rsid w:val="000F2A04"/>
    <w:rsid w:val="000F2C49"/>
    <w:rsid w:val="000F3439"/>
    <w:rsid w:val="000F378C"/>
    <w:rsid w:val="000F3EEF"/>
    <w:rsid w:val="000F414A"/>
    <w:rsid w:val="000F425E"/>
    <w:rsid w:val="000F4897"/>
    <w:rsid w:val="000F49CF"/>
    <w:rsid w:val="000F539A"/>
    <w:rsid w:val="000F5AB6"/>
    <w:rsid w:val="000F5B84"/>
    <w:rsid w:val="000F5C49"/>
    <w:rsid w:val="000F5F0B"/>
    <w:rsid w:val="000F600A"/>
    <w:rsid w:val="000F6297"/>
    <w:rsid w:val="000F67E7"/>
    <w:rsid w:val="000F680A"/>
    <w:rsid w:val="000F6877"/>
    <w:rsid w:val="000F6C49"/>
    <w:rsid w:val="000F7190"/>
    <w:rsid w:val="000F76C7"/>
    <w:rsid w:val="00102437"/>
    <w:rsid w:val="00102B8B"/>
    <w:rsid w:val="00102E97"/>
    <w:rsid w:val="0010301F"/>
    <w:rsid w:val="001031AF"/>
    <w:rsid w:val="001032F9"/>
    <w:rsid w:val="00103855"/>
    <w:rsid w:val="00103A57"/>
    <w:rsid w:val="00103DD5"/>
    <w:rsid w:val="00104BD7"/>
    <w:rsid w:val="00105173"/>
    <w:rsid w:val="001054E0"/>
    <w:rsid w:val="00105742"/>
    <w:rsid w:val="0010577F"/>
    <w:rsid w:val="001063E9"/>
    <w:rsid w:val="001065F8"/>
    <w:rsid w:val="00106BE0"/>
    <w:rsid w:val="001071D5"/>
    <w:rsid w:val="00107CAE"/>
    <w:rsid w:val="00107F43"/>
    <w:rsid w:val="00110352"/>
    <w:rsid w:val="0011085E"/>
    <w:rsid w:val="00110DCF"/>
    <w:rsid w:val="00110F85"/>
    <w:rsid w:val="00112578"/>
    <w:rsid w:val="00112C8B"/>
    <w:rsid w:val="00112CC9"/>
    <w:rsid w:val="00112F16"/>
    <w:rsid w:val="00112FA3"/>
    <w:rsid w:val="00113060"/>
    <w:rsid w:val="001138BB"/>
    <w:rsid w:val="00113941"/>
    <w:rsid w:val="0011411C"/>
    <w:rsid w:val="001151EE"/>
    <w:rsid w:val="001163A3"/>
    <w:rsid w:val="0011665E"/>
    <w:rsid w:val="00116742"/>
    <w:rsid w:val="00116999"/>
    <w:rsid w:val="00116B2A"/>
    <w:rsid w:val="00116C2A"/>
    <w:rsid w:val="00117012"/>
    <w:rsid w:val="001170C8"/>
    <w:rsid w:val="00117151"/>
    <w:rsid w:val="00117F9F"/>
    <w:rsid w:val="00117FCD"/>
    <w:rsid w:val="0012012D"/>
    <w:rsid w:val="00120C45"/>
    <w:rsid w:val="0012126A"/>
    <w:rsid w:val="00121AD5"/>
    <w:rsid w:val="00121EBF"/>
    <w:rsid w:val="00122102"/>
    <w:rsid w:val="00122E05"/>
    <w:rsid w:val="00123C69"/>
    <w:rsid w:val="00123D9E"/>
    <w:rsid w:val="00124402"/>
    <w:rsid w:val="00124998"/>
    <w:rsid w:val="00124A9B"/>
    <w:rsid w:val="00124E2F"/>
    <w:rsid w:val="00124E5E"/>
    <w:rsid w:val="0012530F"/>
    <w:rsid w:val="00125A85"/>
    <w:rsid w:val="00125DB7"/>
    <w:rsid w:val="00126793"/>
    <w:rsid w:val="00127054"/>
    <w:rsid w:val="0012725B"/>
    <w:rsid w:val="001276CC"/>
    <w:rsid w:val="00127E63"/>
    <w:rsid w:val="00130DFA"/>
    <w:rsid w:val="0013139A"/>
    <w:rsid w:val="0013163A"/>
    <w:rsid w:val="00131D09"/>
    <w:rsid w:val="001320EB"/>
    <w:rsid w:val="001324B9"/>
    <w:rsid w:val="001326D6"/>
    <w:rsid w:val="00132A31"/>
    <w:rsid w:val="00132FB2"/>
    <w:rsid w:val="00133341"/>
    <w:rsid w:val="00133BDF"/>
    <w:rsid w:val="00133CB7"/>
    <w:rsid w:val="00133EAD"/>
    <w:rsid w:val="001340E7"/>
    <w:rsid w:val="001344AF"/>
    <w:rsid w:val="001344C5"/>
    <w:rsid w:val="00134595"/>
    <w:rsid w:val="0013493C"/>
    <w:rsid w:val="00134EDA"/>
    <w:rsid w:val="00134F0E"/>
    <w:rsid w:val="00135109"/>
    <w:rsid w:val="00135390"/>
    <w:rsid w:val="00135617"/>
    <w:rsid w:val="001356FD"/>
    <w:rsid w:val="00135C87"/>
    <w:rsid w:val="0013609B"/>
    <w:rsid w:val="0013643C"/>
    <w:rsid w:val="00136B65"/>
    <w:rsid w:val="00137242"/>
    <w:rsid w:val="001375EB"/>
    <w:rsid w:val="00137854"/>
    <w:rsid w:val="00137F15"/>
    <w:rsid w:val="001400F3"/>
    <w:rsid w:val="00140282"/>
    <w:rsid w:val="001407E0"/>
    <w:rsid w:val="00140AA2"/>
    <w:rsid w:val="0014139C"/>
    <w:rsid w:val="0014148F"/>
    <w:rsid w:val="00141C36"/>
    <w:rsid w:val="0014205F"/>
    <w:rsid w:val="001421C3"/>
    <w:rsid w:val="00142684"/>
    <w:rsid w:val="001428D2"/>
    <w:rsid w:val="00142932"/>
    <w:rsid w:val="001437F4"/>
    <w:rsid w:val="001437F7"/>
    <w:rsid w:val="00143959"/>
    <w:rsid w:val="00145241"/>
    <w:rsid w:val="001458EF"/>
    <w:rsid w:val="001460CA"/>
    <w:rsid w:val="001464C4"/>
    <w:rsid w:val="0014662D"/>
    <w:rsid w:val="0014675D"/>
    <w:rsid w:val="001470EB"/>
    <w:rsid w:val="001475C9"/>
    <w:rsid w:val="00147AD3"/>
    <w:rsid w:val="00150DCD"/>
    <w:rsid w:val="00151129"/>
    <w:rsid w:val="001514B7"/>
    <w:rsid w:val="00151965"/>
    <w:rsid w:val="001519B6"/>
    <w:rsid w:val="001519C0"/>
    <w:rsid w:val="001519E3"/>
    <w:rsid w:val="00151B17"/>
    <w:rsid w:val="0015203E"/>
    <w:rsid w:val="0015231F"/>
    <w:rsid w:val="00152DA9"/>
    <w:rsid w:val="00152EEF"/>
    <w:rsid w:val="00153302"/>
    <w:rsid w:val="00153496"/>
    <w:rsid w:val="001534F6"/>
    <w:rsid w:val="00153922"/>
    <w:rsid w:val="00153DF5"/>
    <w:rsid w:val="00153E53"/>
    <w:rsid w:val="00154235"/>
    <w:rsid w:val="0015452C"/>
    <w:rsid w:val="0015491C"/>
    <w:rsid w:val="00154DD1"/>
    <w:rsid w:val="00154FA4"/>
    <w:rsid w:val="00155453"/>
    <w:rsid w:val="00155EF7"/>
    <w:rsid w:val="00156221"/>
    <w:rsid w:val="00156B09"/>
    <w:rsid w:val="001571D6"/>
    <w:rsid w:val="00157863"/>
    <w:rsid w:val="00157972"/>
    <w:rsid w:val="00157A0A"/>
    <w:rsid w:val="0016006E"/>
    <w:rsid w:val="00160476"/>
    <w:rsid w:val="0016061E"/>
    <w:rsid w:val="0016099B"/>
    <w:rsid w:val="00160DEC"/>
    <w:rsid w:val="00161141"/>
    <w:rsid w:val="001612E9"/>
    <w:rsid w:val="0016145D"/>
    <w:rsid w:val="0016181B"/>
    <w:rsid w:val="00161979"/>
    <w:rsid w:val="00162112"/>
    <w:rsid w:val="00163529"/>
    <w:rsid w:val="00163844"/>
    <w:rsid w:val="0016477E"/>
    <w:rsid w:val="0016505A"/>
    <w:rsid w:val="00165154"/>
    <w:rsid w:val="001656A0"/>
    <w:rsid w:val="00165EB8"/>
    <w:rsid w:val="001662FA"/>
    <w:rsid w:val="0016641B"/>
    <w:rsid w:val="00166A1F"/>
    <w:rsid w:val="00166C1A"/>
    <w:rsid w:val="00166DC5"/>
    <w:rsid w:val="001671E4"/>
    <w:rsid w:val="001676CF"/>
    <w:rsid w:val="00167A4C"/>
    <w:rsid w:val="00167E2D"/>
    <w:rsid w:val="001706A9"/>
    <w:rsid w:val="00170C5A"/>
    <w:rsid w:val="00170E7C"/>
    <w:rsid w:val="00171037"/>
    <w:rsid w:val="00171423"/>
    <w:rsid w:val="00171E67"/>
    <w:rsid w:val="00172063"/>
    <w:rsid w:val="00172A99"/>
    <w:rsid w:val="00172C7B"/>
    <w:rsid w:val="0017370B"/>
    <w:rsid w:val="001737D5"/>
    <w:rsid w:val="00173D60"/>
    <w:rsid w:val="00173E9A"/>
    <w:rsid w:val="0017416C"/>
    <w:rsid w:val="001745D6"/>
    <w:rsid w:val="001745DC"/>
    <w:rsid w:val="001746E8"/>
    <w:rsid w:val="00174E98"/>
    <w:rsid w:val="0017525D"/>
    <w:rsid w:val="0017594C"/>
    <w:rsid w:val="00175C92"/>
    <w:rsid w:val="00175E42"/>
    <w:rsid w:val="00175F0A"/>
    <w:rsid w:val="001760BE"/>
    <w:rsid w:val="00176191"/>
    <w:rsid w:val="0017626F"/>
    <w:rsid w:val="00176CAC"/>
    <w:rsid w:val="00176F02"/>
    <w:rsid w:val="00177D78"/>
    <w:rsid w:val="0018069A"/>
    <w:rsid w:val="00180849"/>
    <w:rsid w:val="001817B6"/>
    <w:rsid w:val="001819CF"/>
    <w:rsid w:val="00181F1C"/>
    <w:rsid w:val="001822F0"/>
    <w:rsid w:val="00182456"/>
    <w:rsid w:val="00182FEC"/>
    <w:rsid w:val="001832BE"/>
    <w:rsid w:val="00183495"/>
    <w:rsid w:val="001836E4"/>
    <w:rsid w:val="001836EC"/>
    <w:rsid w:val="00183F1B"/>
    <w:rsid w:val="00184927"/>
    <w:rsid w:val="00184C17"/>
    <w:rsid w:val="00184D40"/>
    <w:rsid w:val="00184DBC"/>
    <w:rsid w:val="00184F89"/>
    <w:rsid w:val="001850B8"/>
    <w:rsid w:val="001850E3"/>
    <w:rsid w:val="00186004"/>
    <w:rsid w:val="00186C62"/>
    <w:rsid w:val="0018779F"/>
    <w:rsid w:val="00187C9F"/>
    <w:rsid w:val="00187D60"/>
    <w:rsid w:val="001905AE"/>
    <w:rsid w:val="00190677"/>
    <w:rsid w:val="00190888"/>
    <w:rsid w:val="00190AF0"/>
    <w:rsid w:val="00190C99"/>
    <w:rsid w:val="00191135"/>
    <w:rsid w:val="001911FD"/>
    <w:rsid w:val="001921C0"/>
    <w:rsid w:val="00192398"/>
    <w:rsid w:val="001928F5"/>
    <w:rsid w:val="00192A52"/>
    <w:rsid w:val="00192B55"/>
    <w:rsid w:val="001932FC"/>
    <w:rsid w:val="00193531"/>
    <w:rsid w:val="00193553"/>
    <w:rsid w:val="0019364C"/>
    <w:rsid w:val="001938CC"/>
    <w:rsid w:val="00193B3A"/>
    <w:rsid w:val="00193C85"/>
    <w:rsid w:val="0019422F"/>
    <w:rsid w:val="00195973"/>
    <w:rsid w:val="001965EE"/>
    <w:rsid w:val="00196858"/>
    <w:rsid w:val="00196C67"/>
    <w:rsid w:val="00197BB6"/>
    <w:rsid w:val="00197D6F"/>
    <w:rsid w:val="001A0446"/>
    <w:rsid w:val="001A051A"/>
    <w:rsid w:val="001A0AB5"/>
    <w:rsid w:val="001A0B6E"/>
    <w:rsid w:val="001A0C25"/>
    <w:rsid w:val="001A1AC2"/>
    <w:rsid w:val="001A1C2A"/>
    <w:rsid w:val="001A1F85"/>
    <w:rsid w:val="001A2381"/>
    <w:rsid w:val="001A244D"/>
    <w:rsid w:val="001A2D8B"/>
    <w:rsid w:val="001A2EFA"/>
    <w:rsid w:val="001A31B0"/>
    <w:rsid w:val="001A3427"/>
    <w:rsid w:val="001A35D5"/>
    <w:rsid w:val="001A3E46"/>
    <w:rsid w:val="001A3F3A"/>
    <w:rsid w:val="001A4430"/>
    <w:rsid w:val="001A4BA0"/>
    <w:rsid w:val="001A50D3"/>
    <w:rsid w:val="001A5465"/>
    <w:rsid w:val="001A5539"/>
    <w:rsid w:val="001A556B"/>
    <w:rsid w:val="001A6446"/>
    <w:rsid w:val="001A7124"/>
    <w:rsid w:val="001A77D8"/>
    <w:rsid w:val="001A7D48"/>
    <w:rsid w:val="001B01F1"/>
    <w:rsid w:val="001B056D"/>
    <w:rsid w:val="001B0BF6"/>
    <w:rsid w:val="001B0E59"/>
    <w:rsid w:val="001B124F"/>
    <w:rsid w:val="001B14FE"/>
    <w:rsid w:val="001B1A3E"/>
    <w:rsid w:val="001B1E25"/>
    <w:rsid w:val="001B2260"/>
    <w:rsid w:val="001B26EE"/>
    <w:rsid w:val="001B2DE8"/>
    <w:rsid w:val="001B404E"/>
    <w:rsid w:val="001B547B"/>
    <w:rsid w:val="001B5491"/>
    <w:rsid w:val="001B5B72"/>
    <w:rsid w:val="001B5DDA"/>
    <w:rsid w:val="001B5E4A"/>
    <w:rsid w:val="001B5E8B"/>
    <w:rsid w:val="001B6513"/>
    <w:rsid w:val="001B6B0A"/>
    <w:rsid w:val="001B751E"/>
    <w:rsid w:val="001B7544"/>
    <w:rsid w:val="001B7768"/>
    <w:rsid w:val="001C03A1"/>
    <w:rsid w:val="001C03AA"/>
    <w:rsid w:val="001C03AB"/>
    <w:rsid w:val="001C064A"/>
    <w:rsid w:val="001C09C9"/>
    <w:rsid w:val="001C0D69"/>
    <w:rsid w:val="001C0F5A"/>
    <w:rsid w:val="001C14D3"/>
    <w:rsid w:val="001C176E"/>
    <w:rsid w:val="001C1B55"/>
    <w:rsid w:val="001C1B72"/>
    <w:rsid w:val="001C1CEC"/>
    <w:rsid w:val="001C1CFB"/>
    <w:rsid w:val="001C2BA4"/>
    <w:rsid w:val="001C2C28"/>
    <w:rsid w:val="001C301C"/>
    <w:rsid w:val="001C303B"/>
    <w:rsid w:val="001C3585"/>
    <w:rsid w:val="001C370E"/>
    <w:rsid w:val="001C3953"/>
    <w:rsid w:val="001C39BC"/>
    <w:rsid w:val="001C3C1F"/>
    <w:rsid w:val="001C3C8A"/>
    <w:rsid w:val="001C4A1A"/>
    <w:rsid w:val="001C50FE"/>
    <w:rsid w:val="001C6112"/>
    <w:rsid w:val="001C6B1F"/>
    <w:rsid w:val="001C6FE5"/>
    <w:rsid w:val="001D051A"/>
    <w:rsid w:val="001D0AF5"/>
    <w:rsid w:val="001D0C15"/>
    <w:rsid w:val="001D17CB"/>
    <w:rsid w:val="001D1CDA"/>
    <w:rsid w:val="001D2012"/>
    <w:rsid w:val="001D2467"/>
    <w:rsid w:val="001D26A4"/>
    <w:rsid w:val="001D2B89"/>
    <w:rsid w:val="001D2E6A"/>
    <w:rsid w:val="001D300F"/>
    <w:rsid w:val="001D34C1"/>
    <w:rsid w:val="001D3CBE"/>
    <w:rsid w:val="001D3FF8"/>
    <w:rsid w:val="001D4250"/>
    <w:rsid w:val="001D43C0"/>
    <w:rsid w:val="001D5406"/>
    <w:rsid w:val="001D59B7"/>
    <w:rsid w:val="001D5F8A"/>
    <w:rsid w:val="001D6233"/>
    <w:rsid w:val="001D6632"/>
    <w:rsid w:val="001D6A66"/>
    <w:rsid w:val="001D6B30"/>
    <w:rsid w:val="001D75F2"/>
    <w:rsid w:val="001D7688"/>
    <w:rsid w:val="001D77BC"/>
    <w:rsid w:val="001D792A"/>
    <w:rsid w:val="001E0A5E"/>
    <w:rsid w:val="001E0D23"/>
    <w:rsid w:val="001E1791"/>
    <w:rsid w:val="001E1FFF"/>
    <w:rsid w:val="001E22B0"/>
    <w:rsid w:val="001E2B8D"/>
    <w:rsid w:val="001E2EF0"/>
    <w:rsid w:val="001E2FA3"/>
    <w:rsid w:val="001E3772"/>
    <w:rsid w:val="001E3C15"/>
    <w:rsid w:val="001E44F2"/>
    <w:rsid w:val="001E4F08"/>
    <w:rsid w:val="001E5772"/>
    <w:rsid w:val="001E5CB9"/>
    <w:rsid w:val="001E65CF"/>
    <w:rsid w:val="001E6ED0"/>
    <w:rsid w:val="001E7125"/>
    <w:rsid w:val="001E72D2"/>
    <w:rsid w:val="001E73C5"/>
    <w:rsid w:val="001E7A1D"/>
    <w:rsid w:val="001E7BC6"/>
    <w:rsid w:val="001E7DAC"/>
    <w:rsid w:val="001E7EDF"/>
    <w:rsid w:val="001F01C7"/>
    <w:rsid w:val="001F06AD"/>
    <w:rsid w:val="001F103B"/>
    <w:rsid w:val="001F1226"/>
    <w:rsid w:val="001F1527"/>
    <w:rsid w:val="001F1AB2"/>
    <w:rsid w:val="001F2996"/>
    <w:rsid w:val="001F2E7A"/>
    <w:rsid w:val="001F3365"/>
    <w:rsid w:val="001F369D"/>
    <w:rsid w:val="001F3913"/>
    <w:rsid w:val="001F395E"/>
    <w:rsid w:val="001F4166"/>
    <w:rsid w:val="001F46C7"/>
    <w:rsid w:val="001F4B73"/>
    <w:rsid w:val="001F4F66"/>
    <w:rsid w:val="001F52E7"/>
    <w:rsid w:val="001F61DB"/>
    <w:rsid w:val="001F690F"/>
    <w:rsid w:val="001F69CD"/>
    <w:rsid w:val="001F6A5C"/>
    <w:rsid w:val="001F6D8C"/>
    <w:rsid w:val="001F6DCC"/>
    <w:rsid w:val="001F70F4"/>
    <w:rsid w:val="001F7A1E"/>
    <w:rsid w:val="001F7A5A"/>
    <w:rsid w:val="001F7BD9"/>
    <w:rsid w:val="0020002C"/>
    <w:rsid w:val="002007DF"/>
    <w:rsid w:val="00201347"/>
    <w:rsid w:val="0020135E"/>
    <w:rsid w:val="00201E06"/>
    <w:rsid w:val="00201F15"/>
    <w:rsid w:val="0020240D"/>
    <w:rsid w:val="00202B3C"/>
    <w:rsid w:val="002038C7"/>
    <w:rsid w:val="00203C4F"/>
    <w:rsid w:val="002040AE"/>
    <w:rsid w:val="0020422F"/>
    <w:rsid w:val="00204990"/>
    <w:rsid w:val="00204D07"/>
    <w:rsid w:val="00204F58"/>
    <w:rsid w:val="00205248"/>
    <w:rsid w:val="00205AA1"/>
    <w:rsid w:val="002063CA"/>
    <w:rsid w:val="0020690D"/>
    <w:rsid w:val="0020744B"/>
    <w:rsid w:val="0020781E"/>
    <w:rsid w:val="00210300"/>
    <w:rsid w:val="002103F9"/>
    <w:rsid w:val="00210AC6"/>
    <w:rsid w:val="00210D1C"/>
    <w:rsid w:val="00211849"/>
    <w:rsid w:val="002119E1"/>
    <w:rsid w:val="00211FC4"/>
    <w:rsid w:val="00212B0D"/>
    <w:rsid w:val="00212B72"/>
    <w:rsid w:val="00212B8C"/>
    <w:rsid w:val="00212E84"/>
    <w:rsid w:val="002132C6"/>
    <w:rsid w:val="002137E3"/>
    <w:rsid w:val="002138E7"/>
    <w:rsid w:val="00213AC2"/>
    <w:rsid w:val="00213B14"/>
    <w:rsid w:val="00214CF5"/>
    <w:rsid w:val="0021549E"/>
    <w:rsid w:val="00215698"/>
    <w:rsid w:val="002156A9"/>
    <w:rsid w:val="00215855"/>
    <w:rsid w:val="00215980"/>
    <w:rsid w:val="00216079"/>
    <w:rsid w:val="002164B4"/>
    <w:rsid w:val="0021655B"/>
    <w:rsid w:val="00216623"/>
    <w:rsid w:val="002167E2"/>
    <w:rsid w:val="002167E3"/>
    <w:rsid w:val="00216B30"/>
    <w:rsid w:val="00216BAB"/>
    <w:rsid w:val="00216D38"/>
    <w:rsid w:val="00216DFD"/>
    <w:rsid w:val="00216F25"/>
    <w:rsid w:val="0021707F"/>
    <w:rsid w:val="00217A67"/>
    <w:rsid w:val="00217F80"/>
    <w:rsid w:val="002201E6"/>
    <w:rsid w:val="00220317"/>
    <w:rsid w:val="002203C1"/>
    <w:rsid w:val="0022056F"/>
    <w:rsid w:val="002205A1"/>
    <w:rsid w:val="002205B0"/>
    <w:rsid w:val="00220E50"/>
    <w:rsid w:val="00220EEC"/>
    <w:rsid w:val="00221029"/>
    <w:rsid w:val="00221032"/>
    <w:rsid w:val="00221089"/>
    <w:rsid w:val="002210AD"/>
    <w:rsid w:val="002214A7"/>
    <w:rsid w:val="00222B39"/>
    <w:rsid w:val="00222BD6"/>
    <w:rsid w:val="00222D49"/>
    <w:rsid w:val="00222D7F"/>
    <w:rsid w:val="00222FDC"/>
    <w:rsid w:val="0022319F"/>
    <w:rsid w:val="002232D2"/>
    <w:rsid w:val="0022387C"/>
    <w:rsid w:val="0022443E"/>
    <w:rsid w:val="00224612"/>
    <w:rsid w:val="00225450"/>
    <w:rsid w:val="002258B8"/>
    <w:rsid w:val="00225B1A"/>
    <w:rsid w:val="00225B1F"/>
    <w:rsid w:val="0022680F"/>
    <w:rsid w:val="00226BC8"/>
    <w:rsid w:val="00226E47"/>
    <w:rsid w:val="00227D8A"/>
    <w:rsid w:val="00227E70"/>
    <w:rsid w:val="00230EC1"/>
    <w:rsid w:val="00231240"/>
    <w:rsid w:val="00231E64"/>
    <w:rsid w:val="002322A6"/>
    <w:rsid w:val="002323EF"/>
    <w:rsid w:val="00232A10"/>
    <w:rsid w:val="00232DEC"/>
    <w:rsid w:val="00233144"/>
    <w:rsid w:val="00233525"/>
    <w:rsid w:val="0023375C"/>
    <w:rsid w:val="002339FF"/>
    <w:rsid w:val="00233F43"/>
    <w:rsid w:val="0023420A"/>
    <w:rsid w:val="00234676"/>
    <w:rsid w:val="0023472D"/>
    <w:rsid w:val="00234792"/>
    <w:rsid w:val="0023487A"/>
    <w:rsid w:val="00234912"/>
    <w:rsid w:val="00235C90"/>
    <w:rsid w:val="00236AB0"/>
    <w:rsid w:val="00236BAE"/>
    <w:rsid w:val="00236C78"/>
    <w:rsid w:val="002370B8"/>
    <w:rsid w:val="00237367"/>
    <w:rsid w:val="00237A3F"/>
    <w:rsid w:val="00240269"/>
    <w:rsid w:val="0024048E"/>
    <w:rsid w:val="00240820"/>
    <w:rsid w:val="00240A4C"/>
    <w:rsid w:val="002410FC"/>
    <w:rsid w:val="0024114F"/>
    <w:rsid w:val="00241CEC"/>
    <w:rsid w:val="00241DC8"/>
    <w:rsid w:val="002430E0"/>
    <w:rsid w:val="00243558"/>
    <w:rsid w:val="002437C6"/>
    <w:rsid w:val="00243CDE"/>
    <w:rsid w:val="0024465D"/>
    <w:rsid w:val="00245627"/>
    <w:rsid w:val="00246045"/>
    <w:rsid w:val="002468C1"/>
    <w:rsid w:val="00246D80"/>
    <w:rsid w:val="00246F82"/>
    <w:rsid w:val="002474D8"/>
    <w:rsid w:val="00250C6F"/>
    <w:rsid w:val="0025126A"/>
    <w:rsid w:val="00251AFC"/>
    <w:rsid w:val="00251FCC"/>
    <w:rsid w:val="00252155"/>
    <w:rsid w:val="002526C1"/>
    <w:rsid w:val="002527A5"/>
    <w:rsid w:val="00252A55"/>
    <w:rsid w:val="00252B8E"/>
    <w:rsid w:val="00253060"/>
    <w:rsid w:val="00253330"/>
    <w:rsid w:val="00253B60"/>
    <w:rsid w:val="00254008"/>
    <w:rsid w:val="00254207"/>
    <w:rsid w:val="002542D8"/>
    <w:rsid w:val="002549A2"/>
    <w:rsid w:val="002550ED"/>
    <w:rsid w:val="002559C6"/>
    <w:rsid w:val="00255AFA"/>
    <w:rsid w:val="00255E88"/>
    <w:rsid w:val="00255FA9"/>
    <w:rsid w:val="00256F14"/>
    <w:rsid w:val="00257294"/>
    <w:rsid w:val="002572E4"/>
    <w:rsid w:val="00257FBF"/>
    <w:rsid w:val="002606E8"/>
    <w:rsid w:val="00260C55"/>
    <w:rsid w:val="00260E32"/>
    <w:rsid w:val="0026130B"/>
    <w:rsid w:val="002618B2"/>
    <w:rsid w:val="002623D6"/>
    <w:rsid w:val="00262788"/>
    <w:rsid w:val="00262B3D"/>
    <w:rsid w:val="00263158"/>
    <w:rsid w:val="002638FA"/>
    <w:rsid w:val="00263F5F"/>
    <w:rsid w:val="0026406F"/>
    <w:rsid w:val="002640E1"/>
    <w:rsid w:val="002648DC"/>
    <w:rsid w:val="0026551E"/>
    <w:rsid w:val="002657CB"/>
    <w:rsid w:val="002659C3"/>
    <w:rsid w:val="00265C96"/>
    <w:rsid w:val="00265F96"/>
    <w:rsid w:val="00266ADE"/>
    <w:rsid w:val="00267322"/>
    <w:rsid w:val="00267C1A"/>
    <w:rsid w:val="0027022B"/>
    <w:rsid w:val="0027036A"/>
    <w:rsid w:val="002706AD"/>
    <w:rsid w:val="00270DF8"/>
    <w:rsid w:val="00271066"/>
    <w:rsid w:val="0027108C"/>
    <w:rsid w:val="002719F1"/>
    <w:rsid w:val="00271D87"/>
    <w:rsid w:val="0027207B"/>
    <w:rsid w:val="002723D5"/>
    <w:rsid w:val="00272490"/>
    <w:rsid w:val="00272A15"/>
    <w:rsid w:val="0027309E"/>
    <w:rsid w:val="0027383B"/>
    <w:rsid w:val="00273B8A"/>
    <w:rsid w:val="00273EE9"/>
    <w:rsid w:val="00273F65"/>
    <w:rsid w:val="002745DB"/>
    <w:rsid w:val="0027476C"/>
    <w:rsid w:val="00274932"/>
    <w:rsid w:val="00274C14"/>
    <w:rsid w:val="00275D6B"/>
    <w:rsid w:val="00276B9F"/>
    <w:rsid w:val="0027749F"/>
    <w:rsid w:val="00280CEB"/>
    <w:rsid w:val="00280DFA"/>
    <w:rsid w:val="002819B4"/>
    <w:rsid w:val="00281AD5"/>
    <w:rsid w:val="00282E42"/>
    <w:rsid w:val="00282F5D"/>
    <w:rsid w:val="00283083"/>
    <w:rsid w:val="0028311A"/>
    <w:rsid w:val="0028315F"/>
    <w:rsid w:val="00283470"/>
    <w:rsid w:val="00283956"/>
    <w:rsid w:val="00284813"/>
    <w:rsid w:val="00284AD9"/>
    <w:rsid w:val="00284C0A"/>
    <w:rsid w:val="00284C70"/>
    <w:rsid w:val="00285086"/>
    <w:rsid w:val="002856D1"/>
    <w:rsid w:val="00286609"/>
    <w:rsid w:val="002866B1"/>
    <w:rsid w:val="002875D7"/>
    <w:rsid w:val="002877F4"/>
    <w:rsid w:val="0028786C"/>
    <w:rsid w:val="00287A3E"/>
    <w:rsid w:val="00290B82"/>
    <w:rsid w:val="00290B98"/>
    <w:rsid w:val="00290DF3"/>
    <w:rsid w:val="00290E2F"/>
    <w:rsid w:val="00290F47"/>
    <w:rsid w:val="002910F2"/>
    <w:rsid w:val="0029119E"/>
    <w:rsid w:val="002915AE"/>
    <w:rsid w:val="0029215B"/>
    <w:rsid w:val="00292249"/>
    <w:rsid w:val="002922E5"/>
    <w:rsid w:val="00292474"/>
    <w:rsid w:val="00292545"/>
    <w:rsid w:val="00292624"/>
    <w:rsid w:val="0029332D"/>
    <w:rsid w:val="002944F2"/>
    <w:rsid w:val="00294D94"/>
    <w:rsid w:val="00295851"/>
    <w:rsid w:val="0029591C"/>
    <w:rsid w:val="00295965"/>
    <w:rsid w:val="00295FBA"/>
    <w:rsid w:val="00296094"/>
    <w:rsid w:val="002961D2"/>
    <w:rsid w:val="00296C9E"/>
    <w:rsid w:val="00297519"/>
    <w:rsid w:val="002A01AF"/>
    <w:rsid w:val="002A077C"/>
    <w:rsid w:val="002A102A"/>
    <w:rsid w:val="002A1B35"/>
    <w:rsid w:val="002A20E8"/>
    <w:rsid w:val="002A270D"/>
    <w:rsid w:val="002A29A5"/>
    <w:rsid w:val="002A2A68"/>
    <w:rsid w:val="002A32B9"/>
    <w:rsid w:val="002A415A"/>
    <w:rsid w:val="002A4A69"/>
    <w:rsid w:val="002A4E8C"/>
    <w:rsid w:val="002A5816"/>
    <w:rsid w:val="002A5AD3"/>
    <w:rsid w:val="002A64DA"/>
    <w:rsid w:val="002A6696"/>
    <w:rsid w:val="002A713C"/>
    <w:rsid w:val="002A722C"/>
    <w:rsid w:val="002A72AD"/>
    <w:rsid w:val="002A75E3"/>
    <w:rsid w:val="002A787D"/>
    <w:rsid w:val="002A7D97"/>
    <w:rsid w:val="002A7EE4"/>
    <w:rsid w:val="002B02A2"/>
    <w:rsid w:val="002B02D9"/>
    <w:rsid w:val="002B03AA"/>
    <w:rsid w:val="002B1417"/>
    <w:rsid w:val="002B14FA"/>
    <w:rsid w:val="002B1DF8"/>
    <w:rsid w:val="002B2170"/>
    <w:rsid w:val="002B274B"/>
    <w:rsid w:val="002B2DBD"/>
    <w:rsid w:val="002B2E41"/>
    <w:rsid w:val="002B2F21"/>
    <w:rsid w:val="002B3528"/>
    <w:rsid w:val="002B35AF"/>
    <w:rsid w:val="002B3BAA"/>
    <w:rsid w:val="002B45AE"/>
    <w:rsid w:val="002B4DB0"/>
    <w:rsid w:val="002B521B"/>
    <w:rsid w:val="002B52C2"/>
    <w:rsid w:val="002B5465"/>
    <w:rsid w:val="002B5536"/>
    <w:rsid w:val="002B5719"/>
    <w:rsid w:val="002B6169"/>
    <w:rsid w:val="002B620F"/>
    <w:rsid w:val="002B6DA5"/>
    <w:rsid w:val="002B7186"/>
    <w:rsid w:val="002B73A6"/>
    <w:rsid w:val="002B766F"/>
    <w:rsid w:val="002B79F3"/>
    <w:rsid w:val="002B7BE9"/>
    <w:rsid w:val="002C0A6C"/>
    <w:rsid w:val="002C0CFF"/>
    <w:rsid w:val="002C0E28"/>
    <w:rsid w:val="002C0F6A"/>
    <w:rsid w:val="002C0FDC"/>
    <w:rsid w:val="002C1A4D"/>
    <w:rsid w:val="002C1B2C"/>
    <w:rsid w:val="002C1CB7"/>
    <w:rsid w:val="002C24AC"/>
    <w:rsid w:val="002C2599"/>
    <w:rsid w:val="002C28B7"/>
    <w:rsid w:val="002C2B37"/>
    <w:rsid w:val="002C2F26"/>
    <w:rsid w:val="002C3047"/>
    <w:rsid w:val="002C3CC1"/>
    <w:rsid w:val="002C42BE"/>
    <w:rsid w:val="002C4707"/>
    <w:rsid w:val="002C4B6B"/>
    <w:rsid w:val="002C4D1F"/>
    <w:rsid w:val="002C5D65"/>
    <w:rsid w:val="002C5DCA"/>
    <w:rsid w:val="002C5E72"/>
    <w:rsid w:val="002C5F4D"/>
    <w:rsid w:val="002C6034"/>
    <w:rsid w:val="002C6639"/>
    <w:rsid w:val="002C6DF4"/>
    <w:rsid w:val="002C6EC6"/>
    <w:rsid w:val="002C70D7"/>
    <w:rsid w:val="002C70F5"/>
    <w:rsid w:val="002C7B62"/>
    <w:rsid w:val="002C7DCF"/>
    <w:rsid w:val="002D0506"/>
    <w:rsid w:val="002D0D2B"/>
    <w:rsid w:val="002D1058"/>
    <w:rsid w:val="002D1478"/>
    <w:rsid w:val="002D15C0"/>
    <w:rsid w:val="002D1E27"/>
    <w:rsid w:val="002D1E5D"/>
    <w:rsid w:val="002D225B"/>
    <w:rsid w:val="002D25F6"/>
    <w:rsid w:val="002D277C"/>
    <w:rsid w:val="002D28BE"/>
    <w:rsid w:val="002D2B32"/>
    <w:rsid w:val="002D3556"/>
    <w:rsid w:val="002D362B"/>
    <w:rsid w:val="002D400D"/>
    <w:rsid w:val="002D4209"/>
    <w:rsid w:val="002D47FA"/>
    <w:rsid w:val="002D4D1B"/>
    <w:rsid w:val="002D51C8"/>
    <w:rsid w:val="002D5288"/>
    <w:rsid w:val="002D5920"/>
    <w:rsid w:val="002D63BF"/>
    <w:rsid w:val="002D6585"/>
    <w:rsid w:val="002D6824"/>
    <w:rsid w:val="002D6D2F"/>
    <w:rsid w:val="002D6FE0"/>
    <w:rsid w:val="002D70B3"/>
    <w:rsid w:val="002D7175"/>
    <w:rsid w:val="002D72C5"/>
    <w:rsid w:val="002D7349"/>
    <w:rsid w:val="002D7462"/>
    <w:rsid w:val="002D75EA"/>
    <w:rsid w:val="002E0154"/>
    <w:rsid w:val="002E0F25"/>
    <w:rsid w:val="002E106B"/>
    <w:rsid w:val="002E1106"/>
    <w:rsid w:val="002E11B8"/>
    <w:rsid w:val="002E128F"/>
    <w:rsid w:val="002E1CFE"/>
    <w:rsid w:val="002E23C7"/>
    <w:rsid w:val="002E272D"/>
    <w:rsid w:val="002E2CD8"/>
    <w:rsid w:val="002E30D9"/>
    <w:rsid w:val="002E328D"/>
    <w:rsid w:val="002E328F"/>
    <w:rsid w:val="002E3341"/>
    <w:rsid w:val="002E37AC"/>
    <w:rsid w:val="002E439F"/>
    <w:rsid w:val="002E451E"/>
    <w:rsid w:val="002E4CBA"/>
    <w:rsid w:val="002E4EFD"/>
    <w:rsid w:val="002E5212"/>
    <w:rsid w:val="002E53DF"/>
    <w:rsid w:val="002E5A81"/>
    <w:rsid w:val="002E5FE7"/>
    <w:rsid w:val="002E61F6"/>
    <w:rsid w:val="002E6D9C"/>
    <w:rsid w:val="002E7636"/>
    <w:rsid w:val="002E795D"/>
    <w:rsid w:val="002E7AEF"/>
    <w:rsid w:val="002E7B16"/>
    <w:rsid w:val="002E7D6E"/>
    <w:rsid w:val="002E7E39"/>
    <w:rsid w:val="002E7EE5"/>
    <w:rsid w:val="002F014A"/>
    <w:rsid w:val="002F08E9"/>
    <w:rsid w:val="002F096F"/>
    <w:rsid w:val="002F1169"/>
    <w:rsid w:val="002F12F9"/>
    <w:rsid w:val="002F1A25"/>
    <w:rsid w:val="002F1C42"/>
    <w:rsid w:val="002F1F2C"/>
    <w:rsid w:val="002F2148"/>
    <w:rsid w:val="002F2B62"/>
    <w:rsid w:val="002F3148"/>
    <w:rsid w:val="002F39B0"/>
    <w:rsid w:val="002F3A64"/>
    <w:rsid w:val="002F4B21"/>
    <w:rsid w:val="002F4C0E"/>
    <w:rsid w:val="002F5232"/>
    <w:rsid w:val="002F5B5F"/>
    <w:rsid w:val="002F5E1C"/>
    <w:rsid w:val="002F6843"/>
    <w:rsid w:val="002F70F4"/>
    <w:rsid w:val="002F738F"/>
    <w:rsid w:val="002F7555"/>
    <w:rsid w:val="002F784C"/>
    <w:rsid w:val="002F7B17"/>
    <w:rsid w:val="00300037"/>
    <w:rsid w:val="003016FF"/>
    <w:rsid w:val="00302193"/>
    <w:rsid w:val="00302945"/>
    <w:rsid w:val="00302998"/>
    <w:rsid w:val="00302C29"/>
    <w:rsid w:val="00302E56"/>
    <w:rsid w:val="00303448"/>
    <w:rsid w:val="00303474"/>
    <w:rsid w:val="00303DBE"/>
    <w:rsid w:val="00304253"/>
    <w:rsid w:val="003044EC"/>
    <w:rsid w:val="00304BF0"/>
    <w:rsid w:val="00305447"/>
    <w:rsid w:val="00305A3D"/>
    <w:rsid w:val="00305B44"/>
    <w:rsid w:val="00305CCF"/>
    <w:rsid w:val="00305E26"/>
    <w:rsid w:val="00305E67"/>
    <w:rsid w:val="0030797B"/>
    <w:rsid w:val="00307AF4"/>
    <w:rsid w:val="00310024"/>
    <w:rsid w:val="00310C26"/>
    <w:rsid w:val="00310DE6"/>
    <w:rsid w:val="00311339"/>
    <w:rsid w:val="00311833"/>
    <w:rsid w:val="003119B2"/>
    <w:rsid w:val="00311AC0"/>
    <w:rsid w:val="00311D41"/>
    <w:rsid w:val="0031200A"/>
    <w:rsid w:val="003122B5"/>
    <w:rsid w:val="003128C2"/>
    <w:rsid w:val="0031298D"/>
    <w:rsid w:val="003132CF"/>
    <w:rsid w:val="0031344D"/>
    <w:rsid w:val="00313A46"/>
    <w:rsid w:val="00313ECA"/>
    <w:rsid w:val="00314327"/>
    <w:rsid w:val="00314BD1"/>
    <w:rsid w:val="00315061"/>
    <w:rsid w:val="0031571B"/>
    <w:rsid w:val="0031572B"/>
    <w:rsid w:val="00315973"/>
    <w:rsid w:val="00316355"/>
    <w:rsid w:val="00316F80"/>
    <w:rsid w:val="00317482"/>
    <w:rsid w:val="00317FAA"/>
    <w:rsid w:val="003201AE"/>
    <w:rsid w:val="00320327"/>
    <w:rsid w:val="00320E38"/>
    <w:rsid w:val="003219EF"/>
    <w:rsid w:val="00321ED1"/>
    <w:rsid w:val="003222E4"/>
    <w:rsid w:val="003228F3"/>
    <w:rsid w:val="00322984"/>
    <w:rsid w:val="00322CD4"/>
    <w:rsid w:val="00323681"/>
    <w:rsid w:val="00324289"/>
    <w:rsid w:val="00324C3C"/>
    <w:rsid w:val="0032510A"/>
    <w:rsid w:val="0032553C"/>
    <w:rsid w:val="003256A7"/>
    <w:rsid w:val="0032587E"/>
    <w:rsid w:val="003258A3"/>
    <w:rsid w:val="00326C84"/>
    <w:rsid w:val="00327698"/>
    <w:rsid w:val="00327B14"/>
    <w:rsid w:val="00330032"/>
    <w:rsid w:val="003301AD"/>
    <w:rsid w:val="00330396"/>
    <w:rsid w:val="003305A4"/>
    <w:rsid w:val="003305C5"/>
    <w:rsid w:val="00330D7F"/>
    <w:rsid w:val="00331115"/>
    <w:rsid w:val="0033130F"/>
    <w:rsid w:val="00331876"/>
    <w:rsid w:val="00331D45"/>
    <w:rsid w:val="00331D72"/>
    <w:rsid w:val="0033230A"/>
    <w:rsid w:val="00332838"/>
    <w:rsid w:val="003328D4"/>
    <w:rsid w:val="00332946"/>
    <w:rsid w:val="00332C77"/>
    <w:rsid w:val="00333761"/>
    <w:rsid w:val="00333A51"/>
    <w:rsid w:val="00333BC5"/>
    <w:rsid w:val="00334228"/>
    <w:rsid w:val="00334477"/>
    <w:rsid w:val="00334873"/>
    <w:rsid w:val="00335313"/>
    <w:rsid w:val="00335BED"/>
    <w:rsid w:val="00335DA2"/>
    <w:rsid w:val="003366E4"/>
    <w:rsid w:val="00336AD0"/>
    <w:rsid w:val="00336EA2"/>
    <w:rsid w:val="0033720A"/>
    <w:rsid w:val="003376D9"/>
    <w:rsid w:val="003378A2"/>
    <w:rsid w:val="00340B31"/>
    <w:rsid w:val="00340EE1"/>
    <w:rsid w:val="00341166"/>
    <w:rsid w:val="003411B2"/>
    <w:rsid w:val="00341278"/>
    <w:rsid w:val="003412E9"/>
    <w:rsid w:val="00341D92"/>
    <w:rsid w:val="0034213E"/>
    <w:rsid w:val="00342C13"/>
    <w:rsid w:val="00342C21"/>
    <w:rsid w:val="00342C7D"/>
    <w:rsid w:val="0034407D"/>
    <w:rsid w:val="0034467C"/>
    <w:rsid w:val="003449E9"/>
    <w:rsid w:val="00344E8A"/>
    <w:rsid w:val="00344F9E"/>
    <w:rsid w:val="0034526D"/>
    <w:rsid w:val="0034669C"/>
    <w:rsid w:val="00346708"/>
    <w:rsid w:val="003467F8"/>
    <w:rsid w:val="00347F4D"/>
    <w:rsid w:val="003506CC"/>
    <w:rsid w:val="00350815"/>
    <w:rsid w:val="0035088B"/>
    <w:rsid w:val="00350D82"/>
    <w:rsid w:val="003511A4"/>
    <w:rsid w:val="003518D8"/>
    <w:rsid w:val="003526A2"/>
    <w:rsid w:val="00352BE0"/>
    <w:rsid w:val="00352C95"/>
    <w:rsid w:val="003532E5"/>
    <w:rsid w:val="003534CD"/>
    <w:rsid w:val="00353580"/>
    <w:rsid w:val="0035378B"/>
    <w:rsid w:val="00353866"/>
    <w:rsid w:val="00353A5D"/>
    <w:rsid w:val="00353CFF"/>
    <w:rsid w:val="00353E30"/>
    <w:rsid w:val="003542A5"/>
    <w:rsid w:val="003546A0"/>
    <w:rsid w:val="0035489F"/>
    <w:rsid w:val="003553C4"/>
    <w:rsid w:val="003555E5"/>
    <w:rsid w:val="003559ED"/>
    <w:rsid w:val="00356022"/>
    <w:rsid w:val="003561BC"/>
    <w:rsid w:val="003561E9"/>
    <w:rsid w:val="003576E3"/>
    <w:rsid w:val="00357C60"/>
    <w:rsid w:val="00361AEA"/>
    <w:rsid w:val="00361BD0"/>
    <w:rsid w:val="00362750"/>
    <w:rsid w:val="00362A07"/>
    <w:rsid w:val="00362BBB"/>
    <w:rsid w:val="003631F7"/>
    <w:rsid w:val="0036391A"/>
    <w:rsid w:val="00363A19"/>
    <w:rsid w:val="00363AE7"/>
    <w:rsid w:val="00363F5A"/>
    <w:rsid w:val="003640FD"/>
    <w:rsid w:val="0036442C"/>
    <w:rsid w:val="00364434"/>
    <w:rsid w:val="00364591"/>
    <w:rsid w:val="00364688"/>
    <w:rsid w:val="00364A72"/>
    <w:rsid w:val="00366098"/>
    <w:rsid w:val="0036663C"/>
    <w:rsid w:val="003666D3"/>
    <w:rsid w:val="00366980"/>
    <w:rsid w:val="00366C21"/>
    <w:rsid w:val="00367262"/>
    <w:rsid w:val="00367937"/>
    <w:rsid w:val="00367E35"/>
    <w:rsid w:val="00367F5A"/>
    <w:rsid w:val="0037017C"/>
    <w:rsid w:val="00370648"/>
    <w:rsid w:val="0037089C"/>
    <w:rsid w:val="003708D5"/>
    <w:rsid w:val="003708F6"/>
    <w:rsid w:val="00370B23"/>
    <w:rsid w:val="00371139"/>
    <w:rsid w:val="003719AF"/>
    <w:rsid w:val="00371BB0"/>
    <w:rsid w:val="003722B6"/>
    <w:rsid w:val="00372667"/>
    <w:rsid w:val="003726D7"/>
    <w:rsid w:val="00372C3C"/>
    <w:rsid w:val="00372EF4"/>
    <w:rsid w:val="00373099"/>
    <w:rsid w:val="00373276"/>
    <w:rsid w:val="003733F0"/>
    <w:rsid w:val="0037395C"/>
    <w:rsid w:val="00373A06"/>
    <w:rsid w:val="0037446C"/>
    <w:rsid w:val="003747B0"/>
    <w:rsid w:val="003749DD"/>
    <w:rsid w:val="00374BF3"/>
    <w:rsid w:val="0037562D"/>
    <w:rsid w:val="00375723"/>
    <w:rsid w:val="003758E3"/>
    <w:rsid w:val="00376134"/>
    <w:rsid w:val="00376431"/>
    <w:rsid w:val="00376448"/>
    <w:rsid w:val="003767F2"/>
    <w:rsid w:val="0037687F"/>
    <w:rsid w:val="00376A86"/>
    <w:rsid w:val="00376E89"/>
    <w:rsid w:val="00377094"/>
    <w:rsid w:val="003777C3"/>
    <w:rsid w:val="003778EA"/>
    <w:rsid w:val="00380256"/>
    <w:rsid w:val="00380500"/>
    <w:rsid w:val="00380575"/>
    <w:rsid w:val="0038062A"/>
    <w:rsid w:val="00380AC4"/>
    <w:rsid w:val="003810A5"/>
    <w:rsid w:val="003810D7"/>
    <w:rsid w:val="00381D2E"/>
    <w:rsid w:val="00381E4F"/>
    <w:rsid w:val="0038272A"/>
    <w:rsid w:val="00382E56"/>
    <w:rsid w:val="00383139"/>
    <w:rsid w:val="0038347C"/>
    <w:rsid w:val="003836A8"/>
    <w:rsid w:val="003841EF"/>
    <w:rsid w:val="00384A24"/>
    <w:rsid w:val="003850D7"/>
    <w:rsid w:val="00385636"/>
    <w:rsid w:val="0038577A"/>
    <w:rsid w:val="003859FD"/>
    <w:rsid w:val="0038606D"/>
    <w:rsid w:val="00386210"/>
    <w:rsid w:val="003862D9"/>
    <w:rsid w:val="003868BD"/>
    <w:rsid w:val="00386CFF"/>
    <w:rsid w:val="00386D0A"/>
    <w:rsid w:val="00386FE3"/>
    <w:rsid w:val="00387009"/>
    <w:rsid w:val="0038757A"/>
    <w:rsid w:val="00387A78"/>
    <w:rsid w:val="00387A98"/>
    <w:rsid w:val="00390138"/>
    <w:rsid w:val="0039057A"/>
    <w:rsid w:val="003905C8"/>
    <w:rsid w:val="00390621"/>
    <w:rsid w:val="00390A0B"/>
    <w:rsid w:val="00390C44"/>
    <w:rsid w:val="003913C4"/>
    <w:rsid w:val="00391FFB"/>
    <w:rsid w:val="003925B5"/>
    <w:rsid w:val="003926C8"/>
    <w:rsid w:val="003927EA"/>
    <w:rsid w:val="003929A6"/>
    <w:rsid w:val="00392CFA"/>
    <w:rsid w:val="00393B76"/>
    <w:rsid w:val="003944B6"/>
    <w:rsid w:val="003946E8"/>
    <w:rsid w:val="00394876"/>
    <w:rsid w:val="00394998"/>
    <w:rsid w:val="00394E88"/>
    <w:rsid w:val="00395264"/>
    <w:rsid w:val="003957E2"/>
    <w:rsid w:val="003961D1"/>
    <w:rsid w:val="00396A7C"/>
    <w:rsid w:val="00396C09"/>
    <w:rsid w:val="00396F56"/>
    <w:rsid w:val="0039729C"/>
    <w:rsid w:val="003973D6"/>
    <w:rsid w:val="00397466"/>
    <w:rsid w:val="003A04A8"/>
    <w:rsid w:val="003A059D"/>
    <w:rsid w:val="003A05CA"/>
    <w:rsid w:val="003A0822"/>
    <w:rsid w:val="003A086D"/>
    <w:rsid w:val="003A098D"/>
    <w:rsid w:val="003A1194"/>
    <w:rsid w:val="003A195B"/>
    <w:rsid w:val="003A1A69"/>
    <w:rsid w:val="003A1FF3"/>
    <w:rsid w:val="003A22C5"/>
    <w:rsid w:val="003A260D"/>
    <w:rsid w:val="003A2634"/>
    <w:rsid w:val="003A26F0"/>
    <w:rsid w:val="003A26FD"/>
    <w:rsid w:val="003A2B48"/>
    <w:rsid w:val="003A3885"/>
    <w:rsid w:val="003A3891"/>
    <w:rsid w:val="003A3A76"/>
    <w:rsid w:val="003A3EAF"/>
    <w:rsid w:val="003A48C2"/>
    <w:rsid w:val="003A5210"/>
    <w:rsid w:val="003A52B5"/>
    <w:rsid w:val="003A55E3"/>
    <w:rsid w:val="003A55EC"/>
    <w:rsid w:val="003A602B"/>
    <w:rsid w:val="003A6DCA"/>
    <w:rsid w:val="003A6E4D"/>
    <w:rsid w:val="003A6FE6"/>
    <w:rsid w:val="003A73F7"/>
    <w:rsid w:val="003A749D"/>
    <w:rsid w:val="003A7D33"/>
    <w:rsid w:val="003B023E"/>
    <w:rsid w:val="003B0837"/>
    <w:rsid w:val="003B0878"/>
    <w:rsid w:val="003B16C5"/>
    <w:rsid w:val="003B1C92"/>
    <w:rsid w:val="003B1D14"/>
    <w:rsid w:val="003B1E87"/>
    <w:rsid w:val="003B2D2A"/>
    <w:rsid w:val="003B33B1"/>
    <w:rsid w:val="003B3B03"/>
    <w:rsid w:val="003B3C45"/>
    <w:rsid w:val="003B3E90"/>
    <w:rsid w:val="003B451B"/>
    <w:rsid w:val="003B462C"/>
    <w:rsid w:val="003B4AEE"/>
    <w:rsid w:val="003B5B33"/>
    <w:rsid w:val="003B5DF2"/>
    <w:rsid w:val="003B6517"/>
    <w:rsid w:val="003B66F6"/>
    <w:rsid w:val="003B7081"/>
    <w:rsid w:val="003B70D0"/>
    <w:rsid w:val="003B72D9"/>
    <w:rsid w:val="003B72F7"/>
    <w:rsid w:val="003B76BC"/>
    <w:rsid w:val="003C0BB0"/>
    <w:rsid w:val="003C0C61"/>
    <w:rsid w:val="003C1193"/>
    <w:rsid w:val="003C1771"/>
    <w:rsid w:val="003C215F"/>
    <w:rsid w:val="003C22F9"/>
    <w:rsid w:val="003C288A"/>
    <w:rsid w:val="003C2918"/>
    <w:rsid w:val="003C2C9E"/>
    <w:rsid w:val="003C34C7"/>
    <w:rsid w:val="003C3A24"/>
    <w:rsid w:val="003C3F06"/>
    <w:rsid w:val="003C4E5A"/>
    <w:rsid w:val="003C52B1"/>
    <w:rsid w:val="003C5690"/>
    <w:rsid w:val="003C5760"/>
    <w:rsid w:val="003C59D6"/>
    <w:rsid w:val="003C5B6E"/>
    <w:rsid w:val="003C61A6"/>
    <w:rsid w:val="003C65E1"/>
    <w:rsid w:val="003C6823"/>
    <w:rsid w:val="003C7137"/>
    <w:rsid w:val="003C750E"/>
    <w:rsid w:val="003C7671"/>
    <w:rsid w:val="003C7F13"/>
    <w:rsid w:val="003D0310"/>
    <w:rsid w:val="003D0796"/>
    <w:rsid w:val="003D083E"/>
    <w:rsid w:val="003D0AEE"/>
    <w:rsid w:val="003D190B"/>
    <w:rsid w:val="003D1A9E"/>
    <w:rsid w:val="003D279A"/>
    <w:rsid w:val="003D2935"/>
    <w:rsid w:val="003D2946"/>
    <w:rsid w:val="003D2A26"/>
    <w:rsid w:val="003D2CA0"/>
    <w:rsid w:val="003D36ED"/>
    <w:rsid w:val="003D3A04"/>
    <w:rsid w:val="003D3B2C"/>
    <w:rsid w:val="003D3DF0"/>
    <w:rsid w:val="003D41E9"/>
    <w:rsid w:val="003D44C4"/>
    <w:rsid w:val="003D49F6"/>
    <w:rsid w:val="003D4F31"/>
    <w:rsid w:val="003D5173"/>
    <w:rsid w:val="003D51BF"/>
    <w:rsid w:val="003D5476"/>
    <w:rsid w:val="003D554B"/>
    <w:rsid w:val="003D5B50"/>
    <w:rsid w:val="003D67CD"/>
    <w:rsid w:val="003D6A5A"/>
    <w:rsid w:val="003D6EEC"/>
    <w:rsid w:val="003D7386"/>
    <w:rsid w:val="003D770B"/>
    <w:rsid w:val="003E01AF"/>
    <w:rsid w:val="003E036B"/>
    <w:rsid w:val="003E0842"/>
    <w:rsid w:val="003E099B"/>
    <w:rsid w:val="003E0ACB"/>
    <w:rsid w:val="003E0F5E"/>
    <w:rsid w:val="003E1209"/>
    <w:rsid w:val="003E15E3"/>
    <w:rsid w:val="003E1D59"/>
    <w:rsid w:val="003E2F65"/>
    <w:rsid w:val="003E3690"/>
    <w:rsid w:val="003E39F0"/>
    <w:rsid w:val="003E40F0"/>
    <w:rsid w:val="003E485A"/>
    <w:rsid w:val="003E4F71"/>
    <w:rsid w:val="003E5349"/>
    <w:rsid w:val="003E5E3D"/>
    <w:rsid w:val="003E5ECA"/>
    <w:rsid w:val="003E63AF"/>
    <w:rsid w:val="003E6AEB"/>
    <w:rsid w:val="003E6E4C"/>
    <w:rsid w:val="003E73B7"/>
    <w:rsid w:val="003E7410"/>
    <w:rsid w:val="003E7C44"/>
    <w:rsid w:val="003F0178"/>
    <w:rsid w:val="003F091D"/>
    <w:rsid w:val="003F0A40"/>
    <w:rsid w:val="003F132A"/>
    <w:rsid w:val="003F1659"/>
    <w:rsid w:val="003F16DB"/>
    <w:rsid w:val="003F17FB"/>
    <w:rsid w:val="003F19FF"/>
    <w:rsid w:val="003F1A98"/>
    <w:rsid w:val="003F1E4B"/>
    <w:rsid w:val="003F2699"/>
    <w:rsid w:val="003F30BD"/>
    <w:rsid w:val="003F315C"/>
    <w:rsid w:val="003F388C"/>
    <w:rsid w:val="003F39C0"/>
    <w:rsid w:val="003F3B10"/>
    <w:rsid w:val="003F420F"/>
    <w:rsid w:val="003F6086"/>
    <w:rsid w:val="003F6904"/>
    <w:rsid w:val="003F6DF2"/>
    <w:rsid w:val="003F74EC"/>
    <w:rsid w:val="004000C9"/>
    <w:rsid w:val="00400C75"/>
    <w:rsid w:val="00400E72"/>
    <w:rsid w:val="00400FD2"/>
    <w:rsid w:val="00401474"/>
    <w:rsid w:val="0040148B"/>
    <w:rsid w:val="00401545"/>
    <w:rsid w:val="00401A2E"/>
    <w:rsid w:val="00402170"/>
    <w:rsid w:val="00402230"/>
    <w:rsid w:val="0040382E"/>
    <w:rsid w:val="00403BFF"/>
    <w:rsid w:val="0040427D"/>
    <w:rsid w:val="00404A16"/>
    <w:rsid w:val="0040520B"/>
    <w:rsid w:val="00405BF7"/>
    <w:rsid w:val="00406334"/>
    <w:rsid w:val="00406D14"/>
    <w:rsid w:val="00406D7B"/>
    <w:rsid w:val="0040701A"/>
    <w:rsid w:val="004075E1"/>
    <w:rsid w:val="004076BE"/>
    <w:rsid w:val="0040784B"/>
    <w:rsid w:val="00407CDB"/>
    <w:rsid w:val="00410225"/>
    <w:rsid w:val="004108B0"/>
    <w:rsid w:val="00410921"/>
    <w:rsid w:val="00410923"/>
    <w:rsid w:val="00411AF1"/>
    <w:rsid w:val="00411E4C"/>
    <w:rsid w:val="004124F7"/>
    <w:rsid w:val="0041285D"/>
    <w:rsid w:val="00412B63"/>
    <w:rsid w:val="00413157"/>
    <w:rsid w:val="0041394C"/>
    <w:rsid w:val="00413B5E"/>
    <w:rsid w:val="00414413"/>
    <w:rsid w:val="00414471"/>
    <w:rsid w:val="00414B14"/>
    <w:rsid w:val="00414B2E"/>
    <w:rsid w:val="00414BE3"/>
    <w:rsid w:val="004162DE"/>
    <w:rsid w:val="00416418"/>
    <w:rsid w:val="00416F1A"/>
    <w:rsid w:val="00417099"/>
    <w:rsid w:val="00417217"/>
    <w:rsid w:val="00417DFF"/>
    <w:rsid w:val="00420197"/>
    <w:rsid w:val="0042040A"/>
    <w:rsid w:val="004204E0"/>
    <w:rsid w:val="00420645"/>
    <w:rsid w:val="00420A72"/>
    <w:rsid w:val="00420C46"/>
    <w:rsid w:val="004210C7"/>
    <w:rsid w:val="00421902"/>
    <w:rsid w:val="00421AFA"/>
    <w:rsid w:val="0042212F"/>
    <w:rsid w:val="004221AC"/>
    <w:rsid w:val="00422561"/>
    <w:rsid w:val="00422B4F"/>
    <w:rsid w:val="00422FF1"/>
    <w:rsid w:val="00424A42"/>
    <w:rsid w:val="004250A8"/>
    <w:rsid w:val="0042510F"/>
    <w:rsid w:val="0042529F"/>
    <w:rsid w:val="00426703"/>
    <w:rsid w:val="00426AB8"/>
    <w:rsid w:val="00426BAD"/>
    <w:rsid w:val="00426F5E"/>
    <w:rsid w:val="0042780F"/>
    <w:rsid w:val="0042782F"/>
    <w:rsid w:val="00427D13"/>
    <w:rsid w:val="004304CB"/>
    <w:rsid w:val="00430534"/>
    <w:rsid w:val="00430549"/>
    <w:rsid w:val="004307F7"/>
    <w:rsid w:val="00431EF4"/>
    <w:rsid w:val="00432152"/>
    <w:rsid w:val="00432550"/>
    <w:rsid w:val="00432CDB"/>
    <w:rsid w:val="004335EE"/>
    <w:rsid w:val="00433AB3"/>
    <w:rsid w:val="00434399"/>
    <w:rsid w:val="00434885"/>
    <w:rsid w:val="004348EA"/>
    <w:rsid w:val="0043629F"/>
    <w:rsid w:val="004362C3"/>
    <w:rsid w:val="00436DF8"/>
    <w:rsid w:val="00437142"/>
    <w:rsid w:val="004373A4"/>
    <w:rsid w:val="00437550"/>
    <w:rsid w:val="004376B3"/>
    <w:rsid w:val="0043781D"/>
    <w:rsid w:val="00441C45"/>
    <w:rsid w:val="00441C74"/>
    <w:rsid w:val="004421D1"/>
    <w:rsid w:val="004421E3"/>
    <w:rsid w:val="004422FA"/>
    <w:rsid w:val="0044249E"/>
    <w:rsid w:val="00442DB5"/>
    <w:rsid w:val="00443AF3"/>
    <w:rsid w:val="00443F32"/>
    <w:rsid w:val="00444285"/>
    <w:rsid w:val="0044429C"/>
    <w:rsid w:val="00444B08"/>
    <w:rsid w:val="00445259"/>
    <w:rsid w:val="00445530"/>
    <w:rsid w:val="00447825"/>
    <w:rsid w:val="00447D28"/>
    <w:rsid w:val="00450660"/>
    <w:rsid w:val="00450688"/>
    <w:rsid w:val="00450801"/>
    <w:rsid w:val="00451131"/>
    <w:rsid w:val="00451760"/>
    <w:rsid w:val="00451C7D"/>
    <w:rsid w:val="004527E9"/>
    <w:rsid w:val="00452B0D"/>
    <w:rsid w:val="00452B2E"/>
    <w:rsid w:val="00452B80"/>
    <w:rsid w:val="00453423"/>
    <w:rsid w:val="00453AC7"/>
    <w:rsid w:val="00454308"/>
    <w:rsid w:val="00456216"/>
    <w:rsid w:val="004562DD"/>
    <w:rsid w:val="00456A65"/>
    <w:rsid w:val="004579C9"/>
    <w:rsid w:val="00457FBB"/>
    <w:rsid w:val="004616FE"/>
    <w:rsid w:val="00461C5E"/>
    <w:rsid w:val="004624D0"/>
    <w:rsid w:val="004629CC"/>
    <w:rsid w:val="00462A6B"/>
    <w:rsid w:val="00462CCC"/>
    <w:rsid w:val="00462FC1"/>
    <w:rsid w:val="004634F2"/>
    <w:rsid w:val="00463517"/>
    <w:rsid w:val="004635EB"/>
    <w:rsid w:val="00463D67"/>
    <w:rsid w:val="00463DE0"/>
    <w:rsid w:val="00463EF9"/>
    <w:rsid w:val="004649EE"/>
    <w:rsid w:val="00464D6E"/>
    <w:rsid w:val="00465453"/>
    <w:rsid w:val="00465A7B"/>
    <w:rsid w:val="00465D13"/>
    <w:rsid w:val="00465E0C"/>
    <w:rsid w:val="0046624B"/>
    <w:rsid w:val="004662E2"/>
    <w:rsid w:val="00466627"/>
    <w:rsid w:val="004667EA"/>
    <w:rsid w:val="00466D11"/>
    <w:rsid w:val="00466E07"/>
    <w:rsid w:val="004675E8"/>
    <w:rsid w:val="00467B78"/>
    <w:rsid w:val="00467EC8"/>
    <w:rsid w:val="0047028E"/>
    <w:rsid w:val="00470ED2"/>
    <w:rsid w:val="004711E0"/>
    <w:rsid w:val="0047122B"/>
    <w:rsid w:val="004715E3"/>
    <w:rsid w:val="00471F52"/>
    <w:rsid w:val="004725CB"/>
    <w:rsid w:val="0047290E"/>
    <w:rsid w:val="00472E7F"/>
    <w:rsid w:val="00473092"/>
    <w:rsid w:val="0047394C"/>
    <w:rsid w:val="0047430E"/>
    <w:rsid w:val="004747D0"/>
    <w:rsid w:val="00474E29"/>
    <w:rsid w:val="00474F3A"/>
    <w:rsid w:val="00475257"/>
    <w:rsid w:val="00475B5F"/>
    <w:rsid w:val="00476EA3"/>
    <w:rsid w:val="00477019"/>
    <w:rsid w:val="004771A9"/>
    <w:rsid w:val="00477DD9"/>
    <w:rsid w:val="00477F1F"/>
    <w:rsid w:val="004802BD"/>
    <w:rsid w:val="004804C4"/>
    <w:rsid w:val="0048065C"/>
    <w:rsid w:val="004809BC"/>
    <w:rsid w:val="00480D2F"/>
    <w:rsid w:val="00480EF4"/>
    <w:rsid w:val="004813DC"/>
    <w:rsid w:val="00481584"/>
    <w:rsid w:val="004821FC"/>
    <w:rsid w:val="00482545"/>
    <w:rsid w:val="004828B9"/>
    <w:rsid w:val="0048300B"/>
    <w:rsid w:val="004839AC"/>
    <w:rsid w:val="00483D11"/>
    <w:rsid w:val="00483D30"/>
    <w:rsid w:val="004846BB"/>
    <w:rsid w:val="004847E2"/>
    <w:rsid w:val="00485661"/>
    <w:rsid w:val="004859AE"/>
    <w:rsid w:val="00485C66"/>
    <w:rsid w:val="00485D5C"/>
    <w:rsid w:val="004860E3"/>
    <w:rsid w:val="00487194"/>
    <w:rsid w:val="00487706"/>
    <w:rsid w:val="0048783C"/>
    <w:rsid w:val="00487ED8"/>
    <w:rsid w:val="00487EFB"/>
    <w:rsid w:val="004904BA"/>
    <w:rsid w:val="00490F0B"/>
    <w:rsid w:val="00490FCB"/>
    <w:rsid w:val="0049208C"/>
    <w:rsid w:val="00492457"/>
    <w:rsid w:val="00492779"/>
    <w:rsid w:val="00492D1F"/>
    <w:rsid w:val="00493374"/>
    <w:rsid w:val="00493F90"/>
    <w:rsid w:val="00494497"/>
    <w:rsid w:val="00494728"/>
    <w:rsid w:val="00494F80"/>
    <w:rsid w:val="0049519A"/>
    <w:rsid w:val="00495BA5"/>
    <w:rsid w:val="0049607B"/>
    <w:rsid w:val="004961C3"/>
    <w:rsid w:val="004974A9"/>
    <w:rsid w:val="00497544"/>
    <w:rsid w:val="004A057F"/>
    <w:rsid w:val="004A1491"/>
    <w:rsid w:val="004A1493"/>
    <w:rsid w:val="004A1644"/>
    <w:rsid w:val="004A1D4C"/>
    <w:rsid w:val="004A1F55"/>
    <w:rsid w:val="004A2095"/>
    <w:rsid w:val="004A2C79"/>
    <w:rsid w:val="004A3198"/>
    <w:rsid w:val="004A3277"/>
    <w:rsid w:val="004A3A87"/>
    <w:rsid w:val="004A3B69"/>
    <w:rsid w:val="004A3C6B"/>
    <w:rsid w:val="004A47D9"/>
    <w:rsid w:val="004A48B4"/>
    <w:rsid w:val="004A4A7E"/>
    <w:rsid w:val="004A5515"/>
    <w:rsid w:val="004A5812"/>
    <w:rsid w:val="004A5F60"/>
    <w:rsid w:val="004A6D28"/>
    <w:rsid w:val="004A7157"/>
    <w:rsid w:val="004A71F7"/>
    <w:rsid w:val="004A7688"/>
    <w:rsid w:val="004A768D"/>
    <w:rsid w:val="004B0616"/>
    <w:rsid w:val="004B0F08"/>
    <w:rsid w:val="004B1EDB"/>
    <w:rsid w:val="004B1FDB"/>
    <w:rsid w:val="004B226C"/>
    <w:rsid w:val="004B25B9"/>
    <w:rsid w:val="004B2E44"/>
    <w:rsid w:val="004B3A33"/>
    <w:rsid w:val="004B444F"/>
    <w:rsid w:val="004B4A45"/>
    <w:rsid w:val="004B4AFF"/>
    <w:rsid w:val="004B4F11"/>
    <w:rsid w:val="004B5952"/>
    <w:rsid w:val="004B5AB5"/>
    <w:rsid w:val="004B5D71"/>
    <w:rsid w:val="004B631F"/>
    <w:rsid w:val="004B645E"/>
    <w:rsid w:val="004B6517"/>
    <w:rsid w:val="004B6787"/>
    <w:rsid w:val="004B6906"/>
    <w:rsid w:val="004B6E97"/>
    <w:rsid w:val="004B6F78"/>
    <w:rsid w:val="004B742F"/>
    <w:rsid w:val="004B7740"/>
    <w:rsid w:val="004B7859"/>
    <w:rsid w:val="004B795E"/>
    <w:rsid w:val="004C00A2"/>
    <w:rsid w:val="004C11FA"/>
    <w:rsid w:val="004C1CD6"/>
    <w:rsid w:val="004C1DA3"/>
    <w:rsid w:val="004C2483"/>
    <w:rsid w:val="004C2767"/>
    <w:rsid w:val="004C27B7"/>
    <w:rsid w:val="004C383B"/>
    <w:rsid w:val="004C3AA6"/>
    <w:rsid w:val="004C3BE5"/>
    <w:rsid w:val="004C3CD3"/>
    <w:rsid w:val="004C4261"/>
    <w:rsid w:val="004C42B0"/>
    <w:rsid w:val="004C4CBC"/>
    <w:rsid w:val="004C4CF8"/>
    <w:rsid w:val="004C559A"/>
    <w:rsid w:val="004C6056"/>
    <w:rsid w:val="004C60AA"/>
    <w:rsid w:val="004C6CC4"/>
    <w:rsid w:val="004C6D46"/>
    <w:rsid w:val="004C7021"/>
    <w:rsid w:val="004C7962"/>
    <w:rsid w:val="004C7C79"/>
    <w:rsid w:val="004C7CE0"/>
    <w:rsid w:val="004C7D86"/>
    <w:rsid w:val="004D0AAA"/>
    <w:rsid w:val="004D0BF9"/>
    <w:rsid w:val="004D1E72"/>
    <w:rsid w:val="004D28F7"/>
    <w:rsid w:val="004D3030"/>
    <w:rsid w:val="004D329F"/>
    <w:rsid w:val="004D34E0"/>
    <w:rsid w:val="004D36A0"/>
    <w:rsid w:val="004D3D28"/>
    <w:rsid w:val="004D40BD"/>
    <w:rsid w:val="004D433F"/>
    <w:rsid w:val="004D4D9B"/>
    <w:rsid w:val="004D5538"/>
    <w:rsid w:val="004D651D"/>
    <w:rsid w:val="004D7358"/>
    <w:rsid w:val="004E06A3"/>
    <w:rsid w:val="004E084A"/>
    <w:rsid w:val="004E1338"/>
    <w:rsid w:val="004E1658"/>
    <w:rsid w:val="004E1F22"/>
    <w:rsid w:val="004E2999"/>
    <w:rsid w:val="004E2AB2"/>
    <w:rsid w:val="004E3063"/>
    <w:rsid w:val="004E3444"/>
    <w:rsid w:val="004E3869"/>
    <w:rsid w:val="004E3E26"/>
    <w:rsid w:val="004E3E35"/>
    <w:rsid w:val="004E3E58"/>
    <w:rsid w:val="004E43A4"/>
    <w:rsid w:val="004E43CA"/>
    <w:rsid w:val="004E44AB"/>
    <w:rsid w:val="004E5365"/>
    <w:rsid w:val="004E53A3"/>
    <w:rsid w:val="004E54E4"/>
    <w:rsid w:val="004E5FBA"/>
    <w:rsid w:val="004E5FDC"/>
    <w:rsid w:val="004E69E8"/>
    <w:rsid w:val="004E6ECE"/>
    <w:rsid w:val="004E7C2B"/>
    <w:rsid w:val="004E7CB5"/>
    <w:rsid w:val="004E7FAD"/>
    <w:rsid w:val="004F029E"/>
    <w:rsid w:val="004F031C"/>
    <w:rsid w:val="004F040C"/>
    <w:rsid w:val="004F0432"/>
    <w:rsid w:val="004F1033"/>
    <w:rsid w:val="004F1177"/>
    <w:rsid w:val="004F137D"/>
    <w:rsid w:val="004F1DCE"/>
    <w:rsid w:val="004F1E46"/>
    <w:rsid w:val="004F211F"/>
    <w:rsid w:val="004F21F5"/>
    <w:rsid w:val="004F2869"/>
    <w:rsid w:val="004F286A"/>
    <w:rsid w:val="004F4C9A"/>
    <w:rsid w:val="004F5F63"/>
    <w:rsid w:val="004F6C77"/>
    <w:rsid w:val="004F6F7F"/>
    <w:rsid w:val="004F76EB"/>
    <w:rsid w:val="004F7750"/>
    <w:rsid w:val="004F7A4B"/>
    <w:rsid w:val="004F7B28"/>
    <w:rsid w:val="005001CE"/>
    <w:rsid w:val="00500449"/>
    <w:rsid w:val="00500523"/>
    <w:rsid w:val="0050052D"/>
    <w:rsid w:val="00500D9A"/>
    <w:rsid w:val="00500EEB"/>
    <w:rsid w:val="005012A6"/>
    <w:rsid w:val="00501744"/>
    <w:rsid w:val="005018B4"/>
    <w:rsid w:val="00501B6F"/>
    <w:rsid w:val="00501DFE"/>
    <w:rsid w:val="00502399"/>
    <w:rsid w:val="0050285A"/>
    <w:rsid w:val="00502B69"/>
    <w:rsid w:val="00503154"/>
    <w:rsid w:val="00503227"/>
    <w:rsid w:val="005032B9"/>
    <w:rsid w:val="005032E3"/>
    <w:rsid w:val="005035F2"/>
    <w:rsid w:val="0050372C"/>
    <w:rsid w:val="00503830"/>
    <w:rsid w:val="00503894"/>
    <w:rsid w:val="00503BB6"/>
    <w:rsid w:val="00503EF7"/>
    <w:rsid w:val="00503F51"/>
    <w:rsid w:val="005049AA"/>
    <w:rsid w:val="00504BBC"/>
    <w:rsid w:val="00504C6A"/>
    <w:rsid w:val="00506053"/>
    <w:rsid w:val="0050709A"/>
    <w:rsid w:val="00507B61"/>
    <w:rsid w:val="00507DE2"/>
    <w:rsid w:val="00507F35"/>
    <w:rsid w:val="00510D13"/>
    <w:rsid w:val="00511038"/>
    <w:rsid w:val="0051129F"/>
    <w:rsid w:val="00511843"/>
    <w:rsid w:val="005118EE"/>
    <w:rsid w:val="0051199B"/>
    <w:rsid w:val="0051244C"/>
    <w:rsid w:val="00512558"/>
    <w:rsid w:val="005125FB"/>
    <w:rsid w:val="005125FD"/>
    <w:rsid w:val="00512707"/>
    <w:rsid w:val="00512B94"/>
    <w:rsid w:val="00513002"/>
    <w:rsid w:val="0051331E"/>
    <w:rsid w:val="0051387F"/>
    <w:rsid w:val="00513CB7"/>
    <w:rsid w:val="00513FD8"/>
    <w:rsid w:val="00514B9A"/>
    <w:rsid w:val="00514D05"/>
    <w:rsid w:val="00514FB0"/>
    <w:rsid w:val="00514FBA"/>
    <w:rsid w:val="00515518"/>
    <w:rsid w:val="005158D5"/>
    <w:rsid w:val="00515CB4"/>
    <w:rsid w:val="005160D2"/>
    <w:rsid w:val="00516150"/>
    <w:rsid w:val="00516778"/>
    <w:rsid w:val="005169CC"/>
    <w:rsid w:val="00517D09"/>
    <w:rsid w:val="00520073"/>
    <w:rsid w:val="005203D6"/>
    <w:rsid w:val="005206EF"/>
    <w:rsid w:val="005208A0"/>
    <w:rsid w:val="00520FD3"/>
    <w:rsid w:val="005211EF"/>
    <w:rsid w:val="0052186A"/>
    <w:rsid w:val="00521A87"/>
    <w:rsid w:val="00521F33"/>
    <w:rsid w:val="005225FD"/>
    <w:rsid w:val="00522912"/>
    <w:rsid w:val="00522917"/>
    <w:rsid w:val="005229E1"/>
    <w:rsid w:val="00522E79"/>
    <w:rsid w:val="005230B2"/>
    <w:rsid w:val="005234A4"/>
    <w:rsid w:val="00523B75"/>
    <w:rsid w:val="00524674"/>
    <w:rsid w:val="00524C0A"/>
    <w:rsid w:val="00525161"/>
    <w:rsid w:val="00525579"/>
    <w:rsid w:val="00525E6A"/>
    <w:rsid w:val="00526266"/>
    <w:rsid w:val="0052707C"/>
    <w:rsid w:val="005279B0"/>
    <w:rsid w:val="005279C2"/>
    <w:rsid w:val="0053001E"/>
    <w:rsid w:val="00530228"/>
    <w:rsid w:val="005305B3"/>
    <w:rsid w:val="00530751"/>
    <w:rsid w:val="00530D8B"/>
    <w:rsid w:val="00530F79"/>
    <w:rsid w:val="0053171A"/>
    <w:rsid w:val="00531747"/>
    <w:rsid w:val="005317D5"/>
    <w:rsid w:val="0053188D"/>
    <w:rsid w:val="00531A94"/>
    <w:rsid w:val="00531CFE"/>
    <w:rsid w:val="00532006"/>
    <w:rsid w:val="00532335"/>
    <w:rsid w:val="00532576"/>
    <w:rsid w:val="005328CF"/>
    <w:rsid w:val="0053321F"/>
    <w:rsid w:val="00533968"/>
    <w:rsid w:val="0053490C"/>
    <w:rsid w:val="00535008"/>
    <w:rsid w:val="00535095"/>
    <w:rsid w:val="00535141"/>
    <w:rsid w:val="0053523A"/>
    <w:rsid w:val="0053563F"/>
    <w:rsid w:val="00535B71"/>
    <w:rsid w:val="00536336"/>
    <w:rsid w:val="00536864"/>
    <w:rsid w:val="005371C1"/>
    <w:rsid w:val="005375CA"/>
    <w:rsid w:val="00537849"/>
    <w:rsid w:val="0053786E"/>
    <w:rsid w:val="005378AC"/>
    <w:rsid w:val="00537A87"/>
    <w:rsid w:val="00537AE1"/>
    <w:rsid w:val="00537B14"/>
    <w:rsid w:val="00540BF9"/>
    <w:rsid w:val="00540E88"/>
    <w:rsid w:val="00541248"/>
    <w:rsid w:val="005412C2"/>
    <w:rsid w:val="005417BD"/>
    <w:rsid w:val="00541E3A"/>
    <w:rsid w:val="00542512"/>
    <w:rsid w:val="00542A74"/>
    <w:rsid w:val="00542BB0"/>
    <w:rsid w:val="00542C01"/>
    <w:rsid w:val="00542DBF"/>
    <w:rsid w:val="0054314E"/>
    <w:rsid w:val="00543267"/>
    <w:rsid w:val="005436B5"/>
    <w:rsid w:val="005436F5"/>
    <w:rsid w:val="00543B11"/>
    <w:rsid w:val="00544046"/>
    <w:rsid w:val="005441F7"/>
    <w:rsid w:val="00544A88"/>
    <w:rsid w:val="005451F7"/>
    <w:rsid w:val="005460C8"/>
    <w:rsid w:val="005469E5"/>
    <w:rsid w:val="00546CA5"/>
    <w:rsid w:val="00547494"/>
    <w:rsid w:val="005474F2"/>
    <w:rsid w:val="0054780A"/>
    <w:rsid w:val="00547AFD"/>
    <w:rsid w:val="00547F98"/>
    <w:rsid w:val="00547FE4"/>
    <w:rsid w:val="00550163"/>
    <w:rsid w:val="00550953"/>
    <w:rsid w:val="005509F4"/>
    <w:rsid w:val="00551D28"/>
    <w:rsid w:val="00552EEC"/>
    <w:rsid w:val="00552FFB"/>
    <w:rsid w:val="005539D5"/>
    <w:rsid w:val="00553C20"/>
    <w:rsid w:val="00553C49"/>
    <w:rsid w:val="0055470B"/>
    <w:rsid w:val="005547D2"/>
    <w:rsid w:val="00554F60"/>
    <w:rsid w:val="00555348"/>
    <w:rsid w:val="00555624"/>
    <w:rsid w:val="00556254"/>
    <w:rsid w:val="005563A3"/>
    <w:rsid w:val="005565F8"/>
    <w:rsid w:val="00556D41"/>
    <w:rsid w:val="005571ED"/>
    <w:rsid w:val="0055773C"/>
    <w:rsid w:val="005578A6"/>
    <w:rsid w:val="00557A15"/>
    <w:rsid w:val="00557A29"/>
    <w:rsid w:val="00557D27"/>
    <w:rsid w:val="005613AC"/>
    <w:rsid w:val="00561E8A"/>
    <w:rsid w:val="00562463"/>
    <w:rsid w:val="00562791"/>
    <w:rsid w:val="00562858"/>
    <w:rsid w:val="00562CBD"/>
    <w:rsid w:val="0056339D"/>
    <w:rsid w:val="005645FD"/>
    <w:rsid w:val="005648A7"/>
    <w:rsid w:val="00564CB4"/>
    <w:rsid w:val="00565C8A"/>
    <w:rsid w:val="00566C86"/>
    <w:rsid w:val="00566D09"/>
    <w:rsid w:val="005673AC"/>
    <w:rsid w:val="00567C28"/>
    <w:rsid w:val="00567EC6"/>
    <w:rsid w:val="00570281"/>
    <w:rsid w:val="00570583"/>
    <w:rsid w:val="005705C9"/>
    <w:rsid w:val="00570BE8"/>
    <w:rsid w:val="005713AC"/>
    <w:rsid w:val="0057169F"/>
    <w:rsid w:val="00571B64"/>
    <w:rsid w:val="00571E73"/>
    <w:rsid w:val="0057238C"/>
    <w:rsid w:val="005725A5"/>
    <w:rsid w:val="00572B08"/>
    <w:rsid w:val="00573424"/>
    <w:rsid w:val="005737C1"/>
    <w:rsid w:val="005737F4"/>
    <w:rsid w:val="005738BE"/>
    <w:rsid w:val="00574431"/>
    <w:rsid w:val="005747EB"/>
    <w:rsid w:val="00574BC8"/>
    <w:rsid w:val="00574DDB"/>
    <w:rsid w:val="00574E20"/>
    <w:rsid w:val="005750E3"/>
    <w:rsid w:val="00575433"/>
    <w:rsid w:val="005756A3"/>
    <w:rsid w:val="005757BB"/>
    <w:rsid w:val="00575FD2"/>
    <w:rsid w:val="0057680E"/>
    <w:rsid w:val="0057698F"/>
    <w:rsid w:val="00577227"/>
    <w:rsid w:val="00577840"/>
    <w:rsid w:val="00577A33"/>
    <w:rsid w:val="00577BC2"/>
    <w:rsid w:val="0058046F"/>
    <w:rsid w:val="00580631"/>
    <w:rsid w:val="00580B18"/>
    <w:rsid w:val="00580BBC"/>
    <w:rsid w:val="00581957"/>
    <w:rsid w:val="00581ABD"/>
    <w:rsid w:val="00581CE0"/>
    <w:rsid w:val="00581DCC"/>
    <w:rsid w:val="00581E87"/>
    <w:rsid w:val="00581F58"/>
    <w:rsid w:val="005823B7"/>
    <w:rsid w:val="00582595"/>
    <w:rsid w:val="00582710"/>
    <w:rsid w:val="0058307B"/>
    <w:rsid w:val="0058357E"/>
    <w:rsid w:val="005836AC"/>
    <w:rsid w:val="00583AC3"/>
    <w:rsid w:val="00583CB7"/>
    <w:rsid w:val="005843B1"/>
    <w:rsid w:val="00584661"/>
    <w:rsid w:val="005847B5"/>
    <w:rsid w:val="00584A1E"/>
    <w:rsid w:val="00585322"/>
    <w:rsid w:val="0058539B"/>
    <w:rsid w:val="0058636F"/>
    <w:rsid w:val="00586B79"/>
    <w:rsid w:val="00587211"/>
    <w:rsid w:val="00587B71"/>
    <w:rsid w:val="00590B04"/>
    <w:rsid w:val="00590ED1"/>
    <w:rsid w:val="005910B1"/>
    <w:rsid w:val="005915D3"/>
    <w:rsid w:val="00591703"/>
    <w:rsid w:val="005918ED"/>
    <w:rsid w:val="00591CA5"/>
    <w:rsid w:val="00591D29"/>
    <w:rsid w:val="00591FE4"/>
    <w:rsid w:val="005923AA"/>
    <w:rsid w:val="00592454"/>
    <w:rsid w:val="005924AA"/>
    <w:rsid w:val="005929AA"/>
    <w:rsid w:val="00592B37"/>
    <w:rsid w:val="00593217"/>
    <w:rsid w:val="0059349A"/>
    <w:rsid w:val="00593B39"/>
    <w:rsid w:val="00593B6D"/>
    <w:rsid w:val="00593BFB"/>
    <w:rsid w:val="00594989"/>
    <w:rsid w:val="00595A7B"/>
    <w:rsid w:val="00595CC4"/>
    <w:rsid w:val="00595D53"/>
    <w:rsid w:val="0059602E"/>
    <w:rsid w:val="005961C5"/>
    <w:rsid w:val="00596BCA"/>
    <w:rsid w:val="00596D7E"/>
    <w:rsid w:val="00596E9D"/>
    <w:rsid w:val="005975B5"/>
    <w:rsid w:val="005976C7"/>
    <w:rsid w:val="00597958"/>
    <w:rsid w:val="00597A5E"/>
    <w:rsid w:val="00597E50"/>
    <w:rsid w:val="005A0BC1"/>
    <w:rsid w:val="005A1203"/>
    <w:rsid w:val="005A15E0"/>
    <w:rsid w:val="005A1B2A"/>
    <w:rsid w:val="005A1E3D"/>
    <w:rsid w:val="005A268D"/>
    <w:rsid w:val="005A2A7D"/>
    <w:rsid w:val="005A36BE"/>
    <w:rsid w:val="005A3A55"/>
    <w:rsid w:val="005A3F2C"/>
    <w:rsid w:val="005A438F"/>
    <w:rsid w:val="005A43D8"/>
    <w:rsid w:val="005A4DDD"/>
    <w:rsid w:val="005A5570"/>
    <w:rsid w:val="005A579B"/>
    <w:rsid w:val="005A5BCF"/>
    <w:rsid w:val="005A6B14"/>
    <w:rsid w:val="005A772E"/>
    <w:rsid w:val="005A77E1"/>
    <w:rsid w:val="005A7C3A"/>
    <w:rsid w:val="005B01FB"/>
    <w:rsid w:val="005B03AE"/>
    <w:rsid w:val="005B0BAD"/>
    <w:rsid w:val="005B0F59"/>
    <w:rsid w:val="005B144C"/>
    <w:rsid w:val="005B1493"/>
    <w:rsid w:val="005B149F"/>
    <w:rsid w:val="005B171D"/>
    <w:rsid w:val="005B1997"/>
    <w:rsid w:val="005B19ED"/>
    <w:rsid w:val="005B1B26"/>
    <w:rsid w:val="005B1B5F"/>
    <w:rsid w:val="005B24A8"/>
    <w:rsid w:val="005B24E0"/>
    <w:rsid w:val="005B276D"/>
    <w:rsid w:val="005B27DD"/>
    <w:rsid w:val="005B29E4"/>
    <w:rsid w:val="005B2C45"/>
    <w:rsid w:val="005B2D0E"/>
    <w:rsid w:val="005B3172"/>
    <w:rsid w:val="005B3515"/>
    <w:rsid w:val="005B3DA0"/>
    <w:rsid w:val="005B4075"/>
    <w:rsid w:val="005B479B"/>
    <w:rsid w:val="005B4DD7"/>
    <w:rsid w:val="005B52C0"/>
    <w:rsid w:val="005B53DF"/>
    <w:rsid w:val="005B56F4"/>
    <w:rsid w:val="005B57ED"/>
    <w:rsid w:val="005B69A7"/>
    <w:rsid w:val="005B6B7F"/>
    <w:rsid w:val="005B73CE"/>
    <w:rsid w:val="005C0797"/>
    <w:rsid w:val="005C082C"/>
    <w:rsid w:val="005C18F2"/>
    <w:rsid w:val="005C229F"/>
    <w:rsid w:val="005C2BF0"/>
    <w:rsid w:val="005C3382"/>
    <w:rsid w:val="005C33B3"/>
    <w:rsid w:val="005C3980"/>
    <w:rsid w:val="005C3B6B"/>
    <w:rsid w:val="005C4385"/>
    <w:rsid w:val="005C4789"/>
    <w:rsid w:val="005C4EEF"/>
    <w:rsid w:val="005C53CC"/>
    <w:rsid w:val="005C5741"/>
    <w:rsid w:val="005C5945"/>
    <w:rsid w:val="005C5B68"/>
    <w:rsid w:val="005C5D59"/>
    <w:rsid w:val="005C6406"/>
    <w:rsid w:val="005C67C4"/>
    <w:rsid w:val="005C6BF3"/>
    <w:rsid w:val="005C7474"/>
    <w:rsid w:val="005C76B2"/>
    <w:rsid w:val="005C7F30"/>
    <w:rsid w:val="005D01F3"/>
    <w:rsid w:val="005D0380"/>
    <w:rsid w:val="005D0DCA"/>
    <w:rsid w:val="005D1333"/>
    <w:rsid w:val="005D1640"/>
    <w:rsid w:val="005D1AD0"/>
    <w:rsid w:val="005D23F6"/>
    <w:rsid w:val="005D27C4"/>
    <w:rsid w:val="005D2DC3"/>
    <w:rsid w:val="005D334F"/>
    <w:rsid w:val="005D3417"/>
    <w:rsid w:val="005D365B"/>
    <w:rsid w:val="005D3DB7"/>
    <w:rsid w:val="005D413A"/>
    <w:rsid w:val="005D4280"/>
    <w:rsid w:val="005D4595"/>
    <w:rsid w:val="005D4944"/>
    <w:rsid w:val="005D4C7D"/>
    <w:rsid w:val="005D51C5"/>
    <w:rsid w:val="005D65E5"/>
    <w:rsid w:val="005D66DA"/>
    <w:rsid w:val="005D6755"/>
    <w:rsid w:val="005D6BCB"/>
    <w:rsid w:val="005D734C"/>
    <w:rsid w:val="005D737A"/>
    <w:rsid w:val="005D7831"/>
    <w:rsid w:val="005D7B8B"/>
    <w:rsid w:val="005D7D35"/>
    <w:rsid w:val="005E0040"/>
    <w:rsid w:val="005E01CC"/>
    <w:rsid w:val="005E0771"/>
    <w:rsid w:val="005E0C8D"/>
    <w:rsid w:val="005E0E8A"/>
    <w:rsid w:val="005E0EC9"/>
    <w:rsid w:val="005E1287"/>
    <w:rsid w:val="005E2110"/>
    <w:rsid w:val="005E248E"/>
    <w:rsid w:val="005E25D8"/>
    <w:rsid w:val="005E28D2"/>
    <w:rsid w:val="005E2C70"/>
    <w:rsid w:val="005E2CA8"/>
    <w:rsid w:val="005E2CE1"/>
    <w:rsid w:val="005E2F74"/>
    <w:rsid w:val="005E36F2"/>
    <w:rsid w:val="005E3973"/>
    <w:rsid w:val="005E39C3"/>
    <w:rsid w:val="005E3D28"/>
    <w:rsid w:val="005E3E09"/>
    <w:rsid w:val="005E40A5"/>
    <w:rsid w:val="005E4FE7"/>
    <w:rsid w:val="005E558E"/>
    <w:rsid w:val="005E5593"/>
    <w:rsid w:val="005E55C8"/>
    <w:rsid w:val="005E566B"/>
    <w:rsid w:val="005E57CC"/>
    <w:rsid w:val="005E6093"/>
    <w:rsid w:val="005E6CFD"/>
    <w:rsid w:val="005E6E8E"/>
    <w:rsid w:val="005E7014"/>
    <w:rsid w:val="005E7297"/>
    <w:rsid w:val="005E75B2"/>
    <w:rsid w:val="005E78CC"/>
    <w:rsid w:val="005E7D6A"/>
    <w:rsid w:val="005F0135"/>
    <w:rsid w:val="005F0680"/>
    <w:rsid w:val="005F0A17"/>
    <w:rsid w:val="005F0F7A"/>
    <w:rsid w:val="005F1498"/>
    <w:rsid w:val="005F18FC"/>
    <w:rsid w:val="005F2311"/>
    <w:rsid w:val="005F2E61"/>
    <w:rsid w:val="005F405F"/>
    <w:rsid w:val="005F40CC"/>
    <w:rsid w:val="005F42FC"/>
    <w:rsid w:val="005F4499"/>
    <w:rsid w:val="005F4924"/>
    <w:rsid w:val="005F4968"/>
    <w:rsid w:val="005F50BB"/>
    <w:rsid w:val="005F51A5"/>
    <w:rsid w:val="005F525C"/>
    <w:rsid w:val="005F5456"/>
    <w:rsid w:val="005F58BB"/>
    <w:rsid w:val="005F592A"/>
    <w:rsid w:val="005F66AB"/>
    <w:rsid w:val="005F6FCE"/>
    <w:rsid w:val="005F7247"/>
    <w:rsid w:val="005F782A"/>
    <w:rsid w:val="005F7AA3"/>
    <w:rsid w:val="0060009D"/>
    <w:rsid w:val="00600C40"/>
    <w:rsid w:val="00600DE6"/>
    <w:rsid w:val="00602746"/>
    <w:rsid w:val="00602BAB"/>
    <w:rsid w:val="006030CE"/>
    <w:rsid w:val="00603161"/>
    <w:rsid w:val="00603580"/>
    <w:rsid w:val="00603AB7"/>
    <w:rsid w:val="0060413E"/>
    <w:rsid w:val="00604956"/>
    <w:rsid w:val="00604B8C"/>
    <w:rsid w:val="00604BE0"/>
    <w:rsid w:val="00605E23"/>
    <w:rsid w:val="00605E27"/>
    <w:rsid w:val="00605ED7"/>
    <w:rsid w:val="0060618A"/>
    <w:rsid w:val="0060629B"/>
    <w:rsid w:val="006063BC"/>
    <w:rsid w:val="00606853"/>
    <w:rsid w:val="00606AE2"/>
    <w:rsid w:val="00606CBE"/>
    <w:rsid w:val="00607331"/>
    <w:rsid w:val="0060768B"/>
    <w:rsid w:val="00607A44"/>
    <w:rsid w:val="00610044"/>
    <w:rsid w:val="006103C5"/>
    <w:rsid w:val="0061067D"/>
    <w:rsid w:val="00610AF6"/>
    <w:rsid w:val="006110E2"/>
    <w:rsid w:val="0061116D"/>
    <w:rsid w:val="006111A8"/>
    <w:rsid w:val="00611468"/>
    <w:rsid w:val="00611954"/>
    <w:rsid w:val="0061232F"/>
    <w:rsid w:val="00612F90"/>
    <w:rsid w:val="006130A4"/>
    <w:rsid w:val="006133D9"/>
    <w:rsid w:val="00614151"/>
    <w:rsid w:val="006141FD"/>
    <w:rsid w:val="0061428A"/>
    <w:rsid w:val="00614899"/>
    <w:rsid w:val="00614D33"/>
    <w:rsid w:val="006151FC"/>
    <w:rsid w:val="006152CE"/>
    <w:rsid w:val="00616146"/>
    <w:rsid w:val="00616263"/>
    <w:rsid w:val="00616752"/>
    <w:rsid w:val="00616C1E"/>
    <w:rsid w:val="00616FC3"/>
    <w:rsid w:val="00617273"/>
    <w:rsid w:val="0061740F"/>
    <w:rsid w:val="0061758E"/>
    <w:rsid w:val="0061793A"/>
    <w:rsid w:val="00617BD3"/>
    <w:rsid w:val="006206E7"/>
    <w:rsid w:val="00620EA4"/>
    <w:rsid w:val="00620FCB"/>
    <w:rsid w:val="006214E2"/>
    <w:rsid w:val="0062199E"/>
    <w:rsid w:val="00621CA2"/>
    <w:rsid w:val="00622235"/>
    <w:rsid w:val="0062253F"/>
    <w:rsid w:val="00622BE3"/>
    <w:rsid w:val="00622D1B"/>
    <w:rsid w:val="006231BB"/>
    <w:rsid w:val="0062352D"/>
    <w:rsid w:val="00623B09"/>
    <w:rsid w:val="00624433"/>
    <w:rsid w:val="006245DA"/>
    <w:rsid w:val="00624754"/>
    <w:rsid w:val="0062501C"/>
    <w:rsid w:val="006250D1"/>
    <w:rsid w:val="006257D9"/>
    <w:rsid w:val="00625836"/>
    <w:rsid w:val="00625A05"/>
    <w:rsid w:val="006263F9"/>
    <w:rsid w:val="006269EB"/>
    <w:rsid w:val="0062745F"/>
    <w:rsid w:val="00627C5C"/>
    <w:rsid w:val="006301B4"/>
    <w:rsid w:val="0063121E"/>
    <w:rsid w:val="0063174E"/>
    <w:rsid w:val="0063185B"/>
    <w:rsid w:val="00631874"/>
    <w:rsid w:val="0063200F"/>
    <w:rsid w:val="00632218"/>
    <w:rsid w:val="00632603"/>
    <w:rsid w:val="00632841"/>
    <w:rsid w:val="00633036"/>
    <w:rsid w:val="006332C7"/>
    <w:rsid w:val="00633688"/>
    <w:rsid w:val="006339A1"/>
    <w:rsid w:val="00633D81"/>
    <w:rsid w:val="00633EB1"/>
    <w:rsid w:val="00633FA1"/>
    <w:rsid w:val="0063429E"/>
    <w:rsid w:val="0063429F"/>
    <w:rsid w:val="00634575"/>
    <w:rsid w:val="006359AE"/>
    <w:rsid w:val="00635F9A"/>
    <w:rsid w:val="006369DC"/>
    <w:rsid w:val="00636C00"/>
    <w:rsid w:val="00636CB5"/>
    <w:rsid w:val="00636EA0"/>
    <w:rsid w:val="0063715F"/>
    <w:rsid w:val="006373CE"/>
    <w:rsid w:val="00637A00"/>
    <w:rsid w:val="00637BAB"/>
    <w:rsid w:val="00637C56"/>
    <w:rsid w:val="006400CC"/>
    <w:rsid w:val="00640517"/>
    <w:rsid w:val="006407CB"/>
    <w:rsid w:val="00640C1B"/>
    <w:rsid w:val="006414B4"/>
    <w:rsid w:val="00641C82"/>
    <w:rsid w:val="00641D8D"/>
    <w:rsid w:val="00641E09"/>
    <w:rsid w:val="0064249E"/>
    <w:rsid w:val="00642899"/>
    <w:rsid w:val="00642C37"/>
    <w:rsid w:val="00642F15"/>
    <w:rsid w:val="00643351"/>
    <w:rsid w:val="006433A4"/>
    <w:rsid w:val="006435B6"/>
    <w:rsid w:val="00643CBC"/>
    <w:rsid w:val="00643D0B"/>
    <w:rsid w:val="006441F3"/>
    <w:rsid w:val="006444AD"/>
    <w:rsid w:val="006446DB"/>
    <w:rsid w:val="00644C41"/>
    <w:rsid w:val="00645074"/>
    <w:rsid w:val="006451C1"/>
    <w:rsid w:val="00645456"/>
    <w:rsid w:val="00645B4D"/>
    <w:rsid w:val="00645CFD"/>
    <w:rsid w:val="00646089"/>
    <w:rsid w:val="00646A92"/>
    <w:rsid w:val="00646EF2"/>
    <w:rsid w:val="00650559"/>
    <w:rsid w:val="006506DC"/>
    <w:rsid w:val="00651461"/>
    <w:rsid w:val="006519F8"/>
    <w:rsid w:val="00652392"/>
    <w:rsid w:val="006525F7"/>
    <w:rsid w:val="006527B9"/>
    <w:rsid w:val="00653E07"/>
    <w:rsid w:val="0065442E"/>
    <w:rsid w:val="006550D5"/>
    <w:rsid w:val="006555B2"/>
    <w:rsid w:val="00655CF3"/>
    <w:rsid w:val="00655D7E"/>
    <w:rsid w:val="00656066"/>
    <w:rsid w:val="00656A08"/>
    <w:rsid w:val="00657501"/>
    <w:rsid w:val="00657B9A"/>
    <w:rsid w:val="00657DA6"/>
    <w:rsid w:val="00657EC1"/>
    <w:rsid w:val="0066081F"/>
    <w:rsid w:val="00660846"/>
    <w:rsid w:val="00661311"/>
    <w:rsid w:val="00661341"/>
    <w:rsid w:val="006613E0"/>
    <w:rsid w:val="0066156F"/>
    <w:rsid w:val="0066158C"/>
    <w:rsid w:val="00661C2B"/>
    <w:rsid w:val="00661E65"/>
    <w:rsid w:val="00662F0D"/>
    <w:rsid w:val="0066354A"/>
    <w:rsid w:val="0066355F"/>
    <w:rsid w:val="006643AF"/>
    <w:rsid w:val="00665044"/>
    <w:rsid w:val="00665135"/>
    <w:rsid w:val="0066548F"/>
    <w:rsid w:val="0066566D"/>
    <w:rsid w:val="00666969"/>
    <w:rsid w:val="006670DB"/>
    <w:rsid w:val="006675B5"/>
    <w:rsid w:val="00667C59"/>
    <w:rsid w:val="00667E62"/>
    <w:rsid w:val="006700D3"/>
    <w:rsid w:val="0067053E"/>
    <w:rsid w:val="00670AD8"/>
    <w:rsid w:val="00670FDF"/>
    <w:rsid w:val="006712EB"/>
    <w:rsid w:val="006715BA"/>
    <w:rsid w:val="0067196F"/>
    <w:rsid w:val="00671A0A"/>
    <w:rsid w:val="006727EE"/>
    <w:rsid w:val="00672D36"/>
    <w:rsid w:val="00672FF7"/>
    <w:rsid w:val="00673744"/>
    <w:rsid w:val="0067427C"/>
    <w:rsid w:val="006745B5"/>
    <w:rsid w:val="00674B33"/>
    <w:rsid w:val="006754B5"/>
    <w:rsid w:val="00675A80"/>
    <w:rsid w:val="00675ED2"/>
    <w:rsid w:val="00675F46"/>
    <w:rsid w:val="00675FA0"/>
    <w:rsid w:val="0067631F"/>
    <w:rsid w:val="006765DE"/>
    <w:rsid w:val="0067754C"/>
    <w:rsid w:val="006776CC"/>
    <w:rsid w:val="0067777D"/>
    <w:rsid w:val="00680A6B"/>
    <w:rsid w:val="00680E1B"/>
    <w:rsid w:val="00681131"/>
    <w:rsid w:val="006813DB"/>
    <w:rsid w:val="006815F1"/>
    <w:rsid w:val="00681D99"/>
    <w:rsid w:val="00681DBA"/>
    <w:rsid w:val="00682530"/>
    <w:rsid w:val="00682CEB"/>
    <w:rsid w:val="0068332D"/>
    <w:rsid w:val="00683418"/>
    <w:rsid w:val="006835BD"/>
    <w:rsid w:val="00683923"/>
    <w:rsid w:val="00683A64"/>
    <w:rsid w:val="00683AC2"/>
    <w:rsid w:val="00683BB4"/>
    <w:rsid w:val="0068464E"/>
    <w:rsid w:val="006847C5"/>
    <w:rsid w:val="00685173"/>
    <w:rsid w:val="0068537E"/>
    <w:rsid w:val="0068571F"/>
    <w:rsid w:val="00685B18"/>
    <w:rsid w:val="00685D75"/>
    <w:rsid w:val="00686164"/>
    <w:rsid w:val="00686214"/>
    <w:rsid w:val="006866CD"/>
    <w:rsid w:val="006870B0"/>
    <w:rsid w:val="006875C5"/>
    <w:rsid w:val="00687D0C"/>
    <w:rsid w:val="00687E08"/>
    <w:rsid w:val="006901F6"/>
    <w:rsid w:val="00690360"/>
    <w:rsid w:val="00690A9C"/>
    <w:rsid w:val="0069129E"/>
    <w:rsid w:val="006916CB"/>
    <w:rsid w:val="00691871"/>
    <w:rsid w:val="006931FE"/>
    <w:rsid w:val="006936D7"/>
    <w:rsid w:val="00694382"/>
    <w:rsid w:val="00694486"/>
    <w:rsid w:val="006945D9"/>
    <w:rsid w:val="006946C5"/>
    <w:rsid w:val="006947D7"/>
    <w:rsid w:val="00694888"/>
    <w:rsid w:val="00694A53"/>
    <w:rsid w:val="00694D11"/>
    <w:rsid w:val="00695194"/>
    <w:rsid w:val="00695574"/>
    <w:rsid w:val="00695A63"/>
    <w:rsid w:val="00695F23"/>
    <w:rsid w:val="006960EB"/>
    <w:rsid w:val="006963CB"/>
    <w:rsid w:val="006969D0"/>
    <w:rsid w:val="00697536"/>
    <w:rsid w:val="0069754F"/>
    <w:rsid w:val="00697769"/>
    <w:rsid w:val="00697A08"/>
    <w:rsid w:val="00697D78"/>
    <w:rsid w:val="00697D9B"/>
    <w:rsid w:val="00697DA6"/>
    <w:rsid w:val="006A0334"/>
    <w:rsid w:val="006A05F1"/>
    <w:rsid w:val="006A072B"/>
    <w:rsid w:val="006A0D48"/>
    <w:rsid w:val="006A0F94"/>
    <w:rsid w:val="006A1610"/>
    <w:rsid w:val="006A1733"/>
    <w:rsid w:val="006A18E4"/>
    <w:rsid w:val="006A1B0F"/>
    <w:rsid w:val="006A25A6"/>
    <w:rsid w:val="006A28D1"/>
    <w:rsid w:val="006A30E2"/>
    <w:rsid w:val="006A328C"/>
    <w:rsid w:val="006A32CE"/>
    <w:rsid w:val="006A331F"/>
    <w:rsid w:val="006A33BB"/>
    <w:rsid w:val="006A3421"/>
    <w:rsid w:val="006A346E"/>
    <w:rsid w:val="006A4213"/>
    <w:rsid w:val="006A42F9"/>
    <w:rsid w:val="006A4C42"/>
    <w:rsid w:val="006A4F60"/>
    <w:rsid w:val="006A5723"/>
    <w:rsid w:val="006A5AD8"/>
    <w:rsid w:val="006A5CAE"/>
    <w:rsid w:val="006A5E1D"/>
    <w:rsid w:val="006A6149"/>
    <w:rsid w:val="006A6185"/>
    <w:rsid w:val="006A671D"/>
    <w:rsid w:val="006A6DD0"/>
    <w:rsid w:val="006A722A"/>
    <w:rsid w:val="006A74F4"/>
    <w:rsid w:val="006A79CA"/>
    <w:rsid w:val="006B019A"/>
    <w:rsid w:val="006B077E"/>
    <w:rsid w:val="006B0C9B"/>
    <w:rsid w:val="006B105E"/>
    <w:rsid w:val="006B11F6"/>
    <w:rsid w:val="006B1824"/>
    <w:rsid w:val="006B2430"/>
    <w:rsid w:val="006B24F1"/>
    <w:rsid w:val="006B2DE3"/>
    <w:rsid w:val="006B3130"/>
    <w:rsid w:val="006B323C"/>
    <w:rsid w:val="006B3320"/>
    <w:rsid w:val="006B468D"/>
    <w:rsid w:val="006B4F9B"/>
    <w:rsid w:val="006B5B47"/>
    <w:rsid w:val="006B6655"/>
    <w:rsid w:val="006B6697"/>
    <w:rsid w:val="006B744D"/>
    <w:rsid w:val="006B7964"/>
    <w:rsid w:val="006B7A36"/>
    <w:rsid w:val="006B7EDE"/>
    <w:rsid w:val="006C0492"/>
    <w:rsid w:val="006C202B"/>
    <w:rsid w:val="006C2184"/>
    <w:rsid w:val="006C21BD"/>
    <w:rsid w:val="006C22F8"/>
    <w:rsid w:val="006C28E2"/>
    <w:rsid w:val="006C29EF"/>
    <w:rsid w:val="006C2A43"/>
    <w:rsid w:val="006C2AF3"/>
    <w:rsid w:val="006C2FC1"/>
    <w:rsid w:val="006C39C6"/>
    <w:rsid w:val="006C3AC7"/>
    <w:rsid w:val="006C3E78"/>
    <w:rsid w:val="006C3FF8"/>
    <w:rsid w:val="006C4870"/>
    <w:rsid w:val="006C4DFA"/>
    <w:rsid w:val="006C577C"/>
    <w:rsid w:val="006C581C"/>
    <w:rsid w:val="006C5FF9"/>
    <w:rsid w:val="006C6C3F"/>
    <w:rsid w:val="006C6C49"/>
    <w:rsid w:val="006C6CF2"/>
    <w:rsid w:val="006C6E83"/>
    <w:rsid w:val="006C7354"/>
    <w:rsid w:val="006C7400"/>
    <w:rsid w:val="006C7A9F"/>
    <w:rsid w:val="006C7C4B"/>
    <w:rsid w:val="006C7F87"/>
    <w:rsid w:val="006C7FD2"/>
    <w:rsid w:val="006D03E8"/>
    <w:rsid w:val="006D091C"/>
    <w:rsid w:val="006D1853"/>
    <w:rsid w:val="006D1AAC"/>
    <w:rsid w:val="006D23CB"/>
    <w:rsid w:val="006D24A9"/>
    <w:rsid w:val="006D2576"/>
    <w:rsid w:val="006D262B"/>
    <w:rsid w:val="006D2D45"/>
    <w:rsid w:val="006D31BE"/>
    <w:rsid w:val="006D3277"/>
    <w:rsid w:val="006D3766"/>
    <w:rsid w:val="006D41B3"/>
    <w:rsid w:val="006D437E"/>
    <w:rsid w:val="006D4B4B"/>
    <w:rsid w:val="006D4D12"/>
    <w:rsid w:val="006D5A9B"/>
    <w:rsid w:val="006D5CBA"/>
    <w:rsid w:val="006D5D79"/>
    <w:rsid w:val="006D637D"/>
    <w:rsid w:val="006D682C"/>
    <w:rsid w:val="006D69D6"/>
    <w:rsid w:val="006D6CC8"/>
    <w:rsid w:val="006E00D3"/>
    <w:rsid w:val="006E01EE"/>
    <w:rsid w:val="006E10B1"/>
    <w:rsid w:val="006E15BB"/>
    <w:rsid w:val="006E1F9B"/>
    <w:rsid w:val="006E22CE"/>
    <w:rsid w:val="006E2586"/>
    <w:rsid w:val="006E2677"/>
    <w:rsid w:val="006E2738"/>
    <w:rsid w:val="006E2AA3"/>
    <w:rsid w:val="006E3630"/>
    <w:rsid w:val="006E39EC"/>
    <w:rsid w:val="006E41B6"/>
    <w:rsid w:val="006E5316"/>
    <w:rsid w:val="006E5630"/>
    <w:rsid w:val="006E583D"/>
    <w:rsid w:val="006E59F2"/>
    <w:rsid w:val="006E5A0C"/>
    <w:rsid w:val="006E5BD6"/>
    <w:rsid w:val="006E5C4A"/>
    <w:rsid w:val="006E5C89"/>
    <w:rsid w:val="006E5CCE"/>
    <w:rsid w:val="006E6366"/>
    <w:rsid w:val="006E6959"/>
    <w:rsid w:val="006E777F"/>
    <w:rsid w:val="006F118E"/>
    <w:rsid w:val="006F1447"/>
    <w:rsid w:val="006F1873"/>
    <w:rsid w:val="006F1C03"/>
    <w:rsid w:val="006F1DA4"/>
    <w:rsid w:val="006F21B1"/>
    <w:rsid w:val="006F2538"/>
    <w:rsid w:val="006F26E3"/>
    <w:rsid w:val="006F290F"/>
    <w:rsid w:val="006F2E38"/>
    <w:rsid w:val="006F33D7"/>
    <w:rsid w:val="006F40D5"/>
    <w:rsid w:val="006F4791"/>
    <w:rsid w:val="006F5218"/>
    <w:rsid w:val="006F5587"/>
    <w:rsid w:val="006F60DE"/>
    <w:rsid w:val="006F63B2"/>
    <w:rsid w:val="006F67F5"/>
    <w:rsid w:val="006F7D5B"/>
    <w:rsid w:val="0070088B"/>
    <w:rsid w:val="00700C29"/>
    <w:rsid w:val="00701263"/>
    <w:rsid w:val="00701605"/>
    <w:rsid w:val="00701856"/>
    <w:rsid w:val="00701ACE"/>
    <w:rsid w:val="00701D11"/>
    <w:rsid w:val="00701DD2"/>
    <w:rsid w:val="00701E47"/>
    <w:rsid w:val="00702BE8"/>
    <w:rsid w:val="00702E01"/>
    <w:rsid w:val="00702EED"/>
    <w:rsid w:val="00703824"/>
    <w:rsid w:val="00703BF2"/>
    <w:rsid w:val="00703E7D"/>
    <w:rsid w:val="007040A6"/>
    <w:rsid w:val="007040CE"/>
    <w:rsid w:val="00704E08"/>
    <w:rsid w:val="007050DD"/>
    <w:rsid w:val="007052DD"/>
    <w:rsid w:val="00705656"/>
    <w:rsid w:val="0070632C"/>
    <w:rsid w:val="0070643C"/>
    <w:rsid w:val="00706740"/>
    <w:rsid w:val="00706D65"/>
    <w:rsid w:val="00706FEF"/>
    <w:rsid w:val="00707366"/>
    <w:rsid w:val="007074FD"/>
    <w:rsid w:val="00707731"/>
    <w:rsid w:val="007106A6"/>
    <w:rsid w:val="00710ED9"/>
    <w:rsid w:val="00712316"/>
    <w:rsid w:val="0071245D"/>
    <w:rsid w:val="00712522"/>
    <w:rsid w:val="00712997"/>
    <w:rsid w:val="007129C4"/>
    <w:rsid w:val="00712DB6"/>
    <w:rsid w:val="007134B8"/>
    <w:rsid w:val="00713538"/>
    <w:rsid w:val="007135B5"/>
    <w:rsid w:val="00713AF7"/>
    <w:rsid w:val="00713D95"/>
    <w:rsid w:val="00715684"/>
    <w:rsid w:val="00715A96"/>
    <w:rsid w:val="007160E5"/>
    <w:rsid w:val="0071720B"/>
    <w:rsid w:val="007206D2"/>
    <w:rsid w:val="00720724"/>
    <w:rsid w:val="0072072A"/>
    <w:rsid w:val="007216A9"/>
    <w:rsid w:val="00721AA7"/>
    <w:rsid w:val="007223D6"/>
    <w:rsid w:val="007226B7"/>
    <w:rsid w:val="007227A3"/>
    <w:rsid w:val="00722B3C"/>
    <w:rsid w:val="0072363B"/>
    <w:rsid w:val="007242B4"/>
    <w:rsid w:val="0072493E"/>
    <w:rsid w:val="00724BB9"/>
    <w:rsid w:val="00724EE2"/>
    <w:rsid w:val="00725EDE"/>
    <w:rsid w:val="00726683"/>
    <w:rsid w:val="0072695D"/>
    <w:rsid w:val="0072748D"/>
    <w:rsid w:val="00727983"/>
    <w:rsid w:val="00727C93"/>
    <w:rsid w:val="0073022B"/>
    <w:rsid w:val="0073086A"/>
    <w:rsid w:val="00730FE3"/>
    <w:rsid w:val="00731A02"/>
    <w:rsid w:val="00731C86"/>
    <w:rsid w:val="00731DB8"/>
    <w:rsid w:val="00731F71"/>
    <w:rsid w:val="00731FD8"/>
    <w:rsid w:val="00732660"/>
    <w:rsid w:val="00732CF7"/>
    <w:rsid w:val="00732FBB"/>
    <w:rsid w:val="00733108"/>
    <w:rsid w:val="0073317B"/>
    <w:rsid w:val="007334A4"/>
    <w:rsid w:val="00733C1A"/>
    <w:rsid w:val="00733C20"/>
    <w:rsid w:val="00733E0A"/>
    <w:rsid w:val="007341A8"/>
    <w:rsid w:val="00734CC0"/>
    <w:rsid w:val="00735883"/>
    <w:rsid w:val="007359DC"/>
    <w:rsid w:val="00735FF7"/>
    <w:rsid w:val="007362AB"/>
    <w:rsid w:val="00736B56"/>
    <w:rsid w:val="00736CBE"/>
    <w:rsid w:val="007371A1"/>
    <w:rsid w:val="00737427"/>
    <w:rsid w:val="0073772D"/>
    <w:rsid w:val="00737E36"/>
    <w:rsid w:val="00740135"/>
    <w:rsid w:val="00740327"/>
    <w:rsid w:val="00740507"/>
    <w:rsid w:val="0074050C"/>
    <w:rsid w:val="0074093A"/>
    <w:rsid w:val="00740FC8"/>
    <w:rsid w:val="00741452"/>
    <w:rsid w:val="00741456"/>
    <w:rsid w:val="0074238E"/>
    <w:rsid w:val="00742684"/>
    <w:rsid w:val="00742947"/>
    <w:rsid w:val="00742D86"/>
    <w:rsid w:val="00742FDC"/>
    <w:rsid w:val="007431C2"/>
    <w:rsid w:val="00743319"/>
    <w:rsid w:val="007436CF"/>
    <w:rsid w:val="00743D68"/>
    <w:rsid w:val="00744646"/>
    <w:rsid w:val="00744A8E"/>
    <w:rsid w:val="007457D3"/>
    <w:rsid w:val="007457E5"/>
    <w:rsid w:val="00746D48"/>
    <w:rsid w:val="00746FF6"/>
    <w:rsid w:val="00747248"/>
    <w:rsid w:val="0074758B"/>
    <w:rsid w:val="007479BD"/>
    <w:rsid w:val="00747D0C"/>
    <w:rsid w:val="00747D68"/>
    <w:rsid w:val="007501AD"/>
    <w:rsid w:val="0075078B"/>
    <w:rsid w:val="00750817"/>
    <w:rsid w:val="00750F68"/>
    <w:rsid w:val="007517C7"/>
    <w:rsid w:val="00751812"/>
    <w:rsid w:val="00751E8C"/>
    <w:rsid w:val="00752FC5"/>
    <w:rsid w:val="00753536"/>
    <w:rsid w:val="00753BB1"/>
    <w:rsid w:val="00753D0A"/>
    <w:rsid w:val="0075417F"/>
    <w:rsid w:val="007542C5"/>
    <w:rsid w:val="00754375"/>
    <w:rsid w:val="00754694"/>
    <w:rsid w:val="007547EA"/>
    <w:rsid w:val="00754DE0"/>
    <w:rsid w:val="00755141"/>
    <w:rsid w:val="00755619"/>
    <w:rsid w:val="00755A34"/>
    <w:rsid w:val="007568F6"/>
    <w:rsid w:val="0075702B"/>
    <w:rsid w:val="007573B9"/>
    <w:rsid w:val="007576BA"/>
    <w:rsid w:val="00757F04"/>
    <w:rsid w:val="00760AC6"/>
    <w:rsid w:val="00760D04"/>
    <w:rsid w:val="0076128C"/>
    <w:rsid w:val="00761397"/>
    <w:rsid w:val="007614E4"/>
    <w:rsid w:val="007614F0"/>
    <w:rsid w:val="00761565"/>
    <w:rsid w:val="00761AAE"/>
    <w:rsid w:val="00761D14"/>
    <w:rsid w:val="0076202D"/>
    <w:rsid w:val="0076284E"/>
    <w:rsid w:val="007629C3"/>
    <w:rsid w:val="00762C5D"/>
    <w:rsid w:val="0076330F"/>
    <w:rsid w:val="00763A88"/>
    <w:rsid w:val="007640D3"/>
    <w:rsid w:val="007640F9"/>
    <w:rsid w:val="007641B4"/>
    <w:rsid w:val="00764330"/>
    <w:rsid w:val="007652D7"/>
    <w:rsid w:val="007654E8"/>
    <w:rsid w:val="007659EA"/>
    <w:rsid w:val="00765E13"/>
    <w:rsid w:val="00767573"/>
    <w:rsid w:val="00767677"/>
    <w:rsid w:val="00767E7F"/>
    <w:rsid w:val="00770868"/>
    <w:rsid w:val="007710A5"/>
    <w:rsid w:val="00771592"/>
    <w:rsid w:val="0077229C"/>
    <w:rsid w:val="007723AD"/>
    <w:rsid w:val="00772D7F"/>
    <w:rsid w:val="00772E9A"/>
    <w:rsid w:val="0077357F"/>
    <w:rsid w:val="00773A41"/>
    <w:rsid w:val="007743E3"/>
    <w:rsid w:val="00774854"/>
    <w:rsid w:val="00774A35"/>
    <w:rsid w:val="00775208"/>
    <w:rsid w:val="007753DD"/>
    <w:rsid w:val="0077627E"/>
    <w:rsid w:val="0077646C"/>
    <w:rsid w:val="00776908"/>
    <w:rsid w:val="00776ECC"/>
    <w:rsid w:val="00776FD5"/>
    <w:rsid w:val="00777BA3"/>
    <w:rsid w:val="00780A47"/>
    <w:rsid w:val="00780DAB"/>
    <w:rsid w:val="00781C19"/>
    <w:rsid w:val="00781D2B"/>
    <w:rsid w:val="00781D68"/>
    <w:rsid w:val="00782A39"/>
    <w:rsid w:val="00782F10"/>
    <w:rsid w:val="007836A0"/>
    <w:rsid w:val="00783AAA"/>
    <w:rsid w:val="00783B1C"/>
    <w:rsid w:val="00783B2B"/>
    <w:rsid w:val="00784076"/>
    <w:rsid w:val="00784662"/>
    <w:rsid w:val="00784AF1"/>
    <w:rsid w:val="00784D2A"/>
    <w:rsid w:val="00785179"/>
    <w:rsid w:val="00785300"/>
    <w:rsid w:val="0078565D"/>
    <w:rsid w:val="00785671"/>
    <w:rsid w:val="00785AC2"/>
    <w:rsid w:val="00786192"/>
    <w:rsid w:val="0078629C"/>
    <w:rsid w:val="00786461"/>
    <w:rsid w:val="007868D9"/>
    <w:rsid w:val="00786E91"/>
    <w:rsid w:val="00787036"/>
    <w:rsid w:val="00787692"/>
    <w:rsid w:val="00790922"/>
    <w:rsid w:val="00790B17"/>
    <w:rsid w:val="00790E40"/>
    <w:rsid w:val="00790FB2"/>
    <w:rsid w:val="00791114"/>
    <w:rsid w:val="007912E8"/>
    <w:rsid w:val="00792C40"/>
    <w:rsid w:val="00793D94"/>
    <w:rsid w:val="00793F53"/>
    <w:rsid w:val="00794652"/>
    <w:rsid w:val="00795140"/>
    <w:rsid w:val="007951F7"/>
    <w:rsid w:val="00795230"/>
    <w:rsid w:val="00795FB0"/>
    <w:rsid w:val="00796795"/>
    <w:rsid w:val="007968D8"/>
    <w:rsid w:val="00796935"/>
    <w:rsid w:val="00797507"/>
    <w:rsid w:val="0079780D"/>
    <w:rsid w:val="00797948"/>
    <w:rsid w:val="00797A31"/>
    <w:rsid w:val="00797EB6"/>
    <w:rsid w:val="007A0385"/>
    <w:rsid w:val="007A0AE6"/>
    <w:rsid w:val="007A1002"/>
    <w:rsid w:val="007A11F2"/>
    <w:rsid w:val="007A12BB"/>
    <w:rsid w:val="007A1F39"/>
    <w:rsid w:val="007A28A5"/>
    <w:rsid w:val="007A34D5"/>
    <w:rsid w:val="007A3505"/>
    <w:rsid w:val="007A361D"/>
    <w:rsid w:val="007A3C4F"/>
    <w:rsid w:val="007A40C6"/>
    <w:rsid w:val="007A4723"/>
    <w:rsid w:val="007A571C"/>
    <w:rsid w:val="007A5A59"/>
    <w:rsid w:val="007A5F14"/>
    <w:rsid w:val="007A66C5"/>
    <w:rsid w:val="007A67AF"/>
    <w:rsid w:val="007A6CDA"/>
    <w:rsid w:val="007A7750"/>
    <w:rsid w:val="007A7DE5"/>
    <w:rsid w:val="007B0DDF"/>
    <w:rsid w:val="007B0EEF"/>
    <w:rsid w:val="007B1411"/>
    <w:rsid w:val="007B22BD"/>
    <w:rsid w:val="007B251D"/>
    <w:rsid w:val="007B28AE"/>
    <w:rsid w:val="007B337F"/>
    <w:rsid w:val="007B38D2"/>
    <w:rsid w:val="007B38E0"/>
    <w:rsid w:val="007B3A0A"/>
    <w:rsid w:val="007B3BF0"/>
    <w:rsid w:val="007B4250"/>
    <w:rsid w:val="007B4523"/>
    <w:rsid w:val="007B4DF9"/>
    <w:rsid w:val="007B4DFC"/>
    <w:rsid w:val="007B4ECD"/>
    <w:rsid w:val="007B4F87"/>
    <w:rsid w:val="007B54BA"/>
    <w:rsid w:val="007B6010"/>
    <w:rsid w:val="007B68AC"/>
    <w:rsid w:val="007B6F9C"/>
    <w:rsid w:val="007C061A"/>
    <w:rsid w:val="007C0741"/>
    <w:rsid w:val="007C0F98"/>
    <w:rsid w:val="007C10C7"/>
    <w:rsid w:val="007C115A"/>
    <w:rsid w:val="007C14CE"/>
    <w:rsid w:val="007C177D"/>
    <w:rsid w:val="007C1A14"/>
    <w:rsid w:val="007C1A8F"/>
    <w:rsid w:val="007C21C0"/>
    <w:rsid w:val="007C22CF"/>
    <w:rsid w:val="007C269F"/>
    <w:rsid w:val="007C2EBE"/>
    <w:rsid w:val="007C2FC9"/>
    <w:rsid w:val="007C31EE"/>
    <w:rsid w:val="007C3521"/>
    <w:rsid w:val="007C36E5"/>
    <w:rsid w:val="007C44D1"/>
    <w:rsid w:val="007C455B"/>
    <w:rsid w:val="007C473F"/>
    <w:rsid w:val="007C483D"/>
    <w:rsid w:val="007C4877"/>
    <w:rsid w:val="007C4C1E"/>
    <w:rsid w:val="007C4EA4"/>
    <w:rsid w:val="007C592A"/>
    <w:rsid w:val="007C66D4"/>
    <w:rsid w:val="007C6AA8"/>
    <w:rsid w:val="007C6BDB"/>
    <w:rsid w:val="007C6C5A"/>
    <w:rsid w:val="007C7057"/>
    <w:rsid w:val="007C74AF"/>
    <w:rsid w:val="007C75EE"/>
    <w:rsid w:val="007C79FA"/>
    <w:rsid w:val="007C7DB7"/>
    <w:rsid w:val="007D0146"/>
    <w:rsid w:val="007D0632"/>
    <w:rsid w:val="007D105C"/>
    <w:rsid w:val="007D1C9B"/>
    <w:rsid w:val="007D1DA0"/>
    <w:rsid w:val="007D1F6A"/>
    <w:rsid w:val="007D25B9"/>
    <w:rsid w:val="007D28D9"/>
    <w:rsid w:val="007D3CF4"/>
    <w:rsid w:val="007D4428"/>
    <w:rsid w:val="007D5546"/>
    <w:rsid w:val="007D558A"/>
    <w:rsid w:val="007D5621"/>
    <w:rsid w:val="007D5744"/>
    <w:rsid w:val="007D592E"/>
    <w:rsid w:val="007D5B21"/>
    <w:rsid w:val="007D6396"/>
    <w:rsid w:val="007D7DEA"/>
    <w:rsid w:val="007E009E"/>
    <w:rsid w:val="007E0501"/>
    <w:rsid w:val="007E0736"/>
    <w:rsid w:val="007E099E"/>
    <w:rsid w:val="007E0B34"/>
    <w:rsid w:val="007E0C97"/>
    <w:rsid w:val="007E0EA6"/>
    <w:rsid w:val="007E1810"/>
    <w:rsid w:val="007E1BEA"/>
    <w:rsid w:val="007E1D70"/>
    <w:rsid w:val="007E1FFD"/>
    <w:rsid w:val="007E21DB"/>
    <w:rsid w:val="007E265F"/>
    <w:rsid w:val="007E323A"/>
    <w:rsid w:val="007E37E8"/>
    <w:rsid w:val="007E3837"/>
    <w:rsid w:val="007E39CD"/>
    <w:rsid w:val="007E3D85"/>
    <w:rsid w:val="007E4355"/>
    <w:rsid w:val="007E483B"/>
    <w:rsid w:val="007E483F"/>
    <w:rsid w:val="007E4F5E"/>
    <w:rsid w:val="007E4FD8"/>
    <w:rsid w:val="007E545F"/>
    <w:rsid w:val="007E554F"/>
    <w:rsid w:val="007E55F7"/>
    <w:rsid w:val="007E5BDA"/>
    <w:rsid w:val="007E5CEF"/>
    <w:rsid w:val="007E5D30"/>
    <w:rsid w:val="007E6707"/>
    <w:rsid w:val="007E71E7"/>
    <w:rsid w:val="007E780A"/>
    <w:rsid w:val="007E781F"/>
    <w:rsid w:val="007E7ACE"/>
    <w:rsid w:val="007E7E6C"/>
    <w:rsid w:val="007E7E9C"/>
    <w:rsid w:val="007F03A1"/>
    <w:rsid w:val="007F04BC"/>
    <w:rsid w:val="007F1C70"/>
    <w:rsid w:val="007F25FF"/>
    <w:rsid w:val="007F268F"/>
    <w:rsid w:val="007F2A4A"/>
    <w:rsid w:val="007F2C74"/>
    <w:rsid w:val="007F31F1"/>
    <w:rsid w:val="007F36C7"/>
    <w:rsid w:val="007F3A3A"/>
    <w:rsid w:val="007F4474"/>
    <w:rsid w:val="007F4899"/>
    <w:rsid w:val="007F500A"/>
    <w:rsid w:val="007F51A7"/>
    <w:rsid w:val="007F5431"/>
    <w:rsid w:val="007F62F9"/>
    <w:rsid w:val="007F65A0"/>
    <w:rsid w:val="007F6BA2"/>
    <w:rsid w:val="007F75F0"/>
    <w:rsid w:val="007F7949"/>
    <w:rsid w:val="007F7B58"/>
    <w:rsid w:val="007F7C11"/>
    <w:rsid w:val="0080043B"/>
    <w:rsid w:val="008004A8"/>
    <w:rsid w:val="00800869"/>
    <w:rsid w:val="008010FC"/>
    <w:rsid w:val="00801103"/>
    <w:rsid w:val="00801C68"/>
    <w:rsid w:val="008021D2"/>
    <w:rsid w:val="008026C6"/>
    <w:rsid w:val="00802E7C"/>
    <w:rsid w:val="00802FC4"/>
    <w:rsid w:val="00803B3A"/>
    <w:rsid w:val="00803B57"/>
    <w:rsid w:val="00803BF0"/>
    <w:rsid w:val="008051CC"/>
    <w:rsid w:val="008054DE"/>
    <w:rsid w:val="008057FB"/>
    <w:rsid w:val="008059E8"/>
    <w:rsid w:val="00805EAE"/>
    <w:rsid w:val="0080606B"/>
    <w:rsid w:val="0080620B"/>
    <w:rsid w:val="00806671"/>
    <w:rsid w:val="008067F2"/>
    <w:rsid w:val="0080720E"/>
    <w:rsid w:val="00807283"/>
    <w:rsid w:val="008073B6"/>
    <w:rsid w:val="00807789"/>
    <w:rsid w:val="00807A52"/>
    <w:rsid w:val="008100B7"/>
    <w:rsid w:val="008101C1"/>
    <w:rsid w:val="00811046"/>
    <w:rsid w:val="0081116A"/>
    <w:rsid w:val="0081150B"/>
    <w:rsid w:val="00811630"/>
    <w:rsid w:val="0081180A"/>
    <w:rsid w:val="00811A23"/>
    <w:rsid w:val="008122F5"/>
    <w:rsid w:val="0081235F"/>
    <w:rsid w:val="00812494"/>
    <w:rsid w:val="0081252C"/>
    <w:rsid w:val="00812B27"/>
    <w:rsid w:val="00812D0E"/>
    <w:rsid w:val="00813308"/>
    <w:rsid w:val="00813A29"/>
    <w:rsid w:val="00813A71"/>
    <w:rsid w:val="00813A9C"/>
    <w:rsid w:val="00813BE6"/>
    <w:rsid w:val="00813C49"/>
    <w:rsid w:val="00813C94"/>
    <w:rsid w:val="00813EAD"/>
    <w:rsid w:val="0081419C"/>
    <w:rsid w:val="00814765"/>
    <w:rsid w:val="008147B2"/>
    <w:rsid w:val="0081486C"/>
    <w:rsid w:val="0081526A"/>
    <w:rsid w:val="0081599E"/>
    <w:rsid w:val="00815B93"/>
    <w:rsid w:val="00815DB5"/>
    <w:rsid w:val="00815F36"/>
    <w:rsid w:val="00816170"/>
    <w:rsid w:val="0081626E"/>
    <w:rsid w:val="0081706C"/>
    <w:rsid w:val="008202D7"/>
    <w:rsid w:val="0082033C"/>
    <w:rsid w:val="00820483"/>
    <w:rsid w:val="008208D1"/>
    <w:rsid w:val="0082161F"/>
    <w:rsid w:val="00821A1E"/>
    <w:rsid w:val="00821B7F"/>
    <w:rsid w:val="00821C12"/>
    <w:rsid w:val="00821EE2"/>
    <w:rsid w:val="008222F0"/>
    <w:rsid w:val="00822BC2"/>
    <w:rsid w:val="00822BF2"/>
    <w:rsid w:val="00822D88"/>
    <w:rsid w:val="00822E08"/>
    <w:rsid w:val="00822F65"/>
    <w:rsid w:val="00822F97"/>
    <w:rsid w:val="008235FD"/>
    <w:rsid w:val="00823986"/>
    <w:rsid w:val="008246ED"/>
    <w:rsid w:val="00824CB3"/>
    <w:rsid w:val="008252C5"/>
    <w:rsid w:val="00825310"/>
    <w:rsid w:val="0082556E"/>
    <w:rsid w:val="0082587A"/>
    <w:rsid w:val="00825BBE"/>
    <w:rsid w:val="008269C3"/>
    <w:rsid w:val="00826C04"/>
    <w:rsid w:val="00827109"/>
    <w:rsid w:val="0082737B"/>
    <w:rsid w:val="00827603"/>
    <w:rsid w:val="008276CC"/>
    <w:rsid w:val="008276F1"/>
    <w:rsid w:val="00827C55"/>
    <w:rsid w:val="00827E7C"/>
    <w:rsid w:val="00830100"/>
    <w:rsid w:val="00830767"/>
    <w:rsid w:val="00830C1C"/>
    <w:rsid w:val="00830F5E"/>
    <w:rsid w:val="008316CA"/>
    <w:rsid w:val="00831B12"/>
    <w:rsid w:val="00832055"/>
    <w:rsid w:val="008323F3"/>
    <w:rsid w:val="00832662"/>
    <w:rsid w:val="0083269B"/>
    <w:rsid w:val="00832A7D"/>
    <w:rsid w:val="00833192"/>
    <w:rsid w:val="008335ED"/>
    <w:rsid w:val="008338B5"/>
    <w:rsid w:val="00834274"/>
    <w:rsid w:val="00834BA9"/>
    <w:rsid w:val="008352D1"/>
    <w:rsid w:val="00835421"/>
    <w:rsid w:val="0083557E"/>
    <w:rsid w:val="008356A4"/>
    <w:rsid w:val="00835E67"/>
    <w:rsid w:val="008364B9"/>
    <w:rsid w:val="00836907"/>
    <w:rsid w:val="00836D6A"/>
    <w:rsid w:val="008370F4"/>
    <w:rsid w:val="00837220"/>
    <w:rsid w:val="00837688"/>
    <w:rsid w:val="008376A4"/>
    <w:rsid w:val="008377B9"/>
    <w:rsid w:val="0084056F"/>
    <w:rsid w:val="00840937"/>
    <w:rsid w:val="00841334"/>
    <w:rsid w:val="00841940"/>
    <w:rsid w:val="008423E0"/>
    <w:rsid w:val="0084248E"/>
    <w:rsid w:val="00842594"/>
    <w:rsid w:val="0084340D"/>
    <w:rsid w:val="00843548"/>
    <w:rsid w:val="00843B09"/>
    <w:rsid w:val="00843F97"/>
    <w:rsid w:val="00844025"/>
    <w:rsid w:val="008445DE"/>
    <w:rsid w:val="00844A98"/>
    <w:rsid w:val="00844E73"/>
    <w:rsid w:val="008450B0"/>
    <w:rsid w:val="0084525B"/>
    <w:rsid w:val="00846047"/>
    <w:rsid w:val="00846966"/>
    <w:rsid w:val="00846B64"/>
    <w:rsid w:val="008472B2"/>
    <w:rsid w:val="0084737D"/>
    <w:rsid w:val="00847882"/>
    <w:rsid w:val="008479D0"/>
    <w:rsid w:val="00850C7B"/>
    <w:rsid w:val="00850DA8"/>
    <w:rsid w:val="0085100E"/>
    <w:rsid w:val="008515D1"/>
    <w:rsid w:val="00851690"/>
    <w:rsid w:val="008526B7"/>
    <w:rsid w:val="00852712"/>
    <w:rsid w:val="008527EF"/>
    <w:rsid w:val="008529F2"/>
    <w:rsid w:val="00852B59"/>
    <w:rsid w:val="00852EDE"/>
    <w:rsid w:val="008530E1"/>
    <w:rsid w:val="00853DE6"/>
    <w:rsid w:val="00853E14"/>
    <w:rsid w:val="0085438D"/>
    <w:rsid w:val="00854DFB"/>
    <w:rsid w:val="00854EA7"/>
    <w:rsid w:val="00854FB7"/>
    <w:rsid w:val="00855606"/>
    <w:rsid w:val="00855775"/>
    <w:rsid w:val="00855924"/>
    <w:rsid w:val="00855E62"/>
    <w:rsid w:val="00855EE5"/>
    <w:rsid w:val="0085620A"/>
    <w:rsid w:val="00856435"/>
    <w:rsid w:val="008572E0"/>
    <w:rsid w:val="00857B3C"/>
    <w:rsid w:val="00857FEE"/>
    <w:rsid w:val="0086017B"/>
    <w:rsid w:val="00860C7A"/>
    <w:rsid w:val="008612B6"/>
    <w:rsid w:val="008619D1"/>
    <w:rsid w:val="00861BAF"/>
    <w:rsid w:val="00861C0E"/>
    <w:rsid w:val="00861CE3"/>
    <w:rsid w:val="0086327A"/>
    <w:rsid w:val="008632A3"/>
    <w:rsid w:val="008634BB"/>
    <w:rsid w:val="008639E0"/>
    <w:rsid w:val="00863B0E"/>
    <w:rsid w:val="00864078"/>
    <w:rsid w:val="00864220"/>
    <w:rsid w:val="00864408"/>
    <w:rsid w:val="00865256"/>
    <w:rsid w:val="00865701"/>
    <w:rsid w:val="008657E3"/>
    <w:rsid w:val="00865AD0"/>
    <w:rsid w:val="00865B75"/>
    <w:rsid w:val="00865C38"/>
    <w:rsid w:val="008665C3"/>
    <w:rsid w:val="008668A7"/>
    <w:rsid w:val="00866AA0"/>
    <w:rsid w:val="00867DBA"/>
    <w:rsid w:val="00870654"/>
    <w:rsid w:val="008709C3"/>
    <w:rsid w:val="008709DB"/>
    <w:rsid w:val="00870EE9"/>
    <w:rsid w:val="00871323"/>
    <w:rsid w:val="00871A77"/>
    <w:rsid w:val="00871B72"/>
    <w:rsid w:val="00871D86"/>
    <w:rsid w:val="008735DA"/>
    <w:rsid w:val="00873846"/>
    <w:rsid w:val="008738DF"/>
    <w:rsid w:val="00874205"/>
    <w:rsid w:val="008745FB"/>
    <w:rsid w:val="00874A03"/>
    <w:rsid w:val="0087541C"/>
    <w:rsid w:val="00875488"/>
    <w:rsid w:val="00875FEA"/>
    <w:rsid w:val="008762CA"/>
    <w:rsid w:val="00876B32"/>
    <w:rsid w:val="00877805"/>
    <w:rsid w:val="00877D0E"/>
    <w:rsid w:val="00877D77"/>
    <w:rsid w:val="00880406"/>
    <w:rsid w:val="00880450"/>
    <w:rsid w:val="008805E8"/>
    <w:rsid w:val="00880B12"/>
    <w:rsid w:val="008810DD"/>
    <w:rsid w:val="00881BF3"/>
    <w:rsid w:val="00881DB4"/>
    <w:rsid w:val="00881DF8"/>
    <w:rsid w:val="008822D4"/>
    <w:rsid w:val="008823F6"/>
    <w:rsid w:val="00882A12"/>
    <w:rsid w:val="00882AF3"/>
    <w:rsid w:val="00882F65"/>
    <w:rsid w:val="0088323C"/>
    <w:rsid w:val="0088338D"/>
    <w:rsid w:val="008835C8"/>
    <w:rsid w:val="0088370F"/>
    <w:rsid w:val="00883C8C"/>
    <w:rsid w:val="008843C2"/>
    <w:rsid w:val="00884727"/>
    <w:rsid w:val="00884BD5"/>
    <w:rsid w:val="00884FF9"/>
    <w:rsid w:val="008851EF"/>
    <w:rsid w:val="008858D3"/>
    <w:rsid w:val="00885B2F"/>
    <w:rsid w:val="00885BF2"/>
    <w:rsid w:val="00885D0F"/>
    <w:rsid w:val="0088675A"/>
    <w:rsid w:val="00886E45"/>
    <w:rsid w:val="00886E6C"/>
    <w:rsid w:val="00886E83"/>
    <w:rsid w:val="00886EAF"/>
    <w:rsid w:val="00887310"/>
    <w:rsid w:val="00887A2F"/>
    <w:rsid w:val="00887A3E"/>
    <w:rsid w:val="00887DBC"/>
    <w:rsid w:val="00890CA0"/>
    <w:rsid w:val="00890F35"/>
    <w:rsid w:val="00891203"/>
    <w:rsid w:val="0089187B"/>
    <w:rsid w:val="00891B6E"/>
    <w:rsid w:val="0089241C"/>
    <w:rsid w:val="00892896"/>
    <w:rsid w:val="00892BAC"/>
    <w:rsid w:val="00892F93"/>
    <w:rsid w:val="008930C0"/>
    <w:rsid w:val="00893501"/>
    <w:rsid w:val="008938C7"/>
    <w:rsid w:val="00893C17"/>
    <w:rsid w:val="00893F41"/>
    <w:rsid w:val="008941F4"/>
    <w:rsid w:val="0089458B"/>
    <w:rsid w:val="0089464D"/>
    <w:rsid w:val="00894B56"/>
    <w:rsid w:val="00894B6C"/>
    <w:rsid w:val="00895721"/>
    <w:rsid w:val="008958F2"/>
    <w:rsid w:val="00895C5D"/>
    <w:rsid w:val="008961B4"/>
    <w:rsid w:val="0089658F"/>
    <w:rsid w:val="008966B0"/>
    <w:rsid w:val="0089688F"/>
    <w:rsid w:val="00896A49"/>
    <w:rsid w:val="008976EE"/>
    <w:rsid w:val="008977E8"/>
    <w:rsid w:val="00897C92"/>
    <w:rsid w:val="00897D28"/>
    <w:rsid w:val="008A0050"/>
    <w:rsid w:val="008A00F2"/>
    <w:rsid w:val="008A0261"/>
    <w:rsid w:val="008A0793"/>
    <w:rsid w:val="008A13F3"/>
    <w:rsid w:val="008A17A0"/>
    <w:rsid w:val="008A202C"/>
    <w:rsid w:val="008A2ED0"/>
    <w:rsid w:val="008A30DE"/>
    <w:rsid w:val="008A4A2A"/>
    <w:rsid w:val="008A53F7"/>
    <w:rsid w:val="008A55DB"/>
    <w:rsid w:val="008A5CD2"/>
    <w:rsid w:val="008A6D81"/>
    <w:rsid w:val="008A6DD2"/>
    <w:rsid w:val="008A6E1B"/>
    <w:rsid w:val="008A7820"/>
    <w:rsid w:val="008A788B"/>
    <w:rsid w:val="008B123E"/>
    <w:rsid w:val="008B1465"/>
    <w:rsid w:val="008B1969"/>
    <w:rsid w:val="008B1AC9"/>
    <w:rsid w:val="008B2081"/>
    <w:rsid w:val="008B263D"/>
    <w:rsid w:val="008B2A3F"/>
    <w:rsid w:val="008B2E8F"/>
    <w:rsid w:val="008B2F9A"/>
    <w:rsid w:val="008B2FCE"/>
    <w:rsid w:val="008B333C"/>
    <w:rsid w:val="008B354D"/>
    <w:rsid w:val="008B3585"/>
    <w:rsid w:val="008B3C33"/>
    <w:rsid w:val="008B43BD"/>
    <w:rsid w:val="008B4906"/>
    <w:rsid w:val="008B4D97"/>
    <w:rsid w:val="008B5105"/>
    <w:rsid w:val="008B5A89"/>
    <w:rsid w:val="008B694C"/>
    <w:rsid w:val="008B6C50"/>
    <w:rsid w:val="008B7424"/>
    <w:rsid w:val="008B7AB3"/>
    <w:rsid w:val="008B7FFD"/>
    <w:rsid w:val="008C02FE"/>
    <w:rsid w:val="008C037D"/>
    <w:rsid w:val="008C06DA"/>
    <w:rsid w:val="008C07BA"/>
    <w:rsid w:val="008C0A9E"/>
    <w:rsid w:val="008C10B9"/>
    <w:rsid w:val="008C1248"/>
    <w:rsid w:val="008C17F8"/>
    <w:rsid w:val="008C1EAB"/>
    <w:rsid w:val="008C2921"/>
    <w:rsid w:val="008C2B67"/>
    <w:rsid w:val="008C2D0B"/>
    <w:rsid w:val="008C30C1"/>
    <w:rsid w:val="008C3F60"/>
    <w:rsid w:val="008C439C"/>
    <w:rsid w:val="008C4997"/>
    <w:rsid w:val="008C557E"/>
    <w:rsid w:val="008C5FE7"/>
    <w:rsid w:val="008C6034"/>
    <w:rsid w:val="008C61AE"/>
    <w:rsid w:val="008C61DF"/>
    <w:rsid w:val="008C65F2"/>
    <w:rsid w:val="008C6834"/>
    <w:rsid w:val="008C6973"/>
    <w:rsid w:val="008C69DE"/>
    <w:rsid w:val="008C6AED"/>
    <w:rsid w:val="008C755E"/>
    <w:rsid w:val="008C7DEF"/>
    <w:rsid w:val="008C7DFB"/>
    <w:rsid w:val="008D0502"/>
    <w:rsid w:val="008D0A55"/>
    <w:rsid w:val="008D0C77"/>
    <w:rsid w:val="008D10C5"/>
    <w:rsid w:val="008D11B5"/>
    <w:rsid w:val="008D198E"/>
    <w:rsid w:val="008D19FB"/>
    <w:rsid w:val="008D1D38"/>
    <w:rsid w:val="008D2774"/>
    <w:rsid w:val="008D2DC3"/>
    <w:rsid w:val="008D2E29"/>
    <w:rsid w:val="008D2F0D"/>
    <w:rsid w:val="008D3F58"/>
    <w:rsid w:val="008D5051"/>
    <w:rsid w:val="008D5261"/>
    <w:rsid w:val="008D544C"/>
    <w:rsid w:val="008D5548"/>
    <w:rsid w:val="008D629D"/>
    <w:rsid w:val="008D6446"/>
    <w:rsid w:val="008D6852"/>
    <w:rsid w:val="008D6955"/>
    <w:rsid w:val="008D741D"/>
    <w:rsid w:val="008D7791"/>
    <w:rsid w:val="008E04B9"/>
    <w:rsid w:val="008E0835"/>
    <w:rsid w:val="008E162E"/>
    <w:rsid w:val="008E1737"/>
    <w:rsid w:val="008E1DFD"/>
    <w:rsid w:val="008E2565"/>
    <w:rsid w:val="008E360E"/>
    <w:rsid w:val="008E3CA9"/>
    <w:rsid w:val="008E3F9C"/>
    <w:rsid w:val="008E4A4E"/>
    <w:rsid w:val="008E52A9"/>
    <w:rsid w:val="008E5577"/>
    <w:rsid w:val="008E562C"/>
    <w:rsid w:val="008E66E7"/>
    <w:rsid w:val="008E6C32"/>
    <w:rsid w:val="008E6DF3"/>
    <w:rsid w:val="008E7562"/>
    <w:rsid w:val="008E7BA0"/>
    <w:rsid w:val="008F0A7F"/>
    <w:rsid w:val="008F1216"/>
    <w:rsid w:val="008F13AF"/>
    <w:rsid w:val="008F14C8"/>
    <w:rsid w:val="008F1B1F"/>
    <w:rsid w:val="008F247B"/>
    <w:rsid w:val="008F2EE4"/>
    <w:rsid w:val="008F3545"/>
    <w:rsid w:val="008F3546"/>
    <w:rsid w:val="008F365D"/>
    <w:rsid w:val="008F3C06"/>
    <w:rsid w:val="008F3D2E"/>
    <w:rsid w:val="008F3FA4"/>
    <w:rsid w:val="008F4C6E"/>
    <w:rsid w:val="008F4D3F"/>
    <w:rsid w:val="008F4E5D"/>
    <w:rsid w:val="008F4E8F"/>
    <w:rsid w:val="008F506F"/>
    <w:rsid w:val="008F6868"/>
    <w:rsid w:val="008F6A02"/>
    <w:rsid w:val="008F6C51"/>
    <w:rsid w:val="00900BD4"/>
    <w:rsid w:val="00900E23"/>
    <w:rsid w:val="00900E5E"/>
    <w:rsid w:val="009011B2"/>
    <w:rsid w:val="009013A4"/>
    <w:rsid w:val="009014F2"/>
    <w:rsid w:val="00901DB8"/>
    <w:rsid w:val="00901E7E"/>
    <w:rsid w:val="00901E81"/>
    <w:rsid w:val="009024DC"/>
    <w:rsid w:val="00902796"/>
    <w:rsid w:val="00902A62"/>
    <w:rsid w:val="00903302"/>
    <w:rsid w:val="0090343C"/>
    <w:rsid w:val="009034DB"/>
    <w:rsid w:val="009034DC"/>
    <w:rsid w:val="00903913"/>
    <w:rsid w:val="00903B2D"/>
    <w:rsid w:val="00905274"/>
    <w:rsid w:val="009052B4"/>
    <w:rsid w:val="009056EB"/>
    <w:rsid w:val="0090585E"/>
    <w:rsid w:val="0090626E"/>
    <w:rsid w:val="009074A9"/>
    <w:rsid w:val="009078F2"/>
    <w:rsid w:val="00907EF6"/>
    <w:rsid w:val="00907F93"/>
    <w:rsid w:val="009101A7"/>
    <w:rsid w:val="00910894"/>
    <w:rsid w:val="009114D2"/>
    <w:rsid w:val="0091157D"/>
    <w:rsid w:val="00911FD6"/>
    <w:rsid w:val="00911FEC"/>
    <w:rsid w:val="009120EE"/>
    <w:rsid w:val="009127EA"/>
    <w:rsid w:val="00912904"/>
    <w:rsid w:val="009130DB"/>
    <w:rsid w:val="00913118"/>
    <w:rsid w:val="00913F21"/>
    <w:rsid w:val="00914156"/>
    <w:rsid w:val="00914DC4"/>
    <w:rsid w:val="00914E7D"/>
    <w:rsid w:val="00914EA1"/>
    <w:rsid w:val="009152D8"/>
    <w:rsid w:val="00915600"/>
    <w:rsid w:val="009157DF"/>
    <w:rsid w:val="009157FE"/>
    <w:rsid w:val="00915937"/>
    <w:rsid w:val="00916B1E"/>
    <w:rsid w:val="00916B2C"/>
    <w:rsid w:val="009171FE"/>
    <w:rsid w:val="009173EA"/>
    <w:rsid w:val="00917537"/>
    <w:rsid w:val="009177E2"/>
    <w:rsid w:val="009200DE"/>
    <w:rsid w:val="00920298"/>
    <w:rsid w:val="00920AD2"/>
    <w:rsid w:val="00920FAD"/>
    <w:rsid w:val="009214AB"/>
    <w:rsid w:val="009215A6"/>
    <w:rsid w:val="00921EE1"/>
    <w:rsid w:val="00922701"/>
    <w:rsid w:val="00922B71"/>
    <w:rsid w:val="00922FC5"/>
    <w:rsid w:val="00923894"/>
    <w:rsid w:val="00923CBF"/>
    <w:rsid w:val="0092449F"/>
    <w:rsid w:val="009245BB"/>
    <w:rsid w:val="0092476A"/>
    <w:rsid w:val="009249F8"/>
    <w:rsid w:val="009254E5"/>
    <w:rsid w:val="009255F7"/>
    <w:rsid w:val="009256E4"/>
    <w:rsid w:val="009258BB"/>
    <w:rsid w:val="00925AED"/>
    <w:rsid w:val="00926480"/>
    <w:rsid w:val="00926859"/>
    <w:rsid w:val="009268D3"/>
    <w:rsid w:val="0092731B"/>
    <w:rsid w:val="0092738D"/>
    <w:rsid w:val="009301A9"/>
    <w:rsid w:val="0093032A"/>
    <w:rsid w:val="009304F0"/>
    <w:rsid w:val="00930644"/>
    <w:rsid w:val="009312B7"/>
    <w:rsid w:val="00932844"/>
    <w:rsid w:val="00932881"/>
    <w:rsid w:val="009329B4"/>
    <w:rsid w:val="00932C2C"/>
    <w:rsid w:val="00933351"/>
    <w:rsid w:val="009336B6"/>
    <w:rsid w:val="0093378E"/>
    <w:rsid w:val="00934F5E"/>
    <w:rsid w:val="00934FA9"/>
    <w:rsid w:val="00935509"/>
    <w:rsid w:val="00935A00"/>
    <w:rsid w:val="00935AB4"/>
    <w:rsid w:val="00936D29"/>
    <w:rsid w:val="00937549"/>
    <w:rsid w:val="0093790C"/>
    <w:rsid w:val="00937A47"/>
    <w:rsid w:val="00937D0F"/>
    <w:rsid w:val="00937D29"/>
    <w:rsid w:val="00940002"/>
    <w:rsid w:val="009401F2"/>
    <w:rsid w:val="00940209"/>
    <w:rsid w:val="00940602"/>
    <w:rsid w:val="009408D2"/>
    <w:rsid w:val="00941097"/>
    <w:rsid w:val="0094147D"/>
    <w:rsid w:val="00941EE8"/>
    <w:rsid w:val="009420D4"/>
    <w:rsid w:val="00942255"/>
    <w:rsid w:val="009428FD"/>
    <w:rsid w:val="00942945"/>
    <w:rsid w:val="0094295C"/>
    <w:rsid w:val="00943664"/>
    <w:rsid w:val="009448A6"/>
    <w:rsid w:val="009448AF"/>
    <w:rsid w:val="009449AB"/>
    <w:rsid w:val="00944CBA"/>
    <w:rsid w:val="0094515D"/>
    <w:rsid w:val="0094566D"/>
    <w:rsid w:val="00945FC4"/>
    <w:rsid w:val="009464EC"/>
    <w:rsid w:val="00946908"/>
    <w:rsid w:val="00946A65"/>
    <w:rsid w:val="00946E34"/>
    <w:rsid w:val="009471A7"/>
    <w:rsid w:val="009473F9"/>
    <w:rsid w:val="009474F2"/>
    <w:rsid w:val="00947814"/>
    <w:rsid w:val="009478A1"/>
    <w:rsid w:val="00947C1B"/>
    <w:rsid w:val="00947FBF"/>
    <w:rsid w:val="00950EF3"/>
    <w:rsid w:val="009510C7"/>
    <w:rsid w:val="009512AE"/>
    <w:rsid w:val="00951342"/>
    <w:rsid w:val="00951581"/>
    <w:rsid w:val="00951C3D"/>
    <w:rsid w:val="00951E27"/>
    <w:rsid w:val="00951EDD"/>
    <w:rsid w:val="009523E6"/>
    <w:rsid w:val="009525E9"/>
    <w:rsid w:val="009534F6"/>
    <w:rsid w:val="00953545"/>
    <w:rsid w:val="009536C8"/>
    <w:rsid w:val="0095385E"/>
    <w:rsid w:val="009538CB"/>
    <w:rsid w:val="009539A3"/>
    <w:rsid w:val="0095484E"/>
    <w:rsid w:val="009548E7"/>
    <w:rsid w:val="00954B03"/>
    <w:rsid w:val="00954B2C"/>
    <w:rsid w:val="0095527A"/>
    <w:rsid w:val="00955554"/>
    <w:rsid w:val="009561FB"/>
    <w:rsid w:val="009563D6"/>
    <w:rsid w:val="009571F5"/>
    <w:rsid w:val="00957628"/>
    <w:rsid w:val="0096009C"/>
    <w:rsid w:val="00960C48"/>
    <w:rsid w:val="00961009"/>
    <w:rsid w:val="0096110F"/>
    <w:rsid w:val="00961230"/>
    <w:rsid w:val="00961817"/>
    <w:rsid w:val="00961D8A"/>
    <w:rsid w:val="00961E64"/>
    <w:rsid w:val="00962340"/>
    <w:rsid w:val="00962576"/>
    <w:rsid w:val="00962935"/>
    <w:rsid w:val="009629D7"/>
    <w:rsid w:val="00962B5B"/>
    <w:rsid w:val="00963468"/>
    <w:rsid w:val="00963F28"/>
    <w:rsid w:val="0096481F"/>
    <w:rsid w:val="00964C43"/>
    <w:rsid w:val="00964CDC"/>
    <w:rsid w:val="009654B9"/>
    <w:rsid w:val="00965802"/>
    <w:rsid w:val="009658AA"/>
    <w:rsid w:val="00965DE2"/>
    <w:rsid w:val="009668F3"/>
    <w:rsid w:val="00966E1D"/>
    <w:rsid w:val="00966EFA"/>
    <w:rsid w:val="00967060"/>
    <w:rsid w:val="00967B5D"/>
    <w:rsid w:val="00967B9A"/>
    <w:rsid w:val="00970404"/>
    <w:rsid w:val="00970683"/>
    <w:rsid w:val="009709BC"/>
    <w:rsid w:val="00971500"/>
    <w:rsid w:val="0097211D"/>
    <w:rsid w:val="00972174"/>
    <w:rsid w:val="00972614"/>
    <w:rsid w:val="00972A2A"/>
    <w:rsid w:val="00972D92"/>
    <w:rsid w:val="009730C0"/>
    <w:rsid w:val="009730E9"/>
    <w:rsid w:val="00973947"/>
    <w:rsid w:val="009740BD"/>
    <w:rsid w:val="00974A72"/>
    <w:rsid w:val="00974B63"/>
    <w:rsid w:val="00974CA3"/>
    <w:rsid w:val="009758E2"/>
    <w:rsid w:val="009759A4"/>
    <w:rsid w:val="00975ADA"/>
    <w:rsid w:val="00976918"/>
    <w:rsid w:val="009779D5"/>
    <w:rsid w:val="00977A82"/>
    <w:rsid w:val="00977B3C"/>
    <w:rsid w:val="00980020"/>
    <w:rsid w:val="009802BC"/>
    <w:rsid w:val="00980CCD"/>
    <w:rsid w:val="00980CE2"/>
    <w:rsid w:val="00980D51"/>
    <w:rsid w:val="00981107"/>
    <w:rsid w:val="0098151C"/>
    <w:rsid w:val="009818D0"/>
    <w:rsid w:val="00981E95"/>
    <w:rsid w:val="00982620"/>
    <w:rsid w:val="00982942"/>
    <w:rsid w:val="00982CE0"/>
    <w:rsid w:val="00982ED7"/>
    <w:rsid w:val="0098315D"/>
    <w:rsid w:val="00983DFE"/>
    <w:rsid w:val="00983E46"/>
    <w:rsid w:val="00983F9F"/>
    <w:rsid w:val="009841EA"/>
    <w:rsid w:val="00984524"/>
    <w:rsid w:val="00984568"/>
    <w:rsid w:val="009847DB"/>
    <w:rsid w:val="00984DE6"/>
    <w:rsid w:val="009856B6"/>
    <w:rsid w:val="00985848"/>
    <w:rsid w:val="00985D57"/>
    <w:rsid w:val="00985E72"/>
    <w:rsid w:val="00986367"/>
    <w:rsid w:val="009867D7"/>
    <w:rsid w:val="00986960"/>
    <w:rsid w:val="00987C49"/>
    <w:rsid w:val="00990247"/>
    <w:rsid w:val="00990768"/>
    <w:rsid w:val="00990A44"/>
    <w:rsid w:val="00990D0B"/>
    <w:rsid w:val="00990DC4"/>
    <w:rsid w:val="00991082"/>
    <w:rsid w:val="0099157E"/>
    <w:rsid w:val="00991E4A"/>
    <w:rsid w:val="0099251D"/>
    <w:rsid w:val="0099275C"/>
    <w:rsid w:val="00992821"/>
    <w:rsid w:val="00992DCF"/>
    <w:rsid w:val="009930C9"/>
    <w:rsid w:val="00993798"/>
    <w:rsid w:val="00993C66"/>
    <w:rsid w:val="00993D3A"/>
    <w:rsid w:val="00993F59"/>
    <w:rsid w:val="0099406B"/>
    <w:rsid w:val="009949D4"/>
    <w:rsid w:val="00994BBC"/>
    <w:rsid w:val="00994C2F"/>
    <w:rsid w:val="00994EDA"/>
    <w:rsid w:val="0099547A"/>
    <w:rsid w:val="00995735"/>
    <w:rsid w:val="00995736"/>
    <w:rsid w:val="00995CE3"/>
    <w:rsid w:val="00995FA9"/>
    <w:rsid w:val="00996B06"/>
    <w:rsid w:val="00997398"/>
    <w:rsid w:val="009974D5"/>
    <w:rsid w:val="0099755F"/>
    <w:rsid w:val="00997835"/>
    <w:rsid w:val="00997C2F"/>
    <w:rsid w:val="009A00BC"/>
    <w:rsid w:val="009A044F"/>
    <w:rsid w:val="009A04C4"/>
    <w:rsid w:val="009A0698"/>
    <w:rsid w:val="009A06BE"/>
    <w:rsid w:val="009A0801"/>
    <w:rsid w:val="009A1546"/>
    <w:rsid w:val="009A1975"/>
    <w:rsid w:val="009A2118"/>
    <w:rsid w:val="009A21FD"/>
    <w:rsid w:val="009A24E7"/>
    <w:rsid w:val="009A2700"/>
    <w:rsid w:val="009A2723"/>
    <w:rsid w:val="009A2C4A"/>
    <w:rsid w:val="009A323C"/>
    <w:rsid w:val="009A3B58"/>
    <w:rsid w:val="009A4398"/>
    <w:rsid w:val="009A4DC4"/>
    <w:rsid w:val="009A4F98"/>
    <w:rsid w:val="009A5775"/>
    <w:rsid w:val="009A65A4"/>
    <w:rsid w:val="009A76BB"/>
    <w:rsid w:val="009A79B4"/>
    <w:rsid w:val="009A7C70"/>
    <w:rsid w:val="009A7E84"/>
    <w:rsid w:val="009B0F22"/>
    <w:rsid w:val="009B11CF"/>
    <w:rsid w:val="009B11DE"/>
    <w:rsid w:val="009B1D15"/>
    <w:rsid w:val="009B23FC"/>
    <w:rsid w:val="009B283B"/>
    <w:rsid w:val="009B2CDA"/>
    <w:rsid w:val="009B300C"/>
    <w:rsid w:val="009B31A7"/>
    <w:rsid w:val="009B31C8"/>
    <w:rsid w:val="009B359A"/>
    <w:rsid w:val="009B422E"/>
    <w:rsid w:val="009B42B2"/>
    <w:rsid w:val="009B4811"/>
    <w:rsid w:val="009B518F"/>
    <w:rsid w:val="009B520F"/>
    <w:rsid w:val="009B5293"/>
    <w:rsid w:val="009B53C3"/>
    <w:rsid w:val="009B55A3"/>
    <w:rsid w:val="009B5845"/>
    <w:rsid w:val="009B6009"/>
    <w:rsid w:val="009B65F0"/>
    <w:rsid w:val="009B666A"/>
    <w:rsid w:val="009B7752"/>
    <w:rsid w:val="009B7B0D"/>
    <w:rsid w:val="009B7F51"/>
    <w:rsid w:val="009C012A"/>
    <w:rsid w:val="009C08B6"/>
    <w:rsid w:val="009C0BDC"/>
    <w:rsid w:val="009C128F"/>
    <w:rsid w:val="009C175B"/>
    <w:rsid w:val="009C2598"/>
    <w:rsid w:val="009C28A2"/>
    <w:rsid w:val="009C28AB"/>
    <w:rsid w:val="009C2BD6"/>
    <w:rsid w:val="009C3254"/>
    <w:rsid w:val="009C339C"/>
    <w:rsid w:val="009C381D"/>
    <w:rsid w:val="009C3DDE"/>
    <w:rsid w:val="009C3F11"/>
    <w:rsid w:val="009C4221"/>
    <w:rsid w:val="009C447C"/>
    <w:rsid w:val="009C48AC"/>
    <w:rsid w:val="009C52B4"/>
    <w:rsid w:val="009C64E3"/>
    <w:rsid w:val="009C6506"/>
    <w:rsid w:val="009C652B"/>
    <w:rsid w:val="009C67C2"/>
    <w:rsid w:val="009C75C4"/>
    <w:rsid w:val="009C7C12"/>
    <w:rsid w:val="009C7D74"/>
    <w:rsid w:val="009D0025"/>
    <w:rsid w:val="009D01BC"/>
    <w:rsid w:val="009D0267"/>
    <w:rsid w:val="009D0527"/>
    <w:rsid w:val="009D0832"/>
    <w:rsid w:val="009D0DF7"/>
    <w:rsid w:val="009D1194"/>
    <w:rsid w:val="009D13C2"/>
    <w:rsid w:val="009D2150"/>
    <w:rsid w:val="009D227B"/>
    <w:rsid w:val="009D28FA"/>
    <w:rsid w:val="009D307F"/>
    <w:rsid w:val="009D3812"/>
    <w:rsid w:val="009D3853"/>
    <w:rsid w:val="009D39A8"/>
    <w:rsid w:val="009D4614"/>
    <w:rsid w:val="009D4854"/>
    <w:rsid w:val="009D4DCA"/>
    <w:rsid w:val="009D56C0"/>
    <w:rsid w:val="009D56F3"/>
    <w:rsid w:val="009D5937"/>
    <w:rsid w:val="009D62D7"/>
    <w:rsid w:val="009D62DD"/>
    <w:rsid w:val="009D6545"/>
    <w:rsid w:val="009D65BB"/>
    <w:rsid w:val="009D68B8"/>
    <w:rsid w:val="009D6C45"/>
    <w:rsid w:val="009D73D2"/>
    <w:rsid w:val="009D7C15"/>
    <w:rsid w:val="009D7D21"/>
    <w:rsid w:val="009D7E3F"/>
    <w:rsid w:val="009E052F"/>
    <w:rsid w:val="009E21D2"/>
    <w:rsid w:val="009E274F"/>
    <w:rsid w:val="009E2A01"/>
    <w:rsid w:val="009E2E76"/>
    <w:rsid w:val="009E4142"/>
    <w:rsid w:val="009E421E"/>
    <w:rsid w:val="009E434E"/>
    <w:rsid w:val="009E43E3"/>
    <w:rsid w:val="009E462D"/>
    <w:rsid w:val="009E4BF5"/>
    <w:rsid w:val="009E5CA5"/>
    <w:rsid w:val="009E6C20"/>
    <w:rsid w:val="009E7008"/>
    <w:rsid w:val="009E719B"/>
    <w:rsid w:val="009E78EB"/>
    <w:rsid w:val="009E79DD"/>
    <w:rsid w:val="009F03E3"/>
    <w:rsid w:val="009F0CDD"/>
    <w:rsid w:val="009F0D87"/>
    <w:rsid w:val="009F10DB"/>
    <w:rsid w:val="009F1CE9"/>
    <w:rsid w:val="009F25E1"/>
    <w:rsid w:val="009F26A1"/>
    <w:rsid w:val="009F27DA"/>
    <w:rsid w:val="009F288C"/>
    <w:rsid w:val="009F2DBC"/>
    <w:rsid w:val="009F3017"/>
    <w:rsid w:val="009F303A"/>
    <w:rsid w:val="009F3236"/>
    <w:rsid w:val="009F332B"/>
    <w:rsid w:val="009F3643"/>
    <w:rsid w:val="009F3847"/>
    <w:rsid w:val="009F3CBA"/>
    <w:rsid w:val="009F3EF8"/>
    <w:rsid w:val="009F4B2F"/>
    <w:rsid w:val="009F4B9D"/>
    <w:rsid w:val="009F4CB6"/>
    <w:rsid w:val="009F4EC2"/>
    <w:rsid w:val="009F5075"/>
    <w:rsid w:val="009F5EA2"/>
    <w:rsid w:val="009F6411"/>
    <w:rsid w:val="009F641B"/>
    <w:rsid w:val="009F64CA"/>
    <w:rsid w:val="009F6538"/>
    <w:rsid w:val="009F6A92"/>
    <w:rsid w:val="009F76ED"/>
    <w:rsid w:val="009F794E"/>
    <w:rsid w:val="009F7E57"/>
    <w:rsid w:val="00A00560"/>
    <w:rsid w:val="00A00C60"/>
    <w:rsid w:val="00A01275"/>
    <w:rsid w:val="00A012A1"/>
    <w:rsid w:val="00A01A2F"/>
    <w:rsid w:val="00A01D3B"/>
    <w:rsid w:val="00A026BB"/>
    <w:rsid w:val="00A02743"/>
    <w:rsid w:val="00A0315E"/>
    <w:rsid w:val="00A032E0"/>
    <w:rsid w:val="00A03E2D"/>
    <w:rsid w:val="00A043F6"/>
    <w:rsid w:val="00A04481"/>
    <w:rsid w:val="00A048A5"/>
    <w:rsid w:val="00A04CBF"/>
    <w:rsid w:val="00A04F18"/>
    <w:rsid w:val="00A051B3"/>
    <w:rsid w:val="00A05262"/>
    <w:rsid w:val="00A05422"/>
    <w:rsid w:val="00A05573"/>
    <w:rsid w:val="00A05586"/>
    <w:rsid w:val="00A05E5C"/>
    <w:rsid w:val="00A06705"/>
    <w:rsid w:val="00A06E4D"/>
    <w:rsid w:val="00A07293"/>
    <w:rsid w:val="00A07A1D"/>
    <w:rsid w:val="00A100A5"/>
    <w:rsid w:val="00A10E68"/>
    <w:rsid w:val="00A113FF"/>
    <w:rsid w:val="00A117AF"/>
    <w:rsid w:val="00A1193E"/>
    <w:rsid w:val="00A11C3C"/>
    <w:rsid w:val="00A11D8D"/>
    <w:rsid w:val="00A11EE4"/>
    <w:rsid w:val="00A12279"/>
    <w:rsid w:val="00A1238B"/>
    <w:rsid w:val="00A12411"/>
    <w:rsid w:val="00A12AAA"/>
    <w:rsid w:val="00A1367E"/>
    <w:rsid w:val="00A14115"/>
    <w:rsid w:val="00A14822"/>
    <w:rsid w:val="00A14A9F"/>
    <w:rsid w:val="00A14EBA"/>
    <w:rsid w:val="00A14F28"/>
    <w:rsid w:val="00A15142"/>
    <w:rsid w:val="00A1595F"/>
    <w:rsid w:val="00A1672B"/>
    <w:rsid w:val="00A16A06"/>
    <w:rsid w:val="00A16C1A"/>
    <w:rsid w:val="00A16F48"/>
    <w:rsid w:val="00A1727C"/>
    <w:rsid w:val="00A17C90"/>
    <w:rsid w:val="00A20313"/>
    <w:rsid w:val="00A2050F"/>
    <w:rsid w:val="00A205B4"/>
    <w:rsid w:val="00A20981"/>
    <w:rsid w:val="00A20BE2"/>
    <w:rsid w:val="00A214C5"/>
    <w:rsid w:val="00A22808"/>
    <w:rsid w:val="00A22993"/>
    <w:rsid w:val="00A22A08"/>
    <w:rsid w:val="00A22F21"/>
    <w:rsid w:val="00A22FCF"/>
    <w:rsid w:val="00A23025"/>
    <w:rsid w:val="00A23A26"/>
    <w:rsid w:val="00A23A40"/>
    <w:rsid w:val="00A23B47"/>
    <w:rsid w:val="00A23D54"/>
    <w:rsid w:val="00A24DAC"/>
    <w:rsid w:val="00A25742"/>
    <w:rsid w:val="00A260A2"/>
    <w:rsid w:val="00A26207"/>
    <w:rsid w:val="00A26805"/>
    <w:rsid w:val="00A26A0F"/>
    <w:rsid w:val="00A26F13"/>
    <w:rsid w:val="00A302DB"/>
    <w:rsid w:val="00A30B91"/>
    <w:rsid w:val="00A30F1D"/>
    <w:rsid w:val="00A3110E"/>
    <w:rsid w:val="00A31E89"/>
    <w:rsid w:val="00A3230E"/>
    <w:rsid w:val="00A32728"/>
    <w:rsid w:val="00A32ECE"/>
    <w:rsid w:val="00A33036"/>
    <w:rsid w:val="00A33067"/>
    <w:rsid w:val="00A33209"/>
    <w:rsid w:val="00A33298"/>
    <w:rsid w:val="00A334A6"/>
    <w:rsid w:val="00A3572A"/>
    <w:rsid w:val="00A361F8"/>
    <w:rsid w:val="00A363D2"/>
    <w:rsid w:val="00A36B32"/>
    <w:rsid w:val="00A36FAD"/>
    <w:rsid w:val="00A371A7"/>
    <w:rsid w:val="00A402E0"/>
    <w:rsid w:val="00A40361"/>
    <w:rsid w:val="00A4040B"/>
    <w:rsid w:val="00A4082B"/>
    <w:rsid w:val="00A412EE"/>
    <w:rsid w:val="00A415E0"/>
    <w:rsid w:val="00A41914"/>
    <w:rsid w:val="00A41F93"/>
    <w:rsid w:val="00A420F0"/>
    <w:rsid w:val="00A421B4"/>
    <w:rsid w:val="00A421EC"/>
    <w:rsid w:val="00A42279"/>
    <w:rsid w:val="00A423B6"/>
    <w:rsid w:val="00A428C9"/>
    <w:rsid w:val="00A42C7F"/>
    <w:rsid w:val="00A42D83"/>
    <w:rsid w:val="00A437CE"/>
    <w:rsid w:val="00A43867"/>
    <w:rsid w:val="00A43B68"/>
    <w:rsid w:val="00A43E9A"/>
    <w:rsid w:val="00A43F09"/>
    <w:rsid w:val="00A44A58"/>
    <w:rsid w:val="00A44B27"/>
    <w:rsid w:val="00A44C60"/>
    <w:rsid w:val="00A44D80"/>
    <w:rsid w:val="00A44DC4"/>
    <w:rsid w:val="00A45091"/>
    <w:rsid w:val="00A45373"/>
    <w:rsid w:val="00A456E4"/>
    <w:rsid w:val="00A4582C"/>
    <w:rsid w:val="00A45885"/>
    <w:rsid w:val="00A45C36"/>
    <w:rsid w:val="00A4626A"/>
    <w:rsid w:val="00A467D2"/>
    <w:rsid w:val="00A46810"/>
    <w:rsid w:val="00A46CE7"/>
    <w:rsid w:val="00A46E7F"/>
    <w:rsid w:val="00A46F27"/>
    <w:rsid w:val="00A470D6"/>
    <w:rsid w:val="00A47122"/>
    <w:rsid w:val="00A471DB"/>
    <w:rsid w:val="00A47371"/>
    <w:rsid w:val="00A47616"/>
    <w:rsid w:val="00A47A92"/>
    <w:rsid w:val="00A50CE1"/>
    <w:rsid w:val="00A514AF"/>
    <w:rsid w:val="00A5152E"/>
    <w:rsid w:val="00A51797"/>
    <w:rsid w:val="00A51B90"/>
    <w:rsid w:val="00A51CDA"/>
    <w:rsid w:val="00A51E9F"/>
    <w:rsid w:val="00A528E0"/>
    <w:rsid w:val="00A52DB7"/>
    <w:rsid w:val="00A543B7"/>
    <w:rsid w:val="00A543D2"/>
    <w:rsid w:val="00A54431"/>
    <w:rsid w:val="00A54447"/>
    <w:rsid w:val="00A545FD"/>
    <w:rsid w:val="00A5475A"/>
    <w:rsid w:val="00A54E12"/>
    <w:rsid w:val="00A5504A"/>
    <w:rsid w:val="00A5519F"/>
    <w:rsid w:val="00A55489"/>
    <w:rsid w:val="00A559DB"/>
    <w:rsid w:val="00A55E09"/>
    <w:rsid w:val="00A5649E"/>
    <w:rsid w:val="00A56DB7"/>
    <w:rsid w:val="00A570C9"/>
    <w:rsid w:val="00A577F1"/>
    <w:rsid w:val="00A57AB0"/>
    <w:rsid w:val="00A600BB"/>
    <w:rsid w:val="00A607CD"/>
    <w:rsid w:val="00A60804"/>
    <w:rsid w:val="00A60A35"/>
    <w:rsid w:val="00A60ABD"/>
    <w:rsid w:val="00A60F46"/>
    <w:rsid w:val="00A611AB"/>
    <w:rsid w:val="00A618A0"/>
    <w:rsid w:val="00A61B88"/>
    <w:rsid w:val="00A61E7E"/>
    <w:rsid w:val="00A62075"/>
    <w:rsid w:val="00A622C3"/>
    <w:rsid w:val="00A626BD"/>
    <w:rsid w:val="00A631A8"/>
    <w:rsid w:val="00A63CD1"/>
    <w:rsid w:val="00A63EC5"/>
    <w:rsid w:val="00A6443F"/>
    <w:rsid w:val="00A648F3"/>
    <w:rsid w:val="00A657FE"/>
    <w:rsid w:val="00A65A58"/>
    <w:rsid w:val="00A65B0E"/>
    <w:rsid w:val="00A666CB"/>
    <w:rsid w:val="00A6672D"/>
    <w:rsid w:val="00A66CEC"/>
    <w:rsid w:val="00A674D8"/>
    <w:rsid w:val="00A67658"/>
    <w:rsid w:val="00A705F3"/>
    <w:rsid w:val="00A70698"/>
    <w:rsid w:val="00A70F1F"/>
    <w:rsid w:val="00A71141"/>
    <w:rsid w:val="00A71440"/>
    <w:rsid w:val="00A71465"/>
    <w:rsid w:val="00A721CE"/>
    <w:rsid w:val="00A72786"/>
    <w:rsid w:val="00A7299B"/>
    <w:rsid w:val="00A72B53"/>
    <w:rsid w:val="00A72BF2"/>
    <w:rsid w:val="00A7307B"/>
    <w:rsid w:val="00A730A5"/>
    <w:rsid w:val="00A7354B"/>
    <w:rsid w:val="00A74152"/>
    <w:rsid w:val="00A7418D"/>
    <w:rsid w:val="00A74435"/>
    <w:rsid w:val="00A74517"/>
    <w:rsid w:val="00A74B20"/>
    <w:rsid w:val="00A757CF"/>
    <w:rsid w:val="00A7588E"/>
    <w:rsid w:val="00A76103"/>
    <w:rsid w:val="00A76349"/>
    <w:rsid w:val="00A76363"/>
    <w:rsid w:val="00A76676"/>
    <w:rsid w:val="00A768DB"/>
    <w:rsid w:val="00A76AEA"/>
    <w:rsid w:val="00A7730B"/>
    <w:rsid w:val="00A773ED"/>
    <w:rsid w:val="00A77B93"/>
    <w:rsid w:val="00A77C70"/>
    <w:rsid w:val="00A8016F"/>
    <w:rsid w:val="00A8090C"/>
    <w:rsid w:val="00A80B83"/>
    <w:rsid w:val="00A80EFB"/>
    <w:rsid w:val="00A81089"/>
    <w:rsid w:val="00A8125E"/>
    <w:rsid w:val="00A8177D"/>
    <w:rsid w:val="00A8187B"/>
    <w:rsid w:val="00A81940"/>
    <w:rsid w:val="00A8248E"/>
    <w:rsid w:val="00A829E2"/>
    <w:rsid w:val="00A82A26"/>
    <w:rsid w:val="00A82BF3"/>
    <w:rsid w:val="00A82CEB"/>
    <w:rsid w:val="00A83110"/>
    <w:rsid w:val="00A833B7"/>
    <w:rsid w:val="00A83575"/>
    <w:rsid w:val="00A836E8"/>
    <w:rsid w:val="00A83926"/>
    <w:rsid w:val="00A83A0A"/>
    <w:rsid w:val="00A83B07"/>
    <w:rsid w:val="00A85CA1"/>
    <w:rsid w:val="00A85D47"/>
    <w:rsid w:val="00A8609A"/>
    <w:rsid w:val="00A86175"/>
    <w:rsid w:val="00A8768B"/>
    <w:rsid w:val="00A87BBC"/>
    <w:rsid w:val="00A90185"/>
    <w:rsid w:val="00A90E9C"/>
    <w:rsid w:val="00A90FBC"/>
    <w:rsid w:val="00A9118A"/>
    <w:rsid w:val="00A91DD6"/>
    <w:rsid w:val="00A91E05"/>
    <w:rsid w:val="00A926C1"/>
    <w:rsid w:val="00A9278E"/>
    <w:rsid w:val="00A92996"/>
    <w:rsid w:val="00A92BA1"/>
    <w:rsid w:val="00A933F3"/>
    <w:rsid w:val="00A93501"/>
    <w:rsid w:val="00A93C34"/>
    <w:rsid w:val="00A943F5"/>
    <w:rsid w:val="00A944C2"/>
    <w:rsid w:val="00A9473D"/>
    <w:rsid w:val="00A95727"/>
    <w:rsid w:val="00A9650C"/>
    <w:rsid w:val="00A97178"/>
    <w:rsid w:val="00A97F03"/>
    <w:rsid w:val="00AA0190"/>
    <w:rsid w:val="00AA0363"/>
    <w:rsid w:val="00AA06CA"/>
    <w:rsid w:val="00AA0A92"/>
    <w:rsid w:val="00AA0BE4"/>
    <w:rsid w:val="00AA17CF"/>
    <w:rsid w:val="00AA19D3"/>
    <w:rsid w:val="00AA231E"/>
    <w:rsid w:val="00AA2BE6"/>
    <w:rsid w:val="00AA2C17"/>
    <w:rsid w:val="00AA2D88"/>
    <w:rsid w:val="00AA3197"/>
    <w:rsid w:val="00AA3BDB"/>
    <w:rsid w:val="00AA3CD1"/>
    <w:rsid w:val="00AA4B0C"/>
    <w:rsid w:val="00AA4CFC"/>
    <w:rsid w:val="00AA4ED9"/>
    <w:rsid w:val="00AA55D0"/>
    <w:rsid w:val="00AA5957"/>
    <w:rsid w:val="00AA5F8D"/>
    <w:rsid w:val="00AA614F"/>
    <w:rsid w:val="00AA6BE0"/>
    <w:rsid w:val="00AA6E61"/>
    <w:rsid w:val="00AA706E"/>
    <w:rsid w:val="00AA7521"/>
    <w:rsid w:val="00AA773D"/>
    <w:rsid w:val="00AA7B26"/>
    <w:rsid w:val="00AA7E32"/>
    <w:rsid w:val="00AA7EE3"/>
    <w:rsid w:val="00AA7F12"/>
    <w:rsid w:val="00AB0814"/>
    <w:rsid w:val="00AB1297"/>
    <w:rsid w:val="00AB155D"/>
    <w:rsid w:val="00AB17D7"/>
    <w:rsid w:val="00AB213D"/>
    <w:rsid w:val="00AB2780"/>
    <w:rsid w:val="00AB2845"/>
    <w:rsid w:val="00AB288A"/>
    <w:rsid w:val="00AB2B26"/>
    <w:rsid w:val="00AB2CC2"/>
    <w:rsid w:val="00AB380F"/>
    <w:rsid w:val="00AB394F"/>
    <w:rsid w:val="00AB403B"/>
    <w:rsid w:val="00AB4553"/>
    <w:rsid w:val="00AB49BE"/>
    <w:rsid w:val="00AB4A5D"/>
    <w:rsid w:val="00AB4E7B"/>
    <w:rsid w:val="00AB52B4"/>
    <w:rsid w:val="00AB5306"/>
    <w:rsid w:val="00AB5318"/>
    <w:rsid w:val="00AB5439"/>
    <w:rsid w:val="00AB57D9"/>
    <w:rsid w:val="00AB5B1F"/>
    <w:rsid w:val="00AB5BB9"/>
    <w:rsid w:val="00AB6296"/>
    <w:rsid w:val="00AB65E2"/>
    <w:rsid w:val="00AB6664"/>
    <w:rsid w:val="00AB6D29"/>
    <w:rsid w:val="00AB6EFA"/>
    <w:rsid w:val="00AB73D3"/>
    <w:rsid w:val="00AB76B2"/>
    <w:rsid w:val="00AB7C51"/>
    <w:rsid w:val="00AB7F21"/>
    <w:rsid w:val="00AC00D7"/>
    <w:rsid w:val="00AC084B"/>
    <w:rsid w:val="00AC104E"/>
    <w:rsid w:val="00AC1059"/>
    <w:rsid w:val="00AC1765"/>
    <w:rsid w:val="00AC178F"/>
    <w:rsid w:val="00AC17BA"/>
    <w:rsid w:val="00AC2FFC"/>
    <w:rsid w:val="00AC3590"/>
    <w:rsid w:val="00AC3C87"/>
    <w:rsid w:val="00AC3F30"/>
    <w:rsid w:val="00AC3F99"/>
    <w:rsid w:val="00AC4661"/>
    <w:rsid w:val="00AC4851"/>
    <w:rsid w:val="00AC4BF9"/>
    <w:rsid w:val="00AC4D61"/>
    <w:rsid w:val="00AC4EBD"/>
    <w:rsid w:val="00AC51E7"/>
    <w:rsid w:val="00AC5BF3"/>
    <w:rsid w:val="00AC5DE9"/>
    <w:rsid w:val="00AC62A8"/>
    <w:rsid w:val="00AC6BB9"/>
    <w:rsid w:val="00AC6FDB"/>
    <w:rsid w:val="00AC7005"/>
    <w:rsid w:val="00AC7408"/>
    <w:rsid w:val="00AC7456"/>
    <w:rsid w:val="00AC7935"/>
    <w:rsid w:val="00AD04A8"/>
    <w:rsid w:val="00AD0705"/>
    <w:rsid w:val="00AD0CCC"/>
    <w:rsid w:val="00AD0FB8"/>
    <w:rsid w:val="00AD111B"/>
    <w:rsid w:val="00AD1344"/>
    <w:rsid w:val="00AD16D5"/>
    <w:rsid w:val="00AD1E29"/>
    <w:rsid w:val="00AD254A"/>
    <w:rsid w:val="00AD2CCA"/>
    <w:rsid w:val="00AD2EEE"/>
    <w:rsid w:val="00AD3556"/>
    <w:rsid w:val="00AD35E1"/>
    <w:rsid w:val="00AD38D8"/>
    <w:rsid w:val="00AD3B5C"/>
    <w:rsid w:val="00AD42FE"/>
    <w:rsid w:val="00AD460D"/>
    <w:rsid w:val="00AD49C4"/>
    <w:rsid w:val="00AD4C6A"/>
    <w:rsid w:val="00AD4EC4"/>
    <w:rsid w:val="00AD4ECC"/>
    <w:rsid w:val="00AD5C09"/>
    <w:rsid w:val="00AD5CFE"/>
    <w:rsid w:val="00AD5F6F"/>
    <w:rsid w:val="00AD603F"/>
    <w:rsid w:val="00AD611A"/>
    <w:rsid w:val="00AD6389"/>
    <w:rsid w:val="00AD6485"/>
    <w:rsid w:val="00AD6655"/>
    <w:rsid w:val="00AD6790"/>
    <w:rsid w:val="00AD7B64"/>
    <w:rsid w:val="00AD7E2F"/>
    <w:rsid w:val="00AD7EA0"/>
    <w:rsid w:val="00AE004F"/>
    <w:rsid w:val="00AE01DA"/>
    <w:rsid w:val="00AE0244"/>
    <w:rsid w:val="00AE0344"/>
    <w:rsid w:val="00AE0350"/>
    <w:rsid w:val="00AE0D3E"/>
    <w:rsid w:val="00AE0D78"/>
    <w:rsid w:val="00AE120B"/>
    <w:rsid w:val="00AE1252"/>
    <w:rsid w:val="00AE15FF"/>
    <w:rsid w:val="00AE342C"/>
    <w:rsid w:val="00AE3D59"/>
    <w:rsid w:val="00AE4022"/>
    <w:rsid w:val="00AE42B0"/>
    <w:rsid w:val="00AE477E"/>
    <w:rsid w:val="00AE4841"/>
    <w:rsid w:val="00AE48B9"/>
    <w:rsid w:val="00AE4991"/>
    <w:rsid w:val="00AE4DBB"/>
    <w:rsid w:val="00AE4F7E"/>
    <w:rsid w:val="00AE562D"/>
    <w:rsid w:val="00AE571D"/>
    <w:rsid w:val="00AE588E"/>
    <w:rsid w:val="00AE5A32"/>
    <w:rsid w:val="00AE5B29"/>
    <w:rsid w:val="00AE5F86"/>
    <w:rsid w:val="00AE647D"/>
    <w:rsid w:val="00AE69A8"/>
    <w:rsid w:val="00AE752B"/>
    <w:rsid w:val="00AF0426"/>
    <w:rsid w:val="00AF0905"/>
    <w:rsid w:val="00AF14FA"/>
    <w:rsid w:val="00AF18E8"/>
    <w:rsid w:val="00AF2596"/>
    <w:rsid w:val="00AF2B6B"/>
    <w:rsid w:val="00AF3709"/>
    <w:rsid w:val="00AF376B"/>
    <w:rsid w:val="00AF3B93"/>
    <w:rsid w:val="00AF4C83"/>
    <w:rsid w:val="00AF54BD"/>
    <w:rsid w:val="00AF5C30"/>
    <w:rsid w:val="00AF5DD2"/>
    <w:rsid w:val="00AF5DE0"/>
    <w:rsid w:val="00AF60A5"/>
    <w:rsid w:val="00AF620C"/>
    <w:rsid w:val="00AF628D"/>
    <w:rsid w:val="00AF639A"/>
    <w:rsid w:val="00AF71DD"/>
    <w:rsid w:val="00AF79F6"/>
    <w:rsid w:val="00AF7BD7"/>
    <w:rsid w:val="00B007A4"/>
    <w:rsid w:val="00B00880"/>
    <w:rsid w:val="00B00D8A"/>
    <w:rsid w:val="00B00DC3"/>
    <w:rsid w:val="00B00F29"/>
    <w:rsid w:val="00B01049"/>
    <w:rsid w:val="00B0116F"/>
    <w:rsid w:val="00B01499"/>
    <w:rsid w:val="00B01751"/>
    <w:rsid w:val="00B02619"/>
    <w:rsid w:val="00B0273A"/>
    <w:rsid w:val="00B0282D"/>
    <w:rsid w:val="00B02F08"/>
    <w:rsid w:val="00B033CB"/>
    <w:rsid w:val="00B03488"/>
    <w:rsid w:val="00B035B2"/>
    <w:rsid w:val="00B03647"/>
    <w:rsid w:val="00B0365A"/>
    <w:rsid w:val="00B036B8"/>
    <w:rsid w:val="00B03706"/>
    <w:rsid w:val="00B038B3"/>
    <w:rsid w:val="00B0458A"/>
    <w:rsid w:val="00B04F6E"/>
    <w:rsid w:val="00B054E8"/>
    <w:rsid w:val="00B0578C"/>
    <w:rsid w:val="00B0669F"/>
    <w:rsid w:val="00B06948"/>
    <w:rsid w:val="00B07502"/>
    <w:rsid w:val="00B077F0"/>
    <w:rsid w:val="00B078D4"/>
    <w:rsid w:val="00B07BE6"/>
    <w:rsid w:val="00B10334"/>
    <w:rsid w:val="00B104E8"/>
    <w:rsid w:val="00B105E8"/>
    <w:rsid w:val="00B107D2"/>
    <w:rsid w:val="00B10886"/>
    <w:rsid w:val="00B10B29"/>
    <w:rsid w:val="00B10E48"/>
    <w:rsid w:val="00B1147C"/>
    <w:rsid w:val="00B11798"/>
    <w:rsid w:val="00B11F2F"/>
    <w:rsid w:val="00B11FD9"/>
    <w:rsid w:val="00B1211B"/>
    <w:rsid w:val="00B1259C"/>
    <w:rsid w:val="00B12729"/>
    <w:rsid w:val="00B12C7B"/>
    <w:rsid w:val="00B12DCB"/>
    <w:rsid w:val="00B12ED8"/>
    <w:rsid w:val="00B13F5F"/>
    <w:rsid w:val="00B13F64"/>
    <w:rsid w:val="00B142CD"/>
    <w:rsid w:val="00B142E2"/>
    <w:rsid w:val="00B1431E"/>
    <w:rsid w:val="00B14430"/>
    <w:rsid w:val="00B14973"/>
    <w:rsid w:val="00B14C4F"/>
    <w:rsid w:val="00B152FD"/>
    <w:rsid w:val="00B15612"/>
    <w:rsid w:val="00B156BE"/>
    <w:rsid w:val="00B156D7"/>
    <w:rsid w:val="00B15929"/>
    <w:rsid w:val="00B15D70"/>
    <w:rsid w:val="00B1612C"/>
    <w:rsid w:val="00B16686"/>
    <w:rsid w:val="00B16B52"/>
    <w:rsid w:val="00B17703"/>
    <w:rsid w:val="00B17EE5"/>
    <w:rsid w:val="00B200D6"/>
    <w:rsid w:val="00B20215"/>
    <w:rsid w:val="00B20487"/>
    <w:rsid w:val="00B20D67"/>
    <w:rsid w:val="00B217F2"/>
    <w:rsid w:val="00B21D2F"/>
    <w:rsid w:val="00B22046"/>
    <w:rsid w:val="00B22482"/>
    <w:rsid w:val="00B22D45"/>
    <w:rsid w:val="00B234C7"/>
    <w:rsid w:val="00B235BE"/>
    <w:rsid w:val="00B2394C"/>
    <w:rsid w:val="00B23B28"/>
    <w:rsid w:val="00B23F4B"/>
    <w:rsid w:val="00B24E82"/>
    <w:rsid w:val="00B25C3A"/>
    <w:rsid w:val="00B26084"/>
    <w:rsid w:val="00B2628B"/>
    <w:rsid w:val="00B26E97"/>
    <w:rsid w:val="00B26F00"/>
    <w:rsid w:val="00B27149"/>
    <w:rsid w:val="00B276A1"/>
    <w:rsid w:val="00B277CA"/>
    <w:rsid w:val="00B3037F"/>
    <w:rsid w:val="00B3057D"/>
    <w:rsid w:val="00B312B0"/>
    <w:rsid w:val="00B315FF"/>
    <w:rsid w:val="00B3194F"/>
    <w:rsid w:val="00B31D2B"/>
    <w:rsid w:val="00B31DB1"/>
    <w:rsid w:val="00B31FAC"/>
    <w:rsid w:val="00B321DA"/>
    <w:rsid w:val="00B32BB2"/>
    <w:rsid w:val="00B32E92"/>
    <w:rsid w:val="00B33251"/>
    <w:rsid w:val="00B332B0"/>
    <w:rsid w:val="00B335FB"/>
    <w:rsid w:val="00B338C9"/>
    <w:rsid w:val="00B34829"/>
    <w:rsid w:val="00B3482F"/>
    <w:rsid w:val="00B34FAD"/>
    <w:rsid w:val="00B35AAF"/>
    <w:rsid w:val="00B35D1E"/>
    <w:rsid w:val="00B35DC9"/>
    <w:rsid w:val="00B360E3"/>
    <w:rsid w:val="00B3648C"/>
    <w:rsid w:val="00B3663F"/>
    <w:rsid w:val="00B36660"/>
    <w:rsid w:val="00B366CF"/>
    <w:rsid w:val="00B36735"/>
    <w:rsid w:val="00B36912"/>
    <w:rsid w:val="00B36CD2"/>
    <w:rsid w:val="00B37238"/>
    <w:rsid w:val="00B37968"/>
    <w:rsid w:val="00B37C74"/>
    <w:rsid w:val="00B37D2D"/>
    <w:rsid w:val="00B37F6C"/>
    <w:rsid w:val="00B400AC"/>
    <w:rsid w:val="00B40325"/>
    <w:rsid w:val="00B40833"/>
    <w:rsid w:val="00B40C4B"/>
    <w:rsid w:val="00B40F92"/>
    <w:rsid w:val="00B41099"/>
    <w:rsid w:val="00B41147"/>
    <w:rsid w:val="00B41934"/>
    <w:rsid w:val="00B41EC3"/>
    <w:rsid w:val="00B4211E"/>
    <w:rsid w:val="00B42DF0"/>
    <w:rsid w:val="00B42F39"/>
    <w:rsid w:val="00B43556"/>
    <w:rsid w:val="00B43808"/>
    <w:rsid w:val="00B43FA2"/>
    <w:rsid w:val="00B44A18"/>
    <w:rsid w:val="00B44E84"/>
    <w:rsid w:val="00B44FAE"/>
    <w:rsid w:val="00B45174"/>
    <w:rsid w:val="00B451B5"/>
    <w:rsid w:val="00B4552B"/>
    <w:rsid w:val="00B45727"/>
    <w:rsid w:val="00B46FA7"/>
    <w:rsid w:val="00B4703C"/>
    <w:rsid w:val="00B471E9"/>
    <w:rsid w:val="00B4747F"/>
    <w:rsid w:val="00B475A9"/>
    <w:rsid w:val="00B50933"/>
    <w:rsid w:val="00B51302"/>
    <w:rsid w:val="00B516A6"/>
    <w:rsid w:val="00B51A7C"/>
    <w:rsid w:val="00B51EEC"/>
    <w:rsid w:val="00B51F96"/>
    <w:rsid w:val="00B527B2"/>
    <w:rsid w:val="00B52C83"/>
    <w:rsid w:val="00B53100"/>
    <w:rsid w:val="00B53472"/>
    <w:rsid w:val="00B53833"/>
    <w:rsid w:val="00B53A9B"/>
    <w:rsid w:val="00B53AB1"/>
    <w:rsid w:val="00B53F20"/>
    <w:rsid w:val="00B5468E"/>
    <w:rsid w:val="00B54D6F"/>
    <w:rsid w:val="00B55232"/>
    <w:rsid w:val="00B554B8"/>
    <w:rsid w:val="00B559AD"/>
    <w:rsid w:val="00B55DEA"/>
    <w:rsid w:val="00B57138"/>
    <w:rsid w:val="00B5765F"/>
    <w:rsid w:val="00B576B1"/>
    <w:rsid w:val="00B57CFF"/>
    <w:rsid w:val="00B6010B"/>
    <w:rsid w:val="00B60805"/>
    <w:rsid w:val="00B60C33"/>
    <w:rsid w:val="00B615E2"/>
    <w:rsid w:val="00B6190E"/>
    <w:rsid w:val="00B62886"/>
    <w:rsid w:val="00B63EF8"/>
    <w:rsid w:val="00B64FEB"/>
    <w:rsid w:val="00B655A2"/>
    <w:rsid w:val="00B65630"/>
    <w:rsid w:val="00B65A76"/>
    <w:rsid w:val="00B65D4B"/>
    <w:rsid w:val="00B6602B"/>
    <w:rsid w:val="00B6635B"/>
    <w:rsid w:val="00B66413"/>
    <w:rsid w:val="00B66507"/>
    <w:rsid w:val="00B66C3E"/>
    <w:rsid w:val="00B66ECC"/>
    <w:rsid w:val="00B6737E"/>
    <w:rsid w:val="00B674E7"/>
    <w:rsid w:val="00B67A0C"/>
    <w:rsid w:val="00B703A3"/>
    <w:rsid w:val="00B708D3"/>
    <w:rsid w:val="00B70BDF"/>
    <w:rsid w:val="00B70E2F"/>
    <w:rsid w:val="00B70FA9"/>
    <w:rsid w:val="00B71CC0"/>
    <w:rsid w:val="00B71D1D"/>
    <w:rsid w:val="00B72778"/>
    <w:rsid w:val="00B729B9"/>
    <w:rsid w:val="00B729CD"/>
    <w:rsid w:val="00B73DC7"/>
    <w:rsid w:val="00B73F8E"/>
    <w:rsid w:val="00B74127"/>
    <w:rsid w:val="00B74563"/>
    <w:rsid w:val="00B74C73"/>
    <w:rsid w:val="00B75B98"/>
    <w:rsid w:val="00B761A4"/>
    <w:rsid w:val="00B76868"/>
    <w:rsid w:val="00B76ABD"/>
    <w:rsid w:val="00B76DCC"/>
    <w:rsid w:val="00B76DEE"/>
    <w:rsid w:val="00B76FA9"/>
    <w:rsid w:val="00B76FFA"/>
    <w:rsid w:val="00B77132"/>
    <w:rsid w:val="00B77771"/>
    <w:rsid w:val="00B777C4"/>
    <w:rsid w:val="00B805B2"/>
    <w:rsid w:val="00B80C7F"/>
    <w:rsid w:val="00B8108C"/>
    <w:rsid w:val="00B8120A"/>
    <w:rsid w:val="00B8140E"/>
    <w:rsid w:val="00B814AA"/>
    <w:rsid w:val="00B81787"/>
    <w:rsid w:val="00B81E0D"/>
    <w:rsid w:val="00B826EC"/>
    <w:rsid w:val="00B835E7"/>
    <w:rsid w:val="00B83C69"/>
    <w:rsid w:val="00B84450"/>
    <w:rsid w:val="00B84A5D"/>
    <w:rsid w:val="00B84BEB"/>
    <w:rsid w:val="00B8512F"/>
    <w:rsid w:val="00B85289"/>
    <w:rsid w:val="00B8572A"/>
    <w:rsid w:val="00B85F77"/>
    <w:rsid w:val="00B8643C"/>
    <w:rsid w:val="00B8701E"/>
    <w:rsid w:val="00B874FE"/>
    <w:rsid w:val="00B87545"/>
    <w:rsid w:val="00B875E2"/>
    <w:rsid w:val="00B8790A"/>
    <w:rsid w:val="00B87A1B"/>
    <w:rsid w:val="00B87B2A"/>
    <w:rsid w:val="00B87B89"/>
    <w:rsid w:val="00B904B8"/>
    <w:rsid w:val="00B90783"/>
    <w:rsid w:val="00B908F9"/>
    <w:rsid w:val="00B90CCE"/>
    <w:rsid w:val="00B90EDC"/>
    <w:rsid w:val="00B9121A"/>
    <w:rsid w:val="00B91492"/>
    <w:rsid w:val="00B91A98"/>
    <w:rsid w:val="00B9205E"/>
    <w:rsid w:val="00B92070"/>
    <w:rsid w:val="00B9223D"/>
    <w:rsid w:val="00B9250B"/>
    <w:rsid w:val="00B92541"/>
    <w:rsid w:val="00B927E8"/>
    <w:rsid w:val="00B929B9"/>
    <w:rsid w:val="00B92A04"/>
    <w:rsid w:val="00B92F14"/>
    <w:rsid w:val="00B93080"/>
    <w:rsid w:val="00B9355D"/>
    <w:rsid w:val="00B94060"/>
    <w:rsid w:val="00B94276"/>
    <w:rsid w:val="00B94CFA"/>
    <w:rsid w:val="00B95D83"/>
    <w:rsid w:val="00B96677"/>
    <w:rsid w:val="00B966C8"/>
    <w:rsid w:val="00B969EB"/>
    <w:rsid w:val="00B96C62"/>
    <w:rsid w:val="00B9715E"/>
    <w:rsid w:val="00B97AD7"/>
    <w:rsid w:val="00B97CFF"/>
    <w:rsid w:val="00BA0AD5"/>
    <w:rsid w:val="00BA0AE9"/>
    <w:rsid w:val="00BA15DF"/>
    <w:rsid w:val="00BA1A0B"/>
    <w:rsid w:val="00BA1BE4"/>
    <w:rsid w:val="00BA23C2"/>
    <w:rsid w:val="00BA2CBD"/>
    <w:rsid w:val="00BA2EA3"/>
    <w:rsid w:val="00BA3753"/>
    <w:rsid w:val="00BA3E72"/>
    <w:rsid w:val="00BA5341"/>
    <w:rsid w:val="00BA59D0"/>
    <w:rsid w:val="00BA5F25"/>
    <w:rsid w:val="00BA60E0"/>
    <w:rsid w:val="00BA6265"/>
    <w:rsid w:val="00BA6C13"/>
    <w:rsid w:val="00BA6C98"/>
    <w:rsid w:val="00BA7261"/>
    <w:rsid w:val="00BA761B"/>
    <w:rsid w:val="00BA771A"/>
    <w:rsid w:val="00BA7C33"/>
    <w:rsid w:val="00BB00EE"/>
    <w:rsid w:val="00BB0459"/>
    <w:rsid w:val="00BB06E2"/>
    <w:rsid w:val="00BB0F0A"/>
    <w:rsid w:val="00BB2EFC"/>
    <w:rsid w:val="00BB309B"/>
    <w:rsid w:val="00BB33DB"/>
    <w:rsid w:val="00BB4B32"/>
    <w:rsid w:val="00BB5076"/>
    <w:rsid w:val="00BB5447"/>
    <w:rsid w:val="00BB5483"/>
    <w:rsid w:val="00BB55B1"/>
    <w:rsid w:val="00BB5E75"/>
    <w:rsid w:val="00BB5F72"/>
    <w:rsid w:val="00BB626C"/>
    <w:rsid w:val="00BB634A"/>
    <w:rsid w:val="00BB687F"/>
    <w:rsid w:val="00BB6AA3"/>
    <w:rsid w:val="00BB78C8"/>
    <w:rsid w:val="00BC0017"/>
    <w:rsid w:val="00BC0066"/>
    <w:rsid w:val="00BC062D"/>
    <w:rsid w:val="00BC06A3"/>
    <w:rsid w:val="00BC0CFD"/>
    <w:rsid w:val="00BC12F6"/>
    <w:rsid w:val="00BC1690"/>
    <w:rsid w:val="00BC1D26"/>
    <w:rsid w:val="00BC2102"/>
    <w:rsid w:val="00BC296D"/>
    <w:rsid w:val="00BC2E06"/>
    <w:rsid w:val="00BC2E3D"/>
    <w:rsid w:val="00BC350E"/>
    <w:rsid w:val="00BC3596"/>
    <w:rsid w:val="00BC35AA"/>
    <w:rsid w:val="00BC3C43"/>
    <w:rsid w:val="00BC434A"/>
    <w:rsid w:val="00BC44F9"/>
    <w:rsid w:val="00BC4BF1"/>
    <w:rsid w:val="00BC581B"/>
    <w:rsid w:val="00BC6049"/>
    <w:rsid w:val="00BC64B9"/>
    <w:rsid w:val="00BC6833"/>
    <w:rsid w:val="00BC693F"/>
    <w:rsid w:val="00BC6EB2"/>
    <w:rsid w:val="00BC76AD"/>
    <w:rsid w:val="00BC79D5"/>
    <w:rsid w:val="00BD02FF"/>
    <w:rsid w:val="00BD0C18"/>
    <w:rsid w:val="00BD0F9D"/>
    <w:rsid w:val="00BD114F"/>
    <w:rsid w:val="00BD28D2"/>
    <w:rsid w:val="00BD2C1A"/>
    <w:rsid w:val="00BD3ABD"/>
    <w:rsid w:val="00BD3CBF"/>
    <w:rsid w:val="00BD4E21"/>
    <w:rsid w:val="00BD5045"/>
    <w:rsid w:val="00BD5B44"/>
    <w:rsid w:val="00BD5EC9"/>
    <w:rsid w:val="00BD61C8"/>
    <w:rsid w:val="00BD6224"/>
    <w:rsid w:val="00BD6370"/>
    <w:rsid w:val="00BD63B5"/>
    <w:rsid w:val="00BD6401"/>
    <w:rsid w:val="00BD6BE9"/>
    <w:rsid w:val="00BD7394"/>
    <w:rsid w:val="00BD7462"/>
    <w:rsid w:val="00BD7A2C"/>
    <w:rsid w:val="00BD7CD3"/>
    <w:rsid w:val="00BD7D60"/>
    <w:rsid w:val="00BE037A"/>
    <w:rsid w:val="00BE0D90"/>
    <w:rsid w:val="00BE137B"/>
    <w:rsid w:val="00BE1852"/>
    <w:rsid w:val="00BE246F"/>
    <w:rsid w:val="00BE2490"/>
    <w:rsid w:val="00BE2BA7"/>
    <w:rsid w:val="00BE2E31"/>
    <w:rsid w:val="00BE3043"/>
    <w:rsid w:val="00BE30FE"/>
    <w:rsid w:val="00BE3DE2"/>
    <w:rsid w:val="00BE3F47"/>
    <w:rsid w:val="00BE444A"/>
    <w:rsid w:val="00BE4AB7"/>
    <w:rsid w:val="00BE58E8"/>
    <w:rsid w:val="00BE65E4"/>
    <w:rsid w:val="00BE6D0E"/>
    <w:rsid w:val="00BE6E0E"/>
    <w:rsid w:val="00BE6E6C"/>
    <w:rsid w:val="00BE761B"/>
    <w:rsid w:val="00BE7D27"/>
    <w:rsid w:val="00BE7F6D"/>
    <w:rsid w:val="00BF0976"/>
    <w:rsid w:val="00BF0A04"/>
    <w:rsid w:val="00BF0AD6"/>
    <w:rsid w:val="00BF1559"/>
    <w:rsid w:val="00BF16CB"/>
    <w:rsid w:val="00BF1E54"/>
    <w:rsid w:val="00BF2148"/>
    <w:rsid w:val="00BF28B4"/>
    <w:rsid w:val="00BF2FDB"/>
    <w:rsid w:val="00BF3885"/>
    <w:rsid w:val="00BF3AB7"/>
    <w:rsid w:val="00BF3D23"/>
    <w:rsid w:val="00BF3D6A"/>
    <w:rsid w:val="00BF4AF2"/>
    <w:rsid w:val="00BF4F4D"/>
    <w:rsid w:val="00BF54D3"/>
    <w:rsid w:val="00BF644B"/>
    <w:rsid w:val="00BF658D"/>
    <w:rsid w:val="00BF65AA"/>
    <w:rsid w:val="00BF69C0"/>
    <w:rsid w:val="00BF69E7"/>
    <w:rsid w:val="00BF6BEC"/>
    <w:rsid w:val="00BF6D00"/>
    <w:rsid w:val="00BF6D68"/>
    <w:rsid w:val="00BF6E3D"/>
    <w:rsid w:val="00BF7C1D"/>
    <w:rsid w:val="00C000A8"/>
    <w:rsid w:val="00C00AD8"/>
    <w:rsid w:val="00C01187"/>
    <w:rsid w:val="00C01211"/>
    <w:rsid w:val="00C01C17"/>
    <w:rsid w:val="00C0258C"/>
    <w:rsid w:val="00C0267D"/>
    <w:rsid w:val="00C02971"/>
    <w:rsid w:val="00C02D4F"/>
    <w:rsid w:val="00C02D8E"/>
    <w:rsid w:val="00C0385F"/>
    <w:rsid w:val="00C03A4E"/>
    <w:rsid w:val="00C03F6D"/>
    <w:rsid w:val="00C04131"/>
    <w:rsid w:val="00C0423D"/>
    <w:rsid w:val="00C04556"/>
    <w:rsid w:val="00C0466A"/>
    <w:rsid w:val="00C0495D"/>
    <w:rsid w:val="00C04A37"/>
    <w:rsid w:val="00C04A6D"/>
    <w:rsid w:val="00C04ADF"/>
    <w:rsid w:val="00C05702"/>
    <w:rsid w:val="00C05AA2"/>
    <w:rsid w:val="00C05B08"/>
    <w:rsid w:val="00C05EC8"/>
    <w:rsid w:val="00C065D0"/>
    <w:rsid w:val="00C067BD"/>
    <w:rsid w:val="00C067FB"/>
    <w:rsid w:val="00C06D12"/>
    <w:rsid w:val="00C06DC7"/>
    <w:rsid w:val="00C07829"/>
    <w:rsid w:val="00C10070"/>
    <w:rsid w:val="00C10625"/>
    <w:rsid w:val="00C107DC"/>
    <w:rsid w:val="00C1140F"/>
    <w:rsid w:val="00C11B6D"/>
    <w:rsid w:val="00C12077"/>
    <w:rsid w:val="00C12643"/>
    <w:rsid w:val="00C12AB9"/>
    <w:rsid w:val="00C12D95"/>
    <w:rsid w:val="00C12D9F"/>
    <w:rsid w:val="00C12DF4"/>
    <w:rsid w:val="00C1365D"/>
    <w:rsid w:val="00C13B64"/>
    <w:rsid w:val="00C1435F"/>
    <w:rsid w:val="00C143A7"/>
    <w:rsid w:val="00C14930"/>
    <w:rsid w:val="00C14C8D"/>
    <w:rsid w:val="00C14D08"/>
    <w:rsid w:val="00C151FF"/>
    <w:rsid w:val="00C1533D"/>
    <w:rsid w:val="00C15AF3"/>
    <w:rsid w:val="00C15C1A"/>
    <w:rsid w:val="00C15D22"/>
    <w:rsid w:val="00C160D4"/>
    <w:rsid w:val="00C16678"/>
    <w:rsid w:val="00C16697"/>
    <w:rsid w:val="00C16B3E"/>
    <w:rsid w:val="00C1703C"/>
    <w:rsid w:val="00C175E1"/>
    <w:rsid w:val="00C1787B"/>
    <w:rsid w:val="00C17BDB"/>
    <w:rsid w:val="00C17FCA"/>
    <w:rsid w:val="00C20A00"/>
    <w:rsid w:val="00C216CB"/>
    <w:rsid w:val="00C21B18"/>
    <w:rsid w:val="00C21F69"/>
    <w:rsid w:val="00C22654"/>
    <w:rsid w:val="00C22B56"/>
    <w:rsid w:val="00C22D1A"/>
    <w:rsid w:val="00C23C30"/>
    <w:rsid w:val="00C23E60"/>
    <w:rsid w:val="00C247D4"/>
    <w:rsid w:val="00C253CD"/>
    <w:rsid w:val="00C2554F"/>
    <w:rsid w:val="00C25A40"/>
    <w:rsid w:val="00C25FD2"/>
    <w:rsid w:val="00C265B1"/>
    <w:rsid w:val="00C265B4"/>
    <w:rsid w:val="00C2775E"/>
    <w:rsid w:val="00C27D32"/>
    <w:rsid w:val="00C3037C"/>
    <w:rsid w:val="00C31154"/>
    <w:rsid w:val="00C318C5"/>
    <w:rsid w:val="00C31E02"/>
    <w:rsid w:val="00C32560"/>
    <w:rsid w:val="00C328DA"/>
    <w:rsid w:val="00C32D80"/>
    <w:rsid w:val="00C33111"/>
    <w:rsid w:val="00C3328C"/>
    <w:rsid w:val="00C33406"/>
    <w:rsid w:val="00C33774"/>
    <w:rsid w:val="00C33901"/>
    <w:rsid w:val="00C33F6E"/>
    <w:rsid w:val="00C34899"/>
    <w:rsid w:val="00C348B9"/>
    <w:rsid w:val="00C349CB"/>
    <w:rsid w:val="00C34EAC"/>
    <w:rsid w:val="00C34F06"/>
    <w:rsid w:val="00C350E9"/>
    <w:rsid w:val="00C35330"/>
    <w:rsid w:val="00C36375"/>
    <w:rsid w:val="00C36405"/>
    <w:rsid w:val="00C364FA"/>
    <w:rsid w:val="00C3698C"/>
    <w:rsid w:val="00C37056"/>
    <w:rsid w:val="00C370F3"/>
    <w:rsid w:val="00C375FF"/>
    <w:rsid w:val="00C37682"/>
    <w:rsid w:val="00C37815"/>
    <w:rsid w:val="00C37DF1"/>
    <w:rsid w:val="00C40D80"/>
    <w:rsid w:val="00C40E01"/>
    <w:rsid w:val="00C413AB"/>
    <w:rsid w:val="00C4196E"/>
    <w:rsid w:val="00C4198E"/>
    <w:rsid w:val="00C41EED"/>
    <w:rsid w:val="00C4249C"/>
    <w:rsid w:val="00C42891"/>
    <w:rsid w:val="00C42963"/>
    <w:rsid w:val="00C43284"/>
    <w:rsid w:val="00C43808"/>
    <w:rsid w:val="00C43E8D"/>
    <w:rsid w:val="00C43F50"/>
    <w:rsid w:val="00C44559"/>
    <w:rsid w:val="00C44639"/>
    <w:rsid w:val="00C448B8"/>
    <w:rsid w:val="00C44E2E"/>
    <w:rsid w:val="00C45059"/>
    <w:rsid w:val="00C452D2"/>
    <w:rsid w:val="00C45493"/>
    <w:rsid w:val="00C4558C"/>
    <w:rsid w:val="00C457E2"/>
    <w:rsid w:val="00C459B4"/>
    <w:rsid w:val="00C45DEF"/>
    <w:rsid w:val="00C45EF5"/>
    <w:rsid w:val="00C4606D"/>
    <w:rsid w:val="00C46104"/>
    <w:rsid w:val="00C4725A"/>
    <w:rsid w:val="00C4774B"/>
    <w:rsid w:val="00C50D1C"/>
    <w:rsid w:val="00C5138E"/>
    <w:rsid w:val="00C51727"/>
    <w:rsid w:val="00C51764"/>
    <w:rsid w:val="00C51CF3"/>
    <w:rsid w:val="00C522F6"/>
    <w:rsid w:val="00C525A1"/>
    <w:rsid w:val="00C52A2A"/>
    <w:rsid w:val="00C52B45"/>
    <w:rsid w:val="00C52F17"/>
    <w:rsid w:val="00C532A9"/>
    <w:rsid w:val="00C53616"/>
    <w:rsid w:val="00C538B1"/>
    <w:rsid w:val="00C53EAF"/>
    <w:rsid w:val="00C5409F"/>
    <w:rsid w:val="00C5412D"/>
    <w:rsid w:val="00C543FC"/>
    <w:rsid w:val="00C554DF"/>
    <w:rsid w:val="00C55C72"/>
    <w:rsid w:val="00C5787A"/>
    <w:rsid w:val="00C57AC0"/>
    <w:rsid w:val="00C610BB"/>
    <w:rsid w:val="00C61222"/>
    <w:rsid w:val="00C61264"/>
    <w:rsid w:val="00C61D73"/>
    <w:rsid w:val="00C623A8"/>
    <w:rsid w:val="00C628ED"/>
    <w:rsid w:val="00C629DB"/>
    <w:rsid w:val="00C62A9A"/>
    <w:rsid w:val="00C62D17"/>
    <w:rsid w:val="00C62D31"/>
    <w:rsid w:val="00C6311D"/>
    <w:rsid w:val="00C631F6"/>
    <w:rsid w:val="00C63584"/>
    <w:rsid w:val="00C643CD"/>
    <w:rsid w:val="00C64709"/>
    <w:rsid w:val="00C648D0"/>
    <w:rsid w:val="00C64AA3"/>
    <w:rsid w:val="00C657FF"/>
    <w:rsid w:val="00C65B55"/>
    <w:rsid w:val="00C66457"/>
    <w:rsid w:val="00C66811"/>
    <w:rsid w:val="00C668F0"/>
    <w:rsid w:val="00C66960"/>
    <w:rsid w:val="00C67A0C"/>
    <w:rsid w:val="00C67A62"/>
    <w:rsid w:val="00C701D8"/>
    <w:rsid w:val="00C70624"/>
    <w:rsid w:val="00C70B7D"/>
    <w:rsid w:val="00C70C7F"/>
    <w:rsid w:val="00C70E4A"/>
    <w:rsid w:val="00C70E97"/>
    <w:rsid w:val="00C7178F"/>
    <w:rsid w:val="00C717F7"/>
    <w:rsid w:val="00C71E56"/>
    <w:rsid w:val="00C71E8D"/>
    <w:rsid w:val="00C72328"/>
    <w:rsid w:val="00C724E8"/>
    <w:rsid w:val="00C72DAD"/>
    <w:rsid w:val="00C72EFB"/>
    <w:rsid w:val="00C730A2"/>
    <w:rsid w:val="00C7342B"/>
    <w:rsid w:val="00C73B5D"/>
    <w:rsid w:val="00C73EEF"/>
    <w:rsid w:val="00C73FBB"/>
    <w:rsid w:val="00C75E64"/>
    <w:rsid w:val="00C76763"/>
    <w:rsid w:val="00C76B74"/>
    <w:rsid w:val="00C76FE6"/>
    <w:rsid w:val="00C7700A"/>
    <w:rsid w:val="00C77344"/>
    <w:rsid w:val="00C7735D"/>
    <w:rsid w:val="00C778B2"/>
    <w:rsid w:val="00C805F5"/>
    <w:rsid w:val="00C808B6"/>
    <w:rsid w:val="00C80FD7"/>
    <w:rsid w:val="00C8180C"/>
    <w:rsid w:val="00C82040"/>
    <w:rsid w:val="00C82845"/>
    <w:rsid w:val="00C83567"/>
    <w:rsid w:val="00C836F2"/>
    <w:rsid w:val="00C84329"/>
    <w:rsid w:val="00C8446C"/>
    <w:rsid w:val="00C8519F"/>
    <w:rsid w:val="00C854FD"/>
    <w:rsid w:val="00C85B04"/>
    <w:rsid w:val="00C85C96"/>
    <w:rsid w:val="00C85CBE"/>
    <w:rsid w:val="00C85D33"/>
    <w:rsid w:val="00C85E03"/>
    <w:rsid w:val="00C86391"/>
    <w:rsid w:val="00C864AA"/>
    <w:rsid w:val="00C86729"/>
    <w:rsid w:val="00C90491"/>
    <w:rsid w:val="00C906F5"/>
    <w:rsid w:val="00C90799"/>
    <w:rsid w:val="00C9145E"/>
    <w:rsid w:val="00C91476"/>
    <w:rsid w:val="00C915EF"/>
    <w:rsid w:val="00C918CE"/>
    <w:rsid w:val="00C91B7F"/>
    <w:rsid w:val="00C91BC4"/>
    <w:rsid w:val="00C91FDF"/>
    <w:rsid w:val="00C92E06"/>
    <w:rsid w:val="00C92E89"/>
    <w:rsid w:val="00C92F01"/>
    <w:rsid w:val="00C93021"/>
    <w:rsid w:val="00C933D5"/>
    <w:rsid w:val="00C93EE1"/>
    <w:rsid w:val="00C9417E"/>
    <w:rsid w:val="00C945DB"/>
    <w:rsid w:val="00C95182"/>
    <w:rsid w:val="00C95BB1"/>
    <w:rsid w:val="00C95BD8"/>
    <w:rsid w:val="00C95C47"/>
    <w:rsid w:val="00C9663E"/>
    <w:rsid w:val="00C967EA"/>
    <w:rsid w:val="00C96B10"/>
    <w:rsid w:val="00C96EA7"/>
    <w:rsid w:val="00C97296"/>
    <w:rsid w:val="00C97A30"/>
    <w:rsid w:val="00C97A58"/>
    <w:rsid w:val="00C97BA2"/>
    <w:rsid w:val="00C97BDF"/>
    <w:rsid w:val="00CA075B"/>
    <w:rsid w:val="00CA0C59"/>
    <w:rsid w:val="00CA0D79"/>
    <w:rsid w:val="00CA0DE4"/>
    <w:rsid w:val="00CA28CE"/>
    <w:rsid w:val="00CA336F"/>
    <w:rsid w:val="00CA3F88"/>
    <w:rsid w:val="00CA40F9"/>
    <w:rsid w:val="00CA45EE"/>
    <w:rsid w:val="00CA482E"/>
    <w:rsid w:val="00CA5502"/>
    <w:rsid w:val="00CA5614"/>
    <w:rsid w:val="00CA57F6"/>
    <w:rsid w:val="00CA580D"/>
    <w:rsid w:val="00CA6813"/>
    <w:rsid w:val="00CA6B9F"/>
    <w:rsid w:val="00CA6CE1"/>
    <w:rsid w:val="00CA7D62"/>
    <w:rsid w:val="00CB008F"/>
    <w:rsid w:val="00CB0789"/>
    <w:rsid w:val="00CB0EF4"/>
    <w:rsid w:val="00CB14F3"/>
    <w:rsid w:val="00CB36D9"/>
    <w:rsid w:val="00CB37CC"/>
    <w:rsid w:val="00CB3963"/>
    <w:rsid w:val="00CB3966"/>
    <w:rsid w:val="00CB4072"/>
    <w:rsid w:val="00CB40B8"/>
    <w:rsid w:val="00CB425B"/>
    <w:rsid w:val="00CB487B"/>
    <w:rsid w:val="00CB4AF2"/>
    <w:rsid w:val="00CB4BE1"/>
    <w:rsid w:val="00CB4FE4"/>
    <w:rsid w:val="00CB5184"/>
    <w:rsid w:val="00CB544D"/>
    <w:rsid w:val="00CB5516"/>
    <w:rsid w:val="00CB5533"/>
    <w:rsid w:val="00CB5988"/>
    <w:rsid w:val="00CB5AE0"/>
    <w:rsid w:val="00CB6626"/>
    <w:rsid w:val="00CB6A47"/>
    <w:rsid w:val="00CB6AED"/>
    <w:rsid w:val="00CB7332"/>
    <w:rsid w:val="00CB7784"/>
    <w:rsid w:val="00CB7E3B"/>
    <w:rsid w:val="00CB7ED2"/>
    <w:rsid w:val="00CC0C24"/>
    <w:rsid w:val="00CC0EC0"/>
    <w:rsid w:val="00CC102A"/>
    <w:rsid w:val="00CC1442"/>
    <w:rsid w:val="00CC183D"/>
    <w:rsid w:val="00CC1D57"/>
    <w:rsid w:val="00CC1DB7"/>
    <w:rsid w:val="00CC2869"/>
    <w:rsid w:val="00CC2B7D"/>
    <w:rsid w:val="00CC2D92"/>
    <w:rsid w:val="00CC3B1E"/>
    <w:rsid w:val="00CC4FF4"/>
    <w:rsid w:val="00CC5294"/>
    <w:rsid w:val="00CC5E28"/>
    <w:rsid w:val="00CC71EC"/>
    <w:rsid w:val="00CC7C33"/>
    <w:rsid w:val="00CD06C0"/>
    <w:rsid w:val="00CD0A47"/>
    <w:rsid w:val="00CD0B99"/>
    <w:rsid w:val="00CD0EB2"/>
    <w:rsid w:val="00CD1265"/>
    <w:rsid w:val="00CD129D"/>
    <w:rsid w:val="00CD141B"/>
    <w:rsid w:val="00CD1521"/>
    <w:rsid w:val="00CD16FE"/>
    <w:rsid w:val="00CD1875"/>
    <w:rsid w:val="00CD1E1F"/>
    <w:rsid w:val="00CD1F3B"/>
    <w:rsid w:val="00CD21AE"/>
    <w:rsid w:val="00CD2F84"/>
    <w:rsid w:val="00CD30C5"/>
    <w:rsid w:val="00CD33F9"/>
    <w:rsid w:val="00CD3EE2"/>
    <w:rsid w:val="00CD4074"/>
    <w:rsid w:val="00CD4185"/>
    <w:rsid w:val="00CD44DF"/>
    <w:rsid w:val="00CD4794"/>
    <w:rsid w:val="00CD4D7F"/>
    <w:rsid w:val="00CD4F11"/>
    <w:rsid w:val="00CD508E"/>
    <w:rsid w:val="00CD51A4"/>
    <w:rsid w:val="00CD51C7"/>
    <w:rsid w:val="00CD522E"/>
    <w:rsid w:val="00CD5243"/>
    <w:rsid w:val="00CD5412"/>
    <w:rsid w:val="00CD5D5A"/>
    <w:rsid w:val="00CD6718"/>
    <w:rsid w:val="00CD6899"/>
    <w:rsid w:val="00CD6BFA"/>
    <w:rsid w:val="00CD7B4D"/>
    <w:rsid w:val="00CE00AD"/>
    <w:rsid w:val="00CE00E0"/>
    <w:rsid w:val="00CE0472"/>
    <w:rsid w:val="00CE08DF"/>
    <w:rsid w:val="00CE0942"/>
    <w:rsid w:val="00CE0B16"/>
    <w:rsid w:val="00CE1149"/>
    <w:rsid w:val="00CE134D"/>
    <w:rsid w:val="00CE1777"/>
    <w:rsid w:val="00CE1CC0"/>
    <w:rsid w:val="00CE2357"/>
    <w:rsid w:val="00CE2DF2"/>
    <w:rsid w:val="00CE2FB2"/>
    <w:rsid w:val="00CE41EF"/>
    <w:rsid w:val="00CE4917"/>
    <w:rsid w:val="00CE50EC"/>
    <w:rsid w:val="00CE538A"/>
    <w:rsid w:val="00CE58B3"/>
    <w:rsid w:val="00CE5C54"/>
    <w:rsid w:val="00CE5CF5"/>
    <w:rsid w:val="00CE653B"/>
    <w:rsid w:val="00CE675E"/>
    <w:rsid w:val="00CE6839"/>
    <w:rsid w:val="00CE6D70"/>
    <w:rsid w:val="00CE6F8C"/>
    <w:rsid w:val="00CE733F"/>
    <w:rsid w:val="00CE7689"/>
    <w:rsid w:val="00CF0A4E"/>
    <w:rsid w:val="00CF0A86"/>
    <w:rsid w:val="00CF0C15"/>
    <w:rsid w:val="00CF0FF1"/>
    <w:rsid w:val="00CF1AE5"/>
    <w:rsid w:val="00CF1FF6"/>
    <w:rsid w:val="00CF22BD"/>
    <w:rsid w:val="00CF253D"/>
    <w:rsid w:val="00CF2868"/>
    <w:rsid w:val="00CF29F2"/>
    <w:rsid w:val="00CF3057"/>
    <w:rsid w:val="00CF309D"/>
    <w:rsid w:val="00CF366B"/>
    <w:rsid w:val="00CF3B39"/>
    <w:rsid w:val="00CF40AB"/>
    <w:rsid w:val="00CF4139"/>
    <w:rsid w:val="00CF48ED"/>
    <w:rsid w:val="00CF4D54"/>
    <w:rsid w:val="00CF50DE"/>
    <w:rsid w:val="00CF51BF"/>
    <w:rsid w:val="00CF52A7"/>
    <w:rsid w:val="00CF52C5"/>
    <w:rsid w:val="00CF569B"/>
    <w:rsid w:val="00CF5E76"/>
    <w:rsid w:val="00CF72B7"/>
    <w:rsid w:val="00CF752F"/>
    <w:rsid w:val="00CF79E8"/>
    <w:rsid w:val="00CF7B67"/>
    <w:rsid w:val="00D00443"/>
    <w:rsid w:val="00D0069B"/>
    <w:rsid w:val="00D010D4"/>
    <w:rsid w:val="00D010F6"/>
    <w:rsid w:val="00D01361"/>
    <w:rsid w:val="00D014DF"/>
    <w:rsid w:val="00D01D0D"/>
    <w:rsid w:val="00D02572"/>
    <w:rsid w:val="00D02608"/>
    <w:rsid w:val="00D0314A"/>
    <w:rsid w:val="00D0376E"/>
    <w:rsid w:val="00D03813"/>
    <w:rsid w:val="00D03BE7"/>
    <w:rsid w:val="00D03D6C"/>
    <w:rsid w:val="00D03E4D"/>
    <w:rsid w:val="00D04038"/>
    <w:rsid w:val="00D040E1"/>
    <w:rsid w:val="00D041AD"/>
    <w:rsid w:val="00D04884"/>
    <w:rsid w:val="00D04E79"/>
    <w:rsid w:val="00D04F42"/>
    <w:rsid w:val="00D04F50"/>
    <w:rsid w:val="00D05089"/>
    <w:rsid w:val="00D053DE"/>
    <w:rsid w:val="00D05D78"/>
    <w:rsid w:val="00D05F69"/>
    <w:rsid w:val="00D06166"/>
    <w:rsid w:val="00D06451"/>
    <w:rsid w:val="00D067A2"/>
    <w:rsid w:val="00D07558"/>
    <w:rsid w:val="00D07618"/>
    <w:rsid w:val="00D0777A"/>
    <w:rsid w:val="00D0786E"/>
    <w:rsid w:val="00D078F1"/>
    <w:rsid w:val="00D07A9F"/>
    <w:rsid w:val="00D07B37"/>
    <w:rsid w:val="00D07C84"/>
    <w:rsid w:val="00D07E78"/>
    <w:rsid w:val="00D100B5"/>
    <w:rsid w:val="00D102AE"/>
    <w:rsid w:val="00D1067C"/>
    <w:rsid w:val="00D10697"/>
    <w:rsid w:val="00D1086A"/>
    <w:rsid w:val="00D10E74"/>
    <w:rsid w:val="00D1120C"/>
    <w:rsid w:val="00D1125A"/>
    <w:rsid w:val="00D11278"/>
    <w:rsid w:val="00D116F6"/>
    <w:rsid w:val="00D11D50"/>
    <w:rsid w:val="00D11E25"/>
    <w:rsid w:val="00D12EE3"/>
    <w:rsid w:val="00D13011"/>
    <w:rsid w:val="00D1347C"/>
    <w:rsid w:val="00D137E5"/>
    <w:rsid w:val="00D13AEA"/>
    <w:rsid w:val="00D13DA0"/>
    <w:rsid w:val="00D14062"/>
    <w:rsid w:val="00D140C9"/>
    <w:rsid w:val="00D14374"/>
    <w:rsid w:val="00D144D8"/>
    <w:rsid w:val="00D14830"/>
    <w:rsid w:val="00D1499F"/>
    <w:rsid w:val="00D14BAB"/>
    <w:rsid w:val="00D14D4B"/>
    <w:rsid w:val="00D14F64"/>
    <w:rsid w:val="00D15014"/>
    <w:rsid w:val="00D153DA"/>
    <w:rsid w:val="00D1597C"/>
    <w:rsid w:val="00D15FB7"/>
    <w:rsid w:val="00D16066"/>
    <w:rsid w:val="00D163E1"/>
    <w:rsid w:val="00D164CE"/>
    <w:rsid w:val="00D165A1"/>
    <w:rsid w:val="00D1689B"/>
    <w:rsid w:val="00D1713D"/>
    <w:rsid w:val="00D1778A"/>
    <w:rsid w:val="00D200CB"/>
    <w:rsid w:val="00D201A0"/>
    <w:rsid w:val="00D2092F"/>
    <w:rsid w:val="00D20A43"/>
    <w:rsid w:val="00D20A72"/>
    <w:rsid w:val="00D215E0"/>
    <w:rsid w:val="00D217CE"/>
    <w:rsid w:val="00D218E8"/>
    <w:rsid w:val="00D21D71"/>
    <w:rsid w:val="00D21E6A"/>
    <w:rsid w:val="00D220EF"/>
    <w:rsid w:val="00D221B6"/>
    <w:rsid w:val="00D222A0"/>
    <w:rsid w:val="00D224A7"/>
    <w:rsid w:val="00D23250"/>
    <w:rsid w:val="00D2391A"/>
    <w:rsid w:val="00D23A8F"/>
    <w:rsid w:val="00D23CD4"/>
    <w:rsid w:val="00D24354"/>
    <w:rsid w:val="00D25997"/>
    <w:rsid w:val="00D25D7B"/>
    <w:rsid w:val="00D2603B"/>
    <w:rsid w:val="00D26935"/>
    <w:rsid w:val="00D26FB4"/>
    <w:rsid w:val="00D26FF7"/>
    <w:rsid w:val="00D27270"/>
    <w:rsid w:val="00D272AE"/>
    <w:rsid w:val="00D273BB"/>
    <w:rsid w:val="00D27695"/>
    <w:rsid w:val="00D27964"/>
    <w:rsid w:val="00D27BCC"/>
    <w:rsid w:val="00D27CC4"/>
    <w:rsid w:val="00D30252"/>
    <w:rsid w:val="00D304B6"/>
    <w:rsid w:val="00D305E8"/>
    <w:rsid w:val="00D307B4"/>
    <w:rsid w:val="00D30FDE"/>
    <w:rsid w:val="00D310B0"/>
    <w:rsid w:val="00D317D5"/>
    <w:rsid w:val="00D318DC"/>
    <w:rsid w:val="00D31B68"/>
    <w:rsid w:val="00D32256"/>
    <w:rsid w:val="00D3235C"/>
    <w:rsid w:val="00D32FD7"/>
    <w:rsid w:val="00D33030"/>
    <w:rsid w:val="00D331B6"/>
    <w:rsid w:val="00D34289"/>
    <w:rsid w:val="00D34349"/>
    <w:rsid w:val="00D34B90"/>
    <w:rsid w:val="00D34DB1"/>
    <w:rsid w:val="00D3600B"/>
    <w:rsid w:val="00D37300"/>
    <w:rsid w:val="00D377F1"/>
    <w:rsid w:val="00D37AC1"/>
    <w:rsid w:val="00D37CC5"/>
    <w:rsid w:val="00D4086D"/>
    <w:rsid w:val="00D40E91"/>
    <w:rsid w:val="00D414FC"/>
    <w:rsid w:val="00D416BC"/>
    <w:rsid w:val="00D41859"/>
    <w:rsid w:val="00D41AB7"/>
    <w:rsid w:val="00D41B35"/>
    <w:rsid w:val="00D434C9"/>
    <w:rsid w:val="00D43A01"/>
    <w:rsid w:val="00D43A50"/>
    <w:rsid w:val="00D44272"/>
    <w:rsid w:val="00D44761"/>
    <w:rsid w:val="00D449F2"/>
    <w:rsid w:val="00D44EC9"/>
    <w:rsid w:val="00D45160"/>
    <w:rsid w:val="00D45640"/>
    <w:rsid w:val="00D45B2B"/>
    <w:rsid w:val="00D45D19"/>
    <w:rsid w:val="00D4627E"/>
    <w:rsid w:val="00D46429"/>
    <w:rsid w:val="00D465B3"/>
    <w:rsid w:val="00D467F3"/>
    <w:rsid w:val="00D47946"/>
    <w:rsid w:val="00D503EF"/>
    <w:rsid w:val="00D503F5"/>
    <w:rsid w:val="00D50A45"/>
    <w:rsid w:val="00D50C5F"/>
    <w:rsid w:val="00D50C78"/>
    <w:rsid w:val="00D51276"/>
    <w:rsid w:val="00D51359"/>
    <w:rsid w:val="00D51614"/>
    <w:rsid w:val="00D51D54"/>
    <w:rsid w:val="00D524AB"/>
    <w:rsid w:val="00D525FC"/>
    <w:rsid w:val="00D528F4"/>
    <w:rsid w:val="00D536E1"/>
    <w:rsid w:val="00D53D24"/>
    <w:rsid w:val="00D53DD4"/>
    <w:rsid w:val="00D53EEA"/>
    <w:rsid w:val="00D54CEA"/>
    <w:rsid w:val="00D54D35"/>
    <w:rsid w:val="00D54E9E"/>
    <w:rsid w:val="00D54F9D"/>
    <w:rsid w:val="00D55085"/>
    <w:rsid w:val="00D55510"/>
    <w:rsid w:val="00D55C0D"/>
    <w:rsid w:val="00D562C8"/>
    <w:rsid w:val="00D562DF"/>
    <w:rsid w:val="00D563EB"/>
    <w:rsid w:val="00D56548"/>
    <w:rsid w:val="00D57485"/>
    <w:rsid w:val="00D578D0"/>
    <w:rsid w:val="00D57976"/>
    <w:rsid w:val="00D60063"/>
    <w:rsid w:val="00D60094"/>
    <w:rsid w:val="00D610DB"/>
    <w:rsid w:val="00D6197F"/>
    <w:rsid w:val="00D61987"/>
    <w:rsid w:val="00D62EC8"/>
    <w:rsid w:val="00D6314C"/>
    <w:rsid w:val="00D63381"/>
    <w:rsid w:val="00D634E8"/>
    <w:rsid w:val="00D63CB5"/>
    <w:rsid w:val="00D64702"/>
    <w:rsid w:val="00D6472D"/>
    <w:rsid w:val="00D64954"/>
    <w:rsid w:val="00D6530A"/>
    <w:rsid w:val="00D65521"/>
    <w:rsid w:val="00D65792"/>
    <w:rsid w:val="00D6688E"/>
    <w:rsid w:val="00D670BE"/>
    <w:rsid w:val="00D67544"/>
    <w:rsid w:val="00D6769D"/>
    <w:rsid w:val="00D67B8F"/>
    <w:rsid w:val="00D67CAD"/>
    <w:rsid w:val="00D67DE3"/>
    <w:rsid w:val="00D708FA"/>
    <w:rsid w:val="00D70A91"/>
    <w:rsid w:val="00D70F21"/>
    <w:rsid w:val="00D724E7"/>
    <w:rsid w:val="00D725F9"/>
    <w:rsid w:val="00D72F63"/>
    <w:rsid w:val="00D7307C"/>
    <w:rsid w:val="00D73572"/>
    <w:rsid w:val="00D73918"/>
    <w:rsid w:val="00D73979"/>
    <w:rsid w:val="00D73D50"/>
    <w:rsid w:val="00D758B6"/>
    <w:rsid w:val="00D75951"/>
    <w:rsid w:val="00D76430"/>
    <w:rsid w:val="00D76802"/>
    <w:rsid w:val="00D77088"/>
    <w:rsid w:val="00D773E7"/>
    <w:rsid w:val="00D776E6"/>
    <w:rsid w:val="00D77963"/>
    <w:rsid w:val="00D8054E"/>
    <w:rsid w:val="00D80D02"/>
    <w:rsid w:val="00D80E0E"/>
    <w:rsid w:val="00D81C59"/>
    <w:rsid w:val="00D82129"/>
    <w:rsid w:val="00D826D1"/>
    <w:rsid w:val="00D83163"/>
    <w:rsid w:val="00D83484"/>
    <w:rsid w:val="00D83683"/>
    <w:rsid w:val="00D838BA"/>
    <w:rsid w:val="00D840D7"/>
    <w:rsid w:val="00D84163"/>
    <w:rsid w:val="00D84AB3"/>
    <w:rsid w:val="00D84D35"/>
    <w:rsid w:val="00D85253"/>
    <w:rsid w:val="00D857BF"/>
    <w:rsid w:val="00D85A70"/>
    <w:rsid w:val="00D85C8A"/>
    <w:rsid w:val="00D86D3A"/>
    <w:rsid w:val="00D87DC5"/>
    <w:rsid w:val="00D9022F"/>
    <w:rsid w:val="00D903FC"/>
    <w:rsid w:val="00D916A4"/>
    <w:rsid w:val="00D918C0"/>
    <w:rsid w:val="00D91F3E"/>
    <w:rsid w:val="00D92776"/>
    <w:rsid w:val="00D927E9"/>
    <w:rsid w:val="00D93121"/>
    <w:rsid w:val="00D934D4"/>
    <w:rsid w:val="00D93CBA"/>
    <w:rsid w:val="00D941C3"/>
    <w:rsid w:val="00D94A20"/>
    <w:rsid w:val="00D950D1"/>
    <w:rsid w:val="00D95275"/>
    <w:rsid w:val="00D9573D"/>
    <w:rsid w:val="00D9622D"/>
    <w:rsid w:val="00D96A3A"/>
    <w:rsid w:val="00D96F6B"/>
    <w:rsid w:val="00D97079"/>
    <w:rsid w:val="00D976EF"/>
    <w:rsid w:val="00D977FB"/>
    <w:rsid w:val="00D978C6"/>
    <w:rsid w:val="00DA1905"/>
    <w:rsid w:val="00DA1915"/>
    <w:rsid w:val="00DA1EE0"/>
    <w:rsid w:val="00DA3262"/>
    <w:rsid w:val="00DA32E1"/>
    <w:rsid w:val="00DA335F"/>
    <w:rsid w:val="00DA345F"/>
    <w:rsid w:val="00DA40B1"/>
    <w:rsid w:val="00DA5153"/>
    <w:rsid w:val="00DA51C4"/>
    <w:rsid w:val="00DA692B"/>
    <w:rsid w:val="00DA6A41"/>
    <w:rsid w:val="00DA6ABC"/>
    <w:rsid w:val="00DA6C49"/>
    <w:rsid w:val="00DA6DFF"/>
    <w:rsid w:val="00DA7387"/>
    <w:rsid w:val="00DA755E"/>
    <w:rsid w:val="00DA7CA5"/>
    <w:rsid w:val="00DA7E05"/>
    <w:rsid w:val="00DA7F43"/>
    <w:rsid w:val="00DB0327"/>
    <w:rsid w:val="00DB03AC"/>
    <w:rsid w:val="00DB0452"/>
    <w:rsid w:val="00DB0E3C"/>
    <w:rsid w:val="00DB1216"/>
    <w:rsid w:val="00DB1382"/>
    <w:rsid w:val="00DB2960"/>
    <w:rsid w:val="00DB2BB3"/>
    <w:rsid w:val="00DB2DCF"/>
    <w:rsid w:val="00DB39F9"/>
    <w:rsid w:val="00DB3A71"/>
    <w:rsid w:val="00DB3CF3"/>
    <w:rsid w:val="00DB4812"/>
    <w:rsid w:val="00DB50E4"/>
    <w:rsid w:val="00DB5138"/>
    <w:rsid w:val="00DB584E"/>
    <w:rsid w:val="00DB59DE"/>
    <w:rsid w:val="00DB60A7"/>
    <w:rsid w:val="00DB6402"/>
    <w:rsid w:val="00DB68EA"/>
    <w:rsid w:val="00DB6C8F"/>
    <w:rsid w:val="00DB6E26"/>
    <w:rsid w:val="00DB7362"/>
    <w:rsid w:val="00DB79A1"/>
    <w:rsid w:val="00DB7BD2"/>
    <w:rsid w:val="00DC000A"/>
    <w:rsid w:val="00DC03A4"/>
    <w:rsid w:val="00DC0FAA"/>
    <w:rsid w:val="00DC10C9"/>
    <w:rsid w:val="00DC24EE"/>
    <w:rsid w:val="00DC2829"/>
    <w:rsid w:val="00DC28AB"/>
    <w:rsid w:val="00DC32DB"/>
    <w:rsid w:val="00DC3749"/>
    <w:rsid w:val="00DC40C7"/>
    <w:rsid w:val="00DC4494"/>
    <w:rsid w:val="00DC5A14"/>
    <w:rsid w:val="00DC5EA8"/>
    <w:rsid w:val="00DC5F23"/>
    <w:rsid w:val="00DC67D0"/>
    <w:rsid w:val="00DC6919"/>
    <w:rsid w:val="00DC7E08"/>
    <w:rsid w:val="00DD06D1"/>
    <w:rsid w:val="00DD0C5C"/>
    <w:rsid w:val="00DD0EA0"/>
    <w:rsid w:val="00DD1824"/>
    <w:rsid w:val="00DD19DA"/>
    <w:rsid w:val="00DD1B53"/>
    <w:rsid w:val="00DD1CFF"/>
    <w:rsid w:val="00DD1E28"/>
    <w:rsid w:val="00DD28A8"/>
    <w:rsid w:val="00DD2A62"/>
    <w:rsid w:val="00DD2BEC"/>
    <w:rsid w:val="00DD2E39"/>
    <w:rsid w:val="00DD309A"/>
    <w:rsid w:val="00DD35D2"/>
    <w:rsid w:val="00DD4159"/>
    <w:rsid w:val="00DD433D"/>
    <w:rsid w:val="00DD4D51"/>
    <w:rsid w:val="00DD5003"/>
    <w:rsid w:val="00DD5D5F"/>
    <w:rsid w:val="00DD5EF5"/>
    <w:rsid w:val="00DD60C9"/>
    <w:rsid w:val="00DD6AC1"/>
    <w:rsid w:val="00DD6B7B"/>
    <w:rsid w:val="00DD717B"/>
    <w:rsid w:val="00DD73C0"/>
    <w:rsid w:val="00DD772F"/>
    <w:rsid w:val="00DD7C57"/>
    <w:rsid w:val="00DE0FA1"/>
    <w:rsid w:val="00DE0FB2"/>
    <w:rsid w:val="00DE1826"/>
    <w:rsid w:val="00DE1F3B"/>
    <w:rsid w:val="00DE210D"/>
    <w:rsid w:val="00DE2239"/>
    <w:rsid w:val="00DE22E1"/>
    <w:rsid w:val="00DE320E"/>
    <w:rsid w:val="00DE3392"/>
    <w:rsid w:val="00DE3B28"/>
    <w:rsid w:val="00DE3D3E"/>
    <w:rsid w:val="00DE4010"/>
    <w:rsid w:val="00DE4708"/>
    <w:rsid w:val="00DE4D89"/>
    <w:rsid w:val="00DE53D2"/>
    <w:rsid w:val="00DE5C46"/>
    <w:rsid w:val="00DE5ED2"/>
    <w:rsid w:val="00DE5EE6"/>
    <w:rsid w:val="00DE6267"/>
    <w:rsid w:val="00DE6BAD"/>
    <w:rsid w:val="00DE6C26"/>
    <w:rsid w:val="00DE6CBD"/>
    <w:rsid w:val="00DE6DA7"/>
    <w:rsid w:val="00DE6F6B"/>
    <w:rsid w:val="00DE79FB"/>
    <w:rsid w:val="00DE7B56"/>
    <w:rsid w:val="00DE7C5A"/>
    <w:rsid w:val="00DE7F2C"/>
    <w:rsid w:val="00DF0762"/>
    <w:rsid w:val="00DF07C9"/>
    <w:rsid w:val="00DF0B86"/>
    <w:rsid w:val="00DF0C25"/>
    <w:rsid w:val="00DF0DE1"/>
    <w:rsid w:val="00DF16EA"/>
    <w:rsid w:val="00DF1912"/>
    <w:rsid w:val="00DF1C47"/>
    <w:rsid w:val="00DF1D35"/>
    <w:rsid w:val="00DF1DAC"/>
    <w:rsid w:val="00DF1F7A"/>
    <w:rsid w:val="00DF22EC"/>
    <w:rsid w:val="00DF2891"/>
    <w:rsid w:val="00DF2A10"/>
    <w:rsid w:val="00DF2D4C"/>
    <w:rsid w:val="00DF2F0C"/>
    <w:rsid w:val="00DF3015"/>
    <w:rsid w:val="00DF319F"/>
    <w:rsid w:val="00DF36BA"/>
    <w:rsid w:val="00DF3C1E"/>
    <w:rsid w:val="00DF3DA3"/>
    <w:rsid w:val="00DF4101"/>
    <w:rsid w:val="00DF42FC"/>
    <w:rsid w:val="00DF4502"/>
    <w:rsid w:val="00DF55C4"/>
    <w:rsid w:val="00DF62B1"/>
    <w:rsid w:val="00DF6594"/>
    <w:rsid w:val="00DF67EF"/>
    <w:rsid w:val="00DF6F22"/>
    <w:rsid w:val="00DF7980"/>
    <w:rsid w:val="00E0088F"/>
    <w:rsid w:val="00E0114C"/>
    <w:rsid w:val="00E011A5"/>
    <w:rsid w:val="00E01823"/>
    <w:rsid w:val="00E018AC"/>
    <w:rsid w:val="00E01DC5"/>
    <w:rsid w:val="00E01F21"/>
    <w:rsid w:val="00E01FCB"/>
    <w:rsid w:val="00E020F0"/>
    <w:rsid w:val="00E021D0"/>
    <w:rsid w:val="00E02326"/>
    <w:rsid w:val="00E027CB"/>
    <w:rsid w:val="00E02955"/>
    <w:rsid w:val="00E02AFE"/>
    <w:rsid w:val="00E030DA"/>
    <w:rsid w:val="00E03297"/>
    <w:rsid w:val="00E03448"/>
    <w:rsid w:val="00E0386D"/>
    <w:rsid w:val="00E04703"/>
    <w:rsid w:val="00E04D40"/>
    <w:rsid w:val="00E04DBB"/>
    <w:rsid w:val="00E0518D"/>
    <w:rsid w:val="00E052B9"/>
    <w:rsid w:val="00E05CC4"/>
    <w:rsid w:val="00E06845"/>
    <w:rsid w:val="00E068B1"/>
    <w:rsid w:val="00E06B08"/>
    <w:rsid w:val="00E06CCE"/>
    <w:rsid w:val="00E0757F"/>
    <w:rsid w:val="00E07F59"/>
    <w:rsid w:val="00E10279"/>
    <w:rsid w:val="00E107AD"/>
    <w:rsid w:val="00E10871"/>
    <w:rsid w:val="00E10B08"/>
    <w:rsid w:val="00E115B9"/>
    <w:rsid w:val="00E11C7E"/>
    <w:rsid w:val="00E1261D"/>
    <w:rsid w:val="00E126E1"/>
    <w:rsid w:val="00E12717"/>
    <w:rsid w:val="00E13D7D"/>
    <w:rsid w:val="00E1404E"/>
    <w:rsid w:val="00E14574"/>
    <w:rsid w:val="00E14D2F"/>
    <w:rsid w:val="00E15151"/>
    <w:rsid w:val="00E154A8"/>
    <w:rsid w:val="00E1569A"/>
    <w:rsid w:val="00E15975"/>
    <w:rsid w:val="00E1631D"/>
    <w:rsid w:val="00E16A8C"/>
    <w:rsid w:val="00E16CD2"/>
    <w:rsid w:val="00E1744D"/>
    <w:rsid w:val="00E201E4"/>
    <w:rsid w:val="00E2116A"/>
    <w:rsid w:val="00E2273C"/>
    <w:rsid w:val="00E2290D"/>
    <w:rsid w:val="00E22A04"/>
    <w:rsid w:val="00E22E44"/>
    <w:rsid w:val="00E23C4D"/>
    <w:rsid w:val="00E23E50"/>
    <w:rsid w:val="00E2429A"/>
    <w:rsid w:val="00E245EF"/>
    <w:rsid w:val="00E2463A"/>
    <w:rsid w:val="00E2484C"/>
    <w:rsid w:val="00E24F87"/>
    <w:rsid w:val="00E2545F"/>
    <w:rsid w:val="00E25B27"/>
    <w:rsid w:val="00E2671A"/>
    <w:rsid w:val="00E267B2"/>
    <w:rsid w:val="00E26C03"/>
    <w:rsid w:val="00E26E86"/>
    <w:rsid w:val="00E271F8"/>
    <w:rsid w:val="00E274DF"/>
    <w:rsid w:val="00E274E4"/>
    <w:rsid w:val="00E276B6"/>
    <w:rsid w:val="00E27B35"/>
    <w:rsid w:val="00E27BEB"/>
    <w:rsid w:val="00E27E53"/>
    <w:rsid w:val="00E30071"/>
    <w:rsid w:val="00E30330"/>
    <w:rsid w:val="00E304AB"/>
    <w:rsid w:val="00E3074F"/>
    <w:rsid w:val="00E30C0E"/>
    <w:rsid w:val="00E30C64"/>
    <w:rsid w:val="00E312DA"/>
    <w:rsid w:val="00E314EF"/>
    <w:rsid w:val="00E3188B"/>
    <w:rsid w:val="00E31D0C"/>
    <w:rsid w:val="00E31DE7"/>
    <w:rsid w:val="00E321A0"/>
    <w:rsid w:val="00E324C3"/>
    <w:rsid w:val="00E3269C"/>
    <w:rsid w:val="00E3278F"/>
    <w:rsid w:val="00E3298C"/>
    <w:rsid w:val="00E32BE3"/>
    <w:rsid w:val="00E33359"/>
    <w:rsid w:val="00E3372F"/>
    <w:rsid w:val="00E337B8"/>
    <w:rsid w:val="00E3417F"/>
    <w:rsid w:val="00E34567"/>
    <w:rsid w:val="00E35648"/>
    <w:rsid w:val="00E35822"/>
    <w:rsid w:val="00E359DA"/>
    <w:rsid w:val="00E35E14"/>
    <w:rsid w:val="00E36197"/>
    <w:rsid w:val="00E362B8"/>
    <w:rsid w:val="00E36388"/>
    <w:rsid w:val="00E37089"/>
    <w:rsid w:val="00E375F8"/>
    <w:rsid w:val="00E377BF"/>
    <w:rsid w:val="00E378FC"/>
    <w:rsid w:val="00E37B17"/>
    <w:rsid w:val="00E37D65"/>
    <w:rsid w:val="00E40721"/>
    <w:rsid w:val="00E40EF8"/>
    <w:rsid w:val="00E411CB"/>
    <w:rsid w:val="00E41895"/>
    <w:rsid w:val="00E4233A"/>
    <w:rsid w:val="00E42666"/>
    <w:rsid w:val="00E43690"/>
    <w:rsid w:val="00E437E3"/>
    <w:rsid w:val="00E43ADD"/>
    <w:rsid w:val="00E43F34"/>
    <w:rsid w:val="00E44216"/>
    <w:rsid w:val="00E44526"/>
    <w:rsid w:val="00E445FA"/>
    <w:rsid w:val="00E44C51"/>
    <w:rsid w:val="00E44E89"/>
    <w:rsid w:val="00E45630"/>
    <w:rsid w:val="00E4580B"/>
    <w:rsid w:val="00E45B6B"/>
    <w:rsid w:val="00E46CC8"/>
    <w:rsid w:val="00E46ECD"/>
    <w:rsid w:val="00E472F8"/>
    <w:rsid w:val="00E476B7"/>
    <w:rsid w:val="00E47DAE"/>
    <w:rsid w:val="00E47EB5"/>
    <w:rsid w:val="00E5009F"/>
    <w:rsid w:val="00E50DDA"/>
    <w:rsid w:val="00E50E49"/>
    <w:rsid w:val="00E50F47"/>
    <w:rsid w:val="00E513F4"/>
    <w:rsid w:val="00E51908"/>
    <w:rsid w:val="00E527BA"/>
    <w:rsid w:val="00E53698"/>
    <w:rsid w:val="00E53B29"/>
    <w:rsid w:val="00E53BBA"/>
    <w:rsid w:val="00E53D45"/>
    <w:rsid w:val="00E54623"/>
    <w:rsid w:val="00E546FF"/>
    <w:rsid w:val="00E54D80"/>
    <w:rsid w:val="00E553EC"/>
    <w:rsid w:val="00E5577A"/>
    <w:rsid w:val="00E5577F"/>
    <w:rsid w:val="00E55B0F"/>
    <w:rsid w:val="00E55D40"/>
    <w:rsid w:val="00E55E9E"/>
    <w:rsid w:val="00E561A6"/>
    <w:rsid w:val="00E56492"/>
    <w:rsid w:val="00E564EC"/>
    <w:rsid w:val="00E56F9B"/>
    <w:rsid w:val="00E57428"/>
    <w:rsid w:val="00E60276"/>
    <w:rsid w:val="00E60310"/>
    <w:rsid w:val="00E607ED"/>
    <w:rsid w:val="00E60B17"/>
    <w:rsid w:val="00E60C27"/>
    <w:rsid w:val="00E60F21"/>
    <w:rsid w:val="00E610F4"/>
    <w:rsid w:val="00E61145"/>
    <w:rsid w:val="00E62B81"/>
    <w:rsid w:val="00E62DC4"/>
    <w:rsid w:val="00E63130"/>
    <w:rsid w:val="00E637C4"/>
    <w:rsid w:val="00E638A0"/>
    <w:rsid w:val="00E63B69"/>
    <w:rsid w:val="00E63CFE"/>
    <w:rsid w:val="00E64107"/>
    <w:rsid w:val="00E642D8"/>
    <w:rsid w:val="00E6450B"/>
    <w:rsid w:val="00E64520"/>
    <w:rsid w:val="00E646F7"/>
    <w:rsid w:val="00E64986"/>
    <w:rsid w:val="00E65043"/>
    <w:rsid w:val="00E65988"/>
    <w:rsid w:val="00E65A4B"/>
    <w:rsid w:val="00E65B4E"/>
    <w:rsid w:val="00E65D14"/>
    <w:rsid w:val="00E66868"/>
    <w:rsid w:val="00E67179"/>
    <w:rsid w:val="00E67341"/>
    <w:rsid w:val="00E6780C"/>
    <w:rsid w:val="00E6781D"/>
    <w:rsid w:val="00E67868"/>
    <w:rsid w:val="00E6795F"/>
    <w:rsid w:val="00E70393"/>
    <w:rsid w:val="00E70476"/>
    <w:rsid w:val="00E70E02"/>
    <w:rsid w:val="00E7111C"/>
    <w:rsid w:val="00E715FB"/>
    <w:rsid w:val="00E72165"/>
    <w:rsid w:val="00E721A2"/>
    <w:rsid w:val="00E72843"/>
    <w:rsid w:val="00E72916"/>
    <w:rsid w:val="00E72E6B"/>
    <w:rsid w:val="00E7321F"/>
    <w:rsid w:val="00E7356A"/>
    <w:rsid w:val="00E73738"/>
    <w:rsid w:val="00E73814"/>
    <w:rsid w:val="00E73AFB"/>
    <w:rsid w:val="00E74A78"/>
    <w:rsid w:val="00E74BA1"/>
    <w:rsid w:val="00E74DBC"/>
    <w:rsid w:val="00E74FAE"/>
    <w:rsid w:val="00E7506D"/>
    <w:rsid w:val="00E750B6"/>
    <w:rsid w:val="00E75325"/>
    <w:rsid w:val="00E7575A"/>
    <w:rsid w:val="00E75B45"/>
    <w:rsid w:val="00E7635C"/>
    <w:rsid w:val="00E76A5B"/>
    <w:rsid w:val="00E776A7"/>
    <w:rsid w:val="00E77B6D"/>
    <w:rsid w:val="00E77C8F"/>
    <w:rsid w:val="00E80139"/>
    <w:rsid w:val="00E8036E"/>
    <w:rsid w:val="00E80537"/>
    <w:rsid w:val="00E81444"/>
    <w:rsid w:val="00E815BF"/>
    <w:rsid w:val="00E829D4"/>
    <w:rsid w:val="00E82CB5"/>
    <w:rsid w:val="00E834BB"/>
    <w:rsid w:val="00E8369D"/>
    <w:rsid w:val="00E836EA"/>
    <w:rsid w:val="00E8397A"/>
    <w:rsid w:val="00E83F0F"/>
    <w:rsid w:val="00E84298"/>
    <w:rsid w:val="00E84407"/>
    <w:rsid w:val="00E84AB1"/>
    <w:rsid w:val="00E84DE3"/>
    <w:rsid w:val="00E852D3"/>
    <w:rsid w:val="00E854BE"/>
    <w:rsid w:val="00E857DA"/>
    <w:rsid w:val="00E85B3A"/>
    <w:rsid w:val="00E85CE3"/>
    <w:rsid w:val="00E85E44"/>
    <w:rsid w:val="00E8772D"/>
    <w:rsid w:val="00E87CF6"/>
    <w:rsid w:val="00E900DF"/>
    <w:rsid w:val="00E90251"/>
    <w:rsid w:val="00E915B0"/>
    <w:rsid w:val="00E924E1"/>
    <w:rsid w:val="00E92DC7"/>
    <w:rsid w:val="00E93370"/>
    <w:rsid w:val="00E9392E"/>
    <w:rsid w:val="00E93B35"/>
    <w:rsid w:val="00E94950"/>
    <w:rsid w:val="00E95143"/>
    <w:rsid w:val="00E96623"/>
    <w:rsid w:val="00E96650"/>
    <w:rsid w:val="00E96C09"/>
    <w:rsid w:val="00E96D73"/>
    <w:rsid w:val="00E97388"/>
    <w:rsid w:val="00E97585"/>
    <w:rsid w:val="00E97BF6"/>
    <w:rsid w:val="00EA07FB"/>
    <w:rsid w:val="00EA0F3C"/>
    <w:rsid w:val="00EA10AC"/>
    <w:rsid w:val="00EA1528"/>
    <w:rsid w:val="00EA16C8"/>
    <w:rsid w:val="00EA1EBF"/>
    <w:rsid w:val="00EA1F8D"/>
    <w:rsid w:val="00EA2290"/>
    <w:rsid w:val="00EA22D8"/>
    <w:rsid w:val="00EA236C"/>
    <w:rsid w:val="00EA2D09"/>
    <w:rsid w:val="00EA3204"/>
    <w:rsid w:val="00EA32E2"/>
    <w:rsid w:val="00EA34EE"/>
    <w:rsid w:val="00EA36D3"/>
    <w:rsid w:val="00EA36E9"/>
    <w:rsid w:val="00EA3761"/>
    <w:rsid w:val="00EA37E7"/>
    <w:rsid w:val="00EA3C8A"/>
    <w:rsid w:val="00EA4011"/>
    <w:rsid w:val="00EA40C1"/>
    <w:rsid w:val="00EA4231"/>
    <w:rsid w:val="00EA4317"/>
    <w:rsid w:val="00EA4ABF"/>
    <w:rsid w:val="00EA4B58"/>
    <w:rsid w:val="00EA4EA2"/>
    <w:rsid w:val="00EA51C7"/>
    <w:rsid w:val="00EA5AD0"/>
    <w:rsid w:val="00EA5C51"/>
    <w:rsid w:val="00EA5E6A"/>
    <w:rsid w:val="00EA6203"/>
    <w:rsid w:val="00EA683F"/>
    <w:rsid w:val="00EA6B73"/>
    <w:rsid w:val="00EA734E"/>
    <w:rsid w:val="00EA754D"/>
    <w:rsid w:val="00EA75CA"/>
    <w:rsid w:val="00EA7E3F"/>
    <w:rsid w:val="00EA7FE9"/>
    <w:rsid w:val="00EB097A"/>
    <w:rsid w:val="00EB0CC2"/>
    <w:rsid w:val="00EB1BA9"/>
    <w:rsid w:val="00EB2828"/>
    <w:rsid w:val="00EB2B8A"/>
    <w:rsid w:val="00EB2DBC"/>
    <w:rsid w:val="00EB3074"/>
    <w:rsid w:val="00EB3466"/>
    <w:rsid w:val="00EB36C6"/>
    <w:rsid w:val="00EB3797"/>
    <w:rsid w:val="00EB383F"/>
    <w:rsid w:val="00EB3881"/>
    <w:rsid w:val="00EB3C8A"/>
    <w:rsid w:val="00EB42AE"/>
    <w:rsid w:val="00EB43E2"/>
    <w:rsid w:val="00EB4CE2"/>
    <w:rsid w:val="00EB4FDF"/>
    <w:rsid w:val="00EB517E"/>
    <w:rsid w:val="00EB5269"/>
    <w:rsid w:val="00EB5582"/>
    <w:rsid w:val="00EB59E6"/>
    <w:rsid w:val="00EB5BDF"/>
    <w:rsid w:val="00EB5CA3"/>
    <w:rsid w:val="00EB5EBE"/>
    <w:rsid w:val="00EB64B8"/>
    <w:rsid w:val="00EB7DAF"/>
    <w:rsid w:val="00EC136D"/>
    <w:rsid w:val="00EC15FB"/>
    <w:rsid w:val="00EC1E4A"/>
    <w:rsid w:val="00EC2C40"/>
    <w:rsid w:val="00EC2E6B"/>
    <w:rsid w:val="00EC2FB3"/>
    <w:rsid w:val="00EC321C"/>
    <w:rsid w:val="00EC3349"/>
    <w:rsid w:val="00EC34FC"/>
    <w:rsid w:val="00EC37AB"/>
    <w:rsid w:val="00EC39BD"/>
    <w:rsid w:val="00EC4308"/>
    <w:rsid w:val="00EC4D41"/>
    <w:rsid w:val="00EC54B0"/>
    <w:rsid w:val="00EC54EC"/>
    <w:rsid w:val="00EC5690"/>
    <w:rsid w:val="00EC58C5"/>
    <w:rsid w:val="00EC5C2B"/>
    <w:rsid w:val="00EC69AB"/>
    <w:rsid w:val="00EC69D4"/>
    <w:rsid w:val="00EC7155"/>
    <w:rsid w:val="00EC7222"/>
    <w:rsid w:val="00EC7F5B"/>
    <w:rsid w:val="00ED03C8"/>
    <w:rsid w:val="00ED06C8"/>
    <w:rsid w:val="00ED0FCB"/>
    <w:rsid w:val="00ED10B4"/>
    <w:rsid w:val="00ED1616"/>
    <w:rsid w:val="00ED256B"/>
    <w:rsid w:val="00ED2AC5"/>
    <w:rsid w:val="00ED2DC6"/>
    <w:rsid w:val="00ED2E3D"/>
    <w:rsid w:val="00ED2ED4"/>
    <w:rsid w:val="00ED3BAB"/>
    <w:rsid w:val="00ED4A86"/>
    <w:rsid w:val="00ED4BB2"/>
    <w:rsid w:val="00ED4C41"/>
    <w:rsid w:val="00ED59C6"/>
    <w:rsid w:val="00ED5B42"/>
    <w:rsid w:val="00ED5E27"/>
    <w:rsid w:val="00ED5ED4"/>
    <w:rsid w:val="00ED6442"/>
    <w:rsid w:val="00ED64BD"/>
    <w:rsid w:val="00ED671F"/>
    <w:rsid w:val="00ED73E4"/>
    <w:rsid w:val="00ED7800"/>
    <w:rsid w:val="00EE0075"/>
    <w:rsid w:val="00EE0C14"/>
    <w:rsid w:val="00EE0CEE"/>
    <w:rsid w:val="00EE0D6F"/>
    <w:rsid w:val="00EE0DFD"/>
    <w:rsid w:val="00EE0EF0"/>
    <w:rsid w:val="00EE14AA"/>
    <w:rsid w:val="00EE2410"/>
    <w:rsid w:val="00EE26A8"/>
    <w:rsid w:val="00EE291E"/>
    <w:rsid w:val="00EE29C1"/>
    <w:rsid w:val="00EE2A81"/>
    <w:rsid w:val="00EE2AA9"/>
    <w:rsid w:val="00EE32E2"/>
    <w:rsid w:val="00EE3BBF"/>
    <w:rsid w:val="00EE3EB3"/>
    <w:rsid w:val="00EE40AC"/>
    <w:rsid w:val="00EE4D29"/>
    <w:rsid w:val="00EE4E19"/>
    <w:rsid w:val="00EE50A5"/>
    <w:rsid w:val="00EE56E0"/>
    <w:rsid w:val="00EE5A35"/>
    <w:rsid w:val="00EE5B79"/>
    <w:rsid w:val="00EE663E"/>
    <w:rsid w:val="00EE6693"/>
    <w:rsid w:val="00EE6C02"/>
    <w:rsid w:val="00EE6F01"/>
    <w:rsid w:val="00EE7644"/>
    <w:rsid w:val="00EE7661"/>
    <w:rsid w:val="00EF0771"/>
    <w:rsid w:val="00EF0BE0"/>
    <w:rsid w:val="00EF0BF0"/>
    <w:rsid w:val="00EF0DA1"/>
    <w:rsid w:val="00EF0E86"/>
    <w:rsid w:val="00EF12F2"/>
    <w:rsid w:val="00EF1D75"/>
    <w:rsid w:val="00EF21D4"/>
    <w:rsid w:val="00EF2362"/>
    <w:rsid w:val="00EF2A5B"/>
    <w:rsid w:val="00EF2DE8"/>
    <w:rsid w:val="00EF2F00"/>
    <w:rsid w:val="00EF30DC"/>
    <w:rsid w:val="00EF35C8"/>
    <w:rsid w:val="00EF4196"/>
    <w:rsid w:val="00EF43F6"/>
    <w:rsid w:val="00EF4BBD"/>
    <w:rsid w:val="00EF4D88"/>
    <w:rsid w:val="00EF4DB8"/>
    <w:rsid w:val="00EF4EC3"/>
    <w:rsid w:val="00EF5851"/>
    <w:rsid w:val="00EF5859"/>
    <w:rsid w:val="00EF5F9D"/>
    <w:rsid w:val="00EF5FDD"/>
    <w:rsid w:val="00EF6343"/>
    <w:rsid w:val="00EF6724"/>
    <w:rsid w:val="00EF737E"/>
    <w:rsid w:val="00EF78AB"/>
    <w:rsid w:val="00EF7FCD"/>
    <w:rsid w:val="00F00857"/>
    <w:rsid w:val="00F00962"/>
    <w:rsid w:val="00F009EA"/>
    <w:rsid w:val="00F00CA5"/>
    <w:rsid w:val="00F00E98"/>
    <w:rsid w:val="00F01C2A"/>
    <w:rsid w:val="00F02479"/>
    <w:rsid w:val="00F02A0A"/>
    <w:rsid w:val="00F02F88"/>
    <w:rsid w:val="00F0381B"/>
    <w:rsid w:val="00F0391F"/>
    <w:rsid w:val="00F03992"/>
    <w:rsid w:val="00F03E95"/>
    <w:rsid w:val="00F0400B"/>
    <w:rsid w:val="00F04AC9"/>
    <w:rsid w:val="00F04BD8"/>
    <w:rsid w:val="00F056B0"/>
    <w:rsid w:val="00F05D3A"/>
    <w:rsid w:val="00F0647F"/>
    <w:rsid w:val="00F06500"/>
    <w:rsid w:val="00F065DF"/>
    <w:rsid w:val="00F068C2"/>
    <w:rsid w:val="00F068F6"/>
    <w:rsid w:val="00F06DE6"/>
    <w:rsid w:val="00F07034"/>
    <w:rsid w:val="00F07037"/>
    <w:rsid w:val="00F0723B"/>
    <w:rsid w:val="00F07481"/>
    <w:rsid w:val="00F07C37"/>
    <w:rsid w:val="00F07E1D"/>
    <w:rsid w:val="00F104AC"/>
    <w:rsid w:val="00F10828"/>
    <w:rsid w:val="00F10D66"/>
    <w:rsid w:val="00F10E63"/>
    <w:rsid w:val="00F11210"/>
    <w:rsid w:val="00F11213"/>
    <w:rsid w:val="00F11333"/>
    <w:rsid w:val="00F1154F"/>
    <w:rsid w:val="00F11AEE"/>
    <w:rsid w:val="00F11CAF"/>
    <w:rsid w:val="00F11CD5"/>
    <w:rsid w:val="00F11E9B"/>
    <w:rsid w:val="00F12670"/>
    <w:rsid w:val="00F12A44"/>
    <w:rsid w:val="00F12C85"/>
    <w:rsid w:val="00F12CDE"/>
    <w:rsid w:val="00F12FAB"/>
    <w:rsid w:val="00F13397"/>
    <w:rsid w:val="00F13570"/>
    <w:rsid w:val="00F1362A"/>
    <w:rsid w:val="00F1451F"/>
    <w:rsid w:val="00F14760"/>
    <w:rsid w:val="00F15AAA"/>
    <w:rsid w:val="00F15D5D"/>
    <w:rsid w:val="00F15DD3"/>
    <w:rsid w:val="00F160E5"/>
    <w:rsid w:val="00F16AA2"/>
    <w:rsid w:val="00F16E4C"/>
    <w:rsid w:val="00F17076"/>
    <w:rsid w:val="00F17306"/>
    <w:rsid w:val="00F17419"/>
    <w:rsid w:val="00F17D2E"/>
    <w:rsid w:val="00F17E7D"/>
    <w:rsid w:val="00F202F4"/>
    <w:rsid w:val="00F20ABA"/>
    <w:rsid w:val="00F20FB3"/>
    <w:rsid w:val="00F2100B"/>
    <w:rsid w:val="00F21436"/>
    <w:rsid w:val="00F21E06"/>
    <w:rsid w:val="00F220C8"/>
    <w:rsid w:val="00F22386"/>
    <w:rsid w:val="00F22A90"/>
    <w:rsid w:val="00F22E42"/>
    <w:rsid w:val="00F23805"/>
    <w:rsid w:val="00F23C57"/>
    <w:rsid w:val="00F24079"/>
    <w:rsid w:val="00F2423F"/>
    <w:rsid w:val="00F24A81"/>
    <w:rsid w:val="00F24A8D"/>
    <w:rsid w:val="00F24B63"/>
    <w:rsid w:val="00F24E11"/>
    <w:rsid w:val="00F2563F"/>
    <w:rsid w:val="00F25738"/>
    <w:rsid w:val="00F25C70"/>
    <w:rsid w:val="00F25E74"/>
    <w:rsid w:val="00F26CE8"/>
    <w:rsid w:val="00F2703F"/>
    <w:rsid w:val="00F27586"/>
    <w:rsid w:val="00F279E9"/>
    <w:rsid w:val="00F27A3B"/>
    <w:rsid w:val="00F27AD7"/>
    <w:rsid w:val="00F27BF1"/>
    <w:rsid w:val="00F30044"/>
    <w:rsid w:val="00F309E7"/>
    <w:rsid w:val="00F30BF9"/>
    <w:rsid w:val="00F31320"/>
    <w:rsid w:val="00F3147F"/>
    <w:rsid w:val="00F316A3"/>
    <w:rsid w:val="00F320C3"/>
    <w:rsid w:val="00F330B6"/>
    <w:rsid w:val="00F33B48"/>
    <w:rsid w:val="00F33E90"/>
    <w:rsid w:val="00F34411"/>
    <w:rsid w:val="00F34F5A"/>
    <w:rsid w:val="00F34F81"/>
    <w:rsid w:val="00F35141"/>
    <w:rsid w:val="00F351F7"/>
    <w:rsid w:val="00F353EF"/>
    <w:rsid w:val="00F3566A"/>
    <w:rsid w:val="00F35A8F"/>
    <w:rsid w:val="00F35C47"/>
    <w:rsid w:val="00F35DE9"/>
    <w:rsid w:val="00F36AD5"/>
    <w:rsid w:val="00F36D69"/>
    <w:rsid w:val="00F36DD7"/>
    <w:rsid w:val="00F37BF2"/>
    <w:rsid w:val="00F4012D"/>
    <w:rsid w:val="00F401D1"/>
    <w:rsid w:val="00F40FF7"/>
    <w:rsid w:val="00F41073"/>
    <w:rsid w:val="00F41344"/>
    <w:rsid w:val="00F42220"/>
    <w:rsid w:val="00F423A9"/>
    <w:rsid w:val="00F430AD"/>
    <w:rsid w:val="00F43521"/>
    <w:rsid w:val="00F436F9"/>
    <w:rsid w:val="00F43849"/>
    <w:rsid w:val="00F44021"/>
    <w:rsid w:val="00F440B8"/>
    <w:rsid w:val="00F44401"/>
    <w:rsid w:val="00F4461A"/>
    <w:rsid w:val="00F447A0"/>
    <w:rsid w:val="00F448BC"/>
    <w:rsid w:val="00F44F7F"/>
    <w:rsid w:val="00F44F80"/>
    <w:rsid w:val="00F45E52"/>
    <w:rsid w:val="00F46CB6"/>
    <w:rsid w:val="00F46DF6"/>
    <w:rsid w:val="00F47337"/>
    <w:rsid w:val="00F478A4"/>
    <w:rsid w:val="00F5168B"/>
    <w:rsid w:val="00F5169E"/>
    <w:rsid w:val="00F51A19"/>
    <w:rsid w:val="00F52319"/>
    <w:rsid w:val="00F52418"/>
    <w:rsid w:val="00F52650"/>
    <w:rsid w:val="00F527B5"/>
    <w:rsid w:val="00F52BAD"/>
    <w:rsid w:val="00F5339E"/>
    <w:rsid w:val="00F533E7"/>
    <w:rsid w:val="00F534BA"/>
    <w:rsid w:val="00F5357A"/>
    <w:rsid w:val="00F53616"/>
    <w:rsid w:val="00F536F2"/>
    <w:rsid w:val="00F53792"/>
    <w:rsid w:val="00F5398E"/>
    <w:rsid w:val="00F53B36"/>
    <w:rsid w:val="00F53F97"/>
    <w:rsid w:val="00F545DB"/>
    <w:rsid w:val="00F54690"/>
    <w:rsid w:val="00F55259"/>
    <w:rsid w:val="00F55264"/>
    <w:rsid w:val="00F56471"/>
    <w:rsid w:val="00F56506"/>
    <w:rsid w:val="00F565D9"/>
    <w:rsid w:val="00F56ABC"/>
    <w:rsid w:val="00F56F2E"/>
    <w:rsid w:val="00F579B0"/>
    <w:rsid w:val="00F57B2A"/>
    <w:rsid w:val="00F57B66"/>
    <w:rsid w:val="00F57DDE"/>
    <w:rsid w:val="00F57EC3"/>
    <w:rsid w:val="00F60C05"/>
    <w:rsid w:val="00F60D02"/>
    <w:rsid w:val="00F612FC"/>
    <w:rsid w:val="00F614BD"/>
    <w:rsid w:val="00F61CF4"/>
    <w:rsid w:val="00F61E76"/>
    <w:rsid w:val="00F61FB8"/>
    <w:rsid w:val="00F629B7"/>
    <w:rsid w:val="00F629DE"/>
    <w:rsid w:val="00F62D35"/>
    <w:rsid w:val="00F6338C"/>
    <w:rsid w:val="00F63444"/>
    <w:rsid w:val="00F6353C"/>
    <w:rsid w:val="00F63CA9"/>
    <w:rsid w:val="00F641DF"/>
    <w:rsid w:val="00F6442D"/>
    <w:rsid w:val="00F64442"/>
    <w:rsid w:val="00F645C5"/>
    <w:rsid w:val="00F64A5D"/>
    <w:rsid w:val="00F64D1B"/>
    <w:rsid w:val="00F65065"/>
    <w:rsid w:val="00F65263"/>
    <w:rsid w:val="00F653AD"/>
    <w:rsid w:val="00F65921"/>
    <w:rsid w:val="00F659E2"/>
    <w:rsid w:val="00F65C73"/>
    <w:rsid w:val="00F660F1"/>
    <w:rsid w:val="00F673DA"/>
    <w:rsid w:val="00F67485"/>
    <w:rsid w:val="00F674A0"/>
    <w:rsid w:val="00F67C57"/>
    <w:rsid w:val="00F67D8F"/>
    <w:rsid w:val="00F7014B"/>
    <w:rsid w:val="00F701DB"/>
    <w:rsid w:val="00F7032A"/>
    <w:rsid w:val="00F70EFF"/>
    <w:rsid w:val="00F716EC"/>
    <w:rsid w:val="00F7189C"/>
    <w:rsid w:val="00F71A63"/>
    <w:rsid w:val="00F71B61"/>
    <w:rsid w:val="00F722A3"/>
    <w:rsid w:val="00F72304"/>
    <w:rsid w:val="00F72B9D"/>
    <w:rsid w:val="00F72CF9"/>
    <w:rsid w:val="00F7394E"/>
    <w:rsid w:val="00F73AE1"/>
    <w:rsid w:val="00F73B2D"/>
    <w:rsid w:val="00F73B81"/>
    <w:rsid w:val="00F73F89"/>
    <w:rsid w:val="00F74144"/>
    <w:rsid w:val="00F74147"/>
    <w:rsid w:val="00F741F8"/>
    <w:rsid w:val="00F74681"/>
    <w:rsid w:val="00F7482B"/>
    <w:rsid w:val="00F74886"/>
    <w:rsid w:val="00F74B74"/>
    <w:rsid w:val="00F7518A"/>
    <w:rsid w:val="00F75555"/>
    <w:rsid w:val="00F75948"/>
    <w:rsid w:val="00F76074"/>
    <w:rsid w:val="00F77452"/>
    <w:rsid w:val="00F77516"/>
    <w:rsid w:val="00F775E4"/>
    <w:rsid w:val="00F7760D"/>
    <w:rsid w:val="00F77A08"/>
    <w:rsid w:val="00F77B5B"/>
    <w:rsid w:val="00F77C19"/>
    <w:rsid w:val="00F800AE"/>
    <w:rsid w:val="00F8031E"/>
    <w:rsid w:val="00F80A54"/>
    <w:rsid w:val="00F80AD7"/>
    <w:rsid w:val="00F80C95"/>
    <w:rsid w:val="00F80CB8"/>
    <w:rsid w:val="00F81B42"/>
    <w:rsid w:val="00F81D31"/>
    <w:rsid w:val="00F826FB"/>
    <w:rsid w:val="00F837B6"/>
    <w:rsid w:val="00F83825"/>
    <w:rsid w:val="00F83998"/>
    <w:rsid w:val="00F83A9A"/>
    <w:rsid w:val="00F843AE"/>
    <w:rsid w:val="00F8473C"/>
    <w:rsid w:val="00F849FB"/>
    <w:rsid w:val="00F85065"/>
    <w:rsid w:val="00F856C4"/>
    <w:rsid w:val="00F85A39"/>
    <w:rsid w:val="00F85B07"/>
    <w:rsid w:val="00F85BC8"/>
    <w:rsid w:val="00F85F71"/>
    <w:rsid w:val="00F86636"/>
    <w:rsid w:val="00F86C4D"/>
    <w:rsid w:val="00F86C8A"/>
    <w:rsid w:val="00F874CB"/>
    <w:rsid w:val="00F87F48"/>
    <w:rsid w:val="00F908E5"/>
    <w:rsid w:val="00F90BC4"/>
    <w:rsid w:val="00F90D66"/>
    <w:rsid w:val="00F90E03"/>
    <w:rsid w:val="00F90E5E"/>
    <w:rsid w:val="00F911CC"/>
    <w:rsid w:val="00F91222"/>
    <w:rsid w:val="00F919E8"/>
    <w:rsid w:val="00F91BED"/>
    <w:rsid w:val="00F922EB"/>
    <w:rsid w:val="00F923BD"/>
    <w:rsid w:val="00F92E22"/>
    <w:rsid w:val="00F93301"/>
    <w:rsid w:val="00F9380C"/>
    <w:rsid w:val="00F938B5"/>
    <w:rsid w:val="00F939BE"/>
    <w:rsid w:val="00F93AA0"/>
    <w:rsid w:val="00F94029"/>
    <w:rsid w:val="00F941D1"/>
    <w:rsid w:val="00F944A3"/>
    <w:rsid w:val="00F944F7"/>
    <w:rsid w:val="00F94742"/>
    <w:rsid w:val="00F947F7"/>
    <w:rsid w:val="00F94B9B"/>
    <w:rsid w:val="00F94BBD"/>
    <w:rsid w:val="00F95D33"/>
    <w:rsid w:val="00F95EA2"/>
    <w:rsid w:val="00F96413"/>
    <w:rsid w:val="00F96DCD"/>
    <w:rsid w:val="00F971F7"/>
    <w:rsid w:val="00F97BF4"/>
    <w:rsid w:val="00FA0524"/>
    <w:rsid w:val="00FA1A3A"/>
    <w:rsid w:val="00FA1DFE"/>
    <w:rsid w:val="00FA1FA7"/>
    <w:rsid w:val="00FA232A"/>
    <w:rsid w:val="00FA23FD"/>
    <w:rsid w:val="00FA253D"/>
    <w:rsid w:val="00FA2AD2"/>
    <w:rsid w:val="00FA2B17"/>
    <w:rsid w:val="00FA2E29"/>
    <w:rsid w:val="00FA3129"/>
    <w:rsid w:val="00FA341B"/>
    <w:rsid w:val="00FA3650"/>
    <w:rsid w:val="00FA3871"/>
    <w:rsid w:val="00FA43B1"/>
    <w:rsid w:val="00FA44A0"/>
    <w:rsid w:val="00FA488A"/>
    <w:rsid w:val="00FA497F"/>
    <w:rsid w:val="00FA4C5D"/>
    <w:rsid w:val="00FA4C76"/>
    <w:rsid w:val="00FA4CD1"/>
    <w:rsid w:val="00FA5388"/>
    <w:rsid w:val="00FA5807"/>
    <w:rsid w:val="00FA5B05"/>
    <w:rsid w:val="00FA5C6D"/>
    <w:rsid w:val="00FA5D02"/>
    <w:rsid w:val="00FA672D"/>
    <w:rsid w:val="00FA674C"/>
    <w:rsid w:val="00FA6800"/>
    <w:rsid w:val="00FA696B"/>
    <w:rsid w:val="00FA7C41"/>
    <w:rsid w:val="00FB0200"/>
    <w:rsid w:val="00FB0A7C"/>
    <w:rsid w:val="00FB130C"/>
    <w:rsid w:val="00FB1492"/>
    <w:rsid w:val="00FB1FCF"/>
    <w:rsid w:val="00FB2516"/>
    <w:rsid w:val="00FB2555"/>
    <w:rsid w:val="00FB276F"/>
    <w:rsid w:val="00FB2866"/>
    <w:rsid w:val="00FB2D89"/>
    <w:rsid w:val="00FB30B7"/>
    <w:rsid w:val="00FB31A1"/>
    <w:rsid w:val="00FB3747"/>
    <w:rsid w:val="00FB3A61"/>
    <w:rsid w:val="00FB3AF1"/>
    <w:rsid w:val="00FB44F9"/>
    <w:rsid w:val="00FB4592"/>
    <w:rsid w:val="00FB4BC3"/>
    <w:rsid w:val="00FB524C"/>
    <w:rsid w:val="00FB58F6"/>
    <w:rsid w:val="00FB6AE6"/>
    <w:rsid w:val="00FB6D33"/>
    <w:rsid w:val="00FB760B"/>
    <w:rsid w:val="00FB776C"/>
    <w:rsid w:val="00FB7E1A"/>
    <w:rsid w:val="00FB7FC4"/>
    <w:rsid w:val="00FC000F"/>
    <w:rsid w:val="00FC0DB6"/>
    <w:rsid w:val="00FC0DEF"/>
    <w:rsid w:val="00FC11DB"/>
    <w:rsid w:val="00FC1660"/>
    <w:rsid w:val="00FC17D0"/>
    <w:rsid w:val="00FC1B15"/>
    <w:rsid w:val="00FC290E"/>
    <w:rsid w:val="00FC2B98"/>
    <w:rsid w:val="00FC3323"/>
    <w:rsid w:val="00FC3FC2"/>
    <w:rsid w:val="00FC4203"/>
    <w:rsid w:val="00FC4774"/>
    <w:rsid w:val="00FC4F2A"/>
    <w:rsid w:val="00FC519A"/>
    <w:rsid w:val="00FC553D"/>
    <w:rsid w:val="00FC561D"/>
    <w:rsid w:val="00FC5839"/>
    <w:rsid w:val="00FC5C71"/>
    <w:rsid w:val="00FC61FF"/>
    <w:rsid w:val="00FC6490"/>
    <w:rsid w:val="00FC680F"/>
    <w:rsid w:val="00FC732D"/>
    <w:rsid w:val="00FC745C"/>
    <w:rsid w:val="00FC77E8"/>
    <w:rsid w:val="00FC7C20"/>
    <w:rsid w:val="00FC7C7D"/>
    <w:rsid w:val="00FD0236"/>
    <w:rsid w:val="00FD0B4F"/>
    <w:rsid w:val="00FD1F39"/>
    <w:rsid w:val="00FD1FD3"/>
    <w:rsid w:val="00FD22EF"/>
    <w:rsid w:val="00FD2569"/>
    <w:rsid w:val="00FD25FC"/>
    <w:rsid w:val="00FD3CEE"/>
    <w:rsid w:val="00FD3F7A"/>
    <w:rsid w:val="00FD3FDA"/>
    <w:rsid w:val="00FD42E5"/>
    <w:rsid w:val="00FD4747"/>
    <w:rsid w:val="00FD4A8D"/>
    <w:rsid w:val="00FD4AFA"/>
    <w:rsid w:val="00FD5463"/>
    <w:rsid w:val="00FD5C96"/>
    <w:rsid w:val="00FD5EBC"/>
    <w:rsid w:val="00FD62DB"/>
    <w:rsid w:val="00FE00D6"/>
    <w:rsid w:val="00FE02AC"/>
    <w:rsid w:val="00FE0723"/>
    <w:rsid w:val="00FE0748"/>
    <w:rsid w:val="00FE09AD"/>
    <w:rsid w:val="00FE09B9"/>
    <w:rsid w:val="00FE0B29"/>
    <w:rsid w:val="00FE0C7D"/>
    <w:rsid w:val="00FE10D9"/>
    <w:rsid w:val="00FE15FA"/>
    <w:rsid w:val="00FE1696"/>
    <w:rsid w:val="00FE1A37"/>
    <w:rsid w:val="00FE1CDC"/>
    <w:rsid w:val="00FE21CE"/>
    <w:rsid w:val="00FE239B"/>
    <w:rsid w:val="00FE2887"/>
    <w:rsid w:val="00FE28FD"/>
    <w:rsid w:val="00FE294D"/>
    <w:rsid w:val="00FE2CF3"/>
    <w:rsid w:val="00FE2E57"/>
    <w:rsid w:val="00FE37AE"/>
    <w:rsid w:val="00FE3941"/>
    <w:rsid w:val="00FE3EEA"/>
    <w:rsid w:val="00FE50F5"/>
    <w:rsid w:val="00FE5253"/>
    <w:rsid w:val="00FE5668"/>
    <w:rsid w:val="00FE5AE0"/>
    <w:rsid w:val="00FE612D"/>
    <w:rsid w:val="00FE63B2"/>
    <w:rsid w:val="00FE6B9A"/>
    <w:rsid w:val="00FE7597"/>
    <w:rsid w:val="00FF0221"/>
    <w:rsid w:val="00FF044A"/>
    <w:rsid w:val="00FF084F"/>
    <w:rsid w:val="00FF128D"/>
    <w:rsid w:val="00FF15E7"/>
    <w:rsid w:val="00FF1685"/>
    <w:rsid w:val="00FF1782"/>
    <w:rsid w:val="00FF1962"/>
    <w:rsid w:val="00FF1C8E"/>
    <w:rsid w:val="00FF1F2B"/>
    <w:rsid w:val="00FF1F4C"/>
    <w:rsid w:val="00FF2656"/>
    <w:rsid w:val="00FF2C49"/>
    <w:rsid w:val="00FF30F5"/>
    <w:rsid w:val="00FF40E6"/>
    <w:rsid w:val="00FF467E"/>
    <w:rsid w:val="00FF473F"/>
    <w:rsid w:val="00FF474E"/>
    <w:rsid w:val="00FF4AC7"/>
    <w:rsid w:val="00FF5888"/>
    <w:rsid w:val="00FF5C3A"/>
    <w:rsid w:val="00FF5CF7"/>
    <w:rsid w:val="00FF5D19"/>
    <w:rsid w:val="00FF60D5"/>
    <w:rsid w:val="00FF6C2C"/>
    <w:rsid w:val="00FF710C"/>
  </w:rsids>
  <m:mathPr>
    <m:mathFont m:val="Cambria Math"/>
  </m:mathPr>
  <w:themeFontLang w:val="lv-LV" w:eastAsia="ja-JP" w:bidi="ar-SA"/>
  <w:clrSchemeMapping w:bg1="light1" w:t1="dark1" w:bg2="light2" w:t2="dark2" w:accent1="accent1" w:accent2="accent2" w:accent3="accent3" w:accent4="accent4" w:accent5="accent5" w:accent6="accent6" w:hyperlink="hyperlink" w:followedHyperlink="followedHyperlink"/>
  <w:doNotAutoCompressPictures/>
  <w15:docId w15:val="{A57EB327-4C62-4BA4-B041-F732C5EEF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B89"/>
    <w:pPr>
      <w:spacing w:after="120"/>
    </w:pPr>
    <w:rPr>
      <w:rFonts w:ascii="Cambria" w:hAnsi="Cambria"/>
      <w:szCs w:val="24"/>
      <w:lang w:eastAsia="en-US"/>
    </w:rPr>
  </w:style>
  <w:style w:type="paragraph" w:styleId="Heading1">
    <w:name w:val="heading 1"/>
    <w:basedOn w:val="Normal"/>
    <w:next w:val="Normal"/>
    <w:link w:val="Heading1Char"/>
    <w:uiPriority w:val="9"/>
    <w:qFormat/>
    <w:rsid w:val="00975ADA"/>
    <w:pPr>
      <w:keepNext/>
      <w:keepLines/>
      <w:spacing w:before="480" w:after="240"/>
      <w:outlineLvl w:val="0"/>
    </w:pPr>
    <w:rPr>
      <w:rFonts w:asciiTheme="majorHAnsi" w:eastAsiaTheme="majorEastAsia" w:hAnsiTheme="majorHAnsi" w:cstheme="majorBidi"/>
      <w:b/>
      <w:bCs/>
      <w:caps/>
      <w:color w:val="228B9D"/>
      <w:sz w:val="32"/>
      <w:szCs w:val="28"/>
    </w:rPr>
  </w:style>
  <w:style w:type="paragraph" w:styleId="Heading2">
    <w:name w:val="heading 2"/>
    <w:basedOn w:val="Normal"/>
    <w:next w:val="Normal"/>
    <w:link w:val="Heading2Char"/>
    <w:uiPriority w:val="9"/>
    <w:unhideWhenUsed/>
    <w:qFormat/>
    <w:rsid w:val="00975ADA"/>
    <w:pPr>
      <w:keepNext/>
      <w:spacing w:before="240" w:after="240"/>
      <w:contextualSpacing/>
      <w:outlineLvl w:val="1"/>
    </w:pPr>
    <w:rPr>
      <w:rFonts w:eastAsia="Times New Roman"/>
      <w:b/>
      <w:bCs/>
      <w:iCs/>
      <w:caps/>
      <w:sz w:val="28"/>
      <w:szCs w:val="28"/>
    </w:rPr>
  </w:style>
  <w:style w:type="paragraph" w:styleId="Heading3">
    <w:name w:val="heading 3"/>
    <w:basedOn w:val="Normal"/>
    <w:next w:val="Normal"/>
    <w:link w:val="Heading3Char"/>
    <w:uiPriority w:val="9"/>
    <w:unhideWhenUsed/>
    <w:qFormat/>
    <w:rsid w:val="00975ADA"/>
    <w:pPr>
      <w:keepNext/>
      <w:keepLines/>
      <w:pBdr>
        <w:bottom w:val="single" w:sz="18" w:space="1" w:color="228B9D"/>
      </w:pBdr>
      <w:spacing w:before="200"/>
      <w:outlineLvl w:val="2"/>
    </w:pPr>
    <w:rPr>
      <w:rFonts w:eastAsiaTheme="majorEastAsia" w:cstheme="majorBidi"/>
      <w:b/>
      <w:bCs/>
      <w:color w:val="000000" w:themeColor="text1"/>
      <w:sz w:val="28"/>
    </w:rPr>
  </w:style>
  <w:style w:type="paragraph" w:styleId="Heading4">
    <w:name w:val="heading 4"/>
    <w:basedOn w:val="Normal"/>
    <w:next w:val="Normal"/>
    <w:link w:val="Heading4Char"/>
    <w:uiPriority w:val="9"/>
    <w:unhideWhenUsed/>
    <w:qFormat/>
    <w:rsid w:val="003D031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Bullet 1,Bullet Points,Bullet Styl,Dot pt,F5 List Paragraph,IFCL - List Paragraph,Indicator Text,List Paragraph Char Char Char,List Paragraph1,List Paragraph12,MAIN CONTENT,No Spacing1,Numbered Para 1,OBC Bullet,Strip"/>
    <w:basedOn w:val="Normal"/>
    <w:link w:val="ListParagraphChar"/>
    <w:uiPriority w:val="34"/>
    <w:qFormat/>
    <w:rsid w:val="00EF0DA1"/>
    <w:pPr>
      <w:ind w:left="720"/>
      <w:contextualSpacing/>
    </w:pPr>
  </w:style>
  <w:style w:type="paragraph" w:styleId="Header">
    <w:name w:val="header"/>
    <w:basedOn w:val="Normal"/>
    <w:link w:val="HeaderChar"/>
    <w:uiPriority w:val="99"/>
    <w:unhideWhenUsed/>
    <w:rsid w:val="006C7F87"/>
    <w:pPr>
      <w:tabs>
        <w:tab w:val="center" w:pos="4153"/>
        <w:tab w:val="right" w:pos="8306"/>
      </w:tabs>
    </w:pPr>
  </w:style>
  <w:style w:type="character" w:customStyle="1" w:styleId="HeaderChar">
    <w:name w:val="Header Char"/>
    <w:basedOn w:val="DefaultParagraphFont"/>
    <w:link w:val="Header"/>
    <w:uiPriority w:val="99"/>
    <w:rsid w:val="006C7F87"/>
    <w:rPr>
      <w:sz w:val="24"/>
      <w:szCs w:val="24"/>
      <w:lang w:eastAsia="en-US"/>
    </w:rPr>
  </w:style>
  <w:style w:type="paragraph" w:styleId="Footer">
    <w:name w:val="footer"/>
    <w:basedOn w:val="Normal"/>
    <w:link w:val="FooterChar"/>
    <w:unhideWhenUsed/>
    <w:rsid w:val="006C7F87"/>
    <w:pPr>
      <w:tabs>
        <w:tab w:val="center" w:pos="4153"/>
        <w:tab w:val="right" w:pos="8306"/>
      </w:tabs>
    </w:pPr>
  </w:style>
  <w:style w:type="character" w:customStyle="1" w:styleId="FooterChar">
    <w:name w:val="Footer Char"/>
    <w:basedOn w:val="DefaultParagraphFont"/>
    <w:link w:val="Footer"/>
    <w:rsid w:val="006C7F87"/>
    <w:rPr>
      <w:sz w:val="24"/>
      <w:szCs w:val="24"/>
      <w:lang w:eastAsia="en-US"/>
    </w:rPr>
  </w:style>
  <w:style w:type="character" w:styleId="Hyperlink">
    <w:name w:val="Hyperlink"/>
    <w:basedOn w:val="DefaultParagraphFont"/>
    <w:uiPriority w:val="99"/>
    <w:rsid w:val="006754B5"/>
    <w:rPr>
      <w:color w:val="0000FF"/>
      <w:u w:val="single"/>
    </w:rPr>
  </w:style>
  <w:style w:type="character" w:customStyle="1" w:styleId="ListParagraphChar">
    <w:name w:val="List Paragraph Char"/>
    <w:aliases w:val="2 Char,Akapit z listą BS Char,Bullet 1 Char,Bullet Points Char,Dot pt Char,IFCL - List Paragraph Char,Indicator Text Char,List Paragraph Char Char Char Char,List Paragraph1 Char,MAIN CONTENT Char,No Spacing1 Char,Numbered Para 1 Char"/>
    <w:link w:val="ListParagraph"/>
    <w:uiPriority w:val="34"/>
    <w:qFormat/>
    <w:locked/>
    <w:rsid w:val="006754B5"/>
    <w:rPr>
      <w:sz w:val="24"/>
      <w:szCs w:val="24"/>
      <w:lang w:eastAsia="en-US"/>
    </w:rPr>
  </w:style>
  <w:style w:type="character" w:styleId="Emphasis">
    <w:name w:val="Emphasis"/>
    <w:basedOn w:val="DefaultParagraphFont"/>
    <w:uiPriority w:val="20"/>
    <w:qFormat/>
    <w:rsid w:val="006754B5"/>
    <w:rPr>
      <w:i/>
      <w:iCs/>
    </w:rPr>
  </w:style>
  <w:style w:type="paragraph" w:customStyle="1" w:styleId="Default">
    <w:name w:val="Default"/>
    <w:rsid w:val="007371A1"/>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5E3973"/>
    <w:rPr>
      <w:rFonts w:ascii="Tahoma" w:hAnsi="Tahoma" w:cs="Tahoma"/>
      <w:sz w:val="16"/>
      <w:szCs w:val="16"/>
    </w:rPr>
  </w:style>
  <w:style w:type="character" w:customStyle="1" w:styleId="BalloonTextChar">
    <w:name w:val="Balloon Text Char"/>
    <w:basedOn w:val="DefaultParagraphFont"/>
    <w:link w:val="BalloonText"/>
    <w:uiPriority w:val="99"/>
    <w:semiHidden/>
    <w:rsid w:val="005E3973"/>
    <w:rPr>
      <w:rFonts w:ascii="Tahoma" w:hAnsi="Tahoma" w:cs="Tahoma"/>
      <w:sz w:val="16"/>
      <w:szCs w:val="16"/>
      <w:lang w:eastAsia="en-US"/>
    </w:rPr>
  </w:style>
  <w:style w:type="paragraph" w:styleId="FootnoteText">
    <w:name w:val="footnote text"/>
    <w:aliases w:val="Footnote,Fußn,Fußnote,Fußnote Char,Fußnote Char Char Char,Fußnotentext Char,Fußnotentext Char Char,Fußnotentext Char Char Char Char,Fußnotentext Char1 Char Char Char,Fußnotentext Char1 Char Char Char Char,Fußnotentext Char1 Char1,f,stile 1"/>
    <w:basedOn w:val="Normal"/>
    <w:link w:val="FootnoteTextChar"/>
    <w:uiPriority w:val="99"/>
    <w:unhideWhenUsed/>
    <w:qFormat/>
    <w:rsid w:val="004F76EB"/>
    <w:rPr>
      <w:szCs w:val="20"/>
    </w:rPr>
  </w:style>
  <w:style w:type="character" w:customStyle="1" w:styleId="FootnoteTextChar">
    <w:name w:val="Footnote Text Char"/>
    <w:aliases w:val="Footnote Char,Fußnote Char Char,Fußnote Char Char Char Char,Fußnote Char1,Fußnotentext Char Char Char,Fußnotentext Char Char Char Char Char,Fußnotentext Char Char1,Fußnotentext Char1 Char Char Char Char1,Fußnotentext Char1 Char1 Char"/>
    <w:basedOn w:val="DefaultParagraphFont"/>
    <w:link w:val="FootnoteText"/>
    <w:uiPriority w:val="99"/>
    <w:rsid w:val="004F76EB"/>
    <w:rPr>
      <w:lang w:eastAsia="en-US"/>
    </w:rPr>
  </w:style>
  <w:style w:type="character" w:styleId="FootnoteReference">
    <w:name w:val="footnote reference"/>
    <w:aliases w:val="BVI fnr,E,E FNZ,Footnote Reference Number,Footnote Reference Superscript,Footnote Refernece,Footnote symbFootnote Refernece,Footnote symbol,Footnotes refss,Fußnotenzeichen_Raxen,Odwołanie przypisu,Ref,SUPERS,callout,fr,ftref,stylish"/>
    <w:basedOn w:val="DefaultParagraphFont"/>
    <w:link w:val="CharCharCharChar"/>
    <w:uiPriority w:val="99"/>
    <w:unhideWhenUsed/>
    <w:qFormat/>
    <w:rsid w:val="004F76EB"/>
    <w:rPr>
      <w:vertAlign w:val="superscript"/>
    </w:rPr>
  </w:style>
  <w:style w:type="character" w:customStyle="1" w:styleId="Heading2Char">
    <w:name w:val="Heading 2 Char"/>
    <w:basedOn w:val="DefaultParagraphFont"/>
    <w:link w:val="Heading2"/>
    <w:uiPriority w:val="9"/>
    <w:rsid w:val="00975ADA"/>
    <w:rPr>
      <w:rFonts w:ascii="Cambria" w:eastAsia="Times New Roman" w:hAnsi="Cambria"/>
      <w:b/>
      <w:bCs/>
      <w:iCs/>
      <w:caps/>
      <w:sz w:val="28"/>
      <w:szCs w:val="28"/>
      <w:lang w:eastAsia="en-US"/>
    </w:rPr>
  </w:style>
  <w:style w:type="paragraph" w:styleId="BodyTextIndent2">
    <w:name w:val="Body Text Indent 2"/>
    <w:basedOn w:val="Normal"/>
    <w:link w:val="BodyTextIndent2Char"/>
    <w:uiPriority w:val="99"/>
    <w:unhideWhenUsed/>
    <w:rsid w:val="00755A34"/>
    <w:pPr>
      <w:spacing w:line="480" w:lineRule="auto"/>
      <w:ind w:left="283"/>
    </w:pPr>
  </w:style>
  <w:style w:type="character" w:customStyle="1" w:styleId="BodyTextIndent2Char">
    <w:name w:val="Body Text Indent 2 Char"/>
    <w:basedOn w:val="DefaultParagraphFont"/>
    <w:link w:val="BodyTextIndent2"/>
    <w:uiPriority w:val="99"/>
    <w:rsid w:val="00755A34"/>
    <w:rPr>
      <w:sz w:val="24"/>
      <w:szCs w:val="24"/>
      <w:lang w:eastAsia="en-US"/>
    </w:rPr>
  </w:style>
  <w:style w:type="character" w:customStyle="1" w:styleId="fullpost">
    <w:name w:val="fullpost"/>
    <w:basedOn w:val="DefaultParagraphFont"/>
    <w:rsid w:val="002B45AE"/>
    <w:rPr>
      <w:rFonts w:cs="Times New Roman"/>
    </w:rPr>
  </w:style>
  <w:style w:type="paragraph" w:customStyle="1" w:styleId="WW-Standard">
    <w:name w:val="WW-Standard"/>
    <w:rsid w:val="00BC1D26"/>
    <w:pPr>
      <w:suppressAutoHyphens/>
      <w:textAlignment w:val="baseline"/>
    </w:pPr>
    <w:rPr>
      <w:rFonts w:eastAsia="Times New Roman"/>
      <w:kern w:val="1"/>
      <w:sz w:val="24"/>
      <w:szCs w:val="24"/>
      <w:lang w:eastAsia="ar-SA"/>
    </w:rPr>
  </w:style>
  <w:style w:type="character" w:customStyle="1" w:styleId="Heading1Char">
    <w:name w:val="Heading 1 Char"/>
    <w:basedOn w:val="DefaultParagraphFont"/>
    <w:link w:val="Heading1"/>
    <w:uiPriority w:val="9"/>
    <w:rsid w:val="00975ADA"/>
    <w:rPr>
      <w:rFonts w:asciiTheme="majorHAnsi" w:eastAsiaTheme="majorEastAsia" w:hAnsiTheme="majorHAnsi" w:cstheme="majorBidi"/>
      <w:b/>
      <w:bCs/>
      <w:caps/>
      <w:color w:val="228B9D"/>
      <w:sz w:val="32"/>
      <w:szCs w:val="28"/>
      <w:lang w:eastAsia="en-US"/>
    </w:rPr>
  </w:style>
  <w:style w:type="character" w:customStyle="1" w:styleId="apple-style-span">
    <w:name w:val="apple-style-span"/>
    <w:basedOn w:val="DefaultParagraphFont"/>
    <w:rsid w:val="00BC1D26"/>
  </w:style>
  <w:style w:type="paragraph" w:styleId="NormalWeb">
    <w:name w:val="Normal (Web)"/>
    <w:aliases w:val="sākums"/>
    <w:basedOn w:val="Normal"/>
    <w:uiPriority w:val="99"/>
    <w:qFormat/>
    <w:rsid w:val="00BC1D26"/>
    <w:pPr>
      <w:spacing w:after="150"/>
    </w:pPr>
    <w:rPr>
      <w:rFonts w:eastAsia="Times New Roman"/>
      <w:lang w:eastAsia="lv-LV"/>
    </w:rPr>
  </w:style>
  <w:style w:type="paragraph" w:customStyle="1" w:styleId="naislab">
    <w:name w:val="naislab"/>
    <w:basedOn w:val="Normal"/>
    <w:uiPriority w:val="99"/>
    <w:rsid w:val="00BC1D26"/>
    <w:pPr>
      <w:spacing w:before="100" w:beforeAutospacing="1" w:after="100" w:afterAutospacing="1"/>
    </w:pPr>
    <w:rPr>
      <w:rFonts w:eastAsia="Times New Roman"/>
      <w:lang w:eastAsia="lv-LV"/>
    </w:rPr>
  </w:style>
  <w:style w:type="paragraph" w:styleId="NoSpacing">
    <w:name w:val="No Spacing"/>
    <w:link w:val="NoSpacingChar"/>
    <w:uiPriority w:val="1"/>
    <w:qFormat/>
    <w:rsid w:val="00EB383F"/>
    <w:rPr>
      <w:rFonts w:ascii="Calibri" w:hAnsi="Calibri" w:cs="Calibri"/>
      <w:sz w:val="22"/>
      <w:szCs w:val="22"/>
      <w:lang w:eastAsia="en-US"/>
    </w:rPr>
  </w:style>
  <w:style w:type="paragraph" w:styleId="PlainText">
    <w:name w:val="Plain Text"/>
    <w:basedOn w:val="Normal"/>
    <w:link w:val="PlainTextChar"/>
    <w:uiPriority w:val="99"/>
    <w:unhideWhenUsed/>
    <w:rsid w:val="00EB383F"/>
    <w:rPr>
      <w:rFonts w:ascii="Consolas" w:hAnsi="Consolas"/>
      <w:sz w:val="21"/>
      <w:szCs w:val="21"/>
      <w:lang w:eastAsia="lv-LV"/>
    </w:rPr>
  </w:style>
  <w:style w:type="character" w:customStyle="1" w:styleId="PlainTextChar">
    <w:name w:val="Plain Text Char"/>
    <w:basedOn w:val="DefaultParagraphFont"/>
    <w:link w:val="PlainText"/>
    <w:uiPriority w:val="99"/>
    <w:rsid w:val="00EB383F"/>
    <w:rPr>
      <w:rFonts w:ascii="Consolas" w:hAnsi="Consolas"/>
      <w:sz w:val="21"/>
      <w:szCs w:val="21"/>
    </w:rPr>
  </w:style>
  <w:style w:type="character" w:customStyle="1" w:styleId="spelle">
    <w:name w:val="spelle"/>
    <w:rsid w:val="00974A72"/>
  </w:style>
  <w:style w:type="character" w:customStyle="1" w:styleId="Heading3Char">
    <w:name w:val="Heading 3 Char"/>
    <w:basedOn w:val="DefaultParagraphFont"/>
    <w:link w:val="Heading3"/>
    <w:uiPriority w:val="9"/>
    <w:rsid w:val="00975ADA"/>
    <w:rPr>
      <w:rFonts w:ascii="Cambria" w:hAnsi="Cambria" w:eastAsiaTheme="majorEastAsia" w:cstheme="majorBidi"/>
      <w:b/>
      <w:bCs/>
      <w:color w:val="000000" w:themeColor="text1"/>
      <w:sz w:val="28"/>
      <w:szCs w:val="24"/>
      <w:lang w:eastAsia="en-US"/>
    </w:rPr>
  </w:style>
  <w:style w:type="paragraph" w:styleId="TOC1">
    <w:name w:val="toc 1"/>
    <w:basedOn w:val="Normal"/>
    <w:next w:val="Normal"/>
    <w:autoRedefine/>
    <w:uiPriority w:val="39"/>
    <w:unhideWhenUsed/>
    <w:rsid w:val="000C2443"/>
    <w:pPr>
      <w:tabs>
        <w:tab w:val="right" w:leader="dot" w:pos="9072"/>
        <w:tab w:val="right" w:leader="dot" w:pos="9628"/>
      </w:tabs>
      <w:spacing w:before="240"/>
    </w:pPr>
    <w:rPr>
      <w:rFonts w:asciiTheme="majorHAnsi" w:hAnsiTheme="majorHAnsi"/>
      <w:b/>
      <w:bCs/>
      <w:caps/>
      <w:smallCaps/>
      <w:noProof/>
      <w:szCs w:val="20"/>
    </w:rPr>
  </w:style>
  <w:style w:type="paragraph" w:styleId="TOC2">
    <w:name w:val="toc 2"/>
    <w:basedOn w:val="Normal"/>
    <w:next w:val="Normal"/>
    <w:autoRedefine/>
    <w:uiPriority w:val="39"/>
    <w:unhideWhenUsed/>
    <w:rsid w:val="00EA2D09"/>
    <w:pPr>
      <w:tabs>
        <w:tab w:val="right" w:leader="dot" w:pos="9061"/>
      </w:tabs>
      <w:spacing w:before="120" w:after="60"/>
      <w:ind w:left="238"/>
    </w:pPr>
    <w:rPr>
      <w:smallCaps/>
      <w:szCs w:val="20"/>
    </w:rPr>
  </w:style>
  <w:style w:type="paragraph" w:styleId="TOC3">
    <w:name w:val="toc 3"/>
    <w:basedOn w:val="Normal"/>
    <w:next w:val="Normal"/>
    <w:autoRedefine/>
    <w:uiPriority w:val="39"/>
    <w:unhideWhenUsed/>
    <w:rsid w:val="00875488"/>
    <w:pPr>
      <w:tabs>
        <w:tab w:val="right" w:leader="dot" w:pos="9061"/>
      </w:tabs>
      <w:ind w:left="482"/>
    </w:pPr>
    <w:rPr>
      <w:i/>
      <w:iCs/>
      <w:szCs w:val="20"/>
    </w:rPr>
  </w:style>
  <w:style w:type="paragraph" w:styleId="TOC4">
    <w:name w:val="toc 4"/>
    <w:basedOn w:val="Normal"/>
    <w:next w:val="Normal"/>
    <w:autoRedefine/>
    <w:uiPriority w:val="39"/>
    <w:unhideWhenUsed/>
    <w:rsid w:val="0050285A"/>
    <w:pPr>
      <w:ind w:left="720"/>
    </w:pPr>
    <w:rPr>
      <w:rFonts w:asciiTheme="minorHAnsi" w:hAnsiTheme="minorHAnsi"/>
      <w:sz w:val="18"/>
      <w:szCs w:val="18"/>
    </w:rPr>
  </w:style>
  <w:style w:type="paragraph" w:styleId="TOC5">
    <w:name w:val="toc 5"/>
    <w:basedOn w:val="Normal"/>
    <w:next w:val="Normal"/>
    <w:autoRedefine/>
    <w:uiPriority w:val="39"/>
    <w:unhideWhenUsed/>
    <w:rsid w:val="0050285A"/>
    <w:pPr>
      <w:ind w:left="960"/>
    </w:pPr>
    <w:rPr>
      <w:rFonts w:asciiTheme="minorHAnsi" w:hAnsiTheme="minorHAnsi"/>
      <w:sz w:val="18"/>
      <w:szCs w:val="18"/>
    </w:rPr>
  </w:style>
  <w:style w:type="paragraph" w:styleId="TOC6">
    <w:name w:val="toc 6"/>
    <w:basedOn w:val="Normal"/>
    <w:next w:val="Normal"/>
    <w:autoRedefine/>
    <w:uiPriority w:val="39"/>
    <w:unhideWhenUsed/>
    <w:rsid w:val="0050285A"/>
    <w:pPr>
      <w:ind w:left="1200"/>
    </w:pPr>
    <w:rPr>
      <w:rFonts w:asciiTheme="minorHAnsi" w:hAnsiTheme="minorHAnsi"/>
      <w:sz w:val="18"/>
      <w:szCs w:val="18"/>
    </w:rPr>
  </w:style>
  <w:style w:type="paragraph" w:styleId="TOC7">
    <w:name w:val="toc 7"/>
    <w:basedOn w:val="Normal"/>
    <w:next w:val="Normal"/>
    <w:autoRedefine/>
    <w:uiPriority w:val="39"/>
    <w:unhideWhenUsed/>
    <w:rsid w:val="0050285A"/>
    <w:pPr>
      <w:ind w:left="1440"/>
    </w:pPr>
    <w:rPr>
      <w:rFonts w:asciiTheme="minorHAnsi" w:hAnsiTheme="minorHAnsi"/>
      <w:sz w:val="18"/>
      <w:szCs w:val="18"/>
    </w:rPr>
  </w:style>
  <w:style w:type="paragraph" w:styleId="TOC8">
    <w:name w:val="toc 8"/>
    <w:basedOn w:val="Normal"/>
    <w:next w:val="Normal"/>
    <w:autoRedefine/>
    <w:uiPriority w:val="39"/>
    <w:unhideWhenUsed/>
    <w:rsid w:val="0050285A"/>
    <w:pPr>
      <w:ind w:left="1680"/>
    </w:pPr>
    <w:rPr>
      <w:rFonts w:asciiTheme="minorHAnsi" w:hAnsiTheme="minorHAnsi"/>
      <w:sz w:val="18"/>
      <w:szCs w:val="18"/>
    </w:rPr>
  </w:style>
  <w:style w:type="paragraph" w:styleId="TOC9">
    <w:name w:val="toc 9"/>
    <w:basedOn w:val="Normal"/>
    <w:next w:val="Normal"/>
    <w:autoRedefine/>
    <w:uiPriority w:val="39"/>
    <w:unhideWhenUsed/>
    <w:rsid w:val="0050285A"/>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810D7"/>
    <w:rPr>
      <w:color w:val="800080" w:themeColor="followedHyperlink"/>
      <w:u w:val="single"/>
    </w:rPr>
  </w:style>
  <w:style w:type="paragraph" w:styleId="CommentText">
    <w:name w:val="annotation text"/>
    <w:basedOn w:val="Normal"/>
    <w:link w:val="CommentTextChar"/>
    <w:uiPriority w:val="99"/>
    <w:unhideWhenUsed/>
    <w:rsid w:val="009E462D"/>
    <w:rPr>
      <w:szCs w:val="20"/>
    </w:rPr>
  </w:style>
  <w:style w:type="character" w:customStyle="1" w:styleId="CommentTextChar">
    <w:name w:val="Comment Text Char"/>
    <w:basedOn w:val="DefaultParagraphFont"/>
    <w:link w:val="CommentText"/>
    <w:uiPriority w:val="99"/>
    <w:rsid w:val="009E462D"/>
    <w:rPr>
      <w:lang w:eastAsia="en-US"/>
    </w:rPr>
  </w:style>
  <w:style w:type="paragraph" w:customStyle="1" w:styleId="bodytext">
    <w:name w:val="bodytext"/>
    <w:basedOn w:val="Normal"/>
    <w:rsid w:val="00037826"/>
    <w:pPr>
      <w:spacing w:before="100" w:beforeAutospacing="1" w:after="100" w:afterAutospacing="1"/>
    </w:pPr>
    <w:rPr>
      <w:rFonts w:eastAsia="Times New Roman"/>
      <w:lang w:eastAsia="lv-LV"/>
    </w:rPr>
  </w:style>
  <w:style w:type="character" w:styleId="Strong">
    <w:name w:val="Strong"/>
    <w:basedOn w:val="DefaultParagraphFont"/>
    <w:uiPriority w:val="22"/>
    <w:qFormat/>
    <w:rsid w:val="004711E0"/>
    <w:rPr>
      <w:b/>
      <w:bCs/>
    </w:rPr>
  </w:style>
  <w:style w:type="character" w:styleId="CommentReference">
    <w:name w:val="annotation reference"/>
    <w:basedOn w:val="DefaultParagraphFont"/>
    <w:uiPriority w:val="99"/>
    <w:semiHidden/>
    <w:unhideWhenUsed/>
    <w:rsid w:val="00A92BA1"/>
    <w:rPr>
      <w:sz w:val="16"/>
      <w:szCs w:val="16"/>
    </w:rPr>
  </w:style>
  <w:style w:type="table" w:customStyle="1" w:styleId="LightShading1">
    <w:name w:val="Light Shading1"/>
    <w:basedOn w:val="TableNormal"/>
    <w:uiPriority w:val="60"/>
    <w:rsid w:val="00994C2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99"/>
    <w:qFormat/>
    <w:rsid w:val="00DD772F"/>
    <w:pPr>
      <w:spacing w:after="200" w:line="276" w:lineRule="auto"/>
    </w:pPr>
    <w:rPr>
      <w:rFonts w:ascii="Calibri" w:eastAsia="Times New Roman" w:hAnsi="Calibri"/>
      <w:b/>
      <w:bCs/>
      <w:szCs w:val="20"/>
      <w:lang w:val="en-US"/>
    </w:rPr>
  </w:style>
  <w:style w:type="paragraph" w:styleId="CommentSubject">
    <w:name w:val="annotation subject"/>
    <w:basedOn w:val="CommentText"/>
    <w:next w:val="CommentText"/>
    <w:link w:val="CommentSubjectChar"/>
    <w:uiPriority w:val="99"/>
    <w:semiHidden/>
    <w:unhideWhenUsed/>
    <w:rsid w:val="00DD772F"/>
    <w:rPr>
      <w:b/>
      <w:bCs/>
    </w:rPr>
  </w:style>
  <w:style w:type="character" w:customStyle="1" w:styleId="CommentSubjectChar">
    <w:name w:val="Comment Subject Char"/>
    <w:basedOn w:val="CommentTextChar"/>
    <w:link w:val="CommentSubject"/>
    <w:uiPriority w:val="99"/>
    <w:semiHidden/>
    <w:rsid w:val="00DD772F"/>
    <w:rPr>
      <w:b/>
      <w:bCs/>
      <w:lang w:eastAsia="en-US"/>
    </w:rPr>
  </w:style>
  <w:style w:type="character" w:customStyle="1" w:styleId="st">
    <w:name w:val="st"/>
    <w:basedOn w:val="DefaultParagraphFont"/>
    <w:rsid w:val="00A54E12"/>
    <w:rPr>
      <w:rFonts w:cs="Times New Roman"/>
    </w:rPr>
  </w:style>
  <w:style w:type="character" w:customStyle="1" w:styleId="NoSpacingChar">
    <w:name w:val="No Spacing Char"/>
    <w:basedOn w:val="DefaultParagraphFont"/>
    <w:link w:val="NoSpacing"/>
    <w:uiPriority w:val="1"/>
    <w:rsid w:val="00BB55B1"/>
    <w:rPr>
      <w:rFonts w:ascii="Calibri" w:hAnsi="Calibri" w:cs="Calibri"/>
      <w:sz w:val="22"/>
      <w:szCs w:val="22"/>
      <w:lang w:eastAsia="en-US"/>
    </w:rPr>
  </w:style>
  <w:style w:type="paragraph" w:styleId="EndnoteText">
    <w:name w:val="endnote text"/>
    <w:basedOn w:val="Normal"/>
    <w:link w:val="EndnoteTextChar"/>
    <w:uiPriority w:val="99"/>
    <w:semiHidden/>
    <w:unhideWhenUsed/>
    <w:rsid w:val="00BB55B1"/>
    <w:pPr>
      <w:spacing w:line="240" w:lineRule="atLeast"/>
    </w:pPr>
    <w:rPr>
      <w:rFonts w:ascii="Calibri" w:hAnsi="Calibri"/>
      <w:szCs w:val="20"/>
    </w:rPr>
  </w:style>
  <w:style w:type="character" w:customStyle="1" w:styleId="EndnoteTextChar">
    <w:name w:val="Endnote Text Char"/>
    <w:basedOn w:val="DefaultParagraphFont"/>
    <w:link w:val="EndnoteText"/>
    <w:uiPriority w:val="99"/>
    <w:semiHidden/>
    <w:rsid w:val="00BB55B1"/>
    <w:rPr>
      <w:rFonts w:ascii="Calibri" w:hAnsi="Calibri"/>
      <w:lang w:eastAsia="en-US"/>
    </w:rPr>
  </w:style>
  <w:style w:type="paragraph" w:customStyle="1" w:styleId="Statuti">
    <w:name w:val="Statuti"/>
    <w:basedOn w:val="Normal"/>
    <w:rsid w:val="00FE1696"/>
    <w:pPr>
      <w:numPr>
        <w:ilvl w:val="3"/>
        <w:numId w:val="5"/>
      </w:numPr>
      <w:spacing w:line="360" w:lineRule="auto"/>
    </w:pPr>
    <w:rPr>
      <w:rFonts w:ascii="Arial Narrow" w:eastAsia="Times New Roman" w:hAnsi="Arial Narrow"/>
      <w:szCs w:val="20"/>
      <w:lang w:eastAsia="lv-LV"/>
    </w:rPr>
  </w:style>
  <w:style w:type="paragraph" w:customStyle="1" w:styleId="Virsraksti4">
    <w:name w:val="Virsraksti4"/>
    <w:basedOn w:val="Normal"/>
    <w:rsid w:val="00FE1696"/>
    <w:pPr>
      <w:numPr>
        <w:ilvl w:val="4"/>
        <w:numId w:val="5"/>
      </w:numPr>
      <w:spacing w:before="60"/>
    </w:pPr>
    <w:rPr>
      <w:rFonts w:eastAsia="Times New Roman"/>
      <w:szCs w:val="20"/>
      <w:lang w:eastAsia="lv-LV"/>
    </w:rPr>
  </w:style>
  <w:style w:type="paragraph" w:customStyle="1" w:styleId="Virsraksti1">
    <w:name w:val="Virsraksti1"/>
    <w:basedOn w:val="Normal"/>
    <w:rsid w:val="00FE1696"/>
    <w:pPr>
      <w:numPr>
        <w:numId w:val="5"/>
      </w:numPr>
      <w:spacing w:before="120"/>
    </w:pPr>
    <w:rPr>
      <w:rFonts w:eastAsia="Times New Roman" w:cs="Arial Unicode MS"/>
      <w:b/>
      <w:sz w:val="32"/>
      <w:lang w:eastAsia="lv-LV" w:bidi="lo-LA"/>
    </w:rPr>
  </w:style>
  <w:style w:type="paragraph" w:customStyle="1" w:styleId="Virsraksti2">
    <w:name w:val="Virsraksti_2"/>
    <w:basedOn w:val="Normal"/>
    <w:rsid w:val="00FE1696"/>
    <w:pPr>
      <w:numPr>
        <w:ilvl w:val="1"/>
        <w:numId w:val="5"/>
      </w:numPr>
      <w:spacing w:before="120"/>
    </w:pPr>
    <w:rPr>
      <w:rFonts w:eastAsia="Times New Roman" w:cs="Arial Unicode MS"/>
      <w:b/>
      <w:sz w:val="28"/>
      <w:lang w:eastAsia="lv-LV" w:bidi="lo-LA"/>
    </w:rPr>
  </w:style>
  <w:style w:type="paragraph" w:customStyle="1" w:styleId="Virsraksti3">
    <w:name w:val="Virsraksti_3"/>
    <w:basedOn w:val="Normal"/>
    <w:rsid w:val="00FE1696"/>
    <w:pPr>
      <w:numPr>
        <w:ilvl w:val="2"/>
        <w:numId w:val="5"/>
      </w:numPr>
      <w:spacing w:before="120"/>
    </w:pPr>
    <w:rPr>
      <w:rFonts w:ascii="Times New Roman Bold" w:eastAsia="Times New Roman" w:hAnsi="Times New Roman Bold" w:cs="Arial Unicode MS"/>
      <w:b/>
      <w:lang w:eastAsia="lv-LV" w:bidi="lo-LA"/>
    </w:rPr>
  </w:style>
  <w:style w:type="character" w:customStyle="1" w:styleId="leftside">
    <w:name w:val="left_side"/>
    <w:basedOn w:val="DefaultParagraphFont"/>
    <w:rsid w:val="00FE1696"/>
  </w:style>
  <w:style w:type="character" w:customStyle="1" w:styleId="rightside">
    <w:name w:val="right_side"/>
    <w:basedOn w:val="DefaultParagraphFont"/>
    <w:rsid w:val="00FE1696"/>
  </w:style>
  <w:style w:type="character" w:customStyle="1" w:styleId="st1">
    <w:name w:val="st1"/>
    <w:basedOn w:val="DefaultParagraphFont"/>
    <w:rsid w:val="005B69A7"/>
  </w:style>
  <w:style w:type="table" w:styleId="TableGrid">
    <w:name w:val="Table Grid"/>
    <w:basedOn w:val="TableNormal"/>
    <w:uiPriority w:val="59"/>
    <w:rsid w:val="00500D9A"/>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uiPriority w:val="99"/>
    <w:semiHidden/>
    <w:unhideWhenUsed/>
    <w:rsid w:val="00145241"/>
  </w:style>
  <w:style w:type="character" w:customStyle="1" w:styleId="BodyTextChar">
    <w:name w:val="Body Text Char"/>
    <w:basedOn w:val="DefaultParagraphFont"/>
    <w:link w:val="BodyText0"/>
    <w:uiPriority w:val="99"/>
    <w:semiHidden/>
    <w:rsid w:val="00145241"/>
    <w:rPr>
      <w:sz w:val="24"/>
      <w:szCs w:val="24"/>
      <w:lang w:eastAsia="en-US"/>
    </w:rPr>
  </w:style>
  <w:style w:type="paragraph" w:styleId="BodyText2">
    <w:name w:val="Body Text 2"/>
    <w:basedOn w:val="Normal"/>
    <w:link w:val="BodyText2Char"/>
    <w:uiPriority w:val="99"/>
    <w:unhideWhenUsed/>
    <w:rsid w:val="00211FC4"/>
    <w:pPr>
      <w:spacing w:line="480" w:lineRule="auto"/>
    </w:pPr>
  </w:style>
  <w:style w:type="character" w:customStyle="1" w:styleId="BodyText2Char">
    <w:name w:val="Body Text 2 Char"/>
    <w:basedOn w:val="DefaultParagraphFont"/>
    <w:link w:val="BodyText2"/>
    <w:uiPriority w:val="99"/>
    <w:rsid w:val="00211FC4"/>
    <w:rPr>
      <w:sz w:val="24"/>
      <w:szCs w:val="24"/>
      <w:lang w:eastAsia="en-US"/>
    </w:rPr>
  </w:style>
  <w:style w:type="paragraph" w:styleId="Title">
    <w:name w:val="Title"/>
    <w:basedOn w:val="Normal"/>
    <w:link w:val="TitleChar"/>
    <w:qFormat/>
    <w:rsid w:val="005B03AE"/>
    <w:pPr>
      <w:jc w:val="center"/>
    </w:pPr>
    <w:rPr>
      <w:rFonts w:eastAsia="Times New Roman"/>
      <w:b/>
      <w:caps/>
    </w:rPr>
  </w:style>
  <w:style w:type="character" w:customStyle="1" w:styleId="TitleChar">
    <w:name w:val="Title Char"/>
    <w:basedOn w:val="DefaultParagraphFont"/>
    <w:link w:val="Title"/>
    <w:rsid w:val="005B03AE"/>
    <w:rPr>
      <w:rFonts w:eastAsia="Times New Roman"/>
      <w:b/>
      <w:caps/>
      <w:sz w:val="24"/>
      <w:szCs w:val="24"/>
      <w:lang w:eastAsia="en-US"/>
    </w:rPr>
  </w:style>
  <w:style w:type="paragraph" w:customStyle="1" w:styleId="StyleRight">
    <w:name w:val="Style Right"/>
    <w:basedOn w:val="Normal"/>
    <w:uiPriority w:val="99"/>
    <w:rsid w:val="00B34FAD"/>
    <w:pPr>
      <w:ind w:firstLine="720"/>
      <w:jc w:val="right"/>
    </w:pPr>
    <w:rPr>
      <w:sz w:val="28"/>
      <w:szCs w:val="28"/>
    </w:rPr>
  </w:style>
  <w:style w:type="paragraph" w:customStyle="1" w:styleId="Normal1">
    <w:name w:val="Normal1"/>
    <w:uiPriority w:val="99"/>
    <w:rsid w:val="001938CC"/>
    <w:rPr>
      <w:rFonts w:ascii="Calibri" w:hAnsi="Calibri" w:cs="Calibri"/>
      <w:color w:val="000000"/>
      <w:sz w:val="22"/>
      <w:szCs w:val="22"/>
    </w:rPr>
  </w:style>
  <w:style w:type="character" w:customStyle="1" w:styleId="normal0020tablechar">
    <w:name w:val="normal_0020table__char"/>
    <w:rsid w:val="009F3CBA"/>
  </w:style>
  <w:style w:type="paragraph" w:customStyle="1" w:styleId="tvhtmlmktable">
    <w:name w:val="tv_html mk_table"/>
    <w:basedOn w:val="Normal"/>
    <w:rsid w:val="00D562C8"/>
    <w:pPr>
      <w:spacing w:before="100" w:beforeAutospacing="1" w:after="100" w:afterAutospacing="1"/>
    </w:pPr>
    <w:rPr>
      <w:rFonts w:eastAsia="Times New Roman"/>
      <w:lang w:eastAsia="lv-LV"/>
    </w:rPr>
  </w:style>
  <w:style w:type="character" w:customStyle="1" w:styleId="Bodytext1">
    <w:name w:val="Body text_"/>
    <w:basedOn w:val="DefaultParagraphFont"/>
    <w:link w:val="BodyText10"/>
    <w:rsid w:val="00843F97"/>
    <w:rPr>
      <w:rFonts w:cs="Calibri"/>
      <w:shd w:val="clear" w:color="auto" w:fill="FFFFFF"/>
    </w:rPr>
  </w:style>
  <w:style w:type="paragraph" w:customStyle="1" w:styleId="BodyText10">
    <w:name w:val="Body Text1"/>
    <w:basedOn w:val="Normal"/>
    <w:link w:val="Bodytext1"/>
    <w:rsid w:val="00843F97"/>
    <w:pPr>
      <w:shd w:val="clear" w:color="auto" w:fill="FFFFFF"/>
      <w:spacing w:line="0" w:lineRule="atLeast"/>
    </w:pPr>
    <w:rPr>
      <w:rFonts w:cs="Calibri"/>
      <w:szCs w:val="20"/>
      <w:lang w:eastAsia="lv-LV"/>
    </w:rPr>
  </w:style>
  <w:style w:type="paragraph" w:customStyle="1" w:styleId="Normalaratkpi">
    <w:name w:val="Normal ar atkāpi"/>
    <w:basedOn w:val="Normal"/>
    <w:link w:val="NormalaratkpiChar"/>
    <w:rsid w:val="000A1ADA"/>
    <w:pPr>
      <w:spacing w:before="120"/>
      <w:ind w:firstLine="720"/>
      <w:contextualSpacing/>
    </w:pPr>
    <w:rPr>
      <w:rFonts w:eastAsia="Times New Roman"/>
    </w:rPr>
  </w:style>
  <w:style w:type="character" w:customStyle="1" w:styleId="NormalaratkpiChar">
    <w:name w:val="Normal ar atkāpi Char"/>
    <w:link w:val="Normalaratkpi"/>
    <w:rsid w:val="000A1ADA"/>
    <w:rPr>
      <w:rFonts w:eastAsia="Times New Roman"/>
      <w:sz w:val="24"/>
      <w:szCs w:val="24"/>
    </w:rPr>
  </w:style>
  <w:style w:type="paragraph" w:customStyle="1" w:styleId="Tabvirsraksts">
    <w:name w:val="Tab.virsraksts"/>
    <w:basedOn w:val="Caption"/>
    <w:link w:val="TabvirsrakstsChar"/>
    <w:autoRedefine/>
    <w:rsid w:val="000A1ADA"/>
    <w:pPr>
      <w:keepNext/>
      <w:spacing w:before="120" w:after="120" w:line="240" w:lineRule="auto"/>
      <w:contextualSpacing/>
      <w:jc w:val="center"/>
    </w:pPr>
    <w:rPr>
      <w:rFonts w:ascii="Times New Roman Bold" w:hAnsi="Times New Roman Bold"/>
      <w:sz w:val="22"/>
      <w:lang w:eastAsia="ru-RU"/>
    </w:rPr>
  </w:style>
  <w:style w:type="character" w:customStyle="1" w:styleId="TabvirsrakstsChar">
    <w:name w:val="Tab.virsraksts Char"/>
    <w:link w:val="Tabvirsraksts"/>
    <w:rsid w:val="000A1ADA"/>
    <w:rPr>
      <w:rFonts w:ascii="Times New Roman Bold" w:eastAsia="Times New Roman" w:hAnsi="Times New Roman Bold"/>
      <w:b/>
      <w:bCs/>
      <w:sz w:val="22"/>
      <w:lang w:eastAsia="ru-RU"/>
    </w:rPr>
  </w:style>
  <w:style w:type="paragraph" w:styleId="BodyTextIndent">
    <w:name w:val="Body Text Indent"/>
    <w:basedOn w:val="Normal"/>
    <w:link w:val="BodyTextIndentChar"/>
    <w:uiPriority w:val="99"/>
    <w:semiHidden/>
    <w:unhideWhenUsed/>
    <w:rsid w:val="009471A7"/>
    <w:pPr>
      <w:ind w:left="283"/>
    </w:pPr>
  </w:style>
  <w:style w:type="character" w:customStyle="1" w:styleId="BodyTextIndentChar">
    <w:name w:val="Body Text Indent Char"/>
    <w:basedOn w:val="DefaultParagraphFont"/>
    <w:link w:val="BodyTextIndent"/>
    <w:uiPriority w:val="99"/>
    <w:semiHidden/>
    <w:rsid w:val="009471A7"/>
    <w:rPr>
      <w:sz w:val="24"/>
      <w:szCs w:val="24"/>
      <w:lang w:eastAsia="en-US"/>
    </w:rPr>
  </w:style>
  <w:style w:type="table" w:customStyle="1" w:styleId="LightShading11">
    <w:name w:val="Light Shading11"/>
    <w:basedOn w:val="TableNormal"/>
    <w:uiPriority w:val="60"/>
    <w:rsid w:val="000A6BC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CB6AE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3">
    <w:name w:val="Light Shading13"/>
    <w:basedOn w:val="TableNormal"/>
    <w:uiPriority w:val="60"/>
    <w:rsid w:val="002866B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ps">
    <w:name w:val="hps"/>
    <w:basedOn w:val="DefaultParagraphFont"/>
    <w:rsid w:val="00B43808"/>
  </w:style>
  <w:style w:type="paragraph" w:customStyle="1" w:styleId="CharCharCharChar">
    <w:name w:val="Char Char Char Char"/>
    <w:aliases w:val="Char2"/>
    <w:basedOn w:val="Normal"/>
    <w:next w:val="Normal"/>
    <w:link w:val="FootnoteReference"/>
    <w:uiPriority w:val="99"/>
    <w:rsid w:val="00A05E5C"/>
    <w:pPr>
      <w:spacing w:after="160" w:line="240" w:lineRule="exact"/>
      <w:textAlignment w:val="baseline"/>
    </w:pPr>
    <w:rPr>
      <w:szCs w:val="20"/>
      <w:vertAlign w:val="superscript"/>
      <w:lang w:eastAsia="lv-LV"/>
    </w:rPr>
  </w:style>
  <w:style w:type="paragraph" w:customStyle="1" w:styleId="teksts">
    <w:name w:val="teksts"/>
    <w:rsid w:val="00AC178F"/>
    <w:pPr>
      <w:spacing w:after="120"/>
      <w:jc w:val="both"/>
    </w:pPr>
    <w:rPr>
      <w:rFonts w:ascii="Garamond" w:eastAsia="Times New Roman" w:hAnsi="Garamond"/>
      <w:sz w:val="24"/>
      <w:lang w:eastAsia="en-US"/>
    </w:rPr>
  </w:style>
  <w:style w:type="paragraph" w:customStyle="1" w:styleId="naiskr">
    <w:name w:val="naiskr"/>
    <w:basedOn w:val="Normal"/>
    <w:rsid w:val="00DD0EA0"/>
    <w:pPr>
      <w:spacing w:before="100" w:beforeAutospacing="1" w:after="100" w:afterAutospacing="1"/>
    </w:pPr>
    <w:rPr>
      <w:rFonts w:eastAsia="Times New Roman"/>
      <w:lang w:eastAsia="lv-LV"/>
    </w:rPr>
  </w:style>
  <w:style w:type="character" w:customStyle="1" w:styleId="apple-converted-space">
    <w:name w:val="apple-converted-space"/>
    <w:basedOn w:val="DefaultParagraphFont"/>
    <w:rsid w:val="00395264"/>
  </w:style>
  <w:style w:type="paragraph" w:customStyle="1" w:styleId="liknoteik">
    <w:name w:val="lik_noteik"/>
    <w:basedOn w:val="Normal"/>
    <w:rsid w:val="00B94060"/>
    <w:pPr>
      <w:spacing w:before="100" w:beforeAutospacing="1" w:after="100" w:afterAutospacing="1"/>
    </w:pPr>
    <w:rPr>
      <w:rFonts w:eastAsia="Times New Roman"/>
      <w:lang w:eastAsia="lv-LV"/>
    </w:rPr>
  </w:style>
  <w:style w:type="table" w:styleId="LightListAccent1">
    <w:name w:val="Light List Accent 1"/>
    <w:basedOn w:val="TableNormal"/>
    <w:uiPriority w:val="61"/>
    <w:rsid w:val="00B9406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ED06C8"/>
    <w:rPr>
      <w:sz w:val="24"/>
      <w:szCs w:val="24"/>
      <w:lang w:eastAsia="en-US"/>
    </w:rPr>
  </w:style>
  <w:style w:type="paragraph" w:customStyle="1" w:styleId="xmsonormal">
    <w:name w:val="x_msonormal"/>
    <w:basedOn w:val="Normal"/>
    <w:rsid w:val="00480EF4"/>
    <w:pPr>
      <w:spacing w:before="100" w:beforeAutospacing="1" w:after="100" w:afterAutospacing="1"/>
    </w:pPr>
    <w:rPr>
      <w:rFonts w:eastAsia="Times New Roman"/>
      <w:lang w:eastAsia="lv-LV"/>
    </w:rPr>
  </w:style>
  <w:style w:type="character" w:customStyle="1" w:styleId="shorttext">
    <w:name w:val="short_text"/>
    <w:basedOn w:val="DefaultParagraphFont"/>
    <w:rsid w:val="000B169C"/>
  </w:style>
  <w:style w:type="character" w:customStyle="1" w:styleId="UnresolvedMention1">
    <w:name w:val="Unresolved Mention1"/>
    <w:basedOn w:val="DefaultParagraphFont"/>
    <w:uiPriority w:val="99"/>
    <w:semiHidden/>
    <w:unhideWhenUsed/>
    <w:rsid w:val="00CE6F8C"/>
    <w:rPr>
      <w:color w:val="808080"/>
      <w:shd w:val="clear" w:color="auto" w:fill="E6E6E6"/>
    </w:rPr>
  </w:style>
  <w:style w:type="character" w:customStyle="1" w:styleId="Heading4Char">
    <w:name w:val="Heading 4 Char"/>
    <w:basedOn w:val="DefaultParagraphFont"/>
    <w:link w:val="Heading4"/>
    <w:uiPriority w:val="9"/>
    <w:rsid w:val="003D0310"/>
    <w:rPr>
      <w:rFonts w:asciiTheme="majorHAnsi" w:eastAsiaTheme="majorEastAsia" w:hAnsiTheme="majorHAnsi" w:cstheme="majorBidi"/>
      <w:i/>
      <w:iCs/>
      <w:color w:val="365F91" w:themeColor="accent1" w:themeShade="BF"/>
      <w:szCs w:val="24"/>
      <w:lang w:eastAsia="en-US"/>
    </w:rPr>
  </w:style>
  <w:style w:type="character" w:customStyle="1" w:styleId="UnresolvedMention2">
    <w:name w:val="Unresolved Mention2"/>
    <w:basedOn w:val="DefaultParagraphFont"/>
    <w:uiPriority w:val="99"/>
    <w:semiHidden/>
    <w:unhideWhenUsed/>
    <w:rsid w:val="003D0310"/>
    <w:rPr>
      <w:color w:val="808080"/>
      <w:shd w:val="clear" w:color="auto" w:fill="E6E6E6"/>
    </w:rPr>
  </w:style>
  <w:style w:type="paragraph" w:styleId="DocumentMap">
    <w:name w:val="Document Map"/>
    <w:basedOn w:val="Normal"/>
    <w:link w:val="DocumentMapChar"/>
    <w:uiPriority w:val="99"/>
    <w:semiHidden/>
    <w:unhideWhenUsed/>
    <w:rsid w:val="0092476A"/>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2476A"/>
    <w:rPr>
      <w:rFonts w:ascii="Lucida Grande" w:hAnsi="Lucida Grande" w:cs="Lucida Grande"/>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6.xml" /><Relationship Id="rId11" Type="http://schemas.openxmlformats.org/officeDocument/2006/relationships/customXml" Target="../customXml/item7.xml" /><Relationship Id="rId12" Type="http://schemas.openxmlformats.org/officeDocument/2006/relationships/customXml" Target="../customXml/item8.xml" /><Relationship Id="rId13" Type="http://schemas.openxmlformats.org/officeDocument/2006/relationships/customXml" Target="../customXml/item9.xml" /><Relationship Id="rId14" Type="http://schemas.openxmlformats.org/officeDocument/2006/relationships/customXml" Target="../customXml/item10.xml" /><Relationship Id="rId15" Type="http://schemas.openxmlformats.org/officeDocument/2006/relationships/customXml" Target="../customXml/item11.xml" /><Relationship Id="rId16" Type="http://schemas.openxmlformats.org/officeDocument/2006/relationships/customXml" Target="../customXml/item12.xml" /><Relationship Id="rId17" Type="http://schemas.openxmlformats.org/officeDocument/2006/relationships/customXml" Target="../customXml/item13.xml" /><Relationship Id="rId18" Type="http://schemas.openxmlformats.org/officeDocument/2006/relationships/customXml" Target="../customXml/item14.xml" /><Relationship Id="rId19" Type="http://schemas.openxmlformats.org/officeDocument/2006/relationships/customXml" Target="../customXml/item15.xml" /><Relationship Id="rId2" Type="http://schemas.openxmlformats.org/officeDocument/2006/relationships/settings" Target="settings.xml" /><Relationship Id="rId20" Type="http://schemas.openxmlformats.org/officeDocument/2006/relationships/image" Target="media/image1.jpeg" /><Relationship Id="rId21" Type="http://schemas.openxmlformats.org/officeDocument/2006/relationships/header" Target="header1.xml" /><Relationship Id="rId22" Type="http://schemas.openxmlformats.org/officeDocument/2006/relationships/header" Target="header2.xml"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header" Target="header3.xml" /><Relationship Id="rId26" Type="http://schemas.openxmlformats.org/officeDocument/2006/relationships/footer" Target="footer3.xml" /><Relationship Id="rId27" Type="http://schemas.openxmlformats.org/officeDocument/2006/relationships/chart" Target="charts/chart1.xml" /><Relationship Id="rId28" Type="http://schemas.openxmlformats.org/officeDocument/2006/relationships/chart" Target="charts/chart2.xml" /><Relationship Id="rId29" Type="http://schemas.openxmlformats.org/officeDocument/2006/relationships/chart" Target="charts/chart3.xml" /><Relationship Id="rId3" Type="http://schemas.openxmlformats.org/officeDocument/2006/relationships/webSettings" Target="webSettings.xml" /><Relationship Id="rId30" Type="http://schemas.openxmlformats.org/officeDocument/2006/relationships/chart" Target="charts/chart4.xml" /><Relationship Id="rId31" Type="http://schemas.openxmlformats.org/officeDocument/2006/relationships/chart" Target="charts/chart5.xml" /><Relationship Id="rId32" Type="http://schemas.openxmlformats.org/officeDocument/2006/relationships/chart" Target="charts/chart6.xml" /><Relationship Id="rId33" Type="http://schemas.openxmlformats.org/officeDocument/2006/relationships/chart" Target="charts/chart7.xml" /><Relationship Id="rId34" Type="http://schemas.openxmlformats.org/officeDocument/2006/relationships/chart" Target="charts/chart8.xml" /><Relationship Id="rId35" Type="http://schemas.openxmlformats.org/officeDocument/2006/relationships/chart" Target="charts/chart9.xml" /><Relationship Id="rId36" Type="http://schemas.openxmlformats.org/officeDocument/2006/relationships/chart" Target="charts/chart10.xml" /><Relationship Id="rId37" Type="http://schemas.openxmlformats.org/officeDocument/2006/relationships/chart" Target="charts/chart11.xml" /><Relationship Id="rId38" Type="http://schemas.openxmlformats.org/officeDocument/2006/relationships/chart" Target="charts/chart12.xml" /><Relationship Id="rId39" Type="http://schemas.openxmlformats.org/officeDocument/2006/relationships/theme" Target="theme/theme1.xml" /><Relationship Id="rId4" Type="http://schemas.openxmlformats.org/officeDocument/2006/relationships/fontTable" Target="fontTable.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11.xlsx"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2.xlsx"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microsoft.com/office/2011/relationships/chartColorStyle" Target="chart/colors1.xml" /><Relationship Id="rId3" Type="http://schemas.microsoft.com/office/2011/relationships/chartStyle" Target="chart/style1.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6.xlsx"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microsoft.com/office/2011/relationships/chartColorStyle" Target="chart/colors2.xml" /><Relationship Id="rId3" Type="http://schemas.microsoft.com/office/2011/relationships/chartStyle" Target="chart/style2.xml"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7119133231598"/>
          <c:y val="0.0776287932251235"/>
          <c:w val="0.838723073771298"/>
          <c:h val="0.743737714937941"/>
        </c:manualLayout>
      </c:layout>
      <c:lineChart>
        <c:grouping val="standard"/>
        <c:varyColors val="0"/>
        <c:ser>
          <c:idx val="0"/>
          <c:order val="0"/>
          <c:tx>
            <c:strRef>
              <c:f>Sheet1!$B$1</c:f>
              <c:strCache>
                <c:ptCount val="1"/>
                <c:pt idx="0">
                  <c:v>milj. EUR (kreisā 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8"/>
            <c:bubble3D val="0"/>
            <c:marker>
              <c:symbol val="circle"/>
              <c:size val="8"/>
            </c:marker>
            <c:extLst>
              <c:ext xmlns:c="http://schemas.openxmlformats.org/drawingml/2006/chart" xmlns:c16="http://schemas.microsoft.com/office/drawing/2014/chart" uri="{C3380CC4-5D6E-409C-BE32-E72D297353CC}">
                <c16:uniqueId val="{00000003-587E-40A3-8821-925E9840FDB3}"/>
              </c:ext>
            </c:extLst>
          </c:dPt>
          <c:dLbls>
            <c:dLbl>
              <c:idx val="8"/>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587E-40A3-8821-925E9840FDB3}"/>
                </c:ext>
              </c:extLst>
            </c:dLbl>
            <c:dLbl>
              <c:idx val="9"/>
              <c:layout>
                <c:manualLayout>
                  <c:x val="-0.0519580870412658"/>
                  <c:y val="-0.0658634445172448"/>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5646-43E6-B222-B197D6A2EF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2009</c:v>
                </c:pt>
                <c:pt idx="1">
                  <c:v>2010</c:v>
                </c:pt>
                <c:pt idx="2">
                  <c:v>2011</c:v>
                </c:pt>
                <c:pt idx="3">
                  <c:v>2012</c:v>
                </c:pt>
                <c:pt idx="4">
                  <c:v>2013</c:v>
                </c:pt>
                <c:pt idx="5">
                  <c:v>2014</c:v>
                </c:pt>
                <c:pt idx="6">
                  <c:v>2015</c:v>
                </c:pt>
                <c:pt idx="7">
                  <c:v>2016</c:v>
                </c:pt>
                <c:pt idx="9">
                  <c:v>2020                                        Mērķis</c:v>
                </c:pt>
              </c:strCache>
            </c:strRef>
          </c:cat>
          <c:val>
            <c:numRef>
              <c:f>Sheet1!$B$2:$B$11</c:f>
              <c:numCache>
                <c:formatCode>0</c:formatCode>
                <c:ptCount val="10"/>
                <c:pt idx="0">
                  <c:v>85.2</c:v>
                </c:pt>
                <c:pt idx="1">
                  <c:v>109.6</c:v>
                </c:pt>
                <c:pt idx="2">
                  <c:v>141.4</c:v>
                </c:pt>
                <c:pt idx="3">
                  <c:v>145.4</c:v>
                </c:pt>
                <c:pt idx="4">
                  <c:v>139.5</c:v>
                </c:pt>
                <c:pt idx="5">
                  <c:v>162.8</c:v>
                </c:pt>
                <c:pt idx="6">
                  <c:v>152.3</c:v>
                </c:pt>
                <c:pt idx="7">
                  <c:v>110.4</c:v>
                </c:pt>
                <c:pt idx="9" formatCode="General">
                  <c:v>500</c:v>
                </c:pt>
              </c:numCache>
            </c:numRef>
          </c:val>
          <c:smooth val="0"/>
          <c:extLst>
            <c:ext xmlns:c="http://schemas.openxmlformats.org/drawingml/2006/chart" xmlns:c16="http://schemas.microsoft.com/office/drawing/2014/chart" uri="{C3380CC4-5D6E-409C-BE32-E72D297353CC}">
              <c16:uniqueId val="{00000001-587E-40A3-8821-925E9840FDB3}"/>
            </c:ext>
          </c:extLst>
        </c:ser>
        <c:dLbls>
          <c:showLegendKey val="0"/>
          <c:showVal val="0"/>
          <c:showCatName val="0"/>
          <c:showSerName val="0"/>
          <c:showPercent val="0"/>
          <c:showBubbleSize val="0"/>
        </c:dLbls>
        <c:marker val="1"/>
        <c:smooth val="0"/>
        <c:axId val="2104264184"/>
        <c:axId val="2104268888"/>
      </c:lineChart>
      <c:lineChart>
        <c:grouping val="standard"/>
        <c:varyColors val="0"/>
        <c:ser>
          <c:idx val="1"/>
          <c:order val="1"/>
          <c:tx>
            <c:strRef>
              <c:f>Sheet1!$C$1</c:f>
              <c:strCache>
                <c:ptCount val="1"/>
                <c:pt idx="0">
                  <c:v>% no IKP (labā ass)</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dPt>
            <c:idx val="8"/>
            <c:bubble3D val="0"/>
            <c:marker>
              <c:symbol val="triangle"/>
              <c:size val="8"/>
            </c:marker>
            <c:extLst>
              <c:ext xmlns:c="http://schemas.openxmlformats.org/drawingml/2006/chart" xmlns:c16="http://schemas.microsoft.com/office/drawing/2014/chart" uri="{C3380CC4-5D6E-409C-BE32-E72D297353CC}">
                <c16:uniqueId val="{00000004-587E-40A3-8821-925E9840FDB3}"/>
              </c:ext>
            </c:extLst>
          </c:dPt>
          <c:dLbls>
            <c:dLbl>
              <c:idx val="8"/>
              <c:dLblPos val="b"/>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587E-40A3-8821-925E9840FDB3}"/>
                </c:ext>
              </c:extLst>
            </c:dLbl>
            <c:dLbl>
              <c:idx val="9"/>
              <c:layout>
                <c:manualLayout>
                  <c:x val="-0.0430669192956789"/>
                  <c:y val="0.0541012717426788"/>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5646-43E6-B222-B197D6A2EF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Sheet1!$A$2:$A$11</c:f>
              <c:strCache>
                <c:ptCount val="10"/>
                <c:pt idx="0">
                  <c:v>2009</c:v>
                </c:pt>
                <c:pt idx="1">
                  <c:v>2010</c:v>
                </c:pt>
                <c:pt idx="2">
                  <c:v>2011</c:v>
                </c:pt>
                <c:pt idx="3">
                  <c:v>2012</c:v>
                </c:pt>
                <c:pt idx="4">
                  <c:v>2013</c:v>
                </c:pt>
                <c:pt idx="5">
                  <c:v>2014</c:v>
                </c:pt>
                <c:pt idx="6">
                  <c:v>2015</c:v>
                </c:pt>
                <c:pt idx="7">
                  <c:v>2016</c:v>
                </c:pt>
                <c:pt idx="9">
                  <c:v>2020                                        Mērķis</c:v>
                </c:pt>
              </c:strCache>
            </c:strRef>
          </c:cat>
          <c:val>
            <c:numRef>
              <c:f>Sheet1!$C$2:$C$11</c:f>
              <c:numCache>
                <c:formatCode>General</c:formatCode>
                <c:ptCount val="10"/>
                <c:pt idx="0">
                  <c:v>0.45</c:v>
                </c:pt>
                <c:pt idx="1">
                  <c:v>0.61</c:v>
                </c:pt>
                <c:pt idx="2" formatCode="0.00">
                  <c:v>0.7</c:v>
                </c:pt>
                <c:pt idx="3">
                  <c:v>0.66</c:v>
                </c:pt>
                <c:pt idx="4">
                  <c:v>0.61</c:v>
                </c:pt>
                <c:pt idx="5">
                  <c:v>0.68</c:v>
                </c:pt>
                <c:pt idx="6">
                  <c:v>0.62</c:v>
                </c:pt>
                <c:pt idx="7">
                  <c:v>0.44</c:v>
                </c:pt>
                <c:pt idx="9">
                  <c:v>1.5</c:v>
                </c:pt>
              </c:numCache>
            </c:numRef>
          </c:val>
          <c:smooth val="0"/>
          <c:extLst>
            <c:ext xmlns:c="http://schemas.openxmlformats.org/drawingml/2006/chart" xmlns:c16="http://schemas.microsoft.com/office/drawing/2014/chart" uri="{C3380CC4-5D6E-409C-BE32-E72D297353CC}">
              <c16:uniqueId val="{00000002-587E-40A3-8821-925E9840FDB3}"/>
            </c:ext>
          </c:extLst>
        </c:ser>
        <c:dLbls>
          <c:showLegendKey val="0"/>
          <c:showVal val="0"/>
          <c:showCatName val="0"/>
          <c:showSerName val="0"/>
          <c:showPercent val="0"/>
          <c:showBubbleSize val="0"/>
        </c:dLbls>
        <c:marker val="1"/>
        <c:smooth val="0"/>
        <c:axId val="2078285928"/>
        <c:axId val="2126300536"/>
      </c:lineChart>
      <c:catAx>
        <c:axId val="21042641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04268888"/>
        <c:crosses val="autoZero"/>
        <c:auto val="1"/>
        <c:lblAlgn val="ctr"/>
        <c:lblOffset val="100"/>
        <c:noMultiLvlLbl val="0"/>
      </c:catAx>
      <c:valAx>
        <c:axId val="2104268888"/>
        <c:scaling>
          <c:orientation val="minMax"/>
          <c:max val="520"/>
          <c:min val="0"/>
        </c:scaling>
        <c:delete val="0"/>
        <c:axPos val="l"/>
        <c:numFmt formatCode="0" sourceLinked="1"/>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04264184"/>
        <c:crosses val="autoZero"/>
        <c:crossBetween val="between"/>
      </c:valAx>
      <c:valAx>
        <c:axId val="2126300536"/>
        <c:scaling>
          <c:orientation val="minMax"/>
          <c:max val="1.8"/>
          <c:min val="0"/>
        </c:scaling>
        <c:delete val="0"/>
        <c:axPos val="r"/>
        <c:numFmt formatCode="#,##0.0" sourceLinked="0"/>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078285928"/>
        <c:crosses val="max"/>
        <c:crossBetween val="between"/>
        <c:majorUnit val="0.3"/>
      </c:valAx>
      <c:catAx>
        <c:axId val="2078285928"/>
        <c:scaling>
          <c:orientation val="minMax"/>
        </c:scaling>
        <c:delete val="1"/>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6300536"/>
        <c:crosses val="autoZero"/>
        <c:auto val="1"/>
        <c:lblAlgn val="ctr"/>
        <c:lblOffset val="100"/>
        <c:noMultiLvlLbl val="0"/>
      </c:catAx>
      <c:spPr>
        <a:noFill/>
        <a:ln>
          <a:noFill/>
        </a:ln>
        <a:effectLst/>
      </c:spPr>
    </c:plotArea>
    <c:legend>
      <c:legendPos val="l"/>
      <c:layout>
        <c:manualLayout>
          <c:xMode val="edge"/>
          <c:yMode val="edge"/>
          <c:x val="0.223704022370402"/>
          <c:y val="0.0789179757611456"/>
          <c:w val="0.446204162100731"/>
          <c:h val="0.2211337026767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00689251268257"/>
          <c:y val="0.0776287932251235"/>
          <c:w val="0.861614086420883"/>
          <c:h val="0.640797634785509"/>
        </c:manualLayout>
      </c:layout>
      <c:lineChart>
        <c:grouping val="standard"/>
        <c:varyColors val="0"/>
        <c:ser>
          <c:idx val="0"/>
          <c:order val="0"/>
          <c:tx>
            <c:strRef>
              <c:f>Sheet1!$B$1</c:f>
              <c:strCache>
                <c:ptCount val="1"/>
                <c:pt idx="0">
                  <c:v>Apsilde un dzesēšana (kreisā 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9"/>
            <c:bubble3D val="0"/>
            <c:marker>
              <c:symbol val="circle"/>
              <c:size val="8"/>
            </c:marker>
            <c:extLst>
              <c:ext xmlns:c="http://schemas.openxmlformats.org/drawingml/2006/chart" xmlns:c16="http://schemas.microsoft.com/office/drawing/2014/chart" uri="{C3380CC4-5D6E-409C-BE32-E72D297353CC}">
                <c16:uniqueId val="{00000000-9762-46A9-82D6-53AA8B7D147A}"/>
              </c:ext>
            </c:extLst>
          </c:dPt>
          <c:dLbls>
            <c:dLbl>
              <c:idx val="0"/>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1-9762-46A9-82D6-53AA8B7D147A}"/>
                </c:ext>
              </c:extLst>
            </c:dLbl>
            <c:dLbl>
              <c:idx val="4"/>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2-9762-46A9-82D6-53AA8B7D147A}"/>
                </c:ext>
              </c:extLst>
            </c:dLbl>
            <c:dLbl>
              <c:idx val="6"/>
              <c:dLblPos val="b"/>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C-9762-46A9-82D6-53AA8B7D147A}"/>
                </c:ext>
              </c:extLst>
            </c:dLbl>
            <c:dLbl>
              <c:idx val="9"/>
              <c:dLblPos val="b"/>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9762-46A9-82D6-53AA8B7D14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Sheet1!$B$2:$B$11</c:f>
              <c:numCache>
                <c:formatCode>General</c:formatCode>
                <c:ptCount val="10"/>
                <c:pt idx="0">
                  <c:v>42.7</c:v>
                </c:pt>
                <c:pt idx="2">
                  <c:v>44.7</c:v>
                </c:pt>
                <c:pt idx="3">
                  <c:v>47.3</c:v>
                </c:pt>
                <c:pt idx="4">
                  <c:v>49.7</c:v>
                </c:pt>
                <c:pt idx="5">
                  <c:v>52.2</c:v>
                </c:pt>
                <c:pt idx="6">
                  <c:v>51.8</c:v>
                </c:pt>
                <c:pt idx="7">
                  <c:v>51.9</c:v>
                </c:pt>
                <c:pt idx="9">
                  <c:v>53.4</c:v>
                </c:pt>
              </c:numCache>
            </c:numRef>
          </c:val>
          <c:smooth val="0"/>
          <c:extLst>
            <c:ext xmlns:c="http://schemas.openxmlformats.org/drawingml/2006/chart" xmlns:c16="http://schemas.microsoft.com/office/drawing/2014/chart" uri="{C3380CC4-5D6E-409C-BE32-E72D297353CC}">
              <c16:uniqueId val="{00000003-9762-46A9-82D6-53AA8B7D147A}"/>
            </c:ext>
          </c:extLst>
        </c:ser>
        <c:ser>
          <c:idx val="1"/>
          <c:order val="1"/>
          <c:tx>
            <c:strRef>
              <c:f>Sheet1!$C$1</c:f>
              <c:strCache>
                <c:ptCount val="1"/>
                <c:pt idx="0">
                  <c:v>Elektroenerģija (kreisā ass)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Pt>
            <c:idx val="9"/>
            <c:bubble3D val="0"/>
            <c:marker>
              <c:symbol val="square"/>
              <c:size val="8"/>
            </c:marker>
            <c:extLst>
              <c:ext xmlns:c="http://schemas.openxmlformats.org/drawingml/2006/chart" xmlns:c16="http://schemas.microsoft.com/office/drawing/2014/chart" uri="{C3380CC4-5D6E-409C-BE32-E72D297353CC}">
                <c16:uniqueId val="{00000004-9762-46A9-82D6-53AA8B7D147A}"/>
              </c:ext>
            </c:extLst>
          </c:dPt>
          <c:dLbls>
            <c:dLbl>
              <c:idx val="0"/>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9762-46A9-82D6-53AA8B7D147A}"/>
                </c:ext>
              </c:extLst>
            </c:dLbl>
            <c:dLbl>
              <c:idx val="4"/>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6-9762-46A9-82D6-53AA8B7D147A}"/>
                </c:ext>
              </c:extLst>
            </c:dLbl>
            <c:dLbl>
              <c:idx val="9"/>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9762-46A9-82D6-53AA8B7D14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Sheet1!$C$2:$C$11</c:f>
            </c:numRef>
          </c:val>
          <c:smooth val="0"/>
          <c:extLst>
            <c:ext xmlns:c="http://schemas.openxmlformats.org/drawingml/2006/chart" xmlns:c16="http://schemas.microsoft.com/office/drawing/2014/chart" uri="{C3380CC4-5D6E-409C-BE32-E72D297353CC}">
              <c16:uniqueId val="{00000007-9762-46A9-82D6-53AA8B7D147A}"/>
            </c:ext>
          </c:extLst>
        </c:ser>
        <c:dLbls>
          <c:showLegendKey val="0"/>
          <c:showVal val="0"/>
          <c:showCatName val="0"/>
          <c:showSerName val="0"/>
          <c:showPercent val="0"/>
          <c:showBubbleSize val="0"/>
        </c:dLbls>
        <c:marker val="1"/>
        <c:smooth val="0"/>
        <c:axId val="2129191992"/>
        <c:axId val="2129195816"/>
      </c:lineChart>
      <c:lineChart>
        <c:grouping val="standard"/>
        <c:varyColors val="0"/>
        <c:ser>
          <c:idx val="2"/>
          <c:order val="2"/>
          <c:tx>
            <c:strRef>
              <c:f>Sheet1!$D$1</c:f>
              <c:strCache>
                <c:ptCount val="1"/>
                <c:pt idx="0">
                  <c:v>Transports (labā ass)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Pt>
            <c:idx val="9"/>
            <c:bubble3D val="0"/>
            <c:marker>
              <c:symbol val="triangle"/>
              <c:size val="8"/>
            </c:marker>
            <c:extLst>
              <c:ext xmlns:c="http://schemas.openxmlformats.org/drawingml/2006/chart" xmlns:c16="http://schemas.microsoft.com/office/drawing/2014/chart" uri="{C3380CC4-5D6E-409C-BE32-E72D297353CC}">
                <c16:uniqueId val="{00000008-9762-46A9-82D6-53AA8B7D147A}"/>
              </c:ext>
            </c:extLst>
          </c:dPt>
          <c:dLbls>
            <c:dLbl>
              <c:idx val="0"/>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9-9762-46A9-82D6-53AA8B7D147A}"/>
                </c:ext>
              </c:extLst>
            </c:dLbl>
            <c:dLbl>
              <c:idx val="2"/>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A-9762-46A9-82D6-53AA8B7D147A}"/>
                </c:ext>
              </c:extLst>
            </c:dLbl>
            <c:dLbl>
              <c:idx val="9"/>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8-9762-46A9-82D6-53AA8B7D14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Sheet1!$D$2:$D$11</c:f>
            </c:numRef>
          </c:val>
          <c:smooth val="0"/>
          <c:extLst>
            <c:ext xmlns:c="http://schemas.openxmlformats.org/drawingml/2006/chart" xmlns:c16="http://schemas.microsoft.com/office/drawing/2014/chart" uri="{C3380CC4-5D6E-409C-BE32-E72D297353CC}">
              <c16:uniqueId val="{0000000B-9762-46A9-82D6-53AA8B7D147A}"/>
            </c:ext>
          </c:extLst>
        </c:ser>
        <c:dLbls>
          <c:showLegendKey val="0"/>
          <c:showVal val="0"/>
          <c:showCatName val="0"/>
          <c:showSerName val="0"/>
          <c:showPercent val="0"/>
          <c:showBubbleSize val="0"/>
        </c:dLbls>
        <c:marker val="1"/>
        <c:smooth val="0"/>
        <c:axId val="2129202136"/>
        <c:axId val="2129199288"/>
      </c:lineChart>
      <c:catAx>
        <c:axId val="21291919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195816"/>
        <c:crosses val="autoZero"/>
        <c:auto val="1"/>
        <c:lblAlgn val="ctr"/>
        <c:lblOffset val="100"/>
        <c:noMultiLvlLbl val="0"/>
      </c:catAx>
      <c:valAx>
        <c:axId val="2129195816"/>
        <c:scaling>
          <c:orientation val="minMax"/>
          <c:max val="55"/>
          <c:min val="42"/>
        </c:scaling>
        <c:delete val="0"/>
        <c:axPos val="l"/>
        <c:numFmt formatCode="General" sourceLinked="1"/>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191992"/>
        <c:crosses val="autoZero"/>
        <c:crossBetween val="between"/>
        <c:majorUnit val="3"/>
      </c:valAx>
      <c:valAx>
        <c:axId val="2129199288"/>
        <c:scaling>
          <c:orientation val="minMax"/>
          <c:min val="0"/>
        </c:scaling>
        <c:delete val="1"/>
        <c:axPos val="r"/>
        <c:numFmt formatCode="0.0" sourceLinked="1"/>
        <c:majorTickMark val="out"/>
        <c:minorTickMark val="none"/>
        <c:tickLblPos val="none"/>
        <c:crossAx val="2129202136"/>
        <c:crosses val="max"/>
        <c:crossBetween val="between"/>
      </c:valAx>
      <c:catAx>
        <c:axId val="2129202136"/>
        <c:scaling>
          <c:orientation val="minMax"/>
        </c:scaling>
        <c:delete val="1"/>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199288"/>
        <c:crosses val="autoZero"/>
        <c:auto val="1"/>
        <c:lblAlgn val="ctr"/>
        <c:lblOffset val="100"/>
        <c:noMultiLvlLbl val="0"/>
      </c:cat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00689251268257"/>
          <c:y val="0.0776287932251235"/>
          <c:w val="0.861614086420883"/>
          <c:h val="0.640797634785509"/>
        </c:manualLayout>
      </c:layout>
      <c:lineChart>
        <c:grouping val="standard"/>
        <c:varyColors val="0"/>
        <c:ser>
          <c:idx val="0"/>
          <c:order val="0"/>
          <c:tx>
            <c:strRef>
              <c:f>Sheet1!$B$1</c:f>
              <c:strCache>
                <c:ptCount val="1"/>
                <c:pt idx="0">
                  <c:v>Apsilde un dzesēšana (kreisā 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9"/>
            <c:bubble3D val="0"/>
            <c:marker>
              <c:symbol val="circle"/>
              <c:size val="8"/>
            </c:marker>
            <c:extLst>
              <c:ext xmlns:c="http://schemas.openxmlformats.org/drawingml/2006/chart" xmlns:c16="http://schemas.microsoft.com/office/drawing/2014/chart" uri="{C3380CC4-5D6E-409C-BE32-E72D297353CC}">
                <c16:uniqueId val="{00000000-7E17-4AE8-9440-27BB21D8901A}"/>
              </c:ext>
            </c:extLst>
          </c:dPt>
          <c:dLbls>
            <c:dLbl>
              <c:idx val="0"/>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1-7E17-4AE8-9440-27BB21D8901A}"/>
                </c:ext>
              </c:extLst>
            </c:dLbl>
            <c:dLbl>
              <c:idx val="4"/>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2-7E17-4AE8-9440-27BB21D8901A}"/>
                </c:ext>
              </c:extLst>
            </c:dLbl>
            <c:dLbl>
              <c:idx val="9"/>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7E17-4AE8-9440-27BB21D890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Sheet1!$B$2:$B$11</c:f>
            </c:numRef>
          </c:val>
          <c:smooth val="0"/>
          <c:extLst>
            <c:ext xmlns:c="http://schemas.openxmlformats.org/drawingml/2006/chart" xmlns:c16="http://schemas.microsoft.com/office/drawing/2014/chart" uri="{C3380CC4-5D6E-409C-BE32-E72D297353CC}">
              <c16:uniqueId val="{00000003-7E17-4AE8-9440-27BB21D8901A}"/>
            </c:ext>
          </c:extLst>
        </c:ser>
        <c:ser>
          <c:idx val="1"/>
          <c:order val="1"/>
          <c:tx>
            <c:strRef>
              <c:f>Sheet1!$C$1</c:f>
              <c:strCache>
                <c:ptCount val="1"/>
                <c:pt idx="0">
                  <c:v>Elektroenerģija (kreisā ass)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Pt>
            <c:idx val="9"/>
            <c:bubble3D val="0"/>
            <c:marker>
              <c:symbol val="square"/>
              <c:size val="8"/>
            </c:marker>
            <c:extLst>
              <c:ext xmlns:c="http://schemas.openxmlformats.org/drawingml/2006/chart" xmlns:c16="http://schemas.microsoft.com/office/drawing/2014/chart" uri="{C3380CC4-5D6E-409C-BE32-E72D297353CC}">
                <c16:uniqueId val="{00000004-7E17-4AE8-9440-27BB21D8901A}"/>
              </c:ext>
            </c:extLst>
          </c:dPt>
          <c:dLbls>
            <c:dLbl>
              <c:idx val="0"/>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7E17-4AE8-9440-27BB21D8901A}"/>
                </c:ext>
              </c:extLst>
            </c:dLbl>
            <c:dLbl>
              <c:idx val="3"/>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C-7E17-4AE8-9440-27BB21D8901A}"/>
                </c:ext>
              </c:extLst>
            </c:dLbl>
            <c:dLbl>
              <c:idx val="4"/>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6-7E17-4AE8-9440-27BB21D8901A}"/>
                </c:ext>
              </c:extLst>
            </c:dLbl>
            <c:dLbl>
              <c:idx val="6"/>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D-7E17-4AE8-9440-27BB21D8901A}"/>
                </c:ext>
              </c:extLst>
            </c:dLbl>
            <c:dLbl>
              <c:idx val="9"/>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7E17-4AE8-9440-27BB21D890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Sheet1!$C$2:$C$11</c:f>
              <c:numCache>
                <c:formatCode>General</c:formatCode>
                <c:ptCount val="10"/>
                <c:pt idx="0">
                  <c:v>43</c:v>
                </c:pt>
                <c:pt idx="2">
                  <c:v>44.7</c:v>
                </c:pt>
                <c:pt idx="3">
                  <c:v>44.9</c:v>
                </c:pt>
                <c:pt idx="4">
                  <c:v>48.8</c:v>
                </c:pt>
                <c:pt idx="5">
                  <c:v>51.1</c:v>
                </c:pt>
                <c:pt idx="6">
                  <c:v>52.2</c:v>
                </c:pt>
                <c:pt idx="7">
                  <c:v>51.3</c:v>
                </c:pt>
                <c:pt idx="9">
                  <c:v>59.8</c:v>
                </c:pt>
              </c:numCache>
            </c:numRef>
          </c:val>
          <c:smooth val="0"/>
          <c:extLst>
            <c:ext xmlns:c="http://schemas.openxmlformats.org/drawingml/2006/chart" xmlns:c16="http://schemas.microsoft.com/office/drawing/2014/chart" uri="{C3380CC4-5D6E-409C-BE32-E72D297353CC}">
              <c16:uniqueId val="{00000007-7E17-4AE8-9440-27BB21D8901A}"/>
            </c:ext>
          </c:extLst>
        </c:ser>
        <c:dLbls>
          <c:showLegendKey val="0"/>
          <c:showVal val="0"/>
          <c:showCatName val="0"/>
          <c:showSerName val="0"/>
          <c:showPercent val="0"/>
          <c:showBubbleSize val="0"/>
        </c:dLbls>
        <c:marker val="1"/>
        <c:smooth val="0"/>
        <c:axId val="2129275912"/>
        <c:axId val="2129279736"/>
      </c:lineChart>
      <c:lineChart>
        <c:grouping val="standard"/>
        <c:varyColors val="0"/>
        <c:ser>
          <c:idx val="2"/>
          <c:order val="2"/>
          <c:tx>
            <c:strRef>
              <c:f>Sheet1!$D$1</c:f>
              <c:strCache>
                <c:ptCount val="1"/>
                <c:pt idx="0">
                  <c:v>Transports (labā ass)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Pt>
            <c:idx val="9"/>
            <c:bubble3D val="0"/>
            <c:marker>
              <c:symbol val="triangle"/>
              <c:size val="8"/>
            </c:marker>
            <c:extLst>
              <c:ext xmlns:c="http://schemas.openxmlformats.org/drawingml/2006/chart" xmlns:c16="http://schemas.microsoft.com/office/drawing/2014/chart" uri="{C3380CC4-5D6E-409C-BE32-E72D297353CC}">
                <c16:uniqueId val="{00000008-7E17-4AE8-9440-27BB21D8901A}"/>
              </c:ext>
            </c:extLst>
          </c:dPt>
          <c:dLbls>
            <c:dLbl>
              <c:idx val="0"/>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9-7E17-4AE8-9440-27BB21D8901A}"/>
                </c:ext>
              </c:extLst>
            </c:dLbl>
            <c:dLbl>
              <c:idx val="2"/>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A-7E17-4AE8-9440-27BB21D8901A}"/>
                </c:ext>
              </c:extLst>
            </c:dLbl>
            <c:dLbl>
              <c:idx val="9"/>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8-7E17-4AE8-9440-27BB21D890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Sheet1!$D$2:$D$11</c:f>
            </c:numRef>
          </c:val>
          <c:smooth val="0"/>
          <c:extLst>
            <c:ext xmlns:c="http://schemas.openxmlformats.org/drawingml/2006/chart" xmlns:c16="http://schemas.microsoft.com/office/drawing/2014/chart" uri="{C3380CC4-5D6E-409C-BE32-E72D297353CC}">
              <c16:uniqueId val="{0000000B-7E17-4AE8-9440-27BB21D8901A}"/>
            </c:ext>
          </c:extLst>
        </c:ser>
        <c:dLbls>
          <c:showLegendKey val="0"/>
          <c:showVal val="0"/>
          <c:showCatName val="0"/>
          <c:showSerName val="0"/>
          <c:showPercent val="0"/>
          <c:showBubbleSize val="0"/>
        </c:dLbls>
        <c:marker val="1"/>
        <c:smooth val="0"/>
        <c:axId val="2129286056"/>
        <c:axId val="2129283208"/>
      </c:lineChart>
      <c:catAx>
        <c:axId val="21292759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279736"/>
        <c:crosses val="autoZero"/>
        <c:auto val="1"/>
        <c:lblAlgn val="ctr"/>
        <c:lblOffset val="100"/>
        <c:noMultiLvlLbl val="0"/>
      </c:catAx>
      <c:valAx>
        <c:axId val="2129279736"/>
        <c:scaling>
          <c:orientation val="minMax"/>
          <c:max val="60"/>
          <c:min val="42"/>
        </c:scaling>
        <c:delete val="0"/>
        <c:axPos val="l"/>
        <c:numFmt formatCode="General" sourceLinked="1"/>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275912"/>
        <c:crosses val="autoZero"/>
        <c:crossBetween val="between"/>
        <c:majorUnit val="3"/>
      </c:valAx>
      <c:valAx>
        <c:axId val="2129283208"/>
        <c:scaling>
          <c:orientation val="minMax"/>
          <c:min val="0"/>
        </c:scaling>
        <c:delete val="1"/>
        <c:axPos val="r"/>
        <c:numFmt formatCode="0.0" sourceLinked="1"/>
        <c:majorTickMark val="out"/>
        <c:minorTickMark val="none"/>
        <c:tickLblPos val="none"/>
        <c:crossAx val="2129286056"/>
        <c:crosses val="max"/>
        <c:crossBetween val="between"/>
      </c:valAx>
      <c:catAx>
        <c:axId val="2129286056"/>
        <c:scaling>
          <c:orientation val="minMax"/>
        </c:scaling>
        <c:delete val="1"/>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283208"/>
        <c:crosses val="autoZero"/>
        <c:auto val="1"/>
        <c:lblAlgn val="ctr"/>
        <c:lblOffset val="100"/>
        <c:noMultiLvlLbl val="0"/>
      </c:cat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00689251268257"/>
          <c:y val="0.0776287932251235"/>
          <c:w val="0.861614086420883"/>
          <c:h val="0.634917011439434"/>
        </c:manualLayout>
      </c:layout>
      <c:lineChart>
        <c:grouping val="standard"/>
        <c:varyColors val="0"/>
        <c:ser>
          <c:idx val="0"/>
          <c:order val="0"/>
          <c:tx>
            <c:strRef>
              <c:f>Sheet1!$B$1</c:f>
              <c:strCache>
                <c:ptCount val="1"/>
                <c:pt idx="0">
                  <c:v>Apsilde un dzesēšana (kreisā 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9"/>
            <c:bubble3D val="0"/>
            <c:marker>
              <c:symbol val="circle"/>
              <c:size val="8"/>
            </c:marker>
            <c:extLst>
              <c:ext xmlns:c="http://schemas.openxmlformats.org/drawingml/2006/chart" xmlns:c16="http://schemas.microsoft.com/office/drawing/2014/chart" uri="{C3380CC4-5D6E-409C-BE32-E72D297353CC}">
                <c16:uniqueId val="{00000000-1FAF-45EF-BC01-BB1669EA68B8}"/>
              </c:ext>
            </c:extLst>
          </c:dPt>
          <c:dLbls>
            <c:dLbl>
              <c:idx val="0"/>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1-1FAF-45EF-BC01-BB1669EA68B8}"/>
                </c:ext>
              </c:extLst>
            </c:dLbl>
            <c:dLbl>
              <c:idx val="4"/>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2-1FAF-45EF-BC01-BB1669EA68B8}"/>
                </c:ext>
              </c:extLst>
            </c:dLbl>
            <c:dLbl>
              <c:idx val="9"/>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1FAF-45EF-BC01-BB1669EA68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Sheet1!$B$2:$B$11</c:f>
            </c:numRef>
          </c:val>
          <c:smooth val="0"/>
          <c:extLst>
            <c:ext xmlns:c="http://schemas.openxmlformats.org/drawingml/2006/chart" xmlns:c16="http://schemas.microsoft.com/office/drawing/2014/chart" uri="{C3380CC4-5D6E-409C-BE32-E72D297353CC}">
              <c16:uniqueId val="{00000003-1FAF-45EF-BC01-BB1669EA68B8}"/>
            </c:ext>
          </c:extLst>
        </c:ser>
        <c:ser>
          <c:idx val="1"/>
          <c:order val="1"/>
          <c:tx>
            <c:strRef>
              <c:f>Sheet1!$C$1</c:f>
              <c:strCache>
                <c:ptCount val="1"/>
                <c:pt idx="0">
                  <c:v>Elektroenerģija (kreisā ass)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Pt>
            <c:idx val="9"/>
            <c:bubble3D val="0"/>
            <c:marker>
              <c:symbol val="square"/>
              <c:size val="8"/>
            </c:marker>
            <c:extLst>
              <c:ext xmlns:c="http://schemas.openxmlformats.org/drawingml/2006/chart" xmlns:c16="http://schemas.microsoft.com/office/drawing/2014/chart" uri="{C3380CC4-5D6E-409C-BE32-E72D297353CC}">
                <c16:uniqueId val="{00000004-1FAF-45EF-BC01-BB1669EA68B8}"/>
              </c:ext>
            </c:extLst>
          </c:dPt>
          <c:dLbls>
            <c:dLbl>
              <c:idx val="0"/>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1FAF-45EF-BC01-BB1669EA68B8}"/>
                </c:ext>
              </c:extLst>
            </c:dLbl>
            <c:dLbl>
              <c:idx val="4"/>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6-1FAF-45EF-BC01-BB1669EA68B8}"/>
                </c:ext>
              </c:extLst>
            </c:dLbl>
            <c:dLbl>
              <c:idx val="9"/>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1FAF-45EF-BC01-BB1669EA68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Sheet1!$C$2:$C$11</c:f>
            </c:numRef>
          </c:val>
          <c:smooth val="0"/>
          <c:extLst>
            <c:ext xmlns:c="http://schemas.openxmlformats.org/drawingml/2006/chart" xmlns:c16="http://schemas.microsoft.com/office/drawing/2014/chart" uri="{C3380CC4-5D6E-409C-BE32-E72D297353CC}">
              <c16:uniqueId val="{00000007-1FAF-45EF-BC01-BB1669EA68B8}"/>
            </c:ext>
          </c:extLst>
        </c:ser>
        <c:dLbls>
          <c:showLegendKey val="0"/>
          <c:showVal val="0"/>
          <c:showCatName val="0"/>
          <c:showSerName val="0"/>
          <c:showPercent val="0"/>
          <c:showBubbleSize val="0"/>
        </c:dLbls>
        <c:marker val="1"/>
        <c:smooth val="0"/>
        <c:axId val="2129355144"/>
        <c:axId val="2129358968"/>
      </c:lineChart>
      <c:lineChart>
        <c:grouping val="standard"/>
        <c:varyColors val="0"/>
        <c:ser>
          <c:idx val="2"/>
          <c:order val="2"/>
          <c:tx>
            <c:strRef>
              <c:f>Sheet1!$D$1</c:f>
              <c:strCache>
                <c:ptCount val="1"/>
                <c:pt idx="0">
                  <c:v>Transports (labā ass)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Pt>
            <c:idx val="9"/>
            <c:bubble3D val="0"/>
            <c:marker>
              <c:symbol val="triangle"/>
              <c:size val="8"/>
            </c:marker>
            <c:extLst>
              <c:ext xmlns:c="http://schemas.openxmlformats.org/drawingml/2006/chart" xmlns:c16="http://schemas.microsoft.com/office/drawing/2014/chart" uri="{C3380CC4-5D6E-409C-BE32-E72D297353CC}">
                <c16:uniqueId val="{00000008-1FAF-45EF-BC01-BB1669EA68B8}"/>
              </c:ext>
            </c:extLst>
          </c:dPt>
          <c:dLbls>
            <c:dLbl>
              <c:idx val="0"/>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9-1FAF-45EF-BC01-BB1669EA68B8}"/>
                </c:ext>
              </c:extLst>
            </c:dLbl>
            <c:dLbl>
              <c:idx val="2"/>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A-1FAF-45EF-BC01-BB1669EA68B8}"/>
                </c:ext>
              </c:extLst>
            </c:dLbl>
            <c:dLbl>
              <c:idx val="9"/>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8-1FAF-45EF-BC01-BB1669EA68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Sheet1!$D$2:$D$11</c:f>
              <c:numCache>
                <c:formatCode>General</c:formatCode>
                <c:ptCount val="10"/>
                <c:pt idx="0" formatCode="0.0">
                  <c:v>2.4</c:v>
                </c:pt>
                <c:pt idx="2" formatCode="0.0">
                  <c:v>4.1</c:v>
                </c:pt>
                <c:pt idx="3" formatCode="0.0">
                  <c:v>4</c:v>
                </c:pt>
                <c:pt idx="4" formatCode="0.0">
                  <c:v>4</c:v>
                </c:pt>
                <c:pt idx="5" formatCode="0.0">
                  <c:v>4.1</c:v>
                </c:pt>
                <c:pt idx="6" formatCode="0.0">
                  <c:v>3.9</c:v>
                </c:pt>
                <c:pt idx="7" formatCode="0.0">
                  <c:v>2.8</c:v>
                </c:pt>
                <c:pt idx="9" formatCode="0.0">
                  <c:v>10</c:v>
                </c:pt>
              </c:numCache>
            </c:numRef>
          </c:val>
          <c:smooth val="0"/>
          <c:extLst>
            <c:ext xmlns:c="http://schemas.openxmlformats.org/drawingml/2006/chart" xmlns:c16="http://schemas.microsoft.com/office/drawing/2014/chart" uri="{C3380CC4-5D6E-409C-BE32-E72D297353CC}">
              <c16:uniqueId val="{0000000B-1FAF-45EF-BC01-BB1669EA68B8}"/>
            </c:ext>
          </c:extLst>
        </c:ser>
        <c:dLbls>
          <c:showLegendKey val="0"/>
          <c:showVal val="0"/>
          <c:showCatName val="0"/>
          <c:showSerName val="0"/>
          <c:showPercent val="0"/>
          <c:showBubbleSize val="0"/>
        </c:dLbls>
        <c:marker val="1"/>
        <c:smooth val="0"/>
        <c:axId val="2129365288"/>
        <c:axId val="2129362440"/>
      </c:lineChart>
      <c:catAx>
        <c:axId val="21293551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358968"/>
        <c:crosses val="autoZero"/>
        <c:auto val="1"/>
        <c:lblAlgn val="ctr"/>
        <c:lblOffset val="100"/>
        <c:noMultiLvlLbl val="0"/>
      </c:catAx>
      <c:valAx>
        <c:axId val="2129358968"/>
        <c:scaling>
          <c:orientation val="minMax"/>
          <c:max val="10.1"/>
          <c:min val="0"/>
        </c:scaling>
        <c:delete val="0"/>
        <c:axPos val="l"/>
        <c:numFmt formatCode="General" sourceLinked="1"/>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355144"/>
        <c:crosses val="autoZero"/>
        <c:crossBetween val="between"/>
        <c:majorUnit val="2"/>
      </c:valAx>
      <c:valAx>
        <c:axId val="2129362440"/>
        <c:scaling>
          <c:orientation val="minMax"/>
          <c:min val="0"/>
        </c:scaling>
        <c:delete val="1"/>
        <c:axPos val="r"/>
        <c:numFmt formatCode="0.0" sourceLinked="1"/>
        <c:majorTickMark val="out"/>
        <c:minorTickMark val="none"/>
        <c:tickLblPos val="none"/>
        <c:crossAx val="2129365288"/>
        <c:crosses val="max"/>
        <c:crossBetween val="between"/>
      </c:valAx>
      <c:catAx>
        <c:axId val="2129365288"/>
        <c:scaling>
          <c:orientation val="minMax"/>
        </c:scaling>
        <c:delete val="1"/>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362440"/>
        <c:crosses val="autoZero"/>
        <c:auto val="1"/>
        <c:lblAlgn val="ctr"/>
        <c:lblOffset val="100"/>
        <c:noMultiLvlLbl val="0"/>
      </c:cat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7683224515355"/>
          <c:y val="0.0646868568068216"/>
          <c:w val="0.902893003434104"/>
          <c:h val="0.781789052316712"/>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0"/>
            <c:bubble3D val="0"/>
            <c:marker>
              <c:symbol val="circle"/>
              <c:size val="8"/>
            </c:marker>
            <c:spPr>
              <a:ln w="28575" cap="rnd">
                <a:noFill/>
                <a:round/>
              </a:ln>
              <a:effectLst/>
            </c:spPr>
            <c:extLst>
              <c:ext xmlns:c="http://schemas.openxmlformats.org/drawingml/2006/chart" xmlns:c16="http://schemas.microsoft.com/office/drawing/2014/chart" uri="{C3380CC4-5D6E-409C-BE32-E72D297353CC}">
                <c16:uniqueId val="{00000003-CEA1-41FF-91E7-F1725A8482F3}"/>
              </c:ext>
            </c:extLst>
          </c:dPt>
          <c:dLbls>
            <c:dLbl>
              <c:idx val="1"/>
              <c:dLblPos val="l"/>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CEA1-41FF-91E7-F1725A8482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2008</c:v>
                </c:pt>
                <c:pt idx="1">
                  <c:v>2009</c:v>
                </c:pt>
                <c:pt idx="2">
                  <c:v>2010</c:v>
                </c:pt>
                <c:pt idx="3">
                  <c:v>2011</c:v>
                </c:pt>
                <c:pt idx="4">
                  <c:v>2012</c:v>
                </c:pt>
                <c:pt idx="5">
                  <c:v>2013</c:v>
                </c:pt>
                <c:pt idx="6">
                  <c:v>2014</c:v>
                </c:pt>
                <c:pt idx="7">
                  <c:v>2015</c:v>
                </c:pt>
                <c:pt idx="8">
                  <c:v>2016</c:v>
                </c:pt>
                <c:pt idx="9">
                  <c:v>2017</c:v>
                </c:pt>
                <c:pt idx="11">
                  <c:v>2020                                                            Mērķis</c:v>
                </c:pt>
              </c:strCache>
            </c:strRef>
          </c:cat>
          <c:val>
            <c:numRef>
              <c:f>Sheet1!$B$2:$B$13</c:f>
              <c:numCache>
                <c:formatCode>0.0</c:formatCode>
                <c:ptCount val="12"/>
                <c:pt idx="0">
                  <c:v>75.4</c:v>
                </c:pt>
                <c:pt idx="1">
                  <c:v>66.6</c:v>
                </c:pt>
                <c:pt idx="2">
                  <c:v>64.3</c:v>
                </c:pt>
                <c:pt idx="3">
                  <c:v>66.3</c:v>
                </c:pt>
                <c:pt idx="4">
                  <c:v>68.1</c:v>
                </c:pt>
                <c:pt idx="5">
                  <c:v>69.7</c:v>
                </c:pt>
                <c:pt idx="6">
                  <c:v>70.7</c:v>
                </c:pt>
                <c:pt idx="7">
                  <c:v>72.5</c:v>
                </c:pt>
                <c:pt idx="8">
                  <c:v>73.2</c:v>
                </c:pt>
                <c:pt idx="9">
                  <c:v>74.8</c:v>
                </c:pt>
                <c:pt idx="11">
                  <c:v>73</c:v>
                </c:pt>
              </c:numCache>
            </c:numRef>
          </c:val>
          <c:smooth val="0"/>
          <c:extLst>
            <c:ext xmlns:c="http://schemas.openxmlformats.org/drawingml/2006/chart" xmlns:c16="http://schemas.microsoft.com/office/drawing/2014/chart" uri="{C3380CC4-5D6E-409C-BE32-E72D297353CC}">
              <c16:uniqueId val="{00000001-CEA1-41FF-91E7-F1725A8482F3}"/>
            </c:ext>
          </c:extLst>
        </c:ser>
        <c:dLbls>
          <c:showLegendKey val="0"/>
          <c:showVal val="0"/>
          <c:showCatName val="0"/>
          <c:showSerName val="0"/>
          <c:showPercent val="0"/>
          <c:showBubbleSize val="0"/>
        </c:dLbls>
        <c:marker val="1"/>
        <c:smooth val="0"/>
        <c:axId val="2078293992"/>
        <c:axId val="2126178360"/>
      </c:lineChart>
      <c:catAx>
        <c:axId val="20782939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6178360"/>
        <c:crosses val="autoZero"/>
        <c:auto val="1"/>
        <c:lblAlgn val="ctr"/>
        <c:lblOffset val="100"/>
        <c:noMultiLvlLbl val="0"/>
      </c:catAx>
      <c:valAx>
        <c:axId val="2126178360"/>
        <c:scaling>
          <c:orientation val="minMax"/>
          <c:max val="77"/>
          <c:min val="63"/>
        </c:scaling>
        <c:delete val="0"/>
        <c:axPos val="l"/>
        <c:numFmt formatCode="0" sourceLinked="0"/>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078293992"/>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66195321424892"/>
          <c:y val="0.0776287932251235"/>
          <c:w val="0.932291798083523"/>
          <c:h val="0.77175912291133"/>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1"/>
            <c:bubble3D val="0"/>
            <c:marker>
              <c:symbol val="circle"/>
              <c:size val="8"/>
            </c:marker>
            <c:extLst>
              <c:ext xmlns:c="http://schemas.openxmlformats.org/drawingml/2006/chart" xmlns:c16="http://schemas.microsoft.com/office/drawing/2014/chart" uri="{C3380CC4-5D6E-409C-BE32-E72D297353CC}">
                <c16:uniqueId val="{00000003-C94D-4947-A088-315BE595AF88}"/>
              </c:ext>
            </c:extLst>
          </c:dPt>
          <c:dLbls>
            <c:dLbl>
              <c:idx val="4"/>
              <c:dLblPos val="b"/>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C94D-4947-A088-315BE595AF8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1">
                  <c:v>2020</c:v>
                </c:pt>
              </c:numCache>
            </c:numRef>
          </c:cat>
          <c:val>
            <c:numRef>
              <c:f>Sheet1!$B$2:$B$13</c:f>
              <c:numCache>
                <c:formatCode>0.0</c:formatCode>
                <c:ptCount val="12"/>
                <c:pt idx="0">
                  <c:v>15.5</c:v>
                </c:pt>
                <c:pt idx="1">
                  <c:v>14.3</c:v>
                </c:pt>
                <c:pt idx="2">
                  <c:v>12.9</c:v>
                </c:pt>
                <c:pt idx="3">
                  <c:v>11.6</c:v>
                </c:pt>
                <c:pt idx="4">
                  <c:v>10.6</c:v>
                </c:pt>
                <c:pt idx="5">
                  <c:v>9.8</c:v>
                </c:pt>
                <c:pt idx="6">
                  <c:v>8.5</c:v>
                </c:pt>
                <c:pt idx="7">
                  <c:v>9.9</c:v>
                </c:pt>
                <c:pt idx="8">
                  <c:v>10</c:v>
                </c:pt>
                <c:pt idx="9">
                  <c:v>8.6</c:v>
                </c:pt>
                <c:pt idx="11">
                  <c:v>13.4</c:v>
                </c:pt>
              </c:numCache>
            </c:numRef>
          </c:val>
          <c:smooth val="0"/>
          <c:extLst>
            <c:ext xmlns:c="http://schemas.openxmlformats.org/drawingml/2006/chart" xmlns:c16="http://schemas.microsoft.com/office/drawing/2014/chart" uri="{C3380CC4-5D6E-409C-BE32-E72D297353CC}">
              <c16:uniqueId val="{00000001-C94D-4947-A088-315BE595AF88}"/>
            </c:ext>
          </c:extLst>
        </c:ser>
        <c:ser>
          <c:idx val="1"/>
          <c:order val="1"/>
          <c:tx>
            <c:strRef>
              <c:f>Sheet1!$C$1</c:f>
              <c:strCache>
                <c:ptCount val="1"/>
                <c:pt idx="0">
                  <c:v>Series 2</c:v>
                </c:pt>
              </c:strCache>
            </c:strRef>
          </c:tx>
          <c:spPr>
            <a:ln w="28575" cap="rnd">
              <a:solidFill>
                <a:schemeClr val="accent2"/>
              </a:solidFill>
              <a:round/>
            </a:ln>
            <a:effectLst/>
          </c:spPr>
          <c:marker>
            <c:symbol val="circle"/>
            <c:size val="8"/>
            <c:spPr>
              <a:solidFill>
                <a:schemeClr val="accent2"/>
              </a:solidFill>
              <a:ln w="9525">
                <a:solidFill>
                  <a:schemeClr val="accent2"/>
                </a:solidFill>
              </a:ln>
              <a:effectLst/>
            </c:spPr>
          </c:marker>
          <c:dPt>
            <c:idx val="11"/>
            <c:bubble3D val="0"/>
            <c:marker>
              <c:spPr>
                <a:solidFill>
                  <a:schemeClr val="accent2"/>
                </a:solidFill>
                <a:ln w="9525">
                  <a:noFill/>
                </a:ln>
                <a:effectLst/>
              </c:spPr>
            </c:marker>
            <c:spPr>
              <a:ln w="28575" cap="rnd">
                <a:noFill/>
                <a:round/>
              </a:ln>
              <a:effectLst/>
            </c:spPr>
            <c:extLst>
              <c:ext xmlns:c="http://schemas.openxmlformats.org/drawingml/2006/chart" xmlns:c16="http://schemas.microsoft.com/office/drawing/2014/chart" uri="{C3380CC4-5D6E-409C-BE32-E72D297353CC}">
                <c16:uniqueId val="{00000004-C94D-4947-A088-315BE595AF8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1">
                  <c:v>2020</c:v>
                </c:pt>
              </c:numCache>
            </c:numRef>
          </c:cat>
          <c:val>
            <c:numRef>
              <c:f>Sheet1!$C$2:$C$13</c:f>
              <c:numCache>
                <c:formatCode>General</c:formatCode>
                <c:ptCount val="12"/>
                <c:pt idx="11" formatCode="0.0">
                  <c:v>10</c:v>
                </c:pt>
              </c:numCache>
            </c:numRef>
          </c:val>
          <c:smooth val="0"/>
          <c:extLst>
            <c:ext xmlns:c="http://schemas.openxmlformats.org/drawingml/2006/chart" xmlns:c16="http://schemas.microsoft.com/office/drawing/2014/chart" uri="{C3380CC4-5D6E-409C-BE32-E72D297353CC}">
              <c16:uniqueId val="{00000002-C94D-4947-A088-315BE595AF88}"/>
            </c:ext>
          </c:extLst>
        </c:ser>
        <c:dLbls>
          <c:showLegendKey val="0"/>
          <c:showVal val="0"/>
          <c:showCatName val="0"/>
          <c:showSerName val="0"/>
          <c:showPercent val="0"/>
          <c:showBubbleSize val="0"/>
        </c:dLbls>
        <c:marker val="1"/>
        <c:smooth val="0"/>
        <c:axId val="2078694088"/>
        <c:axId val="2103706424"/>
      </c:lineChart>
      <c:catAx>
        <c:axId val="20786940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03706424"/>
        <c:crosses val="autoZero"/>
        <c:auto val="1"/>
        <c:lblAlgn val="ctr"/>
        <c:lblOffset val="100"/>
        <c:noMultiLvlLbl val="0"/>
      </c:catAx>
      <c:valAx>
        <c:axId val="2103706424"/>
        <c:scaling>
          <c:orientation val="minMax"/>
          <c:max val="16"/>
          <c:min val="8"/>
        </c:scaling>
        <c:delete val="0"/>
        <c:axPos val="l"/>
        <c:numFmt formatCode="0" sourceLinked="0"/>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078694088"/>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7683224515355"/>
          <c:y val="0.0646868568068216"/>
          <c:w val="0.902893003434104"/>
          <c:h val="0.752385935586338"/>
        </c:manualLayout>
      </c:layout>
      <c:lineChart>
        <c:grouping val="standard"/>
        <c:varyColors val="0"/>
        <c:ser>
          <c:idx val="0"/>
          <c:order val="0"/>
          <c:tx>
            <c:strRef>
              <c:f>Sheet1!$B$1</c:f>
              <c:strCache>
                <c:ptCount val="1"/>
                <c:pt idx="0">
                  <c:v>Nabadzības riskam pakļautās un/vai zemas darba intensitātes mājsaimniecībās dzīvojošas personas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1"/>
            <c:bubble3D val="0"/>
            <c:marker>
              <c:symbol val="circle"/>
              <c:size val="8"/>
            </c:marker>
            <c:extLst>
              <c:ext xmlns:c="http://schemas.openxmlformats.org/drawingml/2006/chart" xmlns:c16="http://schemas.microsoft.com/office/drawing/2014/chart" uri="{C3380CC4-5D6E-409C-BE32-E72D297353CC}">
                <c16:uniqueId val="{00000004-5C7E-40AE-99D4-32B7F8BD1E4B}"/>
              </c:ext>
            </c:extLst>
          </c:dPt>
          <c:dLbls>
            <c:dLbl>
              <c:idx val="11"/>
              <c:dLblPos val="b"/>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5C7E-40AE-99D4-32B7F8BD1E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2008</c:v>
                </c:pt>
                <c:pt idx="1">
                  <c:v>2009</c:v>
                </c:pt>
                <c:pt idx="2">
                  <c:v>2010</c:v>
                </c:pt>
                <c:pt idx="3">
                  <c:v>2011</c:v>
                </c:pt>
                <c:pt idx="4">
                  <c:v>2012</c:v>
                </c:pt>
                <c:pt idx="5">
                  <c:v>2013</c:v>
                </c:pt>
                <c:pt idx="6">
                  <c:v>2014</c:v>
                </c:pt>
                <c:pt idx="7">
                  <c:v>2015</c:v>
                </c:pt>
                <c:pt idx="8">
                  <c:v>2016</c:v>
                </c:pt>
                <c:pt idx="9">
                  <c:v>2017</c:v>
                </c:pt>
                <c:pt idx="11">
                  <c:v>2020                                               Mērķis</c:v>
                </c:pt>
              </c:strCache>
            </c:strRef>
          </c:cat>
          <c:val>
            <c:numRef>
              <c:f>Sheet1!$B$2:$B$13</c:f>
              <c:numCache>
                <c:formatCode>0</c:formatCode>
                <c:ptCount val="12"/>
                <c:pt idx="0">
                  <c:v>26.3</c:v>
                </c:pt>
                <c:pt idx="1">
                  <c:v>30.5</c:v>
                </c:pt>
                <c:pt idx="2">
                  <c:v>32.6</c:v>
                </c:pt>
                <c:pt idx="3">
                  <c:v>35.9</c:v>
                </c:pt>
                <c:pt idx="4">
                  <c:v>37.2</c:v>
                </c:pt>
                <c:pt idx="5">
                  <c:v>40.7</c:v>
                </c:pt>
                <c:pt idx="6">
                  <c:v>39.9</c:v>
                </c:pt>
                <c:pt idx="7">
                  <c:v>41.3</c:v>
                </c:pt>
                <c:pt idx="8">
                  <c:v>42.8</c:v>
                </c:pt>
                <c:pt idx="9">
                  <c:v>43.7</c:v>
                </c:pt>
                <c:pt idx="11">
                  <c:v>34</c:v>
                </c:pt>
              </c:numCache>
            </c:numRef>
          </c:val>
          <c:smooth val="0"/>
          <c:extLst>
            <c:ext xmlns:c="http://schemas.openxmlformats.org/drawingml/2006/chart" xmlns:c16="http://schemas.microsoft.com/office/drawing/2014/chart" uri="{C3380CC4-5D6E-409C-BE32-E72D297353CC}">
              <c16:uniqueId val="{00000002-5C7E-40AE-99D4-32B7F8BD1E4B}"/>
            </c:ext>
          </c:extLst>
        </c:ser>
        <c:ser>
          <c:idx val="1"/>
          <c:order val="1"/>
          <c:tx>
            <c:strRef>
              <c:f>Sheet1!$C$1</c:f>
              <c:strCache>
                <c:ptCount val="1"/>
                <c:pt idx="0">
                  <c:v>Series 2</c:v>
                </c:pt>
              </c:strCache>
            </c:strRef>
          </c:tx>
          <c:spPr>
            <a:ln w="28575" cap="rnd">
              <a:solidFill>
                <a:schemeClr val="accent1"/>
              </a:solidFill>
              <a:round/>
            </a:ln>
            <a:effectLst/>
          </c:spPr>
          <c:marker>
            <c:symbol val="circle"/>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Sheet1!$A$2:$A$13</c:f>
              <c:strCache>
                <c:ptCount val="12"/>
                <c:pt idx="0">
                  <c:v>2008</c:v>
                </c:pt>
                <c:pt idx="1">
                  <c:v>2009</c:v>
                </c:pt>
                <c:pt idx="2">
                  <c:v>2010</c:v>
                </c:pt>
                <c:pt idx="3">
                  <c:v>2011</c:v>
                </c:pt>
                <c:pt idx="4">
                  <c:v>2012</c:v>
                </c:pt>
                <c:pt idx="5">
                  <c:v>2013</c:v>
                </c:pt>
                <c:pt idx="6">
                  <c:v>2014</c:v>
                </c:pt>
                <c:pt idx="7">
                  <c:v>2015</c:v>
                </c:pt>
                <c:pt idx="8">
                  <c:v>2016</c:v>
                </c:pt>
                <c:pt idx="9">
                  <c:v>2017</c:v>
                </c:pt>
                <c:pt idx="11">
                  <c:v>2020                                               Mērķis</c:v>
                </c:pt>
              </c:strCache>
            </c:strRef>
          </c:cat>
          <c:val>
            <c:numRef>
              <c:f>Sheet1!$C$2:$C$13</c:f>
              <c:numCache>
                <c:formatCode>General</c:formatCode>
                <c:ptCount val="12"/>
                <c:pt idx="11" formatCode="0">
                  <c:v>36</c:v>
                </c:pt>
              </c:numCache>
            </c:numRef>
          </c:val>
          <c:smooth val="0"/>
          <c:extLst>
            <c:ext xmlns:c="http://schemas.openxmlformats.org/drawingml/2006/chart" xmlns:c16="http://schemas.microsoft.com/office/drawing/2014/chart" uri="{C3380CC4-5D6E-409C-BE32-E72D297353CC}">
              <c16:uniqueId val="{00000003-5C7E-40AE-99D4-32B7F8BD1E4B}"/>
            </c:ext>
          </c:extLst>
        </c:ser>
        <c:dLbls>
          <c:showLegendKey val="0"/>
          <c:showVal val="0"/>
          <c:showCatName val="0"/>
          <c:showSerName val="0"/>
          <c:showPercent val="0"/>
          <c:showBubbleSize val="0"/>
        </c:dLbls>
        <c:hiLowLines>
          <c:spPr>
            <a:ln w="25400">
              <a:solidFill>
                <a:schemeClr val="accent1"/>
              </a:solidFill>
              <a:round/>
            </a:ln>
            <a:effectLst/>
          </c:spPr>
        </c:hiLowLines>
        <c:marker val="1"/>
        <c:smooth val="0"/>
        <c:axId val="2123286600"/>
        <c:axId val="2123326856"/>
      </c:lineChart>
      <c:catAx>
        <c:axId val="21232866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3326856"/>
        <c:crosses val="autoZero"/>
        <c:auto val="1"/>
        <c:lblAlgn val="ctr"/>
        <c:lblOffset val="100"/>
        <c:noMultiLvlLbl val="0"/>
      </c:catAx>
      <c:valAx>
        <c:axId val="2123326856"/>
        <c:scaling>
          <c:orientation val="minMax"/>
          <c:max val="50"/>
          <c:min val="25"/>
        </c:scaling>
        <c:delete val="0"/>
        <c:axPos val="l"/>
        <c:numFmt formatCode="0" sourceLinked="1"/>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3286600"/>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51794541778118"/>
          <c:y val="0.0482257418498959"/>
          <c:w val="0.927125943741818"/>
          <c:h val="0.749618338284016"/>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0976-45BA-948E-B09AC12903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2008</c:v>
                </c:pt>
                <c:pt idx="1">
                  <c:v>2009</c:v>
                </c:pt>
                <c:pt idx="2">
                  <c:v>2010</c:v>
                </c:pt>
                <c:pt idx="3">
                  <c:v>2011</c:v>
                </c:pt>
                <c:pt idx="4">
                  <c:v>2012</c:v>
                </c:pt>
                <c:pt idx="5">
                  <c:v>2013</c:v>
                </c:pt>
                <c:pt idx="6">
                  <c:v>2014</c:v>
                </c:pt>
                <c:pt idx="7">
                  <c:v>2015</c:v>
                </c:pt>
                <c:pt idx="8">
                  <c:v>2016</c:v>
                </c:pt>
                <c:pt idx="9">
                  <c:v>2017</c:v>
                </c:pt>
                <c:pt idx="11">
                  <c:v>2020                                           Mērķis</c:v>
                </c:pt>
              </c:strCache>
            </c:strRef>
          </c:cat>
          <c:val>
            <c:numRef>
              <c:f>Sheet1!$B$2:$B$13</c:f>
              <c:numCache>
                <c:formatCode>0.0</c:formatCode>
                <c:ptCount val="12"/>
                <c:pt idx="0">
                  <c:v>6.9</c:v>
                </c:pt>
                <c:pt idx="1">
                  <c:v>5.6</c:v>
                </c:pt>
                <c:pt idx="2">
                  <c:v>5.4</c:v>
                </c:pt>
                <c:pt idx="3">
                  <c:v>5.4</c:v>
                </c:pt>
                <c:pt idx="4">
                  <c:v>7.2</c:v>
                </c:pt>
                <c:pt idx="5">
                  <c:v>6.8</c:v>
                </c:pt>
                <c:pt idx="6">
                  <c:v>5.6</c:v>
                </c:pt>
                <c:pt idx="7">
                  <c:v>5.7</c:v>
                </c:pt>
                <c:pt idx="8">
                  <c:v>7.3</c:v>
                </c:pt>
                <c:pt idx="9">
                  <c:v>7.5</c:v>
                </c:pt>
                <c:pt idx="11">
                  <c:v>15</c:v>
                </c:pt>
              </c:numCache>
            </c:numRef>
          </c:val>
          <c:smooth val="0"/>
          <c:extLst>
            <c:ext xmlns:c="http://schemas.openxmlformats.org/drawingml/2006/chart" xmlns:c16="http://schemas.microsoft.com/office/drawing/2014/chart" uri="{C3380CC4-5D6E-409C-BE32-E72D297353CC}">
              <c16:uniqueId val="{00000001-0976-45BA-948E-B09AC1290378}"/>
            </c:ext>
          </c:extLst>
        </c:ser>
        <c:dLbls>
          <c:showLegendKey val="0"/>
          <c:showVal val="0"/>
          <c:showCatName val="0"/>
          <c:showSerName val="0"/>
          <c:showPercent val="0"/>
          <c:showBubbleSize val="0"/>
        </c:dLbls>
        <c:marker val="1"/>
        <c:smooth val="0"/>
        <c:axId val="2122875432"/>
        <c:axId val="2122899592"/>
      </c:lineChart>
      <c:catAx>
        <c:axId val="21228754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2899592"/>
        <c:crosses val="autoZero"/>
        <c:auto val="1"/>
        <c:lblAlgn val="ctr"/>
        <c:lblOffset val="100"/>
        <c:noMultiLvlLbl val="0"/>
      </c:catAx>
      <c:valAx>
        <c:axId val="2122899592"/>
        <c:scaling>
          <c:orientation val="minMax"/>
          <c:max val="16"/>
          <c:min val="4"/>
        </c:scaling>
        <c:delete val="0"/>
        <c:axPos val="l"/>
        <c:numFmt formatCode="0" sourceLinked="0"/>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2875432"/>
        <c:crosses val="autoZero"/>
        <c:crossBetween val="between"/>
        <c:majorUnit val="3"/>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18004888020961"/>
          <c:y val="0.0776287932251235"/>
          <c:w val="0.922322131759772"/>
          <c:h val="0.768547280213827"/>
        </c:manualLayout>
      </c:layout>
      <c:lineChart>
        <c:grouping val="standard"/>
        <c:varyColors val="0"/>
        <c:ser>
          <c:idx val="0"/>
          <c:order val="0"/>
          <c:tx>
            <c:strRef>
              <c:f>Sheet1!$B$1</c:f>
              <c:strCache>
                <c:ptCount val="1"/>
                <c:pt idx="0">
                  <c:v>Nabadzības riskam pakļautās personas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0"/>
            <c:bubble3D val="0"/>
            <c:marker>
              <c:symbol val="circle"/>
              <c:size val="8"/>
            </c:marker>
            <c:extLst>
              <c:ext xmlns:c="http://schemas.openxmlformats.org/drawingml/2006/chart" xmlns:c16="http://schemas.microsoft.com/office/drawing/2014/chart" uri="{C3380CC4-5D6E-409C-BE32-E72D297353CC}">
                <c16:uniqueId val="{00000003-9EEE-4F47-8BE7-7F8DCDA8F2C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2008</c:v>
                </c:pt>
                <c:pt idx="1">
                  <c:v>2009</c:v>
                </c:pt>
                <c:pt idx="2">
                  <c:v>2010</c:v>
                </c:pt>
                <c:pt idx="3">
                  <c:v>2011</c:v>
                </c:pt>
                <c:pt idx="4">
                  <c:v>2012</c:v>
                </c:pt>
                <c:pt idx="5">
                  <c:v>2013</c:v>
                </c:pt>
                <c:pt idx="6">
                  <c:v>2014</c:v>
                </c:pt>
                <c:pt idx="7">
                  <c:v>2015</c:v>
                </c:pt>
                <c:pt idx="8">
                  <c:v>2016</c:v>
                </c:pt>
                <c:pt idx="10">
                  <c:v>2020                                       Mērķis</c:v>
                </c:pt>
              </c:strCache>
            </c:strRef>
          </c:cat>
          <c:val>
            <c:numRef>
              <c:f>Sheet1!$B$2:$B$12</c:f>
              <c:numCache>
                <c:formatCode>0.0</c:formatCode>
                <c:ptCount val="11"/>
                <c:pt idx="0">
                  <c:v>26.4</c:v>
                </c:pt>
                <c:pt idx="1">
                  <c:v>20.9</c:v>
                </c:pt>
                <c:pt idx="2">
                  <c:v>19</c:v>
                </c:pt>
                <c:pt idx="3">
                  <c:v>19.2</c:v>
                </c:pt>
                <c:pt idx="4">
                  <c:v>19.4</c:v>
                </c:pt>
                <c:pt idx="5">
                  <c:v>21.2</c:v>
                </c:pt>
                <c:pt idx="6">
                  <c:v>22.5</c:v>
                </c:pt>
                <c:pt idx="7">
                  <c:v>21.8</c:v>
                </c:pt>
                <c:pt idx="8">
                  <c:v>22.1</c:v>
                </c:pt>
                <c:pt idx="10">
                  <c:v>21</c:v>
                </c:pt>
              </c:numCache>
            </c:numRef>
          </c:val>
          <c:smooth val="0"/>
          <c:extLst>
            <c:ext xmlns:c="http://schemas.openxmlformats.org/drawingml/2006/chart" xmlns:c16="http://schemas.microsoft.com/office/drawing/2014/chart" uri="{C3380CC4-5D6E-409C-BE32-E72D297353CC}">
              <c16:uniqueId val="{00000001-9EEE-4F47-8BE7-7F8DCDA8F2CA}"/>
            </c:ext>
          </c:extLst>
        </c:ser>
        <c:ser>
          <c:idx val="1"/>
          <c:order val="1"/>
          <c:tx>
            <c:strRef>
              <c:f>Sheet1!$C$1</c:f>
              <c:strCache>
                <c:ptCount val="1"/>
                <c:pt idx="0">
                  <c:v>Nabadzības riskam pakļautās un/vai zemas darba intensitātes mājsaimniecībās dzīvojošas personas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Sheet1!$A$2:$A$12</c:f>
              <c:strCache>
                <c:ptCount val="11"/>
                <c:pt idx="0">
                  <c:v>2008</c:v>
                </c:pt>
                <c:pt idx="1">
                  <c:v>2009</c:v>
                </c:pt>
                <c:pt idx="2">
                  <c:v>2010</c:v>
                </c:pt>
                <c:pt idx="3">
                  <c:v>2011</c:v>
                </c:pt>
                <c:pt idx="4">
                  <c:v>2012</c:v>
                </c:pt>
                <c:pt idx="5">
                  <c:v>2013</c:v>
                </c:pt>
                <c:pt idx="6">
                  <c:v>2014</c:v>
                </c:pt>
                <c:pt idx="7">
                  <c:v>2015</c:v>
                </c:pt>
                <c:pt idx="8">
                  <c:v>2016</c:v>
                </c:pt>
                <c:pt idx="10">
                  <c:v>2020                                       Mērķis</c:v>
                </c:pt>
              </c:strCache>
            </c:strRef>
          </c:cat>
          <c:val>
            <c:numRef>
              <c:f>Sheet1!$C$2:$C$12</c:f>
              <c:numCache>
                <c:formatCode>0.0</c:formatCode>
                <c:ptCount val="11"/>
                <c:pt idx="0">
                  <c:v>27.3</c:v>
                </c:pt>
                <c:pt idx="1">
                  <c:v>23.6</c:v>
                </c:pt>
                <c:pt idx="2">
                  <c:v>22.1</c:v>
                </c:pt>
                <c:pt idx="3">
                  <c:v>21.9</c:v>
                </c:pt>
                <c:pt idx="4">
                  <c:v>21.8</c:v>
                </c:pt>
                <c:pt idx="5">
                  <c:v>23.1</c:v>
                </c:pt>
                <c:pt idx="6">
                  <c:v>23.9</c:v>
                </c:pt>
                <c:pt idx="7">
                  <c:v>23.1</c:v>
                </c:pt>
                <c:pt idx="8">
                  <c:v>23.4</c:v>
                </c:pt>
              </c:numCache>
            </c:numRef>
          </c:val>
          <c:smooth val="0"/>
          <c:extLst>
            <c:ext xmlns:c="http://schemas.openxmlformats.org/drawingml/2006/chart" xmlns:c16="http://schemas.microsoft.com/office/drawing/2014/chart" uri="{C3380CC4-5D6E-409C-BE32-E72D297353CC}">
              <c16:uniqueId val="{00000002-9EEE-4F47-8BE7-7F8DCDA8F2CA}"/>
            </c:ext>
          </c:extLst>
        </c:ser>
        <c:dLbls>
          <c:showLegendKey val="0"/>
          <c:showVal val="0"/>
          <c:showCatName val="0"/>
          <c:showSerName val="0"/>
          <c:showPercent val="0"/>
          <c:showBubbleSize val="0"/>
        </c:dLbls>
        <c:marker val="1"/>
        <c:smooth val="0"/>
        <c:axId val="2128909688"/>
        <c:axId val="2128913320"/>
      </c:lineChart>
      <c:catAx>
        <c:axId val="21289096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8913320"/>
        <c:crosses val="autoZero"/>
        <c:auto val="1"/>
        <c:lblAlgn val="ctr"/>
        <c:lblOffset val="100"/>
        <c:noMultiLvlLbl val="0"/>
      </c:catAx>
      <c:valAx>
        <c:axId val="2128913320"/>
        <c:scaling>
          <c:orientation val="minMax"/>
          <c:max val="30"/>
          <c:min val="17"/>
        </c:scaling>
        <c:delete val="0"/>
        <c:axPos val="l"/>
        <c:numFmt formatCode="0" sourceLinked="0"/>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8909688"/>
        <c:crosses val="autoZero"/>
        <c:crossBetween val="between"/>
      </c:valAx>
      <c:spPr>
        <a:noFill/>
        <a:ln>
          <a:noFill/>
        </a:ln>
        <a:effectLst/>
      </c:spPr>
    </c:plotArea>
    <c:legend>
      <c:legendPos val="r"/>
      <c:layout>
        <c:manualLayout>
          <c:xMode val="edge"/>
          <c:yMode val="edge"/>
          <c:x val="0.18624365173757912"/>
          <c:y val="0.11772730114116506"/>
          <c:w val="0.76168661938205906"/>
          <c:h val="0.1705630812614168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Nabadzības riskam pakļautās un/vai zemas darba intensitātes mājsaimniecībās dzīvojošas personas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C092-4604-A876-CF6F33CF5328}"/>
                </c:ext>
              </c:extLst>
            </c:dLbl>
            <c:dLbl>
              <c:idx val="1"/>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C092-4604-A876-CF6F33CF532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Sheet1!$B$2:$B$12</c:f>
              <c:numCache>
                <c:formatCode>0</c:formatCode>
                <c:ptCount val="9"/>
                <c:pt idx="0">
                  <c:v>583</c:v>
                </c:pt>
                <c:pt idx="1">
                  <c:v>495</c:v>
                </c:pt>
                <c:pt idx="2">
                  <c:v>454</c:v>
                </c:pt>
                <c:pt idx="3">
                  <c:v>441</c:v>
                </c:pt>
                <c:pt idx="4">
                  <c:v>434</c:v>
                </c:pt>
                <c:pt idx="5">
                  <c:v>456</c:v>
                </c:pt>
                <c:pt idx="6">
                  <c:v>467</c:v>
                </c:pt>
                <c:pt idx="7">
                  <c:v>449</c:v>
                </c:pt>
                <c:pt idx="8">
                  <c:v>449</c:v>
                </c:pt>
              </c:numCache>
            </c:numRef>
          </c:val>
          <c:smooth val="0"/>
          <c:extLst>
            <c:ext xmlns:c="http://schemas.openxmlformats.org/drawingml/2006/chart" xmlns:c16="http://schemas.microsoft.com/office/drawing/2014/chart" uri="{C3380CC4-5D6E-409C-BE32-E72D297353CC}">
              <c16:uniqueId val="{00000000-C092-4604-A876-CF6F33CF5328}"/>
            </c:ext>
          </c:extLst>
        </c:ser>
        <c:dLbls>
          <c:showLegendKey val="0"/>
          <c:showVal val="0"/>
          <c:showCatName val="0"/>
          <c:showSerName val="0"/>
          <c:showPercent val="0"/>
          <c:showBubbleSize val="0"/>
        </c:dLbls>
        <c:marker val="1"/>
        <c:smooth val="0"/>
        <c:axId val="2128947736"/>
        <c:axId val="2128951496"/>
      </c:lineChart>
      <c:catAx>
        <c:axId val="21289477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8951496"/>
        <c:crosses val="autoZero"/>
        <c:auto val="1"/>
        <c:lblAlgn val="ctr"/>
        <c:lblOffset val="100"/>
        <c:noMultiLvlLbl val="0"/>
      </c:catAx>
      <c:valAx>
        <c:axId val="2128951496"/>
        <c:scaling>
          <c:orientation val="minMax"/>
          <c:max val="600"/>
          <c:min val="400"/>
        </c:scaling>
        <c:delete val="0"/>
        <c:axPos val="l"/>
        <c:numFmt formatCode="0" sourceLinked="1"/>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8947736"/>
        <c:crosses val="autoZero"/>
        <c:crossBetween val="between"/>
        <c:majorUnit val="40"/>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6109763987866"/>
          <c:y val="0.0646868568068215"/>
          <c:w val="0.879050349486852"/>
          <c:h val="0.781789052316711"/>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2FF1-4B6F-9683-803D572D1B9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2008</c:v>
                </c:pt>
                <c:pt idx="1">
                  <c:v>2009</c:v>
                </c:pt>
                <c:pt idx="2">
                  <c:v>2010</c:v>
                </c:pt>
                <c:pt idx="3">
                  <c:v>2011</c:v>
                </c:pt>
                <c:pt idx="4">
                  <c:v>2012</c:v>
                </c:pt>
                <c:pt idx="5">
                  <c:v>2013</c:v>
                </c:pt>
                <c:pt idx="6">
                  <c:v>2014</c:v>
                </c:pt>
                <c:pt idx="7">
                  <c:v>2015</c:v>
                </c:pt>
                <c:pt idx="9">
                  <c:v>2020                                             Mērķis</c:v>
                </c:pt>
              </c:strCache>
            </c:strRef>
          </c:cat>
          <c:val>
            <c:numRef>
              <c:f>Sheet1!$B$2:$B$11</c:f>
              <c:numCache>
                <c:formatCode>General</c:formatCode>
                <c:ptCount val="10"/>
                <c:pt idx="0">
                  <c:v>7387</c:v>
                </c:pt>
                <c:pt idx="1">
                  <c:v>6899</c:v>
                </c:pt>
                <c:pt idx="2">
                  <c:v>6479</c:v>
                </c:pt>
                <c:pt idx="3">
                  <c:v>6140</c:v>
                </c:pt>
                <c:pt idx="4">
                  <c:v>5972</c:v>
                </c:pt>
                <c:pt idx="5">
                  <c:v>5924</c:v>
                </c:pt>
                <c:pt idx="6">
                  <c:v>5798</c:v>
                </c:pt>
                <c:pt idx="7">
                  <c:v>5366</c:v>
                </c:pt>
                <c:pt idx="9">
                  <c:v>5300</c:v>
                </c:pt>
              </c:numCache>
            </c:numRef>
          </c:val>
          <c:smooth val="0"/>
          <c:extLst>
            <c:ext xmlns:c="http://schemas.openxmlformats.org/drawingml/2006/chart" xmlns:c16="http://schemas.microsoft.com/office/drawing/2014/chart" uri="{C3380CC4-5D6E-409C-BE32-E72D297353CC}">
              <c16:uniqueId val="{00000000-2FF1-4B6F-9683-803D572D1B99}"/>
            </c:ext>
          </c:extLst>
        </c:ser>
        <c:dLbls>
          <c:showLegendKey val="0"/>
          <c:showVal val="0"/>
          <c:showCatName val="0"/>
          <c:showSerName val="0"/>
          <c:showPercent val="0"/>
          <c:showBubbleSize val="0"/>
        </c:dLbls>
        <c:marker val="1"/>
        <c:smooth val="0"/>
        <c:axId val="2128991768"/>
        <c:axId val="2128995528"/>
      </c:lineChart>
      <c:catAx>
        <c:axId val="212899176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8995528"/>
        <c:crosses val="autoZero"/>
        <c:auto val="1"/>
        <c:lblAlgn val="ctr"/>
        <c:lblOffset val="100"/>
        <c:noMultiLvlLbl val="0"/>
      </c:catAx>
      <c:valAx>
        <c:axId val="2128995528"/>
        <c:scaling>
          <c:orientation val="minMax"/>
          <c:max val="7500"/>
          <c:min val="5000"/>
        </c:scaling>
        <c:delete val="0"/>
        <c:axPos val="l"/>
        <c:numFmt formatCode="General" sourceLinked="1"/>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8991768"/>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77082019164774"/>
          <c:y val="0.0646868568068216"/>
          <c:w val="0.899953123969161"/>
          <c:h val="0.752385935586338"/>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07E0-4F74-A867-F21A20CF358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2005</c:v>
                </c:pt>
                <c:pt idx="2">
                  <c:v>2011</c:v>
                </c:pt>
                <c:pt idx="3">
                  <c:v>2012</c:v>
                </c:pt>
                <c:pt idx="4">
                  <c:v>2013</c:v>
                </c:pt>
                <c:pt idx="5">
                  <c:v>2014</c:v>
                </c:pt>
                <c:pt idx="6">
                  <c:v>2015</c:v>
                </c:pt>
                <c:pt idx="7">
                  <c:v>2016</c:v>
                </c:pt>
                <c:pt idx="9">
                  <c:v>2020                                       Mērķis</c:v>
                </c:pt>
              </c:strCache>
            </c:strRef>
          </c:cat>
          <c:val>
            <c:numRef>
              <c:f>Sheet1!$B$2:$B$11</c:f>
              <c:numCache>
                <c:formatCode>General</c:formatCode>
                <c:ptCount val="10"/>
                <c:pt idx="0">
                  <c:v>32.3</c:v>
                </c:pt>
                <c:pt idx="2">
                  <c:v>33.5</c:v>
                </c:pt>
                <c:pt idx="3">
                  <c:v>35.7</c:v>
                </c:pt>
                <c:pt idx="4">
                  <c:v>37.1</c:v>
                </c:pt>
                <c:pt idx="5">
                  <c:v>38.7</c:v>
                </c:pt>
                <c:pt idx="6">
                  <c:v>37.6</c:v>
                </c:pt>
                <c:pt idx="7">
                  <c:v>37.2</c:v>
                </c:pt>
                <c:pt idx="9">
                  <c:v>40</c:v>
                </c:pt>
              </c:numCache>
            </c:numRef>
          </c:val>
          <c:smooth val="0"/>
          <c:extLst>
            <c:ext xmlns:c="http://schemas.openxmlformats.org/drawingml/2006/chart" xmlns:c16="http://schemas.microsoft.com/office/drawing/2014/chart" uri="{C3380CC4-5D6E-409C-BE32-E72D297353CC}">
              <c16:uniqueId val="{00000001-07E0-4F74-A867-F21A20CF358B}"/>
            </c:ext>
          </c:extLst>
        </c:ser>
        <c:dLbls>
          <c:showLegendKey val="0"/>
          <c:showVal val="0"/>
          <c:showCatName val="0"/>
          <c:showSerName val="0"/>
          <c:showPercent val="0"/>
          <c:showBubbleSize val="0"/>
        </c:dLbls>
        <c:marker val="1"/>
        <c:smooth val="0"/>
        <c:axId val="2129105384"/>
        <c:axId val="2129109144"/>
      </c:lineChart>
      <c:catAx>
        <c:axId val="21291053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109144"/>
        <c:crosses val="autoZero"/>
        <c:auto val="1"/>
        <c:lblAlgn val="ctr"/>
        <c:lblOffset val="100"/>
        <c:noMultiLvlLbl val="0"/>
      </c:catAx>
      <c:valAx>
        <c:axId val="2129109144"/>
        <c:scaling>
          <c:orientation val="minMax"/>
          <c:max val="41"/>
          <c:min val="31"/>
        </c:scaling>
        <c:delete val="0"/>
        <c:axPos val="l"/>
        <c:numFmt formatCode="General" sourceLinked="1"/>
        <c:majorTickMark val="out"/>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9105384"/>
        <c:crosses val="autoZero"/>
        <c:crossBetween val="between"/>
        <c:majorUnit val="2"/>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800">
          <a:latin typeface="Calibri Light" panose="020F0302020204030204" pitchFamily="34"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10.xml.rels>&#65279;<?xml version="1.0" encoding="utf-8" standalone="yes"?><Relationships xmlns="http://schemas.openxmlformats.org/package/2006/relationships"><Relationship Id="rId1" Type="http://schemas.openxmlformats.org/officeDocument/2006/relationships/customXmlProps" Target="itemProps10.xml" /></Relationships>
</file>

<file path=customXml/_rels/item11.xml.rels>&#65279;<?xml version="1.0" encoding="utf-8" standalone="yes"?><Relationships xmlns="http://schemas.openxmlformats.org/package/2006/relationships"><Relationship Id="rId1" Type="http://schemas.openxmlformats.org/officeDocument/2006/relationships/customXmlProps" Target="itemProps11.xml" /></Relationships>
</file>

<file path=customXml/_rels/item12.xml.rels>&#65279;<?xml version="1.0" encoding="utf-8" standalone="yes"?><Relationships xmlns="http://schemas.openxmlformats.org/package/2006/relationships"><Relationship Id="rId1" Type="http://schemas.openxmlformats.org/officeDocument/2006/relationships/customXmlProps" Target="itemProps12.xml" /></Relationships>
</file>

<file path=customXml/_rels/item13.xml.rels>&#65279;<?xml version="1.0" encoding="utf-8" standalone="yes"?><Relationships xmlns="http://schemas.openxmlformats.org/package/2006/relationships"><Relationship Id="rId1" Type="http://schemas.openxmlformats.org/officeDocument/2006/relationships/customXmlProps" Target="itemProps13.xml" /></Relationships>
</file>

<file path=customXml/_rels/item14.xml.rels>&#65279;<?xml version="1.0" encoding="utf-8" standalone="yes"?><Relationships xmlns="http://schemas.openxmlformats.org/package/2006/relationships"><Relationship Id="rId1" Type="http://schemas.openxmlformats.org/officeDocument/2006/relationships/customXmlProps" Target="itemProps14.xml" /></Relationships>
</file>

<file path=customXml/_rels/item15.xml.rels>&#65279;<?xml version="1.0" encoding="utf-8" standalone="yes"?><Relationships xmlns="http://schemas.openxmlformats.org/package/2006/relationships"><Relationship Id="rId1" Type="http://schemas.openxmlformats.org/officeDocument/2006/relationships/customXmlProps" Target="itemProps15.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&#65279;<?xml version="1.0" encoding="utf-8" standalone="yes"?><Relationships xmlns="http://schemas.openxmlformats.org/package/2006/relationships"><Relationship Id="rId1" Type="http://schemas.openxmlformats.org/officeDocument/2006/relationships/customXmlProps" Target="itemProps7.xml" /></Relationships>
</file>

<file path=customXml/_rels/item8.xml.rels>&#65279;<?xml version="1.0" encoding="utf-8" standalone="yes"?><Relationships xmlns="http://schemas.openxmlformats.org/package/2006/relationships"><Relationship Id="rId1" Type="http://schemas.openxmlformats.org/officeDocument/2006/relationships/customXmlProps" Target="itemProps8.xml" /></Relationships>
</file>

<file path=customXml/_rels/item9.xml.rels>&#65279;<?xml version="1.0" encoding="utf-8" standalone="yes"?><Relationships xmlns="http://schemas.openxmlformats.org/package/2006/relationships"><Relationship Id="rId1" Type="http://schemas.openxmlformats.org/officeDocument/2006/relationships/customXmlProps" Target="itemProps9.xml" /></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24781-7C04-4EBF-BB3A-EC0789384DEF}">
  <ds:schemaRefs>
    <ds:schemaRef ds:uri="http://schemas.openxmlformats.org/officeDocument/2006/bibliography"/>
  </ds:schemaRefs>
</ds:datastoreItem>
</file>

<file path=customXml/itemProps10.xml><?xml version="1.0" encoding="utf-8"?>
<ds:datastoreItem xmlns:ds="http://schemas.openxmlformats.org/officeDocument/2006/customXml" ds:itemID="{EDDC7B16-204F-4DA4-AB18-334828B28820}">
  <ds:schemaRefs>
    <ds:schemaRef ds:uri="http://schemas.openxmlformats.org/officeDocument/2006/bibliography"/>
  </ds:schemaRefs>
</ds:datastoreItem>
</file>

<file path=customXml/itemProps11.xml><?xml version="1.0" encoding="utf-8"?>
<ds:datastoreItem xmlns:ds="http://schemas.openxmlformats.org/officeDocument/2006/customXml" ds:itemID="{B7572B3B-5CE9-40A0-B00D-AFDD968F18F9}">
  <ds:schemaRefs>
    <ds:schemaRef ds:uri="http://schemas.openxmlformats.org/officeDocument/2006/bibliography"/>
  </ds:schemaRefs>
</ds:datastoreItem>
</file>

<file path=customXml/itemProps12.xml><?xml version="1.0" encoding="utf-8"?>
<ds:datastoreItem xmlns:ds="http://schemas.openxmlformats.org/officeDocument/2006/customXml" ds:itemID="{199BC129-6320-42F9-B618-E9525D7D829B}">
  <ds:schemaRefs>
    <ds:schemaRef ds:uri="http://schemas.openxmlformats.org/officeDocument/2006/bibliography"/>
  </ds:schemaRefs>
</ds:datastoreItem>
</file>

<file path=customXml/itemProps13.xml><?xml version="1.0" encoding="utf-8"?>
<ds:datastoreItem xmlns:ds="http://schemas.openxmlformats.org/officeDocument/2006/customXml" ds:itemID="{CDC24E4C-3FE0-4DA5-A650-59D04AEE1074}">
  <ds:schemaRefs>
    <ds:schemaRef ds:uri="http://schemas.openxmlformats.org/officeDocument/2006/bibliography"/>
  </ds:schemaRefs>
</ds:datastoreItem>
</file>

<file path=customXml/itemProps14.xml><?xml version="1.0" encoding="utf-8"?>
<ds:datastoreItem xmlns:ds="http://schemas.openxmlformats.org/officeDocument/2006/customXml" ds:itemID="{72AEC046-392D-464B-BEA4-23869B30F928}">
  <ds:schemaRefs>
    <ds:schemaRef ds:uri="http://schemas.openxmlformats.org/officeDocument/2006/bibliography"/>
  </ds:schemaRefs>
</ds:datastoreItem>
</file>

<file path=customXml/itemProps15.xml><?xml version="1.0" encoding="utf-8"?>
<ds:datastoreItem xmlns:ds="http://schemas.openxmlformats.org/officeDocument/2006/customXml" ds:itemID="{AF676616-B9DD-4859-BAAD-B3586AE5B93C}">
  <ds:schemaRefs>
    <ds:schemaRef ds:uri="http://schemas.openxmlformats.org/officeDocument/2006/bibliography"/>
  </ds:schemaRefs>
</ds:datastoreItem>
</file>

<file path=customXml/itemProps2.xml><?xml version="1.0" encoding="utf-8"?>
<ds:datastoreItem xmlns:ds="http://schemas.openxmlformats.org/officeDocument/2006/customXml" ds:itemID="{BCE5BF77-86BD-4F13-B772-E70A7993B5F3}">
  <ds:schemaRefs>
    <ds:schemaRef ds:uri="http://schemas.openxmlformats.org/officeDocument/2006/bibliography"/>
  </ds:schemaRefs>
</ds:datastoreItem>
</file>

<file path=customXml/itemProps3.xml><?xml version="1.0" encoding="utf-8"?>
<ds:datastoreItem xmlns:ds="http://schemas.openxmlformats.org/officeDocument/2006/customXml" ds:itemID="{4005B5A0-AB48-433F-9169-F97A9148C8FF}">
  <ds:schemaRefs>
    <ds:schemaRef ds:uri="http://schemas.openxmlformats.org/officeDocument/2006/bibliography"/>
  </ds:schemaRefs>
</ds:datastoreItem>
</file>

<file path=customXml/itemProps4.xml><?xml version="1.0" encoding="utf-8"?>
<ds:datastoreItem xmlns:ds="http://schemas.openxmlformats.org/officeDocument/2006/customXml" ds:itemID="{C24E5AA3-FBB9-4BC8-8540-9831BAEF97D9}">
  <ds:schemaRefs>
    <ds:schemaRef ds:uri="http://schemas.openxmlformats.org/officeDocument/2006/bibliography"/>
  </ds:schemaRefs>
</ds:datastoreItem>
</file>

<file path=customXml/itemProps5.xml><?xml version="1.0" encoding="utf-8"?>
<ds:datastoreItem xmlns:ds="http://schemas.openxmlformats.org/officeDocument/2006/customXml" ds:itemID="{6D1EA42F-2EAA-4E70-97A6-E8198427F3CE}">
  <ds:schemaRefs>
    <ds:schemaRef ds:uri="http://schemas.openxmlformats.org/officeDocument/2006/bibliography"/>
  </ds:schemaRefs>
</ds:datastoreItem>
</file>

<file path=customXml/itemProps6.xml><?xml version="1.0" encoding="utf-8"?>
<ds:datastoreItem xmlns:ds="http://schemas.openxmlformats.org/officeDocument/2006/customXml" ds:itemID="{A5CE2CEB-EA73-4EEC-A5C1-A5D5DBB8FF18}">
  <ds:schemaRefs>
    <ds:schemaRef ds:uri="http://schemas.openxmlformats.org/officeDocument/2006/bibliography"/>
  </ds:schemaRefs>
</ds:datastoreItem>
</file>

<file path=customXml/itemProps7.xml><?xml version="1.0" encoding="utf-8"?>
<ds:datastoreItem xmlns:ds="http://schemas.openxmlformats.org/officeDocument/2006/customXml" ds:itemID="{EC06A6E1-73A3-45A0-9086-60056B987234}">
  <ds:schemaRefs>
    <ds:schemaRef ds:uri="http://schemas.openxmlformats.org/officeDocument/2006/bibliography"/>
  </ds:schemaRefs>
</ds:datastoreItem>
</file>

<file path=customXml/itemProps8.xml><?xml version="1.0" encoding="utf-8"?>
<ds:datastoreItem xmlns:ds="http://schemas.openxmlformats.org/officeDocument/2006/customXml" ds:itemID="{2A2AA412-932F-439B-99CD-72B0E862396E}">
  <ds:schemaRefs>
    <ds:schemaRef ds:uri="http://schemas.openxmlformats.org/officeDocument/2006/bibliography"/>
  </ds:schemaRefs>
</ds:datastoreItem>
</file>

<file path=customXml/itemProps9.xml><?xml version="1.0" encoding="utf-8"?>
<ds:datastoreItem xmlns:ds="http://schemas.openxmlformats.org/officeDocument/2006/customXml" ds:itemID="{1EE633F9-E07E-4C49-98C3-206D1EA8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41368</Words>
  <Characters>301574</Characters>
  <Application>Microsoft Office Word</Application>
  <DocSecurity>0</DocSecurity>
  <Lines>7732</Lines>
  <Paragraphs>1681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Progresa ziņojums par Latvijas nacionālās reformu programmas "Eiropa 2020" stratēģijas kontekstā īstenošanu</vt:lpstr>
      <vt:lpstr/>
    </vt:vector>
  </TitlesOfParts>
  <Company>Ekonomikas ministrija</Company>
  <LinksUpToDate>false</LinksUpToDate>
  <CharactersWithSpaces>341261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Progresa ziņojums par Latvijas nacionālās reformu programmas "Eiropa 2020" stratēģijas kontekstā īstenošanu</dc:title>
  <dc:creator>GrzibovskisC</dc:creator>
  <dc:description>67013258, Ceslavs.Grzibovskis@em.gov.lv</dc:description>
  <cp:lastModifiedBy>Ekonomikas ministrija</cp:lastModifiedBy>
  <cp:revision>31</cp:revision>
  <cp:lastPrinted>2018-04-04T11:17:00Z</cp:lastPrinted>
  <dcterms:created xsi:type="dcterms:W3CDTF">2018-04-05T07:32:00Z</dcterms:created>
  <dcterms:modified xsi:type="dcterms:W3CDTF">2018-04-05T12:00:00Z</dcterms:modified>
</cp:coreProperties>
</file>