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D3D7D" w14:textId="761CA268" w:rsidR="00E5323B" w:rsidRDefault="00E76287" w:rsidP="00BE5A71">
      <w:pPr>
        <w:shd w:val="clear" w:color="auto" w:fill="FFFFFF"/>
        <w:spacing w:after="0" w:line="240" w:lineRule="auto"/>
        <w:jc w:val="center"/>
        <w:rPr>
          <w:rFonts w:ascii="Times New Roman" w:eastAsia="Times New Roman" w:hAnsi="Times New Roman" w:cs="Times New Roman"/>
          <w:b/>
          <w:bCs/>
          <w:color w:val="000000" w:themeColor="text1"/>
          <w:spacing w:val="-2"/>
          <w:sz w:val="28"/>
          <w:szCs w:val="24"/>
          <w:lang w:eastAsia="lv-LV"/>
        </w:rPr>
      </w:pPr>
      <w:r w:rsidRPr="00712CAF">
        <w:rPr>
          <w:rFonts w:ascii="Times New Roman" w:eastAsia="Times New Roman" w:hAnsi="Times New Roman" w:cs="Times New Roman"/>
          <w:b/>
          <w:bCs/>
          <w:color w:val="000000" w:themeColor="text1"/>
          <w:spacing w:val="-2"/>
          <w:sz w:val="28"/>
          <w:szCs w:val="24"/>
          <w:lang w:eastAsia="lv-LV"/>
        </w:rPr>
        <w:t>Likumprojekta “Grozījumi Noziedzīgi iegūtu līdzekļu legalizācijas un terorisma finansēšanas novēršanas likumā”</w:t>
      </w:r>
      <w:r w:rsidRPr="00712CAF">
        <w:rPr>
          <w:rFonts w:ascii="Times New Roman" w:eastAsia="Times New Roman" w:hAnsi="Times New Roman" w:cs="Times New Roman"/>
          <w:b/>
          <w:bCs/>
          <w:color w:val="000000" w:themeColor="text1"/>
          <w:spacing w:val="-2"/>
          <w:sz w:val="28"/>
          <w:szCs w:val="24"/>
          <w:lang w:eastAsia="lv-LV"/>
        </w:rPr>
        <w:br/>
        <w:t>sākotnējās ietekmes novērtējuma ziņojums (anotācija)</w:t>
      </w:r>
    </w:p>
    <w:p w14:paraId="438F6186" w14:textId="77777777" w:rsidR="00712CAF" w:rsidRPr="00712CAF" w:rsidRDefault="00712CAF" w:rsidP="00BE5A71">
      <w:pPr>
        <w:shd w:val="clear" w:color="auto" w:fill="FFFFFF"/>
        <w:spacing w:after="0" w:line="240" w:lineRule="auto"/>
        <w:jc w:val="center"/>
        <w:rPr>
          <w:rFonts w:ascii="Times New Roman" w:eastAsia="Times New Roman" w:hAnsi="Times New Roman" w:cs="Times New Roman"/>
          <w:b/>
          <w:bCs/>
          <w:color w:val="000000" w:themeColor="text1"/>
          <w:spacing w:val="-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CB5006" w:rsidRPr="00712CAF" w14:paraId="6D5AF83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BCB43B" w14:textId="77777777" w:rsidR="00655F2C" w:rsidRPr="00712CAF" w:rsidRDefault="00E5323B" w:rsidP="00BE5A71">
            <w:pPr>
              <w:spacing w:after="0" w:line="240" w:lineRule="auto"/>
              <w:rPr>
                <w:rFonts w:ascii="Times New Roman" w:eastAsia="Times New Roman" w:hAnsi="Times New Roman" w:cs="Times New Roman"/>
                <w:b/>
                <w:bCs/>
                <w:iCs/>
                <w:color w:val="000000" w:themeColor="text1"/>
                <w:spacing w:val="-2"/>
                <w:sz w:val="24"/>
                <w:szCs w:val="24"/>
                <w:lang w:eastAsia="lv-LV"/>
              </w:rPr>
            </w:pPr>
            <w:r w:rsidRPr="00712CAF">
              <w:rPr>
                <w:rFonts w:ascii="Times New Roman" w:eastAsia="Times New Roman" w:hAnsi="Times New Roman" w:cs="Times New Roman"/>
                <w:b/>
                <w:bCs/>
                <w:iCs/>
                <w:color w:val="000000" w:themeColor="text1"/>
                <w:spacing w:val="-2"/>
                <w:sz w:val="24"/>
                <w:szCs w:val="24"/>
                <w:lang w:eastAsia="lv-LV"/>
              </w:rPr>
              <w:t>Tiesību akta projekta anotācijas kopsavilkums</w:t>
            </w:r>
          </w:p>
        </w:tc>
      </w:tr>
      <w:tr w:rsidR="00CB5006" w:rsidRPr="00712CAF" w14:paraId="057D4798" w14:textId="77777777" w:rsidTr="00E16FFA">
        <w:trPr>
          <w:tblCellSpacing w:w="15" w:type="dxa"/>
        </w:trPr>
        <w:tc>
          <w:tcPr>
            <w:tcW w:w="1301" w:type="pct"/>
            <w:tcBorders>
              <w:top w:val="outset" w:sz="6" w:space="0" w:color="auto"/>
              <w:left w:val="outset" w:sz="6" w:space="0" w:color="auto"/>
              <w:bottom w:val="outset" w:sz="6" w:space="0" w:color="auto"/>
              <w:right w:val="outset" w:sz="6" w:space="0" w:color="auto"/>
            </w:tcBorders>
            <w:hideMark/>
          </w:tcPr>
          <w:p w14:paraId="55F0A247" w14:textId="77777777" w:rsidR="00E5323B" w:rsidRPr="00712CAF" w:rsidRDefault="00E5323B" w:rsidP="00BE5A71">
            <w:pPr>
              <w:spacing w:after="0" w:line="240" w:lineRule="auto"/>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Mērķis, risinājums un projekta spēkā stāšanās laiks (500 zīmes bez atstarpēm)</w:t>
            </w:r>
          </w:p>
        </w:tc>
        <w:tc>
          <w:tcPr>
            <w:tcW w:w="3649" w:type="pct"/>
            <w:tcBorders>
              <w:top w:val="outset" w:sz="6" w:space="0" w:color="auto"/>
              <w:left w:val="outset" w:sz="6" w:space="0" w:color="auto"/>
              <w:bottom w:val="outset" w:sz="6" w:space="0" w:color="auto"/>
              <w:right w:val="outset" w:sz="6" w:space="0" w:color="auto"/>
            </w:tcBorders>
            <w:hideMark/>
          </w:tcPr>
          <w:p w14:paraId="0B8E7169" w14:textId="7C55D3BC" w:rsidR="00E76287" w:rsidRPr="00712CAF" w:rsidRDefault="00E76287"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Likumprojekts “Grozījumi Noziedzīgi iegūtu līdzekļu legalizācijas un terorisma finansēšanas novēršanas likumā” (turpmāk - likumprojekts) ir izstrādāts ar mērķi stiprināt finanšu sistēmu, samazinot paaugstināta riska darījumu skaitu ar īpaši augsta riska klie</w:t>
            </w:r>
            <w:r w:rsidR="005A1226" w:rsidRPr="00712CAF">
              <w:rPr>
                <w:rFonts w:ascii="Times New Roman" w:eastAsia="Times New Roman" w:hAnsi="Times New Roman" w:cs="Times New Roman"/>
                <w:color w:val="000000" w:themeColor="text1"/>
                <w:spacing w:val="-2"/>
                <w:sz w:val="24"/>
                <w:szCs w:val="24"/>
                <w:lang w:eastAsia="lv-LV"/>
              </w:rPr>
              <w:t>ntiem, kas ir čaulas veidojumi un atbilst noteiktām pazīmēm</w:t>
            </w:r>
            <w:r w:rsidR="00897A6D" w:rsidRPr="00712CAF">
              <w:rPr>
                <w:rFonts w:ascii="Times New Roman" w:eastAsia="Times New Roman" w:hAnsi="Times New Roman" w:cs="Times New Roman"/>
                <w:color w:val="000000" w:themeColor="text1"/>
                <w:spacing w:val="-2"/>
                <w:sz w:val="24"/>
                <w:szCs w:val="24"/>
                <w:lang w:eastAsia="lv-LV"/>
              </w:rPr>
              <w:t xml:space="preserve">, kā arī veicināt informācijas apmaiņu starp likuma subjektiem un tiesībaizsardzības iestādēm finanšu noziegumu apkarošanai. </w:t>
            </w:r>
          </w:p>
          <w:p w14:paraId="72A18708" w14:textId="77777777" w:rsidR="00E76287" w:rsidRPr="00712CAF" w:rsidRDefault="00E76287"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Likumprojekta mērķis ir </w:t>
            </w:r>
            <w:r w:rsidR="00A463AB" w:rsidRPr="00712CAF">
              <w:rPr>
                <w:rFonts w:ascii="Times New Roman" w:eastAsia="Times New Roman" w:hAnsi="Times New Roman" w:cs="Times New Roman"/>
                <w:color w:val="000000" w:themeColor="text1"/>
                <w:spacing w:val="-2"/>
                <w:sz w:val="24"/>
                <w:szCs w:val="24"/>
                <w:lang w:eastAsia="lv-LV"/>
              </w:rPr>
              <w:t xml:space="preserve">papildināt </w:t>
            </w:r>
            <w:r w:rsidRPr="00712CAF">
              <w:rPr>
                <w:rFonts w:ascii="Times New Roman" w:eastAsia="Times New Roman" w:hAnsi="Times New Roman" w:cs="Times New Roman"/>
                <w:color w:val="000000" w:themeColor="text1"/>
                <w:spacing w:val="-2"/>
                <w:sz w:val="24"/>
                <w:szCs w:val="24"/>
                <w:lang w:eastAsia="lv-LV"/>
              </w:rPr>
              <w:t>Noziedzīgi iegūtu līdzekļu legalizācijas un terorisma finansēšanas novēršanas likum</w:t>
            </w:r>
            <w:r w:rsidR="00A463AB" w:rsidRPr="00712CAF">
              <w:rPr>
                <w:rFonts w:ascii="Times New Roman" w:eastAsia="Times New Roman" w:hAnsi="Times New Roman" w:cs="Times New Roman"/>
                <w:color w:val="000000" w:themeColor="text1"/>
                <w:spacing w:val="-2"/>
                <w:sz w:val="24"/>
                <w:szCs w:val="24"/>
                <w:lang w:eastAsia="lv-LV"/>
              </w:rPr>
              <w:t>u</w:t>
            </w:r>
            <w:r w:rsidRPr="00712CAF">
              <w:rPr>
                <w:rFonts w:ascii="Times New Roman" w:eastAsia="Times New Roman" w:hAnsi="Times New Roman" w:cs="Times New Roman"/>
                <w:color w:val="000000" w:themeColor="text1"/>
                <w:spacing w:val="-2"/>
                <w:sz w:val="24"/>
                <w:szCs w:val="24"/>
                <w:lang w:eastAsia="lv-LV"/>
              </w:rPr>
              <w:t xml:space="preserve"> (turpmāk - NILLTFNL) </w:t>
            </w:r>
            <w:r w:rsidR="00A463AB" w:rsidRPr="00712CAF">
              <w:rPr>
                <w:rFonts w:ascii="Times New Roman" w:eastAsia="Times New Roman" w:hAnsi="Times New Roman" w:cs="Times New Roman"/>
                <w:color w:val="000000" w:themeColor="text1"/>
                <w:spacing w:val="-2"/>
                <w:sz w:val="24"/>
                <w:szCs w:val="24"/>
                <w:lang w:eastAsia="lv-LV"/>
              </w:rPr>
              <w:t xml:space="preserve">ar jaunu pantu, ar </w:t>
            </w:r>
            <w:r w:rsidRPr="00712CAF">
              <w:rPr>
                <w:rFonts w:ascii="Times New Roman" w:eastAsia="Times New Roman" w:hAnsi="Times New Roman" w:cs="Times New Roman"/>
                <w:color w:val="000000" w:themeColor="text1"/>
                <w:spacing w:val="-2"/>
                <w:sz w:val="24"/>
                <w:szCs w:val="24"/>
                <w:lang w:eastAsia="lv-LV"/>
              </w:rPr>
              <w:t xml:space="preserve">kuru tiktu noteikts aizliegums kredītiestādēm, maksājumu iestādēm, ieguldījumu brokeru sabiedrībām, </w:t>
            </w:r>
            <w:r w:rsidR="004C7E44" w:rsidRPr="00712CAF">
              <w:rPr>
                <w:rFonts w:ascii="Times New Roman" w:eastAsia="Times New Roman" w:hAnsi="Times New Roman" w:cs="Times New Roman"/>
                <w:color w:val="000000" w:themeColor="text1"/>
                <w:spacing w:val="-2"/>
                <w:sz w:val="24"/>
                <w:szCs w:val="24"/>
                <w:lang w:eastAsia="lv-LV"/>
              </w:rPr>
              <w:t>un attiecībā uz klientu individuālo portfeļu pārvaldīšanu un atvērto ieguldījumu fondu apliecību izplatīšanu ieguldījumu pārvaldes sabiedrībām</w:t>
            </w:r>
            <w:r w:rsidRPr="00712CAF">
              <w:rPr>
                <w:rFonts w:ascii="Times New Roman" w:eastAsia="Times New Roman" w:hAnsi="Times New Roman" w:cs="Times New Roman"/>
                <w:color w:val="000000" w:themeColor="text1"/>
                <w:spacing w:val="-2"/>
                <w:sz w:val="24"/>
                <w:szCs w:val="24"/>
                <w:lang w:eastAsia="lv-LV"/>
              </w:rPr>
              <w:t xml:space="preserve"> sadarboties ar čaulas ve</w:t>
            </w:r>
            <w:r w:rsidR="00CB3709" w:rsidRPr="00712CAF">
              <w:rPr>
                <w:rFonts w:ascii="Times New Roman" w:eastAsia="Times New Roman" w:hAnsi="Times New Roman" w:cs="Times New Roman"/>
                <w:color w:val="000000" w:themeColor="text1"/>
                <w:spacing w:val="-2"/>
                <w:sz w:val="24"/>
                <w:szCs w:val="24"/>
                <w:lang w:eastAsia="lv-LV"/>
              </w:rPr>
              <w:t>idojumiem jeb čaulas kompānijām, kuras atbilst noteiktām pazīmēm.</w:t>
            </w:r>
          </w:p>
          <w:p w14:paraId="39C63F75" w14:textId="07E9DB91" w:rsidR="00E5323B" w:rsidRPr="00712CAF" w:rsidRDefault="00E76287"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Likumprojekts ir steidzams pēc būtības, jo tika apstiprināts </w:t>
            </w:r>
            <w:r w:rsidR="00897A6D" w:rsidRPr="00712CAF">
              <w:rPr>
                <w:rFonts w:ascii="Times New Roman" w:eastAsia="Times New Roman" w:hAnsi="Times New Roman" w:cs="Times New Roman"/>
                <w:color w:val="000000" w:themeColor="text1"/>
                <w:spacing w:val="-2"/>
                <w:sz w:val="24"/>
                <w:szCs w:val="24"/>
                <w:lang w:eastAsia="lv-LV"/>
              </w:rPr>
              <w:t xml:space="preserve">Finanšu sektora attīstības padomes </w:t>
            </w:r>
            <w:r w:rsidRPr="00712CAF">
              <w:rPr>
                <w:rFonts w:ascii="Times New Roman" w:eastAsia="Times New Roman" w:hAnsi="Times New Roman" w:cs="Times New Roman"/>
                <w:color w:val="000000" w:themeColor="text1"/>
                <w:spacing w:val="-2"/>
                <w:sz w:val="24"/>
                <w:szCs w:val="24"/>
                <w:lang w:eastAsia="lv-LV"/>
              </w:rPr>
              <w:t xml:space="preserve">2018.gada 21.marta </w:t>
            </w:r>
            <w:r w:rsidR="00897A6D" w:rsidRPr="00712CAF">
              <w:rPr>
                <w:rFonts w:ascii="Times New Roman" w:eastAsia="Times New Roman" w:hAnsi="Times New Roman" w:cs="Times New Roman"/>
                <w:color w:val="000000" w:themeColor="text1"/>
                <w:spacing w:val="-2"/>
                <w:sz w:val="24"/>
                <w:szCs w:val="24"/>
                <w:lang w:eastAsia="lv-LV"/>
              </w:rPr>
              <w:t xml:space="preserve">un 3.aprīļa </w:t>
            </w:r>
            <w:r w:rsidRPr="00712CAF">
              <w:rPr>
                <w:rFonts w:ascii="Times New Roman" w:eastAsia="Times New Roman" w:hAnsi="Times New Roman" w:cs="Times New Roman"/>
                <w:color w:val="000000" w:themeColor="text1"/>
                <w:spacing w:val="-2"/>
                <w:sz w:val="24"/>
                <w:szCs w:val="24"/>
                <w:lang w:eastAsia="lv-LV"/>
              </w:rPr>
              <w:t>sēdē kā steidzamības kārtā īstenojamais pasākums uz risku balstītas uzraudzības pasākumu pilnveidošanai un augsta riska biznesa modeļu straujākai pārskatīšanai.</w:t>
            </w:r>
            <w:r w:rsidR="00235428" w:rsidRPr="00712CAF">
              <w:rPr>
                <w:rFonts w:ascii="Times New Roman" w:eastAsia="Times New Roman" w:hAnsi="Times New Roman" w:cs="Times New Roman"/>
                <w:color w:val="000000" w:themeColor="text1"/>
                <w:spacing w:val="-2"/>
                <w:sz w:val="24"/>
                <w:szCs w:val="24"/>
                <w:lang w:eastAsia="lv-LV"/>
              </w:rPr>
              <w:t xml:space="preserve"> Tādējādi paredzēts, ka likums stājas spēkā nākamajā dienā pēc tā izsludināšanas.</w:t>
            </w:r>
          </w:p>
        </w:tc>
      </w:tr>
    </w:tbl>
    <w:p w14:paraId="32304EC3" w14:textId="77777777" w:rsidR="00E5323B" w:rsidRPr="00712CAF" w:rsidRDefault="00E5323B" w:rsidP="00BE5A71">
      <w:pPr>
        <w:spacing w:after="0" w:line="240" w:lineRule="auto"/>
        <w:rPr>
          <w:rFonts w:ascii="Times New Roman" w:eastAsia="Times New Roman" w:hAnsi="Times New Roman" w:cs="Times New Roman"/>
          <w:b/>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3"/>
        <w:gridCol w:w="6653"/>
      </w:tblGrid>
      <w:tr w:rsidR="00CB5006" w:rsidRPr="00712CAF" w14:paraId="7A45BC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4A5FB1" w14:textId="77777777" w:rsidR="00655F2C" w:rsidRPr="00712CAF" w:rsidRDefault="00E5323B" w:rsidP="00BE5A71">
            <w:pPr>
              <w:spacing w:after="0" w:line="240" w:lineRule="auto"/>
              <w:rPr>
                <w:rFonts w:ascii="Times New Roman" w:eastAsia="Times New Roman" w:hAnsi="Times New Roman" w:cs="Times New Roman"/>
                <w:b/>
                <w:color w:val="000000" w:themeColor="text1"/>
                <w:spacing w:val="-2"/>
                <w:sz w:val="24"/>
                <w:szCs w:val="24"/>
                <w:lang w:eastAsia="lv-LV"/>
              </w:rPr>
            </w:pPr>
            <w:r w:rsidRPr="00712CAF">
              <w:rPr>
                <w:rFonts w:ascii="Times New Roman" w:eastAsia="Times New Roman" w:hAnsi="Times New Roman" w:cs="Times New Roman"/>
                <w:b/>
                <w:color w:val="000000" w:themeColor="text1"/>
                <w:spacing w:val="-2"/>
                <w:sz w:val="24"/>
                <w:szCs w:val="24"/>
                <w:lang w:eastAsia="lv-LV"/>
              </w:rPr>
              <w:t>I. Tiesību akta projekta izstrādes nepieciešamība</w:t>
            </w:r>
          </w:p>
        </w:tc>
      </w:tr>
      <w:tr w:rsidR="00CB5006" w:rsidRPr="00712CAF" w14:paraId="78E1AD2F" w14:textId="77777777" w:rsidTr="00E16FFA">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059909D" w14:textId="77777777" w:rsidR="00655F2C" w:rsidRPr="00712CAF" w:rsidRDefault="00E5323B" w:rsidP="00BE5A71">
            <w:pPr>
              <w:spacing w:after="0" w:line="240" w:lineRule="auto"/>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1.</w:t>
            </w:r>
          </w:p>
        </w:tc>
        <w:tc>
          <w:tcPr>
            <w:tcW w:w="1079" w:type="pct"/>
            <w:tcBorders>
              <w:top w:val="outset" w:sz="6" w:space="0" w:color="auto"/>
              <w:left w:val="outset" w:sz="6" w:space="0" w:color="auto"/>
              <w:bottom w:val="outset" w:sz="6" w:space="0" w:color="auto"/>
              <w:right w:val="outset" w:sz="6" w:space="0" w:color="auto"/>
            </w:tcBorders>
            <w:hideMark/>
          </w:tcPr>
          <w:p w14:paraId="670DB5AB" w14:textId="77777777" w:rsidR="00E5323B" w:rsidRPr="00712CAF" w:rsidRDefault="00E5323B" w:rsidP="00BE5A71">
            <w:pPr>
              <w:spacing w:after="0" w:line="240" w:lineRule="auto"/>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13FF4AC6" w14:textId="77777777" w:rsidR="00647297" w:rsidRPr="00712CAF" w:rsidRDefault="00647297"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Finanšu sektora attīstības plāna 2017.-2019.gadam, kas apstiprināts ar Ministru kabineta 2017.gada 21.marta rīkojumu Nr.126 horizontālā prioritāte ir finanšu sektora noziedzīgi iegūtu līdzekļu legalizācijas un terorisma finansēšanas (turpmāk – NILLTF) novēršanas atbilstības un valsts reputācijas paaugstināšana. Plāns paredz, ka, ņemot vērā to, ka Latvijas finanšu sektora paaugstinātā NILLTF riska ekspozīcija rada draudus valsts reputācijai un Latvijas finanšu sektora stabilai ilgtermiņa attīstībai, tādējādi plānā ietvertie pasākumi tiek plānoti un ieviesti ar nosacījumu, ka tie nepalielina NILLTF riska līmeni, bet vērsti uz tā kontrolētu plānveidīgu pazeminājumu.</w:t>
            </w:r>
          </w:p>
          <w:p w14:paraId="43E445C0" w14:textId="77777777" w:rsidR="009840E3" w:rsidRPr="00712CAF" w:rsidRDefault="009840E3"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Ministru kabineta 2018.gada </w:t>
            </w:r>
            <w:r w:rsidR="00BB583D" w:rsidRPr="00712CAF">
              <w:rPr>
                <w:rFonts w:ascii="Times New Roman" w:eastAsia="Times New Roman" w:hAnsi="Times New Roman" w:cs="Times New Roman"/>
                <w:color w:val="000000" w:themeColor="text1"/>
                <w:spacing w:val="-2"/>
                <w:sz w:val="24"/>
                <w:szCs w:val="24"/>
                <w:lang w:eastAsia="lv-LV"/>
              </w:rPr>
              <w:t>6.marta sēdes protokola Nr.14 53. § “I</w:t>
            </w:r>
            <w:r w:rsidRPr="00712CAF">
              <w:rPr>
                <w:rFonts w:ascii="Times New Roman" w:eastAsia="Times New Roman" w:hAnsi="Times New Roman" w:cs="Times New Roman"/>
                <w:color w:val="000000" w:themeColor="text1"/>
                <w:spacing w:val="-2"/>
                <w:sz w:val="24"/>
                <w:szCs w:val="24"/>
                <w:lang w:eastAsia="lv-LV"/>
              </w:rPr>
              <w:t>nformatīvais ziņojums ”Par papildu pasākumiem finanšu sektora noziedzīgi iegūtu līdzekļu legalizācijas un terorisma finansēšanas novēršanas atbilstības līmeņa nodrošināšanai”</w:t>
            </w:r>
            <w:r w:rsidR="00BB583D" w:rsidRPr="00712CAF">
              <w:rPr>
                <w:rFonts w:ascii="Times New Roman" w:eastAsia="Times New Roman" w:hAnsi="Times New Roman" w:cs="Times New Roman"/>
                <w:color w:val="000000" w:themeColor="text1"/>
                <w:spacing w:val="-2"/>
                <w:sz w:val="24"/>
                <w:szCs w:val="24"/>
                <w:lang w:eastAsia="lv-LV"/>
              </w:rPr>
              <w:t>”</w:t>
            </w:r>
            <w:r w:rsidRPr="00712CAF">
              <w:rPr>
                <w:rFonts w:ascii="Times New Roman" w:eastAsia="Times New Roman" w:hAnsi="Times New Roman" w:cs="Times New Roman"/>
                <w:color w:val="000000" w:themeColor="text1"/>
                <w:spacing w:val="-2"/>
                <w:sz w:val="24"/>
                <w:szCs w:val="24"/>
                <w:lang w:eastAsia="lv-LV"/>
              </w:rPr>
              <w:t xml:space="preserve"> 4.punkts (ierobežotas pieejamības).</w:t>
            </w:r>
          </w:p>
          <w:p w14:paraId="2754BCF4" w14:textId="3198F788" w:rsidR="00E5323B" w:rsidRPr="00712CAF" w:rsidRDefault="009840E3"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Finanšu sektora attīstības padomes </w:t>
            </w:r>
            <w:r w:rsidR="00897A6D" w:rsidRPr="00712CAF">
              <w:rPr>
                <w:rFonts w:ascii="Times New Roman" w:eastAsia="Times New Roman" w:hAnsi="Times New Roman" w:cs="Times New Roman"/>
                <w:color w:val="000000" w:themeColor="text1"/>
                <w:spacing w:val="-2"/>
                <w:sz w:val="24"/>
                <w:szCs w:val="24"/>
                <w:lang w:eastAsia="lv-LV"/>
              </w:rPr>
              <w:t xml:space="preserve">2018.gada 21.marta un 3.aprīļa </w:t>
            </w:r>
            <w:r w:rsidRPr="00712CAF">
              <w:rPr>
                <w:rFonts w:ascii="Times New Roman" w:eastAsia="Times New Roman" w:hAnsi="Times New Roman" w:cs="Times New Roman"/>
                <w:color w:val="000000" w:themeColor="text1"/>
                <w:spacing w:val="-2"/>
                <w:sz w:val="24"/>
                <w:szCs w:val="24"/>
                <w:lang w:eastAsia="lv-LV"/>
              </w:rPr>
              <w:t>sēdē nolemtais “Par papildu pasākumiem finanšu sektora noziedzīgi iegūtu līdzekļu legalizācijas un terorisma finansēšanas novēršanas atbilstības līmeņa nodrošināšanai”.</w:t>
            </w:r>
          </w:p>
        </w:tc>
      </w:tr>
      <w:tr w:rsidR="00CB5006" w:rsidRPr="00712CAF" w14:paraId="299A0660" w14:textId="77777777" w:rsidTr="00E16FFA">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4BDEE65" w14:textId="77777777" w:rsidR="009840E3" w:rsidRPr="00712CAF" w:rsidRDefault="009840E3"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lastRenderedPageBreak/>
              <w:t>2.</w:t>
            </w:r>
          </w:p>
        </w:tc>
        <w:tc>
          <w:tcPr>
            <w:tcW w:w="1079" w:type="pct"/>
            <w:tcBorders>
              <w:top w:val="outset" w:sz="6" w:space="0" w:color="auto"/>
              <w:left w:val="outset" w:sz="6" w:space="0" w:color="auto"/>
              <w:bottom w:val="outset" w:sz="6" w:space="0" w:color="auto"/>
              <w:right w:val="outset" w:sz="6" w:space="0" w:color="auto"/>
            </w:tcBorders>
            <w:hideMark/>
          </w:tcPr>
          <w:p w14:paraId="056F5829" w14:textId="77777777" w:rsidR="009840E3" w:rsidRPr="00712CAF" w:rsidRDefault="009840E3"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Pašreizējā situācija un problēmas, kuru risināšanai tiesību akta projekts izstrādāts, tiesiskā regulējuma mērķis un būtība</w:t>
            </w:r>
          </w:p>
        </w:tc>
        <w:tc>
          <w:tcPr>
            <w:tcW w:w="3649" w:type="pct"/>
            <w:tcBorders>
              <w:top w:val="outset" w:sz="6" w:space="0" w:color="auto"/>
              <w:left w:val="outset" w:sz="6" w:space="0" w:color="auto"/>
              <w:bottom w:val="outset" w:sz="6" w:space="0" w:color="auto"/>
              <w:right w:val="outset" w:sz="6" w:space="0" w:color="auto"/>
            </w:tcBorders>
            <w:hideMark/>
          </w:tcPr>
          <w:p w14:paraId="1B95CA9A" w14:textId="77777777" w:rsidR="009840E3" w:rsidRPr="00712CAF" w:rsidRDefault="009840E3"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Šobrīd lielāko daļu no </w:t>
            </w:r>
            <w:r w:rsidR="00922A92" w:rsidRPr="00712CAF">
              <w:rPr>
                <w:rFonts w:ascii="Times New Roman" w:eastAsia="Times New Roman" w:hAnsi="Times New Roman" w:cs="Times New Roman"/>
                <w:color w:val="000000" w:themeColor="text1"/>
                <w:spacing w:val="-2"/>
                <w:sz w:val="24"/>
                <w:szCs w:val="24"/>
                <w:lang w:eastAsia="lv-LV"/>
              </w:rPr>
              <w:t>NILLTF</w:t>
            </w:r>
            <w:r w:rsidRPr="00712CAF">
              <w:rPr>
                <w:rFonts w:ascii="Times New Roman" w:eastAsia="Times New Roman" w:hAnsi="Times New Roman" w:cs="Times New Roman"/>
                <w:color w:val="000000" w:themeColor="text1"/>
                <w:spacing w:val="-2"/>
                <w:sz w:val="24"/>
                <w:szCs w:val="24"/>
                <w:lang w:eastAsia="lv-LV"/>
              </w:rPr>
              <w:t xml:space="preserve"> augsta riska ekspozīcijas veido kredītiestāžu sniegtie finanšu pakalpojumi</w:t>
            </w:r>
            <w:r w:rsidR="001307A6" w:rsidRPr="00712CAF">
              <w:rPr>
                <w:rFonts w:ascii="Times New Roman" w:eastAsia="Times New Roman" w:hAnsi="Times New Roman" w:cs="Times New Roman"/>
                <w:color w:val="000000" w:themeColor="text1"/>
                <w:spacing w:val="-2"/>
                <w:sz w:val="24"/>
                <w:szCs w:val="24"/>
                <w:lang w:eastAsia="lv-LV"/>
              </w:rPr>
              <w:t xml:space="preserve"> – maksājumu pakalpojumi</w:t>
            </w:r>
            <w:r w:rsidRPr="00712CAF">
              <w:rPr>
                <w:rFonts w:ascii="Times New Roman" w:eastAsia="Times New Roman" w:hAnsi="Times New Roman" w:cs="Times New Roman"/>
                <w:color w:val="000000" w:themeColor="text1"/>
                <w:spacing w:val="-2"/>
                <w:sz w:val="24"/>
                <w:szCs w:val="24"/>
                <w:lang w:eastAsia="lv-LV"/>
              </w:rPr>
              <w:t>. Par paaugstinātiem NILLTF riska rādītājiem kredītiestāžu sektorā liecina ārvalstu (nerezidentu) klientu maksājumi, kurus veic augstākā riska klienti – čaulas veidojumi</w:t>
            </w:r>
            <w:r w:rsidR="008464B6" w:rsidRPr="00712CAF">
              <w:rPr>
                <w:rFonts w:ascii="Times New Roman" w:eastAsia="Times New Roman" w:hAnsi="Times New Roman" w:cs="Times New Roman"/>
                <w:color w:val="000000" w:themeColor="text1"/>
                <w:spacing w:val="-2"/>
                <w:sz w:val="24"/>
                <w:szCs w:val="24"/>
                <w:lang w:eastAsia="lv-LV"/>
              </w:rPr>
              <w:t xml:space="preserve">. </w:t>
            </w:r>
          </w:p>
          <w:p w14:paraId="5C8A4824" w14:textId="77777777" w:rsidR="005A1226" w:rsidRPr="00712CAF" w:rsidRDefault="005A1226" w:rsidP="00BE5A71">
            <w:pPr>
              <w:spacing w:after="0" w:line="240" w:lineRule="auto"/>
              <w:jc w:val="both"/>
              <w:rPr>
                <w:rFonts w:ascii="Times New Roman" w:eastAsia="Times New Roman" w:hAnsi="Times New Roman" w:cs="Times New Roman"/>
                <w:color w:val="000000" w:themeColor="text1"/>
                <w:spacing w:val="-2"/>
                <w:sz w:val="24"/>
                <w:szCs w:val="20"/>
              </w:rPr>
            </w:pPr>
            <w:r w:rsidRPr="00712CAF">
              <w:rPr>
                <w:rFonts w:ascii="Times New Roman" w:eastAsia="Times New Roman" w:hAnsi="Times New Roman" w:cs="Times New Roman"/>
                <w:color w:val="000000" w:themeColor="text1"/>
                <w:spacing w:val="-2"/>
                <w:sz w:val="24"/>
                <w:szCs w:val="24"/>
                <w:lang w:eastAsia="lv-LV"/>
              </w:rPr>
              <w:t xml:space="preserve">Finanšu un kapitāla tirgus komisijas (turpmāk - FKTK) </w:t>
            </w:r>
            <w:r w:rsidRPr="00712CAF">
              <w:rPr>
                <w:rFonts w:ascii="Times New Roman" w:eastAsia="Times New Roman" w:hAnsi="Times New Roman" w:cs="Times New Roman"/>
                <w:color w:val="000000" w:themeColor="text1"/>
                <w:spacing w:val="-2"/>
                <w:sz w:val="23"/>
                <w:szCs w:val="23"/>
              </w:rPr>
              <w:t>a</w:t>
            </w:r>
            <w:r w:rsidRPr="00712CAF">
              <w:rPr>
                <w:rFonts w:ascii="Times New Roman" w:eastAsia="Times New Roman" w:hAnsi="Times New Roman" w:cs="Times New Roman"/>
                <w:color w:val="000000" w:themeColor="text1"/>
                <w:spacing w:val="-2"/>
                <w:sz w:val="24"/>
                <w:szCs w:val="20"/>
              </w:rPr>
              <w:t>pkopotā informācija par 2017. gada ceturto ceturksni liecina, ka Latvijas Republikas kredītiestādēs čaulas kompāniju kredīta apgrozījuma īpatsvars visu klientu kredīta apgrozījumā bija 27.8%. Kredītiestāžu, kas pārsvarā apkalpo augsta riska klientus (nerezidentu bankas), čaulas kompāniju kredīta apgrozījums īpatsvars visu klientu kredīta apgrozījumā bija 44.52 %.</w:t>
            </w:r>
          </w:p>
          <w:p w14:paraId="3FFE70E2" w14:textId="77777777" w:rsidR="005A1226" w:rsidRPr="00712CAF" w:rsidRDefault="005A1226"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0"/>
              </w:rPr>
              <w:t xml:space="preserve">Vienlaikus jāatzīmē, ka minētā informācija atspoguļo datus par čaulas veidojumiem, kuri atbilst kaut vienai no čaulas veidojuma pazīmēm. </w:t>
            </w:r>
          </w:p>
          <w:p w14:paraId="1F3D65D8" w14:textId="77777777" w:rsidR="009840E3" w:rsidRPr="00712CAF" w:rsidRDefault="00383D79"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Šogad ārvalstu (nerezidentu)</w:t>
            </w:r>
            <w:r w:rsidR="00F71FA8" w:rsidRPr="00712CAF">
              <w:rPr>
                <w:rFonts w:ascii="Times New Roman" w:eastAsia="Times New Roman" w:hAnsi="Times New Roman" w:cs="Times New Roman"/>
                <w:color w:val="000000" w:themeColor="text1"/>
                <w:spacing w:val="-2"/>
                <w:sz w:val="24"/>
                <w:szCs w:val="24"/>
                <w:lang w:eastAsia="lv-LV"/>
              </w:rPr>
              <w:t xml:space="preserve"> klientu</w:t>
            </w:r>
            <w:r w:rsidRPr="00712CAF">
              <w:rPr>
                <w:rFonts w:ascii="Times New Roman" w:eastAsia="Times New Roman" w:hAnsi="Times New Roman" w:cs="Times New Roman"/>
                <w:color w:val="000000" w:themeColor="text1"/>
                <w:spacing w:val="-2"/>
                <w:sz w:val="24"/>
                <w:szCs w:val="24"/>
                <w:lang w:eastAsia="lv-LV"/>
              </w:rPr>
              <w:t xml:space="preserve"> pievienotā vērtība turpina samazināties, to iespaido stingrākas prasības kredītiestāžu finanšu stabilitātei.</w:t>
            </w:r>
            <w:r w:rsidR="00317310" w:rsidRPr="00712CAF">
              <w:rPr>
                <w:rFonts w:ascii="Times New Roman" w:eastAsia="Times New Roman" w:hAnsi="Times New Roman" w:cs="Times New Roman"/>
                <w:color w:val="000000" w:themeColor="text1"/>
                <w:spacing w:val="-2"/>
                <w:sz w:val="24"/>
                <w:szCs w:val="24"/>
                <w:lang w:eastAsia="lv-LV"/>
              </w:rPr>
              <w:t xml:space="preserve"> Stingrākas prasības kredītiestāžu finanšu stabilitātei ir arī par pamatu finanšu nozares pievienotās vērtības kritumam pagāju</w:t>
            </w:r>
            <w:r w:rsidR="00721076" w:rsidRPr="00712CAF">
              <w:rPr>
                <w:rFonts w:ascii="Times New Roman" w:eastAsia="Times New Roman" w:hAnsi="Times New Roman" w:cs="Times New Roman"/>
                <w:color w:val="000000" w:themeColor="text1"/>
                <w:spacing w:val="-2"/>
                <w:sz w:val="24"/>
                <w:szCs w:val="24"/>
                <w:lang w:eastAsia="lv-LV"/>
              </w:rPr>
              <w:t>šajā</w:t>
            </w:r>
            <w:r w:rsidR="00317310" w:rsidRPr="00712CAF">
              <w:rPr>
                <w:rFonts w:ascii="Times New Roman" w:eastAsia="Times New Roman" w:hAnsi="Times New Roman" w:cs="Times New Roman"/>
                <w:color w:val="000000" w:themeColor="text1"/>
                <w:spacing w:val="-2"/>
                <w:sz w:val="24"/>
                <w:szCs w:val="24"/>
                <w:lang w:eastAsia="lv-LV"/>
              </w:rPr>
              <w:t xml:space="preserve"> gadā par 16,6%. </w:t>
            </w:r>
            <w:r w:rsidR="006F40F2" w:rsidRPr="00712CAF">
              <w:rPr>
                <w:rFonts w:ascii="Times New Roman" w:eastAsia="Times New Roman" w:hAnsi="Times New Roman" w:cs="Times New Roman"/>
                <w:color w:val="000000" w:themeColor="text1"/>
                <w:spacing w:val="-2"/>
                <w:sz w:val="24"/>
                <w:szCs w:val="24"/>
                <w:lang w:eastAsia="lv-LV"/>
              </w:rPr>
              <w:t xml:space="preserve">Ārvalstu (nerezidentu) </w:t>
            </w:r>
            <w:r w:rsidR="00F71FA8" w:rsidRPr="00712CAF">
              <w:rPr>
                <w:rFonts w:ascii="Times New Roman" w:eastAsia="Times New Roman" w:hAnsi="Times New Roman" w:cs="Times New Roman"/>
                <w:color w:val="000000" w:themeColor="text1"/>
                <w:spacing w:val="-2"/>
                <w:sz w:val="24"/>
                <w:szCs w:val="24"/>
                <w:lang w:eastAsia="lv-LV"/>
              </w:rPr>
              <w:t xml:space="preserve">klientu </w:t>
            </w:r>
            <w:r w:rsidR="006F40F2" w:rsidRPr="00712CAF">
              <w:rPr>
                <w:rFonts w:ascii="Times New Roman" w:eastAsia="Times New Roman" w:hAnsi="Times New Roman" w:cs="Times New Roman"/>
                <w:color w:val="000000" w:themeColor="text1"/>
                <w:spacing w:val="-2"/>
                <w:sz w:val="24"/>
                <w:szCs w:val="24"/>
                <w:lang w:eastAsia="lv-LV"/>
              </w:rPr>
              <w:t>apkalpojošo kredītiestāžu tiešais devums 2017.gadā samazinājies līdz aptuveni 1% no kopējās pievienotās vērtības.</w:t>
            </w:r>
            <w:r w:rsidR="00BD2DC0" w:rsidRPr="00712CAF">
              <w:rPr>
                <w:rFonts w:ascii="Times New Roman" w:eastAsia="Times New Roman" w:hAnsi="Times New Roman" w:cs="Times New Roman"/>
                <w:color w:val="000000" w:themeColor="text1"/>
                <w:spacing w:val="-2"/>
                <w:sz w:val="24"/>
                <w:szCs w:val="24"/>
                <w:lang w:eastAsia="lv-LV"/>
              </w:rPr>
              <w:t xml:space="preserve"> Finanšu ministrija šā gada februāra sākumā atjaunoja savas makroekonomisko rādītāju prognozes, kas</w:t>
            </w:r>
            <w:r w:rsidR="003914AD" w:rsidRPr="00712CAF">
              <w:rPr>
                <w:rFonts w:ascii="Times New Roman" w:eastAsia="Times New Roman" w:hAnsi="Times New Roman" w:cs="Times New Roman"/>
                <w:color w:val="000000" w:themeColor="text1"/>
                <w:spacing w:val="-2"/>
                <w:sz w:val="24"/>
                <w:szCs w:val="24"/>
                <w:lang w:eastAsia="lv-LV"/>
              </w:rPr>
              <w:t xml:space="preserve"> paredz, ka ekonomikas izaugsme</w:t>
            </w:r>
            <w:r w:rsidR="00BD2DC0" w:rsidRPr="00712CAF">
              <w:rPr>
                <w:rFonts w:ascii="Times New Roman" w:eastAsia="Times New Roman" w:hAnsi="Times New Roman" w:cs="Times New Roman"/>
                <w:color w:val="000000" w:themeColor="text1"/>
                <w:spacing w:val="-2"/>
                <w:sz w:val="24"/>
                <w:szCs w:val="24"/>
                <w:lang w:eastAsia="lv-LV"/>
              </w:rPr>
              <w:t xml:space="preserve"> 2018.gadā būs 4,0%, bet 2019.gadā 3,4% apmērā. Šīs makroekonomiskās prognozes tika balstītas uz konservatīviem pieņēmumiem, izvērtējot riskus un jau sākotnēji pieļaujot, ka ekonomikas izaugsme reāli var izrādīties nedaudz zemāka, nekā norādīja tobrīd pieejamie makroekonomiskie dati un apsteidzošie indikatori.</w:t>
            </w:r>
            <w:r w:rsidR="007F41F5" w:rsidRPr="00712CAF">
              <w:rPr>
                <w:rFonts w:ascii="Times New Roman" w:eastAsia="Times New Roman" w:hAnsi="Times New Roman" w:cs="Times New Roman"/>
                <w:color w:val="000000" w:themeColor="text1"/>
                <w:spacing w:val="-2"/>
                <w:sz w:val="24"/>
                <w:szCs w:val="24"/>
                <w:lang w:eastAsia="lv-LV"/>
              </w:rPr>
              <w:t xml:space="preserve"> Ņemot vērā iepriekš minēto </w:t>
            </w:r>
            <w:r w:rsidR="00117924" w:rsidRPr="00712CAF">
              <w:rPr>
                <w:rFonts w:ascii="Times New Roman" w:eastAsia="Times New Roman" w:hAnsi="Times New Roman" w:cs="Times New Roman"/>
                <w:color w:val="000000" w:themeColor="text1"/>
                <w:spacing w:val="-2"/>
                <w:sz w:val="24"/>
                <w:szCs w:val="24"/>
                <w:lang w:eastAsia="lv-LV"/>
              </w:rPr>
              <w:t>ir secināms, ka ārvalstu (nerezidentu) biznesa apjoma samazināšanās Latvijā nav būtiskas ietekmes uz Latvijas ekonomikas kopējo attīstību.</w:t>
            </w:r>
          </w:p>
          <w:p w14:paraId="1178DDD9" w14:textId="77777777" w:rsidR="009840E3" w:rsidRPr="00712CAF" w:rsidRDefault="009840E3"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Atbilstoši NILLTFNL 1. panta 15.</w:t>
            </w:r>
            <w:r w:rsidRPr="00712CAF">
              <w:rPr>
                <w:rFonts w:ascii="Times New Roman" w:eastAsia="Times New Roman" w:hAnsi="Times New Roman" w:cs="Times New Roman"/>
                <w:color w:val="000000" w:themeColor="text1"/>
                <w:spacing w:val="-2"/>
                <w:sz w:val="24"/>
                <w:szCs w:val="24"/>
                <w:vertAlign w:val="superscript"/>
                <w:lang w:eastAsia="lv-LV"/>
              </w:rPr>
              <w:t>1</w:t>
            </w:r>
            <w:r w:rsidRPr="00712CAF">
              <w:rPr>
                <w:rFonts w:ascii="Times New Roman" w:eastAsia="Times New Roman" w:hAnsi="Times New Roman" w:cs="Times New Roman"/>
                <w:color w:val="000000" w:themeColor="text1"/>
                <w:spacing w:val="-2"/>
                <w:sz w:val="24"/>
                <w:szCs w:val="24"/>
                <w:lang w:eastAsia="lv-LV"/>
              </w:rPr>
              <w:t xml:space="preserve"> punktam juridiskā persona ir uzskatāma par čaulas veidojumu, ja tai piemīt vismaz viena </w:t>
            </w:r>
            <w:r w:rsidR="00F436E3" w:rsidRPr="00712CAF">
              <w:rPr>
                <w:rFonts w:ascii="Times New Roman" w:eastAsia="Times New Roman" w:hAnsi="Times New Roman" w:cs="Times New Roman"/>
                <w:color w:val="000000" w:themeColor="text1"/>
                <w:spacing w:val="-2"/>
                <w:sz w:val="24"/>
                <w:szCs w:val="24"/>
                <w:lang w:eastAsia="lv-LV"/>
              </w:rPr>
              <w:t xml:space="preserve">vai vairākas </w:t>
            </w:r>
            <w:r w:rsidRPr="00712CAF">
              <w:rPr>
                <w:rFonts w:ascii="Times New Roman" w:eastAsia="Times New Roman" w:hAnsi="Times New Roman" w:cs="Times New Roman"/>
                <w:color w:val="000000" w:themeColor="text1"/>
                <w:spacing w:val="-2"/>
                <w:sz w:val="24"/>
                <w:szCs w:val="24"/>
                <w:lang w:eastAsia="lv-LV"/>
              </w:rPr>
              <w:t>no šādām pazīmēm:</w:t>
            </w:r>
          </w:p>
          <w:p w14:paraId="64E38128" w14:textId="77777777" w:rsidR="009840E3" w:rsidRPr="00712CAF" w:rsidRDefault="009840E3" w:rsidP="00BE5A71">
            <w:pPr>
              <w:pStyle w:val="tv213"/>
              <w:spacing w:before="0" w:beforeAutospacing="0" w:after="0" w:afterAutospacing="0"/>
              <w:jc w:val="both"/>
              <w:rPr>
                <w:color w:val="000000" w:themeColor="text1"/>
                <w:spacing w:val="-2"/>
              </w:rPr>
            </w:pPr>
            <w:r w:rsidRPr="00712CAF">
              <w:rPr>
                <w:color w:val="000000" w:themeColor="text1"/>
                <w:spacing w:val="-2"/>
              </w:rPr>
              <w:t>a) nav juridiskās personas saistības ar faktisku saimniecisko darbību un juridiskās personas darbība veido mazu vai neveido nekādu ekonomisko vērtību un likuma subjekta rīcībā nav dokumentāras informācijas, kas pierāda pretējo,</w:t>
            </w:r>
          </w:p>
          <w:p w14:paraId="06DEC5A2" w14:textId="77777777" w:rsidR="009840E3" w:rsidRPr="00712CAF" w:rsidRDefault="009840E3" w:rsidP="00BE5A71">
            <w:pPr>
              <w:pStyle w:val="tv213"/>
              <w:spacing w:before="0" w:beforeAutospacing="0" w:after="0" w:afterAutospacing="0"/>
              <w:jc w:val="both"/>
              <w:rPr>
                <w:color w:val="000000" w:themeColor="text1"/>
                <w:spacing w:val="-2"/>
              </w:rPr>
            </w:pPr>
            <w:r w:rsidRPr="00712CAF">
              <w:rPr>
                <w:color w:val="000000" w:themeColor="text1"/>
                <w:spacing w:val="-2"/>
              </w:rPr>
              <w:t>b) valstī, kurā juridiskā persona reģistrēta, normatīvie akti neparedz pienākumu sagatavot un iesniegt attiecīgās valsts pārraudzības institūcijām finanšu pārskatus, tai skaitā gada finanšu pārskatus, par savu darbību,</w:t>
            </w:r>
          </w:p>
          <w:p w14:paraId="2B50931F" w14:textId="77777777" w:rsidR="009840E3" w:rsidRPr="00712CAF" w:rsidRDefault="009840E3" w:rsidP="00BE5A71">
            <w:pPr>
              <w:pStyle w:val="tv213"/>
              <w:spacing w:before="0" w:beforeAutospacing="0" w:after="0" w:afterAutospacing="0"/>
              <w:jc w:val="both"/>
              <w:rPr>
                <w:color w:val="000000" w:themeColor="text1"/>
                <w:spacing w:val="-2"/>
              </w:rPr>
            </w:pPr>
            <w:r w:rsidRPr="00712CAF">
              <w:rPr>
                <w:color w:val="000000" w:themeColor="text1"/>
                <w:spacing w:val="-2"/>
              </w:rPr>
              <w:t>c) valstī, kurā juridiskā persona reģistrēta, juridiskajai personai nav saimnieciskās darbības veikšanas vietas (telpas).</w:t>
            </w:r>
          </w:p>
          <w:p w14:paraId="4D28D9BD" w14:textId="0414FABA" w:rsidR="00EE03F1" w:rsidRPr="00DF235F" w:rsidRDefault="000540C5" w:rsidP="00BE5A71">
            <w:pPr>
              <w:pStyle w:val="tv213"/>
              <w:spacing w:before="0" w:beforeAutospacing="0" w:after="0" w:afterAutospacing="0"/>
              <w:jc w:val="both"/>
              <w:rPr>
                <w:color w:val="000000" w:themeColor="text1"/>
                <w:spacing w:val="-2"/>
              </w:rPr>
            </w:pPr>
            <w:r w:rsidRPr="00712CAF">
              <w:rPr>
                <w:color w:val="000000" w:themeColor="text1"/>
                <w:spacing w:val="-2"/>
              </w:rPr>
              <w:t>Pazīmes</w:t>
            </w:r>
            <w:r w:rsidR="009840E3" w:rsidRPr="00712CAF">
              <w:rPr>
                <w:color w:val="000000" w:themeColor="text1"/>
                <w:spacing w:val="-2"/>
              </w:rPr>
              <w:t>, kas minētas 1. panta 15.</w:t>
            </w:r>
            <w:r w:rsidR="009840E3" w:rsidRPr="00712CAF">
              <w:rPr>
                <w:color w:val="000000" w:themeColor="text1"/>
                <w:spacing w:val="-2"/>
                <w:vertAlign w:val="superscript"/>
              </w:rPr>
              <w:t>1</w:t>
            </w:r>
            <w:r w:rsidR="009840E3" w:rsidRPr="00712CAF">
              <w:rPr>
                <w:color w:val="000000" w:themeColor="text1"/>
                <w:spacing w:val="-2"/>
              </w:rPr>
              <w:t xml:space="preserve"> punkta a) un b) apakšpunktos ir uzskatāmas par būtiskākajām, kas raksturo </w:t>
            </w:r>
            <w:r w:rsidR="007F3415" w:rsidRPr="00712CAF">
              <w:rPr>
                <w:color w:val="000000" w:themeColor="text1"/>
                <w:spacing w:val="-2"/>
              </w:rPr>
              <w:t xml:space="preserve">ar </w:t>
            </w:r>
            <w:r w:rsidR="009840E3" w:rsidRPr="00712CAF">
              <w:rPr>
                <w:color w:val="000000" w:themeColor="text1"/>
                <w:spacing w:val="-2"/>
              </w:rPr>
              <w:t>čaulas veidojum</w:t>
            </w:r>
            <w:r w:rsidR="007F3415" w:rsidRPr="00712CAF">
              <w:rPr>
                <w:color w:val="000000" w:themeColor="text1"/>
                <w:spacing w:val="-2"/>
              </w:rPr>
              <w:t>iem saistītos</w:t>
            </w:r>
            <w:r w:rsidR="009840E3" w:rsidRPr="00712CAF">
              <w:rPr>
                <w:color w:val="000000" w:themeColor="text1"/>
                <w:spacing w:val="-2"/>
              </w:rPr>
              <w:t xml:space="preserve"> NILLTF riskus. Proti, ja juridiskai personai nav saistības ar faktisku saimniecisko darbību un tā nesagatavo un nesniedz</w:t>
            </w:r>
            <w:r w:rsidR="007F3415" w:rsidRPr="00712CAF">
              <w:rPr>
                <w:color w:val="000000" w:themeColor="text1"/>
                <w:spacing w:val="-2"/>
              </w:rPr>
              <w:t xml:space="preserve"> finanšu pārskatus, tas rada</w:t>
            </w:r>
            <w:r w:rsidR="009840E3" w:rsidRPr="00712CAF">
              <w:rPr>
                <w:color w:val="000000" w:themeColor="text1"/>
                <w:spacing w:val="-2"/>
              </w:rPr>
              <w:t xml:space="preserve"> iespēju veikt līdzekļu </w:t>
            </w:r>
            <w:proofErr w:type="spellStart"/>
            <w:r w:rsidR="009840E3" w:rsidRPr="00712CAF">
              <w:rPr>
                <w:color w:val="000000" w:themeColor="text1"/>
                <w:spacing w:val="-2"/>
              </w:rPr>
              <w:t>pārskaitījumus</w:t>
            </w:r>
            <w:proofErr w:type="spellEnd"/>
            <w:r w:rsidR="009840E3" w:rsidRPr="00712CAF">
              <w:rPr>
                <w:color w:val="000000" w:themeColor="text1"/>
                <w:spacing w:val="-2"/>
              </w:rPr>
              <w:t xml:space="preserve">, zem kuriem var </w:t>
            </w:r>
            <w:r w:rsidRPr="00712CAF">
              <w:rPr>
                <w:color w:val="000000" w:themeColor="text1"/>
                <w:spacing w:val="-2"/>
              </w:rPr>
              <w:t xml:space="preserve">slēpt NILLTF. Ņemot vērā minēto, </w:t>
            </w:r>
            <w:r w:rsidR="009840E3" w:rsidRPr="00712CAF">
              <w:rPr>
                <w:color w:val="000000" w:themeColor="text1"/>
                <w:spacing w:val="-2"/>
              </w:rPr>
              <w:t xml:space="preserve">likumprojekts paredz, ka aizliegums sadarboties ar čaulas veidojumiem attiecas uz gadījumiem, kad juridiskā persona uzskatāma par čaulas veidojumu atbilstoši </w:t>
            </w:r>
            <w:r w:rsidR="009840E3" w:rsidRPr="00712CAF">
              <w:rPr>
                <w:color w:val="000000" w:themeColor="text1"/>
                <w:spacing w:val="-2"/>
              </w:rPr>
              <w:lastRenderedPageBreak/>
              <w:t>NILLTFNL 1. panta 15.</w:t>
            </w:r>
            <w:r w:rsidR="009840E3" w:rsidRPr="00712CAF">
              <w:rPr>
                <w:color w:val="000000" w:themeColor="text1"/>
                <w:spacing w:val="-2"/>
                <w:vertAlign w:val="superscript"/>
              </w:rPr>
              <w:t>1</w:t>
            </w:r>
            <w:r w:rsidR="009840E3" w:rsidRPr="00712CAF">
              <w:rPr>
                <w:color w:val="000000" w:themeColor="text1"/>
                <w:spacing w:val="-2"/>
              </w:rPr>
              <w:t xml:space="preserve"> punkta </w:t>
            </w:r>
            <w:r w:rsidR="0050226E" w:rsidRPr="00712CAF">
              <w:rPr>
                <w:color w:val="000000" w:themeColor="text1"/>
                <w:spacing w:val="-2"/>
              </w:rPr>
              <w:t xml:space="preserve">vienlaikus </w:t>
            </w:r>
            <w:r w:rsidR="009840E3" w:rsidRPr="00712CAF">
              <w:rPr>
                <w:color w:val="000000" w:themeColor="text1"/>
                <w:spacing w:val="-2"/>
              </w:rPr>
              <w:t xml:space="preserve">a) apakšpunktā un b) </w:t>
            </w:r>
            <w:r w:rsidR="009840E3" w:rsidRPr="00DF235F">
              <w:rPr>
                <w:color w:val="000000" w:themeColor="text1"/>
                <w:spacing w:val="-2"/>
              </w:rPr>
              <w:t xml:space="preserve">apakšpunktā noteiktajām pazīmēm. </w:t>
            </w:r>
          </w:p>
          <w:p w14:paraId="7DE5F7F7" w14:textId="77777777" w:rsidR="00917A63" w:rsidRPr="00DF235F" w:rsidRDefault="00852744" w:rsidP="00917A63">
            <w:pPr>
              <w:pStyle w:val="tv213"/>
              <w:spacing w:before="0" w:beforeAutospacing="0" w:after="0" w:afterAutospacing="0"/>
              <w:jc w:val="both"/>
              <w:rPr>
                <w:color w:val="000000" w:themeColor="text1"/>
                <w:spacing w:val="-2"/>
              </w:rPr>
            </w:pPr>
            <w:r w:rsidRPr="00DF235F">
              <w:rPr>
                <w:color w:val="000000" w:themeColor="text1"/>
                <w:spacing w:val="-2"/>
              </w:rPr>
              <w:t>2017. gada oktobrī Latvijas Komercbanku asociācijas padome apstiprināja pašregulācijas dokumentus – </w:t>
            </w:r>
            <w:r w:rsidRPr="00DF235F">
              <w:rPr>
                <w:color w:val="000000" w:themeColor="text1"/>
                <w:spacing w:val="-2"/>
              </w:rPr>
              <w:fldChar w:fldCharType="begin"/>
            </w:r>
            <w:r w:rsidRPr="00DF235F">
              <w:rPr>
                <w:color w:val="000000" w:themeColor="text1"/>
                <w:spacing w:val="-2"/>
              </w:rPr>
              <w:instrText xml:space="preserve"> HYPERLINK "https://www.lka.org.lv/wp-content/uploads/2017/12/LKA_politika_LV-2.pdf" </w:instrText>
            </w:r>
            <w:r w:rsidRPr="00DF235F">
              <w:rPr>
                <w:color w:val="000000" w:themeColor="text1"/>
                <w:spacing w:val="-2"/>
              </w:rPr>
              <w:fldChar w:fldCharType="separate"/>
            </w:r>
            <w:r w:rsidRPr="00DF235F">
              <w:rPr>
                <w:color w:val="000000" w:themeColor="text1"/>
                <w:spacing w:val="-2"/>
              </w:rPr>
              <w:t>Noziedzīgi iegūtu līdzekļu legalizācijas un terorisma finansēšanas novēršanas un sankciju ievērošanas politiku un vadlīnijas, kur sadaļā – sadarbība ar specifiskiem klientu segmentiem</w:t>
            </w:r>
            <w:r w:rsidR="00917A63" w:rsidRPr="00DF235F">
              <w:rPr>
                <w:color w:val="000000" w:themeColor="text1"/>
                <w:spacing w:val="-2"/>
              </w:rPr>
              <w:t xml:space="preserve"> 32.punktā ir iekļauts sekojošais:</w:t>
            </w:r>
          </w:p>
          <w:p w14:paraId="22CD3D58" w14:textId="4C853294" w:rsidR="00917A63" w:rsidRPr="00DF235F" w:rsidRDefault="00917A63" w:rsidP="00917A63">
            <w:pPr>
              <w:autoSpaceDE w:val="0"/>
              <w:autoSpaceDN w:val="0"/>
              <w:adjustRightInd w:val="0"/>
              <w:spacing w:after="0" w:line="240" w:lineRule="auto"/>
              <w:jc w:val="both"/>
              <w:rPr>
                <w:rFonts w:ascii="Times New Roman" w:eastAsia="Times New Roman" w:hAnsi="Times New Roman" w:cs="Times New Roman"/>
                <w:color w:val="000000" w:themeColor="text1"/>
                <w:spacing w:val="-2"/>
                <w:sz w:val="24"/>
                <w:szCs w:val="24"/>
                <w:lang w:eastAsia="lv-LV"/>
              </w:rPr>
            </w:pPr>
            <w:r w:rsidRPr="00DF235F">
              <w:rPr>
                <w:rFonts w:ascii="Times New Roman" w:eastAsia="Times New Roman" w:hAnsi="Times New Roman" w:cs="Times New Roman"/>
                <w:color w:val="000000" w:themeColor="text1"/>
                <w:spacing w:val="-2"/>
                <w:sz w:val="24"/>
                <w:szCs w:val="24"/>
                <w:lang w:eastAsia="lv-LV"/>
              </w:rPr>
              <w:t>“32. Bankas apzinās, ka uzņēmumi, kam nav saistības ar reālu saimniecisko darbību</w:t>
            </w:r>
            <w:r w:rsidR="00357907" w:rsidRPr="00DF235F">
              <w:rPr>
                <w:rFonts w:ascii="Times New Roman" w:eastAsia="Times New Roman" w:hAnsi="Times New Roman" w:cs="Times New Roman"/>
                <w:color w:val="000000" w:themeColor="text1"/>
                <w:spacing w:val="-2"/>
                <w:sz w:val="24"/>
                <w:szCs w:val="24"/>
                <w:lang w:eastAsia="lv-LV"/>
              </w:rPr>
              <w:t xml:space="preserve"> vai </w:t>
            </w:r>
            <w:r w:rsidRPr="00DF235F">
              <w:rPr>
                <w:rFonts w:ascii="Times New Roman" w:eastAsia="Times New Roman" w:hAnsi="Times New Roman" w:cs="Times New Roman"/>
                <w:color w:val="000000" w:themeColor="text1"/>
                <w:spacing w:val="-2"/>
                <w:sz w:val="24"/>
                <w:szCs w:val="24"/>
                <w:lang w:eastAsia="lv-LV"/>
              </w:rPr>
              <w:t>kas neveido saimnieciskas darbības veidam atbilstošu ekonomisko vērtību, pakļauj Latvijas banku sektoru augstam riskam, un tāpēc Bankas nesadarbojas ar šādiem klientiem – čaulas veidojumiem (</w:t>
            </w:r>
            <w:proofErr w:type="spellStart"/>
            <w:r w:rsidRPr="00DF235F">
              <w:rPr>
                <w:rFonts w:ascii="Times New Roman" w:eastAsia="Times New Roman" w:hAnsi="Times New Roman" w:cs="Times New Roman"/>
                <w:color w:val="000000" w:themeColor="text1"/>
                <w:spacing w:val="-2"/>
                <w:sz w:val="24"/>
                <w:szCs w:val="24"/>
                <w:lang w:eastAsia="lv-LV"/>
              </w:rPr>
              <w:t>shell</w:t>
            </w:r>
            <w:proofErr w:type="spellEnd"/>
            <w:r w:rsidRPr="00DF235F">
              <w:rPr>
                <w:rFonts w:ascii="Times New Roman" w:eastAsia="Times New Roman" w:hAnsi="Times New Roman" w:cs="Times New Roman"/>
                <w:color w:val="000000" w:themeColor="text1"/>
                <w:spacing w:val="-2"/>
                <w:sz w:val="24"/>
                <w:szCs w:val="24"/>
                <w:lang w:eastAsia="lv-LV"/>
              </w:rPr>
              <w:t xml:space="preserve"> </w:t>
            </w:r>
            <w:proofErr w:type="spellStart"/>
            <w:r w:rsidRPr="00DF235F">
              <w:rPr>
                <w:rFonts w:ascii="Times New Roman" w:eastAsia="Times New Roman" w:hAnsi="Times New Roman" w:cs="Times New Roman"/>
                <w:color w:val="000000" w:themeColor="text1"/>
                <w:spacing w:val="-2"/>
                <w:sz w:val="24"/>
                <w:szCs w:val="24"/>
                <w:lang w:eastAsia="lv-LV"/>
              </w:rPr>
              <w:t>companies</w:t>
            </w:r>
            <w:proofErr w:type="spellEnd"/>
            <w:r w:rsidRPr="00DF235F">
              <w:rPr>
                <w:rFonts w:ascii="Times New Roman" w:eastAsia="Times New Roman" w:hAnsi="Times New Roman" w:cs="Times New Roman"/>
                <w:color w:val="000000" w:themeColor="text1"/>
                <w:spacing w:val="-2"/>
                <w:sz w:val="24"/>
                <w:szCs w:val="24"/>
                <w:lang w:eastAsia="lv-LV"/>
              </w:rPr>
              <w:t>). Reālu saimniecisko darbību raksturo tiesiski un ekonomiski pamatoti darījumi, kuri atbilst šādām pazīmēm:</w:t>
            </w:r>
          </w:p>
          <w:p w14:paraId="003AD5F1" w14:textId="21BB2E9B" w:rsidR="00917A63" w:rsidRPr="00DF235F" w:rsidRDefault="00917A63" w:rsidP="00917A63">
            <w:pPr>
              <w:autoSpaceDE w:val="0"/>
              <w:autoSpaceDN w:val="0"/>
              <w:adjustRightInd w:val="0"/>
              <w:spacing w:after="0" w:line="240" w:lineRule="auto"/>
              <w:jc w:val="both"/>
              <w:rPr>
                <w:rFonts w:ascii="Times New Roman" w:eastAsia="Times New Roman" w:hAnsi="Times New Roman" w:cs="Times New Roman"/>
                <w:color w:val="000000" w:themeColor="text1"/>
                <w:spacing w:val="-2"/>
                <w:sz w:val="24"/>
                <w:szCs w:val="24"/>
                <w:lang w:eastAsia="lv-LV"/>
              </w:rPr>
            </w:pPr>
            <w:r w:rsidRPr="00DF235F">
              <w:rPr>
                <w:rFonts w:ascii="Times New Roman" w:eastAsia="Times New Roman" w:hAnsi="Times New Roman" w:cs="Times New Roman"/>
                <w:color w:val="000000" w:themeColor="text1"/>
                <w:spacing w:val="-2"/>
                <w:sz w:val="24"/>
                <w:szCs w:val="24"/>
                <w:lang w:eastAsia="lv-LV"/>
              </w:rPr>
              <w:t>32.1. klientam ir darījumu partneri, par kuriem ir dokumentēta vai publiski pieejama informācija, kas skaidri raksturo to darbības mērķi, piemēram, preču darījums ir ar zināmu preču ražotāju vai izplatītāju;</w:t>
            </w:r>
          </w:p>
          <w:p w14:paraId="4084A7C6" w14:textId="2A5789A5" w:rsidR="00917A63" w:rsidRPr="00DF235F" w:rsidRDefault="00917A63" w:rsidP="00917A63">
            <w:pPr>
              <w:autoSpaceDE w:val="0"/>
              <w:autoSpaceDN w:val="0"/>
              <w:adjustRightInd w:val="0"/>
              <w:spacing w:after="0" w:line="240" w:lineRule="auto"/>
              <w:jc w:val="both"/>
              <w:rPr>
                <w:rFonts w:ascii="Times New Roman" w:eastAsia="Times New Roman" w:hAnsi="Times New Roman" w:cs="Times New Roman"/>
                <w:color w:val="000000" w:themeColor="text1"/>
                <w:spacing w:val="-2"/>
                <w:sz w:val="24"/>
                <w:szCs w:val="24"/>
                <w:lang w:eastAsia="lv-LV"/>
              </w:rPr>
            </w:pPr>
            <w:r w:rsidRPr="00DF235F">
              <w:rPr>
                <w:rFonts w:ascii="Times New Roman" w:eastAsia="Times New Roman" w:hAnsi="Times New Roman" w:cs="Times New Roman"/>
                <w:color w:val="000000" w:themeColor="text1"/>
                <w:spacing w:val="-2"/>
                <w:sz w:val="24"/>
                <w:szCs w:val="24"/>
                <w:lang w:eastAsia="lv-LV"/>
              </w:rPr>
              <w:t>32.2. darījumu attaisnojošie dokumenti nerada aizdomas, ka darījums ir fiktīvs, tajā skaitā, piemēram:</w:t>
            </w:r>
          </w:p>
          <w:p w14:paraId="3C25206F" w14:textId="07F3E489" w:rsidR="00917A63" w:rsidRPr="00DF235F" w:rsidRDefault="00917A63" w:rsidP="00917A63">
            <w:pPr>
              <w:autoSpaceDE w:val="0"/>
              <w:autoSpaceDN w:val="0"/>
              <w:adjustRightInd w:val="0"/>
              <w:spacing w:after="0" w:line="240" w:lineRule="auto"/>
              <w:jc w:val="both"/>
              <w:rPr>
                <w:rFonts w:ascii="Times New Roman" w:eastAsia="Times New Roman" w:hAnsi="Times New Roman" w:cs="Times New Roman"/>
                <w:color w:val="000000" w:themeColor="text1"/>
                <w:spacing w:val="-2"/>
                <w:sz w:val="24"/>
                <w:szCs w:val="24"/>
                <w:lang w:eastAsia="lv-LV"/>
              </w:rPr>
            </w:pPr>
            <w:r w:rsidRPr="00DF235F">
              <w:rPr>
                <w:rFonts w:ascii="Times New Roman" w:eastAsia="Times New Roman" w:hAnsi="Times New Roman" w:cs="Times New Roman"/>
                <w:color w:val="000000" w:themeColor="text1"/>
                <w:spacing w:val="-2"/>
                <w:sz w:val="24"/>
                <w:szCs w:val="24"/>
                <w:lang w:eastAsia="lv-LV"/>
              </w:rPr>
              <w:t>32.2.1. preču darījumos – pārvadājumu, uzglabāšanas, izcelsmes vai</w:t>
            </w:r>
          </w:p>
          <w:p w14:paraId="580E1C62" w14:textId="3A150CD9" w:rsidR="00917A63" w:rsidRPr="00DF235F" w:rsidRDefault="00917A63" w:rsidP="00917A63">
            <w:pPr>
              <w:autoSpaceDE w:val="0"/>
              <w:autoSpaceDN w:val="0"/>
              <w:adjustRightInd w:val="0"/>
              <w:spacing w:after="0" w:line="240" w:lineRule="auto"/>
              <w:jc w:val="both"/>
              <w:rPr>
                <w:rFonts w:ascii="Times New Roman" w:eastAsia="Times New Roman" w:hAnsi="Times New Roman" w:cs="Times New Roman"/>
                <w:color w:val="000000" w:themeColor="text1"/>
                <w:spacing w:val="-2"/>
                <w:sz w:val="24"/>
                <w:szCs w:val="24"/>
                <w:lang w:eastAsia="lv-LV"/>
              </w:rPr>
            </w:pPr>
            <w:r w:rsidRPr="00DF235F">
              <w:rPr>
                <w:rFonts w:ascii="Times New Roman" w:eastAsia="Times New Roman" w:hAnsi="Times New Roman" w:cs="Times New Roman"/>
                <w:color w:val="000000" w:themeColor="text1"/>
                <w:spacing w:val="-2"/>
                <w:sz w:val="24"/>
                <w:szCs w:val="24"/>
                <w:lang w:eastAsia="lv-LV"/>
              </w:rPr>
              <w:t>kvalitātes pārbaudes dokumentos noradīti darījumu partneri, par kuriem ir publiski pieejama informācija;</w:t>
            </w:r>
          </w:p>
          <w:p w14:paraId="67A408C8" w14:textId="25E190AE" w:rsidR="00852744" w:rsidRPr="00917A63" w:rsidRDefault="00917A63" w:rsidP="00917A63">
            <w:pPr>
              <w:autoSpaceDE w:val="0"/>
              <w:autoSpaceDN w:val="0"/>
              <w:adjustRightInd w:val="0"/>
              <w:spacing w:after="0" w:line="240" w:lineRule="auto"/>
              <w:jc w:val="both"/>
              <w:rPr>
                <w:rFonts w:ascii="Times New Roman" w:eastAsia="Times New Roman" w:hAnsi="Times New Roman" w:cs="Times New Roman"/>
                <w:color w:val="000000" w:themeColor="text1"/>
                <w:spacing w:val="-2"/>
                <w:sz w:val="24"/>
                <w:szCs w:val="24"/>
                <w:lang w:eastAsia="lv-LV"/>
              </w:rPr>
            </w:pPr>
            <w:r w:rsidRPr="00DF235F">
              <w:rPr>
                <w:rFonts w:ascii="Times New Roman" w:eastAsia="Times New Roman" w:hAnsi="Times New Roman" w:cs="Times New Roman"/>
                <w:color w:val="000000" w:themeColor="text1"/>
                <w:spacing w:val="-2"/>
                <w:sz w:val="24"/>
                <w:szCs w:val="24"/>
                <w:lang w:eastAsia="lv-LV"/>
              </w:rPr>
              <w:t xml:space="preserve">32.2.2. par klienta aktīviem ir īpašuma tiesības apliecinošie dokumenti </w:t>
            </w:r>
            <w:r w:rsidRPr="00DF235F">
              <w:rPr>
                <w:rFonts w:ascii="Times New Roman" w:hAnsi="Times New Roman" w:cs="Times New Roman"/>
                <w:color w:val="000000" w:themeColor="text1"/>
                <w:spacing w:val="-2"/>
                <w:sz w:val="24"/>
                <w:szCs w:val="24"/>
              </w:rPr>
              <w:t>vai izraksti no reģistriem, kam ir publiska ticamība</w:t>
            </w:r>
            <w:r w:rsidRPr="00DF235F">
              <w:rPr>
                <w:color w:val="000000" w:themeColor="text1"/>
                <w:spacing w:val="-2"/>
              </w:rPr>
              <w:t>”</w:t>
            </w:r>
            <w:r w:rsidR="00852744" w:rsidRPr="00DF235F">
              <w:rPr>
                <w:rFonts w:ascii="Times New Roman" w:hAnsi="Times New Roman" w:cs="Times New Roman"/>
                <w:color w:val="000000" w:themeColor="text1"/>
                <w:spacing w:val="-2"/>
                <w:sz w:val="24"/>
                <w:szCs w:val="24"/>
              </w:rPr>
              <w:t>.</w:t>
            </w:r>
            <w:r w:rsidR="00852744" w:rsidRPr="00DF235F">
              <w:rPr>
                <w:color w:val="000000" w:themeColor="text1"/>
                <w:spacing w:val="-2"/>
              </w:rPr>
              <w:fldChar w:fldCharType="end"/>
            </w:r>
          </w:p>
          <w:p w14:paraId="3335FA75" w14:textId="4139F620" w:rsidR="0013691B" w:rsidRPr="00712CAF" w:rsidRDefault="00EE03F1" w:rsidP="00357907">
            <w:pPr>
              <w:pStyle w:val="tv213"/>
              <w:spacing w:before="0" w:beforeAutospacing="0" w:after="0" w:afterAutospacing="0"/>
              <w:jc w:val="both"/>
              <w:rPr>
                <w:color w:val="000000" w:themeColor="text1"/>
                <w:spacing w:val="-2"/>
              </w:rPr>
            </w:pPr>
            <w:r w:rsidRPr="00712CAF">
              <w:rPr>
                <w:color w:val="000000" w:themeColor="text1"/>
                <w:spacing w:val="-2"/>
              </w:rPr>
              <w:t xml:space="preserve">Likumprojektā ietvertais aizliegums neattieksies uz </w:t>
            </w:r>
            <w:r w:rsidR="00037400" w:rsidRPr="00712CAF">
              <w:rPr>
                <w:color w:val="000000" w:themeColor="text1"/>
                <w:spacing w:val="-2"/>
              </w:rPr>
              <w:t xml:space="preserve">iestāžu klientiem </w:t>
            </w:r>
            <w:r w:rsidRPr="00712CAF">
              <w:rPr>
                <w:color w:val="000000" w:themeColor="text1"/>
                <w:spacing w:val="-2"/>
              </w:rPr>
              <w:t>Latvijas Republikā reģistrētām juridiskām personām</w:t>
            </w:r>
            <w:r w:rsidR="00094113" w:rsidRPr="00712CAF">
              <w:rPr>
                <w:color w:val="000000" w:themeColor="text1"/>
                <w:spacing w:val="-2"/>
              </w:rPr>
              <w:t>, jo Latvijas Republikas normatīvais regulējums paredz pienākumu sagatavot un iesniegt attiecīgām valsts pārraudzības institūcijām finanšu pārskatus, tai skaitā gada finanšu pārskatus par savu darbību, kas attiecīgi neatbildīs atbilstoši NILLTFNL 1. panta 15.</w:t>
            </w:r>
            <w:r w:rsidR="00094113" w:rsidRPr="00712CAF">
              <w:rPr>
                <w:color w:val="000000" w:themeColor="text1"/>
                <w:spacing w:val="-2"/>
                <w:vertAlign w:val="superscript"/>
              </w:rPr>
              <w:t>1</w:t>
            </w:r>
            <w:r w:rsidR="00094113" w:rsidRPr="00712CAF">
              <w:rPr>
                <w:color w:val="000000" w:themeColor="text1"/>
                <w:spacing w:val="-2"/>
              </w:rPr>
              <w:t xml:space="preserve"> punkta b) apakšpunktā noteiktajai pazīmei un līdz ar to</w:t>
            </w:r>
            <w:r w:rsidR="002B4BCD" w:rsidRPr="00712CAF">
              <w:rPr>
                <w:color w:val="000000" w:themeColor="text1"/>
                <w:spacing w:val="-2"/>
              </w:rPr>
              <w:t>,</w:t>
            </w:r>
            <w:r w:rsidR="00094113" w:rsidRPr="00712CAF">
              <w:rPr>
                <w:color w:val="000000" w:themeColor="text1"/>
                <w:spacing w:val="-2"/>
              </w:rPr>
              <w:t xml:space="preserve"> neizpildoties vienai no minētajām pazīmēm</w:t>
            </w:r>
            <w:r w:rsidR="002B4BCD" w:rsidRPr="00712CAF">
              <w:rPr>
                <w:color w:val="000000" w:themeColor="text1"/>
                <w:spacing w:val="-2"/>
              </w:rPr>
              <w:t>,</w:t>
            </w:r>
            <w:r w:rsidR="00094113" w:rsidRPr="00712CAF">
              <w:rPr>
                <w:color w:val="000000" w:themeColor="text1"/>
                <w:spacing w:val="-2"/>
              </w:rPr>
              <w:t xml:space="preserve"> aizliegums nav piemērojams.</w:t>
            </w:r>
          </w:p>
          <w:p w14:paraId="38D62954" w14:textId="77777777" w:rsidR="006D4218" w:rsidRPr="00712CAF" w:rsidRDefault="006D4218" w:rsidP="00BE5A71">
            <w:pPr>
              <w:pStyle w:val="tv213"/>
              <w:spacing w:before="0" w:beforeAutospacing="0" w:after="0" w:afterAutospacing="0"/>
              <w:jc w:val="both"/>
              <w:rPr>
                <w:color w:val="000000" w:themeColor="text1"/>
                <w:spacing w:val="-2"/>
              </w:rPr>
            </w:pPr>
            <w:r w:rsidRPr="00712CAF">
              <w:rPr>
                <w:color w:val="000000" w:themeColor="text1"/>
                <w:spacing w:val="-2"/>
              </w:rPr>
              <w:t>Saskaņā ar NILLTFN starptautiskajiem standartiem (Finanšu darījuma darba grupas rekomendācijām (</w:t>
            </w:r>
            <w:proofErr w:type="spellStart"/>
            <w:r w:rsidRPr="00712CAF">
              <w:rPr>
                <w:color w:val="000000" w:themeColor="text1"/>
                <w:spacing w:val="-2"/>
              </w:rPr>
              <w:t>International</w:t>
            </w:r>
            <w:proofErr w:type="spellEnd"/>
            <w:r w:rsidRPr="00712CAF">
              <w:rPr>
                <w:color w:val="000000" w:themeColor="text1"/>
                <w:spacing w:val="-2"/>
              </w:rPr>
              <w:t xml:space="preserve"> Standarts </w:t>
            </w:r>
            <w:proofErr w:type="spellStart"/>
            <w:r w:rsidRPr="00712CAF">
              <w:rPr>
                <w:color w:val="000000" w:themeColor="text1"/>
                <w:spacing w:val="-2"/>
              </w:rPr>
              <w:t>on</w:t>
            </w:r>
            <w:proofErr w:type="spellEnd"/>
            <w:r w:rsidRPr="00712CAF">
              <w:rPr>
                <w:color w:val="000000" w:themeColor="text1"/>
                <w:spacing w:val="-2"/>
              </w:rPr>
              <w:t xml:space="preserve"> </w:t>
            </w:r>
            <w:proofErr w:type="spellStart"/>
            <w:r w:rsidRPr="00712CAF">
              <w:rPr>
                <w:color w:val="000000" w:themeColor="text1"/>
                <w:spacing w:val="-2"/>
              </w:rPr>
              <w:t>Combating</w:t>
            </w:r>
            <w:proofErr w:type="spellEnd"/>
            <w:r w:rsidRPr="00712CAF">
              <w:rPr>
                <w:color w:val="000000" w:themeColor="text1"/>
                <w:spacing w:val="-2"/>
              </w:rPr>
              <w:t xml:space="preserve"> Money </w:t>
            </w:r>
            <w:proofErr w:type="spellStart"/>
            <w:r w:rsidRPr="00712CAF">
              <w:rPr>
                <w:color w:val="000000" w:themeColor="text1"/>
                <w:spacing w:val="-2"/>
              </w:rPr>
              <w:t>Laundering</w:t>
            </w:r>
            <w:proofErr w:type="spellEnd"/>
            <w:r w:rsidRPr="00712CAF">
              <w:rPr>
                <w:color w:val="000000" w:themeColor="text1"/>
                <w:spacing w:val="-2"/>
              </w:rPr>
              <w:t xml:space="preserve"> </w:t>
            </w:r>
            <w:proofErr w:type="spellStart"/>
            <w:r w:rsidRPr="00712CAF">
              <w:rPr>
                <w:color w:val="000000" w:themeColor="text1"/>
                <w:spacing w:val="-2"/>
              </w:rPr>
              <w:t>ant</w:t>
            </w:r>
            <w:proofErr w:type="spellEnd"/>
            <w:r w:rsidRPr="00712CAF">
              <w:rPr>
                <w:color w:val="000000" w:themeColor="text1"/>
                <w:spacing w:val="-2"/>
              </w:rPr>
              <w:t xml:space="preserve"> </w:t>
            </w:r>
            <w:proofErr w:type="spellStart"/>
            <w:r w:rsidRPr="00712CAF">
              <w:rPr>
                <w:color w:val="000000" w:themeColor="text1"/>
                <w:spacing w:val="-2"/>
              </w:rPr>
              <w:t>the</w:t>
            </w:r>
            <w:proofErr w:type="spellEnd"/>
            <w:r w:rsidRPr="00712CAF">
              <w:rPr>
                <w:color w:val="000000" w:themeColor="text1"/>
                <w:spacing w:val="-2"/>
              </w:rPr>
              <w:t xml:space="preserve"> </w:t>
            </w:r>
            <w:proofErr w:type="spellStart"/>
            <w:r w:rsidRPr="00712CAF">
              <w:rPr>
                <w:color w:val="000000" w:themeColor="text1"/>
                <w:spacing w:val="-2"/>
              </w:rPr>
              <w:t>Financing</w:t>
            </w:r>
            <w:proofErr w:type="spellEnd"/>
            <w:r w:rsidRPr="00712CAF">
              <w:rPr>
                <w:color w:val="000000" w:themeColor="text1"/>
                <w:spacing w:val="-2"/>
              </w:rPr>
              <w:t xml:space="preserve"> </w:t>
            </w:r>
            <w:proofErr w:type="spellStart"/>
            <w:r w:rsidRPr="00712CAF">
              <w:rPr>
                <w:color w:val="000000" w:themeColor="text1"/>
                <w:spacing w:val="-2"/>
              </w:rPr>
              <w:t>of</w:t>
            </w:r>
            <w:proofErr w:type="spellEnd"/>
            <w:r w:rsidRPr="00712CAF">
              <w:rPr>
                <w:color w:val="000000" w:themeColor="text1"/>
                <w:spacing w:val="-2"/>
              </w:rPr>
              <w:t xml:space="preserve"> </w:t>
            </w:r>
            <w:proofErr w:type="spellStart"/>
            <w:r w:rsidRPr="00712CAF">
              <w:rPr>
                <w:color w:val="000000" w:themeColor="text1"/>
                <w:spacing w:val="-2"/>
              </w:rPr>
              <w:t>Terrorism</w:t>
            </w:r>
            <w:proofErr w:type="spellEnd"/>
            <w:r w:rsidRPr="00712CAF">
              <w:rPr>
                <w:color w:val="000000" w:themeColor="text1"/>
                <w:spacing w:val="-2"/>
              </w:rPr>
              <w:t xml:space="preserve"> &amp;</w:t>
            </w:r>
            <w:proofErr w:type="spellStart"/>
            <w:r w:rsidRPr="00712CAF">
              <w:rPr>
                <w:color w:val="000000" w:themeColor="text1"/>
                <w:spacing w:val="-2"/>
              </w:rPr>
              <w:t>Proliferation</w:t>
            </w:r>
            <w:proofErr w:type="spellEnd"/>
            <w:r w:rsidRPr="00712CAF">
              <w:rPr>
                <w:color w:val="000000" w:themeColor="text1"/>
                <w:spacing w:val="-2"/>
              </w:rPr>
              <w:t xml:space="preserve">)), valstij ir jāapzinās un jāizprot savi nacionālie NILLTF riski un, balstoties uz šo novērtējumu, jāpiemēro uz risku balstīta pieeja, lai nodrošinātu, ka darbības, kas vērstas uz NILLTF risku novēršanu vai samazināšanu, ir </w:t>
            </w:r>
            <w:proofErr w:type="spellStart"/>
            <w:r w:rsidRPr="00712CAF">
              <w:rPr>
                <w:color w:val="000000" w:themeColor="text1"/>
                <w:spacing w:val="-2"/>
              </w:rPr>
              <w:t>samērjoamas</w:t>
            </w:r>
            <w:proofErr w:type="spellEnd"/>
            <w:r w:rsidRPr="00712CAF">
              <w:rPr>
                <w:color w:val="000000" w:themeColor="text1"/>
                <w:spacing w:val="-2"/>
              </w:rPr>
              <w:t xml:space="preserve"> ar identificēto risku nozīmīgumu.</w:t>
            </w:r>
          </w:p>
          <w:p w14:paraId="0AFC58A8" w14:textId="77777777" w:rsidR="006D4218" w:rsidRPr="00712CAF" w:rsidRDefault="006D4218" w:rsidP="00BE5A71">
            <w:pPr>
              <w:pStyle w:val="tv213"/>
              <w:spacing w:before="0" w:beforeAutospacing="0" w:after="0" w:afterAutospacing="0"/>
              <w:jc w:val="both"/>
              <w:rPr>
                <w:color w:val="000000" w:themeColor="text1"/>
                <w:spacing w:val="-2"/>
              </w:rPr>
            </w:pPr>
            <w:r w:rsidRPr="00712CAF">
              <w:rPr>
                <w:color w:val="000000" w:themeColor="text1"/>
                <w:spacing w:val="-2"/>
              </w:rPr>
              <w:t>NILLTF risku apzināšana, novērtēšana un izpratne ir pamats efektīvai identificēto risku samazināšanas sistēmas veidošanai un attīstībai, ko var panākt ar atbilstošu politisku lēmumu pieņemšanu un īstenošanu attiecīgajās jomās un vienlaikus arī privātajā sektorā ieviešot un īstenojot atbilstošas iekšējās kontroles procedūras</w:t>
            </w:r>
            <w:r w:rsidR="00710F3C" w:rsidRPr="00712CAF">
              <w:rPr>
                <w:color w:val="000000" w:themeColor="text1"/>
                <w:spacing w:val="-2"/>
              </w:rPr>
              <w:t>.</w:t>
            </w:r>
          </w:p>
          <w:p w14:paraId="0DE1D00B" w14:textId="77777777" w:rsidR="00710F3C" w:rsidRPr="00712CAF" w:rsidRDefault="00710F3C" w:rsidP="00BE5A71">
            <w:pPr>
              <w:pStyle w:val="tv213"/>
              <w:spacing w:before="0" w:beforeAutospacing="0" w:after="0" w:afterAutospacing="0"/>
              <w:jc w:val="both"/>
              <w:rPr>
                <w:color w:val="000000" w:themeColor="text1"/>
                <w:spacing w:val="-2"/>
              </w:rPr>
            </w:pPr>
            <w:r w:rsidRPr="00712CAF">
              <w:rPr>
                <w:color w:val="000000" w:themeColor="text1"/>
                <w:spacing w:val="-2"/>
              </w:rPr>
              <w:t>Iepriekš minētais novērtējums, pamatojoties uz identificētajiem riskiem, ļauj paaugstināt resursu efektivitāti identificēto risku mazināšanai un novēršanai, kā arī pilnveido iesaistīto institūciju un sabiedrības izpratni par NILLTF risku apdraudējumiem un negatīvajām sekām.</w:t>
            </w:r>
          </w:p>
          <w:p w14:paraId="2AF6F384" w14:textId="77777777" w:rsidR="009B7D75" w:rsidRPr="00712CAF" w:rsidRDefault="0013691B" w:rsidP="00BE5A71">
            <w:pPr>
              <w:pStyle w:val="tv213"/>
              <w:spacing w:before="0" w:beforeAutospacing="0" w:after="0" w:afterAutospacing="0"/>
              <w:jc w:val="both"/>
              <w:rPr>
                <w:color w:val="000000" w:themeColor="text1"/>
                <w:spacing w:val="-2"/>
              </w:rPr>
            </w:pPr>
            <w:r w:rsidRPr="00712CAF">
              <w:rPr>
                <w:color w:val="000000" w:themeColor="text1"/>
                <w:spacing w:val="-2"/>
              </w:rPr>
              <w:lastRenderedPageBreak/>
              <w:t>NILLTFNL 6.pants nosaka likuma subjektiem pienākumu veikt risku novērtējumu un izveidot iekšējās kontroles sistēmu, savukārt šī panta 1.</w:t>
            </w:r>
            <w:r w:rsidRPr="00712CAF">
              <w:rPr>
                <w:color w:val="000000" w:themeColor="text1"/>
                <w:spacing w:val="-2"/>
                <w:vertAlign w:val="superscript"/>
              </w:rPr>
              <w:t xml:space="preserve">1 </w:t>
            </w:r>
            <w:r w:rsidRPr="00712CAF">
              <w:rPr>
                <w:color w:val="000000" w:themeColor="text1"/>
                <w:spacing w:val="-2"/>
              </w:rPr>
              <w:t xml:space="preserve">daļas 2 punkts, nosaka to, ka </w:t>
            </w:r>
            <w:r w:rsidR="00094113" w:rsidRPr="00712CAF">
              <w:rPr>
                <w:color w:val="000000" w:themeColor="text1"/>
                <w:spacing w:val="-2"/>
              </w:rPr>
              <w:t xml:space="preserve"> </w:t>
            </w:r>
            <w:r w:rsidRPr="00712CAF">
              <w:rPr>
                <w:color w:val="000000" w:themeColor="text1"/>
                <w:spacing w:val="-2"/>
              </w:rPr>
              <w:t>likuma subjekts, veicot risku novērtējumu iekšējās kontroles sistēmu, ņem vērā</w:t>
            </w:r>
            <w:r w:rsidR="001C2182" w:rsidRPr="00712CAF">
              <w:rPr>
                <w:color w:val="000000" w:themeColor="text1"/>
                <w:spacing w:val="-2"/>
              </w:rPr>
              <w:t xml:space="preserve"> riskus, kuri identificēti nacionālajā noziedzīgi iegūtu līdzekļu legalizācijas un terorisma finansēšanas risku novērtēšanas ziņojumā.</w:t>
            </w:r>
          </w:p>
          <w:p w14:paraId="5EE8C74C" w14:textId="77777777" w:rsidR="00175546" w:rsidRPr="00712CAF" w:rsidRDefault="009F6D50" w:rsidP="00BE5A71">
            <w:pPr>
              <w:pStyle w:val="Default"/>
              <w:jc w:val="both"/>
              <w:rPr>
                <w:rFonts w:ascii="Times New Roman" w:eastAsia="Times New Roman" w:hAnsi="Times New Roman"/>
                <w:color w:val="000000" w:themeColor="text1"/>
                <w:spacing w:val="-2"/>
                <w:lang w:eastAsia="lv-LV"/>
              </w:rPr>
            </w:pPr>
            <w:r w:rsidRPr="00712CAF">
              <w:rPr>
                <w:rFonts w:ascii="Times New Roman" w:eastAsia="Times New Roman" w:hAnsi="Times New Roman"/>
                <w:color w:val="000000" w:themeColor="text1"/>
                <w:spacing w:val="-2"/>
                <w:lang w:eastAsia="lv-LV"/>
              </w:rPr>
              <w:t>Ar likumprojektu noteiktais aizliegums sadarboties ar čaulas veidojumiem ir attiecināts uz kredītiestādēm, ņemot vērā, ka čaulas veidojumu apgrozījums veido ievērojamu daļu no kredīties</w:t>
            </w:r>
            <w:r w:rsidR="00175546" w:rsidRPr="00712CAF">
              <w:rPr>
                <w:rFonts w:ascii="Times New Roman" w:eastAsia="Times New Roman" w:hAnsi="Times New Roman"/>
                <w:color w:val="000000" w:themeColor="text1"/>
                <w:spacing w:val="-2"/>
                <w:lang w:eastAsia="lv-LV"/>
              </w:rPr>
              <w:t xml:space="preserve">tāžu kopējā klientu apgrozījuma. FKTK pārbaudēs konstatētie sistemātiskie trūkumi banku IKS norāda uz neatbilstošu NILL risku, it īpaši to, kas ir saistīti ar ārvalstu klientu apkalpošanu, pārvaldīšanu, kas neļauj efektīvi novērst Latvijas banku sektora iesaisti NILL. </w:t>
            </w:r>
          </w:p>
          <w:p w14:paraId="23329F3B" w14:textId="77777777" w:rsidR="00175546" w:rsidRPr="00712CAF" w:rsidRDefault="00175546" w:rsidP="00BE5A71">
            <w:pPr>
              <w:pStyle w:val="Default"/>
              <w:jc w:val="both"/>
              <w:rPr>
                <w:rFonts w:ascii="Times New Roman" w:eastAsia="Times New Roman" w:hAnsi="Times New Roman"/>
                <w:color w:val="000000" w:themeColor="text1"/>
                <w:spacing w:val="-2"/>
                <w:lang w:eastAsia="lv-LV"/>
              </w:rPr>
            </w:pPr>
            <w:r w:rsidRPr="00712CAF">
              <w:rPr>
                <w:rFonts w:ascii="Times New Roman" w:eastAsia="Times New Roman" w:hAnsi="Times New Roman"/>
                <w:color w:val="000000" w:themeColor="text1"/>
                <w:spacing w:val="-2"/>
                <w:lang w:eastAsia="lv-LV"/>
              </w:rPr>
              <w:t xml:space="preserve">Līdz ar to ārvalstu klientu naudas plūsmu apkalpošanas NILL ievainojamība ir vidēji augsta, un tas būtiski palielina risku, ka Latvijas bankas var tikt iesaistītas darījumos, kas saistīti ar NILL. </w:t>
            </w:r>
          </w:p>
          <w:p w14:paraId="68134E22" w14:textId="77777777" w:rsidR="00175546" w:rsidRPr="00712CAF" w:rsidRDefault="00175546" w:rsidP="00BE5A71">
            <w:pPr>
              <w:pStyle w:val="Default"/>
              <w:jc w:val="both"/>
              <w:rPr>
                <w:rFonts w:ascii="Times New Roman" w:eastAsia="Times New Roman" w:hAnsi="Times New Roman"/>
                <w:color w:val="000000" w:themeColor="text1"/>
                <w:spacing w:val="-2"/>
                <w:lang w:eastAsia="lv-LV"/>
              </w:rPr>
            </w:pPr>
            <w:r w:rsidRPr="00712CAF">
              <w:rPr>
                <w:rFonts w:ascii="Times New Roman" w:eastAsia="Times New Roman" w:hAnsi="Times New Roman"/>
                <w:color w:val="000000" w:themeColor="text1"/>
                <w:spacing w:val="-2"/>
                <w:lang w:eastAsia="lv-LV"/>
              </w:rPr>
              <w:t xml:space="preserve">Tāpēc Ārvalstu klientus apkalpojošajām bankām jāapzinās un jāizprot ar ārvalstu klientu apkalpošanu saistītie paaugstinātie NILL riski un: </w:t>
            </w:r>
          </w:p>
          <w:p w14:paraId="47A954EE" w14:textId="77777777" w:rsidR="00175546" w:rsidRPr="00712CAF" w:rsidRDefault="00175546" w:rsidP="00BE5A71">
            <w:pPr>
              <w:pStyle w:val="Default"/>
              <w:jc w:val="both"/>
              <w:rPr>
                <w:rFonts w:ascii="Times New Roman" w:eastAsia="Times New Roman" w:hAnsi="Times New Roman"/>
                <w:color w:val="000000" w:themeColor="text1"/>
                <w:spacing w:val="-2"/>
                <w:lang w:eastAsia="lv-LV"/>
              </w:rPr>
            </w:pPr>
            <w:r w:rsidRPr="00712CAF">
              <w:rPr>
                <w:rFonts w:ascii="Times New Roman" w:eastAsia="Times New Roman" w:hAnsi="Times New Roman"/>
                <w:color w:val="000000" w:themeColor="text1"/>
                <w:spacing w:val="-2"/>
                <w:lang w:eastAsia="lv-LV"/>
              </w:rPr>
              <w:t xml:space="preserve">a) jāveic atbilstoša to pārvaldīšana un ierobežošana, atvēlot tam papildu cilvēkresursus un naudas līdzekļus, veicot atbilstošu darbinieku apmācību, kā arī veicot savlaicīgus un pietiekamus NILLTF risku mazināšanas pasākumus, vai </w:t>
            </w:r>
          </w:p>
          <w:p w14:paraId="462BFB7D" w14:textId="77777777" w:rsidR="00175546" w:rsidRPr="00712CAF" w:rsidRDefault="00175546" w:rsidP="00BE5A71">
            <w:pPr>
              <w:pStyle w:val="Default"/>
              <w:jc w:val="both"/>
              <w:rPr>
                <w:rFonts w:ascii="Times New Roman" w:eastAsia="Times New Roman" w:hAnsi="Times New Roman"/>
                <w:color w:val="000000" w:themeColor="text1"/>
                <w:spacing w:val="-2"/>
                <w:lang w:eastAsia="lv-LV"/>
              </w:rPr>
            </w:pPr>
            <w:r w:rsidRPr="00712CAF">
              <w:rPr>
                <w:rFonts w:ascii="Times New Roman" w:eastAsia="Times New Roman" w:hAnsi="Times New Roman"/>
                <w:color w:val="000000" w:themeColor="text1"/>
                <w:spacing w:val="-2"/>
                <w:lang w:eastAsia="lv-LV"/>
              </w:rPr>
              <w:t xml:space="preserve">b) jāsamazina Ārvalstu klientus apkalpojošajām bankām piemītošā ievainojamība, piemēram, samazinot augsta riska klientu skaitu un šo klientu noguldījumu apjomu. </w:t>
            </w:r>
          </w:p>
          <w:p w14:paraId="205BB9C3" w14:textId="77777777" w:rsidR="009F6D50" w:rsidRPr="00712CAF" w:rsidRDefault="009F6D50"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 Papildus aizliegums sadarboties ar čaulas veidojumiem tiek attiecināts uz maksājumu iestādēm, elektroniskās naudas iestādēm (turpmāk – MI/ENI), ieguldījumu brokeru sabiedrībām (turpmāk – IBS) un</w:t>
            </w:r>
            <w:r w:rsidR="000E2A7D" w:rsidRPr="00712CAF">
              <w:rPr>
                <w:rFonts w:ascii="Times New Roman" w:eastAsia="Times New Roman" w:hAnsi="Times New Roman" w:cs="Times New Roman"/>
                <w:color w:val="000000" w:themeColor="text1"/>
                <w:spacing w:val="-2"/>
                <w:sz w:val="24"/>
                <w:szCs w:val="24"/>
                <w:lang w:eastAsia="lv-LV"/>
              </w:rPr>
              <w:t xml:space="preserve"> attiecībā uz klientu individuālo portfeļu pārvaldīšanu un atvērto ieguldījumu fondu apliecību izplatīšanu</w:t>
            </w:r>
            <w:r w:rsidRPr="00712CAF">
              <w:rPr>
                <w:rFonts w:ascii="Times New Roman" w:eastAsia="Times New Roman" w:hAnsi="Times New Roman" w:cs="Times New Roman"/>
                <w:color w:val="000000" w:themeColor="text1"/>
                <w:spacing w:val="-2"/>
                <w:sz w:val="24"/>
                <w:szCs w:val="24"/>
                <w:lang w:eastAsia="lv-LV"/>
              </w:rPr>
              <w:t xml:space="preserve"> ieguldījumu pārvaldes sabiedrībām (turpmāk – IPS), ņemot vērā to, ka maksājumu pakalpojumus var sniegt arī MI/ENI, savukārt IBS un IPS sniedz klienta līdzekļu pārvaldīšanas pakalpojumus. Tāpat ņemti vērā šādi papildus apsvērumi:</w:t>
            </w:r>
            <w:r w:rsidRPr="00712CAF" w:rsidDel="00F7407B">
              <w:rPr>
                <w:rFonts w:ascii="Times New Roman" w:eastAsia="Times New Roman" w:hAnsi="Times New Roman" w:cs="Times New Roman"/>
                <w:color w:val="000000" w:themeColor="text1"/>
                <w:spacing w:val="-2"/>
                <w:sz w:val="24"/>
                <w:szCs w:val="24"/>
                <w:lang w:eastAsia="lv-LV"/>
              </w:rPr>
              <w:t xml:space="preserve"> </w:t>
            </w:r>
          </w:p>
          <w:p w14:paraId="79F22F06" w14:textId="77777777" w:rsidR="009F6D50" w:rsidRPr="00712CAF" w:rsidRDefault="009F6D50" w:rsidP="00BE5A71">
            <w:pPr>
              <w:pStyle w:val="ListParagraph"/>
              <w:numPr>
                <w:ilvl w:val="0"/>
                <w:numId w:val="1"/>
              </w:num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atbilstoši nacionālā riska novērtējumam, MI/ENI sektorā noziedzīgi iegūtu līdzekļu legalizācijai (</w:t>
            </w:r>
            <w:r w:rsidR="000D4842" w:rsidRPr="00712CAF">
              <w:rPr>
                <w:rFonts w:ascii="Times New Roman" w:eastAsia="Times New Roman" w:hAnsi="Times New Roman" w:cs="Times New Roman"/>
                <w:color w:val="000000" w:themeColor="text1"/>
                <w:spacing w:val="-2"/>
                <w:sz w:val="24"/>
                <w:szCs w:val="24"/>
                <w:lang w:eastAsia="lv-LV"/>
              </w:rPr>
              <w:t>turpmāk</w:t>
            </w:r>
            <w:r w:rsidRPr="00712CAF">
              <w:rPr>
                <w:rFonts w:ascii="Times New Roman" w:eastAsia="Times New Roman" w:hAnsi="Times New Roman" w:cs="Times New Roman"/>
                <w:color w:val="000000" w:themeColor="text1"/>
                <w:spacing w:val="-2"/>
                <w:sz w:val="24"/>
                <w:szCs w:val="24"/>
                <w:lang w:eastAsia="lv-LV"/>
              </w:rPr>
              <w:t xml:space="preserve"> – NILL) piemītošā ievainojamība ir vidēji augsta. MI/ENI sektora izmērs ir vērtējams kā mazs, tomēr NILL ievainojamību paaugstina augsta riska klientu bāze, bieža produktu/pakalpojumu izplatīšana ar aģentu palīdzību, vidējais starptautisko darījumu skaits, kā arī iespēja izmantot produktus anonīmi. Saskaņā ar </w:t>
            </w:r>
            <w:r w:rsidR="00C84D0C" w:rsidRPr="00712CAF">
              <w:rPr>
                <w:rFonts w:ascii="Times New Roman" w:eastAsia="Times New Roman" w:hAnsi="Times New Roman" w:cs="Times New Roman"/>
                <w:color w:val="000000" w:themeColor="text1"/>
                <w:spacing w:val="-2"/>
                <w:sz w:val="24"/>
                <w:szCs w:val="24"/>
                <w:lang w:eastAsia="lv-LV"/>
              </w:rPr>
              <w:t>FKTK</w:t>
            </w:r>
            <w:r w:rsidRPr="00712CAF">
              <w:rPr>
                <w:rFonts w:ascii="Times New Roman" w:eastAsia="Times New Roman" w:hAnsi="Times New Roman" w:cs="Times New Roman"/>
                <w:color w:val="000000" w:themeColor="text1"/>
                <w:spacing w:val="-2"/>
                <w:sz w:val="24"/>
                <w:szCs w:val="24"/>
                <w:lang w:eastAsia="lv-LV"/>
              </w:rPr>
              <w:t xml:space="preserve"> apkopotajiem statistikas datiem, MI/ENI segmenta riska ekspozīcija vērtējama kā augsta, lielākoties dēļ augsta finanšu pakalpojumu, kas tiek sniegti ārvalstu klientiem, īpatsvara, kā arī augstā starptautisko darījumu apjoma īpatsvara dēļ. 2017. gadā klientu – ārvalstu juridisko personu kredīta apgrozījums veidoja aptuveni 64% no MI/ENI klientu kopējā kredīta apgrozījuma. Aptuveni 36% no MI/ENI veiktajiem maksājumiem veidoja starptautiski </w:t>
            </w:r>
            <w:proofErr w:type="spellStart"/>
            <w:r w:rsidRPr="00712CAF">
              <w:rPr>
                <w:rFonts w:ascii="Times New Roman" w:eastAsia="Times New Roman" w:hAnsi="Times New Roman" w:cs="Times New Roman"/>
                <w:color w:val="000000" w:themeColor="text1"/>
                <w:spacing w:val="-2"/>
                <w:sz w:val="24"/>
                <w:szCs w:val="24"/>
                <w:lang w:eastAsia="lv-LV"/>
              </w:rPr>
              <w:t>pārskaitījumi</w:t>
            </w:r>
            <w:proofErr w:type="spellEnd"/>
            <w:r w:rsidRPr="00712CAF">
              <w:rPr>
                <w:rFonts w:ascii="Times New Roman" w:eastAsia="Times New Roman" w:hAnsi="Times New Roman" w:cs="Times New Roman"/>
                <w:color w:val="000000" w:themeColor="text1"/>
                <w:spacing w:val="-2"/>
                <w:sz w:val="24"/>
                <w:szCs w:val="24"/>
                <w:lang w:eastAsia="lv-LV"/>
              </w:rPr>
              <w:t xml:space="preserve">. </w:t>
            </w:r>
          </w:p>
          <w:p w14:paraId="5B02FA6E" w14:textId="77777777" w:rsidR="009F6D50" w:rsidRPr="00712CAF" w:rsidRDefault="009F6D50" w:rsidP="00BE5A71">
            <w:pPr>
              <w:numPr>
                <w:ilvl w:val="0"/>
                <w:numId w:val="1"/>
              </w:numPr>
              <w:spacing w:after="0" w:line="240" w:lineRule="auto"/>
              <w:contextualSpacing/>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lastRenderedPageBreak/>
              <w:t>atbilstoši nacionālā riska novērtējumam, vērtspapīru sektorā NILL piemītošā ievainojamība ir vidēji augsta. Vērtspapīru sektora izmērs ir uzskatāms par vidēji mazu, tomēr ievainojamību paaugstina augsta riska klientu bāze, kā arī vidēji augstais starptautisko darījumu skaits. Saskaņā ar FKTK apkopotajiem statistikas datiem, IBS segmenta riska ekspozīcija vērtējama kā augsta, lielākoties finanšu pakalpojumu dēļ, kas tiek sniegti ārvalstu klientiem, īpatsvara, kā arī starptautisko darījumu apjoma īpatsvara. Aptuveni 64% no IBS klientu finanšu portfeļu vērtības veido ārvalstu klientu – juridisko personu finanšu portfeļi, un arī pēc 2017. gadā iemaksāto līdzekļu apjoma 73% veidoja IBS klienti – ārvalstu juridiskās personas;</w:t>
            </w:r>
          </w:p>
          <w:p w14:paraId="1C4E348A" w14:textId="77777777" w:rsidR="009F6D50" w:rsidRPr="00712CAF" w:rsidRDefault="009F6D50" w:rsidP="00BE5A71">
            <w:pPr>
              <w:numPr>
                <w:ilvl w:val="0"/>
                <w:numId w:val="1"/>
              </w:numPr>
              <w:spacing w:after="0" w:line="240" w:lineRule="auto"/>
              <w:contextualSpacing/>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savukārt attiecībā uz IPS atbilstoši nacionālā riska novērtējumam, būtiski atšķiras NILL risku līmenis dažādos Latvijas IPS piedāvātajos produktu veidos. 2. un 3.pensiju līmeņa aktīvu pārvalde ir pakļauta zemiem NILL riskiem, ņemot vērā, ka 2.pensiju līmenī tiek pārvaldīti naudas līdzekļi, kas iegūti no sociālās apdrošināšanas iemaksām. 3.pensiju līmenī tiek pārvaldīti Iekšzemes klientu naudas līdzekļi. Lielāki NILL riski var tikt saskatīti ieguldījumu fondu pārvaldē un privātpersonu ieguldījumu portfeļu pārvaldē, it īpaši gadījumos, kad tiek pārvaldīti ārvalstu klientu naudas līdzekļi. Saskaņā ar FKTK apkopotajiem statistikas datiem, zems NILLTF risks piemīt tām IPS, kas pārvalda 2. un 3. pensiju līmeņu aktīvus (4 no 12 IPS), taču paaugstināts NILLF risks piemīt tām IPS, kas pārvalda klientu individuālos portfeļus, kā arī piedāvā iegādāties atvērto ieguldījumu fondu apliecības; būtiskākais NILLTF risks piemīt tām IPS, kuras sniedz pakalpojumus, sadarbojoties ar savām </w:t>
            </w:r>
            <w:proofErr w:type="spellStart"/>
            <w:r w:rsidRPr="00712CAF">
              <w:rPr>
                <w:rFonts w:ascii="Times New Roman" w:eastAsia="Times New Roman" w:hAnsi="Times New Roman" w:cs="Times New Roman"/>
                <w:color w:val="000000" w:themeColor="text1"/>
                <w:spacing w:val="-2"/>
                <w:sz w:val="24"/>
                <w:szCs w:val="24"/>
                <w:lang w:eastAsia="lv-LV"/>
              </w:rPr>
              <w:t>mātesbankām</w:t>
            </w:r>
            <w:proofErr w:type="spellEnd"/>
            <w:r w:rsidRPr="00712CAF">
              <w:rPr>
                <w:rFonts w:ascii="Times New Roman" w:eastAsia="Times New Roman" w:hAnsi="Times New Roman" w:cs="Times New Roman"/>
                <w:color w:val="000000" w:themeColor="text1"/>
                <w:spacing w:val="-2"/>
                <w:sz w:val="24"/>
                <w:szCs w:val="24"/>
                <w:lang w:eastAsia="lv-LV"/>
              </w:rPr>
              <w:t xml:space="preserve">, kuras sniedz pakalpojumus ārvalstu klientiem, kā arī nereti nodrošina minētajām IPS NILLTFN funkciju izpildi. FKTK apkopotie dati liecina, ka aptuveni 41% no IPS klientu ieguldījumu summas (neskaitot 2. un 3. pensiju līmeņu aktīvus) 2017. gada beigās veidoja ārvalstu juridisko personu ieguldījumi, kuras arī veidoja aptuveni 50% no ieskaitīto līdzekļu apjoma 2017. gadā. </w:t>
            </w:r>
          </w:p>
          <w:p w14:paraId="7F425F28" w14:textId="77777777" w:rsidR="009F6D50" w:rsidRPr="00712CAF" w:rsidRDefault="009F6D50" w:rsidP="00BE5A71">
            <w:pPr>
              <w:numPr>
                <w:ilvl w:val="0"/>
                <w:numId w:val="1"/>
              </w:numPr>
              <w:spacing w:after="0" w:line="240" w:lineRule="auto"/>
              <w:contextualSpacing/>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Ņemot vērā iepriekš minēto aizliegums sadarboties ar čaulas veidojumiem</w:t>
            </w:r>
            <w:r w:rsidR="00037400" w:rsidRPr="00712CAF">
              <w:rPr>
                <w:rFonts w:ascii="Times New Roman" w:eastAsia="Times New Roman" w:hAnsi="Times New Roman" w:cs="Times New Roman"/>
                <w:color w:val="000000" w:themeColor="text1"/>
                <w:spacing w:val="-2"/>
                <w:sz w:val="24"/>
                <w:szCs w:val="24"/>
                <w:lang w:eastAsia="lv-LV"/>
              </w:rPr>
              <w:t>, kas</w:t>
            </w:r>
            <w:r w:rsidRPr="00712CAF">
              <w:rPr>
                <w:rFonts w:ascii="Times New Roman" w:eastAsia="Times New Roman" w:hAnsi="Times New Roman" w:cs="Times New Roman"/>
                <w:color w:val="000000" w:themeColor="text1"/>
                <w:spacing w:val="-2"/>
                <w:sz w:val="24"/>
                <w:szCs w:val="24"/>
                <w:lang w:eastAsia="lv-LV"/>
              </w:rPr>
              <w:t xml:space="preserve"> atbilstoši NILLTFNL 1. panta 15.</w:t>
            </w:r>
            <w:r w:rsidRPr="00712CAF">
              <w:rPr>
                <w:rFonts w:ascii="Times New Roman" w:eastAsia="Times New Roman" w:hAnsi="Times New Roman" w:cs="Times New Roman"/>
                <w:color w:val="000000" w:themeColor="text1"/>
                <w:spacing w:val="-2"/>
                <w:sz w:val="24"/>
                <w:szCs w:val="24"/>
                <w:vertAlign w:val="superscript"/>
                <w:lang w:eastAsia="lv-LV"/>
              </w:rPr>
              <w:t>1</w:t>
            </w:r>
            <w:r w:rsidRPr="00712CAF">
              <w:rPr>
                <w:rFonts w:ascii="Times New Roman" w:eastAsia="Times New Roman" w:hAnsi="Times New Roman" w:cs="Times New Roman"/>
                <w:color w:val="000000" w:themeColor="text1"/>
                <w:spacing w:val="-2"/>
                <w:sz w:val="24"/>
                <w:szCs w:val="24"/>
                <w:lang w:eastAsia="lv-LV"/>
              </w:rPr>
              <w:t xml:space="preserve"> punkta a) un b) apakšpunktos noteiktajām pazīmēm ir attiecināms uz IPS, apkalpojot</w:t>
            </w:r>
            <w:r w:rsidR="00573070" w:rsidRPr="00712CAF">
              <w:rPr>
                <w:rFonts w:ascii="Times New Roman" w:eastAsia="Times New Roman" w:hAnsi="Times New Roman" w:cs="Times New Roman"/>
                <w:color w:val="000000" w:themeColor="text1"/>
                <w:spacing w:val="-2"/>
                <w:sz w:val="24"/>
                <w:szCs w:val="24"/>
                <w:lang w:eastAsia="lv-LV"/>
              </w:rPr>
              <w:t xml:space="preserve"> </w:t>
            </w:r>
            <w:r w:rsidRPr="00712CAF">
              <w:rPr>
                <w:rFonts w:ascii="Times New Roman" w:eastAsia="Times New Roman" w:hAnsi="Times New Roman" w:cs="Times New Roman"/>
                <w:color w:val="000000" w:themeColor="text1"/>
                <w:spacing w:val="-2"/>
                <w:sz w:val="24"/>
                <w:szCs w:val="24"/>
                <w:lang w:eastAsia="lv-LV"/>
              </w:rPr>
              <w:t>klientu individuālos portfeļus, kā arī piedāvājot iegādāties atvērto ieguldījumu fondu apliecības;</w:t>
            </w:r>
          </w:p>
          <w:p w14:paraId="3049773F" w14:textId="7BE8F5F8" w:rsidR="009F6D50" w:rsidRPr="00712CAF" w:rsidRDefault="009F6D50" w:rsidP="00BE5A71">
            <w:pPr>
              <w:numPr>
                <w:ilvl w:val="0"/>
                <w:numId w:val="1"/>
              </w:numPr>
              <w:spacing w:after="0" w:line="240" w:lineRule="auto"/>
              <w:contextualSpacing/>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Citas finanšu iestādes tādas kā alternatīvie ieguldījuma fondu pārvaldnieki (tālāk tekstā – AIFP), kooperatīvās </w:t>
            </w:r>
            <w:proofErr w:type="spellStart"/>
            <w:r w:rsidRPr="00712CAF">
              <w:rPr>
                <w:rFonts w:ascii="Times New Roman" w:eastAsia="Times New Roman" w:hAnsi="Times New Roman" w:cs="Times New Roman"/>
                <w:color w:val="000000" w:themeColor="text1"/>
                <w:spacing w:val="-2"/>
                <w:sz w:val="24"/>
                <w:szCs w:val="24"/>
                <w:lang w:eastAsia="lv-LV"/>
              </w:rPr>
              <w:t>krājaizdevu</w:t>
            </w:r>
            <w:proofErr w:type="spellEnd"/>
            <w:r w:rsidRPr="00712CAF">
              <w:rPr>
                <w:rFonts w:ascii="Times New Roman" w:eastAsia="Times New Roman" w:hAnsi="Times New Roman" w:cs="Times New Roman"/>
                <w:color w:val="000000" w:themeColor="text1"/>
                <w:spacing w:val="-2"/>
                <w:sz w:val="24"/>
                <w:szCs w:val="24"/>
                <w:lang w:eastAsia="lv-LV"/>
              </w:rPr>
              <w:t xml:space="preserve"> sabiedrības (</w:t>
            </w:r>
            <w:r w:rsidR="00B31E0E" w:rsidRPr="00712CAF">
              <w:rPr>
                <w:rFonts w:ascii="Times New Roman" w:eastAsia="Times New Roman" w:hAnsi="Times New Roman" w:cs="Times New Roman"/>
                <w:color w:val="000000" w:themeColor="text1"/>
                <w:spacing w:val="-2"/>
                <w:sz w:val="24"/>
                <w:szCs w:val="24"/>
                <w:lang w:eastAsia="lv-LV"/>
              </w:rPr>
              <w:t>turpmāk</w:t>
            </w:r>
            <w:r w:rsidRPr="00712CAF">
              <w:rPr>
                <w:rFonts w:ascii="Times New Roman" w:eastAsia="Times New Roman" w:hAnsi="Times New Roman" w:cs="Times New Roman"/>
                <w:color w:val="000000" w:themeColor="text1"/>
                <w:spacing w:val="-2"/>
                <w:sz w:val="24"/>
                <w:szCs w:val="24"/>
                <w:lang w:eastAsia="lv-LV"/>
              </w:rPr>
              <w:t xml:space="preserve"> – KKS), privātie pensiju fondi (tālāk tekstā – PPF), kā arī dzīvības apdrošināšanas pakalpojumu sniedzēji (</w:t>
            </w:r>
            <w:r w:rsidR="00B31E0E" w:rsidRPr="00712CAF">
              <w:rPr>
                <w:rFonts w:ascii="Times New Roman" w:eastAsia="Times New Roman" w:hAnsi="Times New Roman" w:cs="Times New Roman"/>
                <w:color w:val="000000" w:themeColor="text1"/>
                <w:spacing w:val="-2"/>
                <w:sz w:val="24"/>
                <w:szCs w:val="24"/>
                <w:lang w:eastAsia="lv-LV"/>
              </w:rPr>
              <w:t>turpmāk</w:t>
            </w:r>
            <w:r w:rsidRPr="00712CAF">
              <w:rPr>
                <w:rFonts w:ascii="Times New Roman" w:eastAsia="Times New Roman" w:hAnsi="Times New Roman" w:cs="Times New Roman"/>
                <w:color w:val="000000" w:themeColor="text1"/>
                <w:spacing w:val="-2"/>
                <w:sz w:val="24"/>
                <w:szCs w:val="24"/>
                <w:lang w:eastAsia="lv-LV"/>
              </w:rPr>
              <w:t xml:space="preserve"> – DZA) netika iekļauti to subjektu lokā, uz kuriem attiecas aizliegums sadarboties ar čaulas veidojumiem, izvērtējot un pamatojoties uz šādiem apsvērumiem:</w:t>
            </w:r>
          </w:p>
          <w:p w14:paraId="0D706D27" w14:textId="77777777" w:rsidR="009F6D50" w:rsidRPr="00712CAF" w:rsidRDefault="009F6D50" w:rsidP="00BE5A71">
            <w:pPr>
              <w:numPr>
                <w:ilvl w:val="0"/>
                <w:numId w:val="1"/>
              </w:numPr>
              <w:spacing w:after="0" w:line="240" w:lineRule="auto"/>
              <w:contextualSpacing/>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AIFP - atbilstoši nacionālā riska novērtējumam AIFP sektorā NILL piemītošais ievainojamības līmenis ir zems. Sektora </w:t>
            </w:r>
            <w:r w:rsidRPr="00712CAF">
              <w:rPr>
                <w:rFonts w:ascii="Times New Roman" w:eastAsia="Times New Roman" w:hAnsi="Times New Roman" w:cs="Times New Roman"/>
                <w:color w:val="000000" w:themeColor="text1"/>
                <w:spacing w:val="-2"/>
                <w:sz w:val="24"/>
                <w:szCs w:val="24"/>
                <w:lang w:eastAsia="lv-LV"/>
              </w:rPr>
              <w:lastRenderedPageBreak/>
              <w:t>izmērs ir neliels, starptautisko maksājumu biežums ir zems, kā arī sektorā netiek veikti skaidras naudas darījumi. Klientu riska profils ir vidējs. Saskaņā ar FKTK apkopotajiem statistikas datiem, klientu – ārvalstu juridisko personu skaits AIFP klientu lokā ir neliels (16 no 65 kopējiem klientiem), taču tie veido aptuveni 46% no kopējās ieguldījumu summas AIFP. FKTK rīcībā nav datu, vai kāda no ārvalstu juridiskajām personām nav klasificējama kā čaulas kompānija, jo AIFP nav saistoši FKTK normatīvie noteikumi, kas pieprasa identificēt šāda veida klientus; vienlaikus FKTK uzraudzības gaitā iegūtā informācija liecina, ka pārsvarā AIFP ārvalstu klientu – juridisko personu profilu veido zema riska ārvalstu kompānijas, kā, piemēram, pensiju fondi, attīstības institūcijas u.tml.;</w:t>
            </w:r>
          </w:p>
          <w:p w14:paraId="2D182CAA" w14:textId="77777777" w:rsidR="009F6D50" w:rsidRPr="00712CAF" w:rsidRDefault="009F6D50" w:rsidP="00BE5A71">
            <w:pPr>
              <w:numPr>
                <w:ilvl w:val="0"/>
                <w:numId w:val="1"/>
              </w:numPr>
              <w:spacing w:after="0" w:line="240" w:lineRule="auto"/>
              <w:contextualSpacing/>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KKS, PPF, DZA - saskaņā ar FKTK apkopotajiem datiem, šobrīd KKS un PPF klientu lokā nav ārvalstu juridisko personu. Savukārt DZA klientu lokā ir ārvalstu kompānijas, taču to īpatsvars pret kopējiem darījumiem ir neliels – tikai 0,34% no kopējās noslēgto apdrošināšanas līgumu kopsummas uz 2017.gada beigām. </w:t>
            </w:r>
          </w:p>
          <w:p w14:paraId="137631C7" w14:textId="77777777" w:rsidR="009840E3" w:rsidRPr="00712CAF" w:rsidRDefault="009F6D50" w:rsidP="00BE5A71">
            <w:pPr>
              <w:tabs>
                <w:tab w:val="left" w:pos="540"/>
                <w:tab w:val="left" w:pos="900"/>
              </w:tabs>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Likumprojektā ietvertā 21.</w:t>
            </w:r>
            <w:r w:rsidRPr="00712CAF">
              <w:rPr>
                <w:rFonts w:ascii="Times New Roman" w:eastAsia="Times New Roman" w:hAnsi="Times New Roman" w:cs="Times New Roman"/>
                <w:color w:val="000000" w:themeColor="text1"/>
                <w:spacing w:val="-2"/>
                <w:sz w:val="24"/>
                <w:szCs w:val="24"/>
                <w:vertAlign w:val="superscript"/>
                <w:lang w:eastAsia="lv-LV"/>
              </w:rPr>
              <w:t>1</w:t>
            </w:r>
            <w:r w:rsidRPr="00712CAF">
              <w:rPr>
                <w:rFonts w:ascii="Times New Roman" w:eastAsia="Times New Roman" w:hAnsi="Times New Roman" w:cs="Times New Roman"/>
                <w:color w:val="000000" w:themeColor="text1"/>
                <w:spacing w:val="-2"/>
                <w:sz w:val="24"/>
                <w:szCs w:val="24"/>
                <w:lang w:eastAsia="lv-LV"/>
              </w:rPr>
              <w:t xml:space="preserve"> panta norma stājas spēkā nākamajā dienā pēc </w:t>
            </w:r>
            <w:r w:rsidR="00AA3688" w:rsidRPr="00712CAF">
              <w:rPr>
                <w:rFonts w:ascii="Times New Roman" w:eastAsia="Times New Roman" w:hAnsi="Times New Roman" w:cs="Times New Roman"/>
                <w:color w:val="000000" w:themeColor="text1"/>
                <w:spacing w:val="-2"/>
                <w:sz w:val="24"/>
                <w:szCs w:val="24"/>
                <w:lang w:eastAsia="lv-LV"/>
              </w:rPr>
              <w:t>tā</w:t>
            </w:r>
            <w:r w:rsidRPr="00712CAF">
              <w:rPr>
                <w:rFonts w:ascii="Times New Roman" w:eastAsia="Times New Roman" w:hAnsi="Times New Roman" w:cs="Times New Roman"/>
                <w:color w:val="000000" w:themeColor="text1"/>
                <w:spacing w:val="-2"/>
                <w:sz w:val="24"/>
                <w:szCs w:val="24"/>
                <w:lang w:eastAsia="lv-LV"/>
              </w:rPr>
              <w:t xml:space="preserve"> izsludināšanas. Kredītiestādēm, maksājumu iestādēm, elektroniskās naudas iestādēm, </w:t>
            </w:r>
            <w:r w:rsidR="00467A80" w:rsidRPr="00712CAF">
              <w:rPr>
                <w:rFonts w:ascii="Times New Roman" w:eastAsia="Times New Roman" w:hAnsi="Times New Roman" w:cs="Times New Roman"/>
                <w:color w:val="000000" w:themeColor="text1"/>
                <w:spacing w:val="-2"/>
                <w:sz w:val="24"/>
                <w:szCs w:val="24"/>
                <w:lang w:eastAsia="lv-LV"/>
              </w:rPr>
              <w:t>ieguldījumu brokeru sabiedrībām un attiecībā uz klientu individuālo portfeļu pārvaldīšanu un atvērto ieguldījumu fondu apliecību izplatīšanu</w:t>
            </w:r>
            <w:r w:rsidRPr="00712CAF">
              <w:rPr>
                <w:rFonts w:ascii="Times New Roman" w:eastAsia="Times New Roman" w:hAnsi="Times New Roman" w:cs="Times New Roman"/>
                <w:color w:val="000000" w:themeColor="text1"/>
                <w:spacing w:val="-2"/>
                <w:sz w:val="24"/>
                <w:szCs w:val="24"/>
                <w:lang w:eastAsia="lv-LV"/>
              </w:rPr>
              <w:t xml:space="preserve"> ieguldījumu pārvaldes sabiedrībām 14 dienu laikā ir jāpaziņo saviem klientiem – čaulas veidojumiem, kas atbilst NILLTFNL </w:t>
            </w:r>
            <w:r w:rsidR="00467A80" w:rsidRPr="00712CAF">
              <w:rPr>
                <w:rFonts w:ascii="Times New Roman" w:eastAsia="Times New Roman" w:hAnsi="Times New Roman" w:cs="Times New Roman"/>
                <w:color w:val="000000" w:themeColor="text1"/>
                <w:spacing w:val="-2"/>
                <w:sz w:val="24"/>
                <w:szCs w:val="24"/>
                <w:lang w:eastAsia="lv-LV"/>
              </w:rPr>
              <w:t xml:space="preserve">vienlaikus </w:t>
            </w:r>
            <w:r w:rsidRPr="00712CAF">
              <w:rPr>
                <w:rFonts w:ascii="Times New Roman" w:eastAsia="Times New Roman" w:hAnsi="Times New Roman" w:cs="Times New Roman"/>
                <w:color w:val="000000" w:themeColor="text1"/>
                <w:spacing w:val="-2"/>
                <w:sz w:val="24"/>
                <w:szCs w:val="24"/>
                <w:lang w:eastAsia="lv-LV"/>
              </w:rPr>
              <w:t>1. panta 15.</w:t>
            </w:r>
            <w:r w:rsidRPr="00712CAF">
              <w:rPr>
                <w:rFonts w:ascii="Times New Roman" w:eastAsia="Times New Roman" w:hAnsi="Times New Roman" w:cs="Times New Roman"/>
                <w:color w:val="000000" w:themeColor="text1"/>
                <w:spacing w:val="-2"/>
                <w:sz w:val="24"/>
                <w:szCs w:val="24"/>
                <w:vertAlign w:val="superscript"/>
                <w:lang w:eastAsia="lv-LV"/>
              </w:rPr>
              <w:t>1</w:t>
            </w:r>
            <w:r w:rsidRPr="00712CAF">
              <w:rPr>
                <w:rFonts w:ascii="Times New Roman" w:eastAsia="Times New Roman" w:hAnsi="Times New Roman" w:cs="Times New Roman"/>
                <w:color w:val="000000" w:themeColor="text1"/>
                <w:spacing w:val="-2"/>
                <w:sz w:val="24"/>
                <w:szCs w:val="24"/>
                <w:lang w:eastAsia="lv-LV"/>
              </w:rPr>
              <w:t xml:space="preserve"> punkta a) un b) apakšpunktos noteiktajām pazīmēm, par darījuma attiecību izbeigšanu vai neuzsākšanu, konti tiek slēgti ne  vēlāk kā 60 dienu laikā no likuma stāšanās spēkā. </w:t>
            </w:r>
            <w:r w:rsidR="00DE4714" w:rsidRPr="00712CAF">
              <w:rPr>
                <w:rFonts w:ascii="Times New Roman" w:eastAsia="Times New Roman" w:hAnsi="Times New Roman" w:cs="Times New Roman"/>
                <w:color w:val="000000" w:themeColor="text1"/>
                <w:spacing w:val="-2"/>
                <w:sz w:val="24"/>
                <w:szCs w:val="24"/>
                <w:lang w:eastAsia="lv-LV"/>
              </w:rPr>
              <w:t xml:space="preserve">Likumprojekta regulējums attiecībā uz aizliegumu sadarboties ar čaulas veidojumiem neatbrīvo no citos normatīvajos aktos noteiktās civiltiesiskās atbildības vai kriminālatbildības. </w:t>
            </w:r>
            <w:r w:rsidR="00604190" w:rsidRPr="00712CAF">
              <w:rPr>
                <w:rFonts w:ascii="Times New Roman" w:eastAsia="Times New Roman" w:hAnsi="Times New Roman" w:cs="Times New Roman"/>
                <w:color w:val="000000" w:themeColor="text1"/>
                <w:spacing w:val="-2"/>
                <w:sz w:val="24"/>
                <w:szCs w:val="24"/>
                <w:lang w:eastAsia="lv-LV"/>
              </w:rPr>
              <w:t xml:space="preserve"> </w:t>
            </w:r>
            <w:r w:rsidRPr="00712CAF">
              <w:rPr>
                <w:rFonts w:ascii="Times New Roman" w:eastAsia="Times New Roman" w:hAnsi="Times New Roman" w:cs="Times New Roman"/>
                <w:color w:val="000000" w:themeColor="text1"/>
                <w:spacing w:val="-2"/>
                <w:sz w:val="24"/>
                <w:szCs w:val="24"/>
                <w:lang w:eastAsia="lv-LV"/>
              </w:rPr>
              <w:t xml:space="preserve">Praksē pēc šī 60 dienu perioda, ja klienta līdzekļi joprojām atrodas kredītiestādē, MI/ENI, IBS vai IPS, klientam ir iespēja tos pārskaitīt tikai uz </w:t>
            </w:r>
            <w:r w:rsidR="002C70B8" w:rsidRPr="00712CAF">
              <w:rPr>
                <w:rFonts w:ascii="Times New Roman" w:eastAsia="Times New Roman" w:hAnsi="Times New Roman" w:cs="Times New Roman"/>
                <w:color w:val="000000" w:themeColor="text1"/>
                <w:spacing w:val="-2"/>
                <w:sz w:val="24"/>
                <w:szCs w:val="24"/>
                <w:lang w:eastAsia="lv-LV"/>
              </w:rPr>
              <w:t>klienta</w:t>
            </w:r>
            <w:r w:rsidRPr="00712CAF">
              <w:rPr>
                <w:rFonts w:ascii="Times New Roman" w:eastAsia="Times New Roman" w:hAnsi="Times New Roman" w:cs="Times New Roman"/>
                <w:color w:val="000000" w:themeColor="text1"/>
                <w:spacing w:val="-2"/>
                <w:sz w:val="24"/>
                <w:szCs w:val="24"/>
                <w:lang w:eastAsia="lv-LV"/>
              </w:rPr>
              <w:t xml:space="preserve"> kontu, </w:t>
            </w:r>
            <w:r w:rsidR="002C70B8" w:rsidRPr="00712CAF">
              <w:rPr>
                <w:rFonts w:ascii="Times New Roman" w:eastAsia="Times New Roman" w:hAnsi="Times New Roman" w:cs="Times New Roman"/>
                <w:color w:val="000000" w:themeColor="text1"/>
                <w:spacing w:val="-2"/>
                <w:sz w:val="24"/>
                <w:szCs w:val="24"/>
                <w:lang w:eastAsia="lv-LV"/>
              </w:rPr>
              <w:t xml:space="preserve">citā kredītiestādē vai finanšu iestādē, </w:t>
            </w:r>
            <w:r w:rsidRPr="00712CAF">
              <w:rPr>
                <w:rFonts w:ascii="Times New Roman" w:eastAsia="Times New Roman" w:hAnsi="Times New Roman" w:cs="Times New Roman"/>
                <w:color w:val="000000" w:themeColor="text1"/>
                <w:spacing w:val="-2"/>
                <w:sz w:val="24"/>
                <w:szCs w:val="24"/>
                <w:lang w:eastAsia="lv-LV"/>
              </w:rPr>
              <w:t>bet ne izmantot tos darījumu veikšanai.</w:t>
            </w:r>
            <w:r w:rsidR="007B3818" w:rsidRPr="00712CAF">
              <w:rPr>
                <w:rFonts w:ascii="Times New Roman" w:eastAsia="Times New Roman" w:hAnsi="Times New Roman" w:cs="Times New Roman"/>
                <w:color w:val="000000" w:themeColor="text1"/>
                <w:spacing w:val="-2"/>
                <w:sz w:val="24"/>
                <w:szCs w:val="24"/>
                <w:lang w:eastAsia="lv-LV"/>
              </w:rPr>
              <w:t xml:space="preserve"> Šādos gadījumos pēc analoģijas piemērojamas NILLTFNL 43.panta prasības par darījuma attiecību izbeigšanu. </w:t>
            </w:r>
            <w:r w:rsidRPr="00712CAF">
              <w:rPr>
                <w:rFonts w:ascii="Times New Roman" w:eastAsia="Times New Roman" w:hAnsi="Times New Roman" w:cs="Times New Roman"/>
                <w:color w:val="000000" w:themeColor="text1"/>
                <w:spacing w:val="-2"/>
                <w:sz w:val="24"/>
                <w:szCs w:val="24"/>
                <w:lang w:eastAsia="lv-LV"/>
              </w:rPr>
              <w:t xml:space="preserve"> Kredītiestādēm, MI/ENI, IBS un IPS, lai nodrošinātu likuma prasību izpildi atbilstoši pārejas noteikumos iekļautajam regulējumam, ir jāspēj pierādīt, ka tās veikušas visu klientu – čaulas veidojumu, kas atbilst NILLTFNL </w:t>
            </w:r>
            <w:r w:rsidR="001B7B3C" w:rsidRPr="00712CAF">
              <w:rPr>
                <w:rFonts w:ascii="Times New Roman" w:eastAsia="Times New Roman" w:hAnsi="Times New Roman" w:cs="Times New Roman"/>
                <w:color w:val="000000" w:themeColor="text1"/>
                <w:spacing w:val="-2"/>
                <w:sz w:val="24"/>
                <w:szCs w:val="24"/>
                <w:lang w:eastAsia="lv-LV"/>
              </w:rPr>
              <w:t xml:space="preserve">vienlaikus </w:t>
            </w:r>
            <w:r w:rsidRPr="00712CAF">
              <w:rPr>
                <w:rFonts w:ascii="Times New Roman" w:eastAsia="Times New Roman" w:hAnsi="Times New Roman" w:cs="Times New Roman"/>
                <w:color w:val="000000" w:themeColor="text1"/>
                <w:spacing w:val="-2"/>
                <w:sz w:val="24"/>
                <w:szCs w:val="24"/>
                <w:lang w:eastAsia="lv-LV"/>
              </w:rPr>
              <w:t>1.panta 15.</w:t>
            </w:r>
            <w:r w:rsidRPr="00712CAF">
              <w:rPr>
                <w:rFonts w:ascii="Times New Roman" w:eastAsia="Times New Roman" w:hAnsi="Times New Roman" w:cs="Times New Roman"/>
                <w:color w:val="000000" w:themeColor="text1"/>
                <w:spacing w:val="-2"/>
                <w:sz w:val="24"/>
                <w:szCs w:val="24"/>
                <w:vertAlign w:val="superscript"/>
                <w:lang w:eastAsia="lv-LV"/>
              </w:rPr>
              <w:t xml:space="preserve">1 </w:t>
            </w:r>
            <w:r w:rsidRPr="00712CAF">
              <w:rPr>
                <w:rFonts w:ascii="Times New Roman" w:eastAsia="Times New Roman" w:hAnsi="Times New Roman" w:cs="Times New Roman"/>
                <w:color w:val="000000" w:themeColor="text1"/>
                <w:spacing w:val="-2"/>
                <w:sz w:val="24"/>
                <w:szCs w:val="24"/>
                <w:lang w:eastAsia="lv-LV"/>
              </w:rPr>
              <w:t xml:space="preserve">punkta a) un b) apakšpunktos noteiktajām pazīmēm, informēšanu, kā arī šo klientu kontu slēgšanu likumā noteiktajā termiņā. </w:t>
            </w:r>
          </w:p>
          <w:p w14:paraId="386065BA" w14:textId="77777777" w:rsidR="007D656A" w:rsidRPr="00712CAF" w:rsidRDefault="007D656A" w:rsidP="00BE5A71">
            <w:pPr>
              <w:tabs>
                <w:tab w:val="left" w:pos="540"/>
                <w:tab w:val="left" w:pos="900"/>
              </w:tabs>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Par kontu slēgšanu un tajā esošajiem līdzekļiem, nepastāvot aizdomām, ka šie līdzekļi tieši vai netieši iegūti noziedzīga nodarījuma rezultātā vai iesaistīti noziedzīgi iegūtu līdzekļu legalizācijā, terorisma finansēšanā vai šādu darbību mēģinājumā, nav jāsniedz ziņojums Noziedzīgi iegūtu līdzekļu legalizācijas novēršanas dienestam.</w:t>
            </w:r>
          </w:p>
          <w:p w14:paraId="358420A6" w14:textId="23E076B5" w:rsidR="00303BAA" w:rsidRPr="00712CAF" w:rsidRDefault="00303BAA" w:rsidP="00BE5A71">
            <w:pPr>
              <w:pStyle w:val="tv213"/>
              <w:spacing w:before="0" w:beforeAutospacing="0" w:after="0" w:afterAutospacing="0"/>
              <w:jc w:val="both"/>
              <w:rPr>
                <w:color w:val="000000"/>
                <w:spacing w:val="-2"/>
                <w:shd w:val="clear" w:color="auto" w:fill="FFFFFF"/>
              </w:rPr>
            </w:pPr>
            <w:r w:rsidRPr="00712CAF">
              <w:rPr>
                <w:color w:val="000000"/>
                <w:spacing w:val="-2"/>
                <w:shd w:val="clear" w:color="auto" w:fill="FFFFFF"/>
              </w:rPr>
              <w:lastRenderedPageBreak/>
              <w:t>Šobrīd FKTK</w:t>
            </w:r>
            <w:r w:rsidR="002C2284" w:rsidRPr="00712CAF">
              <w:rPr>
                <w:color w:val="000000"/>
                <w:spacing w:val="-2"/>
                <w:shd w:val="clear" w:color="auto" w:fill="FFFFFF"/>
              </w:rPr>
              <w:t>,</w:t>
            </w:r>
            <w:r w:rsidRPr="00712CAF">
              <w:rPr>
                <w:color w:val="000000"/>
                <w:spacing w:val="-2"/>
                <w:shd w:val="clear" w:color="auto" w:fill="FFFFFF"/>
              </w:rPr>
              <w:t xml:space="preserve"> atsaucoties uz spēkā esošajiem 2017.gada </w:t>
            </w:r>
            <w:r w:rsidR="002C2284" w:rsidRPr="00712CAF">
              <w:rPr>
                <w:color w:val="000000"/>
                <w:spacing w:val="-2"/>
                <w:shd w:val="clear" w:color="auto" w:fill="FFFFFF"/>
              </w:rPr>
              <w:t xml:space="preserve">26.oktobrī </w:t>
            </w:r>
            <w:r w:rsidRPr="00712CAF">
              <w:rPr>
                <w:color w:val="000000"/>
                <w:spacing w:val="-2"/>
                <w:shd w:val="clear" w:color="auto" w:fill="FFFFFF"/>
              </w:rPr>
              <w:t xml:space="preserve">pieņemtajiem grozījumiem NILTLFNL, atbilstoši ietvertajai jaunajai XV nodaļai “Atbildība par pārkāpumiem noziedzīgi iegūtu līdzekļu legalizācijas un terorisma finansēšanas novēršanas jomā un kompetence sankciju piemērošanā un uzraudzības pasākumu īstenošanā” par normatīvo aktu pārkāpumu NILLTFN jomā, tai skaitā attiecībā uz klienta izpēti, darījuma attiecību un darījumu uzraudzību, ziņošanu par neparastiem un aizdomīgiem darījumiem, informācijas sniegšanu uzraudzības un kontroles institūcijai vai Kontroles dienestam, atturēšanos no darījuma veikšanas, līdzekļu iesaldēšanu, iekšējās kontroles sistēmu, informācijas glabāšanu un iznīcināšanu, kā arī </w:t>
            </w:r>
            <w:r w:rsidR="00AD512F" w:rsidRPr="00712CAF">
              <w:rPr>
                <w:color w:val="000000"/>
                <w:spacing w:val="-2"/>
                <w:shd w:val="clear" w:color="auto" w:fill="FFFFFF"/>
              </w:rPr>
              <w:t>par Eiropas Parlamenta un Padomes 2015.gada 20.maija Regulas (ES) 2015/847 par līdzekļu pārvedumiem pievienoto informāciju un ar ko atceļ Regulu (EK) Nr.1781/2006</w:t>
            </w:r>
            <w:r w:rsidRPr="00712CAF">
              <w:rPr>
                <w:color w:val="000000"/>
                <w:spacing w:val="-2"/>
                <w:shd w:val="clear" w:color="auto" w:fill="FFFFFF"/>
              </w:rPr>
              <w:t xml:space="preserve"> (noteikts NILLTFNL 78.panta pirmajā daļā), ņemot vērā visus būtiskos aspektus, tostarp pārkāpuma smagumu, ilgumu un sistemātiskumu, fiziskās vai juridiskās personas atbildības pakāpi, fiziskās vai juridiskās personas finansiālo stāvokli (atbildīgās fiziskās personas gada ienākumu apmēru vai atbildīgās juridiskās personas kopējo gada apgrozījumu un citus finansiālo stāvokli ietekmējošos faktorus), fiziskās vai juridiskās personas pārkāpuma rezultātā iegūto peļņu, ciktāl to var aprēķināt, pārkāpuma radītos zaudējumus trešajām personām, ciktāl tos var noteikt, to, cik lielā mērā pie atbildības sauktā fiziskā vai juridiskā persona sadarbojas ar uzraudzības un kontroles institūciju, fiziskās vai juridiskās personas iepriekš izdarītos pārkāpumus noziedzīgi iegūtu līdzekļu legalizācijas un terorisma finansēšanas novēršanas un starptautisko vai nacionālo sankciju jomā (noteikts NILLTFNL 77.panta trešās daļas 1-7.punktos), attiecīgajiem NILLTFNL subjektiem var piemērot sekojošas sankcijas -  </w:t>
            </w:r>
          </w:p>
          <w:p w14:paraId="28E56084" w14:textId="77777777" w:rsidR="00303BAA" w:rsidRPr="00712CAF" w:rsidRDefault="00303BAA" w:rsidP="00BE5A71">
            <w:pPr>
              <w:pStyle w:val="tv213"/>
              <w:numPr>
                <w:ilvl w:val="0"/>
                <w:numId w:val="6"/>
              </w:numPr>
              <w:spacing w:before="0" w:beforeAutospacing="0" w:after="0" w:afterAutospacing="0"/>
              <w:jc w:val="both"/>
              <w:rPr>
                <w:color w:val="000000"/>
                <w:spacing w:val="-2"/>
                <w:shd w:val="clear" w:color="auto" w:fill="FFFFFF"/>
              </w:rPr>
            </w:pPr>
            <w:r w:rsidRPr="00712CAF">
              <w:rPr>
                <w:color w:val="000000"/>
                <w:spacing w:val="-2"/>
                <w:shd w:val="clear" w:color="auto" w:fill="FFFFFF"/>
              </w:rPr>
              <w:t xml:space="preserve">izteikt publisku paziņojumu, norādot par pārkāpumu atbildīgo personu un pārkāpuma būtību, </w:t>
            </w:r>
          </w:p>
          <w:p w14:paraId="02B46420" w14:textId="77777777" w:rsidR="00303BAA" w:rsidRPr="00712CAF" w:rsidRDefault="00303BAA" w:rsidP="00BE5A71">
            <w:pPr>
              <w:pStyle w:val="tv213"/>
              <w:numPr>
                <w:ilvl w:val="0"/>
                <w:numId w:val="6"/>
              </w:numPr>
              <w:spacing w:before="0" w:beforeAutospacing="0" w:after="0" w:afterAutospacing="0"/>
              <w:jc w:val="both"/>
              <w:rPr>
                <w:color w:val="000000"/>
                <w:spacing w:val="-2"/>
                <w:shd w:val="clear" w:color="auto" w:fill="FFFFFF"/>
              </w:rPr>
            </w:pPr>
            <w:r w:rsidRPr="00712CAF">
              <w:rPr>
                <w:color w:val="000000"/>
                <w:spacing w:val="-2"/>
                <w:shd w:val="clear" w:color="auto" w:fill="FFFFFF"/>
              </w:rPr>
              <w:t xml:space="preserve">izteikt brīdinājumu, </w:t>
            </w:r>
          </w:p>
          <w:p w14:paraId="5D71CDA1" w14:textId="77777777" w:rsidR="00303BAA" w:rsidRPr="00712CAF" w:rsidRDefault="00303BAA" w:rsidP="00BE5A71">
            <w:pPr>
              <w:pStyle w:val="tv213"/>
              <w:numPr>
                <w:ilvl w:val="0"/>
                <w:numId w:val="6"/>
              </w:numPr>
              <w:spacing w:before="0" w:beforeAutospacing="0" w:after="0" w:afterAutospacing="0"/>
              <w:jc w:val="both"/>
              <w:rPr>
                <w:color w:val="000000"/>
                <w:spacing w:val="-2"/>
                <w:shd w:val="clear" w:color="auto" w:fill="FFFFFF"/>
              </w:rPr>
            </w:pPr>
            <w:r w:rsidRPr="00712CAF">
              <w:rPr>
                <w:color w:val="000000"/>
                <w:spacing w:val="-2"/>
                <w:shd w:val="clear" w:color="auto" w:fill="FFFFFF"/>
              </w:rPr>
              <w:t>uzlikt par pārkāpumu atbildīgajai personai (fiziskajai vai juridiskajai) soda naudu līdz 1 000 000 </w:t>
            </w:r>
            <w:proofErr w:type="spellStart"/>
            <w:r w:rsidRPr="00712CAF">
              <w:rPr>
                <w:color w:val="000000"/>
                <w:spacing w:val="-2"/>
                <w:shd w:val="clear" w:color="auto" w:fill="FFFFFF"/>
              </w:rPr>
              <w:t>euro</w:t>
            </w:r>
            <w:proofErr w:type="spellEnd"/>
            <w:r w:rsidRPr="00712CAF">
              <w:rPr>
                <w:color w:val="000000"/>
                <w:spacing w:val="-2"/>
                <w:shd w:val="clear" w:color="auto" w:fill="FFFFFF"/>
              </w:rPr>
              <w:t xml:space="preserve">, </w:t>
            </w:r>
          </w:p>
          <w:p w14:paraId="71EA878F" w14:textId="77777777" w:rsidR="00303BAA" w:rsidRPr="00712CAF" w:rsidRDefault="00303BAA" w:rsidP="00BE5A71">
            <w:pPr>
              <w:pStyle w:val="tv213"/>
              <w:numPr>
                <w:ilvl w:val="0"/>
                <w:numId w:val="6"/>
              </w:numPr>
              <w:spacing w:before="0" w:beforeAutospacing="0" w:after="0" w:afterAutospacing="0"/>
              <w:jc w:val="both"/>
              <w:rPr>
                <w:color w:val="000000"/>
                <w:spacing w:val="-2"/>
                <w:shd w:val="clear" w:color="auto" w:fill="FFFFFF"/>
              </w:rPr>
            </w:pPr>
            <w:r w:rsidRPr="00712CAF">
              <w:rPr>
                <w:color w:val="000000"/>
                <w:spacing w:val="-2"/>
                <w:shd w:val="clear" w:color="auto" w:fill="FFFFFF"/>
              </w:rPr>
              <w:t xml:space="preserve">apturēt vai pārtraukt darbību, tai skaitā apturēt vai anulēt licenci (sertifikātu) vai anulēt ierakstu attiecīgā reģistrā, </w:t>
            </w:r>
          </w:p>
          <w:p w14:paraId="4D5F6346" w14:textId="77777777" w:rsidR="00303BAA" w:rsidRPr="00712CAF" w:rsidRDefault="00303BAA" w:rsidP="00BE5A71">
            <w:pPr>
              <w:pStyle w:val="tv213"/>
              <w:numPr>
                <w:ilvl w:val="0"/>
                <w:numId w:val="6"/>
              </w:numPr>
              <w:spacing w:before="0" w:beforeAutospacing="0" w:after="0" w:afterAutospacing="0"/>
              <w:jc w:val="both"/>
              <w:rPr>
                <w:color w:val="000000"/>
                <w:spacing w:val="-2"/>
                <w:shd w:val="clear" w:color="auto" w:fill="FFFFFF"/>
              </w:rPr>
            </w:pPr>
            <w:r w:rsidRPr="00712CAF">
              <w:rPr>
                <w:color w:val="000000"/>
                <w:spacing w:val="-2"/>
                <w:shd w:val="clear" w:color="auto" w:fill="FFFFFF"/>
              </w:rPr>
              <w:t xml:space="preserve">noteikt pagaidu aizliegumu par pārkāpumu atbildīgajai personai pildīt tai likuma subjekta noteiktos pienākumus, </w:t>
            </w:r>
          </w:p>
          <w:p w14:paraId="5F7044AD" w14:textId="77777777" w:rsidR="00303BAA" w:rsidRPr="00712CAF" w:rsidRDefault="00303BAA" w:rsidP="00BE5A71">
            <w:pPr>
              <w:pStyle w:val="tv213"/>
              <w:numPr>
                <w:ilvl w:val="0"/>
                <w:numId w:val="6"/>
              </w:numPr>
              <w:spacing w:before="0" w:beforeAutospacing="0" w:after="0" w:afterAutospacing="0"/>
              <w:jc w:val="both"/>
              <w:rPr>
                <w:color w:val="000000"/>
                <w:spacing w:val="-2"/>
                <w:shd w:val="clear" w:color="auto" w:fill="FFFFFF"/>
              </w:rPr>
            </w:pPr>
            <w:r w:rsidRPr="00712CAF">
              <w:rPr>
                <w:color w:val="000000"/>
                <w:spacing w:val="-2"/>
                <w:shd w:val="clear" w:color="auto" w:fill="FFFFFF"/>
              </w:rPr>
              <w:t xml:space="preserve">pienākumu veikt noteiktu rīcību vai atturēties no tās, </w:t>
            </w:r>
          </w:p>
          <w:p w14:paraId="71078F4A" w14:textId="77777777" w:rsidR="00303BAA" w:rsidRPr="00712CAF" w:rsidRDefault="00303BAA" w:rsidP="00BE5A71">
            <w:pPr>
              <w:pStyle w:val="tv213"/>
              <w:numPr>
                <w:ilvl w:val="0"/>
                <w:numId w:val="6"/>
              </w:numPr>
              <w:spacing w:before="0" w:beforeAutospacing="0" w:after="0" w:afterAutospacing="0"/>
              <w:jc w:val="both"/>
              <w:rPr>
                <w:color w:val="000000"/>
                <w:spacing w:val="-2"/>
                <w:shd w:val="clear" w:color="auto" w:fill="FFFFFF"/>
              </w:rPr>
            </w:pPr>
            <w:r w:rsidRPr="00712CAF">
              <w:rPr>
                <w:color w:val="000000"/>
                <w:spacing w:val="-2"/>
                <w:shd w:val="clear" w:color="auto" w:fill="FFFFFF"/>
              </w:rPr>
              <w:t xml:space="preserve">uzlikt par pienākumu likuma subjektam atcelt par pārkāpumu atbildīgo personu no amata (noteikts NILLTFNL 78.panta pirmās daļas 1-7.punktos), </w:t>
            </w:r>
          </w:p>
          <w:p w14:paraId="4A11000B" w14:textId="476411EC" w:rsidR="00303BAA" w:rsidRPr="00712CAF" w:rsidRDefault="00303BAA" w:rsidP="00BE5A71">
            <w:pPr>
              <w:pStyle w:val="tv213"/>
              <w:spacing w:before="0" w:beforeAutospacing="0" w:after="0" w:afterAutospacing="0"/>
              <w:jc w:val="both"/>
              <w:rPr>
                <w:color w:val="000000"/>
                <w:spacing w:val="-2"/>
                <w:shd w:val="clear" w:color="auto" w:fill="FFFFFF"/>
              </w:rPr>
            </w:pPr>
            <w:r w:rsidRPr="00712CAF">
              <w:rPr>
                <w:color w:val="000000"/>
                <w:spacing w:val="-2"/>
                <w:shd w:val="clear" w:color="auto" w:fill="FFFFFF"/>
              </w:rPr>
              <w:t xml:space="preserve">kā arī atkāpjoties no </w:t>
            </w:r>
            <w:r w:rsidR="001D143B" w:rsidRPr="00712CAF">
              <w:rPr>
                <w:color w:val="000000"/>
                <w:spacing w:val="-2"/>
                <w:shd w:val="clear" w:color="auto" w:fill="FFFFFF"/>
              </w:rPr>
              <w:t xml:space="preserve">NILLTFNL 78.panta pirmās daļas 3. punktā noteiktās sankcijas </w:t>
            </w:r>
            <w:r w:rsidRPr="00712CAF">
              <w:rPr>
                <w:color w:val="000000"/>
                <w:spacing w:val="-2"/>
                <w:shd w:val="clear" w:color="auto" w:fill="FFFFFF"/>
              </w:rPr>
              <w:t>– uzlikt par pārkāpumu atbildīgajai personai (fiziskajai vai juridiskajai) soda naudu līdz 1 000 000 </w:t>
            </w:r>
            <w:proofErr w:type="spellStart"/>
            <w:r w:rsidRPr="00712CAF">
              <w:rPr>
                <w:color w:val="000000"/>
                <w:spacing w:val="-2"/>
                <w:shd w:val="clear" w:color="auto" w:fill="FFFFFF"/>
              </w:rPr>
              <w:t>euro</w:t>
            </w:r>
            <w:proofErr w:type="spellEnd"/>
            <w:r w:rsidRPr="00712CAF">
              <w:rPr>
                <w:color w:val="000000"/>
                <w:spacing w:val="-2"/>
                <w:shd w:val="clear" w:color="auto" w:fill="FFFFFF"/>
              </w:rPr>
              <w:t>, var piemērot sekojošas sankcijas –</w:t>
            </w:r>
          </w:p>
          <w:p w14:paraId="3614448A" w14:textId="77777777" w:rsidR="00C7501B" w:rsidRDefault="00303BAA" w:rsidP="00C7501B">
            <w:pPr>
              <w:pStyle w:val="tv213"/>
              <w:numPr>
                <w:ilvl w:val="0"/>
                <w:numId w:val="7"/>
              </w:numPr>
              <w:spacing w:before="0" w:beforeAutospacing="0" w:after="0" w:afterAutospacing="0"/>
              <w:ind w:left="644"/>
              <w:jc w:val="both"/>
              <w:rPr>
                <w:color w:val="000000"/>
                <w:spacing w:val="-2"/>
                <w:shd w:val="clear" w:color="auto" w:fill="FFFFFF"/>
              </w:rPr>
            </w:pPr>
            <w:r w:rsidRPr="00712CAF">
              <w:rPr>
                <w:color w:val="000000"/>
                <w:spacing w:val="-2"/>
                <w:shd w:val="clear" w:color="auto" w:fill="FFFFFF"/>
              </w:rPr>
              <w:t xml:space="preserve"> uzlikt juridiskajai personai soda naudu līdz 10 procentiem no kopējā gada apgrozījuma saskaņā ar pēdējo apstiprināto finanšu pārskatu, kas izstrādāts, apstiprināts un revidēts, ja nepieciešams, saskaņā ar kredītiestādei vai finanšu iestādei saistošiem normatīvajiem aktiem gada pārskatu sagatavošanas </w:t>
            </w:r>
            <w:r w:rsidRPr="00712CAF">
              <w:rPr>
                <w:color w:val="000000"/>
                <w:spacing w:val="-2"/>
                <w:shd w:val="clear" w:color="auto" w:fill="FFFFFF"/>
              </w:rPr>
              <w:lastRenderedPageBreak/>
              <w:t>jomā. Ja 10 procenti no kopējā gada apgrozījuma, kas pieejams saskaņā ar šā punkta pirmajā teikumā noteikto, ir mazāk par 5 000 000 </w:t>
            </w:r>
            <w:proofErr w:type="spellStart"/>
            <w:r w:rsidRPr="00712CAF">
              <w:rPr>
                <w:color w:val="000000"/>
                <w:spacing w:val="-2"/>
                <w:shd w:val="clear" w:color="auto" w:fill="FFFFFF"/>
              </w:rPr>
              <w:t>euro</w:t>
            </w:r>
            <w:proofErr w:type="spellEnd"/>
            <w:r w:rsidRPr="00712CAF">
              <w:rPr>
                <w:color w:val="000000"/>
                <w:spacing w:val="-2"/>
                <w:shd w:val="clear" w:color="auto" w:fill="FFFFFF"/>
              </w:rPr>
              <w:t>, uzraudzības un kontroles institūcija ir tiesīga uzlikt soda naudu līdz 5 000 000 </w:t>
            </w:r>
            <w:proofErr w:type="spellStart"/>
            <w:r w:rsidRPr="00712CAF">
              <w:rPr>
                <w:color w:val="000000"/>
                <w:spacing w:val="-2"/>
                <w:shd w:val="clear" w:color="auto" w:fill="FFFFFF"/>
              </w:rPr>
              <w:t>euro</w:t>
            </w:r>
            <w:proofErr w:type="spellEnd"/>
            <w:r w:rsidRPr="00712CAF">
              <w:rPr>
                <w:color w:val="000000"/>
                <w:spacing w:val="-2"/>
                <w:shd w:val="clear" w:color="auto" w:fill="FFFFFF"/>
              </w:rPr>
              <w:t>. Ja kredītiestāde vai finanšu iestāde ir mātes sabiedrība vai mātes sabiedrības meitas sabiedrība, attiecīgais kopējais gada apgrozījums ir kopējais gada apgrozījums vai atbilstīga veida ienākumi saskaņā ar attiecīgajiem normatīvajiem aktiem un pēdējiem pieejamiem konsolidētajiem pārskatiem, kurus apstiprinājusi galvenā mātes sabiedrības vadības struktūra;</w:t>
            </w:r>
          </w:p>
          <w:p w14:paraId="4D3928AB" w14:textId="57857632" w:rsidR="00303BAA" w:rsidRPr="00DF235F" w:rsidRDefault="00303BAA" w:rsidP="00C7501B">
            <w:pPr>
              <w:pStyle w:val="tv213"/>
              <w:numPr>
                <w:ilvl w:val="0"/>
                <w:numId w:val="7"/>
              </w:numPr>
              <w:spacing w:before="0" w:beforeAutospacing="0" w:after="0" w:afterAutospacing="0"/>
              <w:ind w:left="644"/>
              <w:jc w:val="both"/>
              <w:rPr>
                <w:color w:val="000000"/>
                <w:spacing w:val="-2"/>
                <w:shd w:val="clear" w:color="auto" w:fill="FFFFFF"/>
              </w:rPr>
            </w:pPr>
            <w:r w:rsidRPr="00C7501B">
              <w:rPr>
                <w:color w:val="000000"/>
                <w:spacing w:val="-2"/>
                <w:shd w:val="clear" w:color="auto" w:fill="FFFFFF"/>
              </w:rPr>
              <w:t>uzlikt amatpersonai, darbiniekiem vai personai, kura pārkāpuma izdarīšanas laikā ir atbildīga par noteiktas darbības veikšanu kredītiestādes vai finanšu iestādes uzdevumā vai interesēs, soda naudu līdz 5 000 000 </w:t>
            </w:r>
            <w:proofErr w:type="spellStart"/>
            <w:r w:rsidRPr="00C7501B">
              <w:rPr>
                <w:color w:val="000000"/>
                <w:spacing w:val="-2"/>
                <w:shd w:val="clear" w:color="auto" w:fill="FFFFFF"/>
              </w:rPr>
              <w:t>euro</w:t>
            </w:r>
            <w:proofErr w:type="spellEnd"/>
            <w:r w:rsidRPr="00C7501B">
              <w:rPr>
                <w:color w:val="000000"/>
                <w:spacing w:val="-2"/>
                <w:shd w:val="clear" w:color="auto" w:fill="FFFFFF"/>
              </w:rPr>
              <w:t xml:space="preserve"> (atsaucoties uz </w:t>
            </w:r>
            <w:r w:rsidRPr="00DF235F">
              <w:rPr>
                <w:color w:val="000000"/>
                <w:spacing w:val="-2"/>
                <w:shd w:val="clear" w:color="auto" w:fill="FFFFFF"/>
              </w:rPr>
              <w:t>NILLTFNL</w:t>
            </w:r>
            <w:r w:rsidR="008C632E" w:rsidRPr="00DF235F">
              <w:rPr>
                <w:color w:val="000000"/>
                <w:spacing w:val="-2"/>
                <w:shd w:val="clear" w:color="auto" w:fill="FFFFFF"/>
              </w:rPr>
              <w:t xml:space="preserve"> 78.panta</w:t>
            </w:r>
            <w:r w:rsidRPr="00DF235F">
              <w:rPr>
                <w:color w:val="000000"/>
                <w:spacing w:val="-2"/>
                <w:shd w:val="clear" w:color="auto" w:fill="FFFFFF"/>
              </w:rPr>
              <w:t xml:space="preserve"> trešās daļas 1.un 2. punktu).</w:t>
            </w:r>
          </w:p>
          <w:p w14:paraId="6204B80F" w14:textId="77777777" w:rsidR="00CB2BA7" w:rsidRPr="00DF235F" w:rsidRDefault="00C7501B" w:rsidP="00C7501B">
            <w:pPr>
              <w:pStyle w:val="tv213"/>
              <w:spacing w:before="0" w:beforeAutospacing="0" w:after="0" w:afterAutospacing="0"/>
              <w:jc w:val="both"/>
              <w:rPr>
                <w:color w:val="000000" w:themeColor="text1"/>
                <w:spacing w:val="-2"/>
              </w:rPr>
            </w:pPr>
            <w:r w:rsidRPr="00DF235F">
              <w:rPr>
                <w:color w:val="000000" w:themeColor="text1"/>
                <w:spacing w:val="-2"/>
              </w:rPr>
              <w:t>Ar likumprojektu noteiktais aizliegums sadarboties ar čaulas veidojumiem ir uzskatāms par būtisku pārkāpumu un atbilstoši Finanšu un kapitāla tirgus komisijas 2017.gada 31.oktobra instrukcijai Nr.174 “Ieteikumi (vadlīnijas) sankciju un tiesisko pienākumu par noziedzīgi iegūtu līdzekļu legalizācijas un terorisma finansēšanas jomas normatīvo aktu pārkāpumiem noteikšanai finanšu un kapitāla tirgus dalībniekiem un par pārkāpumiem atbildīgajām fiziskajām personām”</w:t>
            </w:r>
            <w:r w:rsidR="00D549AD" w:rsidRPr="00DF235F">
              <w:rPr>
                <w:color w:val="000000" w:themeColor="text1"/>
                <w:spacing w:val="-2"/>
              </w:rPr>
              <w:t xml:space="preserve"> tiks piemērotas sankcijas. </w:t>
            </w:r>
          </w:p>
          <w:p w14:paraId="3797D034" w14:textId="31EA404D" w:rsidR="00C7501B" w:rsidRPr="00DF235F" w:rsidRDefault="00CB2BA7" w:rsidP="00C7501B">
            <w:pPr>
              <w:pStyle w:val="tv213"/>
              <w:spacing w:before="0" w:beforeAutospacing="0" w:after="0" w:afterAutospacing="0"/>
              <w:jc w:val="both"/>
              <w:rPr>
                <w:color w:val="000000" w:themeColor="text1"/>
                <w:spacing w:val="-2"/>
              </w:rPr>
            </w:pPr>
            <w:r w:rsidRPr="00DF235F">
              <w:rPr>
                <w:color w:val="000000" w:themeColor="text1"/>
                <w:spacing w:val="-2"/>
              </w:rPr>
              <w:t>Atbilstoši noteiktajam aizliegumam sadarboties ar čaulas veidojumiem, tiks precizēti arī Finanšu un kapitāla tirgus komisijas 2018.gada 9.janvāra normatīvie noteikumi Nr. 3 “Klientu padziļinātās izpētes normatīvie noteikumi kredītiestādēm un licencētām maksājumu un elektroniskās naudas iestādēm”.</w:t>
            </w:r>
          </w:p>
          <w:p w14:paraId="678304BF" w14:textId="77777777" w:rsidR="00897A6D" w:rsidRPr="00712CAF" w:rsidRDefault="00897A6D" w:rsidP="00BE5A71">
            <w:pPr>
              <w:tabs>
                <w:tab w:val="left" w:pos="540"/>
                <w:tab w:val="left" w:pos="900"/>
              </w:tabs>
              <w:spacing w:after="0" w:line="240" w:lineRule="auto"/>
              <w:jc w:val="both"/>
              <w:rPr>
                <w:rFonts w:ascii="Times New Roman" w:eastAsia="Times New Roman" w:hAnsi="Times New Roman" w:cs="Times New Roman"/>
                <w:color w:val="000000" w:themeColor="text1"/>
                <w:spacing w:val="-2"/>
                <w:sz w:val="24"/>
                <w:szCs w:val="24"/>
                <w:lang w:eastAsia="lv-LV"/>
              </w:rPr>
            </w:pPr>
            <w:r w:rsidRPr="00DF235F">
              <w:rPr>
                <w:rFonts w:ascii="Times New Roman" w:eastAsia="Times New Roman" w:hAnsi="Times New Roman" w:cs="Times New Roman"/>
                <w:color w:val="000000" w:themeColor="text1"/>
                <w:spacing w:val="-2"/>
                <w:sz w:val="24"/>
                <w:szCs w:val="24"/>
                <w:lang w:eastAsia="lv-LV"/>
              </w:rPr>
              <w:t xml:space="preserve">Likumprojekts </w:t>
            </w:r>
            <w:r w:rsidR="008A43DA" w:rsidRPr="00DF235F">
              <w:rPr>
                <w:rFonts w:ascii="Times New Roman" w:eastAsia="Times New Roman" w:hAnsi="Times New Roman" w:cs="Times New Roman"/>
                <w:color w:val="000000" w:themeColor="text1"/>
                <w:spacing w:val="-2"/>
                <w:sz w:val="24"/>
                <w:szCs w:val="24"/>
                <w:lang w:eastAsia="lv-LV"/>
              </w:rPr>
              <w:t xml:space="preserve">paredz uzlabot informācijas apmaiņu efektīvākai finanšu noziegumu apkarošanai. </w:t>
            </w:r>
            <w:r w:rsidR="009B4F52" w:rsidRPr="00DF235F">
              <w:rPr>
                <w:rFonts w:ascii="Times New Roman" w:eastAsia="Times New Roman" w:hAnsi="Times New Roman" w:cs="Times New Roman"/>
                <w:color w:val="000000" w:themeColor="text1"/>
                <w:spacing w:val="-2"/>
                <w:sz w:val="24"/>
                <w:szCs w:val="24"/>
                <w:lang w:eastAsia="lv-LV"/>
              </w:rPr>
              <w:t>Tieši sadarbības trūkums</w:t>
            </w:r>
            <w:bookmarkStart w:id="0" w:name="_GoBack"/>
            <w:bookmarkEnd w:id="0"/>
            <w:r w:rsidR="009B4F52" w:rsidRPr="00712CAF">
              <w:rPr>
                <w:rFonts w:ascii="Times New Roman" w:eastAsia="Times New Roman" w:hAnsi="Times New Roman" w:cs="Times New Roman"/>
                <w:color w:val="000000" w:themeColor="text1"/>
                <w:spacing w:val="-2"/>
                <w:sz w:val="24"/>
                <w:szCs w:val="24"/>
                <w:lang w:eastAsia="lv-LV"/>
              </w:rPr>
              <w:t xml:space="preserve"> un informācijas nepietiekamība ir izšķiroši faktori, kas apgrūtina gan publiskā, gan privātā sektora darbību.</w:t>
            </w:r>
            <w:r w:rsidR="00555E15" w:rsidRPr="00712CAF">
              <w:rPr>
                <w:rFonts w:ascii="Times New Roman" w:eastAsia="Times New Roman" w:hAnsi="Times New Roman" w:cs="Times New Roman"/>
                <w:color w:val="000000" w:themeColor="text1"/>
                <w:spacing w:val="-2"/>
                <w:sz w:val="24"/>
                <w:szCs w:val="24"/>
                <w:lang w:eastAsia="lv-LV"/>
              </w:rPr>
              <w:t xml:space="preserve"> Privātā sektora iesaiste informācijas apmaiņā ir būtiska ne tikai privātajam sektoram pieejamās informācijas dēļ, bet arī tādēļ, ka pēc informācijas iegūšanas no publiskā sektora tas ļauj novērst noziegumu, piemēram, kad privātais sektors liedz pieeju finanšu sektoram iespējamam pārkāpējam </w:t>
            </w:r>
            <w:r w:rsidR="00D97064" w:rsidRPr="00712CAF">
              <w:rPr>
                <w:rFonts w:ascii="Times New Roman" w:eastAsia="Times New Roman" w:hAnsi="Times New Roman" w:cs="Times New Roman"/>
                <w:color w:val="000000" w:themeColor="text1"/>
                <w:spacing w:val="-2"/>
                <w:sz w:val="24"/>
                <w:szCs w:val="24"/>
                <w:lang w:eastAsia="lv-LV"/>
              </w:rPr>
              <w:t>jau laikus, kādēļ publiskā sektora turpmāka iesaiste vēlāk nav nepieciešama, ļaujot ekonomēt publiskā sektora resursus.</w:t>
            </w:r>
          </w:p>
          <w:p w14:paraId="2859FCE3" w14:textId="77777777" w:rsidR="008A43DA" w:rsidRPr="00712CAF" w:rsidRDefault="008A43DA"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 xml:space="preserve">Pētījumi liecina, ka apmēram 80 – 90 procenti no FIU pasaules mērogā iesniegtajiem ziņojumiem par aizdomīgiem darījumiem nav bijuši noderīgi </w:t>
            </w:r>
            <w:proofErr w:type="spellStart"/>
            <w:r w:rsidRPr="00712CAF">
              <w:rPr>
                <w:rFonts w:ascii="Times New Roman" w:hAnsi="Times New Roman" w:cs="Times New Roman"/>
                <w:spacing w:val="-2"/>
                <w:sz w:val="24"/>
                <w:szCs w:val="24"/>
              </w:rPr>
              <w:t>tiesībsargājošo</w:t>
            </w:r>
            <w:proofErr w:type="spellEnd"/>
            <w:r w:rsidRPr="00712CAF">
              <w:rPr>
                <w:rFonts w:ascii="Times New Roman" w:hAnsi="Times New Roman" w:cs="Times New Roman"/>
                <w:spacing w:val="-2"/>
                <w:sz w:val="24"/>
                <w:szCs w:val="24"/>
              </w:rPr>
              <w:t xml:space="preserve"> iestāžu veiktajās izmeklēšanās. Eiropola dati liecina, ka tikai 10 procentus no iesniegtajiem ziņojumiem Eiropola dalībvalstis ir izmantojušas turpmākai izmeklēšanai. Šie dati varētu liecināt par zināmiem efektivitātes un samērīguma trūkumiem esošajā noziedzīgi iegūtu līdzekļu legalizācijas novēršanas sistēmā.</w:t>
            </w:r>
            <w:r w:rsidRPr="00712CAF">
              <w:rPr>
                <w:rStyle w:val="FootnoteReference"/>
                <w:rFonts w:ascii="Times New Roman" w:hAnsi="Times New Roman" w:cs="Times New Roman"/>
                <w:spacing w:val="-2"/>
                <w:sz w:val="24"/>
                <w:szCs w:val="24"/>
              </w:rPr>
              <w:footnoteReference w:id="1"/>
            </w:r>
            <w:r w:rsidRPr="00712CAF">
              <w:rPr>
                <w:rFonts w:ascii="Times New Roman" w:hAnsi="Times New Roman" w:cs="Times New Roman"/>
                <w:spacing w:val="-2"/>
                <w:sz w:val="24"/>
                <w:szCs w:val="24"/>
              </w:rPr>
              <w:t xml:space="preserve"> </w:t>
            </w:r>
          </w:p>
          <w:p w14:paraId="1F4760B7" w14:textId="77777777" w:rsidR="008A43DA" w:rsidRPr="00712CAF" w:rsidRDefault="008A43DA"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 xml:space="preserve">FATF vadlīnijās ir norādīts, ka publiskās un privātās partnerības ietvaros privātais sektors ir iesaistāms ne tikai kā informācijas avots, </w:t>
            </w:r>
            <w:r w:rsidRPr="00712CAF">
              <w:rPr>
                <w:rFonts w:ascii="Times New Roman" w:hAnsi="Times New Roman" w:cs="Times New Roman"/>
                <w:spacing w:val="-2"/>
                <w:sz w:val="24"/>
                <w:szCs w:val="24"/>
              </w:rPr>
              <w:lastRenderedPageBreak/>
              <w:t xml:space="preserve">bet arī kā </w:t>
            </w:r>
            <w:proofErr w:type="spellStart"/>
            <w:r w:rsidRPr="00712CAF">
              <w:rPr>
                <w:rFonts w:ascii="Times New Roman" w:hAnsi="Times New Roman" w:cs="Times New Roman"/>
                <w:spacing w:val="-2"/>
                <w:sz w:val="24"/>
                <w:szCs w:val="24"/>
              </w:rPr>
              <w:t>tiesībsargājošo</w:t>
            </w:r>
            <w:proofErr w:type="spellEnd"/>
            <w:r w:rsidRPr="00712CAF">
              <w:rPr>
                <w:rFonts w:ascii="Times New Roman" w:hAnsi="Times New Roman" w:cs="Times New Roman"/>
                <w:spacing w:val="-2"/>
                <w:sz w:val="24"/>
                <w:szCs w:val="24"/>
              </w:rPr>
              <w:t xml:space="preserve"> iestāžu </w:t>
            </w:r>
            <w:proofErr w:type="spellStart"/>
            <w:r w:rsidRPr="00712CAF">
              <w:rPr>
                <w:rFonts w:ascii="Times New Roman" w:hAnsi="Times New Roman" w:cs="Times New Roman"/>
                <w:spacing w:val="-2"/>
                <w:sz w:val="24"/>
                <w:szCs w:val="24"/>
              </w:rPr>
              <w:t>sensitīvu</w:t>
            </w:r>
            <w:proofErr w:type="spellEnd"/>
            <w:r w:rsidRPr="00712CAF">
              <w:rPr>
                <w:rFonts w:ascii="Times New Roman" w:hAnsi="Times New Roman" w:cs="Times New Roman"/>
                <w:spacing w:val="-2"/>
                <w:sz w:val="24"/>
                <w:szCs w:val="24"/>
              </w:rPr>
              <w:t xml:space="preserve"> datu un izlūkošanas informācijas saņēmējs. Lai šāda informācijas apmaiņa spētu sekmīgi noritēt, ir nepieciešama droša vide un informācijas apmaiņas “koridors”. FATF Vadlīnijās par informācijas apmaiņu privātajā sektorā tiek secināts, ka informācijas apmaiņai ir būtiska loma finanšu institūciju, uzraugu un </w:t>
            </w:r>
            <w:proofErr w:type="spellStart"/>
            <w:r w:rsidRPr="00712CAF">
              <w:rPr>
                <w:rFonts w:ascii="Times New Roman" w:hAnsi="Times New Roman" w:cs="Times New Roman"/>
                <w:spacing w:val="-2"/>
                <w:sz w:val="24"/>
                <w:szCs w:val="24"/>
              </w:rPr>
              <w:t>tiesībsargājošo</w:t>
            </w:r>
            <w:proofErr w:type="spellEnd"/>
            <w:r w:rsidRPr="00712CAF">
              <w:rPr>
                <w:rFonts w:ascii="Times New Roman" w:hAnsi="Times New Roman" w:cs="Times New Roman"/>
                <w:spacing w:val="-2"/>
                <w:sz w:val="24"/>
                <w:szCs w:val="24"/>
              </w:rPr>
              <w:t xml:space="preserve"> iestāžu darbībā, lai tās efektīvāk spētu novirzīt resursus un izstrādāt inovatīvas metodes cīņā ar noziedzīgi iegūtu līdzekļu legalizēšanu. FATF Vadlīnijās valstis tiek mudinātas apsvērt iespēju iedrošināt finanšu institūcijas apmainīties ar informāciju savā starpā, un informācijas apmaiņā būtu iesaistāmas arī </w:t>
            </w:r>
            <w:proofErr w:type="spellStart"/>
            <w:r w:rsidRPr="00712CAF">
              <w:rPr>
                <w:rFonts w:ascii="Times New Roman" w:hAnsi="Times New Roman" w:cs="Times New Roman"/>
                <w:spacing w:val="-2"/>
                <w:sz w:val="24"/>
                <w:szCs w:val="24"/>
              </w:rPr>
              <w:t>tiesībsargājošās</w:t>
            </w:r>
            <w:proofErr w:type="spellEnd"/>
            <w:r w:rsidRPr="00712CAF">
              <w:rPr>
                <w:rFonts w:ascii="Times New Roman" w:hAnsi="Times New Roman" w:cs="Times New Roman"/>
                <w:spacing w:val="-2"/>
                <w:sz w:val="24"/>
                <w:szCs w:val="24"/>
              </w:rPr>
              <w:t xml:space="preserve"> iestādes, kuras, izmantojot konkrētu lietu piemērus un specifisku informāciju par noziedzīgi iegūtu līdzekļu legalizēšanu, var sniegt daudz plašāku informācijas apjomu par noziedzības tendencēm un tipoloģiju.</w:t>
            </w:r>
            <w:r w:rsidRPr="00712CAF">
              <w:rPr>
                <w:rStyle w:val="FootnoteReference"/>
                <w:rFonts w:ascii="Times New Roman" w:hAnsi="Times New Roman" w:cs="Times New Roman"/>
                <w:spacing w:val="-2"/>
                <w:sz w:val="24"/>
                <w:szCs w:val="24"/>
              </w:rPr>
              <w:footnoteReference w:id="2"/>
            </w:r>
            <w:r w:rsidRPr="00712CAF">
              <w:rPr>
                <w:rFonts w:ascii="Times New Roman" w:hAnsi="Times New Roman" w:cs="Times New Roman"/>
                <w:spacing w:val="-2"/>
                <w:sz w:val="24"/>
                <w:szCs w:val="24"/>
              </w:rPr>
              <w:t xml:space="preserve"> </w:t>
            </w:r>
          </w:p>
          <w:p w14:paraId="10561491" w14:textId="77777777" w:rsidR="008A43DA" w:rsidRPr="00712CAF" w:rsidRDefault="008A43DA"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Trūkumi informācijas apmaiņas sistēmā var radīt dažādas problēmas un padarīt cīņu ar noziedzīgi iegūtu līdzekļu legalizēšanu</w:t>
            </w:r>
            <w:r w:rsidRPr="00712CAF">
              <w:rPr>
                <w:rFonts w:ascii="Times New Roman" w:hAnsi="Times New Roman" w:cs="Times New Roman"/>
                <w:b/>
                <w:spacing w:val="-2"/>
                <w:sz w:val="24"/>
                <w:szCs w:val="24"/>
              </w:rPr>
              <w:t xml:space="preserve"> </w:t>
            </w:r>
            <w:r w:rsidRPr="00712CAF">
              <w:rPr>
                <w:rFonts w:ascii="Times New Roman" w:hAnsi="Times New Roman" w:cs="Times New Roman"/>
                <w:spacing w:val="-2"/>
                <w:sz w:val="24"/>
                <w:szCs w:val="24"/>
              </w:rPr>
              <w:t>neefektīvu. Privātais sektors ir nozīmīgs partneris cīņā ar noziedzīgi iegūtu līdzekļu legalizēšanu</w:t>
            </w:r>
            <w:r w:rsidRPr="00712CAF">
              <w:rPr>
                <w:rFonts w:ascii="Times New Roman" w:hAnsi="Times New Roman" w:cs="Times New Roman"/>
                <w:b/>
                <w:spacing w:val="-2"/>
                <w:sz w:val="24"/>
                <w:szCs w:val="24"/>
              </w:rPr>
              <w:t xml:space="preserve"> </w:t>
            </w:r>
            <w:r w:rsidRPr="00712CAF">
              <w:rPr>
                <w:rFonts w:ascii="Times New Roman" w:hAnsi="Times New Roman" w:cs="Times New Roman"/>
                <w:spacing w:val="-2"/>
                <w:sz w:val="24"/>
                <w:szCs w:val="24"/>
              </w:rPr>
              <w:t xml:space="preserve">un var sniegt vērtīgu informāciju, kas ir būtiska </w:t>
            </w:r>
            <w:proofErr w:type="spellStart"/>
            <w:r w:rsidRPr="00712CAF">
              <w:rPr>
                <w:rFonts w:ascii="Times New Roman" w:hAnsi="Times New Roman" w:cs="Times New Roman"/>
                <w:spacing w:val="-2"/>
                <w:sz w:val="24"/>
                <w:szCs w:val="24"/>
              </w:rPr>
              <w:t>tiesībsargājošajām</w:t>
            </w:r>
            <w:proofErr w:type="spellEnd"/>
            <w:r w:rsidRPr="00712CAF">
              <w:rPr>
                <w:rFonts w:ascii="Times New Roman" w:hAnsi="Times New Roman" w:cs="Times New Roman"/>
                <w:spacing w:val="-2"/>
                <w:sz w:val="24"/>
                <w:szCs w:val="24"/>
              </w:rPr>
              <w:t xml:space="preserve"> iestādēm un citām institūcijām. Efektīva un laicīga šādas informācijas apmaiņa palīdz </w:t>
            </w:r>
            <w:proofErr w:type="spellStart"/>
            <w:r w:rsidRPr="00712CAF">
              <w:rPr>
                <w:rFonts w:ascii="Times New Roman" w:hAnsi="Times New Roman" w:cs="Times New Roman"/>
                <w:spacing w:val="-2"/>
                <w:sz w:val="24"/>
                <w:szCs w:val="24"/>
              </w:rPr>
              <w:t>tiesībsargājošajām</w:t>
            </w:r>
            <w:proofErr w:type="spellEnd"/>
            <w:r w:rsidRPr="00712CAF">
              <w:rPr>
                <w:rFonts w:ascii="Times New Roman" w:hAnsi="Times New Roman" w:cs="Times New Roman"/>
                <w:spacing w:val="-2"/>
                <w:sz w:val="24"/>
                <w:szCs w:val="24"/>
              </w:rPr>
              <w:t xml:space="preserve"> institūcijām īstenot to uzdevumus. Turklāt tam ir jābūt divu virzienu procesam starp publisko un privāto sektoru, kas var tikt sasniegts ar piemērotu informācijas apmaiņas mehānismu, kura ietvaros arī </w:t>
            </w:r>
            <w:proofErr w:type="spellStart"/>
            <w:r w:rsidRPr="00712CAF">
              <w:rPr>
                <w:rFonts w:ascii="Times New Roman" w:hAnsi="Times New Roman" w:cs="Times New Roman"/>
                <w:spacing w:val="-2"/>
                <w:sz w:val="24"/>
                <w:szCs w:val="24"/>
              </w:rPr>
              <w:t>tiesībsargājošās</w:t>
            </w:r>
            <w:proofErr w:type="spellEnd"/>
            <w:r w:rsidRPr="00712CAF">
              <w:rPr>
                <w:rFonts w:ascii="Times New Roman" w:hAnsi="Times New Roman" w:cs="Times New Roman"/>
                <w:spacing w:val="-2"/>
                <w:sz w:val="24"/>
                <w:szCs w:val="24"/>
              </w:rPr>
              <w:t xml:space="preserve"> iestādes dalītos ar stratēģisku, operatīvu, taktisku un mērķtiecīgu informāciju.</w:t>
            </w:r>
          </w:p>
          <w:p w14:paraId="515FA81C" w14:textId="4E44174F" w:rsidR="008A43DA" w:rsidRPr="00712CAF" w:rsidRDefault="008A43DA"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 xml:space="preserve">Eiropas Parlamenta un Padomes </w:t>
            </w:r>
            <w:r w:rsidR="009E7268" w:rsidRPr="00712CAF">
              <w:rPr>
                <w:rFonts w:ascii="Times New Roman" w:hAnsi="Times New Roman" w:cs="Times New Roman"/>
                <w:spacing w:val="-2"/>
                <w:sz w:val="24"/>
                <w:szCs w:val="24"/>
              </w:rPr>
              <w:t xml:space="preserve">2015.gada 20.maija </w:t>
            </w:r>
            <w:r w:rsidRPr="00712CAF">
              <w:rPr>
                <w:rFonts w:ascii="Times New Roman" w:hAnsi="Times New Roman" w:cs="Times New Roman"/>
                <w:spacing w:val="-2"/>
                <w:sz w:val="24"/>
                <w:szCs w:val="24"/>
              </w:rPr>
              <w:t xml:space="preserve">Direktīvas (ES) 2015/849 </w:t>
            </w:r>
            <w:r w:rsidR="00494138" w:rsidRPr="00712CAF">
              <w:rPr>
                <w:rFonts w:ascii="Times New Roman" w:hAnsi="Times New Roman" w:cs="Times New Roman"/>
                <w:spacing w:val="-2"/>
                <w:sz w:val="24"/>
                <w:szCs w:val="24"/>
              </w:rPr>
              <w:t>par to, lai nepieļautu finanšu sistēmas izmantošanu nelikumīgi iegūtu līdzekļu legalizēšanai vai teroristu finansēšanai, un ar ko groza Eiropas Parlamenta un Padomes Regulu (ES) Nr.684/2012 un atceļ Eiropas Parlamenta Padomes Direktīvu 2005/60/EK un Komisijas Direktīvu 2006/70/EK (turpmāk – AML IV direktīva</w:t>
            </w:r>
            <w:r w:rsidRPr="00712CAF">
              <w:rPr>
                <w:rFonts w:ascii="Times New Roman" w:hAnsi="Times New Roman" w:cs="Times New Roman"/>
                <w:spacing w:val="-2"/>
                <w:sz w:val="24"/>
                <w:szCs w:val="24"/>
              </w:rPr>
              <w:t xml:space="preserve">) </w:t>
            </w:r>
            <w:r w:rsidR="00804C27" w:rsidRPr="00712CAF">
              <w:rPr>
                <w:rFonts w:ascii="Times New Roman" w:hAnsi="Times New Roman" w:cs="Times New Roman"/>
                <w:spacing w:val="-2"/>
                <w:sz w:val="24"/>
                <w:szCs w:val="24"/>
              </w:rPr>
              <w:t xml:space="preserve"> 49.</w:t>
            </w:r>
            <w:r w:rsidRPr="00712CAF">
              <w:rPr>
                <w:rFonts w:ascii="Times New Roman" w:hAnsi="Times New Roman" w:cs="Times New Roman"/>
                <w:spacing w:val="-2"/>
                <w:sz w:val="24"/>
                <w:szCs w:val="24"/>
              </w:rPr>
              <w:t>pants paredz dalībvalstīm pienākumu nodrošināt, lai politikas veidotājiem, finanšu izlūkošanas vienībām (turpmāk – FIU), uzraudzītājiem un citām kompetentajām iestādēm, kas iesaistītas nelikumīgi iegūtu līdzekļu legalizēšanas novēršanā un teroristu finansēšanas apkarošanā, būtu efektīvi mehānismi, tā lai tās iekšzemē varētu sadarboties un koordinēt politikas un pasākumu izstrādi un īstenošanu nolūkā apkarot nelikumīgi iegūtu līdzekļu legalizēšanu un teroristu finansēšanu, tostarp, izpild</w:t>
            </w:r>
            <w:r w:rsidR="00804C27" w:rsidRPr="00712CAF">
              <w:rPr>
                <w:rFonts w:ascii="Times New Roman" w:hAnsi="Times New Roman" w:cs="Times New Roman"/>
                <w:spacing w:val="-2"/>
                <w:sz w:val="24"/>
                <w:szCs w:val="24"/>
              </w:rPr>
              <w:t xml:space="preserve">īt savu pienākumu saskaņā ar </w:t>
            </w:r>
            <w:r w:rsidR="003A1FC3" w:rsidRPr="00712CAF">
              <w:rPr>
                <w:rFonts w:ascii="Times New Roman" w:hAnsi="Times New Roman" w:cs="Times New Roman"/>
                <w:spacing w:val="-2"/>
                <w:sz w:val="24"/>
                <w:szCs w:val="24"/>
              </w:rPr>
              <w:t xml:space="preserve">AML IV direktīvas </w:t>
            </w:r>
            <w:r w:rsidR="00804C27" w:rsidRPr="00712CAF">
              <w:rPr>
                <w:rFonts w:ascii="Times New Roman" w:hAnsi="Times New Roman" w:cs="Times New Roman"/>
                <w:spacing w:val="-2"/>
                <w:sz w:val="24"/>
                <w:szCs w:val="24"/>
              </w:rPr>
              <w:t>7.</w:t>
            </w:r>
            <w:r w:rsidRPr="00712CAF">
              <w:rPr>
                <w:rFonts w:ascii="Times New Roman" w:hAnsi="Times New Roman" w:cs="Times New Roman"/>
                <w:spacing w:val="-2"/>
                <w:sz w:val="24"/>
                <w:szCs w:val="24"/>
              </w:rPr>
              <w:t>pantu.</w:t>
            </w:r>
          </w:p>
          <w:p w14:paraId="5DC1252B" w14:textId="77777777" w:rsidR="008A43DA" w:rsidRPr="00712CAF" w:rsidRDefault="008A43DA"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 xml:space="preserve">Par vienu no </w:t>
            </w:r>
            <w:proofErr w:type="spellStart"/>
            <w:r w:rsidRPr="00712CAF">
              <w:rPr>
                <w:rFonts w:ascii="Times New Roman" w:hAnsi="Times New Roman" w:cs="Times New Roman"/>
                <w:spacing w:val="-2"/>
                <w:sz w:val="24"/>
                <w:szCs w:val="24"/>
              </w:rPr>
              <w:t>visdaudzsološākajiem</w:t>
            </w:r>
            <w:proofErr w:type="spellEnd"/>
            <w:r w:rsidRPr="00712CAF">
              <w:rPr>
                <w:rFonts w:ascii="Times New Roman" w:hAnsi="Times New Roman" w:cs="Times New Roman"/>
                <w:spacing w:val="-2"/>
                <w:sz w:val="24"/>
                <w:szCs w:val="24"/>
              </w:rPr>
              <w:t xml:space="preserve"> informācijas apmaiņas veidiem FATF Vadlīnijās tiek atzīta </w:t>
            </w:r>
            <w:r w:rsidRPr="00712CAF">
              <w:rPr>
                <w:rFonts w:ascii="Times New Roman" w:hAnsi="Times New Roman" w:cs="Times New Roman"/>
                <w:b/>
                <w:spacing w:val="-2"/>
                <w:sz w:val="24"/>
                <w:szCs w:val="24"/>
              </w:rPr>
              <w:t>privātā un publiskā sektora partnerība</w:t>
            </w:r>
            <w:r w:rsidRPr="00712CAF">
              <w:rPr>
                <w:rFonts w:ascii="Times New Roman" w:hAnsi="Times New Roman" w:cs="Times New Roman"/>
                <w:spacing w:val="-2"/>
                <w:sz w:val="24"/>
                <w:szCs w:val="24"/>
              </w:rPr>
              <w:t xml:space="preserve">, kas tiek attīstīta vairākās valstīs un ir sniegusi pozitīvus rezultātus. Šādu partnerību ietvaros informācijas apmaiņa notiek starp </w:t>
            </w:r>
            <w:proofErr w:type="spellStart"/>
            <w:r w:rsidRPr="00712CAF">
              <w:rPr>
                <w:rFonts w:ascii="Times New Roman" w:hAnsi="Times New Roman" w:cs="Times New Roman"/>
                <w:spacing w:val="-2"/>
                <w:sz w:val="24"/>
                <w:szCs w:val="24"/>
              </w:rPr>
              <w:t>tiesībsargājošajām</w:t>
            </w:r>
            <w:proofErr w:type="spellEnd"/>
            <w:r w:rsidRPr="00712CAF">
              <w:rPr>
                <w:rFonts w:ascii="Times New Roman" w:hAnsi="Times New Roman" w:cs="Times New Roman"/>
                <w:spacing w:val="-2"/>
                <w:sz w:val="24"/>
                <w:szCs w:val="24"/>
              </w:rPr>
              <w:t xml:space="preserve"> iestādēm, FIU, attiecīga līmeņa drošības pielaidi saņēmušiem privātā sektora dalībniekiem (</w:t>
            </w:r>
            <w:proofErr w:type="spellStart"/>
            <w:r w:rsidRPr="00712CAF">
              <w:rPr>
                <w:rFonts w:ascii="Times New Roman" w:hAnsi="Times New Roman" w:cs="Times New Roman"/>
                <w:spacing w:val="-2"/>
                <w:sz w:val="24"/>
                <w:szCs w:val="24"/>
              </w:rPr>
              <w:t>v</w:t>
            </w:r>
            <w:r w:rsidRPr="00712CAF">
              <w:rPr>
                <w:rFonts w:ascii="Times New Roman" w:hAnsi="Times New Roman" w:cs="Times New Roman"/>
                <w:i/>
                <w:spacing w:val="-2"/>
                <w:sz w:val="24"/>
                <w:szCs w:val="24"/>
              </w:rPr>
              <w:t>etted</w:t>
            </w:r>
            <w:proofErr w:type="spellEnd"/>
            <w:r w:rsidRPr="00712CAF">
              <w:rPr>
                <w:rFonts w:ascii="Times New Roman" w:hAnsi="Times New Roman" w:cs="Times New Roman"/>
                <w:i/>
                <w:spacing w:val="-2"/>
                <w:sz w:val="24"/>
                <w:szCs w:val="24"/>
              </w:rPr>
              <w:t xml:space="preserve"> </w:t>
            </w:r>
            <w:proofErr w:type="spellStart"/>
            <w:r w:rsidRPr="00712CAF">
              <w:rPr>
                <w:rFonts w:ascii="Times New Roman" w:hAnsi="Times New Roman" w:cs="Times New Roman"/>
                <w:i/>
                <w:spacing w:val="-2"/>
                <w:sz w:val="24"/>
                <w:szCs w:val="24"/>
              </w:rPr>
              <w:t>personnel</w:t>
            </w:r>
            <w:proofErr w:type="spellEnd"/>
            <w:r w:rsidRPr="00712CAF">
              <w:rPr>
                <w:rFonts w:ascii="Times New Roman" w:hAnsi="Times New Roman" w:cs="Times New Roman"/>
                <w:spacing w:val="-2"/>
                <w:sz w:val="24"/>
                <w:szCs w:val="24"/>
              </w:rPr>
              <w:t xml:space="preserve">) un atsevišķos gadījumos arī starptautiskajiem partneriem. Šāda informācijas apmaiņa parasti notiek drošā vidē, lai atvieglotu datu ieguves procesu, operatīvo analīzi un izpēti, ko veic privātais sektors, </w:t>
            </w:r>
            <w:r w:rsidRPr="00712CAF">
              <w:rPr>
                <w:rFonts w:ascii="Times New Roman" w:hAnsi="Times New Roman" w:cs="Times New Roman"/>
                <w:spacing w:val="-2"/>
                <w:sz w:val="24"/>
                <w:szCs w:val="24"/>
              </w:rPr>
              <w:lastRenderedPageBreak/>
              <w:t>lai aizpildītu potenciālos informācijas robus un padarītu efektīvāku aizdomīgu darījumu ziņošanu.</w:t>
            </w:r>
          </w:p>
          <w:p w14:paraId="55BBCB25" w14:textId="514CB3F7" w:rsidR="00804C27" w:rsidRPr="00712CAF" w:rsidRDefault="008A43DA"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color w:val="000000" w:themeColor="text1"/>
                <w:spacing w:val="-2"/>
                <w:sz w:val="24"/>
                <w:szCs w:val="24"/>
                <w:shd w:val="clear" w:color="auto" w:fill="FFFFFF"/>
              </w:rPr>
              <w:t xml:space="preserve">Eiropas Parlamenta un Padomes </w:t>
            </w:r>
            <w:r w:rsidR="0031089F" w:rsidRPr="00712CAF">
              <w:rPr>
                <w:rFonts w:ascii="Times New Roman" w:hAnsi="Times New Roman" w:cs="Times New Roman"/>
                <w:color w:val="000000" w:themeColor="text1"/>
                <w:spacing w:val="-2"/>
                <w:sz w:val="24"/>
                <w:szCs w:val="24"/>
                <w:shd w:val="clear" w:color="auto" w:fill="FFFFFF"/>
              </w:rPr>
              <w:t xml:space="preserve">2016.gada 27.aprīļa </w:t>
            </w:r>
            <w:r w:rsidRPr="00712CAF">
              <w:rPr>
                <w:rFonts w:ascii="Times New Roman" w:hAnsi="Times New Roman" w:cs="Times New Roman"/>
                <w:color w:val="000000" w:themeColor="text1"/>
                <w:spacing w:val="-2"/>
                <w:sz w:val="24"/>
                <w:szCs w:val="24"/>
                <w:shd w:val="clear" w:color="auto" w:fill="FFFFFF"/>
              </w:rPr>
              <w:t>Re</w:t>
            </w:r>
            <w:r w:rsidR="00804C27" w:rsidRPr="00712CAF">
              <w:rPr>
                <w:rFonts w:ascii="Times New Roman" w:hAnsi="Times New Roman" w:cs="Times New Roman"/>
                <w:color w:val="000000" w:themeColor="text1"/>
                <w:spacing w:val="-2"/>
                <w:sz w:val="24"/>
                <w:szCs w:val="24"/>
                <w:shd w:val="clear" w:color="auto" w:fill="FFFFFF"/>
              </w:rPr>
              <w:t>gulas (ES) 2016/679</w:t>
            </w:r>
            <w:r w:rsidR="0031089F" w:rsidRPr="00712CAF">
              <w:rPr>
                <w:rFonts w:ascii="Times New Roman" w:hAnsi="Times New Roman" w:cs="Times New Roman"/>
                <w:color w:val="000000" w:themeColor="text1"/>
                <w:spacing w:val="-2"/>
                <w:sz w:val="24"/>
                <w:szCs w:val="24"/>
                <w:shd w:val="clear" w:color="auto" w:fill="FFFFFF"/>
              </w:rPr>
              <w:t xml:space="preserve"> par fizisku personu aizsardzību attiecībā uz personas datu apstrādi un šādu datu brīvu apriti un ar ko atceļ Direktīvu 95/46/EK (Vispārīgā datu aizsardzības regula)</w:t>
            </w:r>
            <w:r w:rsidR="00804C27" w:rsidRPr="00712CAF">
              <w:rPr>
                <w:rFonts w:ascii="Times New Roman" w:hAnsi="Times New Roman" w:cs="Times New Roman"/>
                <w:color w:val="000000" w:themeColor="text1"/>
                <w:spacing w:val="-2"/>
                <w:sz w:val="24"/>
                <w:szCs w:val="24"/>
                <w:shd w:val="clear" w:color="auto" w:fill="FFFFFF"/>
              </w:rPr>
              <w:t xml:space="preserve"> 6.panta 1.</w:t>
            </w:r>
            <w:r w:rsidRPr="00712CAF">
              <w:rPr>
                <w:rFonts w:ascii="Times New Roman" w:hAnsi="Times New Roman" w:cs="Times New Roman"/>
                <w:color w:val="000000" w:themeColor="text1"/>
                <w:spacing w:val="-2"/>
                <w:sz w:val="24"/>
                <w:szCs w:val="24"/>
                <w:shd w:val="clear" w:color="auto" w:fill="FFFFFF"/>
              </w:rPr>
              <w:t>punkta “e” apakšpunkts paredz, ka datu apstrāde ir likumīga, ja apstrāde ir vajadzīga, lai izpildītu uzdevumu, ko veic sabiedrības interesēs vai īstenojot pārzinim likumīgi piešķirtas pilnvaras.</w:t>
            </w:r>
            <w:r w:rsidRPr="00712CAF">
              <w:rPr>
                <w:rFonts w:ascii="Times New Roman" w:hAnsi="Times New Roman" w:cs="Times New Roman"/>
                <w:spacing w:val="-2"/>
                <w:sz w:val="24"/>
                <w:szCs w:val="24"/>
              </w:rPr>
              <w:t xml:space="preserve"> IV. direktīvas </w:t>
            </w:r>
            <w:r w:rsidR="00804C27" w:rsidRPr="00712CAF">
              <w:rPr>
                <w:rFonts w:ascii="Times New Roman" w:hAnsi="Times New Roman" w:cs="Times New Roman"/>
                <w:spacing w:val="-2"/>
                <w:sz w:val="24"/>
                <w:szCs w:val="24"/>
              </w:rPr>
              <w:t>42.</w:t>
            </w:r>
            <w:r w:rsidRPr="00712CAF">
              <w:rPr>
                <w:rFonts w:ascii="Times New Roman" w:hAnsi="Times New Roman" w:cs="Times New Roman"/>
                <w:spacing w:val="-2"/>
                <w:sz w:val="24"/>
                <w:szCs w:val="24"/>
              </w:rPr>
              <w:t xml:space="preserve">ievada apsvērums paredz, ka cīņu pret nelikumīgi iegūtu līdzekļu legalizēšanu un teroristu finansēšanu visas dalībvalstīs ir atzinušas par svarīgu sabiedrības interesēm. Savukārt </w:t>
            </w:r>
            <w:r w:rsidR="009B4F52" w:rsidRPr="00712CAF">
              <w:rPr>
                <w:rFonts w:ascii="Times New Roman" w:hAnsi="Times New Roman" w:cs="Times New Roman"/>
                <w:spacing w:val="-2"/>
                <w:sz w:val="24"/>
                <w:szCs w:val="24"/>
              </w:rPr>
              <w:t>IV. </w:t>
            </w:r>
            <w:r w:rsidR="00804C27" w:rsidRPr="00712CAF">
              <w:rPr>
                <w:rFonts w:ascii="Times New Roman" w:hAnsi="Times New Roman" w:cs="Times New Roman"/>
                <w:spacing w:val="-2"/>
                <w:sz w:val="24"/>
                <w:szCs w:val="24"/>
              </w:rPr>
              <w:t>direktīvas 43.</w:t>
            </w:r>
            <w:r w:rsidRPr="00712CAF">
              <w:rPr>
                <w:rFonts w:ascii="Times New Roman" w:hAnsi="Times New Roman" w:cs="Times New Roman"/>
                <w:spacing w:val="-2"/>
                <w:sz w:val="24"/>
                <w:szCs w:val="24"/>
              </w:rPr>
              <w:t>pants noteic, ka datu apstrāde, pamatojoties uz šo direktīvu, nelikumīgi iegūtu līdzekļu legalizēšanas un teroristu finansēšanas novēršanas nolūkos notiek sabiedrības interesēs saskaņā ar Direkt</w:t>
            </w:r>
            <w:r w:rsidR="00804C27" w:rsidRPr="00712CAF">
              <w:rPr>
                <w:rFonts w:ascii="Times New Roman" w:hAnsi="Times New Roman" w:cs="Times New Roman"/>
                <w:spacing w:val="-2"/>
                <w:sz w:val="24"/>
                <w:szCs w:val="24"/>
              </w:rPr>
              <w:t>īvu 95/46/EK (no 2018.gada 25.</w:t>
            </w:r>
            <w:r w:rsidRPr="00712CAF">
              <w:rPr>
                <w:rFonts w:ascii="Times New Roman" w:hAnsi="Times New Roman" w:cs="Times New Roman"/>
                <w:spacing w:val="-2"/>
                <w:sz w:val="24"/>
                <w:szCs w:val="24"/>
              </w:rPr>
              <w:t>maija – Regula (ES) 2016/679).</w:t>
            </w:r>
          </w:p>
          <w:p w14:paraId="206D3332" w14:textId="77777777" w:rsidR="008A43DA" w:rsidRPr="00712CAF" w:rsidRDefault="00804C27" w:rsidP="00BE5A71">
            <w:pPr>
              <w:spacing w:after="0" w:line="240" w:lineRule="auto"/>
              <w:jc w:val="both"/>
              <w:rPr>
                <w:rFonts w:ascii="Times New Roman" w:eastAsia="Times New Roman" w:hAnsi="Times New Roman" w:cs="Times New Roman"/>
                <w:spacing w:val="-2"/>
                <w:sz w:val="24"/>
                <w:szCs w:val="24"/>
                <w:lang w:eastAsia="lv-LV"/>
              </w:rPr>
            </w:pPr>
            <w:r w:rsidRPr="00712CAF">
              <w:rPr>
                <w:rFonts w:ascii="Times New Roman" w:hAnsi="Times New Roman" w:cs="Times New Roman"/>
                <w:spacing w:val="-2"/>
                <w:sz w:val="24"/>
                <w:szCs w:val="24"/>
              </w:rPr>
              <w:t xml:space="preserve">Satversmes 96.pantā paredzēto </w:t>
            </w:r>
            <w:proofErr w:type="spellStart"/>
            <w:r w:rsidRPr="00712CAF">
              <w:rPr>
                <w:rFonts w:ascii="Times New Roman" w:hAnsi="Times New Roman" w:cs="Times New Roman"/>
                <w:spacing w:val="-2"/>
                <w:sz w:val="24"/>
                <w:szCs w:val="24"/>
              </w:rPr>
              <w:t>pamattiesību</w:t>
            </w:r>
            <w:proofErr w:type="spellEnd"/>
            <w:r w:rsidRPr="00712CAF">
              <w:rPr>
                <w:rFonts w:ascii="Times New Roman" w:hAnsi="Times New Roman" w:cs="Times New Roman"/>
                <w:spacing w:val="-2"/>
                <w:sz w:val="24"/>
                <w:szCs w:val="24"/>
              </w:rPr>
              <w:t xml:space="preserve"> ierobežojums – personas datu apstrāde – nepieciešams Satversmes 116.pantā noteiktā leģitīmā mērķa sasniegšanai. </w:t>
            </w:r>
            <w:r w:rsidR="008A43DA" w:rsidRPr="00712CAF">
              <w:rPr>
                <w:rFonts w:ascii="Times New Roman" w:eastAsia="Times New Roman" w:hAnsi="Times New Roman" w:cs="Times New Roman"/>
                <w:spacing w:val="-2"/>
                <w:sz w:val="24"/>
                <w:szCs w:val="24"/>
                <w:lang w:eastAsia="lv-LV"/>
              </w:rPr>
              <w:t xml:space="preserve">Satversmes tiesa ir secinājusi, ka personu būtiski </w:t>
            </w:r>
            <w:proofErr w:type="spellStart"/>
            <w:r w:rsidR="008A43DA" w:rsidRPr="00712CAF">
              <w:rPr>
                <w:rFonts w:ascii="Times New Roman" w:eastAsia="Times New Roman" w:hAnsi="Times New Roman" w:cs="Times New Roman"/>
                <w:spacing w:val="-2"/>
                <w:sz w:val="24"/>
                <w:szCs w:val="24"/>
                <w:lang w:eastAsia="lv-LV"/>
              </w:rPr>
              <w:t>pamattiesību</w:t>
            </w:r>
            <w:proofErr w:type="spellEnd"/>
            <w:r w:rsidR="008A43DA" w:rsidRPr="00712CAF">
              <w:rPr>
                <w:rFonts w:ascii="Times New Roman" w:eastAsia="Times New Roman" w:hAnsi="Times New Roman" w:cs="Times New Roman"/>
                <w:spacing w:val="-2"/>
                <w:sz w:val="24"/>
                <w:szCs w:val="24"/>
                <w:lang w:eastAsia="lv-LV"/>
              </w:rPr>
              <w:t xml:space="preserve"> ierobežojumi saistībā ar noziedzīgi iegūtu līdzekļu legalizēšanu ir nepieciešami sabiedrības drošības aizsardzībai.</w:t>
            </w:r>
            <w:r w:rsidR="008A43DA" w:rsidRPr="00712CAF">
              <w:rPr>
                <w:rStyle w:val="FootnoteReference"/>
                <w:rFonts w:ascii="Times New Roman" w:hAnsi="Times New Roman" w:cs="Times New Roman"/>
                <w:spacing w:val="-2"/>
                <w:sz w:val="24"/>
                <w:szCs w:val="24"/>
              </w:rPr>
              <w:footnoteReference w:id="3"/>
            </w:r>
            <w:r w:rsidR="008A43DA" w:rsidRPr="00712CAF">
              <w:rPr>
                <w:rFonts w:ascii="Times New Roman" w:eastAsia="Times New Roman" w:hAnsi="Times New Roman" w:cs="Times New Roman"/>
                <w:spacing w:val="-2"/>
                <w:sz w:val="24"/>
                <w:szCs w:val="24"/>
                <w:lang w:eastAsia="lv-LV"/>
              </w:rPr>
              <w:t xml:space="preserve"> </w:t>
            </w:r>
            <w:r w:rsidR="008A43DA" w:rsidRPr="00712CAF">
              <w:rPr>
                <w:rFonts w:ascii="Times New Roman" w:hAnsi="Times New Roman" w:cs="Times New Roman"/>
                <w:spacing w:val="-2"/>
                <w:sz w:val="24"/>
                <w:szCs w:val="24"/>
              </w:rPr>
              <w:t>Līdz ar to datu apstrāde, kas tiek veikta ar mērķi novērst nelikumīgi iegūtu līdzekļu legalizēšanu un teroristu finansēšanu, ir likumīga</w:t>
            </w:r>
            <w:r w:rsidR="008222D3" w:rsidRPr="00712CAF">
              <w:rPr>
                <w:rFonts w:ascii="Times New Roman" w:hAnsi="Times New Roman" w:cs="Times New Roman"/>
                <w:spacing w:val="-2"/>
                <w:sz w:val="24"/>
                <w:szCs w:val="24"/>
              </w:rPr>
              <w:t xml:space="preserve"> un samērīga</w:t>
            </w:r>
            <w:r w:rsidR="008A43DA" w:rsidRPr="00712CAF">
              <w:rPr>
                <w:rFonts w:ascii="Times New Roman" w:hAnsi="Times New Roman" w:cs="Times New Roman"/>
                <w:spacing w:val="-2"/>
                <w:sz w:val="24"/>
                <w:szCs w:val="24"/>
              </w:rPr>
              <w:t>, un uz šādu datu apstrādi attiecas visi izņēmumi, kas attiecas uz datu apstrādi, kas nepieciešama, lai izpildītu uzdevumu,</w:t>
            </w:r>
            <w:r w:rsidR="008222D3" w:rsidRPr="00712CAF">
              <w:rPr>
                <w:rFonts w:ascii="Times New Roman" w:hAnsi="Times New Roman" w:cs="Times New Roman"/>
                <w:spacing w:val="-2"/>
                <w:sz w:val="24"/>
                <w:szCs w:val="24"/>
              </w:rPr>
              <w:t xml:space="preserve"> ko veic sabiedrības interesēs. Netiek paredzēts jauns informācijas izsniegšanas pamats vai jauni subjekti, kuri šai informācijai līdz šim nedrīkstēja piekļūt, bet ir noteikta papildu platforma informācijas analīzei. Kā pierādījumu kriminālprocesā šo informāciju varēs izmantot, ievērojot tikai šobrīd spēkā esošo kārtību.</w:t>
            </w:r>
          </w:p>
          <w:p w14:paraId="1851B618" w14:textId="77777777" w:rsidR="00F26450" w:rsidRPr="00712CAF" w:rsidRDefault="008A43DA"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Likumprojektā paredz</w:t>
            </w:r>
            <w:r w:rsidR="007C55D6" w:rsidRPr="00712CAF">
              <w:rPr>
                <w:rFonts w:ascii="Times New Roman" w:hAnsi="Times New Roman" w:cs="Times New Roman"/>
                <w:spacing w:val="-2"/>
                <w:sz w:val="24"/>
                <w:szCs w:val="24"/>
              </w:rPr>
              <w:t xml:space="preserve">ēts, ka sadarbības ietvaru veidot uz Kontroles dienesta bāzes. Pirmkārt, tas atbilst jau šobrīd noteiktajām Kontroles dienesta statusam un pilnvarām. Otrkārt, tas ļauj nodrošināt objektīvu kontroli pār informācijas apmaiņu. Treškārt, citi normatīvie akti (piemēram, Kredītiestāžu likums) paredz informācijas sniegšanu Kontroles dienestam kā leģitīmu pamatu. Ceturtkārt, likumprojektā paredzētais mehānisms ļaus efektīvāk strādāt ar ziņojumiem par aizdomīgiem darījumiem, veicinot to fokusētāku izmantošanu un iespēju analizēt konkrētus gadījumus, piedaloties iesaistītajām institūcijām klātienē. </w:t>
            </w:r>
          </w:p>
          <w:p w14:paraId="11C381A6" w14:textId="77777777" w:rsidR="008A43DA" w:rsidRPr="00712CAF" w:rsidRDefault="00F26450"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 xml:space="preserve">Tas būtiski mazinās administratīvo slogu informācijas apritē starp tiesībaizsardzības iestādēm un likuma subjektiem, jo ļaus iepriekš noskaidrot pieprasāmās informācijas būtību, parametrus un tādējādi apstrādāt tikai tos datus, kas patiešām ir būtiski konkrētu lietu izmeklēšanai. </w:t>
            </w:r>
          </w:p>
          <w:p w14:paraId="1451895C" w14:textId="77777777" w:rsidR="0047103E" w:rsidRPr="00712CAF" w:rsidRDefault="00F26450" w:rsidP="00BE5A71">
            <w:pPr>
              <w:tabs>
                <w:tab w:val="left" w:pos="0"/>
              </w:tabs>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 xml:space="preserve">Likumprojekts nemaina un neatceļ citos likumos noteikto kārtību, kādā pieprasāma informācija, sniedzami ziņojumi par aizdomīgiem darījumiem vai iegūstami pierādījumiem. Likumprojektā paredzētais risinājums paredz iespēju iepriekš sagatavoties šo darbību veikšanai. </w:t>
            </w:r>
            <w:r w:rsidRPr="00712CAF">
              <w:rPr>
                <w:rFonts w:ascii="Times New Roman" w:hAnsi="Times New Roman" w:cs="Times New Roman"/>
                <w:spacing w:val="-2"/>
                <w:sz w:val="24"/>
                <w:szCs w:val="24"/>
              </w:rPr>
              <w:lastRenderedPageBreak/>
              <w:t>Savlaicīga informācijas iegūšana par konkrētām personām veicinās kredītiestāžu kapacitāti izbeigt sadarbību ar klientiem, par kuriem kredītiestādei pašai nebija pietiekami daudz informācijas visu risku apzinā</w:t>
            </w:r>
            <w:r w:rsidR="0047103E" w:rsidRPr="00712CAF">
              <w:rPr>
                <w:rFonts w:ascii="Times New Roman" w:hAnsi="Times New Roman" w:cs="Times New Roman"/>
                <w:spacing w:val="-2"/>
                <w:sz w:val="24"/>
                <w:szCs w:val="24"/>
              </w:rPr>
              <w:t xml:space="preserve">šanai. </w:t>
            </w:r>
          </w:p>
          <w:p w14:paraId="170F4FE9" w14:textId="77777777" w:rsidR="0047103E" w:rsidRPr="00712CAF" w:rsidRDefault="00F26450" w:rsidP="00BE5A71">
            <w:pPr>
              <w:tabs>
                <w:tab w:val="left" w:pos="0"/>
              </w:tabs>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 xml:space="preserve">Likumprojektā paredzētais risinājums neuzliek par pienākumu iesaistītajām pusēm sniegt informāciju likumprojektā paredzētās kārtības ietvaros, proti, bankas nevar pieprasīt atklāt izmeklēšanas noslēpumu vai kāda valsts institūcija – banku noslēpumu. Informācijas apmaiņa sākotnēji balstās efektīvā sadarbībā, kas ir brīvprātīga, un pēc tam tā tiek nostiprināta normatīvajos aktos jau šobrīd paredzētajā kārtībā. </w:t>
            </w:r>
          </w:p>
          <w:p w14:paraId="41796E0B" w14:textId="77777777" w:rsidR="00804C27" w:rsidRPr="00712CAF" w:rsidRDefault="00804C27" w:rsidP="00BE5A71">
            <w:pPr>
              <w:tabs>
                <w:tab w:val="left" w:pos="0"/>
              </w:tabs>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 xml:space="preserve">Kontroles dienests pats noteiks, par kādu jautājumu un ar kādu iesaistīto personu loku nepieciešams veicināt sadarbību, nosakot sanāksmju laikus un formātus. To mērķis ir veicināt daudzpusēji izdevīgu sadarbību, darbu, analizējot konkrētas personas un lietas, nevis vispārīgu viedokļu apmaiņu. </w:t>
            </w:r>
          </w:p>
          <w:p w14:paraId="6A7F7203" w14:textId="77777777" w:rsidR="0047103E" w:rsidRPr="00712CAF" w:rsidRDefault="0047103E" w:rsidP="00BE5A71">
            <w:pPr>
              <w:tabs>
                <w:tab w:val="left" w:pos="0"/>
              </w:tabs>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I</w:t>
            </w:r>
            <w:r w:rsidR="00CE1397" w:rsidRPr="00712CAF">
              <w:rPr>
                <w:rFonts w:ascii="Times New Roman" w:hAnsi="Times New Roman" w:cs="Times New Roman"/>
                <w:spacing w:val="-2"/>
                <w:sz w:val="24"/>
                <w:szCs w:val="24"/>
              </w:rPr>
              <w:t xml:space="preserve">nterpretējot Kriminālprocesa likuma 375. panta pirmo daļu, Augstākā tiesa ir secinājusi, ka no minētās tiesību normas atbilstoši tās jēgai un mērķim nav secināms, ka krimināllietas materiāli nekādā gadījumā kriminālprocesa laikā nav izsniedzami normā neminētām personām. Kriminālprocesa likuma 375. panta pirmajā daļā minētais izmeklēšanas noslēpums saprotams nevis kā vispārējs aizliegums </w:t>
            </w:r>
            <w:proofErr w:type="spellStart"/>
            <w:r w:rsidR="00CE1397" w:rsidRPr="00712CAF">
              <w:rPr>
                <w:rFonts w:ascii="Times New Roman" w:hAnsi="Times New Roman" w:cs="Times New Roman"/>
                <w:spacing w:val="-2"/>
                <w:sz w:val="24"/>
                <w:szCs w:val="24"/>
              </w:rPr>
              <w:t>pirmstiesas</w:t>
            </w:r>
            <w:proofErr w:type="spellEnd"/>
            <w:r w:rsidR="00CE1397" w:rsidRPr="00712CAF">
              <w:rPr>
                <w:rFonts w:ascii="Times New Roman" w:hAnsi="Times New Roman" w:cs="Times New Roman"/>
                <w:spacing w:val="-2"/>
                <w:sz w:val="24"/>
                <w:szCs w:val="24"/>
              </w:rPr>
              <w:t xml:space="preserve"> procesā izsniegt krimināllietas materiālus šajā normā neminētām personām, bet gan ir vērsts uz kriminālprocesa mērķa sasniegšanu. Proti, tas dod iespēju procesa virzītājam izlemt, vai lietas materiālu izsniegšana konkrētajā brīdī un konkrētajai personai nekaitē izmeklēšanas interesēm, un vajadzības gadījumā atteikt materiālu izsniegšanu.</w:t>
            </w:r>
            <w:r w:rsidR="00CE1397" w:rsidRPr="00712CAF">
              <w:rPr>
                <w:rStyle w:val="FootnoteReference"/>
                <w:rFonts w:ascii="Times New Roman" w:hAnsi="Times New Roman" w:cs="Times New Roman"/>
                <w:spacing w:val="-2"/>
                <w:sz w:val="24"/>
                <w:szCs w:val="24"/>
              </w:rPr>
              <w:footnoteReference w:id="4"/>
            </w:r>
          </w:p>
          <w:p w14:paraId="3645CB03" w14:textId="77777777" w:rsidR="0047103E" w:rsidRPr="00712CAF" w:rsidRDefault="00A96CEF" w:rsidP="00BE5A71">
            <w:pPr>
              <w:tabs>
                <w:tab w:val="left" w:pos="0"/>
              </w:tabs>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 xml:space="preserve">Likuma “Par nodokļiem un nodevām” 22.panta otrās daļas 5.punkts paredz, ka nodokļu administrācijas ierēdnis (darbinieks) drīkst sniegt informāciju par nodokļu maksātāju bez viņa piekrišanas “citu valsts pārvaldes funkciju un uzdevumu izpildes nodrošināšanai”, kā arī valsts institūciju funkciju izpildes nodrošināšanai attiecībā uz informāciju, kura ir vienīgi nodokļu administrācijas rīcībā vai kuru nodokļu administrācijai atbilstoši tās kompetencei ir pienākums radīt. Ja tiek pieņemti grozījumi Noziedzīgi iegūtu līdzekļu legalizācijas un terorisma finansēšanas novēršanas likumā paredzētajos gadījumos, tad jau spēkā esošās tiesību normas ļauj nodokļu administrācijas ierēdnim (darbiniekam) būs tiesības izpaust informāciju ne tikai Kontroles dienestam viņa līdz šim veicamo uzdevumu izpildei, bet arī Kontroles dienesta Starpinstitūciju un finanšu sektora apvienotās darba grupai, kuras locekļi </w:t>
            </w:r>
            <w:r w:rsidR="0047103E" w:rsidRPr="00712CAF">
              <w:rPr>
                <w:rFonts w:ascii="Times New Roman" w:hAnsi="Times New Roman" w:cs="Times New Roman"/>
                <w:spacing w:val="-2"/>
                <w:sz w:val="24"/>
                <w:szCs w:val="24"/>
              </w:rPr>
              <w:t>varēs būt arī finanšu iestādes.</w:t>
            </w:r>
          </w:p>
          <w:p w14:paraId="2E89F77A" w14:textId="7004CAF3" w:rsidR="0047103E" w:rsidRPr="00712CAF" w:rsidRDefault="009B4F52" w:rsidP="00BE5A71">
            <w:pPr>
              <w:tabs>
                <w:tab w:val="left" w:pos="0"/>
              </w:tabs>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Operatīvās darbības likuma 24.</w:t>
            </w:r>
            <w:r w:rsidR="00A96CEF" w:rsidRPr="00712CAF">
              <w:rPr>
                <w:rFonts w:ascii="Times New Roman" w:hAnsi="Times New Roman" w:cs="Times New Roman"/>
                <w:spacing w:val="-2"/>
                <w:sz w:val="24"/>
                <w:szCs w:val="24"/>
              </w:rPr>
              <w:t>panta otrā daļa paredz, ka operatīvās darbības pasākumu gaitā iegūtos materiālus un ziņas var izmantot sagatavojot un veicot likumā paredzētās izmeklēšanas darbībās krimināllietās, plānojot un veicot operatīvās darbības pasākumus, kā arī</w:t>
            </w:r>
            <w:r w:rsidR="00A96CEF" w:rsidRPr="00712CAF">
              <w:rPr>
                <w:rFonts w:ascii="Times New Roman" w:hAnsi="Times New Roman" w:cs="Times New Roman"/>
                <w:b/>
                <w:spacing w:val="-2"/>
                <w:sz w:val="24"/>
                <w:szCs w:val="24"/>
              </w:rPr>
              <w:t xml:space="preserve"> </w:t>
            </w:r>
            <w:r w:rsidR="00A96CEF" w:rsidRPr="00712CAF">
              <w:rPr>
                <w:rFonts w:ascii="Times New Roman" w:hAnsi="Times New Roman" w:cs="Times New Roman"/>
                <w:spacing w:val="-2"/>
                <w:sz w:val="24"/>
                <w:szCs w:val="24"/>
              </w:rPr>
              <w:t xml:space="preserve">analizējot kriminogēno situāciju un izstrādājot pasākumus tās uzlabošanai, atklājot reālo un potenciālo draudu faktorus un to avotus. </w:t>
            </w:r>
            <w:r w:rsidR="00A96CEF" w:rsidRPr="00712CAF">
              <w:rPr>
                <w:rFonts w:ascii="Times New Roman" w:hAnsi="Times New Roman" w:cs="Times New Roman"/>
                <w:spacing w:val="-2"/>
                <w:sz w:val="24"/>
                <w:szCs w:val="24"/>
              </w:rPr>
              <w:lastRenderedPageBreak/>
              <w:t xml:space="preserve">Operatīvās darbības likuma 4.panta pirmā daļa paredz, ka operatīvās darbības organizēšanā un veikšanā ir pieļaujama sadarbība ar iedzīvotājiem, kā arī iedzīvotāju palīdzības saņemšana. Savukārt šā likuma 28.panta pirmās daļas 3.punkts noteic, ka operatīvās darbības subjektiem un to amatpersonā ir tiesības iesaistīt operatīvās darbības pasākumu veikšanā atsevišķas amatpersonas, lietpratējus (speciālistus, ekspertus) zinātnes, tehnikas un citās jomās, kā arī atsevišķas personas ar to piekrišanu. Kopsakarā interpretējot abas iepriekš minētās normas secināms, ka kredītiestāžu un citu institūciju pārstāvji sadarbības principa ietvaros varētu tikt iepazīstināti ar atsevišķu operatīvās darbības pasākumu rezultātā </w:t>
            </w:r>
            <w:r w:rsidR="0047103E" w:rsidRPr="00712CAF">
              <w:rPr>
                <w:rFonts w:ascii="Times New Roman" w:hAnsi="Times New Roman" w:cs="Times New Roman"/>
                <w:spacing w:val="-2"/>
                <w:sz w:val="24"/>
                <w:szCs w:val="24"/>
              </w:rPr>
              <w:t>iegūto informāciju.</w:t>
            </w:r>
          </w:p>
          <w:p w14:paraId="7DE7BE6F" w14:textId="77777777" w:rsidR="0047103E" w:rsidRPr="00712CAF" w:rsidRDefault="0047103E"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K</w:t>
            </w:r>
            <w:r w:rsidR="009B4F52" w:rsidRPr="00712CAF">
              <w:rPr>
                <w:rFonts w:ascii="Times New Roman" w:hAnsi="Times New Roman" w:cs="Times New Roman"/>
                <w:spacing w:val="-2"/>
                <w:sz w:val="24"/>
                <w:szCs w:val="24"/>
              </w:rPr>
              <w:t>redītiestāžu likuma 63.</w:t>
            </w:r>
            <w:r w:rsidRPr="00712CAF">
              <w:rPr>
                <w:rFonts w:ascii="Times New Roman" w:hAnsi="Times New Roman" w:cs="Times New Roman"/>
                <w:spacing w:val="-2"/>
                <w:sz w:val="24"/>
                <w:szCs w:val="24"/>
              </w:rPr>
              <w:t>panta pirmā daļa paredz, ka Kredītiestādes rīcībā esošās neizpaužamās ziņas valsts institūcijai, valsts amatpersonai vai citai iestādei un amatpersonai arī Noziedzīgi iegūtu līdzekļu legalizācijas novēršanas dienestam – </w:t>
            </w:r>
            <w:hyperlink r:id="rId7" w:tgtFrame="_blank" w:history="1">
              <w:r w:rsidRPr="00712CAF">
                <w:rPr>
                  <w:rStyle w:val="Hyperlink"/>
                  <w:rFonts w:ascii="Times New Roman" w:hAnsi="Times New Roman" w:cs="Times New Roman"/>
                  <w:color w:val="000000" w:themeColor="text1"/>
                  <w:spacing w:val="-2"/>
                  <w:sz w:val="24"/>
                  <w:szCs w:val="24"/>
                </w:rPr>
                <w:t>Noziedzīgi iegūtu līdzekļu legalizācijas un terorisma finansēšanas novēršanas likumā</w:t>
              </w:r>
            </w:hyperlink>
            <w:r w:rsidRPr="00712CAF">
              <w:rPr>
                <w:rFonts w:ascii="Times New Roman" w:hAnsi="Times New Roman" w:cs="Times New Roman"/>
                <w:spacing w:val="-2"/>
                <w:sz w:val="24"/>
                <w:szCs w:val="24"/>
              </w:rPr>
              <w:t> noteiktajā kārtībā un apjomā;</w:t>
            </w:r>
          </w:p>
          <w:p w14:paraId="3E81B497" w14:textId="77777777" w:rsidR="0047103E" w:rsidRPr="00712CAF" w:rsidRDefault="0047103E" w:rsidP="00BE5A71">
            <w:pPr>
              <w:spacing w:after="0" w:line="240" w:lineRule="auto"/>
              <w:jc w:val="both"/>
              <w:rPr>
                <w:rFonts w:ascii="Times New Roman" w:hAnsi="Times New Roman" w:cs="Times New Roman"/>
                <w:b/>
                <w:spacing w:val="-2"/>
                <w:sz w:val="24"/>
                <w:szCs w:val="24"/>
              </w:rPr>
            </w:pPr>
            <w:r w:rsidRPr="00712CAF">
              <w:rPr>
                <w:rFonts w:ascii="Times New Roman" w:hAnsi="Times New Roman" w:cs="Times New Roman"/>
                <w:spacing w:val="-2"/>
                <w:sz w:val="24"/>
                <w:szCs w:val="24"/>
              </w:rPr>
              <w:t>Kredītiestāžu likuma 63.panta pirmās daļas 2.punkts nosaka, ka kredītiestāde sniedz ziņas Kontroles dienestam Noziedzīgi iegūtu līdzekļu legalizācijas un terorisma finansēšanas novēršanas likuma noteiktajā kārtībā un apjomā. Tas nozīmē, ka Kredītiestāžu likums neregulē to, kādā apjomā un kārtībā kredītiestādes sniedz ziņas Kontroles dienestam</w:t>
            </w:r>
            <w:r w:rsidRPr="00712CAF">
              <w:rPr>
                <w:rFonts w:ascii="Times New Roman" w:hAnsi="Times New Roman" w:cs="Times New Roman"/>
                <w:b/>
                <w:spacing w:val="-2"/>
                <w:sz w:val="24"/>
                <w:szCs w:val="24"/>
              </w:rPr>
              <w:t xml:space="preserve">. </w:t>
            </w:r>
          </w:p>
          <w:p w14:paraId="10F9DFE6" w14:textId="77777777" w:rsidR="00367EB1" w:rsidRPr="00712CAF" w:rsidRDefault="00367EB1"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 xml:space="preserve">Likumprojekts paredz arī veikt grozījumus NILLTFNL 56. un 57.pantā, turpmāk nosakot, ka Kontroles dienests sniedz informāciju pēc operatīvās darbības subjektu, </w:t>
            </w:r>
            <w:proofErr w:type="spellStart"/>
            <w:r w:rsidRPr="00712CAF">
              <w:rPr>
                <w:rFonts w:ascii="Times New Roman" w:hAnsi="Times New Roman" w:cs="Times New Roman"/>
                <w:spacing w:val="-2"/>
                <w:sz w:val="24"/>
                <w:szCs w:val="24"/>
              </w:rPr>
              <w:t>pirmstiesas</w:t>
            </w:r>
            <w:proofErr w:type="spellEnd"/>
            <w:r w:rsidRPr="00712CAF">
              <w:rPr>
                <w:rFonts w:ascii="Times New Roman" w:hAnsi="Times New Roman" w:cs="Times New Roman"/>
                <w:spacing w:val="-2"/>
                <w:sz w:val="24"/>
                <w:szCs w:val="24"/>
              </w:rPr>
              <w:t xml:space="preserve"> izmeklēšanas iestāžu, prokuratūras pieprasījuma operatīvās darbības procesā vai kriminālprocesā bez ģenerālprokurora vai īpaši pilnvarotu prokuroru no likumības un pamatotības viedokļa izvērtēta akcepta. </w:t>
            </w:r>
          </w:p>
          <w:p w14:paraId="5D0F2244" w14:textId="001E9133" w:rsidR="00367EB1" w:rsidRPr="00712CAF" w:rsidRDefault="00647F90"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Atteikšanās no ģenerālprokurora vai īpaši pilnvarotu prokuroru akcepta</w:t>
            </w:r>
            <w:r w:rsidR="00367EB1" w:rsidRPr="00712CAF">
              <w:rPr>
                <w:rFonts w:ascii="Times New Roman" w:hAnsi="Times New Roman" w:cs="Times New Roman"/>
                <w:spacing w:val="-2"/>
                <w:sz w:val="24"/>
                <w:szCs w:val="24"/>
              </w:rPr>
              <w:t xml:space="preserve"> ir nepieciešam</w:t>
            </w:r>
            <w:r w:rsidRPr="00712CAF">
              <w:rPr>
                <w:rFonts w:ascii="Times New Roman" w:hAnsi="Times New Roman" w:cs="Times New Roman"/>
                <w:spacing w:val="-2"/>
                <w:sz w:val="24"/>
                <w:szCs w:val="24"/>
              </w:rPr>
              <w:t>a</w:t>
            </w:r>
            <w:r w:rsidR="00367EB1" w:rsidRPr="00712CAF">
              <w:rPr>
                <w:rFonts w:ascii="Times New Roman" w:hAnsi="Times New Roman" w:cs="Times New Roman"/>
                <w:spacing w:val="-2"/>
                <w:sz w:val="24"/>
                <w:szCs w:val="24"/>
              </w:rPr>
              <w:t xml:space="preserve">, lai nodrošinātu efektīvāku informācijas apmaiņu attiecībā uz noziedzīgi iegūtu līdzekļu legalizēšanas un terorisma finansēšanas apkarošanu. </w:t>
            </w:r>
          </w:p>
          <w:p w14:paraId="28A26EE2" w14:textId="77777777" w:rsidR="00367EB1" w:rsidRPr="00712CAF" w:rsidRDefault="00367EB1" w:rsidP="00BE5A71">
            <w:pPr>
              <w:spacing w:after="0" w:line="240" w:lineRule="auto"/>
              <w:jc w:val="both"/>
              <w:rPr>
                <w:rFonts w:ascii="Times New Roman" w:hAnsi="Times New Roman" w:cs="Times New Roman"/>
                <w:spacing w:val="-2"/>
                <w:sz w:val="24"/>
                <w:szCs w:val="24"/>
              </w:rPr>
            </w:pPr>
            <w:r w:rsidRPr="00712CAF">
              <w:rPr>
                <w:rFonts w:ascii="Times New Roman" w:hAnsi="Times New Roman" w:cs="Times New Roman"/>
                <w:spacing w:val="-2"/>
                <w:sz w:val="24"/>
                <w:szCs w:val="24"/>
              </w:rPr>
              <w:t xml:space="preserve">Ievērojot Latvijas paaugstinātos noziedzīgi iegūtu līdzekļu legalizācijas riskus, ir nepieciešams nodrošināt </w:t>
            </w:r>
            <w:proofErr w:type="spellStart"/>
            <w:r w:rsidRPr="00712CAF">
              <w:rPr>
                <w:rFonts w:ascii="Times New Roman" w:hAnsi="Times New Roman" w:cs="Times New Roman"/>
                <w:spacing w:val="-2"/>
                <w:sz w:val="24"/>
                <w:szCs w:val="24"/>
              </w:rPr>
              <w:t>tiesībsargājošās</w:t>
            </w:r>
            <w:proofErr w:type="spellEnd"/>
            <w:r w:rsidRPr="00712CAF">
              <w:rPr>
                <w:rFonts w:ascii="Times New Roman" w:hAnsi="Times New Roman" w:cs="Times New Roman"/>
                <w:spacing w:val="-2"/>
                <w:sz w:val="24"/>
                <w:szCs w:val="24"/>
              </w:rPr>
              <w:t xml:space="preserve"> iestādes ar atbilstošām pilnvarām efektīvi atklāt un izmeklēt noziedzīgi iegūtu līdzekļu legalizēšanas un terorisma finansēšanas gadījumus. </w:t>
            </w:r>
          </w:p>
          <w:p w14:paraId="4E3A31EC" w14:textId="77777777" w:rsidR="00897A6D" w:rsidRPr="00712CAF" w:rsidRDefault="008A43DA" w:rsidP="00BE5A71">
            <w:pPr>
              <w:tabs>
                <w:tab w:val="left" w:pos="540"/>
                <w:tab w:val="left" w:pos="900"/>
              </w:tabs>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Likumprojekts ir steidzams pēc būtības, jo tika apstiprināts Finanšu sektora attīstības padomes 2018.gada 21.marta un 3.aprīļa sēdē kā steidzamības kārtā īstenojamais pasākums uz risku balstītas uzraudzības pasākumu pilnveidošanai un augsta riska biznesa modeļu straujākai pārskatīšanai, līdz ar to tam jāstājas spēkā pēc iespējas ātrāk t.i. nākamajā dienā pēc tā izsludināšanas.</w:t>
            </w:r>
          </w:p>
        </w:tc>
      </w:tr>
      <w:tr w:rsidR="00CB5006" w:rsidRPr="00712CAF" w14:paraId="51DD6091" w14:textId="77777777" w:rsidTr="00E16FFA">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4F349F9" w14:textId="77777777" w:rsidR="009840E3" w:rsidRPr="00712CAF" w:rsidRDefault="009840E3"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lastRenderedPageBreak/>
              <w:t>3.</w:t>
            </w:r>
          </w:p>
        </w:tc>
        <w:tc>
          <w:tcPr>
            <w:tcW w:w="1079" w:type="pct"/>
            <w:tcBorders>
              <w:top w:val="outset" w:sz="6" w:space="0" w:color="auto"/>
              <w:left w:val="outset" w:sz="6" w:space="0" w:color="auto"/>
              <w:bottom w:val="outset" w:sz="6" w:space="0" w:color="auto"/>
              <w:right w:val="outset" w:sz="6" w:space="0" w:color="auto"/>
            </w:tcBorders>
            <w:hideMark/>
          </w:tcPr>
          <w:p w14:paraId="546998AB" w14:textId="77777777" w:rsidR="009840E3" w:rsidRPr="00712CAF" w:rsidRDefault="009840E3"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7212AF56" w14:textId="77777777" w:rsidR="009840E3" w:rsidRPr="00712CAF" w:rsidRDefault="008838EF" w:rsidP="00BE5A71">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Finanšu ministrija, </w:t>
            </w:r>
            <w:r w:rsidR="002E4CD9" w:rsidRPr="00712CAF">
              <w:rPr>
                <w:rFonts w:ascii="Times New Roman" w:eastAsia="Times New Roman" w:hAnsi="Times New Roman" w:cs="Times New Roman"/>
                <w:color w:val="000000" w:themeColor="text1"/>
                <w:spacing w:val="-2"/>
                <w:sz w:val="24"/>
                <w:szCs w:val="24"/>
                <w:lang w:eastAsia="lv-LV"/>
              </w:rPr>
              <w:t xml:space="preserve">Tieslietu ministrija, </w:t>
            </w:r>
            <w:r w:rsidR="009359B4" w:rsidRPr="00712CAF">
              <w:rPr>
                <w:rFonts w:ascii="Times New Roman" w:eastAsia="Times New Roman" w:hAnsi="Times New Roman" w:cs="Times New Roman"/>
                <w:color w:val="000000" w:themeColor="text1"/>
                <w:spacing w:val="-2"/>
                <w:sz w:val="24"/>
                <w:szCs w:val="24"/>
                <w:lang w:eastAsia="lv-LV"/>
              </w:rPr>
              <w:t xml:space="preserve">Finanšu </w:t>
            </w:r>
            <w:r w:rsidR="00512810" w:rsidRPr="00712CAF">
              <w:rPr>
                <w:rFonts w:ascii="Times New Roman" w:eastAsia="Times New Roman" w:hAnsi="Times New Roman" w:cs="Times New Roman"/>
                <w:color w:val="000000" w:themeColor="text1"/>
                <w:spacing w:val="-2"/>
                <w:sz w:val="24"/>
                <w:szCs w:val="24"/>
                <w:lang w:eastAsia="lv-LV"/>
              </w:rPr>
              <w:t>un kapitāla tirgus komisija, Latvijas Komercbanku asociācija, Latvijas Banka, lielāko kredītiestāžu pārstāvji.</w:t>
            </w:r>
          </w:p>
        </w:tc>
      </w:tr>
      <w:tr w:rsidR="00CB5006" w:rsidRPr="00712CAF" w14:paraId="3BE0884D" w14:textId="77777777" w:rsidTr="00E16FFA">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4CE6AED" w14:textId="77777777" w:rsidR="009840E3" w:rsidRPr="00712CAF" w:rsidRDefault="009840E3"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lastRenderedPageBreak/>
              <w:t>4.</w:t>
            </w:r>
          </w:p>
        </w:tc>
        <w:tc>
          <w:tcPr>
            <w:tcW w:w="1079" w:type="pct"/>
            <w:tcBorders>
              <w:top w:val="outset" w:sz="6" w:space="0" w:color="auto"/>
              <w:left w:val="outset" w:sz="6" w:space="0" w:color="auto"/>
              <w:bottom w:val="outset" w:sz="6" w:space="0" w:color="auto"/>
              <w:right w:val="outset" w:sz="6" w:space="0" w:color="auto"/>
            </w:tcBorders>
            <w:hideMark/>
          </w:tcPr>
          <w:p w14:paraId="6DE8CE2D" w14:textId="77777777" w:rsidR="009840E3" w:rsidRPr="00712CAF" w:rsidRDefault="009840E3" w:rsidP="00BE5A71">
            <w:pPr>
              <w:spacing w:after="0" w:line="240" w:lineRule="auto"/>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173A8A83" w14:textId="4E8B0029" w:rsidR="009840E3" w:rsidRPr="00712CAF" w:rsidRDefault="008A43DA"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Attiecībā uz informācijas apmaiņas veicināšanu veikta ASV, Austrālijas un Lielbritānijas jaunāko modeļu analīze (it īpaši </w:t>
            </w:r>
            <w:r w:rsidRPr="00712CAF">
              <w:rPr>
                <w:rFonts w:ascii="Times New Roman" w:hAnsi="Times New Roman" w:cs="Times New Roman"/>
                <w:spacing w:val="-2"/>
                <w:sz w:val="24"/>
                <w:szCs w:val="24"/>
              </w:rPr>
              <w:t>JMLIT Operatīvā grupas modelis Lielbritānijā)</w:t>
            </w:r>
            <w:r w:rsidRPr="00712CAF">
              <w:rPr>
                <w:rFonts w:ascii="Times New Roman" w:eastAsia="Times New Roman" w:hAnsi="Times New Roman" w:cs="Times New Roman"/>
                <w:color w:val="000000" w:themeColor="text1"/>
                <w:spacing w:val="-2"/>
                <w:sz w:val="24"/>
                <w:szCs w:val="24"/>
                <w:lang w:eastAsia="lv-LV"/>
              </w:rPr>
              <w:t xml:space="preserve">, par pamatu ņemot risinājumus, kas pielāgojami Latvijas situācijai. </w:t>
            </w:r>
          </w:p>
        </w:tc>
      </w:tr>
    </w:tbl>
    <w:p w14:paraId="2FD9BB1B"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 xml:space="preserve">  </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2514"/>
        <w:gridCol w:w="5994"/>
      </w:tblGrid>
      <w:tr w:rsidR="00CB5006" w:rsidRPr="00712CAF" w14:paraId="4427E592" w14:textId="77777777" w:rsidTr="00590EA0">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4EEBB913" w14:textId="77777777" w:rsidR="00655F2C" w:rsidRPr="00712CAF" w:rsidRDefault="00E5323B" w:rsidP="00BE5A71">
            <w:pPr>
              <w:spacing w:after="0" w:line="240" w:lineRule="auto"/>
              <w:rPr>
                <w:rFonts w:ascii="Times New Roman" w:eastAsia="Times New Roman" w:hAnsi="Times New Roman" w:cs="Times New Roman"/>
                <w:b/>
                <w:bCs/>
                <w:iCs/>
                <w:color w:val="000000" w:themeColor="text1"/>
                <w:spacing w:val="-2"/>
                <w:sz w:val="24"/>
                <w:szCs w:val="24"/>
                <w:lang w:eastAsia="lv-LV"/>
              </w:rPr>
            </w:pPr>
            <w:r w:rsidRPr="00712CAF">
              <w:rPr>
                <w:rFonts w:ascii="Times New Roman" w:eastAsia="Times New Roman" w:hAnsi="Times New Roman" w:cs="Times New Roman"/>
                <w:b/>
                <w:bCs/>
                <w:iCs/>
                <w:color w:val="000000" w:themeColor="text1"/>
                <w:spacing w:val="-2"/>
                <w:sz w:val="24"/>
                <w:szCs w:val="24"/>
                <w:lang w:eastAsia="lv-LV"/>
              </w:rPr>
              <w:t>II. Tiesību akta projekta ietekme uz sabiedrību, tautsaimniecības attīstību un administratīvo slogu</w:t>
            </w:r>
          </w:p>
        </w:tc>
      </w:tr>
      <w:tr w:rsidR="00CB5006" w:rsidRPr="00712CAF" w14:paraId="0AA5AF37" w14:textId="77777777" w:rsidTr="00E16FFA">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499ED972" w14:textId="77777777" w:rsidR="00D6487B" w:rsidRPr="00712CAF" w:rsidRDefault="00D6487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1.</w:t>
            </w:r>
          </w:p>
        </w:tc>
        <w:tc>
          <w:tcPr>
            <w:tcW w:w="1401" w:type="pct"/>
            <w:tcBorders>
              <w:top w:val="outset" w:sz="6" w:space="0" w:color="auto"/>
              <w:left w:val="outset" w:sz="6" w:space="0" w:color="auto"/>
              <w:bottom w:val="outset" w:sz="6" w:space="0" w:color="auto"/>
              <w:right w:val="outset" w:sz="6" w:space="0" w:color="auto"/>
            </w:tcBorders>
            <w:hideMark/>
          </w:tcPr>
          <w:p w14:paraId="6E08C839" w14:textId="77777777" w:rsidR="00D6487B" w:rsidRPr="00712CAF" w:rsidRDefault="00D6487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 xml:space="preserve">Sabiedrības </w:t>
            </w:r>
            <w:proofErr w:type="spellStart"/>
            <w:r w:rsidRPr="00712CAF">
              <w:rPr>
                <w:rFonts w:ascii="Times New Roman" w:eastAsia="Times New Roman" w:hAnsi="Times New Roman" w:cs="Times New Roman"/>
                <w:iCs/>
                <w:color w:val="000000" w:themeColor="text1"/>
                <w:spacing w:val="-2"/>
                <w:sz w:val="24"/>
                <w:szCs w:val="24"/>
                <w:lang w:eastAsia="lv-LV"/>
              </w:rPr>
              <w:t>mērķgrupas</w:t>
            </w:r>
            <w:proofErr w:type="spellEnd"/>
            <w:r w:rsidRPr="00712CAF">
              <w:rPr>
                <w:rFonts w:ascii="Times New Roman" w:eastAsia="Times New Roman" w:hAnsi="Times New Roman" w:cs="Times New Roman"/>
                <w:iCs/>
                <w:color w:val="000000" w:themeColor="text1"/>
                <w:spacing w:val="-2"/>
                <w:sz w:val="24"/>
                <w:szCs w:val="24"/>
                <w:lang w:eastAsia="lv-LV"/>
              </w:rPr>
              <w:t>, kuras tiesiskais regulējums ietekmē vai varētu ietekmēt</w:t>
            </w:r>
          </w:p>
        </w:tc>
        <w:tc>
          <w:tcPr>
            <w:tcW w:w="3323" w:type="pct"/>
            <w:tcBorders>
              <w:top w:val="outset" w:sz="6" w:space="0" w:color="auto"/>
              <w:left w:val="outset" w:sz="6" w:space="0" w:color="auto"/>
              <w:bottom w:val="outset" w:sz="6" w:space="0" w:color="auto"/>
              <w:right w:val="outset" w:sz="6" w:space="0" w:color="auto"/>
            </w:tcBorders>
            <w:hideMark/>
          </w:tcPr>
          <w:p w14:paraId="61F61C6E" w14:textId="77777777" w:rsidR="00D6487B" w:rsidRPr="00712CAF" w:rsidRDefault="00D6487B"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Likumprojekta tiesiskais regulējums attiecas uz visām</w:t>
            </w:r>
          </w:p>
          <w:p w14:paraId="39AD8D31" w14:textId="77777777" w:rsidR="00D6487B" w:rsidRPr="00712CAF" w:rsidRDefault="00D6487B"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kredītiestādēm, MI ENI, IBS un IPS, kas veic savu darbību Latvijā, ierobežojot šo finanšu iestāžu iespējas sadarboties ar klientiem – čaulas veidojumiem.</w:t>
            </w:r>
          </w:p>
          <w:p w14:paraId="520E537C" w14:textId="426118ED" w:rsidR="00D6487B" w:rsidRPr="00712CAF" w:rsidRDefault="00D6487B"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Likumprojekta tiesiskais regulējums neierobežos Latvijas Republikā reģistrētu juridisko personu iespējas sadarboties ar finanšu iestādēm, jo saskaņā ar Latvijas Republikas normatīvajiem aktiem Latvijas Republikā reģistrētām juridiskām personām ir pienākums sagatavot un iesniegt attiecīgajām valsts pārraudzības institūcijām finanšu pārskatus, tai skaitā gada finanšu pārskatu par savu darbību, tādējādi uz Latvijas Republikā reģistrētām juridiskām personām pēc būtības nevar tikt attiecināta NILLTFNL 1.panta 15.</w:t>
            </w:r>
            <w:r w:rsidRPr="00712CAF">
              <w:rPr>
                <w:rFonts w:ascii="Times New Roman" w:eastAsia="Times New Roman" w:hAnsi="Times New Roman" w:cs="Times New Roman"/>
                <w:color w:val="000000" w:themeColor="text1"/>
                <w:spacing w:val="-2"/>
                <w:sz w:val="24"/>
                <w:szCs w:val="24"/>
                <w:vertAlign w:val="superscript"/>
                <w:lang w:eastAsia="lv-LV"/>
              </w:rPr>
              <w:t>1</w:t>
            </w:r>
            <w:r w:rsidRPr="00712CAF">
              <w:rPr>
                <w:rFonts w:ascii="Times New Roman" w:eastAsia="Times New Roman" w:hAnsi="Times New Roman" w:cs="Times New Roman"/>
                <w:color w:val="000000" w:themeColor="text1"/>
                <w:spacing w:val="-2"/>
                <w:sz w:val="24"/>
                <w:szCs w:val="24"/>
                <w:lang w:eastAsia="lv-LV"/>
              </w:rPr>
              <w:t xml:space="preserve"> punkta b) apakšpunktā ietvertā pazīme - valstī, kurā juridiskā persona reģistrēta, normatīvie akti neparedz pienākumu sagatavot un iesniegt attiecīgās valsts pārraudzības institūcijām finanšu pārskatus, tai skaitā gada finanšu pārskatus, par savu darbību. Likumprojekts ietekmēs ārvalstu (nerezidentu) klientus, kuri ir augstāka riska klienti – čaulas veidojumi, jo pēc likumprojektā ietvertās atbilstības divām noteiktajām pazīmēm ar šiem klientiem darījuma attiecības tiks izbeigtas un gadījuma rakstura darījumi netiks uzsākti. Vienlaikus jāatzīmē, ka atsevišķās EEZ valstīs nav prasība sagatavot un sniegt finanšu pārskatus, līdz ar to attiecībā uz juridiskām personām, kas reģistrētas šādās valstīs, ir papildus jāvērtē NILLTFNL 1.panta 15.</w:t>
            </w:r>
            <w:r w:rsidRPr="00712CAF">
              <w:rPr>
                <w:rFonts w:ascii="Times New Roman" w:eastAsia="Times New Roman" w:hAnsi="Times New Roman" w:cs="Times New Roman"/>
                <w:color w:val="000000" w:themeColor="text1"/>
                <w:spacing w:val="-2"/>
                <w:sz w:val="24"/>
                <w:szCs w:val="24"/>
                <w:vertAlign w:val="superscript"/>
                <w:lang w:eastAsia="lv-LV"/>
              </w:rPr>
              <w:t>1</w:t>
            </w:r>
            <w:r w:rsidR="00264E0D" w:rsidRPr="00712CAF">
              <w:rPr>
                <w:rFonts w:ascii="Times New Roman" w:eastAsia="Times New Roman" w:hAnsi="Times New Roman" w:cs="Times New Roman"/>
                <w:color w:val="000000" w:themeColor="text1"/>
                <w:spacing w:val="-2"/>
                <w:sz w:val="24"/>
                <w:szCs w:val="24"/>
                <w:vertAlign w:val="superscript"/>
                <w:lang w:eastAsia="lv-LV"/>
              </w:rPr>
              <w:t xml:space="preserve"> </w:t>
            </w:r>
            <w:r w:rsidR="00264E0D" w:rsidRPr="00712CAF">
              <w:rPr>
                <w:rFonts w:ascii="Times New Roman" w:eastAsia="Times New Roman" w:hAnsi="Times New Roman" w:cs="Times New Roman"/>
                <w:color w:val="000000" w:themeColor="text1"/>
                <w:spacing w:val="-2"/>
                <w:sz w:val="24"/>
                <w:szCs w:val="24"/>
                <w:lang w:eastAsia="lv-LV"/>
              </w:rPr>
              <w:t>punkta</w:t>
            </w:r>
            <w:r w:rsidRPr="00712CAF">
              <w:rPr>
                <w:rFonts w:ascii="Times New Roman" w:eastAsia="Times New Roman" w:hAnsi="Times New Roman" w:cs="Times New Roman"/>
                <w:color w:val="000000" w:themeColor="text1"/>
                <w:spacing w:val="-2"/>
                <w:sz w:val="24"/>
                <w:szCs w:val="24"/>
                <w:lang w:eastAsia="lv-LV"/>
              </w:rPr>
              <w:t xml:space="preserve"> a) apakšpunktā ietvertā pazīme -  nav juridiskās personas saistības ar faktisku saimniecisko darbību un juridiskās personas darbība veido mazu vai neveido nekādu ekonomisko vērtību un likuma subjekta rīcībā nav dokumentāras informācijas, kas pierāda pretējo. Sadarbība netiek ierobežota, ja juridiskā persona spēj demonstrēt tās saistību ar faktisku saimniecisko darbību.</w:t>
            </w:r>
          </w:p>
        </w:tc>
      </w:tr>
      <w:tr w:rsidR="00CB5006" w:rsidRPr="00712CAF" w14:paraId="270E5CBF" w14:textId="77777777" w:rsidTr="00E16FFA">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113F8B6D" w14:textId="77777777" w:rsidR="00D6487B" w:rsidRPr="00712CAF" w:rsidRDefault="00D6487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2.</w:t>
            </w:r>
          </w:p>
        </w:tc>
        <w:tc>
          <w:tcPr>
            <w:tcW w:w="1401" w:type="pct"/>
            <w:tcBorders>
              <w:top w:val="outset" w:sz="6" w:space="0" w:color="auto"/>
              <w:left w:val="outset" w:sz="6" w:space="0" w:color="auto"/>
              <w:bottom w:val="outset" w:sz="6" w:space="0" w:color="auto"/>
              <w:right w:val="outset" w:sz="6" w:space="0" w:color="auto"/>
            </w:tcBorders>
            <w:hideMark/>
          </w:tcPr>
          <w:p w14:paraId="4DD4A226" w14:textId="77777777" w:rsidR="00D6487B" w:rsidRPr="00712CAF" w:rsidRDefault="00D6487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Tiesiskā regulējuma ietekme uz tautsaimniecību un administratīvo slogu</w:t>
            </w:r>
          </w:p>
        </w:tc>
        <w:tc>
          <w:tcPr>
            <w:tcW w:w="3323" w:type="pct"/>
            <w:tcBorders>
              <w:top w:val="outset" w:sz="6" w:space="0" w:color="auto"/>
              <w:left w:val="outset" w:sz="6" w:space="0" w:color="auto"/>
              <w:bottom w:val="outset" w:sz="6" w:space="0" w:color="auto"/>
              <w:right w:val="outset" w:sz="6" w:space="0" w:color="auto"/>
            </w:tcBorders>
            <w:hideMark/>
          </w:tcPr>
          <w:p w14:paraId="715D6591" w14:textId="77777777" w:rsidR="00D6487B" w:rsidRPr="00712CAF" w:rsidRDefault="00D6487B" w:rsidP="00BE5A71">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Likumprojekts nosaka noteiktiem likuma subjektiem </w:t>
            </w:r>
            <w:r w:rsidR="0092260A" w:rsidRPr="00712CAF">
              <w:rPr>
                <w:rFonts w:ascii="Times New Roman" w:eastAsia="Times New Roman" w:hAnsi="Times New Roman" w:cs="Times New Roman"/>
                <w:color w:val="000000" w:themeColor="text1"/>
                <w:spacing w:val="-2"/>
                <w:sz w:val="24"/>
                <w:szCs w:val="24"/>
                <w:lang w:eastAsia="lv-LV"/>
              </w:rPr>
              <w:t xml:space="preserve">pienākumu </w:t>
            </w:r>
            <w:r w:rsidRPr="00712CAF">
              <w:rPr>
                <w:rFonts w:ascii="Times New Roman" w:eastAsia="Times New Roman" w:hAnsi="Times New Roman" w:cs="Times New Roman"/>
                <w:color w:val="000000" w:themeColor="text1"/>
                <w:spacing w:val="-2"/>
                <w:sz w:val="24"/>
                <w:szCs w:val="24"/>
                <w:lang w:eastAsia="lv-LV"/>
              </w:rPr>
              <w:t>atteikties no</w:t>
            </w:r>
            <w:r w:rsidRPr="00712CAF">
              <w:rPr>
                <w:rFonts w:ascii="Times New Roman" w:eastAsia="Times New Roman" w:hAnsi="Times New Roman" w:cs="Times New Roman"/>
                <w:iCs/>
                <w:color w:val="000000" w:themeColor="text1"/>
                <w:spacing w:val="-2"/>
                <w:sz w:val="24"/>
                <w:szCs w:val="24"/>
                <w:lang w:eastAsia="lv-LV"/>
              </w:rPr>
              <w:t xml:space="preserve"> </w:t>
            </w:r>
            <w:r w:rsidRPr="00712CAF">
              <w:rPr>
                <w:rFonts w:ascii="Times New Roman" w:eastAsia="Times New Roman" w:hAnsi="Times New Roman" w:cs="Times New Roman"/>
                <w:color w:val="000000" w:themeColor="text1"/>
                <w:spacing w:val="-2"/>
                <w:sz w:val="24"/>
                <w:szCs w:val="24"/>
                <w:lang w:eastAsia="lv-LV"/>
              </w:rPr>
              <w:t>darījuma attiecībām un gadījuma rakstura darījumiem ar augstākā riska klientiem -</w:t>
            </w:r>
            <w:r w:rsidR="00BE583D" w:rsidRPr="00712CAF">
              <w:rPr>
                <w:rFonts w:ascii="Times New Roman" w:eastAsia="Times New Roman" w:hAnsi="Times New Roman" w:cs="Times New Roman"/>
                <w:color w:val="000000" w:themeColor="text1"/>
                <w:spacing w:val="-2"/>
                <w:sz w:val="24"/>
                <w:szCs w:val="24"/>
                <w:lang w:eastAsia="lv-LV"/>
              </w:rPr>
              <w:t xml:space="preserve"> </w:t>
            </w:r>
            <w:r w:rsidRPr="00712CAF">
              <w:rPr>
                <w:rFonts w:ascii="Times New Roman" w:eastAsia="Times New Roman" w:hAnsi="Times New Roman" w:cs="Times New Roman"/>
                <w:color w:val="000000" w:themeColor="text1"/>
                <w:spacing w:val="-2"/>
                <w:sz w:val="24"/>
                <w:szCs w:val="24"/>
                <w:lang w:eastAsia="lv-LV"/>
              </w:rPr>
              <w:t>čaulas veidojumiem,</w:t>
            </w:r>
            <w:r w:rsidR="0092260A" w:rsidRPr="00712CAF">
              <w:rPr>
                <w:rFonts w:ascii="Times New Roman" w:eastAsia="Times New Roman" w:hAnsi="Times New Roman" w:cs="Times New Roman"/>
                <w:color w:val="000000" w:themeColor="text1"/>
                <w:spacing w:val="-2"/>
                <w:sz w:val="24"/>
                <w:szCs w:val="24"/>
                <w:lang w:eastAsia="lv-LV"/>
              </w:rPr>
              <w:t xml:space="preserve"> kas atbilst</w:t>
            </w:r>
            <w:r w:rsidRPr="00712CAF">
              <w:rPr>
                <w:rFonts w:ascii="Times New Roman" w:eastAsia="Times New Roman" w:hAnsi="Times New Roman" w:cs="Times New Roman"/>
                <w:color w:val="000000" w:themeColor="text1"/>
                <w:spacing w:val="-2"/>
                <w:sz w:val="24"/>
                <w:szCs w:val="24"/>
                <w:lang w:eastAsia="lv-LV"/>
              </w:rPr>
              <w:t xml:space="preserve"> </w:t>
            </w:r>
            <w:r w:rsidR="0092260A" w:rsidRPr="00712CAF">
              <w:rPr>
                <w:rFonts w:ascii="Times New Roman" w:eastAsia="Times New Roman" w:hAnsi="Times New Roman" w:cs="Times New Roman"/>
                <w:color w:val="000000" w:themeColor="text1"/>
                <w:spacing w:val="-2"/>
                <w:sz w:val="24"/>
                <w:szCs w:val="24"/>
                <w:lang w:eastAsia="lv-LV"/>
              </w:rPr>
              <w:t xml:space="preserve">noteiktām pazīmēm, </w:t>
            </w:r>
            <w:r w:rsidRPr="00712CAF">
              <w:rPr>
                <w:rFonts w:ascii="Times New Roman" w:eastAsia="Times New Roman" w:hAnsi="Times New Roman" w:cs="Times New Roman"/>
                <w:color w:val="000000" w:themeColor="text1"/>
                <w:spacing w:val="-2"/>
                <w:sz w:val="24"/>
                <w:szCs w:val="24"/>
                <w:lang w:eastAsia="lv-LV"/>
              </w:rPr>
              <w:t xml:space="preserve">līdz ar to administratīvais slogs var rasties situācijā, kad nākas pārskatīt klientu loku un pārtraukt esošās darījuma attiecības un gadījuma rakstura darījumus. </w:t>
            </w:r>
          </w:p>
        </w:tc>
      </w:tr>
      <w:tr w:rsidR="00CB5006" w:rsidRPr="00712CAF" w14:paraId="1D84480F" w14:textId="77777777" w:rsidTr="00E16FFA">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6D08C29B" w14:textId="77777777" w:rsidR="00D6487B" w:rsidRPr="00712CAF" w:rsidRDefault="00D6487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3.</w:t>
            </w:r>
          </w:p>
        </w:tc>
        <w:tc>
          <w:tcPr>
            <w:tcW w:w="1401" w:type="pct"/>
            <w:tcBorders>
              <w:top w:val="outset" w:sz="6" w:space="0" w:color="auto"/>
              <w:left w:val="outset" w:sz="6" w:space="0" w:color="auto"/>
              <w:bottom w:val="outset" w:sz="6" w:space="0" w:color="auto"/>
              <w:right w:val="outset" w:sz="6" w:space="0" w:color="auto"/>
            </w:tcBorders>
            <w:hideMark/>
          </w:tcPr>
          <w:p w14:paraId="041EAF7F" w14:textId="77777777" w:rsidR="00D6487B" w:rsidRPr="00712CAF" w:rsidRDefault="00D6487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Administratīvo izmaksu monetārs novērtējums</w:t>
            </w:r>
          </w:p>
        </w:tc>
        <w:tc>
          <w:tcPr>
            <w:tcW w:w="3323" w:type="pct"/>
            <w:tcBorders>
              <w:top w:val="outset" w:sz="6" w:space="0" w:color="auto"/>
              <w:left w:val="outset" w:sz="6" w:space="0" w:color="auto"/>
              <w:bottom w:val="outset" w:sz="6" w:space="0" w:color="auto"/>
              <w:right w:val="outset" w:sz="6" w:space="0" w:color="auto"/>
            </w:tcBorders>
            <w:hideMark/>
          </w:tcPr>
          <w:p w14:paraId="283F3FEE" w14:textId="77777777" w:rsidR="00D6487B" w:rsidRPr="00712CAF" w:rsidRDefault="00D6487B" w:rsidP="00BE5A71">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Katram noteiktajam likuma subjektam tas ir atkarīgs no tā vai tiek veikta sadarbība ar augstāko klienta riska grupu – čaulas veidojumiem, </w:t>
            </w:r>
            <w:r w:rsidR="0092260A" w:rsidRPr="00712CAF">
              <w:rPr>
                <w:rFonts w:ascii="Times New Roman" w:eastAsia="Times New Roman" w:hAnsi="Times New Roman" w:cs="Times New Roman"/>
                <w:color w:val="000000" w:themeColor="text1"/>
                <w:spacing w:val="-2"/>
                <w:sz w:val="24"/>
                <w:szCs w:val="24"/>
                <w:lang w:eastAsia="lv-LV"/>
              </w:rPr>
              <w:t>kas atbilst noteiktām pazīmēm jo</w:t>
            </w:r>
            <w:r w:rsidR="00BB1CF7" w:rsidRPr="00712CAF">
              <w:rPr>
                <w:rFonts w:ascii="Times New Roman" w:eastAsia="Times New Roman" w:hAnsi="Times New Roman" w:cs="Times New Roman"/>
                <w:color w:val="000000" w:themeColor="text1"/>
                <w:spacing w:val="-2"/>
                <w:sz w:val="24"/>
                <w:szCs w:val="24"/>
                <w:lang w:eastAsia="lv-LV"/>
              </w:rPr>
              <w:t>,</w:t>
            </w:r>
            <w:r w:rsidRPr="00712CAF">
              <w:rPr>
                <w:rFonts w:ascii="Times New Roman" w:eastAsia="Times New Roman" w:hAnsi="Times New Roman" w:cs="Times New Roman"/>
                <w:color w:val="000000" w:themeColor="text1"/>
                <w:spacing w:val="-2"/>
                <w:sz w:val="24"/>
                <w:szCs w:val="24"/>
                <w:lang w:eastAsia="lv-LV"/>
              </w:rPr>
              <w:t xml:space="preserve"> ja starp </w:t>
            </w:r>
            <w:r w:rsidRPr="00712CAF">
              <w:rPr>
                <w:rFonts w:ascii="Times New Roman" w:eastAsia="Times New Roman" w:hAnsi="Times New Roman" w:cs="Times New Roman"/>
                <w:color w:val="000000" w:themeColor="text1"/>
                <w:spacing w:val="-2"/>
                <w:sz w:val="24"/>
                <w:szCs w:val="24"/>
                <w:lang w:eastAsia="lv-LV"/>
              </w:rPr>
              <w:lastRenderedPageBreak/>
              <w:t>klientiem nav augstākā riska klientu, tad administratīvo izmaksu nebūs, b</w:t>
            </w:r>
            <w:r w:rsidR="00BB1CF7" w:rsidRPr="00712CAF">
              <w:rPr>
                <w:rFonts w:ascii="Times New Roman" w:eastAsia="Times New Roman" w:hAnsi="Times New Roman" w:cs="Times New Roman"/>
                <w:color w:val="000000" w:themeColor="text1"/>
                <w:spacing w:val="-2"/>
                <w:sz w:val="24"/>
                <w:szCs w:val="24"/>
                <w:lang w:eastAsia="lv-LV"/>
              </w:rPr>
              <w:t>et</w:t>
            </w:r>
            <w:r w:rsidRPr="00712CAF">
              <w:rPr>
                <w:rFonts w:ascii="Times New Roman" w:eastAsia="Times New Roman" w:hAnsi="Times New Roman" w:cs="Times New Roman"/>
                <w:color w:val="000000" w:themeColor="text1"/>
                <w:spacing w:val="-2"/>
                <w:sz w:val="24"/>
                <w:szCs w:val="24"/>
                <w:lang w:eastAsia="lv-LV"/>
              </w:rPr>
              <w:t xml:space="preserve">, ja ir, tās radīsies no </w:t>
            </w:r>
            <w:r w:rsidR="0092260A" w:rsidRPr="00712CAF">
              <w:rPr>
                <w:rFonts w:ascii="Times New Roman" w:eastAsia="Times New Roman" w:hAnsi="Times New Roman" w:cs="Times New Roman"/>
                <w:color w:val="000000" w:themeColor="text1"/>
                <w:spacing w:val="-2"/>
                <w:sz w:val="24"/>
                <w:szCs w:val="24"/>
                <w:lang w:eastAsia="lv-LV"/>
              </w:rPr>
              <w:t xml:space="preserve">darījumu attiecības pārtraukšanas </w:t>
            </w:r>
            <w:r w:rsidRPr="00712CAF">
              <w:rPr>
                <w:rFonts w:ascii="Times New Roman" w:eastAsia="Times New Roman" w:hAnsi="Times New Roman" w:cs="Times New Roman"/>
                <w:color w:val="000000" w:themeColor="text1"/>
                <w:spacing w:val="-2"/>
                <w:sz w:val="24"/>
                <w:szCs w:val="24"/>
                <w:lang w:eastAsia="lv-LV"/>
              </w:rPr>
              <w:t xml:space="preserve">norēķina ar klientiem -  čaulas veidojumiem pārtraucot darbību ar tiem. </w:t>
            </w:r>
          </w:p>
        </w:tc>
      </w:tr>
      <w:tr w:rsidR="00CB5006" w:rsidRPr="00712CAF" w14:paraId="7B1DCEB0" w14:textId="77777777" w:rsidTr="00E16FFA">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76CD1C92" w14:textId="77777777" w:rsidR="00D6487B" w:rsidRPr="00712CAF" w:rsidRDefault="00D6487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lastRenderedPageBreak/>
              <w:t>4.</w:t>
            </w:r>
          </w:p>
        </w:tc>
        <w:tc>
          <w:tcPr>
            <w:tcW w:w="1401" w:type="pct"/>
            <w:tcBorders>
              <w:top w:val="outset" w:sz="6" w:space="0" w:color="auto"/>
              <w:left w:val="outset" w:sz="6" w:space="0" w:color="auto"/>
              <w:bottom w:val="outset" w:sz="6" w:space="0" w:color="auto"/>
              <w:right w:val="outset" w:sz="6" w:space="0" w:color="auto"/>
            </w:tcBorders>
            <w:hideMark/>
          </w:tcPr>
          <w:p w14:paraId="35CE04ED" w14:textId="77777777" w:rsidR="00D6487B" w:rsidRPr="00712CAF" w:rsidRDefault="00D6487B" w:rsidP="00BE5A71">
            <w:pPr>
              <w:spacing w:after="0" w:line="240" w:lineRule="auto"/>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Atbilstības izmaksu monetārs novērtējums</w:t>
            </w:r>
          </w:p>
        </w:tc>
        <w:tc>
          <w:tcPr>
            <w:tcW w:w="3323" w:type="pct"/>
            <w:tcBorders>
              <w:top w:val="outset" w:sz="6" w:space="0" w:color="auto"/>
              <w:left w:val="outset" w:sz="6" w:space="0" w:color="auto"/>
              <w:bottom w:val="outset" w:sz="6" w:space="0" w:color="auto"/>
              <w:right w:val="outset" w:sz="6" w:space="0" w:color="auto"/>
            </w:tcBorders>
            <w:hideMark/>
          </w:tcPr>
          <w:p w14:paraId="3B9FC38D" w14:textId="77777777" w:rsidR="00D6487B" w:rsidRPr="00712CAF" w:rsidRDefault="00D6487B" w:rsidP="00BE5A71">
            <w:pPr>
              <w:spacing w:after="0" w:line="240" w:lineRule="auto"/>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Projekts šo jomu neskar.</w:t>
            </w:r>
          </w:p>
        </w:tc>
      </w:tr>
      <w:tr w:rsidR="00CB5006" w:rsidRPr="00712CAF" w14:paraId="5E6DBB3B" w14:textId="77777777" w:rsidTr="00E16FFA">
        <w:trPr>
          <w:tblCellSpacing w:w="15" w:type="dxa"/>
        </w:trPr>
        <w:tc>
          <w:tcPr>
            <w:tcW w:w="209" w:type="pct"/>
            <w:tcBorders>
              <w:top w:val="outset" w:sz="6" w:space="0" w:color="auto"/>
              <w:left w:val="outset" w:sz="6" w:space="0" w:color="auto"/>
              <w:bottom w:val="outset" w:sz="6" w:space="0" w:color="auto"/>
              <w:right w:val="outset" w:sz="6" w:space="0" w:color="auto"/>
            </w:tcBorders>
            <w:hideMark/>
          </w:tcPr>
          <w:p w14:paraId="418F274E" w14:textId="77777777" w:rsidR="00D6487B" w:rsidRPr="00712CAF" w:rsidRDefault="00D6487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5.</w:t>
            </w:r>
          </w:p>
        </w:tc>
        <w:tc>
          <w:tcPr>
            <w:tcW w:w="1401" w:type="pct"/>
            <w:tcBorders>
              <w:top w:val="outset" w:sz="6" w:space="0" w:color="auto"/>
              <w:left w:val="outset" w:sz="6" w:space="0" w:color="auto"/>
              <w:bottom w:val="outset" w:sz="6" w:space="0" w:color="auto"/>
              <w:right w:val="outset" w:sz="6" w:space="0" w:color="auto"/>
            </w:tcBorders>
            <w:hideMark/>
          </w:tcPr>
          <w:p w14:paraId="2BE3AE6F" w14:textId="77777777" w:rsidR="00D6487B" w:rsidRPr="00712CAF" w:rsidRDefault="00D6487B" w:rsidP="00BE5A71">
            <w:pPr>
              <w:spacing w:after="0" w:line="240" w:lineRule="auto"/>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Cita informācija</w:t>
            </w:r>
          </w:p>
        </w:tc>
        <w:tc>
          <w:tcPr>
            <w:tcW w:w="3323" w:type="pct"/>
            <w:tcBorders>
              <w:top w:val="outset" w:sz="6" w:space="0" w:color="auto"/>
              <w:left w:val="outset" w:sz="6" w:space="0" w:color="auto"/>
              <w:bottom w:val="outset" w:sz="6" w:space="0" w:color="auto"/>
              <w:right w:val="outset" w:sz="6" w:space="0" w:color="auto"/>
            </w:tcBorders>
            <w:hideMark/>
          </w:tcPr>
          <w:p w14:paraId="58A79CA8" w14:textId="77777777" w:rsidR="00D6487B" w:rsidRPr="00712CAF" w:rsidRDefault="00D6487B"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 xml:space="preserve">Paredzams, ka </w:t>
            </w:r>
            <w:r w:rsidR="0092260A" w:rsidRPr="00712CAF">
              <w:rPr>
                <w:rFonts w:ascii="Times New Roman" w:eastAsia="Times New Roman" w:hAnsi="Times New Roman" w:cs="Times New Roman"/>
                <w:color w:val="000000" w:themeColor="text1"/>
                <w:spacing w:val="-2"/>
                <w:sz w:val="24"/>
                <w:szCs w:val="24"/>
                <w:lang w:eastAsia="lv-LV"/>
              </w:rPr>
              <w:t>ar likumprojekts samazinās iespēju izmantot Latvijas finanšu sistēmu noziedzīgo līdzekļu plūsmai</w:t>
            </w:r>
            <w:r w:rsidRPr="00712CAF">
              <w:rPr>
                <w:rFonts w:ascii="Times New Roman" w:eastAsia="Times New Roman" w:hAnsi="Times New Roman" w:cs="Times New Roman"/>
                <w:color w:val="000000" w:themeColor="text1"/>
                <w:spacing w:val="-2"/>
                <w:sz w:val="24"/>
                <w:szCs w:val="24"/>
                <w:lang w:eastAsia="lv-LV"/>
              </w:rPr>
              <w:t xml:space="preserve">. Kredītiestādēm un pārējiem likuma subjektiem, kuriem noteikts likumprojektā minētais  aizliegums, būs jāveic nepieciešamie pasākumi sava riska profila apjoma samazināšanai. </w:t>
            </w:r>
          </w:p>
          <w:p w14:paraId="3131CC0C" w14:textId="77777777" w:rsidR="00D6487B" w:rsidRPr="00712CAF" w:rsidRDefault="00D6487B" w:rsidP="00BE5A71">
            <w:pPr>
              <w:spacing w:after="0" w:line="240" w:lineRule="auto"/>
              <w:jc w:val="both"/>
              <w:rPr>
                <w:rFonts w:ascii="Times New Roman" w:eastAsia="Times New Roman" w:hAnsi="Times New Roman" w:cs="Times New Roman"/>
                <w:color w:val="000000" w:themeColor="text1"/>
                <w:spacing w:val="-2"/>
                <w:sz w:val="24"/>
                <w:szCs w:val="24"/>
                <w:lang w:eastAsia="lv-LV"/>
              </w:rPr>
            </w:pPr>
            <w:r w:rsidRPr="00712CAF">
              <w:rPr>
                <w:rFonts w:ascii="Times New Roman" w:eastAsia="Times New Roman" w:hAnsi="Times New Roman" w:cs="Times New Roman"/>
                <w:color w:val="000000" w:themeColor="text1"/>
                <w:spacing w:val="-2"/>
                <w:sz w:val="24"/>
                <w:szCs w:val="24"/>
                <w:lang w:eastAsia="lv-LV"/>
              </w:rPr>
              <w:t>Likumprojekts ir paredzēts ar mērķi sakārtot finanšu sistēmu, uzlabot Latvijas valsts reputāciju un Latvijas kredītiestāžu  sektora biznesa vidi.</w:t>
            </w:r>
          </w:p>
        </w:tc>
      </w:tr>
    </w:tbl>
    <w:p w14:paraId="32B49C3A"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B5006" w:rsidRPr="00712CAF" w14:paraId="2F59BBB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DA3616" w14:textId="77777777" w:rsidR="00655F2C" w:rsidRPr="00712CAF" w:rsidRDefault="00E5323B" w:rsidP="00BE5A71">
            <w:pPr>
              <w:spacing w:after="0" w:line="240" w:lineRule="auto"/>
              <w:rPr>
                <w:rFonts w:ascii="Times New Roman" w:eastAsia="Times New Roman" w:hAnsi="Times New Roman" w:cs="Times New Roman"/>
                <w:b/>
                <w:bCs/>
                <w:iCs/>
                <w:color w:val="000000" w:themeColor="text1"/>
                <w:spacing w:val="-2"/>
                <w:sz w:val="24"/>
                <w:szCs w:val="24"/>
                <w:lang w:eastAsia="lv-LV"/>
              </w:rPr>
            </w:pPr>
            <w:r w:rsidRPr="00712CAF">
              <w:rPr>
                <w:rFonts w:ascii="Times New Roman" w:eastAsia="Times New Roman" w:hAnsi="Times New Roman" w:cs="Times New Roman"/>
                <w:b/>
                <w:bCs/>
                <w:iCs/>
                <w:color w:val="000000" w:themeColor="text1"/>
                <w:spacing w:val="-2"/>
                <w:sz w:val="24"/>
                <w:szCs w:val="24"/>
                <w:lang w:eastAsia="lv-LV"/>
              </w:rPr>
              <w:t>III. Tiesību akta projekta ietekme uz valsts budžetu un pašvaldību budžetiem</w:t>
            </w:r>
          </w:p>
        </w:tc>
      </w:tr>
      <w:tr w:rsidR="00CB5006" w:rsidRPr="00712CAF" w14:paraId="0819E3E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0842205" w14:textId="77777777" w:rsidR="00BB5497" w:rsidRPr="00712CAF" w:rsidRDefault="00BB5497" w:rsidP="00BE5A71">
            <w:pPr>
              <w:spacing w:after="0" w:line="240" w:lineRule="auto"/>
              <w:jc w:val="center"/>
              <w:rPr>
                <w:rFonts w:ascii="Times New Roman" w:eastAsia="Times New Roman" w:hAnsi="Times New Roman" w:cs="Times New Roman"/>
                <w:bCs/>
                <w:iCs/>
                <w:color w:val="000000" w:themeColor="text1"/>
                <w:spacing w:val="-2"/>
                <w:sz w:val="24"/>
                <w:szCs w:val="24"/>
                <w:lang w:eastAsia="lv-LV"/>
              </w:rPr>
            </w:pPr>
            <w:r w:rsidRPr="00712CAF">
              <w:rPr>
                <w:rFonts w:ascii="Times New Roman" w:eastAsia="Times New Roman" w:hAnsi="Times New Roman" w:cs="Times New Roman"/>
                <w:bCs/>
                <w:iCs/>
                <w:color w:val="000000" w:themeColor="text1"/>
                <w:spacing w:val="-2"/>
                <w:sz w:val="24"/>
                <w:szCs w:val="24"/>
                <w:lang w:eastAsia="lv-LV"/>
              </w:rPr>
              <w:t>Projekts šo jomu neskar.</w:t>
            </w:r>
          </w:p>
        </w:tc>
      </w:tr>
    </w:tbl>
    <w:p w14:paraId="6449A0DC"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B5006" w:rsidRPr="00712CAF" w14:paraId="43E8734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AD06BD" w14:textId="77777777" w:rsidR="00655F2C" w:rsidRPr="00712CAF" w:rsidRDefault="00E5323B" w:rsidP="00BE5A71">
            <w:pPr>
              <w:spacing w:after="0" w:line="240" w:lineRule="auto"/>
              <w:rPr>
                <w:rFonts w:ascii="Times New Roman" w:eastAsia="Times New Roman" w:hAnsi="Times New Roman" w:cs="Times New Roman"/>
                <w:b/>
                <w:bCs/>
                <w:iCs/>
                <w:color w:val="000000" w:themeColor="text1"/>
                <w:spacing w:val="-2"/>
                <w:sz w:val="24"/>
                <w:szCs w:val="24"/>
                <w:lang w:eastAsia="lv-LV"/>
              </w:rPr>
            </w:pPr>
            <w:r w:rsidRPr="00712CAF">
              <w:rPr>
                <w:rFonts w:ascii="Times New Roman" w:eastAsia="Times New Roman" w:hAnsi="Times New Roman" w:cs="Times New Roman"/>
                <w:b/>
                <w:bCs/>
                <w:iCs/>
                <w:color w:val="000000" w:themeColor="text1"/>
                <w:spacing w:val="-2"/>
                <w:sz w:val="24"/>
                <w:szCs w:val="24"/>
                <w:lang w:eastAsia="lv-LV"/>
              </w:rPr>
              <w:t>IV. Tiesību akta projekta ietekme uz spēkā esošo tiesību normu sistēmu</w:t>
            </w:r>
          </w:p>
        </w:tc>
      </w:tr>
      <w:tr w:rsidR="00CB5006" w:rsidRPr="00712CAF" w14:paraId="35FEC8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9C2784" w14:textId="77777777" w:rsidR="00655F2C"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A4C4ED"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82386FF" w14:textId="77777777" w:rsidR="00E5323B" w:rsidRPr="00712CAF" w:rsidRDefault="003573EB" w:rsidP="00BE5A71">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Atbilstoši precizējumi tiks veikti Finanšu un kapitāla tirgus komisijas normatīvajos aktos.</w:t>
            </w:r>
          </w:p>
        </w:tc>
      </w:tr>
      <w:tr w:rsidR="00CB5006" w:rsidRPr="00712CAF" w14:paraId="3C4427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67EE47" w14:textId="77777777" w:rsidR="00655F2C"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2CD7AF"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635B2FC3" w14:textId="77777777" w:rsidR="00E5323B" w:rsidRPr="00712CAF" w:rsidRDefault="002B36A4"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Finanšu ministrija</w:t>
            </w:r>
          </w:p>
        </w:tc>
      </w:tr>
      <w:tr w:rsidR="00CB5006" w:rsidRPr="00712CAF" w14:paraId="5C18798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B9B222" w14:textId="77777777" w:rsidR="00655F2C"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7F39751"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00FDE1" w14:textId="77777777" w:rsidR="00E5323B" w:rsidRPr="00712CAF" w:rsidRDefault="002B36A4"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Nav</w:t>
            </w:r>
            <w:r w:rsidR="00335DB6" w:rsidRPr="00712CAF">
              <w:rPr>
                <w:rFonts w:ascii="Times New Roman" w:eastAsia="Times New Roman" w:hAnsi="Times New Roman" w:cs="Times New Roman"/>
                <w:iCs/>
                <w:color w:val="000000" w:themeColor="text1"/>
                <w:spacing w:val="-2"/>
                <w:sz w:val="24"/>
                <w:szCs w:val="24"/>
                <w:lang w:eastAsia="lv-LV"/>
              </w:rPr>
              <w:t>.</w:t>
            </w:r>
          </w:p>
        </w:tc>
      </w:tr>
    </w:tbl>
    <w:p w14:paraId="31FB1340"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B5006" w:rsidRPr="00712CAF" w14:paraId="0C3ADDA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E449D" w14:textId="77777777" w:rsidR="00655F2C" w:rsidRPr="00712CAF" w:rsidRDefault="00E5323B" w:rsidP="00BE5A71">
            <w:pPr>
              <w:spacing w:after="0" w:line="240" w:lineRule="auto"/>
              <w:rPr>
                <w:rFonts w:ascii="Times New Roman" w:eastAsia="Times New Roman" w:hAnsi="Times New Roman" w:cs="Times New Roman"/>
                <w:b/>
                <w:bCs/>
                <w:iCs/>
                <w:color w:val="000000" w:themeColor="text1"/>
                <w:spacing w:val="-2"/>
                <w:sz w:val="24"/>
                <w:szCs w:val="24"/>
                <w:lang w:eastAsia="lv-LV"/>
              </w:rPr>
            </w:pPr>
            <w:r w:rsidRPr="00712CAF">
              <w:rPr>
                <w:rFonts w:ascii="Times New Roman" w:eastAsia="Times New Roman" w:hAnsi="Times New Roman" w:cs="Times New Roman"/>
                <w:b/>
                <w:bCs/>
                <w:iCs/>
                <w:color w:val="000000" w:themeColor="text1"/>
                <w:spacing w:val="-2"/>
                <w:sz w:val="24"/>
                <w:szCs w:val="24"/>
                <w:lang w:eastAsia="lv-LV"/>
              </w:rPr>
              <w:t>V. Tiesību akta projekta atbilstība Latvijas Republikas starptautiskajām saistībām</w:t>
            </w:r>
          </w:p>
        </w:tc>
      </w:tr>
      <w:tr w:rsidR="00CB5006" w:rsidRPr="00712CAF" w14:paraId="090A775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956265C" w14:textId="77777777" w:rsidR="000036DE" w:rsidRPr="00712CAF" w:rsidRDefault="000036DE" w:rsidP="00BE5A71">
            <w:pPr>
              <w:spacing w:after="0" w:line="240" w:lineRule="auto"/>
              <w:jc w:val="center"/>
              <w:rPr>
                <w:rFonts w:ascii="Times New Roman" w:eastAsia="Times New Roman" w:hAnsi="Times New Roman" w:cs="Times New Roman"/>
                <w:b/>
                <w:bCs/>
                <w:iCs/>
                <w:color w:val="000000" w:themeColor="text1"/>
                <w:spacing w:val="-2"/>
                <w:sz w:val="24"/>
                <w:szCs w:val="24"/>
                <w:lang w:eastAsia="lv-LV"/>
              </w:rPr>
            </w:pPr>
            <w:r w:rsidRPr="00712CAF">
              <w:rPr>
                <w:rFonts w:ascii="Times New Roman" w:eastAsia="Times New Roman" w:hAnsi="Times New Roman" w:cs="Times New Roman"/>
                <w:bCs/>
                <w:iCs/>
                <w:color w:val="000000" w:themeColor="text1"/>
                <w:spacing w:val="-2"/>
                <w:sz w:val="24"/>
                <w:szCs w:val="24"/>
                <w:lang w:eastAsia="lv-LV"/>
              </w:rPr>
              <w:t>Projekts šo jomu neskar.</w:t>
            </w:r>
          </w:p>
        </w:tc>
      </w:tr>
    </w:tbl>
    <w:p w14:paraId="7190BE89"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693"/>
        <w:gridCol w:w="5944"/>
      </w:tblGrid>
      <w:tr w:rsidR="00CB5006" w:rsidRPr="00712CAF" w14:paraId="353C2A7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EA729F" w14:textId="77777777" w:rsidR="00655F2C" w:rsidRPr="00712CAF" w:rsidRDefault="00E5323B" w:rsidP="00BE5A71">
            <w:pPr>
              <w:spacing w:after="0" w:line="240" w:lineRule="auto"/>
              <w:rPr>
                <w:rFonts w:ascii="Times New Roman" w:eastAsia="Times New Roman" w:hAnsi="Times New Roman" w:cs="Times New Roman"/>
                <w:b/>
                <w:bCs/>
                <w:iCs/>
                <w:color w:val="000000" w:themeColor="text1"/>
                <w:spacing w:val="-2"/>
                <w:sz w:val="24"/>
                <w:szCs w:val="24"/>
                <w:lang w:eastAsia="lv-LV"/>
              </w:rPr>
            </w:pPr>
            <w:r w:rsidRPr="00712CAF">
              <w:rPr>
                <w:rFonts w:ascii="Times New Roman" w:eastAsia="Times New Roman" w:hAnsi="Times New Roman" w:cs="Times New Roman"/>
                <w:b/>
                <w:bCs/>
                <w:iCs/>
                <w:color w:val="000000" w:themeColor="text1"/>
                <w:spacing w:val="-2"/>
                <w:sz w:val="24"/>
                <w:szCs w:val="24"/>
                <w:lang w:eastAsia="lv-LV"/>
              </w:rPr>
              <w:t>VI. Sabiedrības līdzdalība un komunikācijas aktivitātes</w:t>
            </w:r>
          </w:p>
        </w:tc>
      </w:tr>
      <w:tr w:rsidR="00CB5006" w:rsidRPr="00712CAF" w14:paraId="7A768A68" w14:textId="77777777" w:rsidTr="00E16FFA">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036A007" w14:textId="77777777" w:rsidR="00655F2C"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1.</w:t>
            </w:r>
          </w:p>
        </w:tc>
        <w:tc>
          <w:tcPr>
            <w:tcW w:w="1470" w:type="pct"/>
            <w:tcBorders>
              <w:top w:val="outset" w:sz="6" w:space="0" w:color="auto"/>
              <w:left w:val="outset" w:sz="6" w:space="0" w:color="auto"/>
              <w:bottom w:val="outset" w:sz="6" w:space="0" w:color="auto"/>
              <w:right w:val="outset" w:sz="6" w:space="0" w:color="auto"/>
            </w:tcBorders>
            <w:hideMark/>
          </w:tcPr>
          <w:p w14:paraId="2AA6033D"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3DD6F4B5" w14:textId="77777777" w:rsidR="000C2D76" w:rsidRPr="00712CAF" w:rsidRDefault="00C313C9" w:rsidP="00BE5A71">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Likumprojekta izstrādes gaitā notika konsultācijas ar Finanšu un kapi</w:t>
            </w:r>
            <w:r w:rsidR="00F64C78" w:rsidRPr="00712CAF">
              <w:rPr>
                <w:rFonts w:ascii="Times New Roman" w:eastAsia="Times New Roman" w:hAnsi="Times New Roman" w:cs="Times New Roman"/>
                <w:iCs/>
                <w:color w:val="000000" w:themeColor="text1"/>
                <w:spacing w:val="-2"/>
                <w:sz w:val="24"/>
                <w:szCs w:val="24"/>
                <w:lang w:eastAsia="lv-LV"/>
              </w:rPr>
              <w:t>tāla tirgus komisiju, Latvijas B</w:t>
            </w:r>
            <w:r w:rsidRPr="00712CAF">
              <w:rPr>
                <w:rFonts w:ascii="Times New Roman" w:eastAsia="Times New Roman" w:hAnsi="Times New Roman" w:cs="Times New Roman"/>
                <w:iCs/>
                <w:color w:val="000000" w:themeColor="text1"/>
                <w:spacing w:val="-2"/>
                <w:sz w:val="24"/>
                <w:szCs w:val="24"/>
                <w:lang w:eastAsia="lv-LV"/>
              </w:rPr>
              <w:t>anku, Latvijas Komercbanku asociāciju un li</w:t>
            </w:r>
            <w:r w:rsidR="000C2D76" w:rsidRPr="00712CAF">
              <w:rPr>
                <w:rFonts w:ascii="Times New Roman" w:eastAsia="Times New Roman" w:hAnsi="Times New Roman" w:cs="Times New Roman"/>
                <w:iCs/>
                <w:color w:val="000000" w:themeColor="text1"/>
                <w:spacing w:val="-2"/>
                <w:sz w:val="24"/>
                <w:szCs w:val="24"/>
                <w:lang w:eastAsia="lv-LV"/>
              </w:rPr>
              <w:t xml:space="preserve">elāko kredītiestāžu pārstāvjiem, </w:t>
            </w:r>
            <w:r w:rsidR="000C2D76" w:rsidRPr="00712CAF">
              <w:rPr>
                <w:rFonts w:ascii="Times New Roman" w:hAnsi="Times New Roman"/>
                <w:color w:val="000000" w:themeColor="text1"/>
                <w:spacing w:val="-2"/>
                <w:sz w:val="24"/>
                <w:szCs w:val="24"/>
              </w:rPr>
              <w:t>Latvijas Maksājumu pakalpojumu un elektroniskās naudas iestāžu asociāciju.</w:t>
            </w:r>
          </w:p>
        </w:tc>
      </w:tr>
      <w:tr w:rsidR="00CB5006" w:rsidRPr="00712CAF" w14:paraId="4F48951C" w14:textId="77777777" w:rsidTr="00E16FFA">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30A8C300" w14:textId="77777777" w:rsidR="00655F2C"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2.</w:t>
            </w:r>
          </w:p>
        </w:tc>
        <w:tc>
          <w:tcPr>
            <w:tcW w:w="1470" w:type="pct"/>
            <w:tcBorders>
              <w:top w:val="outset" w:sz="6" w:space="0" w:color="auto"/>
              <w:left w:val="outset" w:sz="6" w:space="0" w:color="auto"/>
              <w:bottom w:val="outset" w:sz="6" w:space="0" w:color="auto"/>
              <w:right w:val="outset" w:sz="6" w:space="0" w:color="auto"/>
            </w:tcBorders>
            <w:hideMark/>
          </w:tcPr>
          <w:p w14:paraId="554D9D5B"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Sabiedrības līdzdalība projekta izstrādē</w:t>
            </w:r>
          </w:p>
        </w:tc>
        <w:tc>
          <w:tcPr>
            <w:tcW w:w="3257" w:type="pct"/>
            <w:tcBorders>
              <w:top w:val="outset" w:sz="6" w:space="0" w:color="auto"/>
              <w:left w:val="outset" w:sz="6" w:space="0" w:color="auto"/>
              <w:bottom w:val="outset" w:sz="6" w:space="0" w:color="auto"/>
              <w:right w:val="outset" w:sz="6" w:space="0" w:color="auto"/>
            </w:tcBorders>
            <w:hideMark/>
          </w:tcPr>
          <w:p w14:paraId="1D9A9B68" w14:textId="77777777" w:rsidR="00E5323B" w:rsidRPr="00712CAF" w:rsidRDefault="00856B32" w:rsidP="00BE5A71">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Finanšu un kapitāla tirgus komisijas, Latvijas Bankas, Latvijas Komercbanku asociācijas un lielāko kredītiestāžu pārstāvju</w:t>
            </w:r>
            <w:r w:rsidR="000C2D76" w:rsidRPr="00712CAF">
              <w:rPr>
                <w:rFonts w:ascii="Times New Roman" w:eastAsia="Times New Roman" w:hAnsi="Times New Roman" w:cs="Times New Roman"/>
                <w:iCs/>
                <w:color w:val="000000" w:themeColor="text1"/>
                <w:spacing w:val="-2"/>
                <w:sz w:val="24"/>
                <w:szCs w:val="24"/>
                <w:lang w:eastAsia="lv-LV"/>
              </w:rPr>
              <w:t xml:space="preserve">, </w:t>
            </w:r>
            <w:r w:rsidR="000C2D76" w:rsidRPr="00712CAF">
              <w:rPr>
                <w:rFonts w:ascii="Times New Roman" w:hAnsi="Times New Roman"/>
                <w:color w:val="000000" w:themeColor="text1"/>
                <w:spacing w:val="-2"/>
                <w:sz w:val="24"/>
                <w:szCs w:val="24"/>
              </w:rPr>
              <w:t>Latvijas Maksājumu pakalpojumu un elektroniskās naudas iestāžu asociācijas</w:t>
            </w:r>
            <w:r w:rsidRPr="00712CAF">
              <w:rPr>
                <w:rFonts w:ascii="Times New Roman" w:eastAsia="Times New Roman" w:hAnsi="Times New Roman" w:cs="Times New Roman"/>
                <w:iCs/>
                <w:color w:val="000000" w:themeColor="text1"/>
                <w:spacing w:val="-2"/>
                <w:sz w:val="24"/>
                <w:szCs w:val="24"/>
                <w:lang w:eastAsia="lv-LV"/>
              </w:rPr>
              <w:t xml:space="preserve"> izteiktie ierosinājumi ir pārrunāti, izvērtēti, ņemot vērā svarīgāko.</w:t>
            </w:r>
          </w:p>
        </w:tc>
      </w:tr>
      <w:tr w:rsidR="00CB5006" w:rsidRPr="00712CAF" w14:paraId="430ED3FC" w14:textId="77777777" w:rsidTr="00E16FFA">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E8D3315" w14:textId="77777777" w:rsidR="00655F2C"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3.</w:t>
            </w:r>
          </w:p>
        </w:tc>
        <w:tc>
          <w:tcPr>
            <w:tcW w:w="1470" w:type="pct"/>
            <w:tcBorders>
              <w:top w:val="outset" w:sz="6" w:space="0" w:color="auto"/>
              <w:left w:val="outset" w:sz="6" w:space="0" w:color="auto"/>
              <w:bottom w:val="outset" w:sz="6" w:space="0" w:color="auto"/>
              <w:right w:val="outset" w:sz="6" w:space="0" w:color="auto"/>
            </w:tcBorders>
            <w:hideMark/>
          </w:tcPr>
          <w:p w14:paraId="79ED7348"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256C9C60" w14:textId="77777777" w:rsidR="00E5323B" w:rsidRPr="00712CAF" w:rsidRDefault="00000282" w:rsidP="00BE5A71">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Finanšu un kapitāla tirgus komisij</w:t>
            </w:r>
            <w:r w:rsidR="00856B32" w:rsidRPr="00712CAF">
              <w:rPr>
                <w:rFonts w:ascii="Times New Roman" w:eastAsia="Times New Roman" w:hAnsi="Times New Roman" w:cs="Times New Roman"/>
                <w:iCs/>
                <w:color w:val="000000" w:themeColor="text1"/>
                <w:spacing w:val="-2"/>
                <w:sz w:val="24"/>
                <w:szCs w:val="24"/>
                <w:lang w:eastAsia="lv-LV"/>
              </w:rPr>
              <w:t>as</w:t>
            </w:r>
            <w:r w:rsidRPr="00712CAF">
              <w:rPr>
                <w:rFonts w:ascii="Times New Roman" w:eastAsia="Times New Roman" w:hAnsi="Times New Roman" w:cs="Times New Roman"/>
                <w:iCs/>
                <w:color w:val="000000" w:themeColor="text1"/>
                <w:spacing w:val="-2"/>
                <w:sz w:val="24"/>
                <w:szCs w:val="24"/>
                <w:lang w:eastAsia="lv-LV"/>
              </w:rPr>
              <w:t>, Latvijas Bank</w:t>
            </w:r>
            <w:r w:rsidR="00856B32" w:rsidRPr="00712CAF">
              <w:rPr>
                <w:rFonts w:ascii="Times New Roman" w:eastAsia="Times New Roman" w:hAnsi="Times New Roman" w:cs="Times New Roman"/>
                <w:iCs/>
                <w:color w:val="000000" w:themeColor="text1"/>
                <w:spacing w:val="-2"/>
                <w:sz w:val="24"/>
                <w:szCs w:val="24"/>
                <w:lang w:eastAsia="lv-LV"/>
              </w:rPr>
              <w:t>as</w:t>
            </w:r>
            <w:r w:rsidRPr="00712CAF">
              <w:rPr>
                <w:rFonts w:ascii="Times New Roman" w:eastAsia="Times New Roman" w:hAnsi="Times New Roman" w:cs="Times New Roman"/>
                <w:iCs/>
                <w:color w:val="000000" w:themeColor="text1"/>
                <w:spacing w:val="-2"/>
                <w:sz w:val="24"/>
                <w:szCs w:val="24"/>
                <w:lang w:eastAsia="lv-LV"/>
              </w:rPr>
              <w:t>, Latvijas Komercbanku asociācij</w:t>
            </w:r>
            <w:r w:rsidR="00856B32" w:rsidRPr="00712CAF">
              <w:rPr>
                <w:rFonts w:ascii="Times New Roman" w:eastAsia="Times New Roman" w:hAnsi="Times New Roman" w:cs="Times New Roman"/>
                <w:iCs/>
                <w:color w:val="000000" w:themeColor="text1"/>
                <w:spacing w:val="-2"/>
                <w:sz w:val="24"/>
                <w:szCs w:val="24"/>
                <w:lang w:eastAsia="lv-LV"/>
              </w:rPr>
              <w:t>as</w:t>
            </w:r>
            <w:r w:rsidRPr="00712CAF">
              <w:rPr>
                <w:rFonts w:ascii="Times New Roman" w:eastAsia="Times New Roman" w:hAnsi="Times New Roman" w:cs="Times New Roman"/>
                <w:iCs/>
                <w:color w:val="000000" w:themeColor="text1"/>
                <w:spacing w:val="-2"/>
                <w:sz w:val="24"/>
                <w:szCs w:val="24"/>
                <w:lang w:eastAsia="lv-LV"/>
              </w:rPr>
              <w:t xml:space="preserve"> un lielāko kredītiestāžu pārstāvj</w:t>
            </w:r>
            <w:r w:rsidR="00856B32" w:rsidRPr="00712CAF">
              <w:rPr>
                <w:rFonts w:ascii="Times New Roman" w:eastAsia="Times New Roman" w:hAnsi="Times New Roman" w:cs="Times New Roman"/>
                <w:iCs/>
                <w:color w:val="000000" w:themeColor="text1"/>
                <w:spacing w:val="-2"/>
                <w:sz w:val="24"/>
                <w:szCs w:val="24"/>
                <w:lang w:eastAsia="lv-LV"/>
              </w:rPr>
              <w:t>u</w:t>
            </w:r>
            <w:r w:rsidR="001C2B7B" w:rsidRPr="00712CAF">
              <w:rPr>
                <w:rFonts w:ascii="Times New Roman" w:eastAsia="Times New Roman" w:hAnsi="Times New Roman" w:cs="Times New Roman"/>
                <w:iCs/>
                <w:color w:val="000000" w:themeColor="text1"/>
                <w:spacing w:val="-2"/>
                <w:sz w:val="24"/>
                <w:szCs w:val="24"/>
                <w:lang w:eastAsia="lv-LV"/>
              </w:rPr>
              <w:t xml:space="preserve">, </w:t>
            </w:r>
            <w:r w:rsidR="001C2B7B" w:rsidRPr="00712CAF">
              <w:rPr>
                <w:rFonts w:ascii="Times New Roman" w:hAnsi="Times New Roman"/>
                <w:color w:val="000000" w:themeColor="text1"/>
                <w:spacing w:val="-2"/>
                <w:sz w:val="24"/>
                <w:szCs w:val="24"/>
              </w:rPr>
              <w:t>Latvijas Maksājumu pakalpojumu un elektroniskās naudas iestāžu asociācijas</w:t>
            </w:r>
            <w:r w:rsidRPr="00712CAF">
              <w:rPr>
                <w:rFonts w:ascii="Times New Roman" w:eastAsia="Times New Roman" w:hAnsi="Times New Roman" w:cs="Times New Roman"/>
                <w:iCs/>
                <w:color w:val="000000" w:themeColor="text1"/>
                <w:spacing w:val="-2"/>
                <w:sz w:val="24"/>
                <w:szCs w:val="24"/>
                <w:lang w:eastAsia="lv-LV"/>
              </w:rPr>
              <w:t xml:space="preserve"> izteiktie ierosinājumi ir pārrunāti, izvērtēti</w:t>
            </w:r>
            <w:r w:rsidR="00F96CC8" w:rsidRPr="00712CAF">
              <w:rPr>
                <w:rFonts w:ascii="Times New Roman" w:eastAsia="Times New Roman" w:hAnsi="Times New Roman" w:cs="Times New Roman"/>
                <w:iCs/>
                <w:color w:val="000000" w:themeColor="text1"/>
                <w:spacing w:val="-2"/>
                <w:sz w:val="24"/>
                <w:szCs w:val="24"/>
                <w:lang w:eastAsia="lv-LV"/>
              </w:rPr>
              <w:t>,</w:t>
            </w:r>
            <w:r w:rsidRPr="00712CAF">
              <w:rPr>
                <w:rFonts w:ascii="Times New Roman" w:eastAsia="Times New Roman" w:hAnsi="Times New Roman" w:cs="Times New Roman"/>
                <w:iCs/>
                <w:color w:val="000000" w:themeColor="text1"/>
                <w:spacing w:val="-2"/>
                <w:sz w:val="24"/>
                <w:szCs w:val="24"/>
                <w:lang w:eastAsia="lv-LV"/>
              </w:rPr>
              <w:t xml:space="preserve"> ņemot vērā svarīgāko.</w:t>
            </w:r>
          </w:p>
          <w:p w14:paraId="717C27C6" w14:textId="0FD24025" w:rsidR="000C2D76" w:rsidRPr="00712CAF" w:rsidRDefault="000C2D76" w:rsidP="00E16FFA">
            <w:pPr>
              <w:spacing w:after="0" w:line="240" w:lineRule="auto"/>
              <w:jc w:val="both"/>
              <w:rPr>
                <w:rFonts w:ascii="Times New Roman" w:eastAsia="Times New Roman" w:hAnsi="Times New Roman" w:cs="Times New Roman"/>
                <w:iCs/>
                <w:color w:val="000000" w:themeColor="text1"/>
                <w:spacing w:val="-2"/>
                <w:sz w:val="24"/>
                <w:szCs w:val="24"/>
                <w:lang w:eastAsia="lv-LV"/>
              </w:rPr>
            </w:pPr>
            <w:r w:rsidRPr="00712CAF">
              <w:rPr>
                <w:rFonts w:ascii="Times New Roman" w:hAnsi="Times New Roman"/>
                <w:color w:val="000000" w:themeColor="text1"/>
                <w:spacing w:val="-2"/>
                <w:sz w:val="24"/>
                <w:szCs w:val="24"/>
              </w:rPr>
              <w:lastRenderedPageBreak/>
              <w:t>Noziedzīgi iegūtu līdzekļu legalizācijas novēršanas dienests sniedza atzinumu 2018.gada 27. martā, Latvijas Komercbanku asociācija, Latvijas Banka, Latvijas Maksājumu pakalpojumu un elektroniskās naudas iestāžu asociācija un AS “Citadele banka” sniedza atzinumus 2018.gada 28.martā. Finanšu un kapitāla tirgus komisija 2018.gada 29.martā. Iepriekšminētās institūcijas un iestādes atbalsta tālāko likumprojekta virzību izsakot priekšlikumus, kuri tika vērtēti un lielākā daļa ņemti vērā.</w:t>
            </w:r>
          </w:p>
        </w:tc>
      </w:tr>
      <w:tr w:rsidR="00CB5006" w:rsidRPr="00712CAF" w14:paraId="6A299A29" w14:textId="77777777" w:rsidTr="00E16FFA">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AE74A88" w14:textId="77777777" w:rsidR="00655F2C"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lastRenderedPageBreak/>
              <w:t>4.</w:t>
            </w:r>
          </w:p>
        </w:tc>
        <w:tc>
          <w:tcPr>
            <w:tcW w:w="1470" w:type="pct"/>
            <w:tcBorders>
              <w:top w:val="outset" w:sz="6" w:space="0" w:color="auto"/>
              <w:left w:val="outset" w:sz="6" w:space="0" w:color="auto"/>
              <w:bottom w:val="outset" w:sz="6" w:space="0" w:color="auto"/>
              <w:right w:val="outset" w:sz="6" w:space="0" w:color="auto"/>
            </w:tcBorders>
            <w:hideMark/>
          </w:tcPr>
          <w:p w14:paraId="06231109"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A5140A4" w14:textId="77777777" w:rsidR="00E5323B" w:rsidRPr="00712CAF" w:rsidRDefault="009B11D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Nav.</w:t>
            </w:r>
          </w:p>
        </w:tc>
      </w:tr>
    </w:tbl>
    <w:p w14:paraId="590BF4C7" w14:textId="45920F71"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4678"/>
        <w:gridCol w:w="3960"/>
      </w:tblGrid>
      <w:tr w:rsidR="00CB5006" w:rsidRPr="00712CAF" w14:paraId="1C0DB2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ABA66FC" w14:textId="77777777" w:rsidR="00655F2C" w:rsidRPr="00712CAF" w:rsidRDefault="00E5323B" w:rsidP="00BE5A71">
            <w:pPr>
              <w:spacing w:after="0" w:line="240" w:lineRule="auto"/>
              <w:rPr>
                <w:rFonts w:ascii="Times New Roman" w:eastAsia="Times New Roman" w:hAnsi="Times New Roman" w:cs="Times New Roman"/>
                <w:b/>
                <w:bCs/>
                <w:iCs/>
                <w:color w:val="000000" w:themeColor="text1"/>
                <w:spacing w:val="-2"/>
                <w:sz w:val="24"/>
                <w:szCs w:val="24"/>
                <w:lang w:eastAsia="lv-LV"/>
              </w:rPr>
            </w:pPr>
            <w:r w:rsidRPr="00712CAF">
              <w:rPr>
                <w:rFonts w:ascii="Times New Roman" w:eastAsia="Times New Roman" w:hAnsi="Times New Roman" w:cs="Times New Roman"/>
                <w:b/>
                <w:bCs/>
                <w:iCs/>
                <w:color w:val="000000" w:themeColor="text1"/>
                <w:spacing w:val="-2"/>
                <w:sz w:val="24"/>
                <w:szCs w:val="24"/>
                <w:lang w:eastAsia="lv-LV"/>
              </w:rPr>
              <w:t>VII. Tiesību akta projekta izpildes nodrošināšana un tās ietekme uz institūcijām</w:t>
            </w:r>
          </w:p>
        </w:tc>
      </w:tr>
      <w:tr w:rsidR="00CB5006" w:rsidRPr="00712CAF" w14:paraId="69A2D2F2" w14:textId="77777777" w:rsidTr="00E16FFA">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5488BA38" w14:textId="77777777" w:rsidR="00655F2C"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1.</w:t>
            </w:r>
          </w:p>
        </w:tc>
        <w:tc>
          <w:tcPr>
            <w:tcW w:w="2567" w:type="pct"/>
            <w:tcBorders>
              <w:top w:val="outset" w:sz="6" w:space="0" w:color="auto"/>
              <w:left w:val="outset" w:sz="6" w:space="0" w:color="auto"/>
              <w:bottom w:val="outset" w:sz="6" w:space="0" w:color="auto"/>
              <w:right w:val="outset" w:sz="6" w:space="0" w:color="auto"/>
            </w:tcBorders>
            <w:hideMark/>
          </w:tcPr>
          <w:p w14:paraId="1C5CEA1C"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Projekta izpildē iesaistītās institūcijas</w:t>
            </w:r>
          </w:p>
        </w:tc>
        <w:tc>
          <w:tcPr>
            <w:tcW w:w="2162" w:type="pct"/>
            <w:tcBorders>
              <w:top w:val="outset" w:sz="6" w:space="0" w:color="auto"/>
              <w:left w:val="outset" w:sz="6" w:space="0" w:color="auto"/>
              <w:bottom w:val="outset" w:sz="6" w:space="0" w:color="auto"/>
              <w:right w:val="outset" w:sz="6" w:space="0" w:color="auto"/>
            </w:tcBorders>
            <w:hideMark/>
          </w:tcPr>
          <w:p w14:paraId="338E0000" w14:textId="77777777" w:rsidR="00E5323B" w:rsidRPr="00712CAF" w:rsidRDefault="00365C54"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Finanšu un kapitāla tirgus komisija</w:t>
            </w:r>
            <w:r w:rsidR="00856B32" w:rsidRPr="00712CAF">
              <w:rPr>
                <w:rFonts w:ascii="Times New Roman" w:eastAsia="Times New Roman" w:hAnsi="Times New Roman" w:cs="Times New Roman"/>
                <w:iCs/>
                <w:color w:val="000000" w:themeColor="text1"/>
                <w:spacing w:val="-2"/>
                <w:sz w:val="24"/>
                <w:szCs w:val="24"/>
                <w:lang w:eastAsia="lv-LV"/>
              </w:rPr>
              <w:t>.</w:t>
            </w:r>
          </w:p>
        </w:tc>
      </w:tr>
      <w:tr w:rsidR="00CB5006" w:rsidRPr="00712CAF" w14:paraId="50804247" w14:textId="77777777" w:rsidTr="00E16FFA">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26836AAD" w14:textId="77777777" w:rsidR="00655F2C"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2.</w:t>
            </w:r>
          </w:p>
        </w:tc>
        <w:tc>
          <w:tcPr>
            <w:tcW w:w="2567" w:type="pct"/>
            <w:tcBorders>
              <w:top w:val="outset" w:sz="6" w:space="0" w:color="auto"/>
              <w:left w:val="outset" w:sz="6" w:space="0" w:color="auto"/>
              <w:bottom w:val="outset" w:sz="6" w:space="0" w:color="auto"/>
              <w:right w:val="outset" w:sz="6" w:space="0" w:color="auto"/>
            </w:tcBorders>
            <w:hideMark/>
          </w:tcPr>
          <w:p w14:paraId="1AA043BE"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Projekta izpildes ietekme uz pārvaldes funkcijām un institucionālo struktūru.</w:t>
            </w:r>
            <w:r w:rsidRPr="00712CAF">
              <w:rPr>
                <w:rFonts w:ascii="Times New Roman" w:eastAsia="Times New Roman" w:hAnsi="Times New Roman" w:cs="Times New Roman"/>
                <w:iCs/>
                <w:color w:val="000000" w:themeColor="text1"/>
                <w:spacing w:val="-2"/>
                <w:sz w:val="24"/>
                <w:szCs w:val="24"/>
                <w:lang w:eastAsia="lv-LV"/>
              </w:rPr>
              <w:br/>
              <w:t>Jaunu institūciju izveide, esošu institūciju likvidācija vai reorganizācija, to ietekme uz institūcijas cilvēkresursiem</w:t>
            </w:r>
          </w:p>
        </w:tc>
        <w:tc>
          <w:tcPr>
            <w:tcW w:w="2162" w:type="pct"/>
            <w:tcBorders>
              <w:top w:val="outset" w:sz="6" w:space="0" w:color="auto"/>
              <w:left w:val="outset" w:sz="6" w:space="0" w:color="auto"/>
              <w:bottom w:val="outset" w:sz="6" w:space="0" w:color="auto"/>
              <w:right w:val="outset" w:sz="6" w:space="0" w:color="auto"/>
            </w:tcBorders>
            <w:hideMark/>
          </w:tcPr>
          <w:p w14:paraId="1153A226" w14:textId="77777777" w:rsidR="00E5323B" w:rsidRPr="00712CAF" w:rsidRDefault="00365C54"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Projekts šo jomu neskar</w:t>
            </w:r>
            <w:r w:rsidR="00856B32" w:rsidRPr="00712CAF">
              <w:rPr>
                <w:rFonts w:ascii="Times New Roman" w:eastAsia="Times New Roman" w:hAnsi="Times New Roman" w:cs="Times New Roman"/>
                <w:iCs/>
                <w:color w:val="000000" w:themeColor="text1"/>
                <w:spacing w:val="-2"/>
                <w:sz w:val="24"/>
                <w:szCs w:val="24"/>
                <w:lang w:eastAsia="lv-LV"/>
              </w:rPr>
              <w:t>.</w:t>
            </w:r>
          </w:p>
        </w:tc>
      </w:tr>
      <w:tr w:rsidR="00E5323B" w:rsidRPr="00712CAF" w14:paraId="489F973D" w14:textId="77777777" w:rsidTr="00E16FFA">
        <w:trPr>
          <w:tblCellSpacing w:w="15" w:type="dxa"/>
        </w:trPr>
        <w:tc>
          <w:tcPr>
            <w:tcW w:w="205" w:type="pct"/>
            <w:tcBorders>
              <w:top w:val="outset" w:sz="6" w:space="0" w:color="auto"/>
              <w:left w:val="outset" w:sz="6" w:space="0" w:color="auto"/>
              <w:bottom w:val="outset" w:sz="6" w:space="0" w:color="auto"/>
              <w:right w:val="outset" w:sz="6" w:space="0" w:color="auto"/>
            </w:tcBorders>
            <w:hideMark/>
          </w:tcPr>
          <w:p w14:paraId="637B79A7" w14:textId="77777777" w:rsidR="00655F2C"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3.</w:t>
            </w:r>
          </w:p>
        </w:tc>
        <w:tc>
          <w:tcPr>
            <w:tcW w:w="2567" w:type="pct"/>
            <w:tcBorders>
              <w:top w:val="outset" w:sz="6" w:space="0" w:color="auto"/>
              <w:left w:val="outset" w:sz="6" w:space="0" w:color="auto"/>
              <w:bottom w:val="outset" w:sz="6" w:space="0" w:color="auto"/>
              <w:right w:val="outset" w:sz="6" w:space="0" w:color="auto"/>
            </w:tcBorders>
            <w:hideMark/>
          </w:tcPr>
          <w:p w14:paraId="12F6F009" w14:textId="77777777" w:rsidR="00E5323B" w:rsidRPr="00712CAF" w:rsidRDefault="00E5323B"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Cita informācija</w:t>
            </w:r>
          </w:p>
        </w:tc>
        <w:tc>
          <w:tcPr>
            <w:tcW w:w="2162" w:type="pct"/>
            <w:tcBorders>
              <w:top w:val="outset" w:sz="6" w:space="0" w:color="auto"/>
              <w:left w:val="outset" w:sz="6" w:space="0" w:color="auto"/>
              <w:bottom w:val="outset" w:sz="6" w:space="0" w:color="auto"/>
              <w:right w:val="outset" w:sz="6" w:space="0" w:color="auto"/>
            </w:tcBorders>
            <w:hideMark/>
          </w:tcPr>
          <w:p w14:paraId="2663401E" w14:textId="77777777" w:rsidR="00E5323B" w:rsidRPr="00712CAF" w:rsidRDefault="00365C54" w:rsidP="00BE5A71">
            <w:pPr>
              <w:spacing w:after="0" w:line="240" w:lineRule="auto"/>
              <w:rPr>
                <w:rFonts w:ascii="Times New Roman" w:eastAsia="Times New Roman" w:hAnsi="Times New Roman" w:cs="Times New Roman"/>
                <w:iCs/>
                <w:color w:val="000000" w:themeColor="text1"/>
                <w:spacing w:val="-2"/>
                <w:sz w:val="24"/>
                <w:szCs w:val="24"/>
                <w:lang w:eastAsia="lv-LV"/>
              </w:rPr>
            </w:pPr>
            <w:r w:rsidRPr="00712CAF">
              <w:rPr>
                <w:rFonts w:ascii="Times New Roman" w:eastAsia="Times New Roman" w:hAnsi="Times New Roman" w:cs="Times New Roman"/>
                <w:iCs/>
                <w:color w:val="000000" w:themeColor="text1"/>
                <w:spacing w:val="-2"/>
                <w:sz w:val="24"/>
                <w:szCs w:val="24"/>
                <w:lang w:eastAsia="lv-LV"/>
              </w:rPr>
              <w:t>Nav</w:t>
            </w:r>
            <w:r w:rsidR="00856B32" w:rsidRPr="00712CAF">
              <w:rPr>
                <w:rFonts w:ascii="Times New Roman" w:eastAsia="Times New Roman" w:hAnsi="Times New Roman" w:cs="Times New Roman"/>
                <w:iCs/>
                <w:color w:val="000000" w:themeColor="text1"/>
                <w:spacing w:val="-2"/>
                <w:sz w:val="24"/>
                <w:szCs w:val="24"/>
                <w:lang w:eastAsia="lv-LV"/>
              </w:rPr>
              <w:t>.</w:t>
            </w:r>
          </w:p>
        </w:tc>
      </w:tr>
    </w:tbl>
    <w:p w14:paraId="1FC8589E" w14:textId="77777777" w:rsidR="009E4690" w:rsidRPr="00D711C2" w:rsidRDefault="009E4690" w:rsidP="000554C2">
      <w:pPr>
        <w:pStyle w:val="naisf"/>
        <w:tabs>
          <w:tab w:val="right" w:pos="9000"/>
        </w:tabs>
        <w:spacing w:before="0" w:after="0"/>
        <w:ind w:firstLine="709"/>
        <w:rPr>
          <w:sz w:val="28"/>
          <w:szCs w:val="28"/>
        </w:rPr>
      </w:pPr>
    </w:p>
    <w:p w14:paraId="63FC7425" w14:textId="77777777" w:rsidR="009E4690" w:rsidRPr="00D711C2" w:rsidRDefault="009E4690" w:rsidP="000554C2">
      <w:pPr>
        <w:pStyle w:val="naisf"/>
        <w:tabs>
          <w:tab w:val="right" w:pos="9000"/>
        </w:tabs>
        <w:spacing w:before="0" w:after="0"/>
        <w:ind w:firstLine="709"/>
        <w:rPr>
          <w:sz w:val="28"/>
          <w:szCs w:val="28"/>
        </w:rPr>
      </w:pPr>
    </w:p>
    <w:p w14:paraId="6700ABF8" w14:textId="77777777" w:rsidR="009E4690" w:rsidRPr="00D711C2" w:rsidRDefault="009E4690" w:rsidP="00D711C2">
      <w:pPr>
        <w:pStyle w:val="naisf"/>
        <w:tabs>
          <w:tab w:val="left" w:pos="6237"/>
          <w:tab w:val="right" w:pos="8820"/>
        </w:tabs>
        <w:spacing w:before="0" w:after="0"/>
        <w:ind w:firstLine="709"/>
        <w:rPr>
          <w:sz w:val="28"/>
          <w:szCs w:val="28"/>
        </w:rPr>
      </w:pPr>
      <w:r w:rsidRPr="00D711C2">
        <w:rPr>
          <w:sz w:val="28"/>
          <w:szCs w:val="28"/>
        </w:rPr>
        <w:t>Finanšu ministre</w:t>
      </w:r>
      <w:r w:rsidRPr="00D711C2">
        <w:rPr>
          <w:sz w:val="28"/>
          <w:szCs w:val="28"/>
        </w:rPr>
        <w:tab/>
        <w:t>Dana Reizniece-Ozola</w:t>
      </w:r>
    </w:p>
    <w:p w14:paraId="6E6F9B3C" w14:textId="42135309" w:rsidR="006E1DDE" w:rsidRPr="00712CAF" w:rsidRDefault="006E1DDE" w:rsidP="00E16FFA">
      <w:pPr>
        <w:tabs>
          <w:tab w:val="left" w:pos="6379"/>
        </w:tabs>
        <w:spacing w:after="0" w:line="240" w:lineRule="auto"/>
        <w:jc w:val="both"/>
        <w:rPr>
          <w:rFonts w:ascii="Times New Roman" w:hAnsi="Times New Roman" w:cs="Times New Roman"/>
          <w:color w:val="000000" w:themeColor="text1"/>
          <w:spacing w:val="-2"/>
          <w:sz w:val="28"/>
          <w:szCs w:val="28"/>
        </w:rPr>
      </w:pPr>
    </w:p>
    <w:p w14:paraId="2F9CD29B" w14:textId="5A0C0C38" w:rsidR="00894C55" w:rsidRDefault="00894C55" w:rsidP="00BE5A71">
      <w:pPr>
        <w:spacing w:after="0" w:line="240" w:lineRule="auto"/>
        <w:jc w:val="both"/>
        <w:rPr>
          <w:rFonts w:ascii="Times New Roman" w:hAnsi="Times New Roman" w:cs="Times New Roman"/>
          <w:color w:val="000000" w:themeColor="text1"/>
          <w:spacing w:val="-2"/>
          <w:sz w:val="28"/>
          <w:szCs w:val="28"/>
        </w:rPr>
      </w:pPr>
    </w:p>
    <w:p w14:paraId="1B3DA6B3" w14:textId="4845DC0B" w:rsidR="00712CAF" w:rsidRDefault="00712CAF" w:rsidP="00BE5A71">
      <w:pPr>
        <w:spacing w:after="0" w:line="240" w:lineRule="auto"/>
        <w:jc w:val="both"/>
        <w:rPr>
          <w:rFonts w:ascii="Times New Roman" w:hAnsi="Times New Roman" w:cs="Times New Roman"/>
          <w:color w:val="000000" w:themeColor="text1"/>
          <w:spacing w:val="-2"/>
          <w:sz w:val="28"/>
          <w:szCs w:val="28"/>
        </w:rPr>
      </w:pPr>
    </w:p>
    <w:p w14:paraId="2E48468C" w14:textId="60AC01C8" w:rsidR="00894C55" w:rsidRPr="00712CAF" w:rsidRDefault="00365C54" w:rsidP="00BE5A71">
      <w:pPr>
        <w:tabs>
          <w:tab w:val="left" w:pos="6237"/>
        </w:tabs>
        <w:spacing w:after="0" w:line="240" w:lineRule="auto"/>
        <w:rPr>
          <w:rFonts w:ascii="Times New Roman" w:hAnsi="Times New Roman" w:cs="Times New Roman"/>
          <w:color w:val="000000" w:themeColor="text1"/>
          <w:spacing w:val="-2"/>
          <w:sz w:val="20"/>
          <w:szCs w:val="20"/>
        </w:rPr>
      </w:pPr>
      <w:r w:rsidRPr="00712CAF">
        <w:rPr>
          <w:rFonts w:ascii="Times New Roman" w:hAnsi="Times New Roman" w:cs="Times New Roman"/>
          <w:color w:val="000000" w:themeColor="text1"/>
          <w:spacing w:val="-2"/>
          <w:sz w:val="20"/>
          <w:szCs w:val="20"/>
        </w:rPr>
        <w:t>Neija</w:t>
      </w:r>
      <w:r w:rsidR="00D133F8" w:rsidRPr="00712CAF">
        <w:rPr>
          <w:rFonts w:ascii="Times New Roman" w:hAnsi="Times New Roman" w:cs="Times New Roman"/>
          <w:color w:val="000000" w:themeColor="text1"/>
          <w:spacing w:val="-2"/>
          <w:sz w:val="20"/>
          <w:szCs w:val="20"/>
        </w:rPr>
        <w:t xml:space="preserve"> 670</w:t>
      </w:r>
      <w:r w:rsidRPr="00712CAF">
        <w:rPr>
          <w:rFonts w:ascii="Times New Roman" w:hAnsi="Times New Roman" w:cs="Times New Roman"/>
          <w:color w:val="000000" w:themeColor="text1"/>
          <w:spacing w:val="-2"/>
          <w:sz w:val="20"/>
          <w:szCs w:val="20"/>
        </w:rPr>
        <w:t>95490</w:t>
      </w:r>
    </w:p>
    <w:p w14:paraId="25C73237" w14:textId="333E8DA4" w:rsidR="00894C55" w:rsidRDefault="00356A0C" w:rsidP="00BE5A71">
      <w:pPr>
        <w:tabs>
          <w:tab w:val="left" w:pos="6237"/>
        </w:tabs>
        <w:spacing w:after="0" w:line="240" w:lineRule="auto"/>
        <w:rPr>
          <w:rFonts w:ascii="Times New Roman" w:hAnsi="Times New Roman" w:cs="Times New Roman"/>
          <w:color w:val="000000" w:themeColor="text1"/>
          <w:spacing w:val="-2"/>
          <w:sz w:val="20"/>
          <w:szCs w:val="20"/>
        </w:rPr>
      </w:pPr>
      <w:hyperlink r:id="rId8" w:history="1">
        <w:r w:rsidR="009E4690" w:rsidRPr="00AE341A">
          <w:rPr>
            <w:rStyle w:val="Hyperlink"/>
            <w:rFonts w:ascii="Times New Roman" w:hAnsi="Times New Roman" w:cs="Times New Roman"/>
            <w:spacing w:val="-2"/>
            <w:sz w:val="20"/>
            <w:szCs w:val="20"/>
          </w:rPr>
          <w:t>Vineta.neija@fm.gov.lv</w:t>
        </w:r>
      </w:hyperlink>
    </w:p>
    <w:p w14:paraId="78E5DE52" w14:textId="01CC8E98" w:rsidR="009E4690" w:rsidRDefault="009E4690" w:rsidP="00BE5A71">
      <w:pPr>
        <w:tabs>
          <w:tab w:val="left" w:pos="6237"/>
        </w:tabs>
        <w:spacing w:after="0" w:line="240" w:lineRule="auto"/>
        <w:rPr>
          <w:rFonts w:ascii="Times New Roman" w:hAnsi="Times New Roman" w:cs="Times New Roman"/>
          <w:color w:val="000000" w:themeColor="text1"/>
          <w:spacing w:val="-2"/>
          <w:sz w:val="20"/>
          <w:szCs w:val="20"/>
        </w:rPr>
      </w:pPr>
    </w:p>
    <w:p w14:paraId="1F8711AC" w14:textId="1BBDACA9" w:rsidR="009E4690" w:rsidRDefault="009E4690" w:rsidP="00BE5A71">
      <w:pPr>
        <w:tabs>
          <w:tab w:val="left" w:pos="6237"/>
        </w:tabs>
        <w:spacing w:after="0" w:line="240" w:lineRule="auto"/>
        <w:rPr>
          <w:rFonts w:ascii="Times New Roman" w:hAnsi="Times New Roman" w:cs="Times New Roman"/>
          <w:color w:val="000000" w:themeColor="text1"/>
          <w:spacing w:val="-2"/>
          <w:sz w:val="20"/>
          <w:szCs w:val="20"/>
        </w:rPr>
      </w:pPr>
    </w:p>
    <w:p w14:paraId="56958A36" w14:textId="41E42A03" w:rsidR="009E4690" w:rsidRDefault="009E4690" w:rsidP="00BE5A71">
      <w:pPr>
        <w:tabs>
          <w:tab w:val="left" w:pos="6237"/>
        </w:tabs>
        <w:spacing w:after="0" w:line="240" w:lineRule="auto"/>
        <w:rPr>
          <w:rFonts w:ascii="Times New Roman" w:hAnsi="Times New Roman" w:cs="Times New Roman"/>
          <w:color w:val="000000" w:themeColor="text1"/>
          <w:spacing w:val="-2"/>
          <w:sz w:val="20"/>
          <w:szCs w:val="20"/>
        </w:rPr>
      </w:pPr>
    </w:p>
    <w:p w14:paraId="692C7A3F" w14:textId="6A5AB5D3" w:rsidR="009E4690" w:rsidRDefault="009E4690" w:rsidP="00BE5A71">
      <w:pPr>
        <w:tabs>
          <w:tab w:val="left" w:pos="6237"/>
        </w:tabs>
        <w:spacing w:after="0" w:line="240" w:lineRule="auto"/>
        <w:rPr>
          <w:rFonts w:ascii="Times New Roman" w:hAnsi="Times New Roman" w:cs="Times New Roman"/>
          <w:color w:val="000000" w:themeColor="text1"/>
          <w:spacing w:val="-2"/>
          <w:sz w:val="20"/>
          <w:szCs w:val="20"/>
        </w:rPr>
      </w:pPr>
    </w:p>
    <w:p w14:paraId="34FE51EB" w14:textId="086337A5" w:rsidR="009E4690" w:rsidRPr="00712CAF" w:rsidRDefault="009E4690" w:rsidP="00BE5A71">
      <w:pPr>
        <w:tabs>
          <w:tab w:val="left" w:pos="6237"/>
        </w:tabs>
        <w:spacing w:after="0" w:line="240" w:lineRule="auto"/>
        <w:rPr>
          <w:rFonts w:ascii="Times New Roman" w:hAnsi="Times New Roman" w:cs="Times New Roman"/>
          <w:color w:val="000000" w:themeColor="text1"/>
          <w:spacing w:val="-2"/>
          <w:sz w:val="20"/>
          <w:szCs w:val="20"/>
        </w:rPr>
      </w:pPr>
    </w:p>
    <w:sectPr w:rsidR="009E4690" w:rsidRPr="00712CAF"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5F64E" w14:textId="77777777" w:rsidR="00356A0C" w:rsidRDefault="00356A0C" w:rsidP="00894C55">
      <w:pPr>
        <w:spacing w:after="0" w:line="240" w:lineRule="auto"/>
      </w:pPr>
      <w:r>
        <w:separator/>
      </w:r>
    </w:p>
  </w:endnote>
  <w:endnote w:type="continuationSeparator" w:id="0">
    <w:p w14:paraId="5DC8C871" w14:textId="77777777" w:rsidR="00356A0C" w:rsidRDefault="00356A0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29B3" w14:textId="77777777" w:rsidR="00FA2561" w:rsidRDefault="00FA25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2284D" w14:textId="5C6ACE22" w:rsidR="009E4690" w:rsidRPr="00894C55" w:rsidRDefault="00FA2561" w:rsidP="009E4690">
    <w:pPr>
      <w:pStyle w:val="Footer"/>
      <w:rPr>
        <w:rFonts w:ascii="Times New Roman" w:hAnsi="Times New Roman" w:cs="Times New Roman"/>
        <w:sz w:val="20"/>
        <w:szCs w:val="20"/>
      </w:rPr>
    </w:pPr>
    <w:r>
      <w:rPr>
        <w:rFonts w:ascii="Times New Roman" w:hAnsi="Times New Roman" w:cs="Times New Roman"/>
        <w:sz w:val="20"/>
        <w:szCs w:val="20"/>
      </w:rPr>
      <w:t>FMAnot_10</w:t>
    </w:r>
    <w:r w:rsidR="009E4690">
      <w:rPr>
        <w:rFonts w:ascii="Times New Roman" w:hAnsi="Times New Roman" w:cs="Times New Roman"/>
        <w:sz w:val="20"/>
        <w:szCs w:val="20"/>
      </w:rPr>
      <w:t>0418_NILLTFNL  (TA-614)</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05B5" w14:textId="4CE73CA8" w:rsidR="00365C54" w:rsidRPr="00894C55" w:rsidRDefault="00365C54" w:rsidP="00365C54">
    <w:pPr>
      <w:pStyle w:val="Footer"/>
      <w:rPr>
        <w:rFonts w:ascii="Times New Roman" w:hAnsi="Times New Roman" w:cs="Times New Roman"/>
        <w:sz w:val="20"/>
        <w:szCs w:val="20"/>
      </w:rPr>
    </w:pPr>
    <w:r>
      <w:rPr>
        <w:rFonts w:ascii="Times New Roman" w:hAnsi="Times New Roman" w:cs="Times New Roman"/>
        <w:sz w:val="20"/>
        <w:szCs w:val="20"/>
      </w:rPr>
      <w:t>FMAnot_</w:t>
    </w:r>
    <w:r w:rsidR="00FA2561">
      <w:rPr>
        <w:rFonts w:ascii="Times New Roman" w:hAnsi="Times New Roman" w:cs="Times New Roman"/>
        <w:sz w:val="20"/>
        <w:szCs w:val="20"/>
      </w:rPr>
      <w:t>10</w:t>
    </w:r>
    <w:r w:rsidR="00814A27">
      <w:rPr>
        <w:rFonts w:ascii="Times New Roman" w:hAnsi="Times New Roman" w:cs="Times New Roman"/>
        <w:sz w:val="20"/>
        <w:szCs w:val="20"/>
      </w:rPr>
      <w:t>04</w:t>
    </w:r>
    <w:r>
      <w:rPr>
        <w:rFonts w:ascii="Times New Roman" w:hAnsi="Times New Roman" w:cs="Times New Roman"/>
        <w:sz w:val="20"/>
        <w:szCs w:val="20"/>
      </w:rPr>
      <w:t>18_NILLTFNL</w:t>
    </w:r>
    <w:r w:rsidR="009E4690">
      <w:rPr>
        <w:rFonts w:ascii="Times New Roman" w:hAnsi="Times New Roman" w:cs="Times New Roman"/>
        <w:sz w:val="20"/>
        <w:szCs w:val="20"/>
      </w:rPr>
      <w:t xml:space="preserve">  (TA-614)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77FDE" w14:textId="77777777" w:rsidR="00356A0C" w:rsidRDefault="00356A0C" w:rsidP="00894C55">
      <w:pPr>
        <w:spacing w:after="0" w:line="240" w:lineRule="auto"/>
      </w:pPr>
      <w:r>
        <w:separator/>
      </w:r>
    </w:p>
  </w:footnote>
  <w:footnote w:type="continuationSeparator" w:id="0">
    <w:p w14:paraId="180BB5ED" w14:textId="77777777" w:rsidR="00356A0C" w:rsidRDefault="00356A0C" w:rsidP="00894C55">
      <w:pPr>
        <w:spacing w:after="0" w:line="240" w:lineRule="auto"/>
      </w:pPr>
      <w:r>
        <w:continuationSeparator/>
      </w:r>
    </w:p>
  </w:footnote>
  <w:footnote w:id="1">
    <w:p w14:paraId="3C8BDA69" w14:textId="77777777" w:rsidR="008A43DA" w:rsidRPr="001D143B" w:rsidRDefault="008A43DA" w:rsidP="008A43DA">
      <w:pPr>
        <w:pStyle w:val="FootnoteText"/>
        <w:rPr>
          <w:rFonts w:ascii="Times New Roman" w:hAnsi="Times New Roman" w:cs="Times New Roman"/>
          <w:sz w:val="16"/>
          <w:szCs w:val="16"/>
        </w:rPr>
      </w:pPr>
      <w:r w:rsidRPr="001D143B">
        <w:rPr>
          <w:rStyle w:val="FootnoteReference"/>
          <w:rFonts w:ascii="Times New Roman" w:hAnsi="Times New Roman" w:cs="Times New Roman"/>
          <w:sz w:val="16"/>
          <w:szCs w:val="16"/>
        </w:rPr>
        <w:footnoteRef/>
      </w:r>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Maxwell</w:t>
      </w:r>
      <w:proofErr w:type="spellEnd"/>
      <w:r w:rsidRPr="001D143B">
        <w:rPr>
          <w:rFonts w:ascii="Times New Roman" w:hAnsi="Times New Roman" w:cs="Times New Roman"/>
          <w:sz w:val="16"/>
          <w:szCs w:val="16"/>
        </w:rPr>
        <w:t xml:space="preserve"> N.J., </w:t>
      </w:r>
      <w:proofErr w:type="spellStart"/>
      <w:r w:rsidRPr="001D143B">
        <w:rPr>
          <w:rFonts w:ascii="Times New Roman" w:hAnsi="Times New Roman" w:cs="Times New Roman"/>
          <w:sz w:val="16"/>
          <w:szCs w:val="16"/>
        </w:rPr>
        <w:t>Artingstall</w:t>
      </w:r>
      <w:proofErr w:type="spellEnd"/>
      <w:r w:rsidRPr="001D143B">
        <w:rPr>
          <w:rFonts w:ascii="Times New Roman" w:hAnsi="Times New Roman" w:cs="Times New Roman"/>
          <w:sz w:val="16"/>
          <w:szCs w:val="16"/>
        </w:rPr>
        <w:t xml:space="preserve"> D. </w:t>
      </w:r>
      <w:proofErr w:type="spellStart"/>
      <w:r w:rsidRPr="001D143B">
        <w:rPr>
          <w:rFonts w:ascii="Times New Roman" w:hAnsi="Times New Roman" w:cs="Times New Roman"/>
          <w:sz w:val="16"/>
          <w:szCs w:val="16"/>
        </w:rPr>
        <w:t>The</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Role</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of</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Financial</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Information</w:t>
      </w:r>
      <w:proofErr w:type="spellEnd"/>
      <w:r w:rsidRPr="001D143B">
        <w:rPr>
          <w:rFonts w:ascii="Times New Roman" w:hAnsi="Times New Roman" w:cs="Times New Roman"/>
          <w:sz w:val="16"/>
          <w:szCs w:val="16"/>
        </w:rPr>
        <w:t xml:space="preserve"> – </w:t>
      </w:r>
      <w:proofErr w:type="spellStart"/>
      <w:r w:rsidRPr="001D143B">
        <w:rPr>
          <w:rFonts w:ascii="Times New Roman" w:hAnsi="Times New Roman" w:cs="Times New Roman"/>
          <w:sz w:val="16"/>
          <w:szCs w:val="16"/>
        </w:rPr>
        <w:t>Sharing</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Partnerships</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in</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the</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Disruption</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of</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Crime</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Royal</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United</w:t>
      </w:r>
      <w:proofErr w:type="spellEnd"/>
      <w:r w:rsidRPr="001D143B">
        <w:rPr>
          <w:rFonts w:ascii="Times New Roman" w:hAnsi="Times New Roman" w:cs="Times New Roman"/>
          <w:sz w:val="16"/>
          <w:szCs w:val="16"/>
        </w:rPr>
        <w:t xml:space="preserve"> Services </w:t>
      </w:r>
      <w:proofErr w:type="spellStart"/>
      <w:r w:rsidRPr="001D143B">
        <w:rPr>
          <w:rFonts w:ascii="Times New Roman" w:hAnsi="Times New Roman" w:cs="Times New Roman"/>
          <w:sz w:val="16"/>
          <w:szCs w:val="16"/>
        </w:rPr>
        <w:t>Imnstitute</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for</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Defence</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and</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Security</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Studies</w:t>
      </w:r>
      <w:proofErr w:type="spellEnd"/>
      <w:r w:rsidRPr="001D143B">
        <w:rPr>
          <w:rFonts w:ascii="Times New Roman" w:hAnsi="Times New Roman" w:cs="Times New Roman"/>
          <w:sz w:val="16"/>
          <w:szCs w:val="16"/>
        </w:rPr>
        <w:t>. 2017. p. 5.</w:t>
      </w:r>
    </w:p>
  </w:footnote>
  <w:footnote w:id="2">
    <w:p w14:paraId="5C46D4B8" w14:textId="77777777" w:rsidR="008A43DA" w:rsidRPr="001D143B" w:rsidRDefault="008A43DA" w:rsidP="008A43DA">
      <w:pPr>
        <w:pStyle w:val="FootnoteText"/>
        <w:rPr>
          <w:rFonts w:ascii="Times New Roman" w:hAnsi="Times New Roman" w:cs="Times New Roman"/>
          <w:sz w:val="16"/>
          <w:szCs w:val="16"/>
        </w:rPr>
      </w:pPr>
      <w:r w:rsidRPr="001D143B">
        <w:rPr>
          <w:rStyle w:val="FootnoteReference"/>
          <w:rFonts w:ascii="Times New Roman" w:hAnsi="Times New Roman" w:cs="Times New Roman"/>
          <w:sz w:val="16"/>
          <w:szCs w:val="16"/>
        </w:rPr>
        <w:footnoteRef/>
      </w:r>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Guidance</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on</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private</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sector</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information</w:t>
      </w:r>
      <w:proofErr w:type="spellEnd"/>
      <w:r w:rsidRPr="001D143B">
        <w:rPr>
          <w:rFonts w:ascii="Times New Roman" w:hAnsi="Times New Roman" w:cs="Times New Roman"/>
          <w:sz w:val="16"/>
          <w:szCs w:val="16"/>
        </w:rPr>
        <w:t xml:space="preserve"> </w:t>
      </w:r>
      <w:proofErr w:type="spellStart"/>
      <w:r w:rsidRPr="001D143B">
        <w:rPr>
          <w:rFonts w:ascii="Times New Roman" w:hAnsi="Times New Roman" w:cs="Times New Roman"/>
          <w:sz w:val="16"/>
          <w:szCs w:val="16"/>
        </w:rPr>
        <w:t>sharing</w:t>
      </w:r>
      <w:proofErr w:type="spellEnd"/>
      <w:r w:rsidRPr="001D143B">
        <w:rPr>
          <w:rFonts w:ascii="Times New Roman" w:hAnsi="Times New Roman" w:cs="Times New Roman"/>
          <w:sz w:val="16"/>
          <w:szCs w:val="16"/>
        </w:rPr>
        <w:t>. FATF, Paris, 2017.</w:t>
      </w:r>
    </w:p>
  </w:footnote>
  <w:footnote w:id="3">
    <w:p w14:paraId="245B8A3C" w14:textId="77777777" w:rsidR="008A43DA" w:rsidRPr="001D143B" w:rsidRDefault="008A43DA" w:rsidP="008A43DA">
      <w:pPr>
        <w:pStyle w:val="FootnoteText"/>
        <w:rPr>
          <w:rFonts w:ascii="Times New Roman" w:hAnsi="Times New Roman" w:cs="Times New Roman"/>
        </w:rPr>
      </w:pPr>
      <w:r w:rsidRPr="001D143B">
        <w:rPr>
          <w:rStyle w:val="FootnoteReference"/>
          <w:rFonts w:ascii="Times New Roman" w:hAnsi="Times New Roman" w:cs="Times New Roman"/>
          <w:sz w:val="16"/>
          <w:szCs w:val="16"/>
        </w:rPr>
        <w:footnoteRef/>
      </w:r>
      <w:r w:rsidRPr="001D143B">
        <w:rPr>
          <w:rFonts w:ascii="Times New Roman" w:hAnsi="Times New Roman" w:cs="Times New Roman"/>
          <w:sz w:val="16"/>
          <w:szCs w:val="16"/>
        </w:rPr>
        <w:t xml:space="preserve"> Satversmes tiesas 2009.gada 28.maija sprieduma lietā Nr. 2008-47-01 11. – 13. punkts.</w:t>
      </w:r>
    </w:p>
  </w:footnote>
  <w:footnote w:id="4">
    <w:p w14:paraId="66D2EF25" w14:textId="77777777" w:rsidR="00CE1397" w:rsidRPr="004C57C1" w:rsidRDefault="00CE1397" w:rsidP="00CE1397">
      <w:pPr>
        <w:pStyle w:val="FootnoteText"/>
        <w:rPr>
          <w:rFonts w:ascii="Book Antiqua" w:hAnsi="Book Antiqua"/>
          <w:sz w:val="16"/>
          <w:szCs w:val="16"/>
        </w:rPr>
      </w:pPr>
      <w:r w:rsidRPr="004C57C1">
        <w:rPr>
          <w:rStyle w:val="FootnoteReference"/>
          <w:rFonts w:ascii="Book Antiqua" w:hAnsi="Book Antiqua"/>
          <w:sz w:val="16"/>
          <w:szCs w:val="16"/>
        </w:rPr>
        <w:footnoteRef/>
      </w:r>
      <w:r w:rsidRPr="004C57C1">
        <w:rPr>
          <w:rFonts w:ascii="Book Antiqua" w:hAnsi="Book Antiqua"/>
          <w:sz w:val="16"/>
          <w:szCs w:val="16"/>
        </w:rPr>
        <w:t xml:space="preserve"> Latvijas Republikas Augstākās tiesas Senāta Administratīvo lietu departamenta 2008.gada 6.novembra sprieduma lietā Nr. SKA – 705/2008 10.punkts.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5B08C" w14:textId="77777777" w:rsidR="00FA2561" w:rsidRDefault="00FA256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31851" w14:textId="1FA0825A" w:rsidR="00894C55" w:rsidRPr="00C25B49" w:rsidRDefault="00181F32" w:rsidP="00181F32">
    <w:pPr>
      <w:pStyle w:val="Header"/>
      <w:tabs>
        <w:tab w:val="center" w:pos="4535"/>
        <w:tab w:val="left" w:pos="5040"/>
      </w:tabs>
      <w:rPr>
        <w:rFonts w:ascii="Times New Roman" w:hAnsi="Times New Roman" w:cs="Times New Roman"/>
        <w:sz w:val="24"/>
        <w:szCs w:val="20"/>
      </w:rPr>
    </w:pPr>
    <w:r>
      <w:tab/>
    </w:r>
    <w:r>
      <w:tab/>
    </w:r>
    <w:sdt>
      <w:sdtPr>
        <w:id w:val="-559856943"/>
        <w:docPartObj>
          <w:docPartGallery w:val="Page Numbers (Top of Page)"/>
          <w:docPartUnique/>
        </w:docPartObj>
      </w:sdtPr>
      <w:sdtEndPr>
        <w:rPr>
          <w:rFonts w:ascii="Times New Roman" w:hAnsi="Times New Roman" w:cs="Times New Roman"/>
          <w:noProof/>
          <w:sz w:val="24"/>
          <w:szCs w:val="20"/>
        </w:rPr>
      </w:sdtEndPr>
      <w:sdtContent>
        <w:r w:rsidR="00456E40"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00456E40" w:rsidRPr="00C25B49">
          <w:rPr>
            <w:rFonts w:ascii="Times New Roman" w:hAnsi="Times New Roman" w:cs="Times New Roman"/>
            <w:sz w:val="24"/>
            <w:szCs w:val="20"/>
          </w:rPr>
          <w:fldChar w:fldCharType="separate"/>
        </w:r>
        <w:r w:rsidR="00DF235F">
          <w:rPr>
            <w:rFonts w:ascii="Times New Roman" w:hAnsi="Times New Roman" w:cs="Times New Roman"/>
            <w:noProof/>
            <w:sz w:val="24"/>
            <w:szCs w:val="20"/>
          </w:rPr>
          <w:t>15</w:t>
        </w:r>
        <w:r w:rsidR="00456E40" w:rsidRPr="00C25B49">
          <w:rPr>
            <w:rFonts w:ascii="Times New Roman" w:hAnsi="Times New Roman" w:cs="Times New Roman"/>
            <w:noProof/>
            <w:sz w:val="24"/>
            <w:szCs w:val="20"/>
          </w:rPr>
          <w:fldChar w:fldCharType="end"/>
        </w:r>
      </w:sdtContent>
    </w:sdt>
    <w:r>
      <w:rPr>
        <w:rFonts w:ascii="Times New Roman" w:hAnsi="Times New Roman" w:cs="Times New Roman"/>
        <w:noProof/>
        <w:sz w:val="24"/>
        <w:szCs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5ECB" w14:textId="77777777" w:rsidR="00FA2561" w:rsidRDefault="00FA256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B356C"/>
    <w:multiLevelType w:val="hybridMultilevel"/>
    <w:tmpl w:val="E4CE50E6"/>
    <w:lvl w:ilvl="0" w:tplc="13A2AF7C">
      <w:start w:val="1"/>
      <w:numFmt w:val="decimal"/>
      <w:lvlText w:val="%1)"/>
      <w:lvlJc w:val="left"/>
      <w:pPr>
        <w:ind w:left="960" w:hanging="360"/>
      </w:pPr>
      <w:rPr>
        <w:rFonts w:ascii="Times New Roman" w:eastAsia="Times New Roman" w:hAnsi="Times New Roman" w:cs="Times New Roman"/>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1" w15:restartNumberingAfterBreak="0">
    <w:nsid w:val="20592C67"/>
    <w:multiLevelType w:val="hybridMultilevel"/>
    <w:tmpl w:val="396C42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3405805"/>
    <w:multiLevelType w:val="hybridMultilevel"/>
    <w:tmpl w:val="1C9A9D08"/>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761FD0"/>
    <w:multiLevelType w:val="hybridMultilevel"/>
    <w:tmpl w:val="1960DCAC"/>
    <w:lvl w:ilvl="0" w:tplc="FFE24F3C">
      <w:start w:val="1"/>
      <w:numFmt w:val="decimal"/>
      <w:lvlText w:val="%1)"/>
      <w:lvlJc w:val="left"/>
      <w:pPr>
        <w:ind w:left="960" w:hanging="360"/>
      </w:p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4" w15:restartNumberingAfterBreak="0">
    <w:nsid w:val="54D07EEC"/>
    <w:multiLevelType w:val="hybridMultilevel"/>
    <w:tmpl w:val="D55A8D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4DE0208"/>
    <w:multiLevelType w:val="hybridMultilevel"/>
    <w:tmpl w:val="324AAF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1CA25FC"/>
    <w:multiLevelType w:val="hybridMultilevel"/>
    <w:tmpl w:val="C6CAB338"/>
    <w:lvl w:ilvl="0" w:tplc="9F94A1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82"/>
    <w:rsid w:val="000025C8"/>
    <w:rsid w:val="000036DE"/>
    <w:rsid w:val="00013EBD"/>
    <w:rsid w:val="00037400"/>
    <w:rsid w:val="000540C5"/>
    <w:rsid w:val="00066E2E"/>
    <w:rsid w:val="000724A8"/>
    <w:rsid w:val="00084DC6"/>
    <w:rsid w:val="00085053"/>
    <w:rsid w:val="00094113"/>
    <w:rsid w:val="000971F8"/>
    <w:rsid w:val="000A6850"/>
    <w:rsid w:val="000B4F31"/>
    <w:rsid w:val="000C2D76"/>
    <w:rsid w:val="000C72C6"/>
    <w:rsid w:val="000D41CF"/>
    <w:rsid w:val="000D4842"/>
    <w:rsid w:val="000E2A7D"/>
    <w:rsid w:val="00117924"/>
    <w:rsid w:val="001307A6"/>
    <w:rsid w:val="0013691B"/>
    <w:rsid w:val="00137125"/>
    <w:rsid w:val="00155127"/>
    <w:rsid w:val="00155AEE"/>
    <w:rsid w:val="00175546"/>
    <w:rsid w:val="00181A56"/>
    <w:rsid w:val="00181F32"/>
    <w:rsid w:val="001B7B3C"/>
    <w:rsid w:val="001C2182"/>
    <w:rsid w:val="001C2B7B"/>
    <w:rsid w:val="001D143B"/>
    <w:rsid w:val="001E0925"/>
    <w:rsid w:val="00235428"/>
    <w:rsid w:val="00241794"/>
    <w:rsid w:val="00243426"/>
    <w:rsid w:val="00264A78"/>
    <w:rsid w:val="00264E0D"/>
    <w:rsid w:val="002B36A4"/>
    <w:rsid w:val="002B4BCD"/>
    <w:rsid w:val="002C2284"/>
    <w:rsid w:val="002C2507"/>
    <w:rsid w:val="002C70B8"/>
    <w:rsid w:val="002D526C"/>
    <w:rsid w:val="002E11AE"/>
    <w:rsid w:val="002E1C05"/>
    <w:rsid w:val="002E4CD9"/>
    <w:rsid w:val="002F2695"/>
    <w:rsid w:val="002F4757"/>
    <w:rsid w:val="002F51D4"/>
    <w:rsid w:val="00303BAA"/>
    <w:rsid w:val="00307B19"/>
    <w:rsid w:val="0031089F"/>
    <w:rsid w:val="00317310"/>
    <w:rsid w:val="00320F13"/>
    <w:rsid w:val="00335DB6"/>
    <w:rsid w:val="003371C5"/>
    <w:rsid w:val="00356A0C"/>
    <w:rsid w:val="003573EB"/>
    <w:rsid w:val="00357907"/>
    <w:rsid w:val="00365C54"/>
    <w:rsid w:val="00367EB1"/>
    <w:rsid w:val="00373976"/>
    <w:rsid w:val="00375C0D"/>
    <w:rsid w:val="00383D79"/>
    <w:rsid w:val="003914AD"/>
    <w:rsid w:val="003A1FC3"/>
    <w:rsid w:val="003A38AE"/>
    <w:rsid w:val="003B0BF9"/>
    <w:rsid w:val="003D0998"/>
    <w:rsid w:val="003E0791"/>
    <w:rsid w:val="003E3977"/>
    <w:rsid w:val="003F28AC"/>
    <w:rsid w:val="00430770"/>
    <w:rsid w:val="004454FE"/>
    <w:rsid w:val="004455B2"/>
    <w:rsid w:val="00456E40"/>
    <w:rsid w:val="00460AE1"/>
    <w:rsid w:val="00467A80"/>
    <w:rsid w:val="00470F4B"/>
    <w:rsid w:val="0047103E"/>
    <w:rsid w:val="00471F27"/>
    <w:rsid w:val="00494138"/>
    <w:rsid w:val="004C7E44"/>
    <w:rsid w:val="004F50B9"/>
    <w:rsid w:val="0050178F"/>
    <w:rsid w:val="0050226E"/>
    <w:rsid w:val="00512810"/>
    <w:rsid w:val="00523D84"/>
    <w:rsid w:val="00530841"/>
    <w:rsid w:val="00555E15"/>
    <w:rsid w:val="00573070"/>
    <w:rsid w:val="00586585"/>
    <w:rsid w:val="00590EA0"/>
    <w:rsid w:val="005A1226"/>
    <w:rsid w:val="005E7523"/>
    <w:rsid w:val="005E7D1E"/>
    <w:rsid w:val="00604190"/>
    <w:rsid w:val="00616037"/>
    <w:rsid w:val="00623E9A"/>
    <w:rsid w:val="00630F23"/>
    <w:rsid w:val="00643F8F"/>
    <w:rsid w:val="00647297"/>
    <w:rsid w:val="00647F90"/>
    <w:rsid w:val="00655F2C"/>
    <w:rsid w:val="006727B5"/>
    <w:rsid w:val="00672801"/>
    <w:rsid w:val="00682A76"/>
    <w:rsid w:val="006A6A0E"/>
    <w:rsid w:val="006C5270"/>
    <w:rsid w:val="006D1AF7"/>
    <w:rsid w:val="006D4218"/>
    <w:rsid w:val="006E1081"/>
    <w:rsid w:val="006E1DDE"/>
    <w:rsid w:val="006F40F2"/>
    <w:rsid w:val="006F58B5"/>
    <w:rsid w:val="00703D27"/>
    <w:rsid w:val="00710F3C"/>
    <w:rsid w:val="00712CAF"/>
    <w:rsid w:val="00720585"/>
    <w:rsid w:val="00721076"/>
    <w:rsid w:val="00721CF9"/>
    <w:rsid w:val="00733A44"/>
    <w:rsid w:val="00736CF6"/>
    <w:rsid w:val="00766101"/>
    <w:rsid w:val="00772E39"/>
    <w:rsid w:val="00773AF6"/>
    <w:rsid w:val="00795F71"/>
    <w:rsid w:val="007B0EDF"/>
    <w:rsid w:val="007B3818"/>
    <w:rsid w:val="007B61A4"/>
    <w:rsid w:val="007C55D6"/>
    <w:rsid w:val="007D656A"/>
    <w:rsid w:val="007D753E"/>
    <w:rsid w:val="007E5F7A"/>
    <w:rsid w:val="007E73AB"/>
    <w:rsid w:val="007F3415"/>
    <w:rsid w:val="007F41F5"/>
    <w:rsid w:val="00804C27"/>
    <w:rsid w:val="0081474B"/>
    <w:rsid w:val="008149C1"/>
    <w:rsid w:val="00814A27"/>
    <w:rsid w:val="00815BCC"/>
    <w:rsid w:val="00816C11"/>
    <w:rsid w:val="008222D3"/>
    <w:rsid w:val="0084552C"/>
    <w:rsid w:val="008464B6"/>
    <w:rsid w:val="00852744"/>
    <w:rsid w:val="00856B32"/>
    <w:rsid w:val="008838EF"/>
    <w:rsid w:val="00894C55"/>
    <w:rsid w:val="00896C0F"/>
    <w:rsid w:val="00897A6D"/>
    <w:rsid w:val="008A43DA"/>
    <w:rsid w:val="008C0997"/>
    <w:rsid w:val="008C2FAB"/>
    <w:rsid w:val="008C632E"/>
    <w:rsid w:val="008E487F"/>
    <w:rsid w:val="008E672E"/>
    <w:rsid w:val="008F47C8"/>
    <w:rsid w:val="00917A63"/>
    <w:rsid w:val="0092260A"/>
    <w:rsid w:val="00922A92"/>
    <w:rsid w:val="009359B4"/>
    <w:rsid w:val="00953090"/>
    <w:rsid w:val="00955498"/>
    <w:rsid w:val="009840E3"/>
    <w:rsid w:val="009A148F"/>
    <w:rsid w:val="009A2418"/>
    <w:rsid w:val="009A2654"/>
    <w:rsid w:val="009B11DB"/>
    <w:rsid w:val="009B4F52"/>
    <w:rsid w:val="009B7D75"/>
    <w:rsid w:val="009D167C"/>
    <w:rsid w:val="009E4690"/>
    <w:rsid w:val="009E7268"/>
    <w:rsid w:val="009F6D50"/>
    <w:rsid w:val="00A10FC3"/>
    <w:rsid w:val="00A34C69"/>
    <w:rsid w:val="00A463AB"/>
    <w:rsid w:val="00A6073E"/>
    <w:rsid w:val="00A750D9"/>
    <w:rsid w:val="00A96CEF"/>
    <w:rsid w:val="00AA3688"/>
    <w:rsid w:val="00AC7A09"/>
    <w:rsid w:val="00AD3629"/>
    <w:rsid w:val="00AD512F"/>
    <w:rsid w:val="00AE5567"/>
    <w:rsid w:val="00AF1239"/>
    <w:rsid w:val="00AF67C0"/>
    <w:rsid w:val="00B16480"/>
    <w:rsid w:val="00B2165C"/>
    <w:rsid w:val="00B31E0E"/>
    <w:rsid w:val="00B541BB"/>
    <w:rsid w:val="00B55E61"/>
    <w:rsid w:val="00B5604D"/>
    <w:rsid w:val="00BA20AA"/>
    <w:rsid w:val="00BA4F15"/>
    <w:rsid w:val="00BB1CF7"/>
    <w:rsid w:val="00BB5497"/>
    <w:rsid w:val="00BB583D"/>
    <w:rsid w:val="00BD2DC0"/>
    <w:rsid w:val="00BD4425"/>
    <w:rsid w:val="00BD4C1F"/>
    <w:rsid w:val="00BE583D"/>
    <w:rsid w:val="00BE5A71"/>
    <w:rsid w:val="00C2238E"/>
    <w:rsid w:val="00C25B49"/>
    <w:rsid w:val="00C313C9"/>
    <w:rsid w:val="00C50CED"/>
    <w:rsid w:val="00C65553"/>
    <w:rsid w:val="00C65BC0"/>
    <w:rsid w:val="00C74D40"/>
    <w:rsid w:val="00C7501B"/>
    <w:rsid w:val="00C753C8"/>
    <w:rsid w:val="00C82353"/>
    <w:rsid w:val="00C82B7B"/>
    <w:rsid w:val="00C84D0C"/>
    <w:rsid w:val="00C92BF0"/>
    <w:rsid w:val="00CB2BA7"/>
    <w:rsid w:val="00CB3709"/>
    <w:rsid w:val="00CB5006"/>
    <w:rsid w:val="00CC0D2D"/>
    <w:rsid w:val="00CC2833"/>
    <w:rsid w:val="00CE1397"/>
    <w:rsid w:val="00CE5657"/>
    <w:rsid w:val="00D132C0"/>
    <w:rsid w:val="00D133F8"/>
    <w:rsid w:val="00D14A3E"/>
    <w:rsid w:val="00D25411"/>
    <w:rsid w:val="00D549AD"/>
    <w:rsid w:val="00D6487B"/>
    <w:rsid w:val="00D74970"/>
    <w:rsid w:val="00D97064"/>
    <w:rsid w:val="00DB15A5"/>
    <w:rsid w:val="00DC0BE1"/>
    <w:rsid w:val="00DD065A"/>
    <w:rsid w:val="00DD3798"/>
    <w:rsid w:val="00DE12CA"/>
    <w:rsid w:val="00DE4714"/>
    <w:rsid w:val="00DF235F"/>
    <w:rsid w:val="00E16FFA"/>
    <w:rsid w:val="00E2040B"/>
    <w:rsid w:val="00E30366"/>
    <w:rsid w:val="00E33255"/>
    <w:rsid w:val="00E3716B"/>
    <w:rsid w:val="00E41B9A"/>
    <w:rsid w:val="00E5323B"/>
    <w:rsid w:val="00E628F2"/>
    <w:rsid w:val="00E7147E"/>
    <w:rsid w:val="00E76287"/>
    <w:rsid w:val="00E80967"/>
    <w:rsid w:val="00E8749E"/>
    <w:rsid w:val="00E90C01"/>
    <w:rsid w:val="00EA00D5"/>
    <w:rsid w:val="00EA486E"/>
    <w:rsid w:val="00ED78E0"/>
    <w:rsid w:val="00EE03F1"/>
    <w:rsid w:val="00F0388A"/>
    <w:rsid w:val="00F26450"/>
    <w:rsid w:val="00F42AA4"/>
    <w:rsid w:val="00F436E3"/>
    <w:rsid w:val="00F50ABD"/>
    <w:rsid w:val="00F57B0C"/>
    <w:rsid w:val="00F64C78"/>
    <w:rsid w:val="00F67487"/>
    <w:rsid w:val="00F71FA8"/>
    <w:rsid w:val="00F96CC8"/>
    <w:rsid w:val="00FA2561"/>
    <w:rsid w:val="00FC4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09766"/>
  <w15:docId w15:val="{35FA30D8-C1F2-4877-80EF-41C709E4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
    <w:name w:val="tv213"/>
    <w:basedOn w:val="Normal"/>
    <w:rsid w:val="009840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9840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0E3"/>
    <w:rPr>
      <w:sz w:val="20"/>
      <w:szCs w:val="20"/>
    </w:rPr>
  </w:style>
  <w:style w:type="character" w:styleId="FootnoteReference">
    <w:name w:val="footnote reference"/>
    <w:basedOn w:val="DefaultParagraphFont"/>
    <w:uiPriority w:val="99"/>
    <w:semiHidden/>
    <w:unhideWhenUsed/>
    <w:rsid w:val="009840E3"/>
    <w:rPr>
      <w:vertAlign w:val="superscript"/>
    </w:rPr>
  </w:style>
  <w:style w:type="paragraph" w:styleId="ListParagraph">
    <w:name w:val="List Paragraph"/>
    <w:basedOn w:val="Normal"/>
    <w:qFormat/>
    <w:rsid w:val="009F6D50"/>
    <w:pPr>
      <w:ind w:left="720"/>
      <w:contextualSpacing/>
    </w:pPr>
  </w:style>
  <w:style w:type="character" w:styleId="CommentReference">
    <w:name w:val="annotation reference"/>
    <w:basedOn w:val="DefaultParagraphFont"/>
    <w:uiPriority w:val="99"/>
    <w:semiHidden/>
    <w:unhideWhenUsed/>
    <w:rsid w:val="000D4842"/>
    <w:rPr>
      <w:sz w:val="16"/>
      <w:szCs w:val="16"/>
    </w:rPr>
  </w:style>
  <w:style w:type="paragraph" w:styleId="CommentText">
    <w:name w:val="annotation text"/>
    <w:basedOn w:val="Normal"/>
    <w:link w:val="CommentTextChar"/>
    <w:uiPriority w:val="99"/>
    <w:semiHidden/>
    <w:unhideWhenUsed/>
    <w:rsid w:val="000D4842"/>
    <w:pPr>
      <w:spacing w:line="240" w:lineRule="auto"/>
    </w:pPr>
    <w:rPr>
      <w:sz w:val="20"/>
      <w:szCs w:val="20"/>
    </w:rPr>
  </w:style>
  <w:style w:type="character" w:customStyle="1" w:styleId="CommentTextChar">
    <w:name w:val="Comment Text Char"/>
    <w:basedOn w:val="DefaultParagraphFont"/>
    <w:link w:val="CommentText"/>
    <w:uiPriority w:val="99"/>
    <w:semiHidden/>
    <w:rsid w:val="000D4842"/>
    <w:rPr>
      <w:sz w:val="20"/>
      <w:szCs w:val="20"/>
    </w:rPr>
  </w:style>
  <w:style w:type="paragraph" w:styleId="CommentSubject">
    <w:name w:val="annotation subject"/>
    <w:basedOn w:val="CommentText"/>
    <w:next w:val="CommentText"/>
    <w:link w:val="CommentSubjectChar"/>
    <w:uiPriority w:val="99"/>
    <w:semiHidden/>
    <w:unhideWhenUsed/>
    <w:rsid w:val="000D4842"/>
    <w:rPr>
      <w:b/>
      <w:bCs/>
    </w:rPr>
  </w:style>
  <w:style w:type="character" w:customStyle="1" w:styleId="CommentSubjectChar">
    <w:name w:val="Comment Subject Char"/>
    <w:basedOn w:val="CommentTextChar"/>
    <w:link w:val="CommentSubject"/>
    <w:uiPriority w:val="99"/>
    <w:semiHidden/>
    <w:rsid w:val="000D4842"/>
    <w:rPr>
      <w:b/>
      <w:bCs/>
      <w:sz w:val="20"/>
      <w:szCs w:val="20"/>
    </w:rPr>
  </w:style>
  <w:style w:type="paragraph" w:styleId="NormalWeb">
    <w:name w:val="Normal (Web)"/>
    <w:basedOn w:val="Normal"/>
    <w:uiPriority w:val="99"/>
    <w:unhideWhenUsed/>
    <w:rsid w:val="006D42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6D4218"/>
    <w:rPr>
      <w:i/>
      <w:iCs/>
    </w:rPr>
  </w:style>
  <w:style w:type="paragraph" w:customStyle="1" w:styleId="Default">
    <w:name w:val="Default"/>
    <w:basedOn w:val="Normal"/>
    <w:rsid w:val="00175546"/>
    <w:pPr>
      <w:autoSpaceDE w:val="0"/>
      <w:autoSpaceDN w:val="0"/>
      <w:spacing w:after="0" w:line="240" w:lineRule="auto"/>
    </w:pPr>
    <w:rPr>
      <w:rFonts w:ascii="Verdana" w:hAnsi="Verdana" w:cs="Times New Roman"/>
      <w:color w:val="000000"/>
      <w:sz w:val="24"/>
      <w:szCs w:val="24"/>
    </w:rPr>
  </w:style>
  <w:style w:type="paragraph" w:customStyle="1" w:styleId="naisf">
    <w:name w:val="naisf"/>
    <w:basedOn w:val="Normal"/>
    <w:rsid w:val="009E4690"/>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9E46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13785989">
      <w:bodyDiv w:val="1"/>
      <w:marLeft w:val="0"/>
      <w:marRight w:val="0"/>
      <w:marTop w:val="0"/>
      <w:marBottom w:val="0"/>
      <w:divBdr>
        <w:top w:val="none" w:sz="0" w:space="0" w:color="auto"/>
        <w:left w:val="none" w:sz="0" w:space="0" w:color="auto"/>
        <w:bottom w:val="none" w:sz="0" w:space="0" w:color="auto"/>
        <w:right w:val="none" w:sz="0" w:space="0" w:color="auto"/>
      </w:divBdr>
    </w:div>
    <w:div w:id="1127045502">
      <w:bodyDiv w:val="1"/>
      <w:marLeft w:val="0"/>
      <w:marRight w:val="0"/>
      <w:marTop w:val="0"/>
      <w:marBottom w:val="0"/>
      <w:divBdr>
        <w:top w:val="none" w:sz="0" w:space="0" w:color="auto"/>
        <w:left w:val="none" w:sz="0" w:space="0" w:color="auto"/>
        <w:bottom w:val="none" w:sz="0" w:space="0" w:color="auto"/>
        <w:right w:val="none" w:sz="0" w:space="0" w:color="auto"/>
      </w:divBdr>
    </w:div>
    <w:div w:id="137049164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41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ta.neija@f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likumi.lv/ta/id/178987-noziedzigi-iegutu-lidzeklu-legalizacijas-un-terorisma-finansesanas-noversanas-likum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27171</Words>
  <Characters>15488</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Noziedzīgi iegūtu līdzekļu legalizācijas un terorisma finansēšanas novēršanas likumā”sākotnējās ietekmes novērtējuma ziņojums (anotācija)</vt:lpstr>
      <vt:lpstr>Likumprojekta “Grozījumi Noziedzīgi iegūtu līdzekļu legalizācijas un terorisma finansēšanas novēršanas likumā”sākotnējās ietekmes novērtējuma ziņojums (anotācija)</vt:lpstr>
    </vt:vector>
  </TitlesOfParts>
  <Company>Finanšu ministrija</Company>
  <LinksUpToDate>false</LinksUpToDate>
  <CharactersWithSpaces>42574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Noziedzīgi iegūtu līdzekļu legalizācijas un terorisma finansēšanas novēršanas likumā”sākotnējās ietekmes novērtējuma ziņojums (anotācija)</dc:title>
  <dc:subject>Anotācija</dc:subject>
  <dc:creator>Vineta Neija</dc:creator>
  <dc:description>67095490, vineta.neija@fm.gov.lv</dc:description>
  <cp:lastModifiedBy>Vineta Neija</cp:lastModifiedBy>
  <cp:revision>14</cp:revision>
  <cp:lastPrinted>2018-04-10T05:48:00Z</cp:lastPrinted>
  <dcterms:created xsi:type="dcterms:W3CDTF">2018-04-09T14:12:00Z</dcterms:created>
  <dcterms:modified xsi:type="dcterms:W3CDTF">2018-04-10T07:04:00Z</dcterms:modified>
</cp:coreProperties>
</file>