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DB" w:rsidRPr="005116EE" w:rsidRDefault="00DF7EDB" w:rsidP="00DF7EDB">
      <w:pPr>
        <w:jc w:val="right"/>
      </w:pPr>
      <w:bookmarkStart w:id="0" w:name="_GoBack"/>
      <w:bookmarkEnd w:id="0"/>
      <w:r w:rsidRPr="005116EE">
        <w:rPr>
          <w:i/>
          <w:iCs/>
        </w:rPr>
        <w:t>Projekts</w:t>
      </w:r>
    </w:p>
    <w:p w:rsidR="00DF7EDB" w:rsidRPr="005116EE" w:rsidRDefault="00DF7EDB" w:rsidP="00DF7EDB">
      <w:pPr>
        <w:jc w:val="center"/>
      </w:pPr>
      <w:r w:rsidRPr="005116EE">
        <w:t>LATVIJAS REPUBLIKAS MINISTRU KABINETS</w:t>
      </w:r>
    </w:p>
    <w:p w:rsidR="00DF7EDB" w:rsidRPr="005116EE" w:rsidRDefault="00DF7EDB" w:rsidP="00DF7EDB"/>
    <w:p w:rsidR="00DF7EDB" w:rsidRPr="005116EE" w:rsidRDefault="00DF7EDB" w:rsidP="00DF7EDB">
      <w:pPr>
        <w:tabs>
          <w:tab w:val="right" w:pos="9000"/>
        </w:tabs>
      </w:pPr>
      <w:r w:rsidRPr="005116EE">
        <w:t>2018. gada __. ___</w:t>
      </w:r>
      <w:r w:rsidRPr="005116EE">
        <w:tab/>
        <w:t>Noteikumi Nr. __</w:t>
      </w:r>
    </w:p>
    <w:p w:rsidR="00DF7EDB" w:rsidRPr="005116EE" w:rsidRDefault="00DF7EDB" w:rsidP="00DF7EDB">
      <w:pPr>
        <w:tabs>
          <w:tab w:val="right" w:pos="9000"/>
        </w:tabs>
      </w:pPr>
      <w:r w:rsidRPr="005116EE">
        <w:t>Rīgā</w:t>
      </w:r>
      <w:r w:rsidRPr="005116EE">
        <w:tab/>
        <w:t>(prot. Nr. __ __. §)</w:t>
      </w:r>
    </w:p>
    <w:p w:rsidR="00DF7EDB" w:rsidRPr="005116EE" w:rsidRDefault="00DF7EDB" w:rsidP="00DF7EDB">
      <w:pPr>
        <w:rPr>
          <w:b/>
          <w:bCs/>
        </w:rPr>
      </w:pPr>
    </w:p>
    <w:p w:rsidR="00DF7EDB" w:rsidRPr="005116EE" w:rsidRDefault="00DF7EDB" w:rsidP="00DF7EDB">
      <w:pPr>
        <w:shd w:val="clear" w:color="auto" w:fill="FFFFFF"/>
        <w:jc w:val="center"/>
        <w:rPr>
          <w:b/>
          <w:bCs/>
        </w:rPr>
      </w:pPr>
      <w:r w:rsidRPr="005116EE">
        <w:rPr>
          <w:b/>
          <w:bCs/>
        </w:rPr>
        <w:t>Ministru kabineta noteikumu projekts</w:t>
      </w:r>
    </w:p>
    <w:p w:rsidR="00DF7EDB" w:rsidRPr="005116EE" w:rsidRDefault="00DF7EDB" w:rsidP="00DF7EDB">
      <w:pPr>
        <w:jc w:val="center"/>
        <w:rPr>
          <w:b/>
          <w:bCs/>
        </w:rPr>
      </w:pPr>
      <w:r w:rsidRPr="005116EE">
        <w:rPr>
          <w:b/>
          <w:bCs/>
        </w:rPr>
        <w:t>“Grozījumi Ministru kabineta 2017.gada 5.decembra noteikumos Nr.715 “Interaktīvo azartspēļu un interaktīvo izložu spēlētāju reģistrācijas un identitātes pārbaudes kārtība””</w:t>
      </w:r>
    </w:p>
    <w:p w:rsidR="00DF7EDB" w:rsidRPr="005116EE" w:rsidRDefault="00DF7EDB" w:rsidP="00DF7EDB">
      <w:pPr>
        <w:jc w:val="center"/>
        <w:rPr>
          <w:b/>
          <w:bCs/>
        </w:rPr>
      </w:pPr>
    </w:p>
    <w:p w:rsidR="00DF7EDB" w:rsidRPr="005116EE" w:rsidRDefault="00DF7EDB" w:rsidP="00DF7EDB">
      <w:pPr>
        <w:jc w:val="center"/>
        <w:rPr>
          <w:b/>
          <w:bCs/>
        </w:rPr>
      </w:pPr>
    </w:p>
    <w:p w:rsidR="00DF7EDB" w:rsidRPr="005116EE" w:rsidRDefault="00DF7EDB" w:rsidP="00DF7EDB">
      <w:pPr>
        <w:shd w:val="clear" w:color="auto" w:fill="FFFFFF"/>
        <w:jc w:val="right"/>
        <w:rPr>
          <w:iCs/>
        </w:rPr>
      </w:pPr>
      <w:r w:rsidRPr="005116EE">
        <w:rPr>
          <w:iCs/>
        </w:rPr>
        <w:t>Izdoti saskaņā ar</w:t>
      </w:r>
    </w:p>
    <w:p w:rsidR="00B75DE5" w:rsidRDefault="00CE4017" w:rsidP="00DF7EDB">
      <w:pPr>
        <w:shd w:val="clear" w:color="auto" w:fill="FFFFFF"/>
        <w:jc w:val="right"/>
        <w:rPr>
          <w:iCs/>
        </w:rPr>
      </w:pPr>
      <w:hyperlink r:id="rId10" w:tgtFrame="_blank" w:history="1">
        <w:r w:rsidR="00DF7EDB" w:rsidRPr="005116EE">
          <w:rPr>
            <w:iCs/>
          </w:rPr>
          <w:t>Azartspēļu un izložu likuma</w:t>
        </w:r>
      </w:hyperlink>
      <w:r w:rsidR="00DF7EDB" w:rsidRPr="005116EE">
        <w:rPr>
          <w:iCs/>
        </w:rPr>
        <w:t xml:space="preserve"> 54.pantu,</w:t>
      </w:r>
    </w:p>
    <w:p w:rsidR="00B75DE5" w:rsidRDefault="00CE4017" w:rsidP="00DF7EDB">
      <w:pPr>
        <w:shd w:val="clear" w:color="auto" w:fill="FFFFFF"/>
        <w:jc w:val="right"/>
        <w:rPr>
          <w:iCs/>
        </w:rPr>
      </w:pPr>
      <w:hyperlink r:id="rId11" w:anchor="p54.1 " w:tgtFrame="_blank" w:history="1">
        <w:r w:rsidR="00DF7EDB" w:rsidRPr="005116EE">
          <w:rPr>
            <w:rStyle w:val="Hyperlink"/>
            <w:iCs/>
            <w:color w:val="auto"/>
          </w:rPr>
          <w:t>54.</w:t>
        </w:r>
        <w:r w:rsidR="00DF7EDB" w:rsidRPr="005116EE">
          <w:rPr>
            <w:rStyle w:val="Hyperlink"/>
            <w:iCs/>
            <w:color w:val="auto"/>
            <w:vertAlign w:val="superscript"/>
          </w:rPr>
          <w:t>1 </w:t>
        </w:r>
        <w:r w:rsidR="00DF7EDB" w:rsidRPr="005116EE">
          <w:rPr>
            <w:rStyle w:val="Hyperlink"/>
            <w:iCs/>
            <w:color w:val="auto"/>
          </w:rPr>
          <w:t>panta</w:t>
        </w:r>
      </w:hyperlink>
      <w:r w:rsidR="00DF7EDB" w:rsidRPr="005116EE">
        <w:rPr>
          <w:iCs/>
        </w:rPr>
        <w:t xml:space="preserve"> astoto daļu, </w:t>
      </w:r>
      <w:hyperlink r:id="rId12" w:anchor="p79.1 " w:tgtFrame="_blank" w:history="1">
        <w:r w:rsidR="00DF7EDB" w:rsidRPr="005116EE">
          <w:rPr>
            <w:rStyle w:val="Hyperlink"/>
            <w:iCs/>
            <w:color w:val="auto"/>
          </w:rPr>
          <w:t>79.</w:t>
        </w:r>
        <w:r w:rsidR="00DF7EDB" w:rsidRPr="005116EE">
          <w:rPr>
            <w:rStyle w:val="Hyperlink"/>
            <w:iCs/>
            <w:color w:val="auto"/>
            <w:vertAlign w:val="superscript"/>
          </w:rPr>
          <w:t>1 </w:t>
        </w:r>
        <w:r w:rsidR="00DF7EDB" w:rsidRPr="005116EE">
          <w:rPr>
            <w:rStyle w:val="Hyperlink"/>
            <w:iCs/>
            <w:color w:val="auto"/>
          </w:rPr>
          <w:t>panta</w:t>
        </w:r>
      </w:hyperlink>
      <w:r w:rsidR="00DF7EDB" w:rsidRPr="005116EE">
        <w:rPr>
          <w:iCs/>
        </w:rPr>
        <w:t xml:space="preserve"> astoto daļu</w:t>
      </w:r>
      <w:r w:rsidR="00B75DE5">
        <w:rPr>
          <w:iCs/>
        </w:rPr>
        <w:t xml:space="preserve"> </w:t>
      </w:r>
      <w:r w:rsidR="00DF7EDB" w:rsidRPr="005116EE">
        <w:rPr>
          <w:iCs/>
        </w:rPr>
        <w:t>un</w:t>
      </w:r>
    </w:p>
    <w:p w:rsidR="00DF7EDB" w:rsidRPr="005116EE" w:rsidRDefault="00DF7EDB" w:rsidP="00DF7EDB">
      <w:pPr>
        <w:shd w:val="clear" w:color="auto" w:fill="FFFFFF"/>
        <w:jc w:val="right"/>
        <w:rPr>
          <w:iCs/>
        </w:rPr>
      </w:pPr>
      <w:r w:rsidRPr="005116EE">
        <w:rPr>
          <w:iCs/>
        </w:rPr>
        <w:t>80.panta pirmās daļas 1.punktu</w:t>
      </w:r>
    </w:p>
    <w:p w:rsidR="00DF7EDB" w:rsidRPr="005116EE" w:rsidRDefault="00DF7EDB" w:rsidP="00DF7EDB">
      <w:pPr>
        <w:pStyle w:val="tv90087921"/>
        <w:spacing w:after="0" w:line="240" w:lineRule="auto"/>
        <w:ind w:firstLine="301"/>
        <w:rPr>
          <w:rFonts w:ascii="Times New Roman" w:hAnsi="Times New Roman"/>
          <w:sz w:val="24"/>
          <w:szCs w:val="24"/>
        </w:rPr>
      </w:pPr>
    </w:p>
    <w:p w:rsidR="00DF7EDB" w:rsidRPr="005116EE" w:rsidRDefault="00DF7EDB" w:rsidP="00DF7EDB">
      <w:pPr>
        <w:pStyle w:val="tv90087921"/>
        <w:spacing w:after="0" w:line="240" w:lineRule="auto"/>
        <w:ind w:firstLine="301"/>
        <w:rPr>
          <w:rFonts w:ascii="Times New Roman" w:hAnsi="Times New Roman"/>
          <w:sz w:val="24"/>
          <w:szCs w:val="24"/>
        </w:rPr>
      </w:pPr>
    </w:p>
    <w:p w:rsidR="00DF7EDB" w:rsidRPr="005116EE" w:rsidRDefault="00DF7EDB" w:rsidP="00DF7EDB">
      <w:pPr>
        <w:ind w:firstLine="720"/>
        <w:jc w:val="both"/>
        <w:rPr>
          <w:bCs/>
        </w:rPr>
      </w:pPr>
    </w:p>
    <w:p w:rsidR="00DF7EDB" w:rsidRPr="005116EE" w:rsidRDefault="00DF7EDB" w:rsidP="00DF7EDB">
      <w:pPr>
        <w:pStyle w:val="ListParagraph"/>
        <w:numPr>
          <w:ilvl w:val="0"/>
          <w:numId w:val="1"/>
        </w:numPr>
        <w:tabs>
          <w:tab w:val="left" w:pos="720"/>
          <w:tab w:val="left" w:pos="993"/>
        </w:tabs>
        <w:ind w:left="0" w:firstLine="774"/>
        <w:jc w:val="both"/>
      </w:pPr>
      <w:r w:rsidRPr="005116EE">
        <w:t xml:space="preserve"> Izdarīt Ministru kabineta </w:t>
      </w:r>
      <w:r w:rsidRPr="005116EE">
        <w:rPr>
          <w:bCs/>
        </w:rPr>
        <w:t>2017.gada 5.decembra noteikumos Nr.715 “Interaktīvo azartspēļu un interaktīvo izložu spēlētāju reģistrācijas un identitātes pārbaudes kārtība</w:t>
      </w:r>
      <w:r w:rsidRPr="005116EE">
        <w:t>” (Latvijas Vēstnesis, 2017, 247. nr.) šādus grozījumus:</w:t>
      </w:r>
    </w:p>
    <w:p w:rsidR="00DF7EDB" w:rsidRPr="005116EE" w:rsidRDefault="00DF7EDB" w:rsidP="00DF7EDB">
      <w:pPr>
        <w:pStyle w:val="ListParagraph"/>
        <w:tabs>
          <w:tab w:val="left" w:pos="993"/>
        </w:tabs>
        <w:ind w:left="1095"/>
        <w:jc w:val="both"/>
      </w:pPr>
    </w:p>
    <w:p w:rsidR="00DF7EDB" w:rsidRPr="005116EE" w:rsidRDefault="00DF7EDB" w:rsidP="00DF7EDB">
      <w:pPr>
        <w:pStyle w:val="ListParagraph"/>
        <w:ind w:left="0" w:firstLine="709"/>
        <w:jc w:val="both"/>
      </w:pPr>
      <w:r w:rsidRPr="005116EE">
        <w:t>1.1. Izteikt norādi, uz kāda likuma pamata noteikumi izdoti, šādā redakcijā:</w:t>
      </w:r>
    </w:p>
    <w:p w:rsidR="00DF7EDB" w:rsidRPr="005116EE" w:rsidRDefault="00DF7EDB" w:rsidP="00DF7EDB">
      <w:pPr>
        <w:pStyle w:val="ListParagraph"/>
        <w:ind w:left="0" w:firstLine="709"/>
        <w:jc w:val="both"/>
      </w:pPr>
      <w:r w:rsidRPr="005116EE">
        <w:t>“Izdoti saskaņā ar Azartspēļu un izložu likuma 54.pantu, 54.</w:t>
      </w:r>
      <w:r w:rsidRPr="005116EE">
        <w:rPr>
          <w:vertAlign w:val="superscript"/>
        </w:rPr>
        <w:t>1</w:t>
      </w:r>
      <w:r w:rsidRPr="005116EE">
        <w:t xml:space="preserve"> panta astoto daļu, 79.</w:t>
      </w:r>
      <w:r w:rsidRPr="005116EE">
        <w:rPr>
          <w:vertAlign w:val="superscript"/>
        </w:rPr>
        <w:t>1</w:t>
      </w:r>
      <w:r w:rsidRPr="005116EE">
        <w:t xml:space="preserve"> panta astoto daļu un 80.panta pirmās daļas 1.punktu”.</w:t>
      </w:r>
    </w:p>
    <w:p w:rsidR="00DF7EDB" w:rsidRPr="005116EE" w:rsidRDefault="00DF7EDB" w:rsidP="00DF7EDB">
      <w:pPr>
        <w:pStyle w:val="ListParagraph"/>
        <w:ind w:left="0" w:firstLine="709"/>
        <w:jc w:val="both"/>
      </w:pPr>
    </w:p>
    <w:p w:rsidR="00DF7EDB" w:rsidRPr="005116EE" w:rsidRDefault="00DF7EDB" w:rsidP="00DF7EDB">
      <w:pPr>
        <w:pStyle w:val="ListParagraph"/>
        <w:jc w:val="both"/>
      </w:pPr>
      <w:r w:rsidRPr="005116EE">
        <w:t>1.2. Izteikt 1.punktu šādā redakcijā:</w:t>
      </w:r>
    </w:p>
    <w:p w:rsidR="00DF7EDB" w:rsidRPr="005116EE" w:rsidRDefault="00DF7EDB" w:rsidP="00DF7EDB">
      <w:pPr>
        <w:pStyle w:val="ListParagraph"/>
        <w:spacing w:before="120"/>
      </w:pPr>
      <w:r w:rsidRPr="005116EE">
        <w:t>“1. Noteikumi nosaka:</w:t>
      </w:r>
    </w:p>
    <w:p w:rsidR="00DF7EDB" w:rsidRPr="005116EE" w:rsidRDefault="00DF7EDB" w:rsidP="00DF7EDB">
      <w:pPr>
        <w:pStyle w:val="ListParagraph"/>
        <w:spacing w:before="120"/>
        <w:jc w:val="both"/>
      </w:pPr>
      <w:r w:rsidRPr="005116EE">
        <w:t xml:space="preserve">1.1. interaktīvo azartspēļu un interaktīvo izložu spēlētāju (turpmāk – spēlētāji) reģistrācijas un identitātes pārbaudes kārtību; </w:t>
      </w:r>
    </w:p>
    <w:p w:rsidR="00DF7EDB" w:rsidRPr="005116EE" w:rsidRDefault="00DF7EDB" w:rsidP="00DF7EDB">
      <w:pPr>
        <w:pStyle w:val="ListParagraph"/>
        <w:spacing w:before="120"/>
        <w:jc w:val="both"/>
      </w:pPr>
      <w:r w:rsidRPr="005116EE">
        <w:t>1.2. minimālās prasības, kas jāievēro, lai novērstu no interaktīvajām azartspēlēm un interaktīvajām izlozēm atkarīgo spēlētāju turpmāku dalību interaktīvajās azartspēlēs vai/un interaktīvajās izlozēs;</w:t>
      </w:r>
    </w:p>
    <w:p w:rsidR="00DF7EDB" w:rsidRPr="005116EE" w:rsidRDefault="00DF7EDB" w:rsidP="00DF7EDB">
      <w:pPr>
        <w:pStyle w:val="ListParagraph"/>
        <w:spacing w:before="120"/>
        <w:jc w:val="both"/>
        <w:rPr>
          <w:bCs/>
        </w:rPr>
      </w:pPr>
      <w:r w:rsidRPr="005116EE">
        <w:t>1.3.</w:t>
      </w:r>
      <w:r w:rsidRPr="005116EE">
        <w:rPr>
          <w:bCs/>
        </w:rPr>
        <w:t xml:space="preserve"> nosacījumus un kārtību, kādā spēlētājs tiek izslēgts no interaktīvo azartspēļu vai interaktīvo izložu spēlētāju reģistra (turpmāk – spēlētāju reģistrs);</w:t>
      </w:r>
    </w:p>
    <w:p w:rsidR="00DF7EDB" w:rsidRPr="005116EE" w:rsidRDefault="00DF7EDB" w:rsidP="00DF7EDB">
      <w:pPr>
        <w:pStyle w:val="ListParagraph"/>
        <w:spacing w:before="120"/>
        <w:ind w:left="709"/>
        <w:jc w:val="both"/>
        <w:rPr>
          <w:bCs/>
        </w:rPr>
      </w:pPr>
      <w:r w:rsidRPr="005116EE">
        <w:rPr>
          <w:bCs/>
        </w:rPr>
        <w:t>1.4. informācijas glabāšanas termiņu interaktīvo azartspēļu vai interaktīvo izložu spēlētāju reģistrā.”</w:t>
      </w:r>
    </w:p>
    <w:p w:rsidR="00DF7EDB" w:rsidRPr="005116EE" w:rsidRDefault="00DF7EDB" w:rsidP="00DF7EDB">
      <w:pPr>
        <w:pStyle w:val="ListParagraph"/>
        <w:ind w:left="0" w:firstLine="709"/>
        <w:jc w:val="both"/>
      </w:pPr>
    </w:p>
    <w:p w:rsidR="00DF7EDB" w:rsidRPr="005116EE" w:rsidRDefault="00DF7EDB" w:rsidP="00DF7EDB">
      <w:pPr>
        <w:pStyle w:val="ListParagraph"/>
        <w:ind w:left="0" w:firstLine="709"/>
        <w:jc w:val="both"/>
      </w:pPr>
      <w:r w:rsidRPr="005116EE">
        <w:t xml:space="preserve"> 1.3. Svītrot 2., 3., 4., 7., 12., 15., 16., 17. un 18.punktu.</w:t>
      </w:r>
    </w:p>
    <w:p w:rsidR="00DF7EDB" w:rsidRPr="005116EE" w:rsidRDefault="00DF7EDB" w:rsidP="00DF7EDB">
      <w:pPr>
        <w:pStyle w:val="ListParagraph"/>
        <w:ind w:left="0" w:firstLine="709"/>
        <w:jc w:val="both"/>
      </w:pPr>
    </w:p>
    <w:p w:rsidR="00DF7EDB" w:rsidRPr="005116EE" w:rsidRDefault="00DF7EDB" w:rsidP="00DF7EDB">
      <w:pPr>
        <w:pStyle w:val="ListParagraph"/>
        <w:ind w:left="0" w:firstLine="709"/>
        <w:jc w:val="both"/>
      </w:pPr>
      <w:r w:rsidRPr="005116EE">
        <w:t>1.4. Svītrot 5.punktā vārdus “šo noteikumu </w:t>
      </w:r>
      <w:hyperlink r:id="rId13" w:anchor="p3" w:tgtFrame="_blank" w:history="1">
        <w:r w:rsidRPr="005116EE">
          <w:t>3.</w:t>
        </w:r>
      </w:hyperlink>
      <w:r w:rsidRPr="005116EE">
        <w:t>punktā minētajā”.</w:t>
      </w:r>
    </w:p>
    <w:p w:rsidR="00DF7EDB" w:rsidRPr="005116EE" w:rsidRDefault="00DF7EDB" w:rsidP="00DF7EDB">
      <w:pPr>
        <w:pStyle w:val="ListParagraph"/>
        <w:ind w:left="0" w:firstLine="709"/>
        <w:jc w:val="both"/>
      </w:pPr>
    </w:p>
    <w:p w:rsidR="00DF7EDB" w:rsidRPr="005116EE" w:rsidRDefault="00DF7EDB" w:rsidP="00DF7EDB">
      <w:pPr>
        <w:pStyle w:val="ListParagraph"/>
        <w:ind w:left="0" w:firstLine="709"/>
        <w:jc w:val="both"/>
      </w:pPr>
      <w:r w:rsidRPr="005116EE">
        <w:t>1.5. Svītrot 5. un 6.punktā vārdus “interaktīvo azartspēļu”;</w:t>
      </w:r>
    </w:p>
    <w:p w:rsidR="00DF7EDB" w:rsidRPr="005116EE" w:rsidRDefault="00DF7EDB" w:rsidP="00DF7EDB">
      <w:pPr>
        <w:pStyle w:val="ListParagraph"/>
        <w:ind w:left="0" w:firstLine="709"/>
        <w:jc w:val="both"/>
      </w:pPr>
    </w:p>
    <w:p w:rsidR="00DF7EDB" w:rsidRPr="005116EE" w:rsidRDefault="00DF7EDB" w:rsidP="00DF7EDB">
      <w:pPr>
        <w:pStyle w:val="ListParagraph"/>
        <w:ind w:left="0" w:firstLine="709"/>
        <w:jc w:val="both"/>
      </w:pPr>
      <w:r w:rsidRPr="005116EE">
        <w:t>1.6. Papildināt 6.punkta pirmo teikumu ar vārdiem “vai interaktīvās izlozes”.</w:t>
      </w:r>
    </w:p>
    <w:p w:rsidR="00F816AD" w:rsidRDefault="00F816AD" w:rsidP="00DF7EDB">
      <w:pPr>
        <w:ind w:firstLine="709"/>
        <w:jc w:val="both"/>
      </w:pPr>
    </w:p>
    <w:p w:rsidR="00F816AD" w:rsidRPr="00F816AD" w:rsidRDefault="00F816AD" w:rsidP="00F816AD"/>
    <w:p w:rsidR="00DF7EDB" w:rsidRPr="00F816AD" w:rsidRDefault="00F816AD" w:rsidP="00F816AD">
      <w:pPr>
        <w:tabs>
          <w:tab w:val="left" w:pos="1050"/>
        </w:tabs>
      </w:pPr>
      <w:r>
        <w:lastRenderedPageBreak/>
        <w:tab/>
      </w:r>
    </w:p>
    <w:p w:rsidR="00DF7EDB" w:rsidRPr="005116EE" w:rsidRDefault="00DF7EDB" w:rsidP="00DF7EDB">
      <w:pPr>
        <w:pStyle w:val="ListParagraph"/>
        <w:ind w:left="0" w:firstLine="709"/>
        <w:jc w:val="both"/>
      </w:pPr>
      <w:r w:rsidRPr="005116EE">
        <w:t>1.7. Aizstāt 5., 6.</w:t>
      </w:r>
      <w:r>
        <w:t>punktā</w:t>
      </w:r>
      <w:r w:rsidRPr="005116EE">
        <w:t>, 8.</w:t>
      </w:r>
      <w:r>
        <w:t>punkta otrajā teikumā</w:t>
      </w:r>
      <w:r w:rsidRPr="005116EE">
        <w:t>, 10., 11. un 13.punktā vārdus “interaktīvās azartspēles organizētājs” (attiecīgā locījumā) ar vārdiem “interaktīvās azartspēles vai interaktīvās izlozes organizētājs” (attiecīgajā locījumā).</w:t>
      </w:r>
    </w:p>
    <w:p w:rsidR="00DF7EDB" w:rsidRPr="005116EE" w:rsidRDefault="00DF7EDB" w:rsidP="00DF7EDB">
      <w:pPr>
        <w:pStyle w:val="ListParagraph"/>
        <w:ind w:left="0" w:firstLine="709"/>
        <w:jc w:val="both"/>
      </w:pPr>
    </w:p>
    <w:p w:rsidR="00DF7EDB" w:rsidRPr="005116EE" w:rsidRDefault="00DF7EDB" w:rsidP="00DF7EDB">
      <w:pPr>
        <w:pStyle w:val="ListParagraph"/>
        <w:ind w:left="0" w:firstLine="709"/>
        <w:jc w:val="both"/>
      </w:pPr>
      <w:r w:rsidRPr="005116EE">
        <w:t>1.8. Papildināt 5. un 8.punktu aiz vārdiem “interaktīvās azartspēles organizētāja organizētās interaktīvās azartspēles” ar vārdiem  “vai interaktīvās izlozes organizētāja organizētās interaktīvās izlozes”.</w:t>
      </w:r>
    </w:p>
    <w:p w:rsidR="00DF7EDB" w:rsidRPr="005116EE" w:rsidRDefault="00DF7EDB" w:rsidP="00DF7EDB">
      <w:pPr>
        <w:pStyle w:val="ListParagraph"/>
        <w:ind w:left="0" w:firstLine="709"/>
        <w:jc w:val="both"/>
      </w:pPr>
    </w:p>
    <w:p w:rsidR="00DF7EDB" w:rsidRPr="005116EE" w:rsidRDefault="00DF7EDB" w:rsidP="00DF7EDB">
      <w:pPr>
        <w:pStyle w:val="ListParagraph"/>
        <w:ind w:left="0" w:firstLine="709"/>
        <w:jc w:val="both"/>
      </w:pPr>
      <w:r w:rsidRPr="005116EE">
        <w:t>1.9. Papildināt 8.punktu pirms vārdiem “Triju darbdienu laikā” ar vārdiem “Reģistrējoties interaktīvajai azartspēlei vai interaktīvajai izlozei, spēlētājs par sevi sniedz informāciju un”.</w:t>
      </w:r>
    </w:p>
    <w:p w:rsidR="00DF7EDB" w:rsidRPr="005116EE" w:rsidRDefault="00DF7EDB" w:rsidP="00DF7EDB">
      <w:pPr>
        <w:pStyle w:val="ListParagraph"/>
        <w:ind w:left="0" w:firstLine="709"/>
        <w:jc w:val="both"/>
      </w:pPr>
    </w:p>
    <w:p w:rsidR="00DF7EDB" w:rsidRPr="005116EE" w:rsidRDefault="00DF7EDB" w:rsidP="00DF7EDB">
      <w:pPr>
        <w:pStyle w:val="ListParagraph"/>
        <w:ind w:left="0" w:firstLine="709"/>
        <w:jc w:val="both"/>
      </w:pPr>
      <w:r w:rsidRPr="005116EE">
        <w:t>1.10. Aizstāt 11.punktā vārdus “pieslēdzas interaktīvajai azartspēlei” ar vārdiem “pieslēdzas interaktīvajai azartspēlei vai interaktīvajai izlozei”.</w:t>
      </w:r>
    </w:p>
    <w:p w:rsidR="00DF7EDB" w:rsidRPr="005116EE" w:rsidRDefault="00DF7EDB" w:rsidP="00DF7EDB">
      <w:pPr>
        <w:ind w:firstLine="709"/>
        <w:jc w:val="both"/>
      </w:pPr>
    </w:p>
    <w:p w:rsidR="00DF7EDB" w:rsidRPr="005116EE" w:rsidRDefault="00DF7EDB" w:rsidP="00DF7EDB">
      <w:pPr>
        <w:pStyle w:val="ListParagraph"/>
        <w:ind w:left="0" w:firstLine="709"/>
        <w:jc w:val="both"/>
      </w:pPr>
      <w:r w:rsidRPr="005116EE">
        <w:t>1.11. Aizstāt 19. un 20.punktā vārdus “šo noteikumu 18.punktā” ar vārdiem “Azartspēļu un izložu likuma 54.</w:t>
      </w:r>
      <w:r w:rsidRPr="005116EE">
        <w:rPr>
          <w:vertAlign w:val="superscript"/>
        </w:rPr>
        <w:t>1</w:t>
      </w:r>
      <w:r w:rsidRPr="005116EE">
        <w:t xml:space="preserve"> panta astotajā daļā vai 79.</w:t>
      </w:r>
      <w:r w:rsidRPr="005116EE">
        <w:rPr>
          <w:vertAlign w:val="superscript"/>
        </w:rPr>
        <w:t>1</w:t>
      </w:r>
      <w:r w:rsidRPr="005116EE">
        <w:t xml:space="preserve"> panta astotajā daļā”.</w:t>
      </w:r>
    </w:p>
    <w:p w:rsidR="00DF7EDB" w:rsidRPr="005116EE" w:rsidRDefault="00DF7EDB" w:rsidP="00DF7EDB">
      <w:pPr>
        <w:ind w:firstLine="709"/>
        <w:jc w:val="both"/>
        <w:rPr>
          <w:i/>
        </w:rPr>
      </w:pPr>
    </w:p>
    <w:p w:rsidR="00DF7EDB" w:rsidRPr="005116EE" w:rsidRDefault="00DF7EDB" w:rsidP="00DF7EDB">
      <w:pPr>
        <w:pStyle w:val="naisf"/>
        <w:spacing w:before="0" w:after="0"/>
        <w:ind w:firstLine="709"/>
      </w:pPr>
      <w:r w:rsidRPr="005116EE">
        <w:t>2. Noteikumi stājas spēkā 2018.gada 1.maijā.</w:t>
      </w:r>
    </w:p>
    <w:p w:rsidR="00DF7EDB" w:rsidRPr="005116EE" w:rsidRDefault="00DF7EDB" w:rsidP="00DF7EDB"/>
    <w:p w:rsidR="00DF7EDB" w:rsidRPr="005116EE" w:rsidRDefault="00DF7EDB" w:rsidP="00DF7EDB"/>
    <w:p w:rsidR="00DF7EDB" w:rsidRPr="005116EE" w:rsidRDefault="00DF7EDB" w:rsidP="00DF7EDB"/>
    <w:p w:rsidR="00DF7EDB" w:rsidRPr="005116EE" w:rsidRDefault="00DF7EDB" w:rsidP="00DF7ED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116EE">
        <w:t xml:space="preserve">Ministru prezidents </w:t>
      </w:r>
      <w:r w:rsidRPr="005116EE">
        <w:tab/>
      </w:r>
      <w:r w:rsidRPr="005116EE">
        <w:tab/>
      </w:r>
      <w:r w:rsidRPr="005116EE">
        <w:tab/>
      </w:r>
      <w:r w:rsidRPr="005116EE">
        <w:tab/>
      </w:r>
      <w:r w:rsidRPr="005116EE">
        <w:tab/>
      </w:r>
      <w:r>
        <w:tab/>
      </w:r>
      <w:proofErr w:type="spellStart"/>
      <w:r w:rsidRPr="005116EE">
        <w:t>M.Kučinskis</w:t>
      </w:r>
      <w:proofErr w:type="spellEnd"/>
    </w:p>
    <w:p w:rsidR="00DF7EDB" w:rsidRPr="005116EE" w:rsidRDefault="00DF7EDB" w:rsidP="00DF7EDB">
      <w:pPr>
        <w:autoSpaceDE w:val="0"/>
        <w:autoSpaceDN w:val="0"/>
        <w:adjustRightInd w:val="0"/>
      </w:pPr>
    </w:p>
    <w:p w:rsidR="00DF7EDB" w:rsidRPr="005116EE" w:rsidRDefault="00DF7EDB" w:rsidP="00DF7EDB">
      <w:pPr>
        <w:autoSpaceDE w:val="0"/>
        <w:autoSpaceDN w:val="0"/>
        <w:adjustRightInd w:val="0"/>
      </w:pPr>
      <w:r w:rsidRPr="005116EE">
        <w:t xml:space="preserve">Finanšu ministre </w:t>
      </w:r>
      <w:r w:rsidRPr="005116EE">
        <w:tab/>
      </w:r>
      <w:r w:rsidRPr="005116EE">
        <w:tab/>
      </w:r>
      <w:r w:rsidRPr="005116EE">
        <w:tab/>
      </w:r>
      <w:r w:rsidRPr="005116EE">
        <w:tab/>
      </w:r>
      <w:r w:rsidRPr="005116EE">
        <w:tab/>
      </w:r>
      <w:r w:rsidRPr="005116EE">
        <w:tab/>
      </w:r>
      <w:proofErr w:type="spellStart"/>
      <w:r w:rsidRPr="005116EE">
        <w:t>D.Reizniece</w:t>
      </w:r>
      <w:proofErr w:type="spellEnd"/>
      <w:r w:rsidRPr="005116EE">
        <w:t>-Ozola</w:t>
      </w:r>
    </w:p>
    <w:p w:rsidR="00DF7EDB" w:rsidRPr="005116EE" w:rsidRDefault="00DF7EDB" w:rsidP="00DF7EDB"/>
    <w:p w:rsidR="00DF7EDB" w:rsidRPr="005116EE" w:rsidRDefault="00DF7EDB" w:rsidP="00DF7EDB"/>
    <w:p w:rsidR="00DF7EDB" w:rsidRPr="005330F2" w:rsidRDefault="00DF7EDB" w:rsidP="00DF7EDB"/>
    <w:p w:rsidR="005F7A99" w:rsidRDefault="005F7A99"/>
    <w:sectPr w:rsidR="005F7A99" w:rsidSect="004E14E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17" w:rsidRDefault="00CE4017">
      <w:r>
        <w:separator/>
      </w:r>
    </w:p>
  </w:endnote>
  <w:endnote w:type="continuationSeparator" w:id="0">
    <w:p w:rsidR="00CE4017" w:rsidRDefault="00CE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4D" w:rsidRPr="002E7EAA" w:rsidRDefault="00DF7EDB" w:rsidP="00DB154D">
    <w:pPr>
      <w:pStyle w:val="Footer"/>
      <w:rPr>
        <w:sz w:val="22"/>
        <w:szCs w:val="22"/>
      </w:rPr>
    </w:pPr>
    <w:r w:rsidRPr="002E7EAA">
      <w:rPr>
        <w:sz w:val="22"/>
        <w:szCs w:val="22"/>
      </w:rPr>
      <w:t>FMnot_</w:t>
    </w:r>
    <w:r w:rsidR="00F816AD">
      <w:rPr>
        <w:sz w:val="22"/>
        <w:szCs w:val="22"/>
      </w:rPr>
      <w:t>2</w:t>
    </w:r>
    <w:r w:rsidR="005E0153">
      <w:rPr>
        <w:sz w:val="22"/>
        <w:szCs w:val="22"/>
      </w:rPr>
      <w:t>7</w:t>
    </w:r>
    <w:r>
      <w:rPr>
        <w:sz w:val="22"/>
        <w:szCs w:val="22"/>
      </w:rPr>
      <w:t>0318</w:t>
    </w:r>
    <w:r w:rsidRPr="002E7EAA">
      <w:rPr>
        <w:sz w:val="22"/>
        <w:szCs w:val="22"/>
      </w:rPr>
      <w:t>_</w:t>
    </w:r>
    <w:r w:rsidR="004E14E6">
      <w:rPr>
        <w:sz w:val="22"/>
        <w:szCs w:val="22"/>
      </w:rPr>
      <w:t>groz_MKNot_</w:t>
    </w:r>
    <w:r>
      <w:rPr>
        <w:sz w:val="22"/>
        <w:szCs w:val="22"/>
      </w:rPr>
      <w:t>715</w:t>
    </w:r>
  </w:p>
  <w:p w:rsidR="00DB154D" w:rsidRDefault="00CE4017">
    <w:pPr>
      <w:pStyle w:val="Footer"/>
      <w:jc w:val="center"/>
      <w:rPr>
        <w:caps/>
        <w:noProof/>
        <w:color w:val="5B9BD5" w:themeColor="accent1"/>
      </w:rPr>
    </w:pPr>
  </w:p>
  <w:p w:rsidR="00DB154D" w:rsidRDefault="00CE4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FC" w:rsidRPr="002E7EAA" w:rsidRDefault="003476FC" w:rsidP="003476FC">
    <w:pPr>
      <w:pStyle w:val="Footer"/>
      <w:rPr>
        <w:sz w:val="22"/>
        <w:szCs w:val="22"/>
      </w:rPr>
    </w:pPr>
    <w:r w:rsidRPr="002E7EAA">
      <w:rPr>
        <w:sz w:val="22"/>
        <w:szCs w:val="22"/>
      </w:rPr>
      <w:t>FMnot_</w:t>
    </w:r>
    <w:r>
      <w:rPr>
        <w:sz w:val="22"/>
        <w:szCs w:val="22"/>
      </w:rPr>
      <w:t>2</w:t>
    </w:r>
    <w:r w:rsidR="005E0153">
      <w:rPr>
        <w:sz w:val="22"/>
        <w:szCs w:val="22"/>
      </w:rPr>
      <w:t>7</w:t>
    </w:r>
    <w:r>
      <w:rPr>
        <w:sz w:val="22"/>
        <w:szCs w:val="22"/>
      </w:rPr>
      <w:t>0318</w:t>
    </w:r>
    <w:r w:rsidRPr="002E7EAA">
      <w:rPr>
        <w:sz w:val="22"/>
        <w:szCs w:val="22"/>
      </w:rPr>
      <w:t>_</w:t>
    </w:r>
    <w:r>
      <w:rPr>
        <w:sz w:val="22"/>
        <w:szCs w:val="22"/>
      </w:rPr>
      <w:t>groz_MKNot_715</w:t>
    </w:r>
  </w:p>
  <w:p w:rsidR="003476FC" w:rsidRDefault="00347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17" w:rsidRDefault="00CE4017">
      <w:r>
        <w:separator/>
      </w:r>
    </w:p>
  </w:footnote>
  <w:footnote w:type="continuationSeparator" w:id="0">
    <w:p w:rsidR="00CE4017" w:rsidRDefault="00CE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1512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14E6" w:rsidRDefault="004E14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7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AD2" w:rsidRDefault="00CE4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6808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16AD" w:rsidRDefault="00CE4017">
        <w:pPr>
          <w:pStyle w:val="Header"/>
          <w:jc w:val="center"/>
        </w:pPr>
      </w:p>
    </w:sdtContent>
  </w:sdt>
  <w:p w:rsidR="00F816AD" w:rsidRDefault="00F81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9B4"/>
    <w:multiLevelType w:val="hybridMultilevel"/>
    <w:tmpl w:val="9E0009B2"/>
    <w:lvl w:ilvl="0" w:tplc="E66EB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DB"/>
    <w:rsid w:val="00075B6A"/>
    <w:rsid w:val="003476FC"/>
    <w:rsid w:val="00365775"/>
    <w:rsid w:val="004E14E6"/>
    <w:rsid w:val="00515B41"/>
    <w:rsid w:val="005E0153"/>
    <w:rsid w:val="005F7A99"/>
    <w:rsid w:val="0095633A"/>
    <w:rsid w:val="00B75DE5"/>
    <w:rsid w:val="00BA728A"/>
    <w:rsid w:val="00CE4017"/>
    <w:rsid w:val="00DF7EDB"/>
    <w:rsid w:val="00F8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8C1C92-DBEA-4C94-829E-6083182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DB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7EDB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DF7EDB"/>
    <w:pPr>
      <w:ind w:left="720"/>
    </w:pPr>
  </w:style>
  <w:style w:type="paragraph" w:customStyle="1" w:styleId="tv90087921">
    <w:name w:val="tv900_87_921"/>
    <w:basedOn w:val="Normal"/>
    <w:rsid w:val="00DF7EDB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E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DB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F7E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DB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F7ED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.likumi.lv/doc.php?id=29570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122941?&amp;search=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122941?&amp;search=o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.likumi.lv/ta/id/122941-azartspelu-un-izlozu-likum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Jana Salmiņa</Vad_x012b_t_x0101_js>
    <Kategorija xmlns="2e5bb04e-596e-45bd-9003-43ca78b1ba16">MK ieteikumu projekts</Kategorija>
    <TAP xmlns="1c33a644-f6cf-45d4-832d-e32e0e370d68">57</TAP>
  </documentManagement>
</p:properties>
</file>

<file path=customXml/itemProps1.xml><?xml version="1.0" encoding="utf-8"?>
<ds:datastoreItem xmlns:ds="http://schemas.openxmlformats.org/officeDocument/2006/customXml" ds:itemID="{1E613BAA-8459-429E-A9E2-8F2F6B3C0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63E40-0896-41FE-9A7B-5AA8501C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2CBB8-5FD2-43AF-B9A2-8A69740E79EF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2017.gada 5.decembra noteikumos Nr.715 “Interaktīvo azartspēļu un interaktīvo izložu spēlētāju reģistrācijas un identitātes pārbaudes kārtība””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2017.gada 5.decembra noteikumos Nr.715 “Interaktīvo azartspēļu un interaktīvo izložu spēlētāju reģistrācijas un identitātes pārbaudes kārtība””</dc:title>
  <dc:subject/>
  <dc:creator>Indra Zariņa</dc:creator>
  <cp:keywords/>
  <dc:description/>
  <cp:lastModifiedBy>Inguna Dancīte</cp:lastModifiedBy>
  <cp:revision>2</cp:revision>
  <dcterms:created xsi:type="dcterms:W3CDTF">2018-03-29T08:23:00Z</dcterms:created>
  <dcterms:modified xsi:type="dcterms:W3CDTF">2018-03-29T08:23:00Z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