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2AF81" w14:textId="52572F31" w:rsidR="00F27F26" w:rsidRPr="00BA7405" w:rsidRDefault="00F27F26" w:rsidP="007E5D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7405">
        <w:rPr>
          <w:rFonts w:ascii="Times New Roman" w:eastAsia="Times New Roman" w:hAnsi="Times New Roman" w:cs="Times New Roman"/>
          <w:sz w:val="28"/>
          <w:szCs w:val="28"/>
        </w:rPr>
        <w:t>Likumprojekts</w:t>
      </w:r>
    </w:p>
    <w:p w14:paraId="7563E118" w14:textId="77777777" w:rsidR="00F27F26" w:rsidRPr="00BA7405" w:rsidRDefault="00F27F26" w:rsidP="007E5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F5207" w14:textId="60B549A2" w:rsidR="00F27F26" w:rsidRPr="00BA7405" w:rsidRDefault="00F27F26" w:rsidP="007E5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405">
        <w:rPr>
          <w:rFonts w:ascii="Times New Roman" w:hAnsi="Times New Roman" w:cs="Times New Roman"/>
          <w:b/>
          <w:sz w:val="28"/>
          <w:szCs w:val="28"/>
        </w:rPr>
        <w:t xml:space="preserve">Grozījumi likumā </w:t>
      </w:r>
      <w:r w:rsidR="007E5DDF" w:rsidRPr="00BA7405">
        <w:rPr>
          <w:rFonts w:ascii="Times New Roman" w:hAnsi="Times New Roman" w:cs="Times New Roman"/>
          <w:b/>
          <w:sz w:val="28"/>
          <w:szCs w:val="28"/>
        </w:rPr>
        <w:t>"</w:t>
      </w:r>
      <w:r w:rsidRPr="00BA7405">
        <w:rPr>
          <w:rFonts w:ascii="Times New Roman" w:hAnsi="Times New Roman" w:cs="Times New Roman"/>
          <w:b/>
          <w:sz w:val="28"/>
          <w:szCs w:val="28"/>
        </w:rPr>
        <w:t>Par izložu un azartspēļu nodevu un nodokli</w:t>
      </w:r>
      <w:r w:rsidR="007E5DDF" w:rsidRPr="00BA7405">
        <w:rPr>
          <w:rFonts w:ascii="Times New Roman" w:hAnsi="Times New Roman" w:cs="Times New Roman"/>
          <w:b/>
          <w:sz w:val="28"/>
          <w:szCs w:val="28"/>
        </w:rPr>
        <w:t>"</w:t>
      </w:r>
    </w:p>
    <w:p w14:paraId="2DBA9735" w14:textId="77777777" w:rsidR="00F27F26" w:rsidRPr="00BA7405" w:rsidRDefault="00F27F26" w:rsidP="00F90D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A479CBA" w14:textId="4B253D44" w:rsidR="00DA7BFC" w:rsidRPr="00BA7405" w:rsidRDefault="00DA7BFC" w:rsidP="00F90D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Izdarīt likumā </w:t>
      </w:r>
      <w:r w:rsidR="007E5DDF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hyperlink r:id="rId11" w:tgtFrame="_blank" w:history="1">
        <w:r w:rsidRPr="00BA740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Par izložu un azartspēļu nodevu un nodokli</w:t>
        </w:r>
      </w:hyperlink>
      <w:r w:rsidR="007E5DDF" w:rsidRPr="00BA7405">
        <w:rPr>
          <w:rFonts w:ascii="Times New Roman" w:hAnsi="Times New Roman" w:cs="Times New Roman"/>
          <w:sz w:val="28"/>
          <w:szCs w:val="28"/>
        </w:rPr>
        <w:t>"</w:t>
      </w:r>
      <w:r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0F574E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Latvijas Republikas Saeimas un Ministru Kabineta Ziņotājs, 1994, 14</w:t>
      </w:r>
      <w:r w:rsidR="00F90D9D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0F574E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nr.; 1995, 22</w:t>
      </w:r>
      <w:r w:rsidR="00F90D9D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0F574E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nr.; 1997, 9</w:t>
      </w:r>
      <w:r w:rsidR="00F90D9D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0F574E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nr.; 1999, 17., 24</w:t>
      </w:r>
      <w:r w:rsidR="00F90D9D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0F574E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nr.; 2001, 15., 24</w:t>
      </w:r>
      <w:r w:rsidR="00F90D9D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0F574E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nr.; 2003, 2., 15., 20., 23</w:t>
      </w:r>
      <w:r w:rsidR="00F90D9D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0F574E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nr.; 2005, 14</w:t>
      </w:r>
      <w:r w:rsidR="00F90D9D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0F574E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nr.; 2007, 8</w:t>
      </w:r>
      <w:r w:rsidR="00F90D9D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0F574E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nr.; 2009, 14</w:t>
      </w:r>
      <w:r w:rsidR="00F90D9D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0F574E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nr.; Latvijas Vēstnesis, 2011, 65., 204</w:t>
      </w:r>
      <w:r w:rsidR="00F90D9D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0F574E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nr.; 2013, 194</w:t>
      </w:r>
      <w:r w:rsidR="00F90D9D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0F574E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nr.; 2015, 248</w:t>
      </w:r>
      <w:r w:rsidR="00F90D9D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0F574E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nr.; 2016, 241</w:t>
      </w:r>
      <w:r w:rsidR="00F90D9D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0F574E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nr.; 2017, 156., </w:t>
      </w:r>
      <w:r w:rsidR="0001008F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242</w:t>
      </w:r>
      <w:r w:rsidR="004A6654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1307E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nr.) šādus grozījumus:</w:t>
      </w:r>
    </w:p>
    <w:p w14:paraId="5854688E" w14:textId="77777777" w:rsidR="00F27F26" w:rsidRPr="00BA7405" w:rsidRDefault="00F27F26" w:rsidP="00F90D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93BF963" w14:textId="68C0A6F1" w:rsidR="00E22130" w:rsidRPr="00BA7405" w:rsidRDefault="00F90D9D" w:rsidP="00F90D9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A7405">
        <w:rPr>
          <w:rFonts w:ascii="Times New Roman" w:hAnsi="Times New Roman" w:cs="Times New Roman"/>
          <w:sz w:val="28"/>
          <w:szCs w:val="28"/>
        </w:rPr>
        <w:t>1.  </w:t>
      </w:r>
      <w:r w:rsidR="00E22130" w:rsidRPr="00BA7405">
        <w:rPr>
          <w:rFonts w:ascii="Times New Roman" w:hAnsi="Times New Roman" w:cs="Times New Roman"/>
          <w:sz w:val="28"/>
          <w:szCs w:val="28"/>
        </w:rPr>
        <w:t>10</w:t>
      </w:r>
      <w:r w:rsidRPr="00BA7405">
        <w:rPr>
          <w:rFonts w:ascii="Times New Roman" w:hAnsi="Times New Roman" w:cs="Times New Roman"/>
          <w:sz w:val="28"/>
          <w:szCs w:val="28"/>
        </w:rPr>
        <w:t>. </w:t>
      </w:r>
      <w:r w:rsidR="00E22130" w:rsidRPr="00BA7405">
        <w:rPr>
          <w:rFonts w:ascii="Times New Roman" w:hAnsi="Times New Roman" w:cs="Times New Roman"/>
          <w:sz w:val="28"/>
          <w:szCs w:val="28"/>
        </w:rPr>
        <w:t>pantā</w:t>
      </w:r>
      <w:r w:rsidR="00A3287D" w:rsidRPr="00BA7405">
        <w:rPr>
          <w:rFonts w:ascii="Times New Roman" w:hAnsi="Times New Roman" w:cs="Times New Roman"/>
          <w:sz w:val="28"/>
          <w:szCs w:val="28"/>
        </w:rPr>
        <w:t>:</w:t>
      </w:r>
    </w:p>
    <w:p w14:paraId="0B1D672C" w14:textId="77777777" w:rsidR="00F27F26" w:rsidRPr="00BA7405" w:rsidRDefault="00E22130" w:rsidP="00F90D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7405">
        <w:rPr>
          <w:rFonts w:ascii="Times New Roman" w:hAnsi="Times New Roman" w:cs="Times New Roman"/>
          <w:sz w:val="28"/>
          <w:szCs w:val="28"/>
        </w:rPr>
        <w:t xml:space="preserve">izteikt </w:t>
      </w:r>
      <w:r w:rsidR="00F27F26" w:rsidRPr="00BA7405">
        <w:rPr>
          <w:rFonts w:ascii="Times New Roman" w:hAnsi="Times New Roman" w:cs="Times New Roman"/>
          <w:sz w:val="28"/>
          <w:szCs w:val="28"/>
        </w:rPr>
        <w:t>sesto un septīto daļu šādā redakcijā:</w:t>
      </w:r>
    </w:p>
    <w:p w14:paraId="020BADEC" w14:textId="77777777" w:rsidR="00A3287D" w:rsidRPr="00BA7405" w:rsidRDefault="00A3287D" w:rsidP="00F90D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51BED49" w14:textId="6E359D7B" w:rsidR="00F27F26" w:rsidRPr="00BA7405" w:rsidRDefault="007E5DDF" w:rsidP="00F90D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F27F26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Izložu un azartspēļu organizētāji 15</w:t>
      </w:r>
      <w:r w:rsidR="00F90D9D" w:rsidRPr="00BA7405">
        <w:rPr>
          <w:rFonts w:ascii="Times New Roman" w:hAnsi="Times New Roman" w:cs="Times New Roman"/>
          <w:sz w:val="28"/>
          <w:szCs w:val="28"/>
        </w:rPr>
        <w:t> </w:t>
      </w:r>
      <w:r w:rsidR="00F27F26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dienu laikā pēc </w:t>
      </w:r>
      <w:r w:rsidR="00A356B9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pārskata </w:t>
      </w:r>
      <w:r w:rsidR="00F27F26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mēneša beigām</w:t>
      </w:r>
      <w:r w:rsidR="00102ABC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, izmantojot</w:t>
      </w:r>
      <w:r w:rsidR="00F27F26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5D77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Valsts ieņēmumu dienesta e</w:t>
      </w:r>
      <w:r w:rsidR="00F27F26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lektroniskās deklarēšanas sistēm</w:t>
      </w:r>
      <w:r w:rsidR="00102ABC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u,</w:t>
      </w:r>
      <w:r w:rsidR="00F27F26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5D77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iesniedz Valsts ieņēmumu dienestam </w:t>
      </w:r>
      <w:r w:rsidR="00F27F26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izložu un azartspēļu nodokļa pārskatu par aprēķināto izložu un azartspēļu nodokli </w:t>
      </w:r>
      <w:r w:rsidR="00777F0A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par </w:t>
      </w:r>
      <w:r w:rsidR="00F27F26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pārskata mēnes</w:t>
      </w:r>
      <w:r w:rsidR="00777F0A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F90D9D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27F26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Pārskat</w:t>
      </w:r>
      <w:r w:rsidR="00F70F47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="00F27F26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veidlap</w:t>
      </w:r>
      <w:r w:rsidR="00F70F47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="00F27F26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paraugu</w:t>
      </w:r>
      <w:r w:rsidR="00F70F47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s un to aizpildīšanas kārtību</w:t>
      </w:r>
      <w:r w:rsidR="00F27F26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nosaka Ministru kabinets.</w:t>
      </w:r>
    </w:p>
    <w:p w14:paraId="7A3A5BCA" w14:textId="62DBA267" w:rsidR="00F27F26" w:rsidRPr="00BA7405" w:rsidRDefault="00F27F26" w:rsidP="00F90D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Izložu un azartspēļu nodokli maksā par</w:t>
      </w:r>
      <w:r w:rsidR="00102ABC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pārskata</w:t>
      </w:r>
      <w:r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mēnesi līdz nākamā mēneša </w:t>
      </w:r>
      <w:r w:rsidR="00705D77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divdesmit trešajam </w:t>
      </w:r>
      <w:r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datumam</w:t>
      </w:r>
      <w:r w:rsidR="00A356B9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, iemaksājot vienotajā nodokļu kontā</w:t>
      </w:r>
      <w:r w:rsidR="00694C1E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(likuma </w:t>
      </w:r>
      <w:r w:rsidR="007E5DDF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694C1E" w:rsidRPr="00BA74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Par nodokļiem un nodevām</w:t>
      </w:r>
      <w:r w:rsidR="007E5DDF" w:rsidRPr="00BA74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</w:t>
      </w:r>
      <w:r w:rsidR="00694C1E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izpratnē)</w:t>
      </w:r>
      <w:r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E5DDF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6847D4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BE04F57" w14:textId="77777777" w:rsidR="00E22130" w:rsidRPr="00BA7405" w:rsidRDefault="00E22130" w:rsidP="00F90D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750994A" w14:textId="1D88EF6D" w:rsidR="00E22130" w:rsidRPr="00BA7405" w:rsidRDefault="00A3287D" w:rsidP="00F90D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E22130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apildināt pantu ar devīto </w:t>
      </w:r>
      <w:r w:rsidR="00004DA2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un desmito </w:t>
      </w:r>
      <w:r w:rsidR="00E22130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daļu šādā redakcijā:</w:t>
      </w:r>
    </w:p>
    <w:p w14:paraId="4A15A02C" w14:textId="77777777" w:rsidR="00A3287D" w:rsidRPr="00BA7405" w:rsidRDefault="00A3287D" w:rsidP="00F90D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AAE8E3A" w14:textId="5E0DEE89" w:rsidR="00E22130" w:rsidRPr="00BA7405" w:rsidRDefault="007E5DDF" w:rsidP="00F90D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E22130" w:rsidRPr="00BA7405">
        <w:rPr>
          <w:rFonts w:ascii="Times New Roman" w:hAnsi="Times New Roman" w:cs="Times New Roman"/>
          <w:sz w:val="28"/>
          <w:szCs w:val="28"/>
        </w:rPr>
        <w:t xml:space="preserve">Izložu un azartspēļu nodevu iemaksā valsts </w:t>
      </w:r>
      <w:r w:rsidR="00197FF5" w:rsidRPr="00BA7405">
        <w:rPr>
          <w:rFonts w:ascii="Times New Roman" w:hAnsi="Times New Roman" w:cs="Times New Roman"/>
          <w:sz w:val="28"/>
          <w:szCs w:val="28"/>
        </w:rPr>
        <w:t xml:space="preserve">budžetā </w:t>
      </w:r>
      <w:r w:rsidR="00E83475" w:rsidRPr="00BA7405">
        <w:rPr>
          <w:rFonts w:ascii="Times New Roman" w:hAnsi="Times New Roman" w:cs="Times New Roman"/>
          <w:sz w:val="28"/>
          <w:szCs w:val="28"/>
        </w:rPr>
        <w:t xml:space="preserve">valsts </w:t>
      </w:r>
      <w:r w:rsidR="00E22130" w:rsidRPr="00BA7405">
        <w:rPr>
          <w:rFonts w:ascii="Times New Roman" w:hAnsi="Times New Roman" w:cs="Times New Roman"/>
          <w:sz w:val="28"/>
          <w:szCs w:val="28"/>
        </w:rPr>
        <w:t>nodevas administrācijas norādītajā budžeta kontā.</w:t>
      </w:r>
    </w:p>
    <w:p w14:paraId="08C6F7CB" w14:textId="3AA0EB28" w:rsidR="00004DA2" w:rsidRPr="00BA7405" w:rsidRDefault="007B7726" w:rsidP="00F90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A7405">
        <w:rPr>
          <w:rFonts w:ascii="Times New Roman" w:eastAsia="Times New Roman" w:hAnsi="Times New Roman" w:cs="Times New Roman"/>
          <w:sz w:val="28"/>
          <w:szCs w:val="28"/>
          <w:lang w:eastAsia="lv-LV"/>
        </w:rPr>
        <w:t>Soda naudu p</w:t>
      </w:r>
      <w:r w:rsidR="00004DA2" w:rsidRPr="00BA7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 šā likuma pārkāpumiem </w:t>
      </w:r>
      <w:r w:rsidR="00C3571A" w:rsidRPr="00BA7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r w:rsidR="002C7C20" w:rsidRPr="00BA7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nokavējuma naudu, kas saistīta </w:t>
      </w:r>
      <w:r w:rsidR="00C3571A" w:rsidRPr="00BA7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 </w:t>
      </w:r>
      <w:r w:rsidR="00C3571A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izložu un azartspēļu nodokli</w:t>
      </w:r>
      <w:r w:rsidR="002C7C20" w:rsidRPr="00BA740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C3571A" w:rsidRPr="00BA7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04DA2" w:rsidRPr="00BA7405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004DA2" w:rsidRPr="00BA7405">
        <w:rPr>
          <w:rFonts w:ascii="Times New Roman" w:hAnsi="Times New Roman" w:cs="Times New Roman"/>
          <w:sz w:val="28"/>
          <w:szCs w:val="28"/>
        </w:rPr>
        <w:t>zložu un azartspēļu organizētājs</w:t>
      </w:r>
      <w:r w:rsidR="00004DA2" w:rsidRPr="00BA7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65DBC" w:rsidRPr="00BA7405">
        <w:rPr>
          <w:rFonts w:ascii="Times New Roman" w:eastAsia="Times New Roman" w:hAnsi="Times New Roman" w:cs="Times New Roman"/>
          <w:sz w:val="28"/>
          <w:szCs w:val="28"/>
          <w:lang w:eastAsia="lv-LV"/>
        </w:rPr>
        <w:t>iemaksā</w:t>
      </w:r>
      <w:r w:rsidR="00004DA2" w:rsidRPr="00BA7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04DA2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vienotajā nodokļu kontā.</w:t>
      </w:r>
      <w:r w:rsidR="007E5DDF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14:paraId="541CE2FD" w14:textId="77777777" w:rsidR="00004DA2" w:rsidRPr="00BA7405" w:rsidRDefault="00004DA2" w:rsidP="00F90D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33CDF3F" w14:textId="2455ACB9" w:rsidR="00F27F26" w:rsidRPr="00BA7405" w:rsidRDefault="00F90D9D" w:rsidP="00F90D9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A7405">
        <w:rPr>
          <w:rFonts w:ascii="Times New Roman" w:hAnsi="Times New Roman" w:cs="Times New Roman"/>
          <w:sz w:val="28"/>
          <w:szCs w:val="28"/>
        </w:rPr>
        <w:t>2. </w:t>
      </w:r>
      <w:r w:rsidR="00F27F26" w:rsidRPr="00BA7405">
        <w:rPr>
          <w:rFonts w:ascii="Times New Roman" w:hAnsi="Times New Roman" w:cs="Times New Roman"/>
          <w:sz w:val="28"/>
          <w:szCs w:val="28"/>
        </w:rPr>
        <w:t xml:space="preserve">Izteikt </w:t>
      </w:r>
      <w:bookmarkStart w:id="0" w:name="_GoBack"/>
      <w:bookmarkEnd w:id="0"/>
      <w:r w:rsidR="00F27F26" w:rsidRPr="00BA7405">
        <w:rPr>
          <w:rFonts w:ascii="Times New Roman" w:hAnsi="Times New Roman" w:cs="Times New Roman"/>
          <w:sz w:val="28"/>
          <w:szCs w:val="28"/>
        </w:rPr>
        <w:t>12</w:t>
      </w:r>
      <w:r w:rsidRPr="00BA7405">
        <w:rPr>
          <w:rFonts w:ascii="Times New Roman" w:hAnsi="Times New Roman" w:cs="Times New Roman"/>
          <w:sz w:val="28"/>
          <w:szCs w:val="28"/>
        </w:rPr>
        <w:t>. </w:t>
      </w:r>
      <w:r w:rsidR="00F27F26" w:rsidRPr="00BA7405">
        <w:rPr>
          <w:rFonts w:ascii="Times New Roman" w:hAnsi="Times New Roman" w:cs="Times New Roman"/>
          <w:sz w:val="28"/>
          <w:szCs w:val="28"/>
        </w:rPr>
        <w:t>pantu šādā redakcijā:</w:t>
      </w:r>
    </w:p>
    <w:p w14:paraId="014D5DD7" w14:textId="77777777" w:rsidR="00A3287D" w:rsidRPr="00BA7405" w:rsidRDefault="00A3287D" w:rsidP="00F90D9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015AE97" w14:textId="530917A0" w:rsidR="00F27F26" w:rsidRPr="00BA7405" w:rsidRDefault="007E5DDF" w:rsidP="00F90D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7405">
        <w:rPr>
          <w:rFonts w:ascii="Times New Roman" w:hAnsi="Times New Roman" w:cs="Times New Roman"/>
          <w:sz w:val="28"/>
          <w:szCs w:val="28"/>
        </w:rPr>
        <w:t>"</w:t>
      </w:r>
      <w:bookmarkStart w:id="1" w:name="_Hlk509479547"/>
      <w:r w:rsidR="00F27F26" w:rsidRPr="00BA7405">
        <w:rPr>
          <w:rFonts w:ascii="Times New Roman" w:hAnsi="Times New Roman" w:cs="Times New Roman"/>
          <w:b/>
          <w:sz w:val="28"/>
          <w:szCs w:val="28"/>
        </w:rPr>
        <w:t>12</w:t>
      </w:r>
      <w:r w:rsidR="00F90D9D" w:rsidRPr="00BA7405">
        <w:rPr>
          <w:rFonts w:ascii="Times New Roman" w:hAnsi="Times New Roman" w:cs="Times New Roman"/>
          <w:b/>
          <w:sz w:val="28"/>
          <w:szCs w:val="28"/>
        </w:rPr>
        <w:t>. </w:t>
      </w:r>
      <w:r w:rsidR="00F27F26" w:rsidRPr="00BA7405">
        <w:rPr>
          <w:rFonts w:ascii="Times New Roman" w:hAnsi="Times New Roman" w:cs="Times New Roman"/>
          <w:b/>
          <w:sz w:val="28"/>
          <w:szCs w:val="28"/>
        </w:rPr>
        <w:t>pants</w:t>
      </w:r>
      <w:r w:rsidR="00F90D9D" w:rsidRPr="00BA7405">
        <w:rPr>
          <w:rFonts w:ascii="Times New Roman" w:hAnsi="Times New Roman" w:cs="Times New Roman"/>
          <w:b/>
          <w:sz w:val="28"/>
          <w:szCs w:val="28"/>
        </w:rPr>
        <w:t>.</w:t>
      </w:r>
      <w:r w:rsidR="00F90D9D" w:rsidRPr="00BA7405">
        <w:rPr>
          <w:rFonts w:ascii="Times New Roman" w:hAnsi="Times New Roman" w:cs="Times New Roman"/>
          <w:sz w:val="28"/>
          <w:szCs w:val="28"/>
        </w:rPr>
        <w:t> </w:t>
      </w:r>
      <w:r w:rsidR="00E22130" w:rsidRPr="00BA7405">
        <w:rPr>
          <w:rFonts w:ascii="Times New Roman" w:hAnsi="Times New Roman" w:cs="Times New Roman"/>
          <w:sz w:val="28"/>
          <w:szCs w:val="28"/>
        </w:rPr>
        <w:t>Izložu un azartspēļu nodeva</w:t>
      </w:r>
      <w:r w:rsidR="00215D00" w:rsidRPr="00BA7405">
        <w:rPr>
          <w:rFonts w:ascii="Times New Roman" w:hAnsi="Times New Roman" w:cs="Times New Roman"/>
          <w:sz w:val="28"/>
          <w:szCs w:val="28"/>
        </w:rPr>
        <w:t>s ieņēmumi</w:t>
      </w:r>
      <w:r w:rsidR="006363B4" w:rsidRPr="00BA7405">
        <w:rPr>
          <w:rFonts w:ascii="Times New Roman" w:hAnsi="Times New Roman" w:cs="Times New Roman"/>
          <w:sz w:val="28"/>
          <w:szCs w:val="28"/>
        </w:rPr>
        <w:t xml:space="preserve"> </w:t>
      </w:r>
      <w:r w:rsidR="00F27F26" w:rsidRPr="00BA7405">
        <w:rPr>
          <w:rFonts w:ascii="Times New Roman" w:hAnsi="Times New Roman" w:cs="Times New Roman"/>
          <w:sz w:val="28"/>
          <w:szCs w:val="28"/>
        </w:rPr>
        <w:t>100</w:t>
      </w:r>
      <w:r w:rsidR="00F90D9D" w:rsidRPr="00BA7405">
        <w:rPr>
          <w:rFonts w:ascii="Times New Roman" w:hAnsi="Times New Roman" w:cs="Times New Roman"/>
          <w:sz w:val="28"/>
          <w:szCs w:val="28"/>
        </w:rPr>
        <w:t> </w:t>
      </w:r>
      <w:r w:rsidR="00F27F26" w:rsidRPr="00BA7405">
        <w:rPr>
          <w:rFonts w:ascii="Times New Roman" w:hAnsi="Times New Roman" w:cs="Times New Roman"/>
          <w:sz w:val="28"/>
          <w:szCs w:val="28"/>
        </w:rPr>
        <w:t xml:space="preserve">procentu apmērā </w:t>
      </w:r>
      <w:r w:rsidR="00E22130" w:rsidRPr="00BA7405">
        <w:rPr>
          <w:rFonts w:ascii="Times New Roman" w:hAnsi="Times New Roman" w:cs="Times New Roman"/>
          <w:sz w:val="28"/>
          <w:szCs w:val="28"/>
        </w:rPr>
        <w:t>tiek ieskaitīt</w:t>
      </w:r>
      <w:r w:rsidR="00215D00" w:rsidRPr="00BA7405">
        <w:rPr>
          <w:rFonts w:ascii="Times New Roman" w:hAnsi="Times New Roman" w:cs="Times New Roman"/>
          <w:sz w:val="28"/>
          <w:szCs w:val="28"/>
        </w:rPr>
        <w:t>i</w:t>
      </w:r>
      <w:r w:rsidR="00E22130" w:rsidRPr="00BA7405">
        <w:rPr>
          <w:rFonts w:ascii="Times New Roman" w:hAnsi="Times New Roman" w:cs="Times New Roman"/>
          <w:sz w:val="28"/>
          <w:szCs w:val="28"/>
        </w:rPr>
        <w:t xml:space="preserve"> </w:t>
      </w:r>
      <w:r w:rsidR="00F27F26" w:rsidRPr="00BA7405">
        <w:rPr>
          <w:rFonts w:ascii="Times New Roman" w:hAnsi="Times New Roman" w:cs="Times New Roman"/>
          <w:sz w:val="28"/>
          <w:szCs w:val="28"/>
        </w:rPr>
        <w:t xml:space="preserve">valsts </w:t>
      </w:r>
      <w:r w:rsidR="006363B4" w:rsidRPr="00BA7405">
        <w:rPr>
          <w:rFonts w:ascii="Times New Roman" w:hAnsi="Times New Roman" w:cs="Times New Roman"/>
          <w:sz w:val="28"/>
          <w:szCs w:val="28"/>
        </w:rPr>
        <w:t>pamatbudžetā</w:t>
      </w:r>
      <w:r w:rsidR="00F27F26" w:rsidRPr="00BA7405">
        <w:rPr>
          <w:rFonts w:ascii="Times New Roman" w:hAnsi="Times New Roman" w:cs="Times New Roman"/>
          <w:sz w:val="28"/>
          <w:szCs w:val="28"/>
        </w:rPr>
        <w:t>.</w:t>
      </w:r>
    </w:p>
    <w:p w14:paraId="2B5B4B1D" w14:textId="0A3C9A96" w:rsidR="00F27F26" w:rsidRPr="00BA7405" w:rsidRDefault="00E22130" w:rsidP="00F90D9D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A7405">
        <w:rPr>
          <w:rFonts w:ascii="Times New Roman" w:hAnsi="Times New Roman" w:cs="Times New Roman"/>
          <w:sz w:val="28"/>
          <w:szCs w:val="28"/>
        </w:rPr>
        <w:t>Izložu nodok</w:t>
      </w:r>
      <w:r w:rsidR="004B4ED3" w:rsidRPr="00BA7405">
        <w:rPr>
          <w:rFonts w:ascii="Times New Roman" w:hAnsi="Times New Roman" w:cs="Times New Roman"/>
          <w:sz w:val="28"/>
          <w:szCs w:val="28"/>
        </w:rPr>
        <w:t>ļa ieņēmumus</w:t>
      </w:r>
      <w:r w:rsidR="002916D5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7405">
        <w:rPr>
          <w:rFonts w:ascii="Times New Roman" w:hAnsi="Times New Roman" w:cs="Times New Roman"/>
          <w:sz w:val="28"/>
          <w:szCs w:val="28"/>
        </w:rPr>
        <w:t xml:space="preserve">par </w:t>
      </w:r>
      <w:r w:rsidRPr="00BA7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mēroga </w:t>
      </w:r>
      <w:r w:rsidRPr="00BA7405">
        <w:rPr>
          <w:rFonts w:ascii="Times New Roman" w:hAnsi="Times New Roman" w:cs="Times New Roman"/>
          <w:sz w:val="28"/>
          <w:szCs w:val="28"/>
        </w:rPr>
        <w:t xml:space="preserve">izložu (arī momentloteriju) </w:t>
      </w:r>
      <w:r w:rsidRPr="00BA7405">
        <w:rPr>
          <w:rFonts w:ascii="Times New Roman" w:hAnsi="Times New Roman" w:cs="Times New Roman"/>
          <w:spacing w:val="-2"/>
          <w:sz w:val="28"/>
          <w:szCs w:val="28"/>
        </w:rPr>
        <w:t xml:space="preserve">organizēšanu </w:t>
      </w:r>
      <w:r w:rsidR="00F27F26" w:rsidRPr="00BA7405">
        <w:rPr>
          <w:rFonts w:ascii="Times New Roman" w:hAnsi="Times New Roman" w:cs="Times New Roman"/>
          <w:spacing w:val="-2"/>
          <w:sz w:val="28"/>
          <w:szCs w:val="28"/>
        </w:rPr>
        <w:t>100</w:t>
      </w:r>
      <w:r w:rsidR="00F90D9D" w:rsidRPr="00BA7405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F27F26" w:rsidRPr="00BA7405">
        <w:rPr>
          <w:rFonts w:ascii="Times New Roman" w:hAnsi="Times New Roman" w:cs="Times New Roman"/>
          <w:spacing w:val="-2"/>
          <w:sz w:val="28"/>
          <w:szCs w:val="28"/>
        </w:rPr>
        <w:t xml:space="preserve">procentu apmērā </w:t>
      </w:r>
      <w:r w:rsidR="00F11AB0" w:rsidRPr="00BA7405">
        <w:rPr>
          <w:rFonts w:ascii="Times New Roman" w:hAnsi="Times New Roman" w:cs="Times New Roman"/>
          <w:spacing w:val="-2"/>
          <w:sz w:val="28"/>
          <w:szCs w:val="28"/>
        </w:rPr>
        <w:t>attiecina uz</w:t>
      </w:r>
      <w:r w:rsidRPr="00BA740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27F26" w:rsidRPr="00BA7405">
        <w:rPr>
          <w:rFonts w:ascii="Times New Roman" w:hAnsi="Times New Roman" w:cs="Times New Roman"/>
          <w:spacing w:val="-2"/>
          <w:sz w:val="28"/>
          <w:szCs w:val="28"/>
        </w:rPr>
        <w:t xml:space="preserve">valsts </w:t>
      </w:r>
      <w:r w:rsidR="00F11AB0" w:rsidRPr="00BA7405">
        <w:rPr>
          <w:rFonts w:ascii="Times New Roman" w:hAnsi="Times New Roman" w:cs="Times New Roman"/>
          <w:spacing w:val="-2"/>
          <w:sz w:val="28"/>
          <w:szCs w:val="28"/>
        </w:rPr>
        <w:t>pamatbudžeta ieņēmumiem</w:t>
      </w:r>
      <w:r w:rsidR="00F90D9D" w:rsidRPr="00BA7405">
        <w:rPr>
          <w:rFonts w:ascii="Times New Roman" w:hAnsi="Times New Roman" w:cs="Times New Roman"/>
          <w:spacing w:val="-2"/>
          <w:sz w:val="28"/>
          <w:szCs w:val="28"/>
        </w:rPr>
        <w:t>.</w:t>
      </w:r>
    </w:p>
    <w:bookmarkEnd w:id="1"/>
    <w:p w14:paraId="5FC9E00A" w14:textId="5B0E345D" w:rsidR="00F11AB0" w:rsidRPr="00BA7405" w:rsidRDefault="00A21B1E" w:rsidP="00F90D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7405">
        <w:rPr>
          <w:rFonts w:ascii="Times New Roman" w:hAnsi="Times New Roman" w:cs="Times New Roman"/>
          <w:sz w:val="28"/>
          <w:szCs w:val="28"/>
        </w:rPr>
        <w:t>Azartspēļu nodok</w:t>
      </w:r>
      <w:r w:rsidR="004B4ED3" w:rsidRPr="00BA7405">
        <w:rPr>
          <w:rFonts w:ascii="Times New Roman" w:hAnsi="Times New Roman" w:cs="Times New Roman"/>
          <w:sz w:val="28"/>
          <w:szCs w:val="28"/>
        </w:rPr>
        <w:t>ļa ieņēmumus</w:t>
      </w:r>
      <w:r w:rsidRPr="00BA7405">
        <w:rPr>
          <w:rFonts w:ascii="Times New Roman" w:hAnsi="Times New Roman" w:cs="Times New Roman"/>
          <w:sz w:val="28"/>
          <w:szCs w:val="28"/>
        </w:rPr>
        <w:t xml:space="preserve"> par šā likuma 3</w:t>
      </w:r>
      <w:r w:rsidR="00F90D9D" w:rsidRPr="00BA7405">
        <w:rPr>
          <w:rFonts w:ascii="Times New Roman" w:hAnsi="Times New Roman" w:cs="Times New Roman"/>
          <w:sz w:val="28"/>
          <w:szCs w:val="28"/>
        </w:rPr>
        <w:t>. </w:t>
      </w:r>
      <w:r w:rsidRPr="00BA7405">
        <w:rPr>
          <w:rFonts w:ascii="Times New Roman" w:hAnsi="Times New Roman" w:cs="Times New Roman"/>
          <w:sz w:val="28"/>
          <w:szCs w:val="28"/>
        </w:rPr>
        <w:t>panta piektajā daļā minēto objektu</w:t>
      </w:r>
      <w:r w:rsidRPr="00BA7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BA7405">
        <w:rPr>
          <w:rFonts w:ascii="Times New Roman" w:hAnsi="Times New Roman" w:cs="Times New Roman"/>
          <w:sz w:val="28"/>
          <w:szCs w:val="28"/>
        </w:rPr>
        <w:t>100</w:t>
      </w:r>
      <w:r w:rsidR="00F90D9D" w:rsidRPr="00BA7405">
        <w:rPr>
          <w:rFonts w:ascii="Times New Roman" w:hAnsi="Times New Roman" w:cs="Times New Roman"/>
          <w:sz w:val="28"/>
          <w:szCs w:val="28"/>
        </w:rPr>
        <w:t> </w:t>
      </w:r>
      <w:r w:rsidRPr="00BA7405">
        <w:rPr>
          <w:rFonts w:ascii="Times New Roman" w:hAnsi="Times New Roman" w:cs="Times New Roman"/>
          <w:sz w:val="28"/>
          <w:szCs w:val="28"/>
        </w:rPr>
        <w:t xml:space="preserve">procentu apmērā </w:t>
      </w:r>
      <w:r w:rsidR="00F11AB0" w:rsidRPr="00BA7405">
        <w:rPr>
          <w:rFonts w:ascii="Times New Roman" w:hAnsi="Times New Roman" w:cs="Times New Roman"/>
          <w:sz w:val="28"/>
          <w:szCs w:val="28"/>
        </w:rPr>
        <w:t>attiecina uz valsts pamatbudžeta ieņēmumiem</w:t>
      </w:r>
      <w:r w:rsidR="00F90D9D" w:rsidRPr="00BA7405">
        <w:rPr>
          <w:rFonts w:ascii="Times New Roman" w:hAnsi="Times New Roman" w:cs="Times New Roman"/>
          <w:sz w:val="28"/>
          <w:szCs w:val="28"/>
        </w:rPr>
        <w:t>.</w:t>
      </w:r>
    </w:p>
    <w:p w14:paraId="318041DE" w14:textId="1764F60A" w:rsidR="00A21B1E" w:rsidRPr="00BA7405" w:rsidRDefault="00A21B1E" w:rsidP="00F90D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7405">
        <w:rPr>
          <w:rFonts w:ascii="Times New Roman" w:hAnsi="Times New Roman" w:cs="Times New Roman"/>
          <w:sz w:val="28"/>
          <w:szCs w:val="28"/>
        </w:rPr>
        <w:t>Izložu nodok</w:t>
      </w:r>
      <w:r w:rsidR="004B4ED3" w:rsidRPr="00BA7405">
        <w:rPr>
          <w:rFonts w:ascii="Times New Roman" w:hAnsi="Times New Roman" w:cs="Times New Roman"/>
          <w:sz w:val="28"/>
          <w:szCs w:val="28"/>
        </w:rPr>
        <w:t>ļa ieņēmumus</w:t>
      </w:r>
      <w:r w:rsidRPr="00BA7405">
        <w:rPr>
          <w:rFonts w:ascii="Times New Roman" w:hAnsi="Times New Roman" w:cs="Times New Roman"/>
          <w:sz w:val="28"/>
          <w:szCs w:val="28"/>
        </w:rPr>
        <w:t xml:space="preserve"> par vietējā mēroga izložu (arī momentloteriju) organizēšanu un azartspēļu nodok</w:t>
      </w:r>
      <w:r w:rsidR="004B4ED3" w:rsidRPr="00BA7405">
        <w:rPr>
          <w:rFonts w:ascii="Times New Roman" w:hAnsi="Times New Roman" w:cs="Times New Roman"/>
          <w:sz w:val="28"/>
          <w:szCs w:val="28"/>
        </w:rPr>
        <w:t>ļa ieņēmumus</w:t>
      </w:r>
      <w:r w:rsidR="00DF6008" w:rsidRPr="00BA7405">
        <w:rPr>
          <w:rFonts w:ascii="Times New Roman" w:hAnsi="Times New Roman" w:cs="Times New Roman"/>
          <w:sz w:val="28"/>
          <w:szCs w:val="28"/>
        </w:rPr>
        <w:t xml:space="preserve"> (</w:t>
      </w:r>
      <w:r w:rsidR="001458EB" w:rsidRPr="00BA7405">
        <w:rPr>
          <w:rFonts w:ascii="Times New Roman" w:hAnsi="Times New Roman" w:cs="Times New Roman"/>
          <w:sz w:val="28"/>
          <w:szCs w:val="28"/>
        </w:rPr>
        <w:t>izņemot azartspēļu nodokļa ieņēmumus par šā likuma 3</w:t>
      </w:r>
      <w:r w:rsidR="00F90D9D" w:rsidRPr="00BA7405">
        <w:rPr>
          <w:rFonts w:ascii="Times New Roman" w:hAnsi="Times New Roman" w:cs="Times New Roman"/>
          <w:sz w:val="28"/>
          <w:szCs w:val="28"/>
        </w:rPr>
        <w:t>. </w:t>
      </w:r>
      <w:r w:rsidR="001458EB" w:rsidRPr="00BA7405">
        <w:rPr>
          <w:rFonts w:ascii="Times New Roman" w:hAnsi="Times New Roman" w:cs="Times New Roman"/>
          <w:sz w:val="28"/>
          <w:szCs w:val="28"/>
        </w:rPr>
        <w:t>panta piektajā daļā minēto objektu</w:t>
      </w:r>
      <w:r w:rsidR="00DF6008" w:rsidRPr="00BA7405">
        <w:rPr>
          <w:rFonts w:ascii="Times New Roman" w:hAnsi="Times New Roman" w:cs="Times New Roman"/>
          <w:sz w:val="28"/>
          <w:szCs w:val="28"/>
        </w:rPr>
        <w:t>)</w:t>
      </w:r>
      <w:r w:rsidR="001458EB" w:rsidRPr="00BA7405">
        <w:rPr>
          <w:rFonts w:ascii="Times New Roman" w:hAnsi="Times New Roman" w:cs="Times New Roman"/>
          <w:sz w:val="28"/>
          <w:szCs w:val="28"/>
        </w:rPr>
        <w:t xml:space="preserve"> </w:t>
      </w:r>
      <w:r w:rsidRPr="00BA7405">
        <w:rPr>
          <w:rFonts w:ascii="Times New Roman" w:hAnsi="Times New Roman" w:cs="Times New Roman"/>
          <w:sz w:val="28"/>
          <w:szCs w:val="28"/>
        </w:rPr>
        <w:t>Valsts ieņēmumu dienests atbilstoši šā panta piektaj</w:t>
      </w:r>
      <w:r w:rsidR="00DF6008" w:rsidRPr="00BA7405">
        <w:rPr>
          <w:rFonts w:ascii="Times New Roman" w:hAnsi="Times New Roman" w:cs="Times New Roman"/>
          <w:sz w:val="28"/>
          <w:szCs w:val="28"/>
        </w:rPr>
        <w:t>ai</w:t>
      </w:r>
      <w:r w:rsidRPr="00BA7405">
        <w:rPr>
          <w:rFonts w:ascii="Times New Roman" w:hAnsi="Times New Roman" w:cs="Times New Roman"/>
          <w:sz w:val="28"/>
          <w:szCs w:val="28"/>
        </w:rPr>
        <w:t xml:space="preserve"> un sestaj</w:t>
      </w:r>
      <w:r w:rsidR="00DF6008" w:rsidRPr="00BA7405">
        <w:rPr>
          <w:rFonts w:ascii="Times New Roman" w:hAnsi="Times New Roman" w:cs="Times New Roman"/>
          <w:sz w:val="28"/>
          <w:szCs w:val="28"/>
        </w:rPr>
        <w:t>ai</w:t>
      </w:r>
      <w:r w:rsidRPr="00BA7405">
        <w:rPr>
          <w:rFonts w:ascii="Times New Roman" w:hAnsi="Times New Roman" w:cs="Times New Roman"/>
          <w:sz w:val="28"/>
          <w:szCs w:val="28"/>
        </w:rPr>
        <w:t xml:space="preserve"> daļ</w:t>
      </w:r>
      <w:r w:rsidR="00DF6008" w:rsidRPr="00BA7405">
        <w:rPr>
          <w:rFonts w:ascii="Times New Roman" w:hAnsi="Times New Roman" w:cs="Times New Roman"/>
          <w:sz w:val="28"/>
          <w:szCs w:val="28"/>
        </w:rPr>
        <w:t>ai</w:t>
      </w:r>
      <w:r w:rsidRPr="00BA7405">
        <w:rPr>
          <w:rFonts w:ascii="Times New Roman" w:hAnsi="Times New Roman" w:cs="Times New Roman"/>
          <w:sz w:val="28"/>
          <w:szCs w:val="28"/>
        </w:rPr>
        <w:t xml:space="preserve"> sadala pa pašvaldību budžetiem</w:t>
      </w:r>
      <w:r w:rsidR="00F11AB0" w:rsidRPr="00BA7405">
        <w:rPr>
          <w:rFonts w:ascii="Times New Roman" w:hAnsi="Times New Roman" w:cs="Times New Roman"/>
          <w:sz w:val="28"/>
          <w:szCs w:val="28"/>
        </w:rPr>
        <w:t xml:space="preserve"> un attiecina uz valsts pamatbudžeta ieņēmumiem</w:t>
      </w:r>
      <w:r w:rsidRPr="00BA7405">
        <w:rPr>
          <w:rFonts w:ascii="Times New Roman" w:hAnsi="Times New Roman" w:cs="Times New Roman"/>
          <w:sz w:val="28"/>
          <w:szCs w:val="28"/>
        </w:rPr>
        <w:t>.</w:t>
      </w:r>
    </w:p>
    <w:p w14:paraId="5B9DAEC7" w14:textId="6A0B5AB6" w:rsidR="00F27F26" w:rsidRPr="00BA7405" w:rsidRDefault="00F27F26" w:rsidP="00F90D9D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bookmarkStart w:id="2" w:name="_Hlk509479707"/>
      <w:r w:rsidRPr="00BA7405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Valsts ieņēmumu dienests </w:t>
      </w:r>
      <w:r w:rsidR="00292DDB" w:rsidRPr="00BA7405">
        <w:rPr>
          <w:rFonts w:ascii="Times New Roman" w:hAnsi="Times New Roman" w:cs="Times New Roman"/>
          <w:spacing w:val="-2"/>
          <w:sz w:val="28"/>
          <w:szCs w:val="28"/>
        </w:rPr>
        <w:t>divu da</w:t>
      </w:r>
      <w:r w:rsidR="002B3682" w:rsidRPr="00BA7405">
        <w:rPr>
          <w:rFonts w:ascii="Times New Roman" w:hAnsi="Times New Roman" w:cs="Times New Roman"/>
          <w:spacing w:val="-2"/>
          <w:sz w:val="28"/>
          <w:szCs w:val="28"/>
        </w:rPr>
        <w:t>r</w:t>
      </w:r>
      <w:r w:rsidR="00292DDB" w:rsidRPr="00BA7405">
        <w:rPr>
          <w:rFonts w:ascii="Times New Roman" w:hAnsi="Times New Roman" w:cs="Times New Roman"/>
          <w:spacing w:val="-2"/>
          <w:sz w:val="28"/>
          <w:szCs w:val="28"/>
        </w:rPr>
        <w:t xml:space="preserve">ba dienu laikā pēc </w:t>
      </w:r>
      <w:r w:rsidR="00FA5776" w:rsidRPr="00BA7405">
        <w:rPr>
          <w:rFonts w:ascii="Times New Roman" w:hAnsi="Times New Roman" w:cs="Times New Roman"/>
          <w:iCs/>
          <w:spacing w:val="-2"/>
          <w:sz w:val="28"/>
          <w:szCs w:val="28"/>
          <w:lang w:eastAsia="lv-LV"/>
        </w:rPr>
        <w:t>šā likuma 10</w:t>
      </w:r>
      <w:r w:rsidR="00F90D9D" w:rsidRPr="00BA7405">
        <w:rPr>
          <w:rFonts w:ascii="Times New Roman" w:hAnsi="Times New Roman" w:cs="Times New Roman"/>
          <w:iCs/>
          <w:spacing w:val="-2"/>
          <w:sz w:val="28"/>
          <w:szCs w:val="28"/>
          <w:lang w:eastAsia="lv-LV"/>
        </w:rPr>
        <w:t>. </w:t>
      </w:r>
      <w:r w:rsidR="00FA5776" w:rsidRPr="00BA7405">
        <w:rPr>
          <w:rFonts w:ascii="Times New Roman" w:hAnsi="Times New Roman" w:cs="Times New Roman"/>
          <w:iCs/>
          <w:spacing w:val="-2"/>
          <w:sz w:val="28"/>
          <w:szCs w:val="28"/>
          <w:lang w:eastAsia="lv-LV"/>
        </w:rPr>
        <w:t>panta septītajā daļā noteiktā izložu un azartspēļu nodokļa samaksas termiņa</w:t>
      </w:r>
      <w:r w:rsidRPr="00BA740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F6008" w:rsidRPr="00BA7405">
        <w:rPr>
          <w:rFonts w:ascii="Times New Roman" w:hAnsi="Times New Roman" w:cs="Times New Roman"/>
          <w:spacing w:val="-2"/>
          <w:sz w:val="28"/>
          <w:szCs w:val="28"/>
        </w:rPr>
        <w:t xml:space="preserve">sadala un attiecina </w:t>
      </w:r>
      <w:r w:rsidRPr="00BA7405">
        <w:rPr>
          <w:rFonts w:ascii="Times New Roman" w:hAnsi="Times New Roman" w:cs="Times New Roman"/>
          <w:spacing w:val="-2"/>
          <w:sz w:val="28"/>
          <w:szCs w:val="28"/>
        </w:rPr>
        <w:t>nodokļa ieņēmumu</w:t>
      </w:r>
      <w:r w:rsidR="00DF6008" w:rsidRPr="00BA7405">
        <w:rPr>
          <w:rFonts w:ascii="Times New Roman" w:hAnsi="Times New Roman" w:cs="Times New Roman"/>
          <w:spacing w:val="-2"/>
          <w:sz w:val="28"/>
          <w:szCs w:val="28"/>
        </w:rPr>
        <w:t>s</w:t>
      </w:r>
      <w:r w:rsidRPr="00BA7405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14:paraId="4B46E5E1" w14:textId="0024384D" w:rsidR="00F27F26" w:rsidRPr="00BA7405" w:rsidRDefault="00F27F26" w:rsidP="00F90D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7405">
        <w:rPr>
          <w:rFonts w:ascii="Times New Roman" w:hAnsi="Times New Roman" w:cs="Times New Roman"/>
          <w:sz w:val="28"/>
          <w:szCs w:val="28"/>
        </w:rPr>
        <w:t>1)</w:t>
      </w:r>
      <w:r w:rsidR="00886C1B" w:rsidRPr="00BA7405">
        <w:rPr>
          <w:rFonts w:ascii="Times New Roman" w:hAnsi="Times New Roman" w:cs="Times New Roman"/>
          <w:sz w:val="28"/>
          <w:szCs w:val="28"/>
        </w:rPr>
        <w:t> </w:t>
      </w:r>
      <w:r w:rsidRPr="00BA7405">
        <w:rPr>
          <w:rFonts w:ascii="Times New Roman" w:hAnsi="Times New Roman" w:cs="Times New Roman"/>
          <w:sz w:val="28"/>
          <w:szCs w:val="28"/>
        </w:rPr>
        <w:t>izložu nodok</w:t>
      </w:r>
      <w:r w:rsidR="004B4ED3" w:rsidRPr="00BA7405">
        <w:rPr>
          <w:rFonts w:ascii="Times New Roman" w:hAnsi="Times New Roman" w:cs="Times New Roman"/>
          <w:sz w:val="28"/>
          <w:szCs w:val="28"/>
        </w:rPr>
        <w:t>ļa ieņēmumus</w:t>
      </w:r>
      <w:r w:rsidRPr="00BA7405">
        <w:rPr>
          <w:rFonts w:ascii="Times New Roman" w:hAnsi="Times New Roman" w:cs="Times New Roman"/>
          <w:sz w:val="28"/>
          <w:szCs w:val="28"/>
        </w:rPr>
        <w:t xml:space="preserve"> par vietējā mēroga izložu (arī moment</w:t>
      </w:r>
      <w:r w:rsidR="001F0800" w:rsidRPr="00BA7405">
        <w:rPr>
          <w:rFonts w:ascii="Times New Roman" w:hAnsi="Times New Roman" w:cs="Times New Roman"/>
          <w:sz w:val="28"/>
          <w:szCs w:val="28"/>
        </w:rPr>
        <w:softHyphen/>
      </w:r>
      <w:r w:rsidRPr="00BA7405">
        <w:rPr>
          <w:rFonts w:ascii="Times New Roman" w:hAnsi="Times New Roman" w:cs="Times New Roman"/>
          <w:sz w:val="28"/>
          <w:szCs w:val="28"/>
        </w:rPr>
        <w:t>loteriju) organizēšanu 100</w:t>
      </w:r>
      <w:r w:rsidR="00F90D9D" w:rsidRPr="00BA7405">
        <w:rPr>
          <w:rFonts w:ascii="Times New Roman" w:hAnsi="Times New Roman" w:cs="Times New Roman"/>
          <w:sz w:val="28"/>
          <w:szCs w:val="28"/>
        </w:rPr>
        <w:t> </w:t>
      </w:r>
      <w:r w:rsidRPr="00BA7405">
        <w:rPr>
          <w:rFonts w:ascii="Times New Roman" w:hAnsi="Times New Roman" w:cs="Times New Roman"/>
          <w:sz w:val="28"/>
          <w:szCs w:val="28"/>
        </w:rPr>
        <w:t>procentu apmērā ieskaitot tās pašvaldības budžetā, kuras teritorijā tika organiz</w:t>
      </w:r>
      <w:r w:rsidR="001F0800" w:rsidRPr="00BA7405">
        <w:rPr>
          <w:rFonts w:ascii="Times New Roman" w:hAnsi="Times New Roman" w:cs="Times New Roman"/>
          <w:sz w:val="28"/>
          <w:szCs w:val="28"/>
        </w:rPr>
        <w:t>ēta izloze (arī momentloterija);</w:t>
      </w:r>
    </w:p>
    <w:bookmarkEnd w:id="2"/>
    <w:p w14:paraId="79EDBD8E" w14:textId="73057A9B" w:rsidR="00F27F26" w:rsidRPr="00BA7405" w:rsidRDefault="00F27F26" w:rsidP="00F90D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7405">
        <w:rPr>
          <w:rFonts w:ascii="Times New Roman" w:hAnsi="Times New Roman" w:cs="Times New Roman"/>
          <w:sz w:val="28"/>
          <w:szCs w:val="28"/>
        </w:rPr>
        <w:t>2)</w:t>
      </w:r>
      <w:r w:rsidR="00886C1B" w:rsidRPr="00BA7405">
        <w:rPr>
          <w:rFonts w:ascii="Times New Roman" w:hAnsi="Times New Roman" w:cs="Times New Roman"/>
          <w:sz w:val="28"/>
          <w:szCs w:val="28"/>
        </w:rPr>
        <w:t> </w:t>
      </w:r>
      <w:r w:rsidRPr="00BA7405">
        <w:rPr>
          <w:rFonts w:ascii="Times New Roman" w:hAnsi="Times New Roman" w:cs="Times New Roman"/>
          <w:sz w:val="28"/>
          <w:szCs w:val="28"/>
        </w:rPr>
        <w:t>azartspēļu nodok</w:t>
      </w:r>
      <w:r w:rsidR="004B4ED3" w:rsidRPr="00BA7405">
        <w:rPr>
          <w:rFonts w:ascii="Times New Roman" w:hAnsi="Times New Roman" w:cs="Times New Roman"/>
          <w:sz w:val="28"/>
          <w:szCs w:val="28"/>
        </w:rPr>
        <w:t>ļa ieņēmumus</w:t>
      </w:r>
      <w:r w:rsidR="001F0800" w:rsidRPr="00BA7405">
        <w:rPr>
          <w:rFonts w:ascii="Times New Roman" w:hAnsi="Times New Roman" w:cs="Times New Roman"/>
          <w:sz w:val="28"/>
          <w:szCs w:val="28"/>
        </w:rPr>
        <w:t xml:space="preserve"> (</w:t>
      </w:r>
      <w:r w:rsidR="00FE50ED" w:rsidRPr="00BA7405">
        <w:rPr>
          <w:rFonts w:ascii="Times New Roman" w:hAnsi="Times New Roman" w:cs="Times New Roman"/>
          <w:sz w:val="28"/>
          <w:szCs w:val="28"/>
        </w:rPr>
        <w:t>izņemot azartspēļu nodok</w:t>
      </w:r>
      <w:r w:rsidR="004B4ED3" w:rsidRPr="00BA7405">
        <w:rPr>
          <w:rFonts w:ascii="Times New Roman" w:hAnsi="Times New Roman" w:cs="Times New Roman"/>
          <w:sz w:val="28"/>
          <w:szCs w:val="28"/>
        </w:rPr>
        <w:t>ļa ieņēmumus</w:t>
      </w:r>
      <w:r w:rsidR="00FE50ED" w:rsidRPr="00BA7405">
        <w:rPr>
          <w:rFonts w:ascii="Times New Roman" w:hAnsi="Times New Roman" w:cs="Times New Roman"/>
          <w:sz w:val="28"/>
          <w:szCs w:val="28"/>
        </w:rPr>
        <w:t xml:space="preserve"> par šā likuma 3</w:t>
      </w:r>
      <w:r w:rsidR="00F90D9D" w:rsidRPr="00BA7405">
        <w:rPr>
          <w:rFonts w:ascii="Times New Roman" w:hAnsi="Times New Roman" w:cs="Times New Roman"/>
          <w:sz w:val="28"/>
          <w:szCs w:val="28"/>
        </w:rPr>
        <w:t>. </w:t>
      </w:r>
      <w:r w:rsidR="00FE50ED" w:rsidRPr="00BA7405">
        <w:rPr>
          <w:rFonts w:ascii="Times New Roman" w:hAnsi="Times New Roman" w:cs="Times New Roman"/>
          <w:sz w:val="28"/>
          <w:szCs w:val="28"/>
        </w:rPr>
        <w:t>panta piektajā daļā minēto objektu</w:t>
      </w:r>
      <w:r w:rsidR="001F0800" w:rsidRPr="00BA7405">
        <w:rPr>
          <w:rFonts w:ascii="Times New Roman" w:hAnsi="Times New Roman" w:cs="Times New Roman"/>
          <w:sz w:val="28"/>
          <w:szCs w:val="28"/>
        </w:rPr>
        <w:t>)</w:t>
      </w:r>
      <w:r w:rsidR="00FE50ED" w:rsidRPr="00BA7405">
        <w:rPr>
          <w:rFonts w:ascii="Times New Roman" w:hAnsi="Times New Roman" w:cs="Times New Roman"/>
          <w:sz w:val="28"/>
          <w:szCs w:val="28"/>
        </w:rPr>
        <w:t xml:space="preserve"> </w:t>
      </w:r>
      <w:r w:rsidR="00DD2640" w:rsidRPr="00BA7405">
        <w:rPr>
          <w:rFonts w:ascii="Times New Roman" w:hAnsi="Times New Roman" w:cs="Times New Roman"/>
          <w:sz w:val="28"/>
          <w:szCs w:val="28"/>
        </w:rPr>
        <w:t>25</w:t>
      </w:r>
      <w:r w:rsidR="00F90D9D" w:rsidRPr="00BA7405">
        <w:rPr>
          <w:rFonts w:ascii="Times New Roman" w:hAnsi="Times New Roman" w:cs="Times New Roman"/>
          <w:sz w:val="28"/>
          <w:szCs w:val="28"/>
        </w:rPr>
        <w:t> </w:t>
      </w:r>
      <w:r w:rsidR="00DD2640" w:rsidRPr="00BA7405">
        <w:rPr>
          <w:rFonts w:ascii="Times New Roman" w:hAnsi="Times New Roman" w:cs="Times New Roman"/>
          <w:sz w:val="28"/>
          <w:szCs w:val="28"/>
        </w:rPr>
        <w:t xml:space="preserve">procentu apmērā </w:t>
      </w:r>
      <w:r w:rsidR="00FE50ED" w:rsidRPr="00BA7405">
        <w:rPr>
          <w:rFonts w:ascii="Times New Roman" w:hAnsi="Times New Roman" w:cs="Times New Roman"/>
          <w:sz w:val="28"/>
          <w:szCs w:val="28"/>
        </w:rPr>
        <w:t xml:space="preserve">ieskaitot </w:t>
      </w:r>
      <w:r w:rsidRPr="00BA7405">
        <w:rPr>
          <w:rFonts w:ascii="Times New Roman" w:hAnsi="Times New Roman" w:cs="Times New Roman"/>
          <w:sz w:val="28"/>
          <w:szCs w:val="28"/>
        </w:rPr>
        <w:t>tās pašvaldības budžetā, kuras teritorijā tika organizēta azartspēle</w:t>
      </w:r>
      <w:r w:rsidR="00DD2640" w:rsidRPr="00BA7405">
        <w:rPr>
          <w:rFonts w:ascii="Times New Roman" w:hAnsi="Times New Roman" w:cs="Times New Roman"/>
          <w:sz w:val="28"/>
          <w:szCs w:val="28"/>
        </w:rPr>
        <w:t>, bet</w:t>
      </w:r>
      <w:r w:rsidR="005D14B1" w:rsidRPr="00BA7405">
        <w:rPr>
          <w:rFonts w:ascii="Times New Roman" w:hAnsi="Times New Roman" w:cs="Times New Roman"/>
          <w:sz w:val="28"/>
          <w:szCs w:val="28"/>
        </w:rPr>
        <w:t xml:space="preserve"> </w:t>
      </w:r>
      <w:r w:rsidR="00FE50ED" w:rsidRPr="00BA7405">
        <w:rPr>
          <w:rFonts w:ascii="Times New Roman" w:hAnsi="Times New Roman" w:cs="Times New Roman"/>
          <w:sz w:val="28"/>
          <w:szCs w:val="28"/>
        </w:rPr>
        <w:t>75</w:t>
      </w:r>
      <w:r w:rsidR="00F90D9D" w:rsidRPr="00BA7405">
        <w:rPr>
          <w:rFonts w:ascii="Times New Roman" w:hAnsi="Times New Roman" w:cs="Times New Roman"/>
          <w:sz w:val="28"/>
          <w:szCs w:val="28"/>
        </w:rPr>
        <w:t> </w:t>
      </w:r>
      <w:r w:rsidR="00FE50ED" w:rsidRPr="00BA7405">
        <w:rPr>
          <w:rFonts w:ascii="Times New Roman" w:hAnsi="Times New Roman" w:cs="Times New Roman"/>
          <w:sz w:val="28"/>
          <w:szCs w:val="28"/>
        </w:rPr>
        <w:t xml:space="preserve">procentu </w:t>
      </w:r>
      <w:r w:rsidR="00694C1E" w:rsidRPr="00BA7405">
        <w:rPr>
          <w:rFonts w:ascii="Times New Roman" w:hAnsi="Times New Roman" w:cs="Times New Roman"/>
          <w:sz w:val="28"/>
          <w:szCs w:val="28"/>
        </w:rPr>
        <w:t xml:space="preserve">apmērā </w:t>
      </w:r>
      <w:r w:rsidR="00DD2640" w:rsidRPr="00BA7405">
        <w:rPr>
          <w:rFonts w:ascii="Times New Roman" w:hAnsi="Times New Roman" w:cs="Times New Roman"/>
          <w:sz w:val="28"/>
          <w:szCs w:val="28"/>
        </w:rPr>
        <w:t>attiecin</w:t>
      </w:r>
      <w:r w:rsidR="001F0800" w:rsidRPr="00BA7405">
        <w:rPr>
          <w:rFonts w:ascii="Times New Roman" w:hAnsi="Times New Roman" w:cs="Times New Roman"/>
          <w:sz w:val="28"/>
          <w:szCs w:val="28"/>
        </w:rPr>
        <w:t>ot</w:t>
      </w:r>
      <w:r w:rsidR="00DD2640" w:rsidRPr="00BA7405">
        <w:rPr>
          <w:rFonts w:ascii="Times New Roman" w:hAnsi="Times New Roman" w:cs="Times New Roman"/>
          <w:sz w:val="28"/>
          <w:szCs w:val="28"/>
        </w:rPr>
        <w:t xml:space="preserve"> uz valsts pamatbudžeta ieņēmumiem</w:t>
      </w:r>
      <w:r w:rsidR="00F90D9D" w:rsidRPr="00BA7405">
        <w:rPr>
          <w:rFonts w:ascii="Times New Roman" w:hAnsi="Times New Roman" w:cs="Times New Roman"/>
          <w:sz w:val="28"/>
          <w:szCs w:val="28"/>
        </w:rPr>
        <w:t>.</w:t>
      </w:r>
    </w:p>
    <w:p w14:paraId="4E27E07A" w14:textId="3BA2C8AC" w:rsidR="00F27F26" w:rsidRPr="00BA7405" w:rsidRDefault="00F27F26" w:rsidP="00F90D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7405">
        <w:rPr>
          <w:rFonts w:ascii="Times New Roman" w:hAnsi="Times New Roman" w:cs="Times New Roman"/>
          <w:sz w:val="28"/>
          <w:szCs w:val="28"/>
        </w:rPr>
        <w:t>Valsts ieņēmumu dienests, veicot š</w:t>
      </w:r>
      <w:r w:rsidR="002B3682" w:rsidRPr="00BA7405">
        <w:rPr>
          <w:rFonts w:ascii="Times New Roman" w:hAnsi="Times New Roman" w:cs="Times New Roman"/>
          <w:sz w:val="28"/>
          <w:szCs w:val="28"/>
        </w:rPr>
        <w:t>ā</w:t>
      </w:r>
      <w:r w:rsidRPr="00BA7405">
        <w:rPr>
          <w:rFonts w:ascii="Times New Roman" w:hAnsi="Times New Roman" w:cs="Times New Roman"/>
          <w:sz w:val="28"/>
          <w:szCs w:val="28"/>
        </w:rPr>
        <w:t xml:space="preserve"> panta </w:t>
      </w:r>
      <w:r w:rsidR="002B3682" w:rsidRPr="00BA7405">
        <w:rPr>
          <w:rFonts w:ascii="Times New Roman" w:hAnsi="Times New Roman" w:cs="Times New Roman"/>
          <w:sz w:val="28"/>
          <w:szCs w:val="28"/>
        </w:rPr>
        <w:t>piektajā</w:t>
      </w:r>
      <w:r w:rsidRPr="00BA7405">
        <w:rPr>
          <w:rFonts w:ascii="Times New Roman" w:hAnsi="Times New Roman" w:cs="Times New Roman"/>
          <w:sz w:val="28"/>
          <w:szCs w:val="28"/>
        </w:rPr>
        <w:t xml:space="preserve"> daļā noteikto nodokļa ieņēmumu sadali atbilstoši izložu un azartspēļu organizētāja faktiski veiktajiem nodokļu maksājumiem</w:t>
      </w:r>
      <w:proofErr w:type="gramStart"/>
      <w:r w:rsidRPr="00BA7405">
        <w:rPr>
          <w:rFonts w:ascii="Times New Roman" w:hAnsi="Times New Roman" w:cs="Times New Roman"/>
          <w:sz w:val="28"/>
          <w:szCs w:val="28"/>
        </w:rPr>
        <w:t xml:space="preserve"> un</w:t>
      </w:r>
      <w:proofErr w:type="gramEnd"/>
      <w:r w:rsidRPr="00BA7405">
        <w:rPr>
          <w:rFonts w:ascii="Times New Roman" w:hAnsi="Times New Roman" w:cs="Times New Roman"/>
          <w:sz w:val="28"/>
          <w:szCs w:val="28"/>
        </w:rPr>
        <w:t xml:space="preserve"> saskaņā ar </w:t>
      </w:r>
      <w:r w:rsidR="00BE42C0" w:rsidRPr="00BA7405">
        <w:rPr>
          <w:rFonts w:ascii="Times New Roman" w:hAnsi="Times New Roman" w:cs="Times New Roman"/>
          <w:sz w:val="28"/>
          <w:szCs w:val="28"/>
        </w:rPr>
        <w:t xml:space="preserve">šā likuma </w:t>
      </w:r>
      <w:r w:rsidRPr="00BA7405">
        <w:rPr>
          <w:rFonts w:ascii="Times New Roman" w:hAnsi="Times New Roman" w:cs="Times New Roman"/>
          <w:sz w:val="28"/>
          <w:szCs w:val="28"/>
        </w:rPr>
        <w:t>10</w:t>
      </w:r>
      <w:r w:rsidR="00F90D9D" w:rsidRPr="00BA7405">
        <w:rPr>
          <w:rFonts w:ascii="Times New Roman" w:hAnsi="Times New Roman" w:cs="Times New Roman"/>
          <w:sz w:val="28"/>
          <w:szCs w:val="28"/>
        </w:rPr>
        <w:t>. </w:t>
      </w:r>
      <w:r w:rsidRPr="00BA7405">
        <w:rPr>
          <w:rFonts w:ascii="Times New Roman" w:hAnsi="Times New Roman" w:cs="Times New Roman"/>
          <w:sz w:val="28"/>
          <w:szCs w:val="28"/>
        </w:rPr>
        <w:t xml:space="preserve">panta sestajā daļā minēto pārskatu, </w:t>
      </w:r>
      <w:bookmarkStart w:id="3" w:name="_Hlk509480452"/>
      <w:r w:rsidRPr="00BA7405">
        <w:rPr>
          <w:rFonts w:ascii="Times New Roman" w:hAnsi="Times New Roman" w:cs="Times New Roman"/>
          <w:sz w:val="28"/>
          <w:szCs w:val="28"/>
        </w:rPr>
        <w:t>uz konkrēto pašvaldību attiecina samaksāto nodokļa summu</w:t>
      </w:r>
      <w:r w:rsidR="00E1307E" w:rsidRPr="00BA7405">
        <w:rPr>
          <w:rFonts w:ascii="Times New Roman" w:hAnsi="Times New Roman" w:cs="Times New Roman"/>
          <w:sz w:val="28"/>
          <w:szCs w:val="28"/>
        </w:rPr>
        <w:t>,</w:t>
      </w:r>
      <w:r w:rsidRPr="00BA7405">
        <w:rPr>
          <w:rFonts w:ascii="Times New Roman" w:hAnsi="Times New Roman" w:cs="Times New Roman"/>
          <w:sz w:val="28"/>
          <w:szCs w:val="28"/>
        </w:rPr>
        <w:t xml:space="preserve"> tikai pamatojoties uz t</w:t>
      </w:r>
      <w:r w:rsidR="006D1961" w:rsidRPr="00BA7405">
        <w:rPr>
          <w:rFonts w:ascii="Times New Roman" w:hAnsi="Times New Roman" w:cs="Times New Roman"/>
          <w:sz w:val="28"/>
          <w:szCs w:val="28"/>
        </w:rPr>
        <w:t>ā</w:t>
      </w:r>
      <w:r w:rsidRPr="00BA7405">
        <w:rPr>
          <w:rFonts w:ascii="Times New Roman" w:hAnsi="Times New Roman" w:cs="Times New Roman"/>
          <w:sz w:val="28"/>
          <w:szCs w:val="28"/>
        </w:rPr>
        <w:t xml:space="preserve"> pārskata informāciju, par kuru veikts attiecīgais maksājums</w:t>
      </w:r>
      <w:bookmarkEnd w:id="3"/>
      <w:r w:rsidR="00F25B8D" w:rsidRPr="00BA7405">
        <w:rPr>
          <w:rFonts w:ascii="Times New Roman" w:hAnsi="Times New Roman" w:cs="Times New Roman"/>
          <w:sz w:val="28"/>
          <w:szCs w:val="28"/>
        </w:rPr>
        <w:t>, kā arī ievērojot uz konkrēto pašvaldību attiecināmās daļas īpatsvaru procentos no kopējās pārskatā norādītās nodokļa summas</w:t>
      </w:r>
      <w:r w:rsidR="00F90D9D" w:rsidRPr="00BA7405">
        <w:rPr>
          <w:rFonts w:ascii="Times New Roman" w:hAnsi="Times New Roman" w:cs="Times New Roman"/>
          <w:sz w:val="28"/>
          <w:szCs w:val="28"/>
        </w:rPr>
        <w:t>. </w:t>
      </w:r>
    </w:p>
    <w:p w14:paraId="0367C1B3" w14:textId="4325D3AB" w:rsidR="00F27F26" w:rsidRPr="00BA7405" w:rsidRDefault="001F0800" w:rsidP="00F90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A7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Soda naudu par šā likuma pārkāpumiem un nokavējuma naudu, kas saistīta ar </w:t>
      </w:r>
      <w:r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izložu un azartspēļu nodokli</w:t>
      </w:r>
      <w:r w:rsidRPr="00BA7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F27F26" w:rsidRPr="00BA7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ieņēmumu dienests </w:t>
      </w:r>
      <w:r w:rsidR="00DD2640" w:rsidRPr="00BA7405">
        <w:rPr>
          <w:rFonts w:ascii="Times New Roman" w:hAnsi="Times New Roman" w:cs="Times New Roman"/>
          <w:sz w:val="28"/>
          <w:szCs w:val="28"/>
        </w:rPr>
        <w:t>attiecina uz valsts pamatbudžeta ieņēmumiem.</w:t>
      </w:r>
      <w:r w:rsidR="007E5DDF" w:rsidRPr="00BA740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3E7E9591" w14:textId="77777777" w:rsidR="00F27F26" w:rsidRPr="00BA7405" w:rsidRDefault="00F27F26" w:rsidP="00F90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90F3A7F" w14:textId="2D116FFA" w:rsidR="003709C9" w:rsidRPr="00BA7405" w:rsidRDefault="003709C9" w:rsidP="00F90D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Likums stājas spēkā 20</w:t>
      </w:r>
      <w:r w:rsidR="004E2C79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="00F90D9D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gada 1</w:t>
      </w:r>
      <w:r w:rsidR="00F90D9D"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BA7405">
        <w:rPr>
          <w:rFonts w:ascii="Times New Roman" w:hAnsi="Times New Roman" w:cs="Times New Roman"/>
          <w:sz w:val="28"/>
          <w:szCs w:val="28"/>
          <w:shd w:val="clear" w:color="auto" w:fill="FFFFFF"/>
        </w:rPr>
        <w:t>janvārī.</w:t>
      </w:r>
    </w:p>
    <w:p w14:paraId="26422DCB" w14:textId="77777777" w:rsidR="003D6AE1" w:rsidRPr="00592C72" w:rsidRDefault="003D6AE1" w:rsidP="003D6A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3E37EE4" w14:textId="77777777" w:rsidR="003D6AE1" w:rsidRPr="00592C72" w:rsidRDefault="003D6AE1" w:rsidP="003D6A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987C8DE" w14:textId="77777777" w:rsidR="003D6AE1" w:rsidRPr="00592C72" w:rsidRDefault="003D6AE1" w:rsidP="003D6A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931D6E6" w14:textId="77777777" w:rsidR="003D6AE1" w:rsidRDefault="003D6AE1" w:rsidP="003D6AE1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Finanšu ministra vietā –</w:t>
      </w:r>
    </w:p>
    <w:p w14:paraId="180DFEC3" w14:textId="77777777" w:rsidR="003D6AE1" w:rsidRDefault="003D6AE1" w:rsidP="003D6AE1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prezidents</w:t>
      </w:r>
    </w:p>
    <w:p w14:paraId="6BF34412" w14:textId="77777777" w:rsidR="003D6AE1" w:rsidRPr="003B2C28" w:rsidRDefault="003D6AE1" w:rsidP="003D6AE1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2C28">
        <w:rPr>
          <w:rFonts w:ascii="Times New Roman" w:hAnsi="Times New Roman"/>
          <w:sz w:val="28"/>
          <w:szCs w:val="28"/>
        </w:rPr>
        <w:t>Māris Kučinskis</w:t>
      </w:r>
    </w:p>
    <w:sectPr w:rsidR="003D6AE1" w:rsidRPr="003B2C28" w:rsidSect="007E5DDF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B1D0C" w14:textId="77777777" w:rsidR="00122D42" w:rsidRDefault="00122D42" w:rsidP="00A10308">
      <w:pPr>
        <w:spacing w:after="0" w:line="240" w:lineRule="auto"/>
      </w:pPr>
      <w:r>
        <w:separator/>
      </w:r>
    </w:p>
  </w:endnote>
  <w:endnote w:type="continuationSeparator" w:id="0">
    <w:p w14:paraId="1274FA25" w14:textId="77777777" w:rsidR="00122D42" w:rsidRDefault="00122D42" w:rsidP="00A1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9CE82" w14:textId="3EEB9E87" w:rsidR="007E5DDF" w:rsidRPr="007E5DDF" w:rsidRDefault="007E5DDF">
    <w:pPr>
      <w:pStyle w:val="Footer"/>
      <w:rPr>
        <w:rFonts w:ascii="Times New Roman" w:hAnsi="Times New Roman" w:cs="Times New Roman"/>
        <w:sz w:val="16"/>
        <w:szCs w:val="16"/>
      </w:rPr>
    </w:pPr>
    <w:r w:rsidRPr="007E5DDF">
      <w:rPr>
        <w:rFonts w:ascii="Times New Roman" w:hAnsi="Times New Roman" w:cs="Times New Roman"/>
        <w:sz w:val="16"/>
        <w:szCs w:val="16"/>
      </w:rPr>
      <w:t>L0426_8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A9AD8" w14:textId="4B2709A7" w:rsidR="007E5DDF" w:rsidRPr="007E5DDF" w:rsidRDefault="007E5DDF">
    <w:pPr>
      <w:pStyle w:val="Footer"/>
      <w:rPr>
        <w:rFonts w:ascii="Times New Roman" w:hAnsi="Times New Roman" w:cs="Times New Roman"/>
        <w:sz w:val="16"/>
        <w:szCs w:val="16"/>
      </w:rPr>
    </w:pPr>
    <w:r w:rsidRPr="007E5DDF">
      <w:rPr>
        <w:rFonts w:ascii="Times New Roman" w:hAnsi="Times New Roman" w:cs="Times New Roman"/>
        <w:sz w:val="16"/>
        <w:szCs w:val="16"/>
      </w:rPr>
      <w:t>L0426_8</w:t>
    </w:r>
    <w:proofErr w:type="gramStart"/>
    <w:r>
      <w:rPr>
        <w:rFonts w:ascii="Times New Roman" w:hAnsi="Times New Roman" w:cs="Times New Roman"/>
        <w:sz w:val="16"/>
        <w:szCs w:val="16"/>
      </w:rPr>
      <w:t xml:space="preserve">   </w:t>
    </w:r>
    <w:r w:rsidR="0056637B">
      <w:rPr>
        <w:rFonts w:ascii="Times New Roman" w:hAnsi="Times New Roman" w:cs="Times New Roman"/>
        <w:sz w:val="16"/>
        <w:szCs w:val="16"/>
      </w:rPr>
      <w:t xml:space="preserve"> </w:t>
    </w:r>
    <w:proofErr w:type="spellStart"/>
    <w:proofErr w:type="gramEnd"/>
    <w:r w:rsidR="0056637B">
      <w:rPr>
        <w:rFonts w:ascii="Times New Roman" w:hAnsi="Times New Roman" w:cs="Times New Roman"/>
        <w:sz w:val="16"/>
        <w:szCs w:val="16"/>
      </w:rPr>
      <w:t>v_sk</w:t>
    </w:r>
    <w:proofErr w:type="spellEnd"/>
    <w:r w:rsidR="0056637B">
      <w:rPr>
        <w:rFonts w:ascii="Times New Roman" w:hAnsi="Times New Roman" w:cs="Times New Roman"/>
        <w:sz w:val="16"/>
        <w:szCs w:val="16"/>
      </w:rPr>
      <w:t xml:space="preserve">. = </w:t>
    </w:r>
    <w:r w:rsidR="0056637B">
      <w:rPr>
        <w:rFonts w:ascii="Times New Roman" w:hAnsi="Times New Roman" w:cs="Times New Roman"/>
        <w:sz w:val="16"/>
        <w:szCs w:val="16"/>
      </w:rPr>
      <w:fldChar w:fldCharType="begin"/>
    </w:r>
    <w:r w:rsidR="0056637B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="0056637B">
      <w:rPr>
        <w:rFonts w:ascii="Times New Roman" w:hAnsi="Times New Roman" w:cs="Times New Roman"/>
        <w:sz w:val="16"/>
        <w:szCs w:val="16"/>
      </w:rPr>
      <w:fldChar w:fldCharType="separate"/>
    </w:r>
    <w:r w:rsidR="00885222">
      <w:rPr>
        <w:rFonts w:ascii="Times New Roman" w:hAnsi="Times New Roman" w:cs="Times New Roman"/>
        <w:noProof/>
        <w:sz w:val="16"/>
        <w:szCs w:val="16"/>
      </w:rPr>
      <w:t>503</w:t>
    </w:r>
    <w:r w:rsidR="0056637B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410A9" w14:textId="77777777" w:rsidR="00122D42" w:rsidRDefault="00122D42" w:rsidP="00A10308">
      <w:pPr>
        <w:spacing w:after="0" w:line="240" w:lineRule="auto"/>
      </w:pPr>
      <w:r>
        <w:separator/>
      </w:r>
    </w:p>
  </w:footnote>
  <w:footnote w:type="continuationSeparator" w:id="0">
    <w:p w14:paraId="2E3FF7E2" w14:textId="77777777" w:rsidR="00122D42" w:rsidRDefault="00122D42" w:rsidP="00A10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35657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A21881B" w14:textId="70BFEE16" w:rsidR="00BB2F15" w:rsidRPr="00F02757" w:rsidRDefault="00BB2F15">
        <w:pPr>
          <w:pStyle w:val="Header"/>
          <w:jc w:val="center"/>
          <w:rPr>
            <w:rFonts w:ascii="Times New Roman" w:hAnsi="Times New Roman" w:cs="Times New Roman"/>
          </w:rPr>
        </w:pPr>
        <w:r w:rsidRPr="00F02757">
          <w:rPr>
            <w:rFonts w:ascii="Times New Roman" w:hAnsi="Times New Roman" w:cs="Times New Roman"/>
          </w:rPr>
          <w:fldChar w:fldCharType="begin"/>
        </w:r>
        <w:r w:rsidRPr="00F02757">
          <w:rPr>
            <w:rFonts w:ascii="Times New Roman" w:hAnsi="Times New Roman" w:cs="Times New Roman"/>
          </w:rPr>
          <w:instrText xml:space="preserve"> PAGE   \* MERGEFORMAT </w:instrText>
        </w:r>
        <w:r w:rsidRPr="00F02757">
          <w:rPr>
            <w:rFonts w:ascii="Times New Roman" w:hAnsi="Times New Roman" w:cs="Times New Roman"/>
          </w:rPr>
          <w:fldChar w:fldCharType="separate"/>
        </w:r>
        <w:r w:rsidR="000F574E">
          <w:rPr>
            <w:rFonts w:ascii="Times New Roman" w:hAnsi="Times New Roman" w:cs="Times New Roman"/>
            <w:noProof/>
          </w:rPr>
          <w:t>2</w:t>
        </w:r>
        <w:r w:rsidRPr="00F02757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E2066"/>
    <w:multiLevelType w:val="hybridMultilevel"/>
    <w:tmpl w:val="254E8B4A"/>
    <w:lvl w:ilvl="0" w:tplc="CEF88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CA5174"/>
    <w:multiLevelType w:val="hybridMultilevel"/>
    <w:tmpl w:val="3DFC7E76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9F6743D"/>
    <w:multiLevelType w:val="hybridMultilevel"/>
    <w:tmpl w:val="346C6F98"/>
    <w:lvl w:ilvl="0" w:tplc="0426000B">
      <w:start w:val="1"/>
      <w:numFmt w:val="bullet"/>
      <w:lvlText w:val=""/>
      <w:lvlJc w:val="left"/>
      <w:pPr>
        <w:ind w:left="25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" w15:restartNumberingAfterBreak="0">
    <w:nsid w:val="40AB1F99"/>
    <w:multiLevelType w:val="hybridMultilevel"/>
    <w:tmpl w:val="B1464362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87622CC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CFC2490"/>
    <w:multiLevelType w:val="hybridMultilevel"/>
    <w:tmpl w:val="C1101D3E"/>
    <w:lvl w:ilvl="0" w:tplc="0409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94E2398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E7541"/>
    <w:multiLevelType w:val="hybridMultilevel"/>
    <w:tmpl w:val="8628238C"/>
    <w:lvl w:ilvl="0" w:tplc="246C894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0A74BA"/>
    <w:multiLevelType w:val="hybridMultilevel"/>
    <w:tmpl w:val="D23843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224F5"/>
    <w:multiLevelType w:val="hybridMultilevel"/>
    <w:tmpl w:val="2D1C152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308"/>
    <w:rsid w:val="00004DA2"/>
    <w:rsid w:val="0001008F"/>
    <w:rsid w:val="0005272E"/>
    <w:rsid w:val="00091FCB"/>
    <w:rsid w:val="000B5AB1"/>
    <w:rsid w:val="000C3E44"/>
    <w:rsid w:val="000F574E"/>
    <w:rsid w:val="00102ABC"/>
    <w:rsid w:val="00103CEB"/>
    <w:rsid w:val="00122D42"/>
    <w:rsid w:val="0012732A"/>
    <w:rsid w:val="00132FB7"/>
    <w:rsid w:val="001458EB"/>
    <w:rsid w:val="00152A6F"/>
    <w:rsid w:val="0016319C"/>
    <w:rsid w:val="001737A5"/>
    <w:rsid w:val="00197FF5"/>
    <w:rsid w:val="001A0F4C"/>
    <w:rsid w:val="001C7E15"/>
    <w:rsid w:val="001E0E9A"/>
    <w:rsid w:val="001F0800"/>
    <w:rsid w:val="001F33DD"/>
    <w:rsid w:val="00215D00"/>
    <w:rsid w:val="00220871"/>
    <w:rsid w:val="0022633D"/>
    <w:rsid w:val="00255AEC"/>
    <w:rsid w:val="002809C0"/>
    <w:rsid w:val="002916D5"/>
    <w:rsid w:val="00292DDB"/>
    <w:rsid w:val="00294BFD"/>
    <w:rsid w:val="00296A17"/>
    <w:rsid w:val="002A0309"/>
    <w:rsid w:val="002A1DC2"/>
    <w:rsid w:val="002B19C9"/>
    <w:rsid w:val="002B3682"/>
    <w:rsid w:val="002B7A0B"/>
    <w:rsid w:val="002C12CC"/>
    <w:rsid w:val="002C4408"/>
    <w:rsid w:val="002C7C20"/>
    <w:rsid w:val="002E5BF3"/>
    <w:rsid w:val="003233B8"/>
    <w:rsid w:val="003256FE"/>
    <w:rsid w:val="00335E30"/>
    <w:rsid w:val="003709C9"/>
    <w:rsid w:val="00374374"/>
    <w:rsid w:val="003D6AE1"/>
    <w:rsid w:val="003E32BF"/>
    <w:rsid w:val="003F388E"/>
    <w:rsid w:val="0040327E"/>
    <w:rsid w:val="00404D28"/>
    <w:rsid w:val="00425FE8"/>
    <w:rsid w:val="00426C28"/>
    <w:rsid w:val="0043222C"/>
    <w:rsid w:val="00437C70"/>
    <w:rsid w:val="004732AC"/>
    <w:rsid w:val="00475B59"/>
    <w:rsid w:val="00482D00"/>
    <w:rsid w:val="0048666E"/>
    <w:rsid w:val="0049243F"/>
    <w:rsid w:val="004A6654"/>
    <w:rsid w:val="004B4ED3"/>
    <w:rsid w:val="004D603C"/>
    <w:rsid w:val="004E2C79"/>
    <w:rsid w:val="004F669D"/>
    <w:rsid w:val="004F68CB"/>
    <w:rsid w:val="00504447"/>
    <w:rsid w:val="00523EA3"/>
    <w:rsid w:val="005577B5"/>
    <w:rsid w:val="005634AE"/>
    <w:rsid w:val="0056637B"/>
    <w:rsid w:val="0057415B"/>
    <w:rsid w:val="00580862"/>
    <w:rsid w:val="00580C0B"/>
    <w:rsid w:val="005D14B1"/>
    <w:rsid w:val="00634950"/>
    <w:rsid w:val="006363B4"/>
    <w:rsid w:val="00644B51"/>
    <w:rsid w:val="00665DBC"/>
    <w:rsid w:val="0068149E"/>
    <w:rsid w:val="00683411"/>
    <w:rsid w:val="006847D4"/>
    <w:rsid w:val="00694C1E"/>
    <w:rsid w:val="00697077"/>
    <w:rsid w:val="006C1E48"/>
    <w:rsid w:val="006D1961"/>
    <w:rsid w:val="006E5718"/>
    <w:rsid w:val="006F24A3"/>
    <w:rsid w:val="00705D77"/>
    <w:rsid w:val="00745BB0"/>
    <w:rsid w:val="00777F0A"/>
    <w:rsid w:val="00781917"/>
    <w:rsid w:val="007A2A50"/>
    <w:rsid w:val="007B7726"/>
    <w:rsid w:val="007C1617"/>
    <w:rsid w:val="007C3A3C"/>
    <w:rsid w:val="007E5DDF"/>
    <w:rsid w:val="007F374C"/>
    <w:rsid w:val="00821C49"/>
    <w:rsid w:val="00832112"/>
    <w:rsid w:val="00885222"/>
    <w:rsid w:val="00886C1B"/>
    <w:rsid w:val="008A6F1B"/>
    <w:rsid w:val="0090240C"/>
    <w:rsid w:val="00914089"/>
    <w:rsid w:val="009302C0"/>
    <w:rsid w:val="0096266A"/>
    <w:rsid w:val="00964159"/>
    <w:rsid w:val="009A6E4B"/>
    <w:rsid w:val="009B1060"/>
    <w:rsid w:val="009C4C79"/>
    <w:rsid w:val="009E42E0"/>
    <w:rsid w:val="009E44D3"/>
    <w:rsid w:val="00A10308"/>
    <w:rsid w:val="00A12BD0"/>
    <w:rsid w:val="00A21B1E"/>
    <w:rsid w:val="00A3287D"/>
    <w:rsid w:val="00A356B9"/>
    <w:rsid w:val="00A52EB4"/>
    <w:rsid w:val="00A536C8"/>
    <w:rsid w:val="00A61F37"/>
    <w:rsid w:val="00A833AD"/>
    <w:rsid w:val="00A97F9C"/>
    <w:rsid w:val="00AD1BD6"/>
    <w:rsid w:val="00AF2947"/>
    <w:rsid w:val="00AF43DB"/>
    <w:rsid w:val="00B97CA1"/>
    <w:rsid w:val="00BA7405"/>
    <w:rsid w:val="00BB2F15"/>
    <w:rsid w:val="00BC279A"/>
    <w:rsid w:val="00BE42C0"/>
    <w:rsid w:val="00BE63E9"/>
    <w:rsid w:val="00C3571A"/>
    <w:rsid w:val="00C46A59"/>
    <w:rsid w:val="00C524C0"/>
    <w:rsid w:val="00C549C2"/>
    <w:rsid w:val="00C57AAE"/>
    <w:rsid w:val="00C641FF"/>
    <w:rsid w:val="00C671CF"/>
    <w:rsid w:val="00C96616"/>
    <w:rsid w:val="00D44B40"/>
    <w:rsid w:val="00D45208"/>
    <w:rsid w:val="00D67362"/>
    <w:rsid w:val="00D76009"/>
    <w:rsid w:val="00DA0547"/>
    <w:rsid w:val="00DA7BFC"/>
    <w:rsid w:val="00DD2640"/>
    <w:rsid w:val="00DF6008"/>
    <w:rsid w:val="00E1307E"/>
    <w:rsid w:val="00E22130"/>
    <w:rsid w:val="00E24380"/>
    <w:rsid w:val="00E83475"/>
    <w:rsid w:val="00E8506F"/>
    <w:rsid w:val="00E87A40"/>
    <w:rsid w:val="00E97A12"/>
    <w:rsid w:val="00EA2364"/>
    <w:rsid w:val="00EA33D4"/>
    <w:rsid w:val="00EB71AC"/>
    <w:rsid w:val="00EF527D"/>
    <w:rsid w:val="00EF6D2E"/>
    <w:rsid w:val="00F02757"/>
    <w:rsid w:val="00F11AB0"/>
    <w:rsid w:val="00F25B8D"/>
    <w:rsid w:val="00F27F26"/>
    <w:rsid w:val="00F70F47"/>
    <w:rsid w:val="00F722E3"/>
    <w:rsid w:val="00F90D9D"/>
    <w:rsid w:val="00F95270"/>
    <w:rsid w:val="00F95818"/>
    <w:rsid w:val="00FA5776"/>
    <w:rsid w:val="00FB6E6C"/>
    <w:rsid w:val="00FB6EE6"/>
    <w:rsid w:val="00FE25EA"/>
    <w:rsid w:val="00FE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9415"/>
  <w15:chartTrackingRefBased/>
  <w15:docId w15:val="{2F2316C5-1A19-4679-9DC3-A2645AE1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30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1030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308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ListParagraph">
    <w:name w:val="List Paragraph"/>
    <w:basedOn w:val="Normal"/>
    <w:uiPriority w:val="34"/>
    <w:qFormat/>
    <w:rsid w:val="00A103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103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308"/>
  </w:style>
  <w:style w:type="paragraph" w:styleId="FootnoteText">
    <w:name w:val="footnote text"/>
    <w:basedOn w:val="Normal"/>
    <w:link w:val="FootnoteTextChar"/>
    <w:uiPriority w:val="99"/>
    <w:semiHidden/>
    <w:unhideWhenUsed/>
    <w:rsid w:val="00A103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03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030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B2F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F15"/>
  </w:style>
  <w:style w:type="character" w:styleId="Hyperlink">
    <w:name w:val="Hyperlink"/>
    <w:basedOn w:val="DefaultParagraphFont"/>
    <w:unhideWhenUsed/>
    <w:rsid w:val="00F27F2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3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7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7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7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7A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80C0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5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E5DD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0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57415-par-izlozu-un-azartspelu-nodevu-un-nodokl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Astra Kaļāne</Vad_x012b_t_x0101_js>
    <Kategorija xmlns="2e5bb04e-596e-45bd-9003-43ca78b1ba16">Likumprojekts</Kategorija>
    <TAP xmlns="1c33a644-f6cf-45d4-832d-e32e0e370d68">17</TA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EC1FF-0F04-41B4-9F25-53FFB59E0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13C68E-18C7-4564-A9E3-72B8E70E6EDA}">
  <ds:schemaRefs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c33a644-f6cf-45d4-832d-e32e0e370d6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9C5B99-B16C-4F48-BADD-1C814663C3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A71D54-9427-42EF-A800-047407EC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503</Words>
  <Characters>3195</Characters>
  <Application>Microsoft Office Word</Application>
  <DocSecurity>0</DocSecurity>
  <Lines>71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"Par izložu un azartspēļu nodevu un nodokli"</vt:lpstr>
    </vt:vector>
  </TitlesOfParts>
  <Company>Finanšu ministrija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izložu un azartspēļu nodevu un nodokli"</dc:title>
  <dc:subject>Likumprojekts</dc:subject>
  <dc:creator>Inga Avotiņa</dc:creator>
  <cp:keywords/>
  <dc:description>67095515, Inga.Avotina@fm.gov.lv</dc:description>
  <cp:lastModifiedBy>Aija Talmane</cp:lastModifiedBy>
  <cp:revision>42</cp:revision>
  <cp:lastPrinted>2018-04-16T07:32:00Z</cp:lastPrinted>
  <dcterms:created xsi:type="dcterms:W3CDTF">2018-02-16T12:06:00Z</dcterms:created>
  <dcterms:modified xsi:type="dcterms:W3CDTF">2018-04-16T07:33:00Z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