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C3" w:rsidRPr="00FC4FB5" w:rsidRDefault="003530C3" w:rsidP="003530C3">
      <w:pPr>
        <w:shd w:val="clear" w:color="auto" w:fill="FFFFFF"/>
        <w:spacing w:before="130" w:line="260" w:lineRule="exact"/>
        <w:jc w:val="center"/>
        <w:rPr>
          <w:b/>
          <w:bCs/>
          <w:sz w:val="28"/>
          <w:szCs w:val="28"/>
        </w:rPr>
      </w:pPr>
      <w:r w:rsidRPr="00FC4FB5">
        <w:rPr>
          <w:b/>
          <w:sz w:val="28"/>
          <w:szCs w:val="28"/>
        </w:rPr>
        <w:t xml:space="preserve">Ministru kabineta noteikumu projekta </w:t>
      </w:r>
      <w:r w:rsidR="00576B88" w:rsidRPr="00FC4FB5">
        <w:rPr>
          <w:b/>
          <w:sz w:val="28"/>
          <w:szCs w:val="28"/>
        </w:rPr>
        <w:t>“</w:t>
      </w:r>
      <w:r w:rsidR="009B1A4E" w:rsidRPr="00FC4FB5">
        <w:rPr>
          <w:b/>
          <w:sz w:val="28"/>
          <w:szCs w:val="28"/>
        </w:rPr>
        <w:t>Grozījums</w:t>
      </w:r>
      <w:r w:rsidR="00CF447D" w:rsidRPr="00FC4FB5">
        <w:rPr>
          <w:b/>
          <w:sz w:val="28"/>
          <w:szCs w:val="28"/>
        </w:rPr>
        <w:t xml:space="preserve"> Ministru kabineta 2006.gada 11.aprīļa noteikumos Nr.289</w:t>
      </w:r>
      <w:r w:rsidR="00576B88" w:rsidRPr="00FC4FB5">
        <w:rPr>
          <w:b/>
          <w:sz w:val="28"/>
          <w:szCs w:val="28"/>
        </w:rPr>
        <w:t xml:space="preserve"> “</w:t>
      </w:r>
      <w:r w:rsidR="00CF447D" w:rsidRPr="00FC4FB5">
        <w:rPr>
          <w:b/>
          <w:sz w:val="28"/>
          <w:szCs w:val="28"/>
        </w:rPr>
        <w:t>Noteikumi par īslaicīgās aizturēšanas vietas kamerā glabāšanai atļauto priekšmetu sarakstu”</w:t>
      </w:r>
      <w:r w:rsidR="0026658A" w:rsidRPr="00FC4FB5">
        <w:rPr>
          <w:b/>
          <w:sz w:val="28"/>
          <w:szCs w:val="28"/>
        </w:rPr>
        <w:t>”</w:t>
      </w:r>
      <w:r w:rsidRPr="00FC4FB5">
        <w:rPr>
          <w:b/>
          <w:bCs/>
          <w:sz w:val="28"/>
          <w:szCs w:val="28"/>
        </w:rPr>
        <w:t xml:space="preserve"> sākotnējās ietekmes novērtējuma ziņojums (anotācija)</w:t>
      </w:r>
    </w:p>
    <w:p w:rsidR="003530C3" w:rsidRPr="00FC4FB5" w:rsidRDefault="003530C3"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3530C3" w:rsidRPr="00FC4FB5" w:rsidTr="00F77A6F">
        <w:trPr>
          <w:cantSplit/>
        </w:trPr>
        <w:tc>
          <w:tcPr>
            <w:tcW w:w="9581" w:type="dxa"/>
            <w:gridSpan w:val="2"/>
            <w:shd w:val="clear" w:color="auto" w:fill="FFFFFF"/>
            <w:vAlign w:val="center"/>
            <w:hideMark/>
          </w:tcPr>
          <w:p w:rsidR="003530C3" w:rsidRPr="00FC4FB5" w:rsidRDefault="003530C3" w:rsidP="00F77A6F">
            <w:pPr>
              <w:jc w:val="center"/>
              <w:rPr>
                <w:b/>
                <w:iCs/>
                <w:sz w:val="28"/>
                <w:szCs w:val="28"/>
                <w:lang w:eastAsia="en-US"/>
              </w:rPr>
            </w:pPr>
            <w:r w:rsidRPr="00FC4FB5">
              <w:rPr>
                <w:b/>
                <w:iCs/>
                <w:sz w:val="28"/>
                <w:szCs w:val="28"/>
                <w:lang w:eastAsia="en-US"/>
              </w:rPr>
              <w:t>Tiesību akta projekta anotācijas kopsavilkums</w:t>
            </w:r>
          </w:p>
        </w:tc>
      </w:tr>
      <w:tr w:rsidR="003530C3" w:rsidRPr="00FC4FB5" w:rsidTr="00F77A6F">
        <w:trPr>
          <w:cantSplit/>
        </w:trPr>
        <w:tc>
          <w:tcPr>
            <w:tcW w:w="3430" w:type="dxa"/>
            <w:shd w:val="clear" w:color="auto" w:fill="FFFFFF"/>
            <w:hideMark/>
          </w:tcPr>
          <w:p w:rsidR="003530C3" w:rsidRPr="00FC4FB5" w:rsidRDefault="003530C3" w:rsidP="00F77A6F">
            <w:pPr>
              <w:rPr>
                <w:iCs/>
                <w:sz w:val="28"/>
                <w:szCs w:val="28"/>
                <w:lang w:eastAsia="en-US"/>
              </w:rPr>
            </w:pPr>
            <w:r w:rsidRPr="00FC4FB5">
              <w:rPr>
                <w:iCs/>
                <w:sz w:val="28"/>
                <w:szCs w:val="28"/>
                <w:lang w:eastAsia="en-US"/>
              </w:rPr>
              <w:t>Mērķis, risinājums un projekta spēkā stāšanās laiks (500 zīmes bez atstarpēm)</w:t>
            </w:r>
          </w:p>
        </w:tc>
        <w:tc>
          <w:tcPr>
            <w:tcW w:w="6151" w:type="dxa"/>
            <w:shd w:val="clear" w:color="auto" w:fill="FFFFFF"/>
            <w:hideMark/>
          </w:tcPr>
          <w:p w:rsidR="003530C3" w:rsidRPr="00FC4FB5" w:rsidRDefault="0026658A" w:rsidP="007E7008">
            <w:pPr>
              <w:jc w:val="both"/>
              <w:rPr>
                <w:sz w:val="28"/>
                <w:szCs w:val="28"/>
              </w:rPr>
            </w:pPr>
            <w:r w:rsidRPr="00FC4FB5">
              <w:rPr>
                <w:sz w:val="28"/>
                <w:szCs w:val="28"/>
              </w:rPr>
              <w:t>Ministru kabinet</w:t>
            </w:r>
            <w:r w:rsidR="00E04BDC">
              <w:rPr>
                <w:sz w:val="28"/>
                <w:szCs w:val="28"/>
              </w:rPr>
              <w:t xml:space="preserve">a noteikumu projekta “Grozījums </w:t>
            </w:r>
            <w:r w:rsidRPr="00FC4FB5">
              <w:rPr>
                <w:sz w:val="28"/>
                <w:szCs w:val="28"/>
              </w:rPr>
              <w:t>Ministru kabineta 2006.gada 11.aprīļa noteikumos Nr.289 “Noteikumi par īslaicīgās aizturēšanas vietas kamerā glabāšanai atļauto priekšmetu sarakstu”</w:t>
            </w:r>
            <w:r w:rsidRPr="00FC4FB5">
              <w:rPr>
                <w:bCs/>
                <w:sz w:val="28"/>
                <w:szCs w:val="28"/>
              </w:rPr>
              <w:t xml:space="preserve">” (turpmāk – projekts) </w:t>
            </w:r>
            <w:r w:rsidR="003530C3" w:rsidRPr="00FC4FB5">
              <w:rPr>
                <w:sz w:val="28"/>
                <w:szCs w:val="28"/>
              </w:rPr>
              <w:t xml:space="preserve">mērķis ir </w:t>
            </w:r>
            <w:r w:rsidR="00921006" w:rsidRPr="00FC4FB5">
              <w:rPr>
                <w:sz w:val="28"/>
                <w:szCs w:val="28"/>
              </w:rPr>
              <w:t xml:space="preserve">noteikt, </w:t>
            </w:r>
            <w:r w:rsidR="005C064D" w:rsidRPr="00FC4FB5">
              <w:rPr>
                <w:sz w:val="28"/>
                <w:szCs w:val="28"/>
              </w:rPr>
              <w:t xml:space="preserve">ka īslaicīgās aizturēšanas vietas kamerā atļauts </w:t>
            </w:r>
            <w:r w:rsidR="00D15690" w:rsidRPr="00FC4FB5">
              <w:rPr>
                <w:sz w:val="28"/>
                <w:szCs w:val="28"/>
              </w:rPr>
              <w:t>glabāt reliģiskos priekšmetus.</w:t>
            </w:r>
          </w:p>
          <w:p w:rsidR="00866081" w:rsidRPr="00FC4FB5" w:rsidRDefault="0026658A" w:rsidP="0026658A">
            <w:pPr>
              <w:jc w:val="both"/>
              <w:rPr>
                <w:sz w:val="28"/>
                <w:szCs w:val="28"/>
              </w:rPr>
            </w:pPr>
            <w:r w:rsidRPr="00FC4FB5">
              <w:rPr>
                <w:sz w:val="28"/>
                <w:szCs w:val="28"/>
              </w:rPr>
              <w:t>Izpildot Eiropas Parlamenta un Padomes 2016. gada 11. maija Direktīvas (ES) 2016/800 par procesuālajām garantijām bērniem, kuri ir aizdomās turētie vai apsūdzētie kriminālprocesā (turpmāk – Direktīva 2016/800) 24.panta 1.punktā noteikto Direktīvas 2016/800 ieviešanas termiņu, Minist</w:t>
            </w:r>
            <w:r w:rsidR="00E04BDC">
              <w:rPr>
                <w:sz w:val="28"/>
                <w:szCs w:val="28"/>
              </w:rPr>
              <w:t>ru kabineta noteikumi “Grozījums</w:t>
            </w:r>
            <w:r w:rsidRPr="00FC4FB5">
              <w:rPr>
                <w:sz w:val="28"/>
                <w:szCs w:val="28"/>
              </w:rPr>
              <w:t xml:space="preserve"> Ministru kabineta 2006.gada 11.aprīļa noteikumos Nr.289 “Noteikumi par īslaicīgās aizturēšanas vietas kamerā glabāšanai atļauto priekšmetu sarakstu”” izdodami līdz 2019.gada 11.jūnijam.</w:t>
            </w:r>
          </w:p>
        </w:tc>
      </w:tr>
    </w:tbl>
    <w:p w:rsidR="003530C3" w:rsidRPr="00FC4FB5" w:rsidRDefault="003530C3" w:rsidP="00E35440">
      <w:pPr>
        <w:pStyle w:val="Title"/>
        <w:spacing w:before="130" w:line="260" w:lineRule="exact"/>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FC4FB5" w:rsidTr="00F77A6F">
        <w:tc>
          <w:tcPr>
            <w:tcW w:w="5000" w:type="pct"/>
            <w:gridSpan w:val="3"/>
            <w:vAlign w:val="center"/>
            <w:hideMark/>
          </w:tcPr>
          <w:p w:rsidR="003530C3" w:rsidRPr="00FC4FB5" w:rsidRDefault="003530C3" w:rsidP="00F77A6F">
            <w:pPr>
              <w:jc w:val="center"/>
              <w:rPr>
                <w:b/>
                <w:bCs/>
                <w:sz w:val="28"/>
                <w:szCs w:val="28"/>
              </w:rPr>
            </w:pPr>
            <w:r w:rsidRPr="00FC4FB5">
              <w:rPr>
                <w:b/>
                <w:bCs/>
                <w:sz w:val="28"/>
                <w:szCs w:val="28"/>
              </w:rPr>
              <w:t>I. Tiesību akta projekta izstrādes nepieciešamība</w:t>
            </w:r>
          </w:p>
        </w:tc>
      </w:tr>
      <w:tr w:rsidR="003530C3" w:rsidRPr="00FC4FB5" w:rsidTr="00F77A6F">
        <w:tc>
          <w:tcPr>
            <w:tcW w:w="311" w:type="pct"/>
            <w:hideMark/>
          </w:tcPr>
          <w:p w:rsidR="003530C3" w:rsidRPr="00FC4FB5" w:rsidRDefault="003530C3" w:rsidP="00F77A6F">
            <w:pPr>
              <w:jc w:val="center"/>
              <w:rPr>
                <w:sz w:val="28"/>
                <w:szCs w:val="28"/>
              </w:rPr>
            </w:pPr>
            <w:r w:rsidRPr="00FC4FB5">
              <w:rPr>
                <w:sz w:val="28"/>
                <w:szCs w:val="28"/>
              </w:rPr>
              <w:t>1.</w:t>
            </w:r>
          </w:p>
        </w:tc>
        <w:tc>
          <w:tcPr>
            <w:tcW w:w="1479" w:type="pct"/>
            <w:hideMark/>
          </w:tcPr>
          <w:p w:rsidR="003530C3" w:rsidRPr="00FC4FB5" w:rsidRDefault="003530C3" w:rsidP="00F77A6F">
            <w:pPr>
              <w:rPr>
                <w:sz w:val="28"/>
                <w:szCs w:val="28"/>
              </w:rPr>
            </w:pPr>
            <w:r w:rsidRPr="00FC4FB5">
              <w:rPr>
                <w:sz w:val="28"/>
                <w:szCs w:val="28"/>
              </w:rPr>
              <w:t>Pamatojums</w:t>
            </w:r>
          </w:p>
        </w:tc>
        <w:tc>
          <w:tcPr>
            <w:tcW w:w="3210" w:type="pct"/>
            <w:hideMark/>
          </w:tcPr>
          <w:p w:rsidR="00866081" w:rsidRPr="00FC4FB5" w:rsidRDefault="00866081" w:rsidP="00866081">
            <w:pPr>
              <w:pStyle w:val="NormalWeb"/>
              <w:spacing w:after="0"/>
              <w:jc w:val="both"/>
              <w:rPr>
                <w:sz w:val="28"/>
                <w:szCs w:val="28"/>
              </w:rPr>
            </w:pPr>
            <w:r w:rsidRPr="00FC4FB5">
              <w:rPr>
                <w:sz w:val="28"/>
                <w:szCs w:val="28"/>
              </w:rPr>
              <w:t>Direktīva</w:t>
            </w:r>
            <w:r w:rsidR="00DD6EFD" w:rsidRPr="00FC4FB5">
              <w:rPr>
                <w:sz w:val="28"/>
                <w:szCs w:val="28"/>
              </w:rPr>
              <w:t>s 2016/800</w:t>
            </w:r>
            <w:r w:rsidRPr="00FC4FB5">
              <w:rPr>
                <w:sz w:val="28"/>
                <w:szCs w:val="28"/>
              </w:rPr>
              <w:t xml:space="preserve"> 12.panta 5.punkta e) apakšpunkts.</w:t>
            </w:r>
          </w:p>
          <w:p w:rsidR="003530C3" w:rsidRPr="00FC4FB5" w:rsidRDefault="00BE1C82" w:rsidP="00F77A6F">
            <w:pPr>
              <w:jc w:val="both"/>
              <w:rPr>
                <w:sz w:val="28"/>
                <w:szCs w:val="28"/>
              </w:rPr>
            </w:pPr>
            <w:r w:rsidRPr="00FC4FB5">
              <w:rPr>
                <w:sz w:val="28"/>
                <w:szCs w:val="28"/>
              </w:rPr>
              <w:t xml:space="preserve">Ministru kabineta 2018.gada 9.janvāra </w:t>
            </w:r>
            <w:proofErr w:type="spellStart"/>
            <w:r w:rsidRPr="00FC4FB5">
              <w:rPr>
                <w:sz w:val="28"/>
                <w:szCs w:val="28"/>
              </w:rPr>
              <w:t>protokoll</w:t>
            </w:r>
            <w:r w:rsidR="00184889" w:rsidRPr="00FC4FB5">
              <w:rPr>
                <w:sz w:val="28"/>
                <w:szCs w:val="28"/>
              </w:rPr>
              <w:t>ēmuma</w:t>
            </w:r>
            <w:proofErr w:type="spellEnd"/>
            <w:r w:rsidR="00184889" w:rsidRPr="00FC4FB5">
              <w:rPr>
                <w:sz w:val="28"/>
                <w:szCs w:val="28"/>
              </w:rPr>
              <w:t xml:space="preserve"> Nr.2</w:t>
            </w:r>
            <w:r w:rsidRPr="00FC4FB5">
              <w:rPr>
                <w:sz w:val="28"/>
                <w:szCs w:val="28"/>
              </w:rPr>
              <w:t xml:space="preserve"> 17.</w:t>
            </w:r>
            <w:r w:rsidR="00184889" w:rsidRPr="00FC4FB5">
              <w:rPr>
                <w:sz w:val="28"/>
                <w:szCs w:val="28"/>
              </w:rPr>
              <w:t>§ 8.punkts</w:t>
            </w:r>
            <w:r w:rsidR="005C064D" w:rsidRPr="00FC4FB5">
              <w:rPr>
                <w:sz w:val="28"/>
                <w:szCs w:val="28"/>
              </w:rPr>
              <w:t>, kas</w:t>
            </w:r>
            <w:r w:rsidR="00184889" w:rsidRPr="00FC4FB5">
              <w:rPr>
                <w:sz w:val="28"/>
                <w:szCs w:val="28"/>
              </w:rPr>
              <w:t xml:space="preserve"> paredz uzdevumu Iek</w:t>
            </w:r>
            <w:r w:rsidR="005C064D" w:rsidRPr="00FC4FB5">
              <w:rPr>
                <w:sz w:val="28"/>
                <w:szCs w:val="28"/>
              </w:rPr>
              <w:t xml:space="preserve">šlietu ministrijai </w:t>
            </w:r>
            <w:r w:rsidR="00184889" w:rsidRPr="00FC4FB5">
              <w:rPr>
                <w:sz w:val="28"/>
                <w:szCs w:val="28"/>
              </w:rPr>
              <w:t>līdz 2018.gada 1.decembrim izstrādāt grozījumus Ministru kabineta 2006.gada 11.aprīļa noteikumos Nr.289 “Noteikumi par īslaicīgās aizturēšanas vietas kamerā glabāšanai atļauto priekšmetu sarakstu” (turpmāk –</w:t>
            </w:r>
            <w:r w:rsidR="00DA11B3" w:rsidRPr="00FC4FB5">
              <w:rPr>
                <w:sz w:val="28"/>
                <w:szCs w:val="28"/>
              </w:rPr>
              <w:t xml:space="preserve"> N</w:t>
            </w:r>
            <w:r w:rsidR="00184889" w:rsidRPr="00FC4FB5">
              <w:rPr>
                <w:sz w:val="28"/>
                <w:szCs w:val="28"/>
              </w:rPr>
              <w:t>oteikumi Nr.289), lai pilnībā pār</w:t>
            </w:r>
            <w:r w:rsidR="005C064D" w:rsidRPr="00FC4FB5">
              <w:rPr>
                <w:sz w:val="28"/>
                <w:szCs w:val="28"/>
              </w:rPr>
              <w:t xml:space="preserve">ņemtu </w:t>
            </w:r>
            <w:r w:rsidR="00A518AE" w:rsidRPr="00FC4FB5">
              <w:rPr>
                <w:sz w:val="28"/>
                <w:szCs w:val="28"/>
              </w:rPr>
              <w:t>Direkt</w:t>
            </w:r>
            <w:r w:rsidR="005C064D" w:rsidRPr="00FC4FB5">
              <w:rPr>
                <w:sz w:val="28"/>
                <w:szCs w:val="28"/>
              </w:rPr>
              <w:t>īvas 2016/800</w:t>
            </w:r>
            <w:r w:rsidR="00A518AE" w:rsidRPr="00FC4FB5">
              <w:rPr>
                <w:sz w:val="28"/>
                <w:szCs w:val="28"/>
              </w:rPr>
              <w:t xml:space="preserve"> </w:t>
            </w:r>
            <w:r w:rsidR="00745C3D" w:rsidRPr="00FC4FB5">
              <w:rPr>
                <w:sz w:val="28"/>
                <w:szCs w:val="28"/>
              </w:rPr>
              <w:t xml:space="preserve">12.panta 5.punkta e) apakšpunkta </w:t>
            </w:r>
            <w:r w:rsidR="00A518AE" w:rsidRPr="00FC4FB5">
              <w:rPr>
                <w:sz w:val="28"/>
                <w:szCs w:val="28"/>
              </w:rPr>
              <w:t>prasības</w:t>
            </w:r>
            <w:r w:rsidR="00DD1ECC" w:rsidRPr="00FC4FB5">
              <w:rPr>
                <w:sz w:val="28"/>
                <w:szCs w:val="28"/>
              </w:rPr>
              <w:t xml:space="preserve"> par reliģijas vai ticības brīvības ievērošanu, kad bērniem ir piemērots apcietinājums.</w:t>
            </w:r>
          </w:p>
          <w:p w:rsidR="00DD1ECC" w:rsidRPr="00FC4FB5" w:rsidRDefault="00DD1ECC" w:rsidP="00F77A6F">
            <w:pPr>
              <w:jc w:val="both"/>
              <w:rPr>
                <w:sz w:val="28"/>
                <w:szCs w:val="28"/>
              </w:rPr>
            </w:pPr>
            <w:r w:rsidRPr="00FC4FB5">
              <w:rPr>
                <w:sz w:val="28"/>
                <w:szCs w:val="28"/>
              </w:rPr>
              <w:t>Latvijas Republikas Satversmes tiesas</w:t>
            </w:r>
            <w:r w:rsidR="00921006" w:rsidRPr="00FC4FB5">
              <w:rPr>
                <w:sz w:val="28"/>
                <w:szCs w:val="28"/>
              </w:rPr>
              <w:t xml:space="preserve"> (turpmāk – Satversmes tiesa) 2011.gada </w:t>
            </w:r>
            <w:r w:rsidRPr="00FC4FB5">
              <w:rPr>
                <w:sz w:val="28"/>
                <w:szCs w:val="28"/>
              </w:rPr>
              <w:t>18.marta spriedums lietā Nr.2010-50-03</w:t>
            </w:r>
            <w:r w:rsidR="00BF6E4C" w:rsidRPr="00FC4FB5">
              <w:rPr>
                <w:sz w:val="28"/>
                <w:szCs w:val="28"/>
              </w:rPr>
              <w:t>.</w:t>
            </w:r>
          </w:p>
        </w:tc>
      </w:tr>
      <w:tr w:rsidR="003530C3" w:rsidRPr="00FC4FB5" w:rsidTr="00F77A6F">
        <w:tc>
          <w:tcPr>
            <w:tcW w:w="311" w:type="pct"/>
            <w:hideMark/>
          </w:tcPr>
          <w:p w:rsidR="003530C3" w:rsidRPr="00FC4FB5" w:rsidRDefault="003530C3" w:rsidP="00F77A6F">
            <w:pPr>
              <w:jc w:val="center"/>
              <w:rPr>
                <w:sz w:val="28"/>
                <w:szCs w:val="28"/>
              </w:rPr>
            </w:pPr>
            <w:r w:rsidRPr="00FC4FB5">
              <w:rPr>
                <w:sz w:val="28"/>
                <w:szCs w:val="28"/>
              </w:rPr>
              <w:lastRenderedPageBreak/>
              <w:t>2.</w:t>
            </w:r>
          </w:p>
        </w:tc>
        <w:tc>
          <w:tcPr>
            <w:tcW w:w="1479" w:type="pct"/>
            <w:hideMark/>
          </w:tcPr>
          <w:p w:rsidR="003530C3" w:rsidRPr="00FC4FB5" w:rsidRDefault="003530C3" w:rsidP="00F77A6F">
            <w:pPr>
              <w:rPr>
                <w:sz w:val="28"/>
                <w:szCs w:val="28"/>
              </w:rPr>
            </w:pPr>
            <w:r w:rsidRPr="00FC4FB5">
              <w:rPr>
                <w:sz w:val="28"/>
                <w:szCs w:val="28"/>
              </w:rPr>
              <w:t>Pašreizējā situācija un problēmas, kuru risināšanai tiesību akta projekts izstrādāts, tiesiskā regulējuma mērķis un būtība</w:t>
            </w:r>
          </w:p>
        </w:tc>
        <w:tc>
          <w:tcPr>
            <w:tcW w:w="3210" w:type="pct"/>
            <w:hideMark/>
          </w:tcPr>
          <w:p w:rsidR="00AF3168" w:rsidRPr="00FC4FB5" w:rsidRDefault="004A47E1" w:rsidP="00AF3168">
            <w:pPr>
              <w:pStyle w:val="NormalWeb"/>
              <w:spacing w:after="100" w:afterAutospacing="1"/>
              <w:contextualSpacing/>
              <w:jc w:val="both"/>
              <w:rPr>
                <w:sz w:val="28"/>
                <w:szCs w:val="28"/>
              </w:rPr>
            </w:pPr>
            <w:r w:rsidRPr="00FC4FB5">
              <w:rPr>
                <w:sz w:val="28"/>
                <w:szCs w:val="28"/>
              </w:rPr>
              <w:t xml:space="preserve">2016. gada 10. jūnijā spēkā stājās </w:t>
            </w:r>
            <w:r w:rsidRPr="00FC4FB5">
              <w:rPr>
                <w:bCs/>
                <w:sz w:val="28"/>
                <w:szCs w:val="28"/>
              </w:rPr>
              <w:t>Direktīva 2016/800</w:t>
            </w:r>
            <w:r w:rsidR="00AF3168" w:rsidRPr="00FC4FB5">
              <w:rPr>
                <w:sz w:val="28"/>
                <w:szCs w:val="28"/>
              </w:rPr>
              <w:t xml:space="preserve">. Direktīva 2016/800 attiecas uz bērniem, kuri ir aizdomās turētie vai apsūdzētie kriminālprocesā, un uz bērniem, kuri ir pieprasītās personas. Direktīva 2016/800 ir jāpiemēro visos gadījumos, ja bērnam, kurš ir aizdomās turētais vai apsūdzētais, tiek atņemta brīvība. </w:t>
            </w:r>
            <w:r w:rsidR="00AF3168" w:rsidRPr="00FC4FB5">
              <w:rPr>
                <w:bCs/>
                <w:sz w:val="28"/>
                <w:szCs w:val="28"/>
              </w:rPr>
              <w:t xml:space="preserve">Līdz ar to Latvijā Direktīvas </w:t>
            </w:r>
            <w:r w:rsidR="00DA11B3" w:rsidRPr="00FC4FB5">
              <w:rPr>
                <w:bCs/>
                <w:sz w:val="28"/>
                <w:szCs w:val="28"/>
              </w:rPr>
              <w:t xml:space="preserve">2016/800 </w:t>
            </w:r>
            <w:r w:rsidR="00AF3168" w:rsidRPr="00FC4FB5">
              <w:rPr>
                <w:bCs/>
                <w:sz w:val="28"/>
                <w:szCs w:val="28"/>
              </w:rPr>
              <w:t>prasības ir jāievēro gan attiecībā uz aizturētajām, gan apcietinātajām personām, jo tiek ierobežota personu brīvība.</w:t>
            </w:r>
          </w:p>
          <w:p w:rsidR="00DA11B3" w:rsidRPr="00FC4FB5" w:rsidRDefault="00AF3168" w:rsidP="00DA11B3">
            <w:pPr>
              <w:pStyle w:val="NormalWeb"/>
              <w:spacing w:after="100" w:afterAutospacing="1"/>
              <w:contextualSpacing/>
              <w:jc w:val="both"/>
              <w:rPr>
                <w:sz w:val="28"/>
                <w:szCs w:val="28"/>
              </w:rPr>
            </w:pPr>
            <w:r w:rsidRPr="00FC4FB5">
              <w:rPr>
                <w:sz w:val="28"/>
                <w:szCs w:val="28"/>
              </w:rPr>
              <w:t>Direktīvas 2016/800 mērķis ir noteikt procesuālās garantijas, lai nodrošinātu, ka bērni, kuri ir aizdomās turētās vai apsūdzētās personas kriminālprocesā, spēj izprast šo procesu un tam sekot, ļautu šiem bērniem īstenot savas tiesības uz taisnīgu tiesu, novērstu bērnu atkārtotus likumpārkāpumus un sekmētu bērnu sociālo iekļaušanu. Tāpēc bērniem, kuri ir aizdomās turētie vai apsūdzētie kriminālprocesā, būtu jāpievērš īpaša vērība, lai saglabātu viņu attīstības potenciālu un spēju iekļauties atpakaļ sabiedrībā.</w:t>
            </w:r>
          </w:p>
          <w:p w:rsidR="00043A6B" w:rsidRPr="00FC4FB5" w:rsidRDefault="00DA11B3" w:rsidP="00043A6B">
            <w:pPr>
              <w:pStyle w:val="NormalWeb"/>
              <w:spacing w:after="100" w:afterAutospacing="1"/>
              <w:contextualSpacing/>
              <w:jc w:val="both"/>
              <w:rPr>
                <w:b/>
                <w:sz w:val="28"/>
                <w:szCs w:val="28"/>
              </w:rPr>
            </w:pPr>
            <w:r w:rsidRPr="00FC4FB5">
              <w:rPr>
                <w:sz w:val="28"/>
                <w:szCs w:val="28"/>
              </w:rPr>
              <w:t xml:space="preserve">Izvērtējot Latvijas normatīvo aktu atbilstību Direktīvas 2016/800 normām, tika secināts, ka </w:t>
            </w:r>
            <w:r w:rsidR="007B75FA" w:rsidRPr="00FC4FB5">
              <w:rPr>
                <w:sz w:val="28"/>
                <w:szCs w:val="28"/>
              </w:rPr>
              <w:t>ir nepieciešamas izmaiņas Noteikumos Nr.289, lai</w:t>
            </w:r>
            <w:r w:rsidR="007B75FA" w:rsidRPr="00FC4FB5">
              <w:rPr>
                <w:b/>
                <w:sz w:val="28"/>
                <w:szCs w:val="28"/>
              </w:rPr>
              <w:t xml:space="preserve"> </w:t>
            </w:r>
            <w:r w:rsidR="007B75FA" w:rsidRPr="00FC4FB5">
              <w:rPr>
                <w:sz w:val="28"/>
                <w:szCs w:val="28"/>
              </w:rPr>
              <w:t>pilnībā pārņemtu Direktīvas 2016/800 12.panta 5.punkta e) apakšpunktā noteikto pienākumu Eiropas Savienības dalībvalstīm veikt atbilstīgos pasākumus</w:t>
            </w:r>
            <w:r w:rsidR="008C6B6F" w:rsidRPr="00FC4FB5">
              <w:rPr>
                <w:sz w:val="28"/>
                <w:szCs w:val="28"/>
              </w:rPr>
              <w:t xml:space="preserve">, lai nodrošinātu bērnu reliģijas vai </w:t>
            </w:r>
            <w:r w:rsidR="008B2B89" w:rsidRPr="00FC4FB5">
              <w:rPr>
                <w:sz w:val="28"/>
                <w:szCs w:val="28"/>
              </w:rPr>
              <w:t>ticības brīvības ievērošanu, kad</w:t>
            </w:r>
            <w:r w:rsidR="008C6B6F" w:rsidRPr="00FC4FB5">
              <w:rPr>
                <w:sz w:val="28"/>
                <w:szCs w:val="28"/>
              </w:rPr>
              <w:t xml:space="preserve"> bērnam ir piemērots apcietinājums.</w:t>
            </w:r>
          </w:p>
          <w:p w:rsidR="007B75FA" w:rsidRPr="00FC4FB5" w:rsidRDefault="00043A6B" w:rsidP="008C6B6F">
            <w:pPr>
              <w:pStyle w:val="NormalWeb"/>
              <w:spacing w:after="100" w:afterAutospacing="1"/>
              <w:contextualSpacing/>
              <w:jc w:val="both"/>
              <w:rPr>
                <w:sz w:val="28"/>
                <w:szCs w:val="28"/>
              </w:rPr>
            </w:pPr>
            <w:r w:rsidRPr="00FC4FB5">
              <w:rPr>
                <w:sz w:val="28"/>
                <w:szCs w:val="28"/>
              </w:rPr>
              <w:t xml:space="preserve">Noteikumi Nr.289 noteic īslaicīgās aizturēšanas vietas kamerā glabāšanai atļauto priekšmetu sarakstu. Noteikumu Nr.289 2.punktā, kurā ir noteikts to priekšmetu saraksts, kurus ir atļauts glabāt īslaicīgās aizturēšanas vietas kamerā, nav minēti reliģiskie priekšmeti. Tādējādi, ievērojot minēto, Noteikumi Nr.298 ierobežo </w:t>
            </w:r>
            <w:r w:rsidR="009E799C" w:rsidRPr="00FC4FB5">
              <w:rPr>
                <w:sz w:val="28"/>
                <w:szCs w:val="28"/>
              </w:rPr>
              <w:t xml:space="preserve">bērnu </w:t>
            </w:r>
            <w:r w:rsidRPr="00FC4FB5">
              <w:rPr>
                <w:sz w:val="28"/>
                <w:szCs w:val="28"/>
              </w:rPr>
              <w:t>reliģijas vai ticības brīv</w:t>
            </w:r>
            <w:r w:rsidR="007B75FA" w:rsidRPr="00FC4FB5">
              <w:rPr>
                <w:sz w:val="28"/>
                <w:szCs w:val="28"/>
              </w:rPr>
              <w:t>ību</w:t>
            </w:r>
            <w:r w:rsidR="008C6B6F" w:rsidRPr="00FC4FB5">
              <w:rPr>
                <w:sz w:val="28"/>
                <w:szCs w:val="28"/>
              </w:rPr>
              <w:t>.</w:t>
            </w:r>
          </w:p>
          <w:p w:rsidR="00043A6B" w:rsidRPr="00FC4FB5" w:rsidRDefault="00043A6B" w:rsidP="00DA11B3">
            <w:pPr>
              <w:pStyle w:val="NormalWeb"/>
              <w:spacing w:after="100" w:afterAutospacing="1"/>
              <w:contextualSpacing/>
              <w:jc w:val="both"/>
              <w:rPr>
                <w:sz w:val="28"/>
                <w:szCs w:val="28"/>
              </w:rPr>
            </w:pPr>
            <w:r w:rsidRPr="00FC4FB5">
              <w:rPr>
                <w:sz w:val="28"/>
                <w:szCs w:val="28"/>
              </w:rPr>
              <w:t>Taču tiesības uz reliģijas un ticības brīvību</w:t>
            </w:r>
            <w:r w:rsidR="003100E5" w:rsidRPr="00FC4FB5">
              <w:rPr>
                <w:sz w:val="28"/>
                <w:szCs w:val="28"/>
              </w:rPr>
              <w:t xml:space="preserve"> būtu jārespektē ne tikai attiecīb</w:t>
            </w:r>
            <w:r w:rsidR="008C6B6F" w:rsidRPr="00FC4FB5">
              <w:rPr>
                <w:sz w:val="28"/>
                <w:szCs w:val="28"/>
              </w:rPr>
              <w:t>ā uz bērniem</w:t>
            </w:r>
            <w:r w:rsidR="009E799C" w:rsidRPr="00FC4FB5">
              <w:rPr>
                <w:sz w:val="28"/>
                <w:szCs w:val="28"/>
              </w:rPr>
              <w:t xml:space="preserve">, bet </w:t>
            </w:r>
            <w:r w:rsidR="003100E5" w:rsidRPr="00FC4FB5">
              <w:rPr>
                <w:sz w:val="28"/>
                <w:szCs w:val="28"/>
              </w:rPr>
              <w:t xml:space="preserve">arī uz visām personām, kuras </w:t>
            </w:r>
            <w:r w:rsidR="009E799C" w:rsidRPr="00FC4FB5">
              <w:rPr>
                <w:sz w:val="28"/>
                <w:szCs w:val="28"/>
              </w:rPr>
              <w:t>saskaņā ar Aizturēto pe</w:t>
            </w:r>
            <w:r w:rsidR="008B2B89" w:rsidRPr="00FC4FB5">
              <w:rPr>
                <w:sz w:val="28"/>
                <w:szCs w:val="28"/>
              </w:rPr>
              <w:t xml:space="preserve">rsonu turēšanas kārtības likuma (turpmāk – Likums) </w:t>
            </w:r>
            <w:r w:rsidR="009E799C" w:rsidRPr="00FC4FB5">
              <w:rPr>
                <w:sz w:val="28"/>
                <w:szCs w:val="28"/>
              </w:rPr>
              <w:t>1.pantu</w:t>
            </w:r>
            <w:r w:rsidR="008B2B89" w:rsidRPr="00FC4FB5">
              <w:rPr>
                <w:sz w:val="28"/>
                <w:szCs w:val="28"/>
              </w:rPr>
              <w:t xml:space="preserve"> ir</w:t>
            </w:r>
            <w:r w:rsidR="009E799C" w:rsidRPr="00FC4FB5">
              <w:rPr>
                <w:sz w:val="28"/>
                <w:szCs w:val="28"/>
              </w:rPr>
              <w:t xml:space="preserve"> </w:t>
            </w:r>
            <w:proofErr w:type="gramStart"/>
            <w:r w:rsidR="009E799C" w:rsidRPr="00FC4FB5">
              <w:rPr>
                <w:sz w:val="28"/>
                <w:szCs w:val="28"/>
              </w:rPr>
              <w:t>ievietotas</w:t>
            </w:r>
            <w:r w:rsidR="008B2B89" w:rsidRPr="00FC4FB5">
              <w:rPr>
                <w:sz w:val="28"/>
                <w:szCs w:val="28"/>
              </w:rPr>
              <w:t xml:space="preserve"> un turētas</w:t>
            </w:r>
            <w:r w:rsidR="009E799C" w:rsidRPr="00FC4FB5">
              <w:rPr>
                <w:sz w:val="28"/>
                <w:szCs w:val="28"/>
              </w:rPr>
              <w:t xml:space="preserve"> īslaicīgās aizturēšana</w:t>
            </w:r>
            <w:proofErr w:type="gramEnd"/>
            <w:r w:rsidR="009E799C" w:rsidRPr="00FC4FB5">
              <w:rPr>
                <w:sz w:val="28"/>
                <w:szCs w:val="28"/>
              </w:rPr>
              <w:t xml:space="preserve"> vietā. </w:t>
            </w:r>
          </w:p>
          <w:p w:rsidR="003D53A2" w:rsidRPr="00FC4FB5" w:rsidRDefault="006C12FD" w:rsidP="003D53A2">
            <w:pPr>
              <w:pStyle w:val="NormalWeb"/>
              <w:spacing w:after="100" w:afterAutospacing="1"/>
              <w:contextualSpacing/>
              <w:jc w:val="both"/>
              <w:rPr>
                <w:sz w:val="28"/>
                <w:szCs w:val="28"/>
              </w:rPr>
            </w:pPr>
            <w:r w:rsidRPr="00FC4FB5">
              <w:rPr>
                <w:sz w:val="28"/>
                <w:szCs w:val="28"/>
              </w:rPr>
              <w:lastRenderedPageBreak/>
              <w:t>Latvijas Republikas Satversme</w:t>
            </w:r>
            <w:r w:rsidR="003D53A2" w:rsidRPr="00FC4FB5">
              <w:rPr>
                <w:sz w:val="28"/>
                <w:szCs w:val="28"/>
              </w:rPr>
              <w:t>s</w:t>
            </w:r>
            <w:r w:rsidR="00E06846" w:rsidRPr="00FC4FB5">
              <w:rPr>
                <w:sz w:val="28"/>
                <w:szCs w:val="28"/>
              </w:rPr>
              <w:t xml:space="preserve"> (turpmāk</w:t>
            </w:r>
            <w:r w:rsidR="005654F9" w:rsidRPr="00FC4FB5">
              <w:rPr>
                <w:sz w:val="28"/>
                <w:szCs w:val="28"/>
              </w:rPr>
              <w:t xml:space="preserve"> -</w:t>
            </w:r>
            <w:r w:rsidR="00E06846" w:rsidRPr="00FC4FB5">
              <w:rPr>
                <w:sz w:val="28"/>
                <w:szCs w:val="28"/>
              </w:rPr>
              <w:t xml:space="preserve"> Satversme)</w:t>
            </w:r>
            <w:r w:rsidR="003D53A2" w:rsidRPr="00FC4FB5">
              <w:rPr>
                <w:sz w:val="28"/>
                <w:szCs w:val="28"/>
              </w:rPr>
              <w:t xml:space="preserve"> 99.pants</w:t>
            </w:r>
            <w:r w:rsidRPr="00FC4FB5">
              <w:rPr>
                <w:sz w:val="28"/>
                <w:szCs w:val="28"/>
              </w:rPr>
              <w:t xml:space="preserve"> noteic, ka ikvienam ir tiesības uz domas, apziņas un reliģiskās pārliecības brīvību</w:t>
            </w:r>
            <w:r w:rsidR="003D53A2" w:rsidRPr="00FC4FB5">
              <w:rPr>
                <w:sz w:val="28"/>
                <w:szCs w:val="28"/>
              </w:rPr>
              <w:t>.</w:t>
            </w:r>
          </w:p>
          <w:p w:rsidR="00C80DC6" w:rsidRPr="00FC4FB5" w:rsidRDefault="003D53A2" w:rsidP="00C80DC6">
            <w:pPr>
              <w:pStyle w:val="NormalWeb"/>
              <w:spacing w:after="100" w:afterAutospacing="1"/>
              <w:contextualSpacing/>
              <w:jc w:val="both"/>
              <w:rPr>
                <w:sz w:val="28"/>
                <w:szCs w:val="28"/>
              </w:rPr>
            </w:pPr>
            <w:r w:rsidRPr="00FC4FB5">
              <w:rPr>
                <w:sz w:val="28"/>
                <w:szCs w:val="28"/>
              </w:rPr>
              <w:t>Eiropas Cilvēktiesību un pamatbrīvību aizsardzības konvencijas (turpmāk – Konvencijas) 9. pants noteic, ka ikvienam cilvēkam ir tiesības uz domu, apziņas un reliģijas brīvību; šīs tiesības ietver arī brīvību mainīt savu reliģisko pārliecību vai ticību un nodoties savai reliģijai vai ticībai, kā vienatnē tā kopā ar citiem, piekopjot kultu, izpildot reliģiskas vai rituālas ceremonijas un sludinot mācību.</w:t>
            </w:r>
          </w:p>
          <w:p w:rsidR="00C3320C" w:rsidRPr="00FC4FB5" w:rsidRDefault="00C80DC6" w:rsidP="00C3320C">
            <w:pPr>
              <w:pStyle w:val="NormalWeb"/>
              <w:spacing w:after="100" w:afterAutospacing="1"/>
              <w:contextualSpacing/>
              <w:jc w:val="both"/>
              <w:rPr>
                <w:sz w:val="28"/>
                <w:szCs w:val="28"/>
              </w:rPr>
            </w:pPr>
            <w:r w:rsidRPr="00FC4FB5">
              <w:rPr>
                <w:sz w:val="28"/>
                <w:szCs w:val="28"/>
              </w:rPr>
              <w:t xml:space="preserve">Domas, apziņas un reliģiskās pārliecības brīvība ir viena no nozīmīgākajām vērtībām demokrātiskā sabiedrībā. Šī brīvība aptver dažāda veida reliģiskus, nereliģiskus un ateistiskus uzskatus, kā arī tiesības pieņemt reliģiju vai nepiederēt ne pie vienas reliģijas. Reliģiskā pārliecība šā panta izpratnē ir tulkojama plaši. Turklāt </w:t>
            </w:r>
            <w:proofErr w:type="gramStart"/>
            <w:r w:rsidRPr="00FC4FB5">
              <w:rPr>
                <w:sz w:val="28"/>
                <w:szCs w:val="28"/>
              </w:rPr>
              <w:t>aizsargāta tiek</w:t>
            </w:r>
            <w:proofErr w:type="gramEnd"/>
            <w:r w:rsidRPr="00FC4FB5">
              <w:rPr>
                <w:sz w:val="28"/>
                <w:szCs w:val="28"/>
              </w:rPr>
              <w:t xml:space="preserve"> ne vien reliģiskās pārliecības esamība, bet arī tās paušana.</w:t>
            </w:r>
          </w:p>
          <w:p w:rsidR="008B2B89" w:rsidRPr="00FC4FB5" w:rsidRDefault="00C3320C" w:rsidP="00C3320C">
            <w:pPr>
              <w:pStyle w:val="NormalWeb"/>
              <w:spacing w:after="100" w:afterAutospacing="1"/>
              <w:contextualSpacing/>
              <w:jc w:val="both"/>
              <w:rPr>
                <w:sz w:val="28"/>
                <w:szCs w:val="28"/>
              </w:rPr>
            </w:pPr>
            <w:r w:rsidRPr="00FC4FB5">
              <w:rPr>
                <w:sz w:val="28"/>
                <w:szCs w:val="28"/>
              </w:rPr>
              <w:t>ANO Cilvēktiesību komiteja Vispārējā komentārā Nr. 22 par tiesībām uz domu, apziņas un reliģijas brīvību norādījusi, ka reliģiskās pārliecības paušana ietver arī reliģisko priekšmetu lietošanu.</w:t>
            </w:r>
          </w:p>
          <w:p w:rsidR="004474C3" w:rsidRPr="00FC4FB5" w:rsidRDefault="000372E7" w:rsidP="004474C3">
            <w:pPr>
              <w:pStyle w:val="NormalWeb"/>
              <w:spacing w:after="100" w:afterAutospacing="1"/>
              <w:contextualSpacing/>
              <w:jc w:val="both"/>
              <w:rPr>
                <w:sz w:val="28"/>
                <w:szCs w:val="28"/>
              </w:rPr>
            </w:pPr>
            <w:r w:rsidRPr="00FC4FB5">
              <w:rPr>
                <w:sz w:val="28"/>
                <w:szCs w:val="28"/>
              </w:rPr>
              <w:t>Cita starpā</w:t>
            </w:r>
            <w:r w:rsidR="00226917" w:rsidRPr="00FC4FB5">
              <w:rPr>
                <w:sz w:val="28"/>
                <w:szCs w:val="28"/>
              </w:rPr>
              <w:t xml:space="preserve"> jānorāda, ka </w:t>
            </w:r>
            <w:r w:rsidR="00D975F8" w:rsidRPr="00FC4FB5">
              <w:rPr>
                <w:sz w:val="28"/>
                <w:szCs w:val="28"/>
              </w:rPr>
              <w:t>2011.gad</w:t>
            </w:r>
            <w:r w:rsidR="00226917" w:rsidRPr="00FC4FB5">
              <w:rPr>
                <w:sz w:val="28"/>
                <w:szCs w:val="28"/>
              </w:rPr>
              <w:t>a 18.martā</w:t>
            </w:r>
            <w:r w:rsidR="00D975F8" w:rsidRPr="00FC4FB5">
              <w:rPr>
                <w:sz w:val="28"/>
                <w:szCs w:val="28"/>
              </w:rPr>
              <w:t xml:space="preserve"> </w:t>
            </w:r>
            <w:r w:rsidR="00226917" w:rsidRPr="00FC4FB5">
              <w:rPr>
                <w:sz w:val="28"/>
                <w:szCs w:val="28"/>
              </w:rPr>
              <w:t>S</w:t>
            </w:r>
            <w:r w:rsidR="00D975F8" w:rsidRPr="00FC4FB5">
              <w:rPr>
                <w:sz w:val="28"/>
                <w:szCs w:val="28"/>
              </w:rPr>
              <w:t xml:space="preserve">atversmes tiesa </w:t>
            </w:r>
            <w:r w:rsidR="00226917" w:rsidRPr="00FC4FB5">
              <w:rPr>
                <w:sz w:val="28"/>
                <w:szCs w:val="28"/>
              </w:rPr>
              <w:t xml:space="preserve">ir </w:t>
            </w:r>
            <w:r w:rsidR="00D975F8" w:rsidRPr="00FC4FB5">
              <w:rPr>
                <w:sz w:val="28"/>
                <w:szCs w:val="28"/>
              </w:rPr>
              <w:t>pieņ</w:t>
            </w:r>
            <w:r w:rsidR="00226917" w:rsidRPr="00FC4FB5">
              <w:rPr>
                <w:sz w:val="28"/>
                <w:szCs w:val="28"/>
              </w:rPr>
              <w:t>ēmusi</w:t>
            </w:r>
            <w:r w:rsidR="00D975F8" w:rsidRPr="00FC4FB5">
              <w:rPr>
                <w:sz w:val="28"/>
                <w:szCs w:val="28"/>
              </w:rPr>
              <w:t xml:space="preserve"> spriedumu</w:t>
            </w:r>
            <w:r w:rsidR="00226917" w:rsidRPr="00FC4FB5">
              <w:rPr>
                <w:sz w:val="28"/>
                <w:szCs w:val="28"/>
              </w:rPr>
              <w:t xml:space="preserve"> lietā Nr.2010-50-03 par Ministru kabineta 2006.gada 30.maija noteikumu Nr.423 “Brīvības atņemšanas iestādes iekšējās kārt</w:t>
            </w:r>
            <w:r w:rsidR="008D3EC2" w:rsidRPr="00FC4FB5">
              <w:rPr>
                <w:sz w:val="28"/>
                <w:szCs w:val="28"/>
              </w:rPr>
              <w:t xml:space="preserve">ības </w:t>
            </w:r>
            <w:r w:rsidR="00226917" w:rsidRPr="00FC4FB5">
              <w:rPr>
                <w:sz w:val="28"/>
                <w:szCs w:val="28"/>
              </w:rPr>
              <w:t>noteikumi” (turpmāk – Noteikumi Nr.423) 1.pielikuma, ciktāl tas neparedz</w:t>
            </w:r>
            <w:r w:rsidR="008D3EC2" w:rsidRPr="00FC4FB5">
              <w:rPr>
                <w:sz w:val="28"/>
                <w:szCs w:val="28"/>
              </w:rPr>
              <w:t xml:space="preserve"> reliģisko priekšmetu glabāšanu, atbilst</w:t>
            </w:r>
            <w:r w:rsidR="00783693" w:rsidRPr="00FC4FB5">
              <w:rPr>
                <w:sz w:val="28"/>
                <w:szCs w:val="28"/>
              </w:rPr>
              <w:t>ību</w:t>
            </w:r>
            <w:r w:rsidR="008D3EC2" w:rsidRPr="00FC4FB5">
              <w:rPr>
                <w:sz w:val="28"/>
                <w:szCs w:val="28"/>
              </w:rPr>
              <w:t xml:space="preserve"> Satversmes 99.pantam.</w:t>
            </w:r>
            <w:r w:rsidR="00783693" w:rsidRPr="00FC4FB5">
              <w:rPr>
                <w:sz w:val="28"/>
                <w:szCs w:val="28"/>
              </w:rPr>
              <w:t xml:space="preserve"> </w:t>
            </w:r>
          </w:p>
          <w:p w:rsidR="004474C3" w:rsidRPr="00FC4FB5" w:rsidRDefault="004474C3" w:rsidP="004474C3">
            <w:pPr>
              <w:pStyle w:val="NormalWeb"/>
              <w:spacing w:after="100" w:afterAutospacing="1"/>
              <w:contextualSpacing/>
              <w:jc w:val="both"/>
              <w:rPr>
                <w:sz w:val="28"/>
                <w:szCs w:val="28"/>
              </w:rPr>
            </w:pPr>
            <w:r w:rsidRPr="00FC4FB5">
              <w:rPr>
                <w:sz w:val="28"/>
                <w:szCs w:val="28"/>
              </w:rPr>
              <w:t>Noteikumos Nr.423 nebija noteikta kārtība, kādā brīvības atņemšanas iestādes administrācija var lemt par atļauju vai aizliegumu notiesātajiem glabāt reliģiskos priekšmetus.</w:t>
            </w:r>
            <w:r w:rsidRPr="00FC4FB5">
              <w:rPr>
                <w:i/>
                <w:sz w:val="28"/>
                <w:szCs w:val="28"/>
              </w:rPr>
              <w:t xml:space="preserve"> </w:t>
            </w:r>
            <w:r w:rsidRPr="00FC4FB5">
              <w:rPr>
                <w:sz w:val="28"/>
                <w:szCs w:val="28"/>
              </w:rPr>
              <w:t>Noteikumu Nr.423 1.pielikumā, kurā ir noteikts to priekšmetu un pārtikas produktu saraksts, kurus notiesātajam ir atļauts glabāt, nebija minēti reliģiskie priekšmeti. Reliģiskie priekšmeti nebija arī minēti Noteikumu Nr.423 11.pielikumā, proti, to priekšmetu sarakstā, kurus atļauts nodot sūtījumos un pienesumos.</w:t>
            </w:r>
          </w:p>
          <w:p w:rsidR="004474C3" w:rsidRPr="00FC4FB5" w:rsidRDefault="004474C3" w:rsidP="004474C3">
            <w:pPr>
              <w:pStyle w:val="NormalWeb"/>
              <w:spacing w:after="100" w:afterAutospacing="1"/>
              <w:contextualSpacing/>
              <w:jc w:val="both"/>
              <w:rPr>
                <w:sz w:val="28"/>
                <w:szCs w:val="28"/>
              </w:rPr>
            </w:pPr>
            <w:r w:rsidRPr="00FC4FB5">
              <w:rPr>
                <w:sz w:val="28"/>
                <w:szCs w:val="28"/>
              </w:rPr>
              <w:t>Satversmes tiesa minētajā spriedumā norādīja, ka apstrīdētā norma ierobežo reliģiskās pārliecības brīvību, un atzina apstrīdēto normu par neatbilstošu Satversmes 99.pantam. Satversmes tiesa norādīja, ka Ministru kabinetam ir pienākums noteikt vienotus principus, lai ieslodzījuma vietas administrācijai būtu iespēja lemt par atļauju vai aizliegumu notiesātajiem glabāt reliģiskos priekšmetus, ņemot vērā konkrētā gadījuma individuālos apstākļus.</w:t>
            </w:r>
          </w:p>
          <w:p w:rsidR="005C722A" w:rsidRPr="00FC4FB5" w:rsidRDefault="005C722A" w:rsidP="00C80DC6">
            <w:pPr>
              <w:pStyle w:val="NormalWeb"/>
              <w:spacing w:after="100" w:afterAutospacing="1"/>
              <w:contextualSpacing/>
              <w:jc w:val="both"/>
              <w:rPr>
                <w:sz w:val="28"/>
                <w:szCs w:val="28"/>
              </w:rPr>
            </w:pPr>
            <w:r w:rsidRPr="00FC4FB5">
              <w:rPr>
                <w:sz w:val="28"/>
                <w:szCs w:val="28"/>
              </w:rPr>
              <w:t>Lai nodrošinātu min</w:t>
            </w:r>
            <w:r w:rsidR="004474C3" w:rsidRPr="00FC4FB5">
              <w:rPr>
                <w:sz w:val="28"/>
                <w:szCs w:val="28"/>
              </w:rPr>
              <w:t>ētā Satversmes</w:t>
            </w:r>
            <w:r w:rsidR="00F95F60" w:rsidRPr="00FC4FB5">
              <w:rPr>
                <w:sz w:val="28"/>
                <w:szCs w:val="28"/>
              </w:rPr>
              <w:t xml:space="preserve"> tiesas</w:t>
            </w:r>
            <w:r w:rsidRPr="00FC4FB5">
              <w:rPr>
                <w:sz w:val="28"/>
                <w:szCs w:val="28"/>
              </w:rPr>
              <w:t xml:space="preserve"> sprieduma </w:t>
            </w:r>
            <w:r w:rsidR="004474C3" w:rsidRPr="00FC4FB5">
              <w:rPr>
                <w:sz w:val="28"/>
                <w:szCs w:val="28"/>
              </w:rPr>
              <w:t xml:space="preserve">izpildi, </w:t>
            </w:r>
            <w:r w:rsidRPr="00FC4FB5">
              <w:rPr>
                <w:sz w:val="28"/>
                <w:szCs w:val="28"/>
              </w:rPr>
              <w:t>2011.gada 1.novembrī tika pieņemti Ministru kabineta noteikumi Nr.847 “Grozījumi Ministru kabineta 2006.gada 30.maija noteikumos Nr.423 “Brīvības atņemšanas iestādes iekšējās kārtības noteikumi””, kuri paredz, ka notiesātajiem reliģisko priekšmetu glabāšanai brīvība atņemšanas iestādē ir nepieciešams saņemt brīvības atņemšanas iestādes priekšnieka atļauju</w:t>
            </w:r>
            <w:r w:rsidR="000B15DA">
              <w:rPr>
                <w:sz w:val="28"/>
                <w:szCs w:val="28"/>
              </w:rPr>
              <w:t xml:space="preserve">. </w:t>
            </w:r>
            <w:r w:rsidRPr="00FC4FB5">
              <w:rPr>
                <w:sz w:val="28"/>
                <w:szCs w:val="28"/>
              </w:rPr>
              <w:t>Tu</w:t>
            </w:r>
            <w:r w:rsidR="00F95F60" w:rsidRPr="00FC4FB5">
              <w:rPr>
                <w:sz w:val="28"/>
                <w:szCs w:val="28"/>
              </w:rPr>
              <w:t>rklāt tika precizēts Noteikumu N</w:t>
            </w:r>
            <w:r w:rsidRPr="00FC4FB5">
              <w:rPr>
                <w:sz w:val="28"/>
                <w:szCs w:val="28"/>
              </w:rPr>
              <w:t>r.423. 1. un 11.pielikums, papildinot to priekšmetu sarakstu, kurus notiesātajiem ir atļauts glabāt un saņemt sūtījumos un pienesumos, ar reliģiskajiem priekšmetiem.</w:t>
            </w:r>
          </w:p>
          <w:p w:rsidR="00C61C0E" w:rsidRPr="00FC4FB5" w:rsidRDefault="005C72DC" w:rsidP="002F17F7">
            <w:pPr>
              <w:pStyle w:val="NormalWeb"/>
              <w:spacing w:after="100" w:afterAutospacing="1"/>
              <w:contextualSpacing/>
              <w:jc w:val="both"/>
              <w:rPr>
                <w:sz w:val="28"/>
                <w:szCs w:val="28"/>
              </w:rPr>
            </w:pPr>
            <w:r w:rsidRPr="00FC4FB5">
              <w:rPr>
                <w:sz w:val="28"/>
                <w:szCs w:val="28"/>
              </w:rPr>
              <w:t xml:space="preserve">Ievērojot minēto, </w:t>
            </w:r>
            <w:r w:rsidR="002F17F7" w:rsidRPr="00FC4FB5">
              <w:rPr>
                <w:sz w:val="28"/>
                <w:szCs w:val="28"/>
              </w:rPr>
              <w:t>nepieciešams veikt grozījumus not</w:t>
            </w:r>
            <w:r w:rsidR="00466BE7" w:rsidRPr="00FC4FB5">
              <w:rPr>
                <w:sz w:val="28"/>
                <w:szCs w:val="28"/>
              </w:rPr>
              <w:t xml:space="preserve">eikumos Nr.289 lai noteiktu, ka </w:t>
            </w:r>
            <w:r w:rsidR="002F17F7" w:rsidRPr="00FC4FB5">
              <w:rPr>
                <w:sz w:val="28"/>
                <w:szCs w:val="28"/>
              </w:rPr>
              <w:t xml:space="preserve">īslaicīgās aizturēšanas vietas kamerā </w:t>
            </w:r>
            <w:r w:rsidR="00466BE7" w:rsidRPr="00FC4FB5">
              <w:rPr>
                <w:sz w:val="28"/>
                <w:szCs w:val="28"/>
              </w:rPr>
              <w:t xml:space="preserve">atļauts </w:t>
            </w:r>
            <w:r w:rsidR="002F17F7" w:rsidRPr="00FC4FB5">
              <w:rPr>
                <w:sz w:val="28"/>
                <w:szCs w:val="28"/>
              </w:rPr>
              <w:t xml:space="preserve">glabāt reliģiskos priekšmetus visām īslaicīgās aizturēšanas vietā ievietotajām </w:t>
            </w:r>
            <w:r w:rsidR="00F95F60" w:rsidRPr="00FC4FB5">
              <w:rPr>
                <w:sz w:val="28"/>
                <w:szCs w:val="28"/>
              </w:rPr>
              <w:t xml:space="preserve">un turētajām </w:t>
            </w:r>
            <w:r w:rsidR="002F17F7" w:rsidRPr="00FC4FB5">
              <w:rPr>
                <w:sz w:val="28"/>
                <w:szCs w:val="28"/>
              </w:rPr>
              <w:t>personām</w:t>
            </w:r>
            <w:r w:rsidR="00743DD9" w:rsidRPr="00FC4FB5">
              <w:rPr>
                <w:sz w:val="28"/>
                <w:szCs w:val="28"/>
              </w:rPr>
              <w:t>, tādējādi nodrošinot Satversmē, kā arī Eiropas un starptautiskajos cilvēktiesību dokumentos nostiprinātās tiesības uz reliģiskās  pārliecības brīvību.</w:t>
            </w:r>
          </w:p>
          <w:p w:rsidR="008A65C6" w:rsidRPr="00FC4FB5" w:rsidRDefault="008A65C6" w:rsidP="002F17F7">
            <w:pPr>
              <w:pStyle w:val="NormalWeb"/>
              <w:spacing w:after="100" w:afterAutospacing="1"/>
              <w:contextualSpacing/>
              <w:jc w:val="both"/>
              <w:rPr>
                <w:sz w:val="28"/>
                <w:szCs w:val="28"/>
              </w:rPr>
            </w:pPr>
            <w:r w:rsidRPr="00FC4FB5">
              <w:rPr>
                <w:sz w:val="28"/>
                <w:szCs w:val="28"/>
              </w:rPr>
              <w:t>Vienlaikus jānor</w:t>
            </w:r>
            <w:r w:rsidR="0063369C" w:rsidRPr="00FC4FB5">
              <w:rPr>
                <w:sz w:val="28"/>
                <w:szCs w:val="28"/>
              </w:rPr>
              <w:t xml:space="preserve">āda, ka, reliģijas brīvība sevī ietver tiesības uz iekšējo ticību, kas ir absolūtas tiesības, un tiesības uz reliģiskās pārliecības paušanu, kas nav absolūtas tiesības. </w:t>
            </w:r>
            <w:r w:rsidR="00CB49FC" w:rsidRPr="00FC4FB5">
              <w:rPr>
                <w:sz w:val="28"/>
                <w:szCs w:val="28"/>
              </w:rPr>
              <w:t>R</w:t>
            </w:r>
            <w:r w:rsidR="0063369C" w:rsidRPr="00FC4FB5">
              <w:rPr>
                <w:sz w:val="28"/>
                <w:szCs w:val="28"/>
              </w:rPr>
              <w:t xml:space="preserve">eliģiskās pārliecības paušanu var ierobežot ar likumu tiktāl, ciktāl tas nepieciešams demokrātiskā sabiedrībā, lai uzturētu sabiedrisko drošību, aizsargātu sabiedrisko kārtību, veselību, tikumību vai arī citu cilvēku tiesības un brīvības. </w:t>
            </w:r>
            <w:r w:rsidR="00CB49FC" w:rsidRPr="00FC4FB5">
              <w:rPr>
                <w:sz w:val="28"/>
                <w:szCs w:val="28"/>
              </w:rPr>
              <w:t>(skat. Satversmes 116.pantu, Konvencijas 9.pantu). Turklāt Eiropas Cilvēktiesību tiesa ir</w:t>
            </w:r>
            <w:r w:rsidR="0063369C" w:rsidRPr="00FC4FB5">
              <w:rPr>
                <w:sz w:val="28"/>
                <w:szCs w:val="28"/>
              </w:rPr>
              <w:t xml:space="preserve"> atzinusi, ka izmantojot reliģijas brīvību, indivīdam esot jāņem vērā tās situācijas specifika, kurā viņš atrodas.</w:t>
            </w:r>
          </w:p>
          <w:p w:rsidR="00ED097C" w:rsidRPr="00FC4FB5" w:rsidRDefault="00F30B97" w:rsidP="00ED097C">
            <w:pPr>
              <w:pStyle w:val="NormalWeb"/>
              <w:spacing w:after="100" w:afterAutospacing="1"/>
              <w:contextualSpacing/>
              <w:jc w:val="both"/>
              <w:rPr>
                <w:sz w:val="28"/>
                <w:szCs w:val="28"/>
              </w:rPr>
            </w:pPr>
            <w:r w:rsidRPr="00FC4FB5">
              <w:rPr>
                <w:sz w:val="28"/>
                <w:szCs w:val="28"/>
              </w:rPr>
              <w:t>Satversmes tiesa 2011.gada 18.marta spriedumā lietā Nr.2010-50-03 norādīja, ka atsevišķos gadījumos notiesātie reliģijas brīvību var izmantot kā ieganstu citu mērķu sasniegšanai. T</w:t>
            </w:r>
            <w:r w:rsidR="00945A2D" w:rsidRPr="00FC4FB5">
              <w:rPr>
                <w:sz w:val="28"/>
                <w:szCs w:val="28"/>
              </w:rPr>
              <w:t>ā</w:t>
            </w:r>
            <w:r w:rsidRPr="00FC4FB5">
              <w:rPr>
                <w:sz w:val="28"/>
                <w:szCs w:val="28"/>
              </w:rPr>
              <w:t>pēc Satversmes tiesa neapšauba nepieciešamību</w:t>
            </w:r>
            <w:r w:rsidR="00945A2D" w:rsidRPr="00FC4FB5">
              <w:rPr>
                <w:sz w:val="28"/>
                <w:szCs w:val="28"/>
              </w:rPr>
              <w:t xml:space="preserve"> noteikt zināmus ierobežojumus reliģisko priekšmetu glabāšanai.</w:t>
            </w:r>
          </w:p>
          <w:p w:rsidR="00ED097C" w:rsidRPr="00FC4FB5" w:rsidRDefault="00945A2D" w:rsidP="00ED097C">
            <w:pPr>
              <w:pStyle w:val="NormalWeb"/>
              <w:spacing w:after="100" w:afterAutospacing="1"/>
              <w:contextualSpacing/>
              <w:jc w:val="both"/>
              <w:rPr>
                <w:sz w:val="28"/>
                <w:szCs w:val="28"/>
              </w:rPr>
            </w:pPr>
            <w:r w:rsidRPr="00FC4FB5">
              <w:rPr>
                <w:sz w:val="28"/>
                <w:szCs w:val="28"/>
              </w:rPr>
              <w:t>Vienlaikus Satversmes tiesa 2011.gada 18.marta spriedumā lietā Nr.2010-50-03</w:t>
            </w:r>
            <w:r w:rsidR="00F30B97" w:rsidRPr="00FC4FB5">
              <w:rPr>
                <w:sz w:val="28"/>
                <w:szCs w:val="28"/>
              </w:rPr>
              <w:t xml:space="preserve"> ir atzinusi, ka normatīvajam regulējumam ir jādod brīvības atņemšanas iestādes administrācijai iespēja lemt par atļauju vai aizliegumu notiesātajiem glabāt reliģiskos priekšmetus, ņemot vērā konkrētā gadījuma individuālos apstākļus.</w:t>
            </w:r>
            <w:r w:rsidR="00ED097C" w:rsidRPr="00FC4FB5">
              <w:rPr>
                <w:sz w:val="28"/>
                <w:szCs w:val="28"/>
              </w:rPr>
              <w:t xml:space="preserve"> </w:t>
            </w:r>
          </w:p>
          <w:p w:rsidR="00254913" w:rsidRPr="00FC4FB5" w:rsidRDefault="00ED097C" w:rsidP="00254913">
            <w:pPr>
              <w:pStyle w:val="NormalWeb"/>
              <w:spacing w:after="100" w:afterAutospacing="1"/>
              <w:contextualSpacing/>
              <w:jc w:val="both"/>
              <w:rPr>
                <w:sz w:val="28"/>
                <w:szCs w:val="28"/>
              </w:rPr>
            </w:pPr>
            <w:r w:rsidRPr="00FC4FB5">
              <w:rPr>
                <w:sz w:val="28"/>
                <w:szCs w:val="28"/>
              </w:rPr>
              <w:t>Lai nodrošinātu minētā Satversmes sprieduma izpildi tika izstrādāti grozījumi Noteikumos Nr.423, kas noteic kārtību, kādā brīvības atņemšanas iestādes administrācija var lemt par atļauju vai aizliegumu notiesātajiem glabāt reliģiskos priekšmetus, lai notiesātajiem brīvības atņemšanas iestādēs varētu nodrošināt tiesības uz reliģiskās pārliecības paušanu, kas ietver arī reliģisko priekšmetu lietošanu.</w:t>
            </w:r>
          </w:p>
          <w:p w:rsidR="000A0B42" w:rsidRPr="00FC4FB5" w:rsidRDefault="00254913" w:rsidP="000A0B42">
            <w:pPr>
              <w:pStyle w:val="NormalWeb"/>
              <w:spacing w:after="100" w:afterAutospacing="1"/>
              <w:contextualSpacing/>
              <w:jc w:val="both"/>
              <w:rPr>
                <w:color w:val="000000"/>
                <w:sz w:val="28"/>
                <w:szCs w:val="28"/>
              </w:rPr>
            </w:pPr>
            <w:r w:rsidRPr="00FC4FB5">
              <w:rPr>
                <w:color w:val="000000"/>
                <w:sz w:val="28"/>
                <w:szCs w:val="28"/>
              </w:rPr>
              <w:t xml:space="preserve">Lai nodrošinātu </w:t>
            </w:r>
            <w:r w:rsidRPr="00FC4FB5">
              <w:rPr>
                <w:sz w:val="28"/>
                <w:szCs w:val="28"/>
              </w:rPr>
              <w:t xml:space="preserve">Satversmes tiesas 2011.gada 18.marta spriedumā lietā Nr.2010-50-03 </w:t>
            </w:r>
            <w:r w:rsidRPr="00FC4FB5">
              <w:rPr>
                <w:color w:val="000000"/>
                <w:sz w:val="28"/>
                <w:szCs w:val="28"/>
              </w:rPr>
              <w:t>noteikto, ka reliģisko priekšmetu glabāšana ir pieļaujama, veicot konkrētā gadījuma individuālo apstākļu izvērtējumu, Noteikumi Nr.423 paredz, ka notiesātajiem reliģisko priekšmetu glabāšanai brīvības atņemšanas iestādē ir nepieciešams saņemt brīvības atņemšanas iestādes priekšnieka atļauj</w:t>
            </w:r>
            <w:r w:rsidR="0014339B" w:rsidRPr="00FC4FB5">
              <w:rPr>
                <w:color w:val="000000"/>
                <w:sz w:val="28"/>
                <w:szCs w:val="28"/>
              </w:rPr>
              <w:t xml:space="preserve">u, kura sagatavota lēmuma veidā, 14 dienu laikā no reliģiskā priekšmeta saņemšanas, </w:t>
            </w:r>
            <w:r w:rsidRPr="00FC4FB5">
              <w:rPr>
                <w:color w:val="000000"/>
                <w:sz w:val="28"/>
                <w:szCs w:val="28"/>
              </w:rPr>
              <w:t xml:space="preserve">izvērtējot </w:t>
            </w:r>
            <w:r w:rsidR="0014339B" w:rsidRPr="00FC4FB5">
              <w:rPr>
                <w:color w:val="000000"/>
                <w:sz w:val="28"/>
                <w:szCs w:val="28"/>
              </w:rPr>
              <w:t xml:space="preserve">tā atbilstību brīvības atņemšanas iestādes iekšējās kārtības noteikumiem, konkrētā gadījuma individuālos apstākļus, </w:t>
            </w:r>
            <w:r w:rsidRPr="00FC4FB5">
              <w:rPr>
                <w:color w:val="000000"/>
                <w:sz w:val="28"/>
                <w:szCs w:val="28"/>
              </w:rPr>
              <w:t xml:space="preserve">kā arī ņemot vērā brīvības atņemšanas iestādes kapelāna atzinumu. </w:t>
            </w:r>
          </w:p>
          <w:p w:rsidR="000A0B42" w:rsidRPr="00FC4FB5" w:rsidRDefault="00777C79" w:rsidP="000A0B42">
            <w:pPr>
              <w:pStyle w:val="NormalWeb"/>
              <w:spacing w:after="100" w:afterAutospacing="1"/>
              <w:contextualSpacing/>
              <w:jc w:val="both"/>
              <w:rPr>
                <w:color w:val="000000"/>
                <w:sz w:val="28"/>
                <w:szCs w:val="28"/>
              </w:rPr>
            </w:pPr>
            <w:r w:rsidRPr="00FC4FB5">
              <w:rPr>
                <w:color w:val="000000"/>
                <w:sz w:val="28"/>
                <w:szCs w:val="28"/>
              </w:rPr>
              <w:t>A</w:t>
            </w:r>
            <w:r w:rsidR="00627960" w:rsidRPr="00FC4FB5">
              <w:rPr>
                <w:color w:val="000000"/>
                <w:sz w:val="28"/>
                <w:szCs w:val="28"/>
              </w:rPr>
              <w:t>tšķirībā no brīvības atņemšanas iestādēm, īslaicīg</w:t>
            </w:r>
            <w:r w:rsidRPr="00FC4FB5">
              <w:rPr>
                <w:color w:val="000000"/>
                <w:sz w:val="28"/>
                <w:szCs w:val="28"/>
              </w:rPr>
              <w:t xml:space="preserve">ās </w:t>
            </w:r>
            <w:r w:rsidR="00D15690" w:rsidRPr="00FC4FB5">
              <w:rPr>
                <w:color w:val="000000"/>
                <w:sz w:val="28"/>
                <w:szCs w:val="28"/>
              </w:rPr>
              <w:t>aizturēšanas vietās nav kapelānu</w:t>
            </w:r>
            <w:r w:rsidRPr="00FC4FB5">
              <w:rPr>
                <w:color w:val="000000"/>
                <w:sz w:val="28"/>
                <w:szCs w:val="28"/>
              </w:rPr>
              <w:t xml:space="preserve"> die</w:t>
            </w:r>
            <w:r w:rsidR="003120D8" w:rsidRPr="00FC4FB5">
              <w:rPr>
                <w:color w:val="000000"/>
                <w:sz w:val="28"/>
                <w:szCs w:val="28"/>
              </w:rPr>
              <w:t>nests, kā arī</w:t>
            </w:r>
            <w:r w:rsidRPr="00FC4FB5">
              <w:rPr>
                <w:color w:val="000000"/>
                <w:sz w:val="28"/>
                <w:szCs w:val="28"/>
              </w:rPr>
              <w:t xml:space="preserve"> </w:t>
            </w:r>
            <w:r w:rsidR="00B0797A" w:rsidRPr="00FC4FB5">
              <w:rPr>
                <w:color w:val="000000"/>
                <w:sz w:val="28"/>
                <w:szCs w:val="28"/>
              </w:rPr>
              <w:t>saskaņ</w:t>
            </w:r>
            <w:r w:rsidR="00F95F60" w:rsidRPr="00FC4FB5">
              <w:rPr>
                <w:color w:val="000000"/>
                <w:sz w:val="28"/>
                <w:szCs w:val="28"/>
              </w:rPr>
              <w:t>ā ar L</w:t>
            </w:r>
            <w:r w:rsidR="00B0797A" w:rsidRPr="00FC4FB5">
              <w:rPr>
                <w:color w:val="000000"/>
                <w:sz w:val="28"/>
                <w:szCs w:val="28"/>
              </w:rPr>
              <w:t xml:space="preserve">ikumu, kas noteic īslaicīgās aizturēšanas vietas iekšējo kārtību, nav paredzēti garīdznieku apmeklējumi, līdz ar to </w:t>
            </w:r>
            <w:r w:rsidR="003120D8" w:rsidRPr="00FC4FB5">
              <w:rPr>
                <w:color w:val="000000"/>
                <w:sz w:val="28"/>
                <w:szCs w:val="28"/>
              </w:rPr>
              <w:t>tādu</w:t>
            </w:r>
            <w:r w:rsidR="00B0797A" w:rsidRPr="00FC4FB5">
              <w:rPr>
                <w:color w:val="000000"/>
                <w:sz w:val="28"/>
                <w:szCs w:val="28"/>
              </w:rPr>
              <w:t xml:space="preserve"> individuālo izvērtējumu, kāds ir noteikts Noteikumos Nr.423 nav iespējams veikt. </w:t>
            </w:r>
            <w:r w:rsidR="00F304D5" w:rsidRPr="00FC4FB5">
              <w:rPr>
                <w:color w:val="000000"/>
                <w:sz w:val="28"/>
                <w:szCs w:val="28"/>
              </w:rPr>
              <w:t xml:space="preserve">Tāpēc policijas amatpersonai pēc iespējas nekavējoties ir jāveic katra konkrēta gadījuma individuālo apstākļu izvērtējums, proti, </w:t>
            </w:r>
            <w:r w:rsidR="00670B10" w:rsidRPr="00FC4FB5">
              <w:rPr>
                <w:color w:val="000000"/>
                <w:sz w:val="28"/>
                <w:szCs w:val="28"/>
              </w:rPr>
              <w:t xml:space="preserve">jāizvērtē </w:t>
            </w:r>
            <w:r w:rsidR="00F304D5" w:rsidRPr="00FC4FB5">
              <w:rPr>
                <w:color w:val="000000"/>
                <w:sz w:val="28"/>
                <w:szCs w:val="28"/>
              </w:rPr>
              <w:t xml:space="preserve">vai </w:t>
            </w:r>
            <w:r w:rsidR="00217B17">
              <w:rPr>
                <w:color w:val="000000"/>
                <w:sz w:val="28"/>
                <w:szCs w:val="28"/>
              </w:rPr>
              <w:t xml:space="preserve">ar </w:t>
            </w:r>
            <w:r w:rsidR="00F304D5" w:rsidRPr="00FC4FB5">
              <w:rPr>
                <w:color w:val="000000"/>
                <w:sz w:val="28"/>
                <w:szCs w:val="28"/>
              </w:rPr>
              <w:t xml:space="preserve">konkrēto reliģisko priekšmetu </w:t>
            </w:r>
            <w:r w:rsidR="00217B17">
              <w:rPr>
                <w:color w:val="000000"/>
                <w:sz w:val="28"/>
                <w:szCs w:val="28"/>
              </w:rPr>
              <w:t xml:space="preserve">iespējams </w:t>
            </w:r>
            <w:r w:rsidR="00F304D5" w:rsidRPr="00FC4FB5">
              <w:rPr>
                <w:color w:val="000000"/>
                <w:sz w:val="28"/>
                <w:szCs w:val="28"/>
              </w:rPr>
              <w:t>nod</w:t>
            </w:r>
            <w:r w:rsidR="00217B17">
              <w:rPr>
                <w:color w:val="000000"/>
                <w:sz w:val="28"/>
                <w:szCs w:val="28"/>
              </w:rPr>
              <w:t>arīt kaitējumu citām personām vai</w:t>
            </w:r>
            <w:r w:rsidR="00F304D5" w:rsidRPr="00FC4FB5">
              <w:rPr>
                <w:color w:val="000000"/>
                <w:sz w:val="28"/>
                <w:szCs w:val="28"/>
              </w:rPr>
              <w:t xml:space="preserve"> sev un jālemj par šī priekšmeta glabāšanas iespējamību īslaicīgās aizturēšanas vietas kamerā. </w:t>
            </w:r>
          </w:p>
          <w:p w:rsidR="000A0B42" w:rsidRPr="00FC4FB5" w:rsidRDefault="00BC56C7" w:rsidP="000A0B42">
            <w:pPr>
              <w:pStyle w:val="NormalWeb"/>
              <w:spacing w:after="100" w:afterAutospacing="1"/>
              <w:contextualSpacing/>
              <w:jc w:val="both"/>
              <w:rPr>
                <w:sz w:val="28"/>
                <w:szCs w:val="28"/>
              </w:rPr>
            </w:pPr>
            <w:r w:rsidRPr="00FC4FB5">
              <w:rPr>
                <w:sz w:val="28"/>
                <w:szCs w:val="28"/>
              </w:rPr>
              <w:t>Policijas amatpersona, lemjot par attiecīga reliģiskā priekšmeta glabāšanas iespējamību īslaicīgās aizturēšanas vietas kamerā, vērtē tā atbilstību īslaicīgās aizturēšanas vietas iekšējās kārtības prasībām. Izvērtējot reliģiskā priekšmeta atbilstību īslaicīgās aizturēšanas vietas iekšējās kārtības prasībām un tā lietošanas mērķi attiecīgā reliģiskā rituāla veikšanai, ievēro nosacījumu, ka reliģiskā priekšmeta lietošana neaizskars citu personu cieņu un godu un neradīs negatīvu attieksmi. Ņemot vērā apstākli, ka personu atrašanās īslaicīgās aizturēšanas vietā ir relatīvi īsa un personu turēšanas kārtība būtiski atšķiras no personu turēšanas kārtības brīvības atņemšanas iestādēs, policijas amatpersona var ierobežot reliģisko priekšmetu skaitu</w:t>
            </w:r>
            <w:r w:rsidR="000A0B42" w:rsidRPr="00FC4FB5">
              <w:rPr>
                <w:sz w:val="28"/>
                <w:szCs w:val="28"/>
              </w:rPr>
              <w:t>,</w:t>
            </w:r>
            <w:r w:rsidRPr="00FC4FB5">
              <w:rPr>
                <w:sz w:val="28"/>
                <w:szCs w:val="28"/>
              </w:rPr>
              <w:t xml:space="preserve"> kas vienlaicīgi var atrasties pie personas. </w:t>
            </w:r>
          </w:p>
          <w:p w:rsidR="000A0B42" w:rsidRPr="00FC4FB5" w:rsidRDefault="00BC56C7" w:rsidP="000A0B42">
            <w:pPr>
              <w:pStyle w:val="NormalWeb"/>
              <w:spacing w:after="100" w:afterAutospacing="1"/>
              <w:contextualSpacing/>
              <w:jc w:val="both"/>
              <w:rPr>
                <w:sz w:val="28"/>
                <w:szCs w:val="28"/>
              </w:rPr>
            </w:pPr>
            <w:r w:rsidRPr="00FC4FB5">
              <w:rPr>
                <w:sz w:val="28"/>
                <w:szCs w:val="28"/>
              </w:rPr>
              <w:t>Ja policijas amatpersona aizliedz attiecīgu reliģisko priekšmetu</w:t>
            </w:r>
            <w:r w:rsidR="006B0E42" w:rsidRPr="00FC4FB5">
              <w:rPr>
                <w:sz w:val="28"/>
                <w:szCs w:val="28"/>
              </w:rPr>
              <w:t xml:space="preserve"> glabāt īslaicīgās aizturēšanas vietas kamerā</w:t>
            </w:r>
            <w:r w:rsidRPr="00FC4FB5">
              <w:rPr>
                <w:sz w:val="28"/>
                <w:szCs w:val="28"/>
              </w:rPr>
              <w:t>, tad persona pienesumos var saņemt citu, kas būs atbilstošs.</w:t>
            </w:r>
          </w:p>
          <w:p w:rsidR="0014609C" w:rsidRPr="00FC4FB5" w:rsidRDefault="00F50C2F" w:rsidP="00217B17">
            <w:pPr>
              <w:pStyle w:val="NormalWeb"/>
              <w:spacing w:after="100" w:afterAutospacing="1"/>
              <w:contextualSpacing/>
              <w:jc w:val="both"/>
              <w:rPr>
                <w:sz w:val="28"/>
                <w:szCs w:val="28"/>
              </w:rPr>
            </w:pPr>
            <w:r w:rsidRPr="00FC4FB5">
              <w:rPr>
                <w:sz w:val="28"/>
                <w:szCs w:val="28"/>
              </w:rPr>
              <w:t>Ievērojot minēto</w:t>
            </w:r>
            <w:r w:rsidR="000A0B42" w:rsidRPr="00FC4FB5">
              <w:rPr>
                <w:sz w:val="28"/>
                <w:szCs w:val="28"/>
              </w:rPr>
              <w:t>,</w:t>
            </w:r>
            <w:r w:rsidRPr="00FC4FB5">
              <w:rPr>
                <w:sz w:val="28"/>
                <w:szCs w:val="28"/>
              </w:rPr>
              <w:t xml:space="preserve"> projekts paredz papildināt Noteikumu Nr.289 2.punktu ar 2.9. apakšpunktu, kas noteic, ka īslaicīgās aizturēšanas vietas kamerā atļauts glabāt reliģiskos priekšmetus, </w:t>
            </w:r>
            <w:r w:rsidR="00217B17" w:rsidRPr="00AE1F21">
              <w:rPr>
                <w:sz w:val="28"/>
                <w:szCs w:val="28"/>
              </w:rPr>
              <w:t>kuru lietošanas mērķis nav pretrunā ar īslaicīgās aizturēšanas vietas iekšējo kārtību</w:t>
            </w:r>
            <w:r w:rsidR="00217B17">
              <w:rPr>
                <w:sz w:val="28"/>
                <w:szCs w:val="28"/>
              </w:rPr>
              <w:t>, izņemot priekšmetus, ar kuriem var nodarīt kaitējumu citām personām vai sev.</w:t>
            </w:r>
          </w:p>
        </w:tc>
      </w:tr>
      <w:tr w:rsidR="003530C3" w:rsidRPr="00FC4FB5" w:rsidTr="00F77A6F">
        <w:tc>
          <w:tcPr>
            <w:tcW w:w="311" w:type="pct"/>
            <w:hideMark/>
          </w:tcPr>
          <w:p w:rsidR="003530C3" w:rsidRPr="00FC4FB5" w:rsidRDefault="003530C3" w:rsidP="00F77A6F">
            <w:pPr>
              <w:jc w:val="center"/>
              <w:rPr>
                <w:sz w:val="28"/>
                <w:szCs w:val="28"/>
              </w:rPr>
            </w:pPr>
            <w:r w:rsidRPr="00FC4FB5">
              <w:rPr>
                <w:sz w:val="28"/>
                <w:szCs w:val="28"/>
              </w:rPr>
              <w:lastRenderedPageBreak/>
              <w:t>3.</w:t>
            </w:r>
          </w:p>
        </w:tc>
        <w:tc>
          <w:tcPr>
            <w:tcW w:w="1479" w:type="pct"/>
            <w:hideMark/>
          </w:tcPr>
          <w:p w:rsidR="003530C3" w:rsidRPr="00FC4FB5" w:rsidRDefault="003530C3" w:rsidP="00F77A6F">
            <w:pPr>
              <w:rPr>
                <w:sz w:val="28"/>
                <w:szCs w:val="28"/>
              </w:rPr>
            </w:pPr>
            <w:r w:rsidRPr="00FC4FB5">
              <w:rPr>
                <w:sz w:val="28"/>
                <w:szCs w:val="28"/>
              </w:rPr>
              <w:t>Projekta izstrādē iesaistītās institūcijas un publiskas personas kapitālsabiedrības</w:t>
            </w:r>
          </w:p>
        </w:tc>
        <w:tc>
          <w:tcPr>
            <w:tcW w:w="3210" w:type="pct"/>
            <w:hideMark/>
          </w:tcPr>
          <w:p w:rsidR="003530C3" w:rsidRPr="00FC4FB5" w:rsidRDefault="00C70874" w:rsidP="00F77A6F">
            <w:pPr>
              <w:rPr>
                <w:sz w:val="28"/>
                <w:szCs w:val="28"/>
              </w:rPr>
            </w:pPr>
            <w:r w:rsidRPr="00FC4FB5">
              <w:rPr>
                <w:sz w:val="28"/>
                <w:szCs w:val="28"/>
              </w:rPr>
              <w:t>Valsts policija</w:t>
            </w:r>
            <w:r w:rsidR="003530C3" w:rsidRPr="00FC4FB5">
              <w:rPr>
                <w:sz w:val="28"/>
                <w:szCs w:val="28"/>
              </w:rPr>
              <w:t>.</w:t>
            </w:r>
          </w:p>
        </w:tc>
      </w:tr>
      <w:tr w:rsidR="003530C3" w:rsidRPr="00FC4FB5" w:rsidTr="00F77A6F">
        <w:tc>
          <w:tcPr>
            <w:tcW w:w="311" w:type="pct"/>
            <w:hideMark/>
          </w:tcPr>
          <w:p w:rsidR="003530C3" w:rsidRPr="00FC4FB5" w:rsidRDefault="003530C3" w:rsidP="00F77A6F">
            <w:pPr>
              <w:jc w:val="center"/>
              <w:rPr>
                <w:sz w:val="28"/>
                <w:szCs w:val="28"/>
              </w:rPr>
            </w:pPr>
            <w:r w:rsidRPr="00FC4FB5">
              <w:rPr>
                <w:sz w:val="28"/>
                <w:szCs w:val="28"/>
              </w:rPr>
              <w:t>4.</w:t>
            </w:r>
          </w:p>
        </w:tc>
        <w:tc>
          <w:tcPr>
            <w:tcW w:w="1479" w:type="pct"/>
            <w:hideMark/>
          </w:tcPr>
          <w:p w:rsidR="003530C3" w:rsidRPr="00FC4FB5" w:rsidRDefault="003530C3" w:rsidP="00F77A6F">
            <w:pPr>
              <w:rPr>
                <w:sz w:val="28"/>
                <w:szCs w:val="28"/>
              </w:rPr>
            </w:pPr>
            <w:r w:rsidRPr="00FC4FB5">
              <w:rPr>
                <w:sz w:val="28"/>
                <w:szCs w:val="28"/>
              </w:rPr>
              <w:t>Cita informācija</w:t>
            </w:r>
          </w:p>
        </w:tc>
        <w:tc>
          <w:tcPr>
            <w:tcW w:w="3210" w:type="pct"/>
            <w:hideMark/>
          </w:tcPr>
          <w:p w:rsidR="003530C3" w:rsidRPr="00FC4FB5" w:rsidRDefault="003530C3" w:rsidP="00F77A6F">
            <w:pPr>
              <w:rPr>
                <w:sz w:val="28"/>
                <w:szCs w:val="28"/>
              </w:rPr>
            </w:pPr>
            <w:r w:rsidRPr="00FC4FB5">
              <w:rPr>
                <w:sz w:val="28"/>
                <w:szCs w:val="28"/>
              </w:rPr>
              <w:t>Nav.</w:t>
            </w:r>
          </w:p>
        </w:tc>
      </w:tr>
    </w:tbl>
    <w:p w:rsidR="003530C3" w:rsidRPr="00FC4FB5" w:rsidRDefault="003530C3"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FC4FB5" w:rsidTr="00F77A6F">
        <w:trPr>
          <w:cantSplit/>
        </w:trPr>
        <w:tc>
          <w:tcPr>
            <w:tcW w:w="5000" w:type="pct"/>
            <w:gridSpan w:val="3"/>
            <w:vAlign w:val="center"/>
            <w:hideMark/>
          </w:tcPr>
          <w:p w:rsidR="003530C3" w:rsidRPr="00FC4FB5" w:rsidRDefault="003530C3" w:rsidP="00F77A6F">
            <w:pPr>
              <w:jc w:val="center"/>
              <w:rPr>
                <w:b/>
                <w:bCs/>
                <w:sz w:val="28"/>
                <w:szCs w:val="28"/>
              </w:rPr>
            </w:pPr>
            <w:r w:rsidRPr="00FC4FB5">
              <w:rPr>
                <w:b/>
                <w:bCs/>
                <w:sz w:val="28"/>
                <w:szCs w:val="28"/>
              </w:rPr>
              <w:t>II. Tiesību akta projekta ietekme uz sabiedrību, tautsaimniecības attīstību un administratīvo slogu</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1.</w:t>
            </w:r>
          </w:p>
        </w:tc>
        <w:tc>
          <w:tcPr>
            <w:tcW w:w="1479" w:type="pct"/>
            <w:hideMark/>
          </w:tcPr>
          <w:p w:rsidR="003530C3" w:rsidRPr="00FC4FB5" w:rsidRDefault="003530C3" w:rsidP="00F77A6F">
            <w:pPr>
              <w:rPr>
                <w:sz w:val="28"/>
                <w:szCs w:val="28"/>
              </w:rPr>
            </w:pPr>
            <w:r w:rsidRPr="00FC4FB5">
              <w:rPr>
                <w:sz w:val="28"/>
                <w:szCs w:val="28"/>
              </w:rPr>
              <w:t>Sabiedrības mērķgrupas, kuras tiesiskais regulējums ietekmē vai varētu ietekmēt</w:t>
            </w:r>
          </w:p>
        </w:tc>
        <w:tc>
          <w:tcPr>
            <w:tcW w:w="3210" w:type="pct"/>
            <w:hideMark/>
          </w:tcPr>
          <w:p w:rsidR="00FE4B6F" w:rsidRPr="00FC4FB5" w:rsidRDefault="00FE4B6F" w:rsidP="00FE4B6F">
            <w:pPr>
              <w:jc w:val="both"/>
              <w:rPr>
                <w:sz w:val="28"/>
                <w:szCs w:val="28"/>
              </w:rPr>
            </w:pPr>
            <w:r w:rsidRPr="00FC4FB5">
              <w:rPr>
                <w:sz w:val="28"/>
                <w:szCs w:val="28"/>
              </w:rPr>
              <w:t>Saskaņā ar Kriminālprocesa likumu aizturētās personas, administratīvi aizturētās un arestētās personas, apcietinātās un notiesātās personas, kā arī saskaņā ar Imigrācijas likumu aizturētās</w:t>
            </w:r>
            <w:r w:rsidR="00F33D19" w:rsidRPr="00FC4FB5">
              <w:rPr>
                <w:sz w:val="28"/>
                <w:szCs w:val="28"/>
              </w:rPr>
              <w:t xml:space="preserve"> personas, kas ievietotas un turētas īslaicīgās aizturēšanas vietā.</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2.</w:t>
            </w:r>
          </w:p>
        </w:tc>
        <w:tc>
          <w:tcPr>
            <w:tcW w:w="1479" w:type="pct"/>
            <w:hideMark/>
          </w:tcPr>
          <w:p w:rsidR="003530C3" w:rsidRPr="00FC4FB5" w:rsidRDefault="003530C3" w:rsidP="00F77A6F">
            <w:pPr>
              <w:rPr>
                <w:sz w:val="28"/>
                <w:szCs w:val="28"/>
              </w:rPr>
            </w:pPr>
            <w:r w:rsidRPr="00FC4FB5">
              <w:rPr>
                <w:sz w:val="28"/>
                <w:szCs w:val="28"/>
              </w:rPr>
              <w:t>Tiesiskā regulējuma ietekme uz tautsaimniecību un administratīvo slogu</w:t>
            </w:r>
          </w:p>
        </w:tc>
        <w:tc>
          <w:tcPr>
            <w:tcW w:w="3210" w:type="pct"/>
            <w:hideMark/>
          </w:tcPr>
          <w:p w:rsidR="003530C3" w:rsidRPr="00FC4FB5" w:rsidRDefault="006606C1" w:rsidP="003564CC">
            <w:pPr>
              <w:jc w:val="both"/>
              <w:rPr>
                <w:sz w:val="28"/>
                <w:szCs w:val="28"/>
              </w:rPr>
            </w:pPr>
            <w:r w:rsidRPr="00FC4FB5">
              <w:rPr>
                <w:sz w:val="28"/>
                <w:szCs w:val="28"/>
              </w:rPr>
              <w:t xml:space="preserve">Projekts </w:t>
            </w:r>
            <w:r w:rsidR="003564CC" w:rsidRPr="00FC4FB5">
              <w:rPr>
                <w:sz w:val="28"/>
                <w:szCs w:val="28"/>
              </w:rPr>
              <w:t>šo jomu nekar.</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3.</w:t>
            </w:r>
          </w:p>
        </w:tc>
        <w:tc>
          <w:tcPr>
            <w:tcW w:w="1479" w:type="pct"/>
            <w:hideMark/>
          </w:tcPr>
          <w:p w:rsidR="003530C3" w:rsidRPr="00FC4FB5" w:rsidRDefault="003530C3" w:rsidP="00F77A6F">
            <w:pPr>
              <w:rPr>
                <w:sz w:val="28"/>
                <w:szCs w:val="28"/>
              </w:rPr>
            </w:pPr>
            <w:r w:rsidRPr="00FC4FB5">
              <w:rPr>
                <w:sz w:val="28"/>
                <w:szCs w:val="28"/>
              </w:rPr>
              <w:t>Administratīvo izmaksu monetārs novērtējums</w:t>
            </w:r>
          </w:p>
        </w:tc>
        <w:tc>
          <w:tcPr>
            <w:tcW w:w="3210" w:type="pct"/>
            <w:hideMark/>
          </w:tcPr>
          <w:p w:rsidR="003530C3" w:rsidRPr="00FC4FB5" w:rsidRDefault="00430376" w:rsidP="00F77A6F">
            <w:pPr>
              <w:rPr>
                <w:sz w:val="28"/>
                <w:szCs w:val="28"/>
              </w:rPr>
            </w:pPr>
            <w:r w:rsidRPr="00FC4FB5">
              <w:rPr>
                <w:sz w:val="28"/>
                <w:szCs w:val="28"/>
              </w:rPr>
              <w:t>Projekts šo jomu neskar.</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4.</w:t>
            </w:r>
          </w:p>
        </w:tc>
        <w:tc>
          <w:tcPr>
            <w:tcW w:w="1479" w:type="pct"/>
            <w:hideMark/>
          </w:tcPr>
          <w:p w:rsidR="003530C3" w:rsidRPr="00FC4FB5" w:rsidRDefault="003530C3" w:rsidP="00F77A6F">
            <w:pPr>
              <w:rPr>
                <w:sz w:val="28"/>
                <w:szCs w:val="28"/>
              </w:rPr>
            </w:pPr>
            <w:r w:rsidRPr="00FC4FB5">
              <w:rPr>
                <w:sz w:val="28"/>
                <w:szCs w:val="28"/>
              </w:rPr>
              <w:t>Atbilstības izmaksu monetārs novērtējums</w:t>
            </w:r>
          </w:p>
        </w:tc>
        <w:tc>
          <w:tcPr>
            <w:tcW w:w="3210" w:type="pct"/>
            <w:hideMark/>
          </w:tcPr>
          <w:p w:rsidR="003530C3" w:rsidRPr="00FC4FB5" w:rsidRDefault="003530C3" w:rsidP="00F77A6F">
            <w:pPr>
              <w:rPr>
                <w:sz w:val="28"/>
                <w:szCs w:val="28"/>
              </w:rPr>
            </w:pPr>
            <w:r w:rsidRPr="00FC4FB5">
              <w:rPr>
                <w:sz w:val="28"/>
                <w:szCs w:val="28"/>
              </w:rPr>
              <w:t>Projekts šo jomu neskar.</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5.</w:t>
            </w:r>
          </w:p>
        </w:tc>
        <w:tc>
          <w:tcPr>
            <w:tcW w:w="1479" w:type="pct"/>
            <w:hideMark/>
          </w:tcPr>
          <w:p w:rsidR="003530C3" w:rsidRPr="00FC4FB5" w:rsidRDefault="003530C3" w:rsidP="00F77A6F">
            <w:pPr>
              <w:rPr>
                <w:sz w:val="28"/>
                <w:szCs w:val="28"/>
              </w:rPr>
            </w:pPr>
            <w:r w:rsidRPr="00FC4FB5">
              <w:rPr>
                <w:sz w:val="28"/>
                <w:szCs w:val="28"/>
              </w:rPr>
              <w:t>Cita informācija</w:t>
            </w:r>
          </w:p>
        </w:tc>
        <w:tc>
          <w:tcPr>
            <w:tcW w:w="3210" w:type="pct"/>
            <w:hideMark/>
          </w:tcPr>
          <w:p w:rsidR="003530C3" w:rsidRPr="00FC4FB5" w:rsidRDefault="003530C3" w:rsidP="00F77A6F">
            <w:pPr>
              <w:rPr>
                <w:sz w:val="28"/>
                <w:szCs w:val="28"/>
              </w:rPr>
            </w:pPr>
            <w:r w:rsidRPr="00FC4FB5">
              <w:rPr>
                <w:sz w:val="28"/>
                <w:szCs w:val="28"/>
              </w:rPr>
              <w:t>Nav.</w:t>
            </w:r>
          </w:p>
        </w:tc>
      </w:tr>
    </w:tbl>
    <w:p w:rsidR="003530C3" w:rsidRPr="00FC4FB5" w:rsidRDefault="003530C3" w:rsidP="003530C3">
      <w:pPr>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3530C3" w:rsidRPr="00FC4FB5" w:rsidTr="00F77A6F">
        <w:trPr>
          <w:cantSplit/>
        </w:trPr>
        <w:tc>
          <w:tcPr>
            <w:tcW w:w="9065" w:type="dxa"/>
            <w:shd w:val="clear" w:color="auto" w:fill="auto"/>
            <w:vAlign w:val="center"/>
            <w:hideMark/>
          </w:tcPr>
          <w:p w:rsidR="003530C3" w:rsidRPr="00FC4FB5" w:rsidRDefault="003530C3" w:rsidP="00F77A6F">
            <w:pPr>
              <w:jc w:val="center"/>
              <w:rPr>
                <w:b/>
                <w:bCs/>
                <w:sz w:val="28"/>
                <w:szCs w:val="28"/>
                <w:lang w:eastAsia="en-US"/>
              </w:rPr>
            </w:pPr>
            <w:r w:rsidRPr="00FC4FB5">
              <w:rPr>
                <w:b/>
                <w:bCs/>
                <w:sz w:val="28"/>
                <w:szCs w:val="28"/>
                <w:lang w:eastAsia="en-US"/>
              </w:rPr>
              <w:t>III. Tiesību akta projekta ietekme uz valsts budžetu un pašvaldību budžetiem</w:t>
            </w:r>
          </w:p>
        </w:tc>
      </w:tr>
      <w:tr w:rsidR="006606C1" w:rsidRPr="00FC4FB5" w:rsidTr="00503258">
        <w:trPr>
          <w:cantSplit/>
        </w:trPr>
        <w:tc>
          <w:tcPr>
            <w:tcW w:w="9065" w:type="dxa"/>
            <w:shd w:val="clear" w:color="auto" w:fill="auto"/>
          </w:tcPr>
          <w:p w:rsidR="006606C1" w:rsidRPr="00FC4FB5" w:rsidRDefault="006606C1" w:rsidP="006606C1">
            <w:pPr>
              <w:jc w:val="center"/>
              <w:rPr>
                <w:sz w:val="28"/>
                <w:szCs w:val="28"/>
                <w:lang w:eastAsia="en-US"/>
              </w:rPr>
            </w:pPr>
            <w:r w:rsidRPr="00FC4FB5">
              <w:rPr>
                <w:sz w:val="28"/>
                <w:szCs w:val="28"/>
              </w:rPr>
              <w:t>Projekts šo jomu neskar.</w:t>
            </w:r>
          </w:p>
        </w:tc>
      </w:tr>
    </w:tbl>
    <w:p w:rsidR="003530C3" w:rsidRPr="00FC4FB5" w:rsidRDefault="003530C3" w:rsidP="003530C3">
      <w:pPr>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3530C3" w:rsidRPr="00FC4FB5" w:rsidTr="00F77A6F">
        <w:trPr>
          <w:cantSplit/>
        </w:trPr>
        <w:tc>
          <w:tcPr>
            <w:tcW w:w="9065" w:type="dxa"/>
            <w:vAlign w:val="center"/>
            <w:hideMark/>
          </w:tcPr>
          <w:p w:rsidR="003530C3" w:rsidRPr="00FC4FB5" w:rsidRDefault="003530C3" w:rsidP="00F77A6F">
            <w:pPr>
              <w:jc w:val="center"/>
              <w:rPr>
                <w:b/>
                <w:bCs/>
                <w:sz w:val="28"/>
                <w:szCs w:val="28"/>
              </w:rPr>
            </w:pPr>
            <w:r w:rsidRPr="00FC4FB5">
              <w:rPr>
                <w:b/>
                <w:bCs/>
                <w:sz w:val="28"/>
                <w:szCs w:val="28"/>
              </w:rPr>
              <w:t>IV. Tiesību akta projekta ietekme uz spēkā esošo tiesību normu sistēmu</w:t>
            </w:r>
          </w:p>
        </w:tc>
      </w:tr>
      <w:tr w:rsidR="003530C3" w:rsidRPr="00FC4FB5" w:rsidTr="00F77A6F">
        <w:trPr>
          <w:cantSplit/>
          <w:trHeight w:val="288"/>
        </w:trPr>
        <w:tc>
          <w:tcPr>
            <w:tcW w:w="9065" w:type="dxa"/>
          </w:tcPr>
          <w:p w:rsidR="003530C3" w:rsidRPr="00FC4FB5" w:rsidRDefault="003530C3" w:rsidP="00F77A6F">
            <w:pPr>
              <w:jc w:val="center"/>
              <w:rPr>
                <w:sz w:val="28"/>
                <w:szCs w:val="28"/>
              </w:rPr>
            </w:pPr>
            <w:r w:rsidRPr="00FC4FB5">
              <w:rPr>
                <w:sz w:val="28"/>
                <w:szCs w:val="28"/>
              </w:rPr>
              <w:t>Projekts šo jomu neskar.</w:t>
            </w:r>
          </w:p>
        </w:tc>
      </w:tr>
    </w:tbl>
    <w:p w:rsidR="003530C3" w:rsidRPr="00FC4FB5" w:rsidRDefault="003530C3" w:rsidP="003530C3">
      <w:pPr>
        <w:pStyle w:val="Title"/>
        <w:spacing w:before="130" w:line="260" w:lineRule="exact"/>
        <w:ind w:firstLine="539"/>
        <w:jc w:val="both"/>
        <w:rPr>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5B59F4" w:rsidRPr="00FC4FB5" w:rsidTr="0015589C">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B59F4" w:rsidRPr="00FC4FB5" w:rsidRDefault="005B59F4" w:rsidP="0015589C">
            <w:pPr>
              <w:spacing w:before="100" w:beforeAutospacing="1" w:after="100" w:afterAutospacing="1" w:line="293" w:lineRule="atLeast"/>
              <w:jc w:val="center"/>
              <w:rPr>
                <w:b/>
                <w:bCs/>
                <w:sz w:val="28"/>
                <w:szCs w:val="28"/>
              </w:rPr>
            </w:pPr>
            <w:r w:rsidRPr="00FC4FB5">
              <w:rPr>
                <w:b/>
                <w:bCs/>
                <w:sz w:val="28"/>
                <w:szCs w:val="28"/>
              </w:rPr>
              <w:t>V. Tiesību akta projekta atbilstība Latvijas Republikas starptautiskajām saistībām</w:t>
            </w:r>
          </w:p>
        </w:tc>
      </w:tr>
      <w:tr w:rsidR="005B59F4" w:rsidRPr="00FC4FB5" w:rsidTr="0015589C">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1.</w:t>
            </w:r>
          </w:p>
        </w:tc>
        <w:tc>
          <w:tcPr>
            <w:tcW w:w="190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Saistības pret Eiropas Savienību</w:t>
            </w:r>
          </w:p>
        </w:tc>
        <w:tc>
          <w:tcPr>
            <w:tcW w:w="2850" w:type="pct"/>
            <w:tcBorders>
              <w:top w:val="outset" w:sz="6" w:space="0" w:color="414142"/>
              <w:left w:val="outset" w:sz="6" w:space="0" w:color="414142"/>
              <w:bottom w:val="outset" w:sz="6" w:space="0" w:color="414142"/>
              <w:right w:val="outset" w:sz="6" w:space="0" w:color="414142"/>
            </w:tcBorders>
            <w:hideMark/>
          </w:tcPr>
          <w:p w:rsidR="00825BD7" w:rsidRPr="00FC4FB5" w:rsidRDefault="005B59F4" w:rsidP="00825BD7">
            <w:pPr>
              <w:spacing w:before="100" w:beforeAutospacing="1"/>
              <w:jc w:val="both"/>
              <w:rPr>
                <w:sz w:val="28"/>
                <w:szCs w:val="28"/>
              </w:rPr>
            </w:pPr>
            <w:r w:rsidRPr="00FC4FB5">
              <w:rPr>
                <w:sz w:val="28"/>
                <w:szCs w:val="28"/>
              </w:rPr>
              <w:t>2016.gada 11.maijā pieņemta Eiropas Parlamenta un Padomes Direktīva (ES) 2016/800 par procesuālajām garantijām bērniem, kuri ir aizdomās turētie vai apsūdzētie kriminālprocesā.</w:t>
            </w:r>
          </w:p>
          <w:p w:rsidR="00825BD7" w:rsidRPr="00FC4FB5" w:rsidRDefault="00825BD7" w:rsidP="00825BD7">
            <w:pPr>
              <w:spacing w:before="100" w:beforeAutospacing="1"/>
              <w:jc w:val="both"/>
              <w:rPr>
                <w:sz w:val="28"/>
                <w:szCs w:val="28"/>
              </w:rPr>
            </w:pPr>
            <w:r w:rsidRPr="00FC4FB5">
              <w:rPr>
                <w:sz w:val="28"/>
                <w:szCs w:val="28"/>
              </w:rPr>
              <w:t>Direktīvas 2016/800 12.panta 5.punkta e</w:t>
            </w:r>
            <w:r w:rsidR="00AD3E3F">
              <w:rPr>
                <w:sz w:val="28"/>
                <w:szCs w:val="28"/>
              </w:rPr>
              <w:t>) apakšpunktā noteikts pienākums</w:t>
            </w:r>
            <w:r w:rsidRPr="00FC4FB5">
              <w:rPr>
                <w:sz w:val="28"/>
                <w:szCs w:val="28"/>
              </w:rPr>
              <w:t xml:space="preserve"> Eiropas Savienības dalībvalstīm veikt atbilstīgos pasākumus, lai nodrošinātu bērnu reliģijas vai ticības brīvības ievērošanu, kad bērnam ir piemērots apcietinājums.</w:t>
            </w:r>
          </w:p>
          <w:p w:rsidR="005B59F4" w:rsidRPr="00FC4FB5" w:rsidRDefault="005B59F4" w:rsidP="005B59F4">
            <w:pPr>
              <w:spacing w:before="100" w:beforeAutospacing="1"/>
              <w:jc w:val="both"/>
              <w:rPr>
                <w:sz w:val="28"/>
                <w:szCs w:val="28"/>
              </w:rPr>
            </w:pPr>
            <w:r w:rsidRPr="00FC4FB5">
              <w:rPr>
                <w:sz w:val="28"/>
                <w:szCs w:val="28"/>
              </w:rPr>
              <w:t xml:space="preserve">Saskaņā ar direktīvas 24.pantu tās </w:t>
            </w:r>
            <w:r w:rsidRPr="00FC4FB5">
              <w:rPr>
                <w:bCs/>
                <w:sz w:val="28"/>
                <w:szCs w:val="28"/>
              </w:rPr>
              <w:t>ieviešanas termiņš</w:t>
            </w:r>
            <w:r w:rsidRPr="00FC4FB5">
              <w:rPr>
                <w:sz w:val="28"/>
                <w:szCs w:val="28"/>
              </w:rPr>
              <w:t xml:space="preserve"> ir 2019.gada 11.jūnijs.       </w:t>
            </w:r>
          </w:p>
        </w:tc>
      </w:tr>
      <w:tr w:rsidR="005B59F4" w:rsidRPr="00FC4FB5" w:rsidTr="0015589C">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2.</w:t>
            </w:r>
          </w:p>
          <w:p w:rsidR="005B59F4" w:rsidRPr="00FC4FB5" w:rsidRDefault="005B59F4" w:rsidP="0015589C">
            <w:pPr>
              <w:rPr>
                <w:sz w:val="28"/>
                <w:szCs w:val="28"/>
              </w:rPr>
            </w:pPr>
          </w:p>
        </w:tc>
        <w:tc>
          <w:tcPr>
            <w:tcW w:w="190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Citas starptautiskās saistības</w:t>
            </w:r>
          </w:p>
        </w:tc>
        <w:tc>
          <w:tcPr>
            <w:tcW w:w="285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DF6EC0">
            <w:pPr>
              <w:pStyle w:val="NormalWeb"/>
              <w:spacing w:after="100" w:afterAutospacing="1"/>
              <w:contextualSpacing/>
              <w:jc w:val="both"/>
              <w:rPr>
                <w:sz w:val="28"/>
                <w:szCs w:val="28"/>
              </w:rPr>
            </w:pPr>
            <w:r w:rsidRPr="00FC4FB5">
              <w:rPr>
                <w:sz w:val="28"/>
                <w:szCs w:val="28"/>
              </w:rPr>
              <w:t xml:space="preserve"> </w:t>
            </w:r>
            <w:r w:rsidR="003608C6" w:rsidRPr="00FC4FB5">
              <w:rPr>
                <w:sz w:val="28"/>
                <w:szCs w:val="28"/>
              </w:rPr>
              <w:t xml:space="preserve">Eiropas Cilvēktiesību un pamatbrīvību aizsardzības konvencijas </w:t>
            </w:r>
            <w:r w:rsidR="00433BC7" w:rsidRPr="00FC4FB5">
              <w:rPr>
                <w:sz w:val="28"/>
                <w:szCs w:val="28"/>
              </w:rPr>
              <w:t>9. pant</w:t>
            </w:r>
            <w:r w:rsidR="00FA60CB" w:rsidRPr="00FC4FB5">
              <w:rPr>
                <w:sz w:val="28"/>
                <w:szCs w:val="28"/>
              </w:rPr>
              <w:t xml:space="preserve">ā, </w:t>
            </w:r>
            <w:r w:rsidR="00433BC7" w:rsidRPr="00FC4FB5">
              <w:rPr>
                <w:sz w:val="28"/>
                <w:szCs w:val="28"/>
              </w:rPr>
              <w:t>ANO Starptautiskā pakta par pilsoņu un politiskajām tiesībām 18.pantā</w:t>
            </w:r>
            <w:r w:rsidR="00DF6EC0" w:rsidRPr="00FC4FB5">
              <w:rPr>
                <w:sz w:val="28"/>
                <w:szCs w:val="28"/>
              </w:rPr>
              <w:t xml:space="preserve"> ir noteikts, </w:t>
            </w:r>
            <w:r w:rsidR="003608C6" w:rsidRPr="00FC4FB5">
              <w:rPr>
                <w:sz w:val="28"/>
                <w:szCs w:val="28"/>
              </w:rPr>
              <w:t>ka ikvienam cilvēkam ir tiesības uz dom</w:t>
            </w:r>
            <w:r w:rsidR="00DF6EC0" w:rsidRPr="00FC4FB5">
              <w:rPr>
                <w:sz w:val="28"/>
                <w:szCs w:val="28"/>
              </w:rPr>
              <w:t xml:space="preserve">u, apziņas un reliģijas brīvību, kā arī Bērnu tiesību konvencijas 14.pantā ir noteikts, ka </w:t>
            </w:r>
            <w:r w:rsidR="00DF6EC0" w:rsidRPr="00FC4FB5">
              <w:rPr>
                <w:sz w:val="28"/>
                <w:szCs w:val="28"/>
                <w:shd w:val="clear" w:color="auto" w:fill="FFFFFF"/>
              </w:rPr>
              <w:t>Dalībvalstis respektē ikviena bērna tiesības uz domas, apziņas un reliģiskās pārliecības brīvību.</w:t>
            </w:r>
          </w:p>
        </w:tc>
      </w:tr>
      <w:tr w:rsidR="005B59F4" w:rsidRPr="00FC4FB5" w:rsidTr="0015589C">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3.</w:t>
            </w:r>
          </w:p>
        </w:tc>
        <w:tc>
          <w:tcPr>
            <w:tcW w:w="190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spacing w:before="100" w:beforeAutospacing="1" w:after="100" w:afterAutospacing="1" w:line="293" w:lineRule="atLeast"/>
              <w:rPr>
                <w:sz w:val="28"/>
                <w:szCs w:val="28"/>
              </w:rPr>
            </w:pPr>
            <w:r w:rsidRPr="00FC4FB5">
              <w:rPr>
                <w:sz w:val="28"/>
                <w:szCs w:val="28"/>
              </w:rPr>
              <w:t>Nav</w:t>
            </w:r>
          </w:p>
        </w:tc>
      </w:tr>
    </w:tbl>
    <w:p w:rsidR="005B59F4" w:rsidRPr="00FC4FB5" w:rsidRDefault="005B59F4" w:rsidP="005B59F4">
      <w:pPr>
        <w:shd w:val="clear" w:color="auto" w:fill="FFFFFF"/>
        <w:spacing w:before="100" w:beforeAutospacing="1" w:after="100" w:afterAutospacing="1" w:line="293" w:lineRule="atLeast"/>
        <w:rPr>
          <w:sz w:val="28"/>
          <w:szCs w:val="28"/>
        </w:rPr>
      </w:pPr>
    </w:p>
    <w:tbl>
      <w:tblPr>
        <w:tblW w:w="5042" w:type="pct"/>
        <w:tblInd w:w="-38"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80" w:firstRow="0" w:lastRow="0" w:firstColumn="1" w:lastColumn="0" w:noHBand="0" w:noVBand="1"/>
      </w:tblPr>
      <w:tblGrid>
        <w:gridCol w:w="36"/>
        <w:gridCol w:w="1578"/>
        <w:gridCol w:w="853"/>
        <w:gridCol w:w="1397"/>
        <w:gridCol w:w="1704"/>
        <w:gridCol w:w="550"/>
        <w:gridCol w:w="2975"/>
        <w:gridCol w:w="9"/>
        <w:gridCol w:w="29"/>
      </w:tblGrid>
      <w:tr w:rsidR="005B59F4" w:rsidRPr="00FC4FB5" w:rsidTr="00F45986">
        <w:trPr>
          <w:gridBefore w:val="1"/>
          <w:gridAfter w:val="2"/>
          <w:wBefore w:w="20" w:type="pct"/>
          <w:wAfter w:w="21" w:type="pct"/>
          <w:cantSplit/>
          <w:trHeight w:val="523"/>
        </w:trPr>
        <w:tc>
          <w:tcPr>
            <w:tcW w:w="4959" w:type="pct"/>
            <w:gridSpan w:val="6"/>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center"/>
              <w:rPr>
                <w:b/>
                <w:sz w:val="28"/>
                <w:szCs w:val="28"/>
              </w:rPr>
            </w:pPr>
            <w:r w:rsidRPr="00FC4FB5">
              <w:rPr>
                <w:b/>
                <w:sz w:val="28"/>
                <w:szCs w:val="28"/>
              </w:rPr>
              <w:t>1.tabula</w:t>
            </w:r>
          </w:p>
          <w:p w:rsidR="005B59F4" w:rsidRPr="00FC4FB5" w:rsidRDefault="005B59F4" w:rsidP="0015589C">
            <w:pPr>
              <w:ind w:left="57"/>
              <w:jc w:val="center"/>
              <w:rPr>
                <w:b/>
                <w:sz w:val="28"/>
                <w:szCs w:val="28"/>
              </w:rPr>
            </w:pPr>
            <w:r w:rsidRPr="00FC4FB5">
              <w:rPr>
                <w:b/>
                <w:sz w:val="28"/>
                <w:szCs w:val="28"/>
              </w:rPr>
              <w:t>Tiesību akta projekta atbilstība ES tiesību aktiem</w:t>
            </w:r>
          </w:p>
        </w:tc>
      </w:tr>
      <w:tr w:rsidR="005B59F4" w:rsidRPr="00FC4FB5" w:rsidTr="006D0880">
        <w:trPr>
          <w:gridBefore w:val="1"/>
          <w:gridAfter w:val="2"/>
          <w:wBefore w:w="20" w:type="pct"/>
          <w:wAfter w:w="21" w:type="pct"/>
          <w:cantSplit/>
          <w:trHeight w:val="1111"/>
        </w:trPr>
        <w:tc>
          <w:tcPr>
            <w:tcW w:w="864" w:type="pct"/>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z w:val="28"/>
                <w:szCs w:val="28"/>
              </w:rPr>
            </w:pPr>
            <w:r w:rsidRPr="00FC4FB5">
              <w:rPr>
                <w:sz w:val="28"/>
                <w:szCs w:val="28"/>
              </w:rPr>
              <w:t>Attiecīgā ES tiesību akta datums, numurs un nosaukums</w:t>
            </w:r>
          </w:p>
        </w:tc>
        <w:tc>
          <w:tcPr>
            <w:tcW w:w="4095" w:type="pct"/>
            <w:gridSpan w:val="5"/>
            <w:tcBorders>
              <w:top w:val="outset" w:sz="6" w:space="0" w:color="auto"/>
              <w:left w:val="outset" w:sz="6" w:space="0" w:color="auto"/>
              <w:bottom w:val="outset" w:sz="6" w:space="0" w:color="auto"/>
              <w:right w:val="outset" w:sz="6" w:space="0" w:color="auto"/>
            </w:tcBorders>
          </w:tcPr>
          <w:p w:rsidR="005B59F4" w:rsidRPr="00FC4FB5" w:rsidRDefault="0032195B" w:rsidP="0015589C">
            <w:pPr>
              <w:spacing w:before="100" w:beforeAutospacing="1"/>
              <w:rPr>
                <w:sz w:val="28"/>
                <w:szCs w:val="28"/>
              </w:rPr>
            </w:pPr>
            <w:r w:rsidRPr="00FC4FB5">
              <w:rPr>
                <w:sz w:val="28"/>
                <w:szCs w:val="28"/>
              </w:rPr>
              <w:t>Eiropas Parlamenta un Padomes 2016. gada 11. maija Direktīva (ES) 2016/800 par procesuālajām garantijām bērniem, kuri ir aizdomās turētie vai apsūdzētie kriminālprocesā.</w:t>
            </w:r>
          </w:p>
        </w:tc>
      </w:tr>
      <w:tr w:rsidR="005B59F4" w:rsidRPr="00FC4FB5" w:rsidTr="00F45986">
        <w:trPr>
          <w:gridBefore w:val="1"/>
          <w:gridAfter w:val="2"/>
          <w:wBefore w:w="20" w:type="pct"/>
          <w:wAfter w:w="21" w:type="pct"/>
          <w:cantSplit/>
        </w:trPr>
        <w:tc>
          <w:tcPr>
            <w:tcW w:w="864" w:type="pct"/>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both"/>
              <w:rPr>
                <w:sz w:val="28"/>
                <w:szCs w:val="28"/>
              </w:rPr>
            </w:pPr>
            <w:r w:rsidRPr="00FC4FB5">
              <w:rPr>
                <w:sz w:val="28"/>
                <w:szCs w:val="28"/>
              </w:rPr>
              <w:t>A</w:t>
            </w:r>
          </w:p>
        </w:tc>
        <w:tc>
          <w:tcPr>
            <w:tcW w:w="1232" w:type="pct"/>
            <w:gridSpan w:val="2"/>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both"/>
              <w:rPr>
                <w:sz w:val="28"/>
                <w:szCs w:val="28"/>
              </w:rPr>
            </w:pPr>
            <w:r w:rsidRPr="00FC4FB5">
              <w:rPr>
                <w:sz w:val="28"/>
                <w:szCs w:val="28"/>
              </w:rPr>
              <w:t>B</w:t>
            </w:r>
          </w:p>
        </w:tc>
        <w:tc>
          <w:tcPr>
            <w:tcW w:w="1234" w:type="pct"/>
            <w:gridSpan w:val="2"/>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both"/>
              <w:rPr>
                <w:sz w:val="28"/>
                <w:szCs w:val="28"/>
              </w:rPr>
            </w:pPr>
            <w:r w:rsidRPr="00FC4FB5">
              <w:rPr>
                <w:sz w:val="28"/>
                <w:szCs w:val="28"/>
              </w:rPr>
              <w:t>C</w:t>
            </w:r>
          </w:p>
        </w:tc>
        <w:tc>
          <w:tcPr>
            <w:tcW w:w="1629" w:type="pct"/>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both"/>
              <w:rPr>
                <w:sz w:val="28"/>
                <w:szCs w:val="28"/>
              </w:rPr>
            </w:pPr>
            <w:r w:rsidRPr="00FC4FB5">
              <w:rPr>
                <w:sz w:val="28"/>
                <w:szCs w:val="28"/>
              </w:rPr>
              <w:t>D</w:t>
            </w:r>
          </w:p>
        </w:tc>
      </w:tr>
      <w:tr w:rsidR="005B59F4" w:rsidRPr="00FC4FB5" w:rsidTr="00F45986">
        <w:trPr>
          <w:gridBefore w:val="1"/>
          <w:gridAfter w:val="2"/>
          <w:wBefore w:w="20" w:type="pct"/>
          <w:wAfter w:w="21" w:type="pct"/>
          <w:cantSplit/>
          <w:trHeight w:val="5196"/>
        </w:trPr>
        <w:tc>
          <w:tcPr>
            <w:tcW w:w="864" w:type="pct"/>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pacing w:val="-3"/>
                <w:sz w:val="28"/>
                <w:szCs w:val="28"/>
              </w:rPr>
            </w:pPr>
            <w:r w:rsidRPr="00FC4FB5">
              <w:rPr>
                <w:spacing w:val="-3"/>
                <w:sz w:val="28"/>
                <w:szCs w:val="28"/>
              </w:rPr>
              <w:t>Attiecīgā ES tiesību akta panta numurs (uzskaitot katru tiesību akta vienību – pantu, daļu, punktu, apakšpunktu)</w:t>
            </w:r>
          </w:p>
        </w:tc>
        <w:tc>
          <w:tcPr>
            <w:tcW w:w="1232" w:type="pct"/>
            <w:gridSpan w:val="2"/>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pacing w:val="-3"/>
                <w:sz w:val="28"/>
                <w:szCs w:val="28"/>
              </w:rPr>
            </w:pPr>
            <w:r w:rsidRPr="00FC4FB5">
              <w:rPr>
                <w:spacing w:val="-3"/>
                <w:sz w:val="28"/>
                <w:szCs w:val="28"/>
              </w:rPr>
              <w:t>Projekta vienība, kas pārņem vai ievieš katru šīs tabulas A ailē minēto ES tiesību akta vienību, vai tiesību akts, kur attiecīgā ES tiesību akta vienība pārņemta vai ieviesta</w:t>
            </w:r>
          </w:p>
        </w:tc>
        <w:tc>
          <w:tcPr>
            <w:tcW w:w="1234" w:type="pct"/>
            <w:gridSpan w:val="2"/>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pacing w:val="-3"/>
                <w:sz w:val="28"/>
                <w:szCs w:val="28"/>
              </w:rPr>
            </w:pPr>
            <w:r w:rsidRPr="00FC4FB5">
              <w:rPr>
                <w:spacing w:val="-3"/>
                <w:sz w:val="28"/>
                <w:szCs w:val="28"/>
              </w:rPr>
              <w:t>Informācija par to, vai šīs tabulas A ailē minētās ES tiesību akta vienības tiek pārņemtas vai ieviestas pilnībā vai daļēji.</w:t>
            </w:r>
          </w:p>
          <w:p w:rsidR="005B59F4" w:rsidRPr="00FC4FB5" w:rsidRDefault="005B59F4" w:rsidP="0015589C">
            <w:pPr>
              <w:ind w:left="57"/>
              <w:jc w:val="both"/>
              <w:rPr>
                <w:spacing w:val="-3"/>
                <w:sz w:val="28"/>
                <w:szCs w:val="28"/>
              </w:rPr>
            </w:pPr>
            <w:r w:rsidRPr="00FC4FB5">
              <w:rPr>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rsidR="005B59F4" w:rsidRPr="00FC4FB5" w:rsidRDefault="005B59F4" w:rsidP="0015589C">
            <w:pPr>
              <w:ind w:left="57"/>
              <w:jc w:val="both"/>
              <w:rPr>
                <w:spacing w:val="-3"/>
                <w:sz w:val="28"/>
                <w:szCs w:val="28"/>
              </w:rPr>
            </w:pPr>
            <w:r w:rsidRPr="00FC4FB5">
              <w:rPr>
                <w:spacing w:val="-3"/>
                <w:sz w:val="28"/>
                <w:szCs w:val="28"/>
              </w:rPr>
              <w:t>Norāda institūciju, kas ir atbildīga par šo saistību izpildi pilnībā</w:t>
            </w:r>
          </w:p>
        </w:tc>
        <w:tc>
          <w:tcPr>
            <w:tcW w:w="1629" w:type="pct"/>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z w:val="28"/>
                <w:szCs w:val="28"/>
              </w:rPr>
            </w:pPr>
            <w:r w:rsidRPr="00FC4FB5">
              <w:rPr>
                <w:spacing w:val="-3"/>
                <w:sz w:val="28"/>
                <w:szCs w:val="28"/>
              </w:rPr>
              <w:t xml:space="preserve">Informācija par to, vai šīs </w:t>
            </w:r>
            <w:r w:rsidRPr="00FC4FB5">
              <w:rPr>
                <w:sz w:val="28"/>
                <w:szCs w:val="28"/>
              </w:rPr>
              <w:t>tabulas B ailē minētās projekta vienības paredz stingrākas prasības nekā šīs tabulas A ailē minētās ES tiesību akta vienības.</w:t>
            </w:r>
          </w:p>
          <w:p w:rsidR="005B59F4" w:rsidRPr="00FC4FB5" w:rsidRDefault="005B59F4" w:rsidP="0015589C">
            <w:pPr>
              <w:ind w:left="57"/>
              <w:jc w:val="both"/>
              <w:rPr>
                <w:sz w:val="28"/>
                <w:szCs w:val="28"/>
              </w:rPr>
            </w:pPr>
            <w:r w:rsidRPr="00FC4FB5">
              <w:rPr>
                <w:sz w:val="28"/>
                <w:szCs w:val="28"/>
              </w:rPr>
              <w:t>Ja projekts satur stingrākas prasības nekā attiecīgais ES tiesību akts, norāda pamatojumu un samērīgumu.</w:t>
            </w:r>
          </w:p>
          <w:p w:rsidR="005B59F4" w:rsidRPr="00FC4FB5" w:rsidRDefault="005B59F4" w:rsidP="0015589C">
            <w:pPr>
              <w:ind w:left="57"/>
              <w:jc w:val="both"/>
              <w:rPr>
                <w:spacing w:val="-3"/>
                <w:sz w:val="28"/>
                <w:szCs w:val="28"/>
              </w:rPr>
            </w:pPr>
            <w:r w:rsidRPr="00FC4FB5">
              <w:rPr>
                <w:sz w:val="28"/>
                <w:szCs w:val="28"/>
              </w:rPr>
              <w:t>Norāda iespējamās alternatīvas (t.sk. alternatīvas, kas neparedz tiesiskā regulējuma izstrādi) – kādos gadījumos būtu iespējams izvairīties no stingrāku prasību</w:t>
            </w:r>
            <w:r w:rsidRPr="00FC4FB5">
              <w:rPr>
                <w:spacing w:val="-3"/>
                <w:sz w:val="28"/>
                <w:szCs w:val="28"/>
              </w:rPr>
              <w:t xml:space="preserve"> noteikšanas, nekā paredzēts attiecīgajos ES tiesību aktos</w:t>
            </w:r>
          </w:p>
        </w:tc>
      </w:tr>
      <w:tr w:rsidR="005B59F4" w:rsidRPr="00FC4FB5" w:rsidTr="00F45986">
        <w:trPr>
          <w:gridBefore w:val="1"/>
          <w:gridAfter w:val="2"/>
          <w:wBefore w:w="20" w:type="pct"/>
          <w:wAfter w:w="21" w:type="pct"/>
          <w:cantSplit/>
          <w:trHeight w:val="360"/>
        </w:trPr>
        <w:tc>
          <w:tcPr>
            <w:tcW w:w="864" w:type="pct"/>
            <w:tcBorders>
              <w:top w:val="outset" w:sz="6" w:space="0" w:color="auto"/>
              <w:left w:val="outset" w:sz="6" w:space="0" w:color="auto"/>
              <w:bottom w:val="outset" w:sz="6" w:space="0" w:color="auto"/>
              <w:right w:val="outset" w:sz="6" w:space="0" w:color="auto"/>
            </w:tcBorders>
            <w:shd w:val="clear" w:color="auto" w:fill="FFFFFF"/>
          </w:tcPr>
          <w:p w:rsidR="005B59F4" w:rsidRPr="00FC4FB5" w:rsidRDefault="0015284C" w:rsidP="0015589C">
            <w:pPr>
              <w:jc w:val="both"/>
              <w:rPr>
                <w:spacing w:val="-2"/>
                <w:sz w:val="28"/>
                <w:szCs w:val="28"/>
              </w:rPr>
            </w:pPr>
            <w:r w:rsidRPr="00FC4FB5">
              <w:rPr>
                <w:sz w:val="28"/>
                <w:szCs w:val="28"/>
              </w:rPr>
              <w:t>12.panta 5.punkta e) apakšpunkts</w:t>
            </w:r>
          </w:p>
        </w:tc>
        <w:tc>
          <w:tcPr>
            <w:tcW w:w="1232" w:type="pct"/>
            <w:gridSpan w:val="2"/>
            <w:tcBorders>
              <w:top w:val="outset" w:sz="6" w:space="0" w:color="auto"/>
              <w:left w:val="outset" w:sz="6" w:space="0" w:color="auto"/>
              <w:bottom w:val="outset" w:sz="6" w:space="0" w:color="auto"/>
              <w:right w:val="outset" w:sz="6" w:space="0" w:color="auto"/>
            </w:tcBorders>
            <w:shd w:val="clear" w:color="auto" w:fill="FFFFFF"/>
          </w:tcPr>
          <w:p w:rsidR="005B59F4" w:rsidRPr="00FC4FB5" w:rsidRDefault="0015284C" w:rsidP="0015284C">
            <w:pPr>
              <w:jc w:val="both"/>
              <w:rPr>
                <w:bCs/>
                <w:spacing w:val="-2"/>
                <w:sz w:val="28"/>
                <w:szCs w:val="28"/>
              </w:rPr>
            </w:pPr>
            <w:r w:rsidRPr="00FC4FB5">
              <w:rPr>
                <w:bCs/>
                <w:spacing w:val="-2"/>
                <w:sz w:val="28"/>
                <w:szCs w:val="28"/>
              </w:rPr>
              <w:t>P</w:t>
            </w:r>
            <w:r w:rsidR="009C1923" w:rsidRPr="00FC4FB5">
              <w:rPr>
                <w:bCs/>
                <w:spacing w:val="-2"/>
                <w:sz w:val="28"/>
                <w:szCs w:val="28"/>
              </w:rPr>
              <w:t>rojekts</w:t>
            </w:r>
          </w:p>
        </w:tc>
        <w:tc>
          <w:tcPr>
            <w:tcW w:w="1234" w:type="pct"/>
            <w:gridSpan w:val="2"/>
            <w:tcBorders>
              <w:top w:val="outset" w:sz="6" w:space="0" w:color="auto"/>
              <w:left w:val="outset" w:sz="6" w:space="0" w:color="auto"/>
              <w:bottom w:val="outset" w:sz="6" w:space="0" w:color="auto"/>
              <w:right w:val="outset" w:sz="6" w:space="0" w:color="auto"/>
            </w:tcBorders>
            <w:shd w:val="clear" w:color="auto" w:fill="FFFFFF"/>
          </w:tcPr>
          <w:p w:rsidR="005B59F4" w:rsidRPr="00FC4FB5" w:rsidRDefault="005B59F4" w:rsidP="0015589C">
            <w:pPr>
              <w:ind w:left="57"/>
              <w:jc w:val="both"/>
              <w:rPr>
                <w:spacing w:val="-2"/>
                <w:sz w:val="28"/>
                <w:szCs w:val="28"/>
              </w:rPr>
            </w:pPr>
            <w:r w:rsidRPr="00FC4FB5">
              <w:rPr>
                <w:spacing w:val="-2"/>
                <w:sz w:val="28"/>
                <w:szCs w:val="28"/>
              </w:rPr>
              <w:t>Pārņemts pilnībā</w:t>
            </w:r>
          </w:p>
        </w:tc>
        <w:tc>
          <w:tcPr>
            <w:tcW w:w="1629" w:type="pct"/>
            <w:tcBorders>
              <w:top w:val="outset" w:sz="6" w:space="0" w:color="auto"/>
              <w:left w:val="outset" w:sz="6" w:space="0" w:color="auto"/>
              <w:bottom w:val="outset" w:sz="6" w:space="0" w:color="auto"/>
              <w:right w:val="outset" w:sz="6" w:space="0" w:color="auto"/>
            </w:tcBorders>
            <w:shd w:val="clear" w:color="auto" w:fill="FFFFFF"/>
          </w:tcPr>
          <w:p w:rsidR="005B59F4" w:rsidRPr="00FC4FB5" w:rsidRDefault="005B59F4" w:rsidP="0015589C">
            <w:pPr>
              <w:ind w:left="57"/>
              <w:jc w:val="both"/>
              <w:rPr>
                <w:spacing w:val="-2"/>
                <w:sz w:val="28"/>
                <w:szCs w:val="28"/>
              </w:rPr>
            </w:pPr>
            <w:r w:rsidRPr="00FC4FB5">
              <w:rPr>
                <w:spacing w:val="-2"/>
                <w:sz w:val="28"/>
                <w:szCs w:val="28"/>
              </w:rPr>
              <w:t>Neparedz stingrākas prasības.</w:t>
            </w:r>
          </w:p>
        </w:tc>
      </w:tr>
      <w:tr w:rsidR="005B59F4" w:rsidRPr="00FC4FB5" w:rsidTr="00F45986">
        <w:trPr>
          <w:cantSplit/>
          <w:trHeight w:val="913"/>
        </w:trPr>
        <w:tc>
          <w:tcPr>
            <w:tcW w:w="2116"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5B59F4" w:rsidP="0015589C">
            <w:pPr>
              <w:ind w:left="57"/>
              <w:jc w:val="both"/>
              <w:rPr>
                <w:sz w:val="28"/>
                <w:szCs w:val="28"/>
              </w:rPr>
            </w:pPr>
            <w:r w:rsidRPr="00FC4FB5">
              <w:rPr>
                <w:sz w:val="28"/>
                <w:szCs w:val="28"/>
              </w:rPr>
              <w:t>Kā ir izmantota ES tiesību aktā paredzētā rīcības brīvība dalībvalstij pārņemt vai ieviest noteiktas ES tiesību akta normas? Kādēļ?</w:t>
            </w:r>
          </w:p>
        </w:tc>
        <w:tc>
          <w:tcPr>
            <w:tcW w:w="2884"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15284C" w:rsidP="0015284C">
            <w:pPr>
              <w:jc w:val="both"/>
              <w:rPr>
                <w:sz w:val="28"/>
                <w:szCs w:val="28"/>
              </w:rPr>
            </w:pPr>
            <w:r w:rsidRPr="00FC4FB5">
              <w:rPr>
                <w:sz w:val="28"/>
                <w:szCs w:val="28"/>
              </w:rPr>
              <w:t>P</w:t>
            </w:r>
            <w:r w:rsidR="005B59F4" w:rsidRPr="00FC4FB5">
              <w:rPr>
                <w:sz w:val="28"/>
                <w:szCs w:val="28"/>
              </w:rPr>
              <w:t>rojekts šo jomu neskar.</w:t>
            </w:r>
          </w:p>
        </w:tc>
      </w:tr>
      <w:tr w:rsidR="005B59F4" w:rsidRPr="00FC4FB5" w:rsidTr="00F45986">
        <w:trPr>
          <w:cantSplit/>
          <w:trHeight w:val="913"/>
        </w:trPr>
        <w:tc>
          <w:tcPr>
            <w:tcW w:w="2116"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5B59F4" w:rsidP="0015589C">
            <w:pPr>
              <w:ind w:left="57"/>
              <w:jc w:val="both"/>
              <w:rPr>
                <w:sz w:val="28"/>
                <w:szCs w:val="28"/>
              </w:rPr>
            </w:pPr>
            <w:r w:rsidRPr="00FC4FB5">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84"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15284C" w:rsidP="0015284C">
            <w:pPr>
              <w:jc w:val="both"/>
              <w:rPr>
                <w:sz w:val="28"/>
                <w:szCs w:val="28"/>
              </w:rPr>
            </w:pPr>
            <w:r w:rsidRPr="00FC4FB5">
              <w:rPr>
                <w:sz w:val="28"/>
                <w:szCs w:val="28"/>
              </w:rPr>
              <w:t>P</w:t>
            </w:r>
            <w:r w:rsidR="005B59F4" w:rsidRPr="00FC4FB5">
              <w:rPr>
                <w:sz w:val="28"/>
                <w:szCs w:val="28"/>
              </w:rPr>
              <w:t>rojekts šo jomu neskar.</w:t>
            </w:r>
          </w:p>
        </w:tc>
      </w:tr>
      <w:tr w:rsidR="005B59F4" w:rsidRPr="00FC4FB5" w:rsidTr="00F45986">
        <w:trPr>
          <w:cantSplit/>
          <w:trHeight w:val="913"/>
        </w:trPr>
        <w:tc>
          <w:tcPr>
            <w:tcW w:w="2116"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5B59F4" w:rsidP="0015589C">
            <w:pPr>
              <w:ind w:left="57"/>
              <w:jc w:val="both"/>
              <w:rPr>
                <w:sz w:val="28"/>
                <w:szCs w:val="28"/>
              </w:rPr>
            </w:pPr>
            <w:r w:rsidRPr="00FC4FB5">
              <w:rPr>
                <w:sz w:val="28"/>
                <w:szCs w:val="28"/>
              </w:rPr>
              <w:t>Cita informācija</w:t>
            </w:r>
          </w:p>
        </w:tc>
        <w:tc>
          <w:tcPr>
            <w:tcW w:w="2884"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5B59F4" w:rsidP="0015589C">
            <w:pPr>
              <w:ind w:left="57"/>
              <w:jc w:val="both"/>
              <w:rPr>
                <w:sz w:val="28"/>
                <w:szCs w:val="28"/>
              </w:rPr>
            </w:pPr>
            <w:r w:rsidRPr="00FC4FB5">
              <w:rPr>
                <w:sz w:val="28"/>
                <w:szCs w:val="28"/>
              </w:rPr>
              <w:t>Nav.</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4984" w:type="pct"/>
            <w:gridSpan w:val="8"/>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center"/>
              <w:rPr>
                <w:b/>
                <w:sz w:val="28"/>
                <w:szCs w:val="28"/>
              </w:rPr>
            </w:pPr>
            <w:r w:rsidRPr="00FC4FB5">
              <w:rPr>
                <w:b/>
                <w:sz w:val="28"/>
                <w:szCs w:val="28"/>
              </w:rPr>
              <w:t>2.tabula</w:t>
            </w:r>
          </w:p>
          <w:p w:rsidR="005B59F4" w:rsidRPr="00FC4FB5" w:rsidRDefault="005B59F4" w:rsidP="0015589C">
            <w:pPr>
              <w:ind w:left="57"/>
              <w:jc w:val="center"/>
              <w:rPr>
                <w:b/>
                <w:sz w:val="28"/>
                <w:szCs w:val="28"/>
              </w:rPr>
            </w:pPr>
            <w:r w:rsidRPr="00FC4FB5">
              <w:rPr>
                <w:b/>
                <w:sz w:val="28"/>
                <w:szCs w:val="28"/>
              </w:rPr>
              <w:t>Ar tiesību akta projektu izpildītās vai uzņemtās saistības, kas izriet no starptautiskajiem tiesību aktiem vai starptautiskas institūcijas vai organizācijas dokumentiem.</w:t>
            </w:r>
          </w:p>
          <w:p w:rsidR="005B59F4" w:rsidRPr="00FC4FB5" w:rsidRDefault="005B59F4" w:rsidP="0015589C">
            <w:pPr>
              <w:ind w:left="57"/>
              <w:jc w:val="center"/>
              <w:rPr>
                <w:b/>
                <w:sz w:val="28"/>
                <w:szCs w:val="28"/>
              </w:rPr>
            </w:pPr>
            <w:r w:rsidRPr="00FC4FB5">
              <w:rPr>
                <w:b/>
                <w:sz w:val="28"/>
                <w:szCs w:val="28"/>
              </w:rPr>
              <w:t>Pasākumi šo saistību izpildei</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rPr>
                <w:sz w:val="28"/>
                <w:szCs w:val="28"/>
              </w:rPr>
            </w:pPr>
            <w:r w:rsidRPr="00FC4FB5">
              <w:rPr>
                <w:sz w:val="28"/>
                <w:szCs w:val="28"/>
              </w:rPr>
              <w:t>Attiecīgā starptautiskā tiesību akta vai starptautiskas institūcijas vai organizācijas dokumenta (turpmāk – starptautiskais dokuments) datums, numurs un nosaukums</w:t>
            </w:r>
          </w:p>
        </w:tc>
        <w:tc>
          <w:tcPr>
            <w:tcW w:w="3633" w:type="pct"/>
            <w:gridSpan w:val="5"/>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Eiropas Cilvēka tiesību un pamatbrīvību aizsardzības konvencija.</w:t>
            </w:r>
          </w:p>
          <w:p w:rsidR="005B59F4" w:rsidRPr="00FC4FB5" w:rsidRDefault="005B59F4" w:rsidP="0015589C">
            <w:pPr>
              <w:rPr>
                <w:sz w:val="28"/>
                <w:szCs w:val="28"/>
              </w:rPr>
            </w:pP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center"/>
              <w:rPr>
                <w:sz w:val="28"/>
                <w:szCs w:val="28"/>
              </w:rPr>
            </w:pPr>
            <w:r w:rsidRPr="00FC4FB5">
              <w:rPr>
                <w:sz w:val="28"/>
                <w:szCs w:val="28"/>
              </w:rPr>
              <w:t>A</w:t>
            </w:r>
          </w:p>
        </w:tc>
        <w:tc>
          <w:tcPr>
            <w:tcW w:w="1698" w:type="pct"/>
            <w:gridSpan w:val="2"/>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center"/>
              <w:rPr>
                <w:sz w:val="28"/>
                <w:szCs w:val="28"/>
              </w:rPr>
            </w:pPr>
            <w:r w:rsidRPr="00FC4FB5">
              <w:rPr>
                <w:sz w:val="28"/>
                <w:szCs w:val="28"/>
              </w:rPr>
              <w:t>B</w:t>
            </w:r>
          </w:p>
        </w:tc>
        <w:tc>
          <w:tcPr>
            <w:tcW w:w="1935" w:type="pct"/>
            <w:gridSpan w:val="3"/>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center"/>
              <w:rPr>
                <w:sz w:val="28"/>
                <w:szCs w:val="28"/>
              </w:rPr>
            </w:pPr>
            <w:r w:rsidRPr="00FC4FB5">
              <w:rPr>
                <w:sz w:val="28"/>
                <w:szCs w:val="28"/>
              </w:rPr>
              <w:t>C</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Starptautiskās saistības (pēc būtības), kas izriet no norādītā starptautis</w:t>
            </w:r>
            <w:r w:rsidRPr="00FC4FB5">
              <w:rPr>
                <w:sz w:val="28"/>
                <w:szCs w:val="28"/>
              </w:rPr>
              <w:softHyphen/>
              <w:t>kā dokumenta.</w:t>
            </w:r>
          </w:p>
          <w:p w:rsidR="005B59F4" w:rsidRPr="00FC4FB5" w:rsidRDefault="005B59F4" w:rsidP="0015589C">
            <w:pPr>
              <w:ind w:left="57"/>
              <w:rPr>
                <w:sz w:val="28"/>
                <w:szCs w:val="28"/>
              </w:rPr>
            </w:pPr>
            <w:r w:rsidRPr="00FC4FB5">
              <w:rPr>
                <w:sz w:val="28"/>
                <w:szCs w:val="28"/>
              </w:rPr>
              <w:t>Konkrēti veicamie pasākumi vai uzdevumi, kas nepieciešami šo starptautisko saistību izpildei</w:t>
            </w:r>
          </w:p>
        </w:tc>
        <w:tc>
          <w:tcPr>
            <w:tcW w:w="1698" w:type="pct"/>
            <w:gridSpan w:val="2"/>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935"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Informācija par to, vai starptautiskās saistības, kas minētas šīs tabulas A ailē, tiek izpildītas pilnībā vai daļēji.</w:t>
            </w:r>
          </w:p>
          <w:p w:rsidR="005B59F4" w:rsidRPr="00FC4FB5" w:rsidRDefault="005B59F4" w:rsidP="0015589C">
            <w:pPr>
              <w:ind w:left="57"/>
              <w:rPr>
                <w:sz w:val="28"/>
                <w:szCs w:val="28"/>
              </w:rPr>
            </w:pPr>
            <w:r w:rsidRPr="00FC4FB5">
              <w:rPr>
                <w:sz w:val="28"/>
                <w:szCs w:val="28"/>
              </w:rPr>
              <w:t>Ja attiecīgās starptautiskās saistības tiek izpildītas daļēji, sniedz skaidrojumu, kā arī precīzi norāda, kad un kādā veidā starptautiskās saistības tiks izpildītas pilnībā.</w:t>
            </w:r>
          </w:p>
          <w:p w:rsidR="005B59F4" w:rsidRPr="00FC4FB5" w:rsidRDefault="005B59F4" w:rsidP="0015589C">
            <w:pPr>
              <w:ind w:left="57" w:right="57"/>
              <w:rPr>
                <w:sz w:val="28"/>
                <w:szCs w:val="28"/>
              </w:rPr>
            </w:pPr>
            <w:r w:rsidRPr="00FC4FB5">
              <w:rPr>
                <w:sz w:val="28"/>
                <w:szCs w:val="28"/>
              </w:rPr>
              <w:t>Norāda institūciju, kas ir atbildīga par šo saistību izpildi pilnībā</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Eiropas Cilvēka tiesību un pamatbr</w:t>
            </w:r>
            <w:r w:rsidR="0050628F" w:rsidRPr="00FC4FB5">
              <w:rPr>
                <w:sz w:val="28"/>
                <w:szCs w:val="28"/>
              </w:rPr>
              <w:t>īvību aizsardzības konvencijas 9</w:t>
            </w:r>
            <w:r w:rsidRPr="00FC4FB5">
              <w:rPr>
                <w:sz w:val="28"/>
                <w:szCs w:val="28"/>
              </w:rPr>
              <w:t>.pants</w:t>
            </w:r>
          </w:p>
        </w:tc>
        <w:tc>
          <w:tcPr>
            <w:tcW w:w="1698" w:type="pct"/>
            <w:gridSpan w:val="2"/>
            <w:tcBorders>
              <w:top w:val="outset" w:sz="6" w:space="0" w:color="auto"/>
              <w:left w:val="outset" w:sz="6" w:space="0" w:color="auto"/>
              <w:bottom w:val="outset" w:sz="6" w:space="0" w:color="auto"/>
              <w:right w:val="outset" w:sz="6" w:space="0" w:color="auto"/>
            </w:tcBorders>
          </w:tcPr>
          <w:p w:rsidR="005B59F4" w:rsidRPr="00FC4FB5" w:rsidRDefault="0050628F" w:rsidP="0050628F">
            <w:pPr>
              <w:rPr>
                <w:sz w:val="28"/>
                <w:szCs w:val="28"/>
              </w:rPr>
            </w:pPr>
            <w:r w:rsidRPr="00FC4FB5">
              <w:rPr>
                <w:sz w:val="28"/>
                <w:szCs w:val="28"/>
              </w:rPr>
              <w:t>Projekts</w:t>
            </w:r>
          </w:p>
        </w:tc>
        <w:tc>
          <w:tcPr>
            <w:tcW w:w="1935"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Starptautiskās saistības tiek izpildītas pilnībā.</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Vai starptautiskajā dokumentā paredzētās saistības nav pretrunā ar jau esošajām Latvijas Republikas starptautis</w:t>
            </w:r>
            <w:r w:rsidRPr="00FC4FB5">
              <w:rPr>
                <w:sz w:val="28"/>
                <w:szCs w:val="28"/>
              </w:rPr>
              <w:softHyphen/>
              <w:t>kajām saistībām</w:t>
            </w:r>
          </w:p>
        </w:tc>
        <w:tc>
          <w:tcPr>
            <w:tcW w:w="3633" w:type="pct"/>
            <w:gridSpan w:val="5"/>
            <w:tcBorders>
              <w:top w:val="outset" w:sz="6" w:space="0" w:color="auto"/>
              <w:left w:val="outset" w:sz="6" w:space="0" w:color="auto"/>
              <w:bottom w:val="outset" w:sz="6" w:space="0" w:color="auto"/>
              <w:right w:val="outset" w:sz="6" w:space="0" w:color="auto"/>
            </w:tcBorders>
          </w:tcPr>
          <w:p w:rsidR="005B59F4" w:rsidRPr="00FC4FB5" w:rsidRDefault="00F45986" w:rsidP="00F45986">
            <w:pPr>
              <w:jc w:val="both"/>
              <w:rPr>
                <w:sz w:val="28"/>
                <w:szCs w:val="28"/>
              </w:rPr>
            </w:pPr>
            <w:r w:rsidRPr="00FC4FB5">
              <w:rPr>
                <w:sz w:val="28"/>
                <w:szCs w:val="28"/>
              </w:rPr>
              <w:t>P</w:t>
            </w:r>
            <w:r w:rsidR="005B59F4" w:rsidRPr="00FC4FB5">
              <w:rPr>
                <w:sz w:val="28"/>
                <w:szCs w:val="28"/>
              </w:rPr>
              <w:t>rojekts šo jomu neskar</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Cita informācija</w:t>
            </w:r>
          </w:p>
        </w:tc>
        <w:tc>
          <w:tcPr>
            <w:tcW w:w="3633" w:type="pct"/>
            <w:gridSpan w:val="5"/>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z w:val="28"/>
                <w:szCs w:val="28"/>
              </w:rPr>
            </w:pPr>
            <w:r w:rsidRPr="00FC4FB5">
              <w:rPr>
                <w:sz w:val="28"/>
                <w:szCs w:val="28"/>
              </w:rPr>
              <w:t>Nav</w:t>
            </w:r>
          </w:p>
        </w:tc>
      </w:tr>
    </w:tbl>
    <w:p w:rsidR="003530C3" w:rsidRPr="00FC4FB5" w:rsidRDefault="003530C3" w:rsidP="005B59F4">
      <w:pPr>
        <w:pStyle w:val="Title"/>
        <w:spacing w:before="130" w:line="260" w:lineRule="exact"/>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FC4FB5" w:rsidTr="00F77A6F">
        <w:trPr>
          <w:cantSplit/>
        </w:trPr>
        <w:tc>
          <w:tcPr>
            <w:tcW w:w="5000" w:type="pct"/>
            <w:gridSpan w:val="3"/>
            <w:vAlign w:val="center"/>
            <w:hideMark/>
          </w:tcPr>
          <w:p w:rsidR="003530C3" w:rsidRPr="00FC4FB5" w:rsidRDefault="003530C3" w:rsidP="00F77A6F">
            <w:pPr>
              <w:jc w:val="center"/>
              <w:rPr>
                <w:b/>
                <w:bCs/>
                <w:sz w:val="28"/>
                <w:szCs w:val="28"/>
              </w:rPr>
            </w:pPr>
            <w:r w:rsidRPr="00FC4FB5">
              <w:rPr>
                <w:b/>
                <w:bCs/>
                <w:sz w:val="28"/>
                <w:szCs w:val="28"/>
              </w:rPr>
              <w:t>VI. Sabiedrības līdzdalība un komunikācijas aktivitātes</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1.</w:t>
            </w:r>
          </w:p>
        </w:tc>
        <w:tc>
          <w:tcPr>
            <w:tcW w:w="1479" w:type="pct"/>
            <w:hideMark/>
          </w:tcPr>
          <w:p w:rsidR="003530C3" w:rsidRPr="00FC4FB5" w:rsidRDefault="003530C3" w:rsidP="00F77A6F">
            <w:pPr>
              <w:rPr>
                <w:sz w:val="28"/>
                <w:szCs w:val="28"/>
              </w:rPr>
            </w:pPr>
            <w:r w:rsidRPr="00FC4FB5">
              <w:rPr>
                <w:sz w:val="28"/>
                <w:szCs w:val="28"/>
              </w:rPr>
              <w:t>Plānotās sabiedrības līdzdalības un komunikācijas aktivitātes saistībā ar projektu</w:t>
            </w:r>
          </w:p>
        </w:tc>
        <w:tc>
          <w:tcPr>
            <w:tcW w:w="3210" w:type="pct"/>
            <w:hideMark/>
          </w:tcPr>
          <w:p w:rsidR="003530C3" w:rsidRPr="00FC4FB5" w:rsidRDefault="003564CC" w:rsidP="00F77A6F">
            <w:pPr>
              <w:jc w:val="both"/>
              <w:rPr>
                <w:sz w:val="28"/>
                <w:szCs w:val="28"/>
              </w:rPr>
            </w:pPr>
            <w:r w:rsidRPr="00FC4FB5">
              <w:rPr>
                <w:color w:val="000000" w:themeColor="text1"/>
                <w:sz w:val="28"/>
                <w:szCs w:val="28"/>
              </w:rPr>
              <w:t xml:space="preserve">Projekts un tā sākotnējās ietekmes novērtējuma ziņojums (anotācija) pirms tā iesniegšanas Valsts sekretāru sanāksmē ievietots Iekšlietu ministrijas tīmekļvietnē </w:t>
            </w:r>
            <w:hyperlink r:id="rId6" w:history="1">
              <w:r w:rsidRPr="00FC4FB5">
                <w:rPr>
                  <w:rStyle w:val="Hyperlink"/>
                  <w:sz w:val="28"/>
                  <w:szCs w:val="28"/>
                </w:rPr>
                <w:t>www.iem.gov.lv</w:t>
              </w:r>
            </w:hyperlink>
            <w:r w:rsidRPr="00FC4FB5">
              <w:rPr>
                <w:color w:val="000000" w:themeColor="text1"/>
                <w:sz w:val="28"/>
                <w:szCs w:val="28"/>
              </w:rPr>
              <w:t xml:space="preserve"> sadaļā “Sabiedrības līdzdalība”, aicinot sabiedrību izteikt savu viedokli par projektu</w:t>
            </w:r>
            <w:r w:rsidR="00FE267D" w:rsidRPr="00FC4FB5">
              <w:rPr>
                <w:color w:val="000000" w:themeColor="text1"/>
                <w:sz w:val="28"/>
                <w:szCs w:val="28"/>
              </w:rPr>
              <w:t>.</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2.</w:t>
            </w:r>
          </w:p>
        </w:tc>
        <w:tc>
          <w:tcPr>
            <w:tcW w:w="1479" w:type="pct"/>
            <w:hideMark/>
          </w:tcPr>
          <w:p w:rsidR="003530C3" w:rsidRPr="00FC4FB5" w:rsidRDefault="003530C3" w:rsidP="00F77A6F">
            <w:pPr>
              <w:rPr>
                <w:sz w:val="28"/>
                <w:szCs w:val="28"/>
              </w:rPr>
            </w:pPr>
            <w:r w:rsidRPr="00FC4FB5">
              <w:rPr>
                <w:sz w:val="28"/>
                <w:szCs w:val="28"/>
              </w:rPr>
              <w:t>Sabiedrības līdzdalība projekta izstrādē</w:t>
            </w:r>
          </w:p>
        </w:tc>
        <w:tc>
          <w:tcPr>
            <w:tcW w:w="3210" w:type="pct"/>
            <w:hideMark/>
          </w:tcPr>
          <w:p w:rsidR="003530C3" w:rsidRPr="009F738C" w:rsidRDefault="00560F3B" w:rsidP="009F738C">
            <w:pPr>
              <w:pStyle w:val="NormalWeb"/>
              <w:spacing w:after="0"/>
              <w:jc w:val="both"/>
              <w:rPr>
                <w:sz w:val="28"/>
                <w:szCs w:val="28"/>
              </w:rPr>
            </w:pPr>
            <w:r w:rsidRPr="009F738C">
              <w:rPr>
                <w:sz w:val="28"/>
                <w:szCs w:val="28"/>
              </w:rPr>
              <w:t xml:space="preserve">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w:t>
            </w:r>
            <w:r w:rsidR="009F738C" w:rsidRPr="009F738C">
              <w:rPr>
                <w:sz w:val="28"/>
                <w:szCs w:val="28"/>
              </w:rPr>
              <w:t xml:space="preserve">Iekšlietu ministrijas tīmekļa vietnē </w:t>
            </w:r>
            <w:hyperlink r:id="rId7" w:history="1">
              <w:r w:rsidR="009F738C" w:rsidRPr="009F738C">
                <w:rPr>
                  <w:rStyle w:val="Hyperlink"/>
                  <w:sz w:val="28"/>
                  <w:szCs w:val="28"/>
                </w:rPr>
                <w:t>www.iem.gov.lv</w:t>
              </w:r>
            </w:hyperlink>
            <w:r w:rsidR="009F738C" w:rsidRPr="009F738C">
              <w:rPr>
                <w:color w:val="000000" w:themeColor="text1"/>
                <w:sz w:val="28"/>
                <w:szCs w:val="28"/>
              </w:rPr>
              <w:t xml:space="preserve"> sadaļā “Sabiedrības līdzdalība” 2018.gada 21.martā.</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3.</w:t>
            </w:r>
          </w:p>
        </w:tc>
        <w:tc>
          <w:tcPr>
            <w:tcW w:w="1479" w:type="pct"/>
            <w:hideMark/>
          </w:tcPr>
          <w:p w:rsidR="003530C3" w:rsidRPr="00FC4FB5" w:rsidRDefault="003530C3" w:rsidP="00F77A6F">
            <w:pPr>
              <w:rPr>
                <w:sz w:val="28"/>
                <w:szCs w:val="28"/>
              </w:rPr>
            </w:pPr>
            <w:r w:rsidRPr="00FC4FB5">
              <w:rPr>
                <w:sz w:val="28"/>
                <w:szCs w:val="28"/>
              </w:rPr>
              <w:t>Sabiedrības līdzdalības rezultāti</w:t>
            </w:r>
          </w:p>
        </w:tc>
        <w:tc>
          <w:tcPr>
            <w:tcW w:w="3210" w:type="pct"/>
            <w:hideMark/>
          </w:tcPr>
          <w:p w:rsidR="003530C3" w:rsidRPr="00FC4FB5" w:rsidRDefault="00560F3B" w:rsidP="009F738C">
            <w:pPr>
              <w:pStyle w:val="NormalWeb"/>
              <w:spacing w:after="0"/>
              <w:jc w:val="both"/>
              <w:rPr>
                <w:sz w:val="28"/>
                <w:szCs w:val="28"/>
              </w:rPr>
            </w:pPr>
            <w:r w:rsidRPr="00560F3B">
              <w:rPr>
                <w:sz w:val="28"/>
                <w:szCs w:val="28"/>
              </w:rPr>
              <w:t xml:space="preserve">Pēc projekta publicēšanas Iekšlietu ministrijas tīmekļa vietnē </w:t>
            </w:r>
            <w:hyperlink r:id="rId8" w:history="1">
              <w:r w:rsidRPr="00560F3B">
                <w:rPr>
                  <w:rStyle w:val="Hyperlink"/>
                  <w:sz w:val="28"/>
                  <w:szCs w:val="28"/>
                </w:rPr>
                <w:t>www.iem.gov.lv</w:t>
              </w:r>
            </w:hyperlink>
            <w:r w:rsidRPr="00560F3B">
              <w:rPr>
                <w:color w:val="000000" w:themeColor="text1"/>
                <w:sz w:val="28"/>
                <w:szCs w:val="28"/>
              </w:rPr>
              <w:t xml:space="preserve"> sadaļā “Sabiedrības līdzdalība” </w:t>
            </w:r>
            <w:r w:rsidRPr="00560F3B">
              <w:rPr>
                <w:sz w:val="28"/>
                <w:szCs w:val="28"/>
              </w:rPr>
              <w:t>nav saņemtas atsauksmes, iebildumi vai priekšlikumi.</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4.</w:t>
            </w:r>
          </w:p>
        </w:tc>
        <w:tc>
          <w:tcPr>
            <w:tcW w:w="1479" w:type="pct"/>
            <w:hideMark/>
          </w:tcPr>
          <w:p w:rsidR="003530C3" w:rsidRPr="00FC4FB5" w:rsidRDefault="003530C3" w:rsidP="00F77A6F">
            <w:pPr>
              <w:rPr>
                <w:sz w:val="28"/>
                <w:szCs w:val="28"/>
              </w:rPr>
            </w:pPr>
            <w:r w:rsidRPr="00FC4FB5">
              <w:rPr>
                <w:sz w:val="28"/>
                <w:szCs w:val="28"/>
              </w:rPr>
              <w:t>Cita informācija</w:t>
            </w:r>
          </w:p>
        </w:tc>
        <w:tc>
          <w:tcPr>
            <w:tcW w:w="3210" w:type="pct"/>
            <w:hideMark/>
          </w:tcPr>
          <w:p w:rsidR="003530C3" w:rsidRPr="00FC4FB5" w:rsidRDefault="003530C3" w:rsidP="00F77A6F">
            <w:pPr>
              <w:rPr>
                <w:sz w:val="28"/>
                <w:szCs w:val="28"/>
              </w:rPr>
            </w:pPr>
            <w:r w:rsidRPr="00FC4FB5">
              <w:rPr>
                <w:sz w:val="28"/>
                <w:szCs w:val="28"/>
              </w:rPr>
              <w:t>Nav.</w:t>
            </w:r>
          </w:p>
        </w:tc>
      </w:tr>
    </w:tbl>
    <w:p w:rsidR="00E15674" w:rsidRPr="00FC4FB5" w:rsidRDefault="00E15674"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FC4FB5" w:rsidTr="00F77A6F">
        <w:trPr>
          <w:cantSplit/>
        </w:trPr>
        <w:tc>
          <w:tcPr>
            <w:tcW w:w="5000" w:type="pct"/>
            <w:gridSpan w:val="3"/>
            <w:vAlign w:val="center"/>
            <w:hideMark/>
          </w:tcPr>
          <w:p w:rsidR="003530C3" w:rsidRPr="00FC4FB5" w:rsidRDefault="003530C3" w:rsidP="00F77A6F">
            <w:pPr>
              <w:jc w:val="center"/>
              <w:rPr>
                <w:b/>
                <w:bCs/>
                <w:sz w:val="28"/>
                <w:szCs w:val="28"/>
              </w:rPr>
            </w:pPr>
            <w:r w:rsidRPr="00FC4FB5">
              <w:rPr>
                <w:b/>
                <w:bCs/>
                <w:sz w:val="28"/>
                <w:szCs w:val="28"/>
              </w:rPr>
              <w:t>VII. Tiesību akta projekta izpildes nodrošināšana un tās ietekme uz institūcijām</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1.</w:t>
            </w:r>
          </w:p>
        </w:tc>
        <w:tc>
          <w:tcPr>
            <w:tcW w:w="1479" w:type="pct"/>
            <w:hideMark/>
          </w:tcPr>
          <w:p w:rsidR="003530C3" w:rsidRPr="00FC4FB5" w:rsidRDefault="003530C3" w:rsidP="00F77A6F">
            <w:pPr>
              <w:rPr>
                <w:sz w:val="28"/>
                <w:szCs w:val="28"/>
              </w:rPr>
            </w:pPr>
            <w:r w:rsidRPr="00FC4FB5">
              <w:rPr>
                <w:sz w:val="28"/>
                <w:szCs w:val="28"/>
              </w:rPr>
              <w:t>Projekta izpildē iesaistītās institūcijas</w:t>
            </w:r>
          </w:p>
        </w:tc>
        <w:tc>
          <w:tcPr>
            <w:tcW w:w="3210" w:type="pct"/>
            <w:hideMark/>
          </w:tcPr>
          <w:p w:rsidR="003530C3" w:rsidRPr="00FC4FB5" w:rsidRDefault="00CC1E1E" w:rsidP="00F77A6F">
            <w:pPr>
              <w:rPr>
                <w:sz w:val="28"/>
                <w:szCs w:val="28"/>
              </w:rPr>
            </w:pPr>
            <w:r w:rsidRPr="00FC4FB5">
              <w:rPr>
                <w:sz w:val="28"/>
                <w:szCs w:val="28"/>
              </w:rPr>
              <w:t>Valsts policija</w:t>
            </w:r>
            <w:r w:rsidR="006D0880">
              <w:rPr>
                <w:sz w:val="28"/>
                <w:szCs w:val="28"/>
              </w:rPr>
              <w:t xml:space="preserve"> un Drošības policija</w:t>
            </w:r>
            <w:r w:rsidRPr="00FC4FB5">
              <w:rPr>
                <w:sz w:val="28"/>
                <w:szCs w:val="28"/>
              </w:rPr>
              <w:t>.</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2.</w:t>
            </w:r>
          </w:p>
        </w:tc>
        <w:tc>
          <w:tcPr>
            <w:tcW w:w="1479" w:type="pct"/>
            <w:hideMark/>
          </w:tcPr>
          <w:p w:rsidR="003530C3" w:rsidRPr="00FC4FB5" w:rsidRDefault="003530C3" w:rsidP="00F77A6F">
            <w:pPr>
              <w:rPr>
                <w:sz w:val="28"/>
                <w:szCs w:val="28"/>
              </w:rPr>
            </w:pPr>
            <w:r w:rsidRPr="00FC4FB5">
              <w:rPr>
                <w:sz w:val="28"/>
                <w:szCs w:val="28"/>
              </w:rPr>
              <w:t>Projekta izpildes ietekme uz pārvaldes funkcijām un institucionālo struktūru.</w:t>
            </w:r>
            <w:r w:rsidRPr="00FC4FB5">
              <w:rPr>
                <w:sz w:val="28"/>
                <w:szCs w:val="28"/>
              </w:rPr>
              <w:br/>
              <w:t>Jaunu institūciju izveide, esošu institūciju likvidācija vai reorganizācija, to ietekme uz institūcijas cilvēkresursiem</w:t>
            </w:r>
          </w:p>
        </w:tc>
        <w:tc>
          <w:tcPr>
            <w:tcW w:w="3210" w:type="pct"/>
            <w:hideMark/>
          </w:tcPr>
          <w:p w:rsidR="003530C3" w:rsidRPr="00FC4FB5" w:rsidRDefault="003530C3" w:rsidP="00F77A6F">
            <w:pPr>
              <w:jc w:val="both"/>
              <w:rPr>
                <w:sz w:val="28"/>
                <w:szCs w:val="28"/>
              </w:rPr>
            </w:pPr>
            <w:r w:rsidRPr="00FC4FB5">
              <w:rPr>
                <w:sz w:val="28"/>
                <w:szCs w:val="28"/>
              </w:rPr>
              <w:t>Projekta izpildes rezultātā nav paredzēta esošu institūciju likvidācija vai reorganizācija. Iestāžu institucionālā struktūra netiek ietekmēta, papildus cilvēkresursi nav nepieciešami.</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3.</w:t>
            </w:r>
          </w:p>
        </w:tc>
        <w:tc>
          <w:tcPr>
            <w:tcW w:w="1479" w:type="pct"/>
            <w:hideMark/>
          </w:tcPr>
          <w:p w:rsidR="003530C3" w:rsidRPr="00FC4FB5" w:rsidRDefault="003530C3" w:rsidP="00F77A6F">
            <w:pPr>
              <w:rPr>
                <w:sz w:val="28"/>
                <w:szCs w:val="28"/>
              </w:rPr>
            </w:pPr>
            <w:r w:rsidRPr="00FC4FB5">
              <w:rPr>
                <w:sz w:val="28"/>
                <w:szCs w:val="28"/>
              </w:rPr>
              <w:t>Cita informācija</w:t>
            </w:r>
          </w:p>
        </w:tc>
        <w:tc>
          <w:tcPr>
            <w:tcW w:w="3210" w:type="pct"/>
            <w:hideMark/>
          </w:tcPr>
          <w:p w:rsidR="003530C3" w:rsidRPr="00FC4FB5" w:rsidRDefault="003530C3" w:rsidP="00F77A6F">
            <w:pPr>
              <w:rPr>
                <w:sz w:val="28"/>
                <w:szCs w:val="28"/>
              </w:rPr>
            </w:pPr>
            <w:r w:rsidRPr="00FC4FB5">
              <w:rPr>
                <w:sz w:val="28"/>
                <w:szCs w:val="28"/>
              </w:rPr>
              <w:t>Nav.</w:t>
            </w:r>
          </w:p>
        </w:tc>
      </w:tr>
    </w:tbl>
    <w:p w:rsidR="003530C3" w:rsidRPr="00FC4FB5" w:rsidRDefault="003530C3" w:rsidP="003530C3">
      <w:pPr>
        <w:rPr>
          <w:sz w:val="28"/>
          <w:szCs w:val="28"/>
        </w:rPr>
      </w:pPr>
    </w:p>
    <w:p w:rsidR="003530C3" w:rsidRPr="00FC4FB5" w:rsidRDefault="003530C3" w:rsidP="003530C3">
      <w:pPr>
        <w:tabs>
          <w:tab w:val="left" w:pos="6521"/>
        </w:tabs>
        <w:jc w:val="both"/>
        <w:rPr>
          <w:sz w:val="28"/>
          <w:szCs w:val="28"/>
        </w:rPr>
      </w:pPr>
    </w:p>
    <w:p w:rsidR="003530C3" w:rsidRPr="00FC4FB5" w:rsidRDefault="001502EF" w:rsidP="003530C3">
      <w:pPr>
        <w:tabs>
          <w:tab w:val="left" w:pos="6521"/>
        </w:tabs>
        <w:jc w:val="both"/>
        <w:rPr>
          <w:sz w:val="28"/>
          <w:szCs w:val="28"/>
        </w:rPr>
      </w:pPr>
      <w:r w:rsidRPr="00FC4FB5">
        <w:rPr>
          <w:sz w:val="28"/>
          <w:szCs w:val="28"/>
        </w:rPr>
        <w:t>Iekšlietu ministrs</w:t>
      </w:r>
      <w:r w:rsidRPr="00FC4FB5">
        <w:rPr>
          <w:sz w:val="28"/>
          <w:szCs w:val="28"/>
        </w:rPr>
        <w:tab/>
        <w:t xml:space="preserve">Rihards </w:t>
      </w:r>
      <w:r w:rsidR="003530C3" w:rsidRPr="00FC4FB5">
        <w:rPr>
          <w:sz w:val="28"/>
          <w:szCs w:val="28"/>
        </w:rPr>
        <w:t>Kozlovskis</w:t>
      </w:r>
    </w:p>
    <w:p w:rsidR="003530C3" w:rsidRPr="00FC4FB5" w:rsidRDefault="003530C3" w:rsidP="003530C3">
      <w:pPr>
        <w:pStyle w:val="naisf"/>
        <w:rPr>
          <w:sz w:val="28"/>
          <w:szCs w:val="28"/>
        </w:rPr>
      </w:pPr>
    </w:p>
    <w:p w:rsidR="006606C1" w:rsidRPr="00FC4FB5" w:rsidRDefault="006606C1" w:rsidP="003530C3">
      <w:pPr>
        <w:pStyle w:val="naisf"/>
        <w:rPr>
          <w:sz w:val="28"/>
          <w:szCs w:val="28"/>
        </w:rPr>
      </w:pPr>
    </w:p>
    <w:p w:rsidR="003530C3" w:rsidRPr="00FC4FB5" w:rsidRDefault="00315698" w:rsidP="003530C3">
      <w:pPr>
        <w:pStyle w:val="naisf"/>
        <w:rPr>
          <w:sz w:val="28"/>
          <w:szCs w:val="28"/>
        </w:rPr>
      </w:pPr>
      <w:r>
        <w:rPr>
          <w:sz w:val="28"/>
          <w:szCs w:val="28"/>
        </w:rPr>
        <w:t>Vīza: valsts sekretārs</w:t>
      </w:r>
      <w:r>
        <w:rPr>
          <w:sz w:val="28"/>
          <w:szCs w:val="28"/>
        </w:rPr>
        <w:tab/>
      </w:r>
      <w:r>
        <w:rPr>
          <w:sz w:val="28"/>
          <w:szCs w:val="28"/>
        </w:rPr>
        <w:tab/>
      </w:r>
      <w:r>
        <w:rPr>
          <w:sz w:val="28"/>
          <w:szCs w:val="28"/>
        </w:rPr>
        <w:tab/>
      </w:r>
      <w:proofErr w:type="gramStart"/>
      <w:r>
        <w:rPr>
          <w:sz w:val="28"/>
          <w:szCs w:val="28"/>
        </w:rPr>
        <w:t xml:space="preserve">  </w:t>
      </w:r>
      <w:proofErr w:type="gramEnd"/>
      <w:r>
        <w:rPr>
          <w:sz w:val="28"/>
          <w:szCs w:val="28"/>
        </w:rPr>
        <w:tab/>
      </w:r>
      <w:r>
        <w:rPr>
          <w:sz w:val="28"/>
          <w:szCs w:val="28"/>
        </w:rPr>
        <w:tab/>
      </w:r>
      <w:r>
        <w:rPr>
          <w:sz w:val="28"/>
          <w:szCs w:val="28"/>
        </w:rPr>
        <w:tab/>
      </w:r>
      <w:proofErr w:type="spellStart"/>
      <w:r w:rsidR="001502EF" w:rsidRPr="00FC4FB5">
        <w:rPr>
          <w:sz w:val="28"/>
          <w:szCs w:val="28"/>
        </w:rPr>
        <w:t>Dimitrijs</w:t>
      </w:r>
      <w:proofErr w:type="spellEnd"/>
      <w:r w:rsidR="001502EF" w:rsidRPr="00FC4FB5">
        <w:rPr>
          <w:sz w:val="28"/>
          <w:szCs w:val="28"/>
        </w:rPr>
        <w:t xml:space="preserve"> </w:t>
      </w:r>
      <w:proofErr w:type="spellStart"/>
      <w:r w:rsidR="003530C3" w:rsidRPr="00FC4FB5">
        <w:rPr>
          <w:sz w:val="28"/>
          <w:szCs w:val="28"/>
        </w:rPr>
        <w:t>Trofimovs</w:t>
      </w:r>
      <w:proofErr w:type="spellEnd"/>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BB39F6" w:rsidRPr="00FC4FB5" w:rsidRDefault="00BB39F6" w:rsidP="003530C3">
      <w:pPr>
        <w:rPr>
          <w:sz w:val="28"/>
          <w:szCs w:val="28"/>
        </w:rPr>
      </w:pPr>
    </w:p>
    <w:p w:rsidR="00BB39F6" w:rsidRPr="00FC4FB5" w:rsidRDefault="00BB39F6" w:rsidP="003530C3">
      <w:pPr>
        <w:rPr>
          <w:sz w:val="28"/>
          <w:szCs w:val="28"/>
        </w:rPr>
      </w:pPr>
    </w:p>
    <w:p w:rsidR="00BB39F6" w:rsidRPr="00FC4FB5" w:rsidRDefault="00BB39F6" w:rsidP="003530C3">
      <w:pPr>
        <w:rPr>
          <w:sz w:val="28"/>
          <w:szCs w:val="28"/>
        </w:rPr>
      </w:pPr>
    </w:p>
    <w:p w:rsidR="00BB39F6" w:rsidRPr="00FC4FB5" w:rsidRDefault="00BB39F6" w:rsidP="003530C3">
      <w:pPr>
        <w:rPr>
          <w:sz w:val="28"/>
          <w:szCs w:val="28"/>
        </w:rPr>
      </w:pPr>
    </w:p>
    <w:p w:rsidR="00BB39F6" w:rsidRPr="00FC4FB5" w:rsidRDefault="00BB39F6" w:rsidP="003530C3">
      <w:pPr>
        <w:rPr>
          <w:sz w:val="28"/>
          <w:szCs w:val="28"/>
        </w:rPr>
      </w:pPr>
    </w:p>
    <w:p w:rsidR="00E35440" w:rsidRPr="00FC4FB5" w:rsidRDefault="00E35440" w:rsidP="003530C3">
      <w:pPr>
        <w:rPr>
          <w:sz w:val="28"/>
          <w:szCs w:val="28"/>
        </w:rPr>
      </w:pPr>
    </w:p>
    <w:p w:rsidR="003530C3" w:rsidRPr="00E04BDC" w:rsidRDefault="00850F70" w:rsidP="003530C3">
      <w:r w:rsidRPr="00E04BDC">
        <w:t>Lodīte</w:t>
      </w:r>
      <w:r w:rsidR="003530C3" w:rsidRPr="00E04BDC">
        <w:t xml:space="preserve">, </w:t>
      </w:r>
      <w:r w:rsidRPr="00E04BDC">
        <w:t>67075423</w:t>
      </w:r>
    </w:p>
    <w:p w:rsidR="003530C3" w:rsidRPr="00E04BDC" w:rsidRDefault="00FD3EFB" w:rsidP="003530C3">
      <w:hyperlink r:id="rId9" w:history="1">
        <w:r w:rsidR="00850F70" w:rsidRPr="00E04BDC">
          <w:rPr>
            <w:rStyle w:val="Hyperlink"/>
          </w:rPr>
          <w:t>inese.lodite@vp.gov.lv</w:t>
        </w:r>
      </w:hyperlink>
    </w:p>
    <w:p w:rsidR="003530C3" w:rsidRPr="00E04BDC" w:rsidRDefault="00E04BDC" w:rsidP="003530C3">
      <w:r w:rsidRPr="00E04BDC">
        <w:t>Katkovska, 67829513</w:t>
      </w:r>
    </w:p>
    <w:p w:rsidR="00E04BDC" w:rsidRPr="00E04BDC" w:rsidRDefault="00FD3EFB" w:rsidP="003530C3">
      <w:hyperlink r:id="rId10" w:history="1">
        <w:r w:rsidR="00E04BDC" w:rsidRPr="009977A2">
          <w:rPr>
            <w:rStyle w:val="Hyperlink"/>
          </w:rPr>
          <w:t>inga.katkovska@vp.gov.lv</w:t>
        </w:r>
      </w:hyperlink>
    </w:p>
    <w:p w:rsidR="00E04BDC" w:rsidRPr="00E04BDC" w:rsidRDefault="00E04BDC" w:rsidP="003530C3"/>
    <w:p w:rsidR="00657815" w:rsidRPr="00FC4FB5" w:rsidRDefault="00657815">
      <w:pPr>
        <w:rPr>
          <w:sz w:val="28"/>
          <w:szCs w:val="28"/>
        </w:rPr>
      </w:pPr>
    </w:p>
    <w:sectPr w:rsidR="00657815" w:rsidRPr="00FC4FB5" w:rsidSect="00AD37B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CF" w:rsidRDefault="00A96ACF" w:rsidP="00576B88">
      <w:r>
        <w:separator/>
      </w:r>
    </w:p>
  </w:endnote>
  <w:endnote w:type="continuationSeparator" w:id="0">
    <w:p w:rsidR="00A96ACF" w:rsidRDefault="00A96ACF"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FB" w:rsidRDefault="00FD3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B5" w:rsidRDefault="00266E6B" w:rsidP="00B364B5">
    <w:pPr>
      <w:pStyle w:val="Footer"/>
      <w:jc w:val="both"/>
    </w:pPr>
    <w:r>
      <w:rPr>
        <w:sz w:val="20"/>
        <w:szCs w:val="20"/>
      </w:rPr>
      <w:t>IEMa</w:t>
    </w:r>
    <w:r w:rsidR="00B364B5">
      <w:rPr>
        <w:sz w:val="20"/>
        <w:szCs w:val="20"/>
      </w:rPr>
      <w:t>n</w:t>
    </w:r>
    <w:r w:rsidR="00B364B5" w:rsidRPr="003E0172">
      <w:rPr>
        <w:sz w:val="20"/>
        <w:szCs w:val="20"/>
      </w:rPr>
      <w:t>ot_</w:t>
    </w:r>
    <w:r w:rsidR="00FD3EFB">
      <w:rPr>
        <w:sz w:val="20"/>
        <w:szCs w:val="20"/>
      </w:rPr>
      <w:t>11</w:t>
    </w:r>
    <w:bookmarkStart w:id="0" w:name="_GoBack"/>
    <w:bookmarkEnd w:id="0"/>
    <w:r w:rsidR="00B95A9F">
      <w:rPr>
        <w:sz w:val="20"/>
        <w:szCs w:val="20"/>
      </w:rPr>
      <w:t>04</w:t>
    </w:r>
    <w:r w:rsidR="00B364B5">
      <w:rPr>
        <w:sz w:val="20"/>
        <w:szCs w:val="20"/>
      </w:rPr>
      <w:t>18</w:t>
    </w:r>
    <w:r w:rsidR="00B364B5" w:rsidRPr="003E0172">
      <w:rPr>
        <w:sz w:val="20"/>
        <w:szCs w:val="20"/>
      </w:rPr>
      <w:t>_</w:t>
    </w:r>
    <w:r w:rsidR="00B364B5">
      <w:rPr>
        <w:sz w:val="20"/>
        <w:szCs w:val="20"/>
      </w:rPr>
      <w:t>groz</w:t>
    </w:r>
    <w:r w:rsidR="00C600EE">
      <w:rPr>
        <w:sz w:val="20"/>
        <w:szCs w:val="20"/>
      </w:rPr>
      <w:t>_</w:t>
    </w:r>
    <w:r w:rsidR="00B364B5">
      <w:rPr>
        <w:sz w:val="20"/>
        <w:szCs w:val="20"/>
      </w:rPr>
      <w:t>289</w:t>
    </w:r>
  </w:p>
  <w:p w:rsidR="00576B88" w:rsidRPr="00B364B5" w:rsidRDefault="00576B88" w:rsidP="00B36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B6" w:rsidRDefault="00266E6B" w:rsidP="00AB27B1">
    <w:pPr>
      <w:pStyle w:val="Footer"/>
      <w:jc w:val="both"/>
    </w:pPr>
    <w:r>
      <w:rPr>
        <w:sz w:val="20"/>
        <w:szCs w:val="20"/>
      </w:rPr>
      <w:t>IEMa</w:t>
    </w:r>
    <w:r w:rsidR="00B364B5">
      <w:rPr>
        <w:sz w:val="20"/>
        <w:szCs w:val="20"/>
      </w:rPr>
      <w:t>n</w:t>
    </w:r>
    <w:r w:rsidR="00576B88" w:rsidRPr="003E0172">
      <w:rPr>
        <w:sz w:val="20"/>
        <w:szCs w:val="20"/>
      </w:rPr>
      <w:t>ot_</w:t>
    </w:r>
    <w:r w:rsidR="00FD3EFB">
      <w:rPr>
        <w:sz w:val="20"/>
        <w:szCs w:val="20"/>
      </w:rPr>
      <w:t>11</w:t>
    </w:r>
    <w:r w:rsidR="00B95A9F">
      <w:rPr>
        <w:sz w:val="20"/>
        <w:szCs w:val="20"/>
      </w:rPr>
      <w:t>04</w:t>
    </w:r>
    <w:r w:rsidR="00576B88">
      <w:rPr>
        <w:sz w:val="20"/>
        <w:szCs w:val="20"/>
      </w:rPr>
      <w:t>18</w:t>
    </w:r>
    <w:r w:rsidR="00576B88" w:rsidRPr="003E0172">
      <w:rPr>
        <w:sz w:val="20"/>
        <w:szCs w:val="20"/>
      </w:rPr>
      <w:t>_</w:t>
    </w:r>
    <w:r w:rsidR="00B364B5">
      <w:rPr>
        <w:sz w:val="20"/>
        <w:szCs w:val="20"/>
      </w:rPr>
      <w:t>groz</w:t>
    </w:r>
    <w:r w:rsidR="00C600EE">
      <w:rPr>
        <w:sz w:val="20"/>
        <w:szCs w:val="20"/>
      </w:rPr>
      <w:t>_</w:t>
    </w:r>
    <w:r w:rsidR="00B364B5">
      <w:rPr>
        <w:sz w:val="20"/>
        <w:szCs w:val="20"/>
      </w:rPr>
      <w:t>289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CF" w:rsidRDefault="00A96ACF" w:rsidP="00576B88">
      <w:r>
        <w:separator/>
      </w:r>
    </w:p>
  </w:footnote>
  <w:footnote w:type="continuationSeparator" w:id="0">
    <w:p w:rsidR="00A96ACF" w:rsidRDefault="00A96ACF"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FB" w:rsidRDefault="00FD3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AD37B6" w:rsidRDefault="00060D2F">
        <w:pPr>
          <w:pStyle w:val="Header"/>
          <w:jc w:val="center"/>
        </w:pPr>
        <w:r>
          <w:fldChar w:fldCharType="begin"/>
        </w:r>
        <w:r>
          <w:instrText xml:space="preserve"> PAGE   \* MERGEFORMAT </w:instrText>
        </w:r>
        <w:r>
          <w:fldChar w:fldCharType="separate"/>
        </w:r>
        <w:r w:rsidR="00FD3EFB">
          <w:rPr>
            <w:noProof/>
          </w:rPr>
          <w:t>2</w:t>
        </w:r>
        <w:r>
          <w:rPr>
            <w:noProof/>
          </w:rPr>
          <w:fldChar w:fldCharType="end"/>
        </w:r>
      </w:p>
    </w:sdtContent>
  </w:sdt>
  <w:p w:rsidR="00AD37B6" w:rsidRDefault="00FD3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FB" w:rsidRDefault="00FD3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3"/>
    <w:rsid w:val="00006A1F"/>
    <w:rsid w:val="000372E7"/>
    <w:rsid w:val="00043A6B"/>
    <w:rsid w:val="00060D2F"/>
    <w:rsid w:val="0008796D"/>
    <w:rsid w:val="000A0B42"/>
    <w:rsid w:val="000A733A"/>
    <w:rsid w:val="000B11B2"/>
    <w:rsid w:val="000B15DA"/>
    <w:rsid w:val="000C1335"/>
    <w:rsid w:val="000F6620"/>
    <w:rsid w:val="00107BC6"/>
    <w:rsid w:val="00117044"/>
    <w:rsid w:val="0014339B"/>
    <w:rsid w:val="0014609C"/>
    <w:rsid w:val="001502EF"/>
    <w:rsid w:val="001523ED"/>
    <w:rsid w:val="0015284C"/>
    <w:rsid w:val="00152ED1"/>
    <w:rsid w:val="00156E01"/>
    <w:rsid w:val="001836E9"/>
    <w:rsid w:val="00184889"/>
    <w:rsid w:val="001A5CB2"/>
    <w:rsid w:val="001B1B4C"/>
    <w:rsid w:val="001D19CC"/>
    <w:rsid w:val="001E1778"/>
    <w:rsid w:val="001F21D3"/>
    <w:rsid w:val="00217B17"/>
    <w:rsid w:val="00226917"/>
    <w:rsid w:val="002418FE"/>
    <w:rsid w:val="00244D40"/>
    <w:rsid w:val="00254913"/>
    <w:rsid w:val="00264B3E"/>
    <w:rsid w:val="0026658A"/>
    <w:rsid w:val="00266E6B"/>
    <w:rsid w:val="00281088"/>
    <w:rsid w:val="0028174F"/>
    <w:rsid w:val="0029250C"/>
    <w:rsid w:val="002F17F7"/>
    <w:rsid w:val="00302D52"/>
    <w:rsid w:val="003068B1"/>
    <w:rsid w:val="003100E5"/>
    <w:rsid w:val="003120D8"/>
    <w:rsid w:val="00315698"/>
    <w:rsid w:val="0032195B"/>
    <w:rsid w:val="00332D38"/>
    <w:rsid w:val="00337F54"/>
    <w:rsid w:val="003530C3"/>
    <w:rsid w:val="003564CC"/>
    <w:rsid w:val="003608C6"/>
    <w:rsid w:val="00371F57"/>
    <w:rsid w:val="003814F5"/>
    <w:rsid w:val="00394466"/>
    <w:rsid w:val="0039665A"/>
    <w:rsid w:val="003C403F"/>
    <w:rsid w:val="003D53A2"/>
    <w:rsid w:val="003D6F31"/>
    <w:rsid w:val="003F70FA"/>
    <w:rsid w:val="0041782F"/>
    <w:rsid w:val="00430376"/>
    <w:rsid w:val="00433BC7"/>
    <w:rsid w:val="00443C03"/>
    <w:rsid w:val="004474C3"/>
    <w:rsid w:val="00466BE7"/>
    <w:rsid w:val="00486839"/>
    <w:rsid w:val="004A47E1"/>
    <w:rsid w:val="004B67EA"/>
    <w:rsid w:val="0050628F"/>
    <w:rsid w:val="005138A2"/>
    <w:rsid w:val="00513D24"/>
    <w:rsid w:val="005323A4"/>
    <w:rsid w:val="005328AE"/>
    <w:rsid w:val="0053559A"/>
    <w:rsid w:val="00551E8D"/>
    <w:rsid w:val="00560F3B"/>
    <w:rsid w:val="005654F9"/>
    <w:rsid w:val="00576B88"/>
    <w:rsid w:val="005B264C"/>
    <w:rsid w:val="005B59F4"/>
    <w:rsid w:val="005C064D"/>
    <w:rsid w:val="005C722A"/>
    <w:rsid w:val="005C72DC"/>
    <w:rsid w:val="005F576A"/>
    <w:rsid w:val="00615FAB"/>
    <w:rsid w:val="006238E5"/>
    <w:rsid w:val="00623E07"/>
    <w:rsid w:val="00625BCC"/>
    <w:rsid w:val="00627960"/>
    <w:rsid w:val="0063369C"/>
    <w:rsid w:val="00645C90"/>
    <w:rsid w:val="00657815"/>
    <w:rsid w:val="006606C1"/>
    <w:rsid w:val="00664737"/>
    <w:rsid w:val="00670B10"/>
    <w:rsid w:val="006B0E42"/>
    <w:rsid w:val="006B6EB2"/>
    <w:rsid w:val="006C12FD"/>
    <w:rsid w:val="006C2F54"/>
    <w:rsid w:val="006C7661"/>
    <w:rsid w:val="006D0880"/>
    <w:rsid w:val="006E41E7"/>
    <w:rsid w:val="00704736"/>
    <w:rsid w:val="00743DD9"/>
    <w:rsid w:val="00745C3D"/>
    <w:rsid w:val="007578A6"/>
    <w:rsid w:val="00777C79"/>
    <w:rsid w:val="00783693"/>
    <w:rsid w:val="0079518E"/>
    <w:rsid w:val="007A7E6D"/>
    <w:rsid w:val="007B75FA"/>
    <w:rsid w:val="007C3E8F"/>
    <w:rsid w:val="007C731F"/>
    <w:rsid w:val="007E7008"/>
    <w:rsid w:val="008059DA"/>
    <w:rsid w:val="00825BD7"/>
    <w:rsid w:val="00850F70"/>
    <w:rsid w:val="008539A0"/>
    <w:rsid w:val="00866081"/>
    <w:rsid w:val="008707C6"/>
    <w:rsid w:val="00875C0F"/>
    <w:rsid w:val="00881D34"/>
    <w:rsid w:val="00896738"/>
    <w:rsid w:val="00897380"/>
    <w:rsid w:val="008A65C6"/>
    <w:rsid w:val="008B2B89"/>
    <w:rsid w:val="008C6B6F"/>
    <w:rsid w:val="008D3EC2"/>
    <w:rsid w:val="008D528D"/>
    <w:rsid w:val="008E38F9"/>
    <w:rsid w:val="008E7E69"/>
    <w:rsid w:val="008F1AD8"/>
    <w:rsid w:val="00921006"/>
    <w:rsid w:val="00933470"/>
    <w:rsid w:val="00934F79"/>
    <w:rsid w:val="00945A15"/>
    <w:rsid w:val="00945A2D"/>
    <w:rsid w:val="00965A77"/>
    <w:rsid w:val="00975AA4"/>
    <w:rsid w:val="0097776B"/>
    <w:rsid w:val="00984B56"/>
    <w:rsid w:val="00994913"/>
    <w:rsid w:val="009A523E"/>
    <w:rsid w:val="009B1A4E"/>
    <w:rsid w:val="009C1923"/>
    <w:rsid w:val="009D126D"/>
    <w:rsid w:val="009E799C"/>
    <w:rsid w:val="009F5ACA"/>
    <w:rsid w:val="009F738C"/>
    <w:rsid w:val="00A02688"/>
    <w:rsid w:val="00A32E24"/>
    <w:rsid w:val="00A34D6B"/>
    <w:rsid w:val="00A518AE"/>
    <w:rsid w:val="00A96ACF"/>
    <w:rsid w:val="00AD3E3F"/>
    <w:rsid w:val="00AF3168"/>
    <w:rsid w:val="00B0797A"/>
    <w:rsid w:val="00B167D2"/>
    <w:rsid w:val="00B364B5"/>
    <w:rsid w:val="00B5199E"/>
    <w:rsid w:val="00B82DFC"/>
    <w:rsid w:val="00B86FAB"/>
    <w:rsid w:val="00B95A9F"/>
    <w:rsid w:val="00BB39F6"/>
    <w:rsid w:val="00BC56C7"/>
    <w:rsid w:val="00BE1C82"/>
    <w:rsid w:val="00BF6B13"/>
    <w:rsid w:val="00BF6E4C"/>
    <w:rsid w:val="00C3320C"/>
    <w:rsid w:val="00C600EE"/>
    <w:rsid w:val="00C61C0E"/>
    <w:rsid w:val="00C70874"/>
    <w:rsid w:val="00C728E2"/>
    <w:rsid w:val="00C80DC6"/>
    <w:rsid w:val="00C86D78"/>
    <w:rsid w:val="00C94AD4"/>
    <w:rsid w:val="00C94E18"/>
    <w:rsid w:val="00CB49FC"/>
    <w:rsid w:val="00CC1E1E"/>
    <w:rsid w:val="00CC503B"/>
    <w:rsid w:val="00CE5539"/>
    <w:rsid w:val="00CF447D"/>
    <w:rsid w:val="00D019EF"/>
    <w:rsid w:val="00D15690"/>
    <w:rsid w:val="00D230F7"/>
    <w:rsid w:val="00D546C4"/>
    <w:rsid w:val="00D975F8"/>
    <w:rsid w:val="00DA11B3"/>
    <w:rsid w:val="00DC10DD"/>
    <w:rsid w:val="00DD1ECC"/>
    <w:rsid w:val="00DD6EFD"/>
    <w:rsid w:val="00DF583A"/>
    <w:rsid w:val="00DF6EC0"/>
    <w:rsid w:val="00E04BDC"/>
    <w:rsid w:val="00E06846"/>
    <w:rsid w:val="00E07561"/>
    <w:rsid w:val="00E13E72"/>
    <w:rsid w:val="00E15674"/>
    <w:rsid w:val="00E2001A"/>
    <w:rsid w:val="00E35440"/>
    <w:rsid w:val="00E50754"/>
    <w:rsid w:val="00E65669"/>
    <w:rsid w:val="00EA6146"/>
    <w:rsid w:val="00ED097C"/>
    <w:rsid w:val="00ED1D23"/>
    <w:rsid w:val="00ED25B9"/>
    <w:rsid w:val="00EE2C39"/>
    <w:rsid w:val="00F04445"/>
    <w:rsid w:val="00F11E63"/>
    <w:rsid w:val="00F17C30"/>
    <w:rsid w:val="00F304D5"/>
    <w:rsid w:val="00F30B97"/>
    <w:rsid w:val="00F33D19"/>
    <w:rsid w:val="00F45986"/>
    <w:rsid w:val="00F50C2F"/>
    <w:rsid w:val="00F535DC"/>
    <w:rsid w:val="00F74FE0"/>
    <w:rsid w:val="00F94ACA"/>
    <w:rsid w:val="00F95F60"/>
    <w:rsid w:val="00FA40A1"/>
    <w:rsid w:val="00FA60CB"/>
    <w:rsid w:val="00FC4FB5"/>
    <w:rsid w:val="00FD3EFB"/>
    <w:rsid w:val="00FE267D"/>
    <w:rsid w:val="00FE4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D978ADA-E1C8-4EC5-BA9E-A30A20E9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3"/>
    <w:rPr>
      <w:rFonts w:eastAsia="Times New Roman" w:cs="Times New Roman"/>
      <w:sz w:val="24"/>
      <w:szCs w:val="24"/>
      <w:lang w:eastAsia="lv-LV"/>
    </w:rPr>
  </w:style>
  <w:style w:type="paragraph" w:styleId="Heading3">
    <w:name w:val="heading 3"/>
    <w:basedOn w:val="Normal"/>
    <w:link w:val="Heading3Char"/>
    <w:uiPriority w:val="9"/>
    <w:qFormat/>
    <w:rsid w:val="003530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C3"/>
    <w:rPr>
      <w:rFonts w:eastAsia="Times New Roman" w:cs="Times New Roman"/>
      <w:b/>
      <w:bCs/>
      <w:sz w:val="27"/>
      <w:szCs w:val="27"/>
      <w:lang w:eastAsia="lv-LV"/>
    </w:rPr>
  </w:style>
  <w:style w:type="paragraph" w:styleId="Title">
    <w:name w:val="Title"/>
    <w:basedOn w:val="Normal"/>
    <w:link w:val="TitleChar"/>
    <w:qFormat/>
    <w:rsid w:val="003530C3"/>
    <w:pPr>
      <w:jc w:val="center"/>
    </w:pPr>
    <w:rPr>
      <w:sz w:val="28"/>
      <w:szCs w:val="20"/>
      <w:lang w:eastAsia="en-US"/>
    </w:rPr>
  </w:style>
  <w:style w:type="character" w:customStyle="1" w:styleId="TitleChar">
    <w:name w:val="Title Char"/>
    <w:basedOn w:val="DefaultParagraphFont"/>
    <w:link w:val="Title"/>
    <w:rsid w:val="003530C3"/>
    <w:rPr>
      <w:rFonts w:eastAsia="Times New Roman" w:cs="Times New Roman"/>
      <w:szCs w:val="20"/>
    </w:rPr>
  </w:style>
  <w:style w:type="character" w:styleId="Hyperlink">
    <w:name w:val="Hyperlink"/>
    <w:basedOn w:val="DefaultParagraphFont"/>
    <w:uiPriority w:val="99"/>
    <w:unhideWhenUsed/>
    <w:rsid w:val="003530C3"/>
    <w:rPr>
      <w:color w:val="0000FF"/>
      <w:u w:val="single"/>
    </w:rPr>
  </w:style>
  <w:style w:type="paragraph" w:styleId="Header">
    <w:name w:val="header"/>
    <w:basedOn w:val="Normal"/>
    <w:link w:val="HeaderChar"/>
    <w:uiPriority w:val="99"/>
    <w:unhideWhenUsed/>
    <w:rsid w:val="003530C3"/>
    <w:pPr>
      <w:tabs>
        <w:tab w:val="center" w:pos="4153"/>
        <w:tab w:val="right" w:pos="8306"/>
      </w:tabs>
    </w:pPr>
  </w:style>
  <w:style w:type="character" w:customStyle="1" w:styleId="HeaderChar">
    <w:name w:val="Header Char"/>
    <w:basedOn w:val="DefaultParagraphFont"/>
    <w:link w:val="Header"/>
    <w:uiPriority w:val="99"/>
    <w:rsid w:val="003530C3"/>
    <w:rPr>
      <w:rFonts w:eastAsia="Times New Roman" w:cs="Times New Roman"/>
      <w:sz w:val="24"/>
      <w:szCs w:val="24"/>
      <w:lang w:eastAsia="lv-LV"/>
    </w:rPr>
  </w:style>
  <w:style w:type="paragraph" w:styleId="Footer">
    <w:name w:val="footer"/>
    <w:basedOn w:val="Normal"/>
    <w:link w:val="FooterChar"/>
    <w:uiPriority w:val="99"/>
    <w:unhideWhenUsed/>
    <w:rsid w:val="003530C3"/>
    <w:pPr>
      <w:tabs>
        <w:tab w:val="center" w:pos="4153"/>
        <w:tab w:val="right" w:pos="8306"/>
      </w:tabs>
    </w:pPr>
  </w:style>
  <w:style w:type="character" w:customStyle="1" w:styleId="FooterChar">
    <w:name w:val="Footer Char"/>
    <w:basedOn w:val="DefaultParagraphFont"/>
    <w:link w:val="Footer"/>
    <w:uiPriority w:val="99"/>
    <w:rsid w:val="003530C3"/>
    <w:rPr>
      <w:rFonts w:eastAsia="Times New Roman" w:cs="Times New Roman"/>
      <w:sz w:val="24"/>
      <w:szCs w:val="24"/>
      <w:lang w:eastAsia="lv-LV"/>
    </w:rPr>
  </w:style>
  <w:style w:type="paragraph" w:customStyle="1" w:styleId="naisf">
    <w:name w:val="naisf"/>
    <w:basedOn w:val="Normal"/>
    <w:rsid w:val="003530C3"/>
    <w:pPr>
      <w:spacing w:before="100" w:after="100"/>
    </w:pPr>
    <w:rPr>
      <w:szCs w:val="20"/>
    </w:rPr>
  </w:style>
  <w:style w:type="paragraph" w:customStyle="1" w:styleId="NormalWebCharChar">
    <w:name w:val="Normal (Web) Char Char"/>
    <w:basedOn w:val="Normal"/>
    <w:rsid w:val="003530C3"/>
    <w:pPr>
      <w:widowControl w:val="0"/>
      <w:suppressAutoHyphens/>
      <w:spacing w:before="280" w:after="280"/>
    </w:pPr>
    <w:rPr>
      <w:color w:val="000000"/>
      <w:sz w:val="20"/>
      <w:szCs w:val="20"/>
      <w:lang w:eastAsia="zh-CN"/>
    </w:rPr>
  </w:style>
  <w:style w:type="paragraph" w:styleId="ListParagraph">
    <w:name w:val="List Paragraph"/>
    <w:basedOn w:val="Normal"/>
    <w:uiPriority w:val="34"/>
    <w:qFormat/>
    <w:rsid w:val="006606C1"/>
    <w:pPr>
      <w:ind w:left="720"/>
      <w:contextualSpacing/>
    </w:pPr>
  </w:style>
  <w:style w:type="paragraph" w:styleId="BalloonText">
    <w:name w:val="Balloon Text"/>
    <w:basedOn w:val="Normal"/>
    <w:link w:val="BalloonTextChar"/>
    <w:uiPriority w:val="99"/>
    <w:semiHidden/>
    <w:unhideWhenUsed/>
    <w:rsid w:val="001D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CC"/>
    <w:rPr>
      <w:rFonts w:ascii="Segoe UI" w:eastAsia="Times New Roman" w:hAnsi="Segoe UI" w:cs="Segoe UI"/>
      <w:sz w:val="18"/>
      <w:szCs w:val="18"/>
      <w:lang w:eastAsia="lv-LV"/>
    </w:rPr>
  </w:style>
  <w:style w:type="paragraph" w:styleId="NormalWeb">
    <w:name w:val="Normal (Web)"/>
    <w:basedOn w:val="Normal"/>
    <w:uiPriority w:val="99"/>
    <w:unhideWhenUsed/>
    <w:rsid w:val="00866081"/>
    <w:pPr>
      <w:spacing w:before="100" w:beforeAutospacing="1" w:after="119"/>
    </w:pPr>
  </w:style>
  <w:style w:type="character" w:styleId="CommentReference">
    <w:name w:val="annotation reference"/>
    <w:rsid w:val="00C80D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4084">
      <w:bodyDiv w:val="1"/>
      <w:marLeft w:val="0"/>
      <w:marRight w:val="0"/>
      <w:marTop w:val="0"/>
      <w:marBottom w:val="0"/>
      <w:divBdr>
        <w:top w:val="none" w:sz="0" w:space="0" w:color="auto"/>
        <w:left w:val="none" w:sz="0" w:space="0" w:color="auto"/>
        <w:bottom w:val="none" w:sz="0" w:space="0" w:color="auto"/>
        <w:right w:val="none" w:sz="0" w:space="0" w:color="auto"/>
      </w:divBdr>
    </w:div>
    <w:div w:id="343675696">
      <w:bodyDiv w:val="1"/>
      <w:marLeft w:val="0"/>
      <w:marRight w:val="0"/>
      <w:marTop w:val="0"/>
      <w:marBottom w:val="0"/>
      <w:divBdr>
        <w:top w:val="none" w:sz="0" w:space="0" w:color="auto"/>
        <w:left w:val="none" w:sz="0" w:space="0" w:color="auto"/>
        <w:bottom w:val="none" w:sz="0" w:space="0" w:color="auto"/>
        <w:right w:val="none" w:sz="0" w:space="0" w:color="auto"/>
      </w:divBdr>
    </w:div>
    <w:div w:id="476184703">
      <w:bodyDiv w:val="1"/>
      <w:marLeft w:val="0"/>
      <w:marRight w:val="0"/>
      <w:marTop w:val="0"/>
      <w:marBottom w:val="0"/>
      <w:divBdr>
        <w:top w:val="none" w:sz="0" w:space="0" w:color="auto"/>
        <w:left w:val="none" w:sz="0" w:space="0" w:color="auto"/>
        <w:bottom w:val="none" w:sz="0" w:space="0" w:color="auto"/>
        <w:right w:val="none" w:sz="0" w:space="0" w:color="auto"/>
      </w:divBdr>
    </w:div>
    <w:div w:id="866605427">
      <w:bodyDiv w:val="1"/>
      <w:marLeft w:val="0"/>
      <w:marRight w:val="0"/>
      <w:marTop w:val="0"/>
      <w:marBottom w:val="0"/>
      <w:divBdr>
        <w:top w:val="none" w:sz="0" w:space="0" w:color="auto"/>
        <w:left w:val="none" w:sz="0" w:space="0" w:color="auto"/>
        <w:bottom w:val="none" w:sz="0" w:space="0" w:color="auto"/>
        <w:right w:val="none" w:sz="0" w:space="0" w:color="auto"/>
      </w:divBdr>
    </w:div>
    <w:div w:id="996806256">
      <w:bodyDiv w:val="1"/>
      <w:marLeft w:val="0"/>
      <w:marRight w:val="0"/>
      <w:marTop w:val="0"/>
      <w:marBottom w:val="0"/>
      <w:divBdr>
        <w:top w:val="none" w:sz="0" w:space="0" w:color="auto"/>
        <w:left w:val="none" w:sz="0" w:space="0" w:color="auto"/>
        <w:bottom w:val="none" w:sz="0" w:space="0" w:color="auto"/>
        <w:right w:val="none" w:sz="0" w:space="0" w:color="auto"/>
      </w:divBdr>
    </w:div>
    <w:div w:id="1018043821">
      <w:bodyDiv w:val="1"/>
      <w:marLeft w:val="0"/>
      <w:marRight w:val="0"/>
      <w:marTop w:val="0"/>
      <w:marBottom w:val="0"/>
      <w:divBdr>
        <w:top w:val="none" w:sz="0" w:space="0" w:color="auto"/>
        <w:left w:val="none" w:sz="0" w:space="0" w:color="auto"/>
        <w:bottom w:val="none" w:sz="0" w:space="0" w:color="auto"/>
        <w:right w:val="none" w:sz="0" w:space="0" w:color="auto"/>
      </w:divBdr>
    </w:div>
    <w:div w:id="1044718861">
      <w:bodyDiv w:val="1"/>
      <w:marLeft w:val="0"/>
      <w:marRight w:val="0"/>
      <w:marTop w:val="0"/>
      <w:marBottom w:val="0"/>
      <w:divBdr>
        <w:top w:val="none" w:sz="0" w:space="0" w:color="auto"/>
        <w:left w:val="none" w:sz="0" w:space="0" w:color="auto"/>
        <w:bottom w:val="none" w:sz="0" w:space="0" w:color="auto"/>
        <w:right w:val="none" w:sz="0" w:space="0" w:color="auto"/>
      </w:divBdr>
    </w:div>
    <w:div w:id="1161652500">
      <w:bodyDiv w:val="1"/>
      <w:marLeft w:val="0"/>
      <w:marRight w:val="0"/>
      <w:marTop w:val="0"/>
      <w:marBottom w:val="0"/>
      <w:divBdr>
        <w:top w:val="none" w:sz="0" w:space="0" w:color="auto"/>
        <w:left w:val="none" w:sz="0" w:space="0" w:color="auto"/>
        <w:bottom w:val="none" w:sz="0" w:space="0" w:color="auto"/>
        <w:right w:val="none" w:sz="0" w:space="0" w:color="auto"/>
      </w:divBdr>
    </w:div>
    <w:div w:id="1395473900">
      <w:bodyDiv w:val="1"/>
      <w:marLeft w:val="0"/>
      <w:marRight w:val="0"/>
      <w:marTop w:val="0"/>
      <w:marBottom w:val="0"/>
      <w:divBdr>
        <w:top w:val="none" w:sz="0" w:space="0" w:color="auto"/>
        <w:left w:val="none" w:sz="0" w:space="0" w:color="auto"/>
        <w:bottom w:val="none" w:sz="0" w:space="0" w:color="auto"/>
        <w:right w:val="none" w:sz="0" w:space="0" w:color="auto"/>
      </w:divBdr>
    </w:div>
    <w:div w:id="1471706958">
      <w:bodyDiv w:val="1"/>
      <w:marLeft w:val="0"/>
      <w:marRight w:val="0"/>
      <w:marTop w:val="0"/>
      <w:marBottom w:val="0"/>
      <w:divBdr>
        <w:top w:val="none" w:sz="0" w:space="0" w:color="auto"/>
        <w:left w:val="none" w:sz="0" w:space="0" w:color="auto"/>
        <w:bottom w:val="none" w:sz="0" w:space="0" w:color="auto"/>
        <w:right w:val="none" w:sz="0" w:space="0" w:color="auto"/>
      </w:divBdr>
    </w:div>
    <w:div w:id="1533105592">
      <w:bodyDiv w:val="1"/>
      <w:marLeft w:val="0"/>
      <w:marRight w:val="0"/>
      <w:marTop w:val="0"/>
      <w:marBottom w:val="0"/>
      <w:divBdr>
        <w:top w:val="none" w:sz="0" w:space="0" w:color="auto"/>
        <w:left w:val="none" w:sz="0" w:space="0" w:color="auto"/>
        <w:bottom w:val="none" w:sz="0" w:space="0" w:color="auto"/>
        <w:right w:val="none" w:sz="0" w:space="0" w:color="auto"/>
      </w:divBdr>
    </w:div>
    <w:div w:id="1715690539">
      <w:bodyDiv w:val="1"/>
      <w:marLeft w:val="0"/>
      <w:marRight w:val="0"/>
      <w:marTop w:val="0"/>
      <w:marBottom w:val="0"/>
      <w:divBdr>
        <w:top w:val="none" w:sz="0" w:space="0" w:color="auto"/>
        <w:left w:val="none" w:sz="0" w:space="0" w:color="auto"/>
        <w:bottom w:val="none" w:sz="0" w:space="0" w:color="auto"/>
        <w:right w:val="none" w:sz="0" w:space="0" w:color="auto"/>
      </w:divBdr>
    </w:div>
    <w:div w:id="19495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em.gov.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iem.gov.lv"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ga.katkovska@vp.gov.lv" TargetMode="External"/><Relationship Id="rId4" Type="http://schemas.openxmlformats.org/officeDocument/2006/relationships/footnotes" Target="footnotes.xml"/><Relationship Id="rId9" Type="http://schemas.openxmlformats.org/officeDocument/2006/relationships/hyperlink" Target="mailto:inese.lodite@vp.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2400</TotalTime>
  <Pages>12</Pages>
  <Words>12459</Words>
  <Characters>7102</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Inese Lodīte</cp:lastModifiedBy>
  <cp:revision>182</cp:revision>
  <cp:lastPrinted>2018-02-16T08:13:00Z</cp:lastPrinted>
  <dcterms:created xsi:type="dcterms:W3CDTF">2018-02-14T12:14:00Z</dcterms:created>
  <dcterms:modified xsi:type="dcterms:W3CDTF">2018-04-11T09:26:00Z</dcterms:modified>
</cp:coreProperties>
</file>