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46F5" w14:textId="77777777" w:rsidR="00323FEC" w:rsidRPr="006732DD" w:rsidRDefault="00323FEC" w:rsidP="00323FEC">
      <w:pPr>
        <w:jc w:val="center"/>
        <w:outlineLvl w:val="0"/>
        <w:rPr>
          <w:rFonts w:eastAsia="Times New Roman"/>
          <w:b/>
          <w:sz w:val="26"/>
          <w:szCs w:val="26"/>
          <w:lang w:eastAsia="lv-LV"/>
        </w:rPr>
      </w:pPr>
      <w:r w:rsidRPr="006732DD">
        <w:rPr>
          <w:rFonts w:eastAsia="Times New Roman"/>
          <w:b/>
          <w:sz w:val="26"/>
          <w:szCs w:val="26"/>
          <w:lang w:eastAsia="lv-LV"/>
        </w:rPr>
        <w:t>Ministru kabineta noteikumu projekta</w:t>
      </w:r>
    </w:p>
    <w:p w14:paraId="792CF2DA" w14:textId="0544180F" w:rsidR="00323FEC" w:rsidRPr="006732DD" w:rsidRDefault="00323FEC" w:rsidP="00323FEC">
      <w:pPr>
        <w:jc w:val="center"/>
        <w:rPr>
          <w:rFonts w:eastAsia="Times New Roman"/>
          <w:b/>
          <w:sz w:val="26"/>
          <w:szCs w:val="26"/>
          <w:lang w:eastAsia="lv-LV"/>
        </w:rPr>
      </w:pPr>
      <w:r w:rsidRPr="006732DD">
        <w:rPr>
          <w:rFonts w:eastAsia="Times New Roman"/>
          <w:b/>
          <w:sz w:val="26"/>
          <w:szCs w:val="26"/>
          <w:lang w:eastAsia="lv-LV"/>
        </w:rPr>
        <w:t>„Grozījumi Ministru kabineta 2005. gada 15. novembra noteikumos Nr.857 „</w:t>
      </w:r>
      <w:r w:rsidRPr="006732DD">
        <w:rPr>
          <w:b/>
          <w:color w:val="000000"/>
          <w:sz w:val="26"/>
          <w:szCs w:val="26"/>
          <w:lang w:eastAsia="lv-LV"/>
        </w:rPr>
        <w:t>Noteikumi par sociālajām garantijām bārenim un bez vecāku gādības palikušajam bērnam, kurš ir ārpusģimenes aprūpē, kā arī pēc ārpusģimenes aprūpes beigšanās</w:t>
      </w:r>
      <w:r w:rsidRPr="006732DD">
        <w:rPr>
          <w:rFonts w:eastAsia="Times New Roman"/>
          <w:b/>
          <w:sz w:val="26"/>
          <w:szCs w:val="26"/>
          <w:lang w:eastAsia="lv-LV"/>
        </w:rPr>
        <w:t>” sākotnējās ietekmes novērtējuma ziņojums (anotācija)</w:t>
      </w:r>
    </w:p>
    <w:p w14:paraId="3B3148D9" w14:textId="77777777" w:rsidR="00F23D57" w:rsidRPr="006732DD" w:rsidRDefault="00F23D57" w:rsidP="00915389">
      <w:pPr>
        <w:pStyle w:val="BodyText"/>
        <w:spacing w:after="0"/>
        <w:jc w:val="center"/>
        <w:rPr>
          <w:b/>
          <w:bCs/>
          <w:sz w:val="26"/>
          <w:szCs w:val="26"/>
          <w:lang w:val="lv-LV"/>
        </w:rPr>
      </w:pPr>
    </w:p>
    <w:tbl>
      <w:tblPr>
        <w:tblW w:w="5045"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344"/>
        <w:gridCol w:w="5792"/>
      </w:tblGrid>
      <w:tr w:rsidR="00F23D57" w:rsidRPr="006732DD" w14:paraId="08AA14D8" w14:textId="77777777" w:rsidTr="00F23D57">
        <w:trPr>
          <w:trHeight w:val="405"/>
        </w:trPr>
        <w:tc>
          <w:tcPr>
            <w:tcW w:w="5000" w:type="pct"/>
            <w:gridSpan w:val="2"/>
            <w:tcBorders>
              <w:top w:val="outset" w:sz="6" w:space="0" w:color="414142"/>
              <w:bottom w:val="outset" w:sz="6" w:space="0" w:color="414142"/>
            </w:tcBorders>
            <w:shd w:val="clear" w:color="auto" w:fill="FFFFFF"/>
            <w:vAlign w:val="center"/>
          </w:tcPr>
          <w:p w14:paraId="78705642" w14:textId="77777777" w:rsidR="00F23D57" w:rsidRPr="006732DD" w:rsidRDefault="00F23D57" w:rsidP="00921366">
            <w:pPr>
              <w:pStyle w:val="NoSpacing"/>
              <w:jc w:val="center"/>
              <w:rPr>
                <w:b/>
                <w:sz w:val="26"/>
                <w:szCs w:val="26"/>
              </w:rPr>
            </w:pPr>
            <w:r w:rsidRPr="006732DD">
              <w:rPr>
                <w:b/>
                <w:bCs/>
                <w:iCs/>
                <w:sz w:val="26"/>
                <w:szCs w:val="26"/>
                <w:lang w:val="sv-SE"/>
              </w:rPr>
              <w:t>Tiesību akta projekta anotācijas kopsavilkums</w:t>
            </w:r>
          </w:p>
        </w:tc>
      </w:tr>
      <w:tr w:rsidR="00F23D57" w:rsidRPr="006732DD" w14:paraId="63547C4C" w14:textId="77777777" w:rsidTr="00F23D57">
        <w:trPr>
          <w:trHeight w:val="405"/>
        </w:trPr>
        <w:tc>
          <w:tcPr>
            <w:tcW w:w="1830" w:type="pct"/>
            <w:tcBorders>
              <w:top w:val="outset" w:sz="6" w:space="0" w:color="414142"/>
              <w:left w:val="outset" w:sz="6" w:space="0" w:color="414142"/>
              <w:bottom w:val="outset" w:sz="6" w:space="0" w:color="414142"/>
              <w:right w:val="outset" w:sz="6" w:space="0" w:color="414142"/>
            </w:tcBorders>
            <w:shd w:val="clear" w:color="auto" w:fill="FFFFFF"/>
          </w:tcPr>
          <w:p w14:paraId="7FEE6779" w14:textId="77777777" w:rsidR="00F23D57" w:rsidRPr="006732DD" w:rsidRDefault="00F23D57" w:rsidP="00921366">
            <w:pPr>
              <w:pStyle w:val="NoSpacing"/>
              <w:rPr>
                <w:sz w:val="26"/>
                <w:szCs w:val="26"/>
              </w:rPr>
            </w:pPr>
            <w:r w:rsidRPr="006732DD">
              <w:rPr>
                <w:iCs/>
                <w:sz w:val="26"/>
                <w:szCs w:val="26"/>
              </w:rPr>
              <w:t>Mērķis, risinājums un projekta spēkā stāšanās laiks (500 zīmes bez atstarpēm)</w:t>
            </w:r>
          </w:p>
        </w:tc>
        <w:tc>
          <w:tcPr>
            <w:tcW w:w="3170" w:type="pct"/>
            <w:tcBorders>
              <w:top w:val="outset" w:sz="6" w:space="0" w:color="414142"/>
              <w:left w:val="outset" w:sz="6" w:space="0" w:color="414142"/>
              <w:bottom w:val="outset" w:sz="6" w:space="0" w:color="414142"/>
            </w:tcBorders>
            <w:shd w:val="clear" w:color="auto" w:fill="FFFFFF"/>
          </w:tcPr>
          <w:p w14:paraId="0598310E" w14:textId="205BA455" w:rsidR="00F0212F" w:rsidRPr="006732DD" w:rsidRDefault="00195CA3" w:rsidP="00CE7189">
            <w:pPr>
              <w:ind w:firstLine="0"/>
              <w:jc w:val="both"/>
              <w:outlineLvl w:val="0"/>
              <w:rPr>
                <w:sz w:val="26"/>
                <w:szCs w:val="26"/>
                <w:lang w:eastAsia="lv-LV"/>
              </w:rPr>
            </w:pPr>
            <w:r w:rsidRPr="006732DD">
              <w:rPr>
                <w:rFonts w:eastAsia="Times New Roman"/>
                <w:sz w:val="26"/>
                <w:szCs w:val="26"/>
                <w:lang w:eastAsia="lv-LV"/>
              </w:rPr>
              <w:t>Ministru kabineta noteikumu projekt</w:t>
            </w:r>
            <w:r w:rsidR="00847274" w:rsidRPr="006732DD">
              <w:rPr>
                <w:rFonts w:eastAsia="Times New Roman"/>
                <w:sz w:val="26"/>
                <w:szCs w:val="26"/>
                <w:lang w:eastAsia="lv-LV"/>
              </w:rPr>
              <w:t>s</w:t>
            </w:r>
            <w:r w:rsidRPr="006732DD">
              <w:rPr>
                <w:rFonts w:eastAsia="Times New Roman"/>
                <w:sz w:val="26"/>
                <w:szCs w:val="26"/>
                <w:lang w:eastAsia="lv-LV"/>
              </w:rPr>
              <w:t xml:space="preserve"> “Grozījumi Ministru kabineta 2005. gada 15. novembra noteikumos Nr.857 „</w:t>
            </w:r>
            <w:r w:rsidRPr="006732DD">
              <w:rPr>
                <w:color w:val="000000"/>
                <w:sz w:val="26"/>
                <w:szCs w:val="26"/>
                <w:lang w:eastAsia="lv-LV"/>
              </w:rPr>
              <w:t>Noteikumi par sociālajām garantijām bārenim un bez vecāku gādības palikušajam bērnam, kurš ir ārpusģimenes aprūpē, kā arī pēc ārpusģimenes aprūpes beigšanās</w:t>
            </w:r>
            <w:r w:rsidRPr="006732DD">
              <w:rPr>
                <w:rFonts w:eastAsia="Times New Roman"/>
                <w:sz w:val="26"/>
                <w:szCs w:val="26"/>
                <w:lang w:eastAsia="lv-LV"/>
              </w:rPr>
              <w:t>” (turpmāk - Noteikumu projekts) ir izstrādāts, lai</w:t>
            </w:r>
            <w:r w:rsidR="00F0212F" w:rsidRPr="006732DD">
              <w:rPr>
                <w:rFonts w:eastAsia="Times New Roman"/>
                <w:sz w:val="26"/>
                <w:szCs w:val="26"/>
                <w:lang w:eastAsia="lv-LV"/>
              </w:rPr>
              <w:t>:</w:t>
            </w:r>
          </w:p>
          <w:p w14:paraId="481864B9" w14:textId="15093FFB" w:rsidR="00F0212F" w:rsidRPr="006732DD" w:rsidRDefault="0039458D" w:rsidP="0039458D">
            <w:pPr>
              <w:pStyle w:val="ListParagraph"/>
              <w:numPr>
                <w:ilvl w:val="0"/>
                <w:numId w:val="11"/>
              </w:numPr>
              <w:jc w:val="both"/>
              <w:outlineLvl w:val="0"/>
              <w:rPr>
                <w:sz w:val="26"/>
                <w:szCs w:val="26"/>
                <w:lang w:eastAsia="lv-LV"/>
              </w:rPr>
            </w:pPr>
            <w:r w:rsidRPr="0039458D">
              <w:rPr>
                <w:rFonts w:eastAsia="Times New Roman"/>
                <w:sz w:val="26"/>
                <w:szCs w:val="26"/>
                <w:lang w:eastAsia="lv-LV"/>
              </w:rPr>
              <w:t>Ministru kabineta 2005. gada 15. novembra noteikum</w:t>
            </w:r>
            <w:r>
              <w:rPr>
                <w:rFonts w:eastAsia="Times New Roman"/>
                <w:sz w:val="26"/>
                <w:szCs w:val="26"/>
                <w:lang w:eastAsia="lv-LV"/>
              </w:rPr>
              <w:t>u</w:t>
            </w:r>
            <w:r w:rsidRPr="0039458D">
              <w:rPr>
                <w:rFonts w:eastAsia="Times New Roman"/>
                <w:sz w:val="26"/>
                <w:szCs w:val="26"/>
                <w:lang w:eastAsia="lv-LV"/>
              </w:rPr>
              <w:t>s Nr.857 „Noteikumi par sociālajām garantijām bārenim un bez vecāku gādības palikušajam bērnam, kurš ir ārpusģimenes aprūpē, kā arī pēc ārpusģimenes aprūpes beigšanās” (turpmāk - Noteikumi Nr. 857)</w:t>
            </w:r>
            <w:r>
              <w:rPr>
                <w:rFonts w:eastAsia="Times New Roman"/>
                <w:sz w:val="26"/>
                <w:szCs w:val="26"/>
                <w:lang w:eastAsia="lv-LV"/>
              </w:rPr>
              <w:t xml:space="preserve"> saskaņotu ar </w:t>
            </w:r>
            <w:r w:rsidR="00FC4FF8" w:rsidRPr="006732DD">
              <w:rPr>
                <w:rFonts w:eastAsia="Times New Roman"/>
                <w:sz w:val="26"/>
                <w:szCs w:val="26"/>
                <w:lang w:eastAsia="lv-LV"/>
              </w:rPr>
              <w:t>Bērnu tiesību aizsardzības likum</w:t>
            </w:r>
            <w:r>
              <w:rPr>
                <w:rFonts w:eastAsia="Times New Roman"/>
                <w:sz w:val="26"/>
                <w:szCs w:val="26"/>
                <w:lang w:eastAsia="lv-LV"/>
              </w:rPr>
              <w:t>u</w:t>
            </w:r>
            <w:r w:rsidR="00FC4FF8" w:rsidRPr="006732DD">
              <w:rPr>
                <w:rFonts w:eastAsia="Times New Roman"/>
                <w:sz w:val="26"/>
                <w:szCs w:val="26"/>
                <w:lang w:eastAsia="lv-LV"/>
              </w:rPr>
              <w:t xml:space="preserve"> attiecībā uz ārpusģimenes apr</w:t>
            </w:r>
            <w:r w:rsidR="00F0212F" w:rsidRPr="006732DD">
              <w:rPr>
                <w:rFonts w:eastAsia="Times New Roman"/>
                <w:sz w:val="26"/>
                <w:szCs w:val="26"/>
                <w:lang w:eastAsia="lv-LV"/>
              </w:rPr>
              <w:t xml:space="preserve">ūpes </w:t>
            </w:r>
            <w:r w:rsidR="00FC4FF8" w:rsidRPr="006732DD">
              <w:rPr>
                <w:rFonts w:eastAsia="Times New Roman"/>
                <w:sz w:val="26"/>
                <w:szCs w:val="26"/>
                <w:lang w:eastAsia="lv-LV"/>
              </w:rPr>
              <w:t>formām</w:t>
            </w:r>
            <w:r w:rsidR="00F0212F" w:rsidRPr="006732DD">
              <w:rPr>
                <w:rFonts w:eastAsia="Times New Roman"/>
                <w:sz w:val="26"/>
                <w:szCs w:val="26"/>
                <w:lang w:eastAsia="lv-LV"/>
              </w:rPr>
              <w:t>;</w:t>
            </w:r>
          </w:p>
          <w:p w14:paraId="18C45C6E" w14:textId="033FD909" w:rsidR="00F0212F" w:rsidRPr="006732DD" w:rsidRDefault="00847274" w:rsidP="00CE7189">
            <w:pPr>
              <w:pStyle w:val="ListParagraph"/>
              <w:numPr>
                <w:ilvl w:val="0"/>
                <w:numId w:val="11"/>
              </w:numPr>
              <w:jc w:val="both"/>
              <w:outlineLvl w:val="0"/>
              <w:rPr>
                <w:sz w:val="26"/>
                <w:szCs w:val="26"/>
                <w:lang w:eastAsia="lv-LV"/>
              </w:rPr>
            </w:pPr>
            <w:r w:rsidRPr="006732DD">
              <w:rPr>
                <w:rFonts w:eastAsia="Times New Roman"/>
                <w:sz w:val="26"/>
                <w:szCs w:val="26"/>
                <w:lang w:eastAsia="lv-LV"/>
              </w:rPr>
              <w:t xml:space="preserve"> </w:t>
            </w:r>
            <w:r w:rsidR="00F0212F" w:rsidRPr="006732DD">
              <w:rPr>
                <w:rFonts w:eastAsia="Times New Roman"/>
                <w:sz w:val="26"/>
                <w:szCs w:val="26"/>
                <w:lang w:eastAsia="lv-LV"/>
              </w:rPr>
              <w:t xml:space="preserve">nodrošinātu sociālās garantijas bāreņiem un </w:t>
            </w:r>
            <w:r w:rsidRPr="006732DD">
              <w:rPr>
                <w:rFonts w:eastAsia="Times New Roman"/>
                <w:sz w:val="26"/>
                <w:szCs w:val="26"/>
                <w:lang w:eastAsia="lv-LV"/>
              </w:rPr>
              <w:t>bez vecāku gādības palikušiem bērniem,</w:t>
            </w:r>
            <w:r w:rsidR="00F0212F" w:rsidRPr="006732DD">
              <w:rPr>
                <w:rFonts w:eastAsia="Times New Roman"/>
                <w:sz w:val="26"/>
                <w:szCs w:val="26"/>
                <w:lang w:eastAsia="lv-LV"/>
              </w:rPr>
              <w:t xml:space="preserve"> </w:t>
            </w:r>
            <w:r w:rsidR="00957B98" w:rsidRPr="006732DD">
              <w:rPr>
                <w:rFonts w:eastAsia="Times New Roman"/>
                <w:sz w:val="26"/>
                <w:szCs w:val="26"/>
                <w:lang w:eastAsia="lv-LV"/>
              </w:rPr>
              <w:t xml:space="preserve">kuri iegūst izglītību, </w:t>
            </w:r>
            <w:r w:rsidR="00F0212F" w:rsidRPr="006732DD">
              <w:rPr>
                <w:rFonts w:eastAsia="Times New Roman"/>
                <w:sz w:val="26"/>
                <w:szCs w:val="26"/>
                <w:lang w:eastAsia="lv-LV"/>
              </w:rPr>
              <w:t>neatkarīgi no izglītības procesa pārtraukumiem un izglītības ieguves formām;</w:t>
            </w:r>
          </w:p>
          <w:p w14:paraId="0CE21FDB" w14:textId="77777777" w:rsidR="00F23D57" w:rsidRPr="006E5A72" w:rsidRDefault="001B6D8D" w:rsidP="00123A3C">
            <w:pPr>
              <w:pStyle w:val="ListParagraph"/>
              <w:numPr>
                <w:ilvl w:val="0"/>
                <w:numId w:val="11"/>
              </w:numPr>
              <w:jc w:val="both"/>
              <w:outlineLvl w:val="0"/>
              <w:rPr>
                <w:sz w:val="26"/>
                <w:szCs w:val="26"/>
                <w:lang w:eastAsia="lv-LV"/>
              </w:rPr>
            </w:pPr>
            <w:r w:rsidRPr="006732DD">
              <w:rPr>
                <w:rFonts w:eastAsia="Times New Roman"/>
                <w:sz w:val="26"/>
                <w:szCs w:val="26"/>
                <w:lang w:eastAsia="lv-LV"/>
              </w:rPr>
              <w:t>precizētu</w:t>
            </w:r>
            <w:r w:rsidR="00EF1116" w:rsidRPr="006732DD">
              <w:rPr>
                <w:rFonts w:eastAsia="Times New Roman"/>
                <w:sz w:val="26"/>
                <w:szCs w:val="26"/>
                <w:lang w:eastAsia="lv-LV"/>
              </w:rPr>
              <w:t>, ka dzīvokļa pabalst</w:t>
            </w:r>
            <w:r w:rsidR="00123A3C">
              <w:rPr>
                <w:rFonts w:eastAsia="Times New Roman"/>
                <w:sz w:val="26"/>
                <w:szCs w:val="26"/>
                <w:lang w:eastAsia="lv-LV"/>
              </w:rPr>
              <w:t>s</w:t>
            </w:r>
            <w:r w:rsidR="00EF1116" w:rsidRPr="006732DD">
              <w:rPr>
                <w:rFonts w:eastAsia="Times New Roman"/>
                <w:sz w:val="26"/>
                <w:szCs w:val="26"/>
                <w:lang w:eastAsia="lv-LV"/>
              </w:rPr>
              <w:t xml:space="preserve"> bez vecāku gādības palikušiem bērniem</w:t>
            </w:r>
            <w:r w:rsidR="00F0212F" w:rsidRPr="006732DD">
              <w:rPr>
                <w:rFonts w:eastAsia="Times New Roman"/>
                <w:sz w:val="26"/>
                <w:szCs w:val="26"/>
                <w:lang w:eastAsia="lv-LV"/>
              </w:rPr>
              <w:t xml:space="preserve"> </w:t>
            </w:r>
            <w:r w:rsidR="009B43A4" w:rsidRPr="006732DD">
              <w:rPr>
                <w:rFonts w:eastAsia="Times New Roman"/>
                <w:sz w:val="26"/>
                <w:szCs w:val="26"/>
                <w:lang w:eastAsia="lv-LV"/>
              </w:rPr>
              <w:t xml:space="preserve">tiek </w:t>
            </w:r>
            <w:r w:rsidR="00EF1116" w:rsidRPr="006732DD">
              <w:rPr>
                <w:rFonts w:eastAsia="Times New Roman"/>
                <w:sz w:val="26"/>
                <w:szCs w:val="26"/>
                <w:lang w:eastAsia="lv-LV"/>
              </w:rPr>
              <w:t>piešķir</w:t>
            </w:r>
            <w:r w:rsidR="00412057" w:rsidRPr="006732DD">
              <w:rPr>
                <w:rFonts w:eastAsia="Times New Roman"/>
                <w:sz w:val="26"/>
                <w:szCs w:val="26"/>
                <w:lang w:eastAsia="lv-LV"/>
              </w:rPr>
              <w:t>ts</w:t>
            </w:r>
            <w:r w:rsidR="00EF1116" w:rsidRPr="006732DD">
              <w:rPr>
                <w:rFonts w:eastAsia="Times New Roman"/>
                <w:sz w:val="26"/>
                <w:szCs w:val="26"/>
                <w:lang w:eastAsia="lv-LV"/>
              </w:rPr>
              <w:t xml:space="preserve"> atbilstoši </w:t>
            </w:r>
            <w:r w:rsidR="00847274" w:rsidRPr="006732DD">
              <w:rPr>
                <w:rFonts w:eastAsia="Times New Roman"/>
                <w:sz w:val="26"/>
                <w:szCs w:val="26"/>
                <w:lang w:eastAsia="lv-LV"/>
              </w:rPr>
              <w:t>likumam “Par palīdzību dzīvokļa jautājumu risināšanā”</w:t>
            </w:r>
            <w:r w:rsidR="006E5A72">
              <w:rPr>
                <w:rFonts w:eastAsia="Times New Roman"/>
                <w:sz w:val="26"/>
                <w:szCs w:val="26"/>
                <w:lang w:eastAsia="lv-LV"/>
              </w:rPr>
              <w:t>;</w:t>
            </w:r>
          </w:p>
          <w:p w14:paraId="78049852" w14:textId="7EDF2C73" w:rsidR="006E5A72" w:rsidRPr="006732DD" w:rsidRDefault="006E5A72" w:rsidP="006E5A72">
            <w:pPr>
              <w:pStyle w:val="ListParagraph"/>
              <w:numPr>
                <w:ilvl w:val="0"/>
                <w:numId w:val="11"/>
              </w:numPr>
              <w:jc w:val="both"/>
              <w:outlineLvl w:val="0"/>
              <w:rPr>
                <w:sz w:val="26"/>
                <w:szCs w:val="26"/>
                <w:lang w:eastAsia="lv-LV"/>
              </w:rPr>
            </w:pPr>
            <w:r>
              <w:rPr>
                <w:rFonts w:eastAsia="Times New Roman"/>
                <w:sz w:val="26"/>
                <w:szCs w:val="26"/>
                <w:lang w:eastAsia="lv-LV"/>
              </w:rPr>
              <w:t>precizētu kritērijus apliecībai sociālo garantiju nodrošināšanai bāreņiem un bez vecāku gādības palikušiem bērniem.</w:t>
            </w:r>
          </w:p>
        </w:tc>
      </w:tr>
    </w:tbl>
    <w:p w14:paraId="156A7D06" w14:textId="59ECBEF7" w:rsidR="00825345" w:rsidRPr="006732DD" w:rsidRDefault="003A6E7F" w:rsidP="003A6E7F">
      <w:pPr>
        <w:shd w:val="clear" w:color="auto" w:fill="FFFFFF"/>
        <w:tabs>
          <w:tab w:val="left" w:pos="7725"/>
        </w:tabs>
        <w:ind w:firstLine="300"/>
        <w:rPr>
          <w:rFonts w:eastAsia="Times New Roman"/>
          <w:iCs/>
          <w:sz w:val="26"/>
          <w:szCs w:val="26"/>
          <w:lang w:eastAsia="lv-LV"/>
        </w:rPr>
      </w:pPr>
      <w:r w:rsidRPr="006732DD">
        <w:rPr>
          <w:rFonts w:eastAsia="Times New Roman"/>
          <w:iCs/>
          <w:sz w:val="26"/>
          <w:szCs w:val="26"/>
          <w:lang w:eastAsia="lv-LV"/>
        </w:rPr>
        <w:tab/>
      </w:r>
    </w:p>
    <w:p w14:paraId="314B1264" w14:textId="77777777" w:rsidR="00825345" w:rsidRPr="006732DD" w:rsidRDefault="00825345" w:rsidP="00825345">
      <w:pPr>
        <w:shd w:val="clear" w:color="auto" w:fill="FFFFFF"/>
        <w:ind w:firstLine="300"/>
        <w:jc w:val="center"/>
        <w:rPr>
          <w:rFonts w:eastAsia="Times New Roman"/>
          <w:iCs/>
          <w:sz w:val="26"/>
          <w:szCs w:val="26"/>
          <w:lang w:eastAsia="lv-LV"/>
        </w:rPr>
      </w:pPr>
    </w:p>
    <w:tbl>
      <w:tblPr>
        <w:tblpPr w:leftFromText="180" w:rightFromText="180" w:vertAnchor="text" w:tblpX="-112" w:tblpY="1"/>
        <w:tblOverlap w:val="never"/>
        <w:tblW w:w="50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6732DD" w14:paraId="23CA87D2" w14:textId="77777777" w:rsidTr="008624F2">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0D5D8C" w14:textId="77777777" w:rsidR="00825345" w:rsidRPr="006732DD" w:rsidRDefault="00825345" w:rsidP="008624F2">
            <w:pPr>
              <w:ind w:firstLine="0"/>
              <w:jc w:val="center"/>
              <w:rPr>
                <w:rFonts w:eastAsia="Times New Roman"/>
                <w:b/>
                <w:bCs/>
                <w:sz w:val="26"/>
                <w:szCs w:val="26"/>
                <w:lang w:eastAsia="lv-LV"/>
              </w:rPr>
            </w:pPr>
            <w:r w:rsidRPr="006732DD">
              <w:rPr>
                <w:rFonts w:eastAsia="Times New Roman"/>
                <w:b/>
                <w:bCs/>
                <w:sz w:val="26"/>
                <w:szCs w:val="26"/>
                <w:lang w:eastAsia="lv-LV"/>
              </w:rPr>
              <w:t>I. Tiesību akta projekta izstrādes nepieciešamība</w:t>
            </w:r>
          </w:p>
        </w:tc>
      </w:tr>
      <w:tr w:rsidR="00825345" w:rsidRPr="006732DD" w14:paraId="59C5171D" w14:textId="77777777" w:rsidTr="008624F2">
        <w:trPr>
          <w:trHeight w:val="197"/>
        </w:trPr>
        <w:tc>
          <w:tcPr>
            <w:tcW w:w="302" w:type="pct"/>
            <w:tcBorders>
              <w:top w:val="outset" w:sz="6" w:space="0" w:color="414142"/>
              <w:left w:val="outset" w:sz="6" w:space="0" w:color="414142"/>
              <w:bottom w:val="outset" w:sz="6" w:space="0" w:color="414142"/>
              <w:right w:val="outset" w:sz="6" w:space="0" w:color="414142"/>
            </w:tcBorders>
            <w:hideMark/>
          </w:tcPr>
          <w:p w14:paraId="2BC95377"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6593BD57"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14:paraId="6FD3ACE3" w14:textId="77777777" w:rsidR="006A20D5" w:rsidRPr="006732DD" w:rsidRDefault="009570C1" w:rsidP="008624F2">
            <w:pPr>
              <w:ind w:firstLine="0"/>
              <w:jc w:val="both"/>
              <w:rPr>
                <w:rFonts w:eastAsia="Times New Roman"/>
                <w:sz w:val="26"/>
                <w:szCs w:val="26"/>
                <w:lang w:eastAsia="lv-LV"/>
              </w:rPr>
            </w:pPr>
            <w:r w:rsidRPr="006732DD">
              <w:rPr>
                <w:rFonts w:eastAsia="Times New Roman"/>
                <w:sz w:val="26"/>
                <w:szCs w:val="26"/>
                <w:lang w:eastAsia="lv-LV"/>
              </w:rPr>
              <w:t>Lab</w:t>
            </w:r>
            <w:r w:rsidR="006A20D5" w:rsidRPr="006732DD">
              <w:rPr>
                <w:rFonts w:eastAsia="Times New Roman"/>
                <w:sz w:val="26"/>
                <w:szCs w:val="26"/>
                <w:lang w:eastAsia="lv-LV"/>
              </w:rPr>
              <w:t>klājības ministrijas iniciatīva.</w:t>
            </w:r>
          </w:p>
          <w:p w14:paraId="269C6B17" w14:textId="77777777" w:rsidR="00D0141D" w:rsidRPr="006732DD" w:rsidRDefault="00D0141D" w:rsidP="008624F2">
            <w:pPr>
              <w:ind w:firstLine="0"/>
              <w:jc w:val="both"/>
              <w:rPr>
                <w:rFonts w:eastAsia="Times New Roman"/>
                <w:sz w:val="26"/>
                <w:szCs w:val="26"/>
                <w:lang w:eastAsia="lv-LV"/>
              </w:rPr>
            </w:pPr>
          </w:p>
        </w:tc>
      </w:tr>
      <w:tr w:rsidR="00825345" w:rsidRPr="006732DD" w14:paraId="38B484ED" w14:textId="77777777" w:rsidTr="008624F2">
        <w:trPr>
          <w:trHeight w:val="800"/>
        </w:trPr>
        <w:tc>
          <w:tcPr>
            <w:tcW w:w="302" w:type="pct"/>
            <w:tcBorders>
              <w:top w:val="outset" w:sz="6" w:space="0" w:color="414142"/>
              <w:left w:val="outset" w:sz="6" w:space="0" w:color="414142"/>
              <w:bottom w:val="outset" w:sz="6" w:space="0" w:color="414142"/>
              <w:right w:val="outset" w:sz="6" w:space="0" w:color="414142"/>
            </w:tcBorders>
            <w:hideMark/>
          </w:tcPr>
          <w:p w14:paraId="7914917E"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251E8670" w14:textId="37EAD441" w:rsidR="00CE7189" w:rsidRPr="006732DD" w:rsidRDefault="00825345" w:rsidP="008624F2">
            <w:pPr>
              <w:ind w:firstLine="0"/>
              <w:rPr>
                <w:rFonts w:eastAsia="Times New Roman"/>
                <w:sz w:val="26"/>
                <w:szCs w:val="26"/>
                <w:lang w:eastAsia="lv-LV"/>
              </w:rPr>
            </w:pPr>
            <w:r w:rsidRPr="006732DD">
              <w:rPr>
                <w:rFonts w:eastAsia="Times New Roman"/>
                <w:sz w:val="26"/>
                <w:szCs w:val="26"/>
                <w:lang w:eastAsia="lv-LV"/>
              </w:rPr>
              <w:t>Pašreizējā situā</w:t>
            </w:r>
            <w:bookmarkStart w:id="0" w:name="_GoBack"/>
            <w:bookmarkEnd w:id="0"/>
            <w:r w:rsidRPr="006732DD">
              <w:rPr>
                <w:rFonts w:eastAsia="Times New Roman"/>
                <w:sz w:val="26"/>
                <w:szCs w:val="26"/>
                <w:lang w:eastAsia="lv-LV"/>
              </w:rPr>
              <w:t>cija un problēmas, kuru risināšanai tiesību akta projekts izstrādāts, tiesiskā regulējuma mērķis un būtība</w:t>
            </w:r>
          </w:p>
          <w:p w14:paraId="3B358E8B" w14:textId="77777777" w:rsidR="00CE7189" w:rsidRPr="006732DD" w:rsidRDefault="00CE7189" w:rsidP="008624F2">
            <w:pPr>
              <w:rPr>
                <w:rFonts w:eastAsia="Times New Roman"/>
                <w:sz w:val="26"/>
                <w:szCs w:val="26"/>
                <w:lang w:eastAsia="lv-LV"/>
              </w:rPr>
            </w:pPr>
          </w:p>
          <w:p w14:paraId="6E689048" w14:textId="77777777" w:rsidR="00CE7189" w:rsidRPr="006732DD" w:rsidRDefault="00CE7189" w:rsidP="008624F2">
            <w:pPr>
              <w:rPr>
                <w:rFonts w:eastAsia="Times New Roman"/>
                <w:sz w:val="26"/>
                <w:szCs w:val="26"/>
                <w:lang w:eastAsia="lv-LV"/>
              </w:rPr>
            </w:pPr>
          </w:p>
          <w:p w14:paraId="4DC7E5B9" w14:textId="77777777" w:rsidR="00CE7189" w:rsidRPr="006732DD" w:rsidRDefault="00CE7189" w:rsidP="008624F2">
            <w:pPr>
              <w:rPr>
                <w:rFonts w:eastAsia="Times New Roman"/>
                <w:sz w:val="26"/>
                <w:szCs w:val="26"/>
                <w:lang w:eastAsia="lv-LV"/>
              </w:rPr>
            </w:pPr>
          </w:p>
          <w:p w14:paraId="7EDB7AF4" w14:textId="77777777" w:rsidR="00CE7189" w:rsidRPr="006732DD" w:rsidRDefault="00CE7189" w:rsidP="008624F2">
            <w:pPr>
              <w:rPr>
                <w:rFonts w:eastAsia="Times New Roman"/>
                <w:sz w:val="26"/>
                <w:szCs w:val="26"/>
                <w:lang w:eastAsia="lv-LV"/>
              </w:rPr>
            </w:pPr>
          </w:p>
          <w:p w14:paraId="7D80D1D7" w14:textId="77777777" w:rsidR="00CE7189" w:rsidRPr="006732DD" w:rsidRDefault="00CE7189" w:rsidP="008624F2">
            <w:pPr>
              <w:rPr>
                <w:rFonts w:eastAsia="Times New Roman"/>
                <w:sz w:val="26"/>
                <w:szCs w:val="26"/>
                <w:lang w:eastAsia="lv-LV"/>
              </w:rPr>
            </w:pPr>
          </w:p>
          <w:p w14:paraId="44163BB8" w14:textId="77777777" w:rsidR="00CE7189" w:rsidRPr="006732DD" w:rsidRDefault="00CE7189" w:rsidP="008624F2">
            <w:pPr>
              <w:rPr>
                <w:rFonts w:eastAsia="Times New Roman"/>
                <w:sz w:val="26"/>
                <w:szCs w:val="26"/>
                <w:lang w:eastAsia="lv-LV"/>
              </w:rPr>
            </w:pPr>
          </w:p>
          <w:p w14:paraId="5DE72E7A" w14:textId="77777777" w:rsidR="00CE7189" w:rsidRPr="006732DD" w:rsidRDefault="00CE7189" w:rsidP="008624F2">
            <w:pPr>
              <w:rPr>
                <w:rFonts w:eastAsia="Times New Roman"/>
                <w:sz w:val="26"/>
                <w:szCs w:val="26"/>
                <w:lang w:eastAsia="lv-LV"/>
              </w:rPr>
            </w:pPr>
          </w:p>
          <w:p w14:paraId="4F20C078" w14:textId="77777777" w:rsidR="00CE7189" w:rsidRPr="006732DD" w:rsidRDefault="00CE7189" w:rsidP="008624F2">
            <w:pPr>
              <w:rPr>
                <w:rFonts w:eastAsia="Times New Roman"/>
                <w:sz w:val="26"/>
                <w:szCs w:val="26"/>
                <w:lang w:eastAsia="lv-LV"/>
              </w:rPr>
            </w:pPr>
          </w:p>
          <w:p w14:paraId="1900A281" w14:textId="77777777" w:rsidR="00CE7189" w:rsidRPr="006732DD" w:rsidRDefault="00CE7189" w:rsidP="008624F2">
            <w:pPr>
              <w:rPr>
                <w:rFonts w:eastAsia="Times New Roman"/>
                <w:sz w:val="26"/>
                <w:szCs w:val="26"/>
                <w:lang w:eastAsia="lv-LV"/>
              </w:rPr>
            </w:pPr>
          </w:p>
          <w:p w14:paraId="31A0ABC4" w14:textId="77777777" w:rsidR="00CE7189" w:rsidRPr="006732DD" w:rsidRDefault="00CE7189" w:rsidP="008624F2">
            <w:pPr>
              <w:rPr>
                <w:rFonts w:eastAsia="Times New Roman"/>
                <w:sz w:val="26"/>
                <w:szCs w:val="26"/>
                <w:lang w:eastAsia="lv-LV"/>
              </w:rPr>
            </w:pPr>
          </w:p>
          <w:p w14:paraId="65693063" w14:textId="77777777" w:rsidR="00CE7189" w:rsidRPr="006732DD" w:rsidRDefault="00CE7189" w:rsidP="008624F2">
            <w:pPr>
              <w:rPr>
                <w:rFonts w:eastAsia="Times New Roman"/>
                <w:sz w:val="26"/>
                <w:szCs w:val="26"/>
                <w:lang w:eastAsia="lv-LV"/>
              </w:rPr>
            </w:pPr>
          </w:p>
          <w:p w14:paraId="29322863" w14:textId="77777777" w:rsidR="00CE7189" w:rsidRPr="006732DD" w:rsidRDefault="00CE7189" w:rsidP="008624F2">
            <w:pPr>
              <w:rPr>
                <w:rFonts w:eastAsia="Times New Roman"/>
                <w:sz w:val="26"/>
                <w:szCs w:val="26"/>
                <w:lang w:eastAsia="lv-LV"/>
              </w:rPr>
            </w:pPr>
          </w:p>
          <w:p w14:paraId="46ADBC10" w14:textId="77777777" w:rsidR="00CE7189" w:rsidRPr="006732DD" w:rsidRDefault="00CE7189" w:rsidP="008624F2">
            <w:pPr>
              <w:rPr>
                <w:rFonts w:eastAsia="Times New Roman"/>
                <w:sz w:val="26"/>
                <w:szCs w:val="26"/>
                <w:lang w:eastAsia="lv-LV"/>
              </w:rPr>
            </w:pPr>
          </w:p>
          <w:p w14:paraId="37BD28AC" w14:textId="77777777" w:rsidR="00CE7189" w:rsidRPr="006732DD" w:rsidRDefault="00CE7189" w:rsidP="008624F2">
            <w:pPr>
              <w:rPr>
                <w:rFonts w:eastAsia="Times New Roman"/>
                <w:sz w:val="26"/>
                <w:szCs w:val="26"/>
                <w:lang w:eastAsia="lv-LV"/>
              </w:rPr>
            </w:pPr>
          </w:p>
          <w:p w14:paraId="46DD9516" w14:textId="30D0CB06" w:rsidR="003403E0" w:rsidRDefault="003403E0" w:rsidP="008624F2">
            <w:pPr>
              <w:rPr>
                <w:rFonts w:eastAsia="Times New Roman"/>
                <w:sz w:val="26"/>
                <w:szCs w:val="26"/>
                <w:lang w:eastAsia="lv-LV"/>
              </w:rPr>
            </w:pPr>
          </w:p>
          <w:p w14:paraId="3628DBBF" w14:textId="77777777" w:rsidR="003403E0" w:rsidRPr="003403E0" w:rsidRDefault="003403E0" w:rsidP="003403E0">
            <w:pPr>
              <w:rPr>
                <w:rFonts w:eastAsia="Times New Roman"/>
                <w:sz w:val="26"/>
                <w:szCs w:val="26"/>
                <w:lang w:eastAsia="lv-LV"/>
              </w:rPr>
            </w:pPr>
          </w:p>
          <w:p w14:paraId="36ED9E96" w14:textId="77777777" w:rsidR="003403E0" w:rsidRPr="003403E0" w:rsidRDefault="003403E0" w:rsidP="003403E0">
            <w:pPr>
              <w:rPr>
                <w:rFonts w:eastAsia="Times New Roman"/>
                <w:sz w:val="26"/>
                <w:szCs w:val="26"/>
                <w:lang w:eastAsia="lv-LV"/>
              </w:rPr>
            </w:pPr>
          </w:p>
          <w:p w14:paraId="24FD27CC" w14:textId="77777777" w:rsidR="003403E0" w:rsidRPr="003403E0" w:rsidRDefault="003403E0" w:rsidP="003403E0">
            <w:pPr>
              <w:rPr>
                <w:rFonts w:eastAsia="Times New Roman"/>
                <w:sz w:val="26"/>
                <w:szCs w:val="26"/>
                <w:lang w:eastAsia="lv-LV"/>
              </w:rPr>
            </w:pPr>
          </w:p>
          <w:p w14:paraId="6FADBBE7" w14:textId="77777777" w:rsidR="003403E0" w:rsidRPr="003403E0" w:rsidRDefault="003403E0" w:rsidP="003403E0">
            <w:pPr>
              <w:rPr>
                <w:rFonts w:eastAsia="Times New Roman"/>
                <w:sz w:val="26"/>
                <w:szCs w:val="26"/>
                <w:lang w:eastAsia="lv-LV"/>
              </w:rPr>
            </w:pPr>
          </w:p>
          <w:p w14:paraId="02FB3F04" w14:textId="77777777" w:rsidR="003403E0" w:rsidRPr="003403E0" w:rsidRDefault="003403E0" w:rsidP="003403E0">
            <w:pPr>
              <w:rPr>
                <w:rFonts w:eastAsia="Times New Roman"/>
                <w:sz w:val="26"/>
                <w:szCs w:val="26"/>
                <w:lang w:eastAsia="lv-LV"/>
              </w:rPr>
            </w:pPr>
          </w:p>
          <w:p w14:paraId="3BF82773" w14:textId="77777777" w:rsidR="003403E0" w:rsidRPr="003403E0" w:rsidRDefault="003403E0" w:rsidP="003403E0">
            <w:pPr>
              <w:rPr>
                <w:rFonts w:eastAsia="Times New Roman"/>
                <w:sz w:val="26"/>
                <w:szCs w:val="26"/>
                <w:lang w:eastAsia="lv-LV"/>
              </w:rPr>
            </w:pPr>
          </w:p>
          <w:p w14:paraId="4E958D4C" w14:textId="77777777" w:rsidR="003403E0" w:rsidRPr="003403E0" w:rsidRDefault="003403E0" w:rsidP="003403E0">
            <w:pPr>
              <w:rPr>
                <w:rFonts w:eastAsia="Times New Roman"/>
                <w:sz w:val="26"/>
                <w:szCs w:val="26"/>
                <w:lang w:eastAsia="lv-LV"/>
              </w:rPr>
            </w:pPr>
          </w:p>
          <w:p w14:paraId="5A5F7861" w14:textId="77777777" w:rsidR="003403E0" w:rsidRPr="003403E0" w:rsidRDefault="003403E0" w:rsidP="003403E0">
            <w:pPr>
              <w:rPr>
                <w:rFonts w:eastAsia="Times New Roman"/>
                <w:sz w:val="26"/>
                <w:szCs w:val="26"/>
                <w:lang w:eastAsia="lv-LV"/>
              </w:rPr>
            </w:pPr>
          </w:p>
          <w:p w14:paraId="01750F93" w14:textId="77777777" w:rsidR="003403E0" w:rsidRPr="003403E0" w:rsidRDefault="003403E0" w:rsidP="003403E0">
            <w:pPr>
              <w:rPr>
                <w:rFonts w:eastAsia="Times New Roman"/>
                <w:sz w:val="26"/>
                <w:szCs w:val="26"/>
                <w:lang w:eastAsia="lv-LV"/>
              </w:rPr>
            </w:pPr>
          </w:p>
          <w:p w14:paraId="5F4FEED3" w14:textId="77777777" w:rsidR="003403E0" w:rsidRPr="003403E0" w:rsidRDefault="003403E0" w:rsidP="003403E0">
            <w:pPr>
              <w:rPr>
                <w:rFonts w:eastAsia="Times New Roman"/>
                <w:sz w:val="26"/>
                <w:szCs w:val="26"/>
                <w:lang w:eastAsia="lv-LV"/>
              </w:rPr>
            </w:pPr>
          </w:p>
          <w:p w14:paraId="0202FAB7" w14:textId="77777777" w:rsidR="003403E0" w:rsidRPr="003403E0" w:rsidRDefault="003403E0" w:rsidP="003403E0">
            <w:pPr>
              <w:rPr>
                <w:rFonts w:eastAsia="Times New Roman"/>
                <w:sz w:val="26"/>
                <w:szCs w:val="26"/>
                <w:lang w:eastAsia="lv-LV"/>
              </w:rPr>
            </w:pPr>
          </w:p>
          <w:p w14:paraId="3BE7E2ED" w14:textId="77777777" w:rsidR="003403E0" w:rsidRPr="003403E0" w:rsidRDefault="003403E0" w:rsidP="003403E0">
            <w:pPr>
              <w:rPr>
                <w:rFonts w:eastAsia="Times New Roman"/>
                <w:sz w:val="26"/>
                <w:szCs w:val="26"/>
                <w:lang w:eastAsia="lv-LV"/>
              </w:rPr>
            </w:pPr>
          </w:p>
          <w:p w14:paraId="028C4316" w14:textId="77777777" w:rsidR="003403E0" w:rsidRPr="003403E0" w:rsidRDefault="003403E0" w:rsidP="003403E0">
            <w:pPr>
              <w:rPr>
                <w:rFonts w:eastAsia="Times New Roman"/>
                <w:sz w:val="26"/>
                <w:szCs w:val="26"/>
                <w:lang w:eastAsia="lv-LV"/>
              </w:rPr>
            </w:pPr>
          </w:p>
          <w:p w14:paraId="5C59F481" w14:textId="77777777" w:rsidR="003403E0" w:rsidRPr="003403E0" w:rsidRDefault="003403E0" w:rsidP="003403E0">
            <w:pPr>
              <w:rPr>
                <w:rFonts w:eastAsia="Times New Roman"/>
                <w:sz w:val="26"/>
                <w:szCs w:val="26"/>
                <w:lang w:eastAsia="lv-LV"/>
              </w:rPr>
            </w:pPr>
          </w:p>
          <w:p w14:paraId="385C47EE" w14:textId="77777777" w:rsidR="003403E0" w:rsidRPr="003403E0" w:rsidRDefault="003403E0" w:rsidP="003403E0">
            <w:pPr>
              <w:rPr>
                <w:rFonts w:eastAsia="Times New Roman"/>
                <w:sz w:val="26"/>
                <w:szCs w:val="26"/>
                <w:lang w:eastAsia="lv-LV"/>
              </w:rPr>
            </w:pPr>
          </w:p>
          <w:p w14:paraId="064C66E3" w14:textId="77777777" w:rsidR="003403E0" w:rsidRPr="003403E0" w:rsidRDefault="003403E0" w:rsidP="003403E0">
            <w:pPr>
              <w:rPr>
                <w:rFonts w:eastAsia="Times New Roman"/>
                <w:sz w:val="26"/>
                <w:szCs w:val="26"/>
                <w:lang w:eastAsia="lv-LV"/>
              </w:rPr>
            </w:pPr>
          </w:p>
          <w:p w14:paraId="5FAE686D" w14:textId="77777777" w:rsidR="003403E0" w:rsidRPr="003403E0" w:rsidRDefault="003403E0" w:rsidP="003403E0">
            <w:pPr>
              <w:rPr>
                <w:rFonts w:eastAsia="Times New Roman"/>
                <w:sz w:val="26"/>
                <w:szCs w:val="26"/>
                <w:lang w:eastAsia="lv-LV"/>
              </w:rPr>
            </w:pPr>
          </w:p>
          <w:p w14:paraId="55097367" w14:textId="40E8FFFB" w:rsidR="003403E0" w:rsidRDefault="003403E0" w:rsidP="003403E0">
            <w:pPr>
              <w:rPr>
                <w:rFonts w:eastAsia="Times New Roman"/>
                <w:sz w:val="26"/>
                <w:szCs w:val="26"/>
                <w:lang w:eastAsia="lv-LV"/>
              </w:rPr>
            </w:pPr>
          </w:p>
          <w:p w14:paraId="45B1069E" w14:textId="468CD328" w:rsidR="003403E0" w:rsidRDefault="003403E0" w:rsidP="003403E0">
            <w:pPr>
              <w:tabs>
                <w:tab w:val="left" w:pos="1260"/>
              </w:tabs>
              <w:rPr>
                <w:rFonts w:eastAsia="Times New Roman"/>
                <w:sz w:val="26"/>
                <w:szCs w:val="26"/>
                <w:lang w:eastAsia="lv-LV"/>
              </w:rPr>
            </w:pPr>
            <w:r>
              <w:rPr>
                <w:rFonts w:eastAsia="Times New Roman"/>
                <w:sz w:val="26"/>
                <w:szCs w:val="26"/>
                <w:lang w:eastAsia="lv-LV"/>
              </w:rPr>
              <w:tab/>
            </w:r>
          </w:p>
          <w:p w14:paraId="25FBB87D" w14:textId="77777777" w:rsidR="003403E0" w:rsidRPr="003403E0" w:rsidRDefault="003403E0" w:rsidP="003403E0">
            <w:pPr>
              <w:rPr>
                <w:rFonts w:eastAsia="Times New Roman"/>
                <w:sz w:val="26"/>
                <w:szCs w:val="26"/>
                <w:lang w:eastAsia="lv-LV"/>
              </w:rPr>
            </w:pPr>
          </w:p>
          <w:p w14:paraId="1726220E" w14:textId="77777777" w:rsidR="003403E0" w:rsidRPr="003403E0" w:rsidRDefault="003403E0" w:rsidP="003403E0">
            <w:pPr>
              <w:rPr>
                <w:rFonts w:eastAsia="Times New Roman"/>
                <w:sz w:val="26"/>
                <w:szCs w:val="26"/>
                <w:lang w:eastAsia="lv-LV"/>
              </w:rPr>
            </w:pPr>
          </w:p>
          <w:p w14:paraId="54620DA5" w14:textId="77777777" w:rsidR="003403E0" w:rsidRPr="003403E0" w:rsidRDefault="003403E0" w:rsidP="003403E0">
            <w:pPr>
              <w:rPr>
                <w:rFonts w:eastAsia="Times New Roman"/>
                <w:sz w:val="26"/>
                <w:szCs w:val="26"/>
                <w:lang w:eastAsia="lv-LV"/>
              </w:rPr>
            </w:pPr>
          </w:p>
          <w:p w14:paraId="6762D659" w14:textId="77777777" w:rsidR="003403E0" w:rsidRPr="003403E0" w:rsidRDefault="003403E0" w:rsidP="003403E0">
            <w:pPr>
              <w:rPr>
                <w:rFonts w:eastAsia="Times New Roman"/>
                <w:sz w:val="26"/>
                <w:szCs w:val="26"/>
                <w:lang w:eastAsia="lv-LV"/>
              </w:rPr>
            </w:pPr>
          </w:p>
          <w:p w14:paraId="261536BC" w14:textId="77777777" w:rsidR="003403E0" w:rsidRPr="003403E0" w:rsidRDefault="003403E0" w:rsidP="003403E0">
            <w:pPr>
              <w:rPr>
                <w:rFonts w:eastAsia="Times New Roman"/>
                <w:sz w:val="26"/>
                <w:szCs w:val="26"/>
                <w:lang w:eastAsia="lv-LV"/>
              </w:rPr>
            </w:pPr>
          </w:p>
          <w:p w14:paraId="66F2E073" w14:textId="77777777" w:rsidR="003403E0" w:rsidRPr="003403E0" w:rsidRDefault="003403E0" w:rsidP="003403E0">
            <w:pPr>
              <w:rPr>
                <w:rFonts w:eastAsia="Times New Roman"/>
                <w:sz w:val="26"/>
                <w:szCs w:val="26"/>
                <w:lang w:eastAsia="lv-LV"/>
              </w:rPr>
            </w:pPr>
          </w:p>
          <w:p w14:paraId="31F9CC49" w14:textId="77777777" w:rsidR="003403E0" w:rsidRPr="003403E0" w:rsidRDefault="003403E0" w:rsidP="003403E0">
            <w:pPr>
              <w:rPr>
                <w:rFonts w:eastAsia="Times New Roman"/>
                <w:sz w:val="26"/>
                <w:szCs w:val="26"/>
                <w:lang w:eastAsia="lv-LV"/>
              </w:rPr>
            </w:pPr>
          </w:p>
          <w:p w14:paraId="54E5E6B5" w14:textId="77777777" w:rsidR="003403E0" w:rsidRPr="003403E0" w:rsidRDefault="003403E0" w:rsidP="003403E0">
            <w:pPr>
              <w:rPr>
                <w:rFonts w:eastAsia="Times New Roman"/>
                <w:sz w:val="26"/>
                <w:szCs w:val="26"/>
                <w:lang w:eastAsia="lv-LV"/>
              </w:rPr>
            </w:pPr>
          </w:p>
          <w:p w14:paraId="684FDCF6" w14:textId="77777777" w:rsidR="003403E0" w:rsidRPr="003403E0" w:rsidRDefault="003403E0" w:rsidP="003403E0">
            <w:pPr>
              <w:rPr>
                <w:rFonts w:eastAsia="Times New Roman"/>
                <w:sz w:val="26"/>
                <w:szCs w:val="26"/>
                <w:lang w:eastAsia="lv-LV"/>
              </w:rPr>
            </w:pPr>
          </w:p>
          <w:p w14:paraId="6130EE9A" w14:textId="77777777" w:rsidR="003403E0" w:rsidRPr="003403E0" w:rsidRDefault="003403E0" w:rsidP="003403E0">
            <w:pPr>
              <w:rPr>
                <w:rFonts w:eastAsia="Times New Roman"/>
                <w:sz w:val="26"/>
                <w:szCs w:val="26"/>
                <w:lang w:eastAsia="lv-LV"/>
              </w:rPr>
            </w:pPr>
          </w:p>
          <w:p w14:paraId="4D89C790" w14:textId="77777777" w:rsidR="003403E0" w:rsidRPr="003403E0" w:rsidRDefault="003403E0" w:rsidP="003403E0">
            <w:pPr>
              <w:rPr>
                <w:rFonts w:eastAsia="Times New Roman"/>
                <w:sz w:val="26"/>
                <w:szCs w:val="26"/>
                <w:lang w:eastAsia="lv-LV"/>
              </w:rPr>
            </w:pPr>
          </w:p>
          <w:p w14:paraId="245186BB" w14:textId="77777777" w:rsidR="003403E0" w:rsidRPr="003403E0" w:rsidRDefault="003403E0" w:rsidP="003403E0">
            <w:pPr>
              <w:rPr>
                <w:rFonts w:eastAsia="Times New Roman"/>
                <w:sz w:val="26"/>
                <w:szCs w:val="26"/>
                <w:lang w:eastAsia="lv-LV"/>
              </w:rPr>
            </w:pPr>
          </w:p>
          <w:p w14:paraId="356A34FE" w14:textId="77777777" w:rsidR="003403E0" w:rsidRPr="003403E0" w:rsidRDefault="003403E0" w:rsidP="003403E0">
            <w:pPr>
              <w:rPr>
                <w:rFonts w:eastAsia="Times New Roman"/>
                <w:sz w:val="26"/>
                <w:szCs w:val="26"/>
                <w:lang w:eastAsia="lv-LV"/>
              </w:rPr>
            </w:pPr>
          </w:p>
          <w:p w14:paraId="316910D2" w14:textId="77777777" w:rsidR="003403E0" w:rsidRPr="003403E0" w:rsidRDefault="003403E0" w:rsidP="003403E0">
            <w:pPr>
              <w:rPr>
                <w:rFonts w:eastAsia="Times New Roman"/>
                <w:sz w:val="26"/>
                <w:szCs w:val="26"/>
                <w:lang w:eastAsia="lv-LV"/>
              </w:rPr>
            </w:pPr>
          </w:p>
          <w:p w14:paraId="238D7256" w14:textId="467FD707" w:rsidR="00825345" w:rsidRPr="003403E0" w:rsidRDefault="00825345" w:rsidP="003403E0">
            <w:pPr>
              <w:rPr>
                <w:rFonts w:eastAsia="Times New Roman"/>
                <w:sz w:val="26"/>
                <w:szCs w:val="26"/>
                <w:lang w:eastAsia="lv-LV"/>
              </w:rPr>
            </w:pPr>
          </w:p>
        </w:tc>
        <w:tc>
          <w:tcPr>
            <w:tcW w:w="3189" w:type="pct"/>
            <w:tcBorders>
              <w:top w:val="outset" w:sz="6" w:space="0" w:color="414142"/>
              <w:left w:val="outset" w:sz="6" w:space="0" w:color="414142"/>
              <w:bottom w:val="outset" w:sz="6" w:space="0" w:color="414142"/>
              <w:right w:val="outset" w:sz="6" w:space="0" w:color="414142"/>
            </w:tcBorders>
          </w:tcPr>
          <w:p w14:paraId="0F281798" w14:textId="6D7C7785" w:rsidR="001F32C9" w:rsidRPr="006732DD" w:rsidRDefault="00D50EA8" w:rsidP="008624F2">
            <w:pPr>
              <w:ind w:right="115" w:firstLine="0"/>
              <w:jc w:val="both"/>
              <w:rPr>
                <w:b/>
                <w:bCs/>
                <w:sz w:val="26"/>
                <w:szCs w:val="26"/>
              </w:rPr>
            </w:pPr>
            <w:r w:rsidRPr="006732DD">
              <w:rPr>
                <w:b/>
                <w:bCs/>
                <w:sz w:val="26"/>
                <w:szCs w:val="26"/>
              </w:rPr>
              <w:t xml:space="preserve">1.  </w:t>
            </w:r>
            <w:r w:rsidR="001F32C9" w:rsidRPr="006732DD">
              <w:rPr>
                <w:b/>
                <w:bCs/>
                <w:sz w:val="26"/>
                <w:szCs w:val="26"/>
              </w:rPr>
              <w:t xml:space="preserve">Ārpusģimenes aprūpes </w:t>
            </w:r>
            <w:r w:rsidR="00CF7D8A" w:rsidRPr="006732DD">
              <w:rPr>
                <w:b/>
                <w:bCs/>
                <w:sz w:val="26"/>
                <w:szCs w:val="26"/>
              </w:rPr>
              <w:t xml:space="preserve">pakalpojuma </w:t>
            </w:r>
            <w:r w:rsidR="001F32C9" w:rsidRPr="006732DD">
              <w:rPr>
                <w:b/>
                <w:bCs/>
                <w:sz w:val="26"/>
                <w:szCs w:val="26"/>
              </w:rPr>
              <w:t>sniedzēji</w:t>
            </w:r>
          </w:p>
          <w:p w14:paraId="352BF5C1" w14:textId="77777777" w:rsidR="001F32C9" w:rsidRPr="006732DD" w:rsidRDefault="001F32C9" w:rsidP="008624F2">
            <w:pPr>
              <w:ind w:right="115" w:firstLine="0"/>
              <w:jc w:val="both"/>
              <w:rPr>
                <w:b/>
                <w:bCs/>
                <w:sz w:val="26"/>
                <w:szCs w:val="26"/>
              </w:rPr>
            </w:pPr>
          </w:p>
          <w:p w14:paraId="101DC8BC" w14:textId="32CEAF7E" w:rsidR="001F32C9" w:rsidRPr="006732DD" w:rsidRDefault="001F32C9" w:rsidP="008624F2">
            <w:pPr>
              <w:ind w:right="115" w:firstLine="0"/>
              <w:jc w:val="both"/>
              <w:rPr>
                <w:bCs/>
                <w:sz w:val="26"/>
                <w:szCs w:val="26"/>
              </w:rPr>
            </w:pPr>
            <w:r w:rsidRPr="006732DD">
              <w:rPr>
                <w:bCs/>
                <w:sz w:val="26"/>
                <w:szCs w:val="26"/>
              </w:rPr>
              <w:t xml:space="preserve">Bērnu tiesību aizsardzības likuma 1. panta </w:t>
            </w:r>
            <w:r w:rsidR="0039458D">
              <w:rPr>
                <w:bCs/>
                <w:sz w:val="26"/>
                <w:szCs w:val="26"/>
              </w:rPr>
              <w:t>7.</w:t>
            </w:r>
            <w:r w:rsidRPr="006732DD">
              <w:rPr>
                <w:bCs/>
                <w:sz w:val="26"/>
                <w:szCs w:val="26"/>
              </w:rPr>
              <w:t>punktā un 32. pantā noteikts, ka ārpusģimenes aprūpe ir aprūpe, kas bāreņiem un bez vecāku gādības palikušiem bērniem tiek nodrošināta pie aizbildņa, audžuģimenē, bērnu aprūpes iestādē</w:t>
            </w:r>
            <w:r w:rsidR="00195CA3" w:rsidRPr="006732DD">
              <w:rPr>
                <w:bCs/>
                <w:sz w:val="26"/>
                <w:szCs w:val="26"/>
              </w:rPr>
              <w:t>.</w:t>
            </w:r>
            <w:r w:rsidRPr="006732DD">
              <w:rPr>
                <w:bCs/>
                <w:sz w:val="26"/>
                <w:szCs w:val="26"/>
              </w:rPr>
              <w:t xml:space="preserve"> </w:t>
            </w:r>
            <w:r w:rsidR="00195CA3" w:rsidRPr="006732DD">
              <w:rPr>
                <w:bCs/>
                <w:sz w:val="26"/>
                <w:szCs w:val="26"/>
              </w:rPr>
              <w:t>Ā</w:t>
            </w:r>
            <w:r w:rsidRPr="006732DD">
              <w:rPr>
                <w:bCs/>
                <w:sz w:val="26"/>
                <w:szCs w:val="26"/>
              </w:rPr>
              <w:t xml:space="preserve">rpusģimenes mērķis ir radīt bērnam aizgādības sajūtu, nodrošināt apstākļus viņa </w:t>
            </w:r>
            <w:r w:rsidRPr="006732DD">
              <w:rPr>
                <w:bCs/>
                <w:sz w:val="26"/>
                <w:szCs w:val="26"/>
              </w:rPr>
              <w:t xml:space="preserve">attīstībai un labklājībai, atbalstīt bērna centienus būt patstāvīgam. </w:t>
            </w:r>
            <w:r w:rsidR="0039458D">
              <w:rPr>
                <w:bCs/>
                <w:sz w:val="26"/>
                <w:szCs w:val="26"/>
              </w:rPr>
              <w:t>Tāpat</w:t>
            </w:r>
            <w:r w:rsidR="00957B98" w:rsidRPr="006732DD">
              <w:rPr>
                <w:sz w:val="26"/>
                <w:szCs w:val="26"/>
              </w:rPr>
              <w:t xml:space="preserve"> Bērnu tiesību aizsardzības likuma 27. panta trešajā daļā noteikts, ka, šķirot bērnu no ģimenes, viņam tiek nodrošināta ārpusģimenes aprūpe pie aizbildņa, audžuģimenē vai bērnu aprūpes iestādē.</w:t>
            </w:r>
          </w:p>
          <w:p w14:paraId="61AA95B5" w14:textId="152394C0" w:rsidR="001F32C9" w:rsidRPr="006732DD" w:rsidRDefault="00B51D67" w:rsidP="008624F2">
            <w:pPr>
              <w:ind w:right="115" w:firstLine="0"/>
              <w:jc w:val="both"/>
              <w:rPr>
                <w:bCs/>
                <w:sz w:val="26"/>
                <w:szCs w:val="26"/>
              </w:rPr>
            </w:pPr>
            <w:r w:rsidRPr="006732DD">
              <w:rPr>
                <w:bCs/>
                <w:sz w:val="26"/>
                <w:szCs w:val="26"/>
              </w:rPr>
              <w:t>Savukārt</w:t>
            </w:r>
            <w:r w:rsidR="001F32C9" w:rsidRPr="006732DD">
              <w:rPr>
                <w:bCs/>
                <w:sz w:val="26"/>
                <w:szCs w:val="26"/>
              </w:rPr>
              <w:t xml:space="preserve"> </w:t>
            </w:r>
            <w:r w:rsidR="001F32C9" w:rsidRPr="006732DD">
              <w:rPr>
                <w:rFonts w:eastAsia="Times New Roman"/>
                <w:sz w:val="26"/>
                <w:szCs w:val="26"/>
                <w:lang w:eastAsia="lv-LV"/>
              </w:rPr>
              <w:t>Noteikum</w:t>
            </w:r>
            <w:r w:rsidR="0039458D">
              <w:rPr>
                <w:rFonts w:eastAsia="Times New Roman"/>
                <w:sz w:val="26"/>
                <w:szCs w:val="26"/>
                <w:lang w:eastAsia="lv-LV"/>
              </w:rPr>
              <w:t>u</w:t>
            </w:r>
            <w:r w:rsidR="001F32C9" w:rsidRPr="006732DD">
              <w:rPr>
                <w:rFonts w:eastAsia="Times New Roman"/>
                <w:sz w:val="26"/>
                <w:szCs w:val="26"/>
                <w:lang w:eastAsia="lv-LV"/>
              </w:rPr>
              <w:t xml:space="preserve"> Nr. 857 </w:t>
            </w:r>
            <w:r w:rsidR="0039458D">
              <w:rPr>
                <w:rFonts w:eastAsia="Times New Roman"/>
                <w:sz w:val="26"/>
                <w:szCs w:val="26"/>
                <w:lang w:eastAsia="lv-LV"/>
              </w:rPr>
              <w:t xml:space="preserve">2.punktā </w:t>
            </w:r>
            <w:r w:rsidRPr="006732DD">
              <w:rPr>
                <w:rFonts w:eastAsia="Times New Roman"/>
                <w:sz w:val="26"/>
                <w:szCs w:val="26"/>
                <w:lang w:eastAsia="lv-LV"/>
              </w:rPr>
              <w:t>noteikts, ka</w:t>
            </w:r>
            <w:r w:rsidR="001F32C9" w:rsidRPr="006732DD">
              <w:rPr>
                <w:rFonts w:eastAsia="Times New Roman"/>
                <w:sz w:val="26"/>
                <w:szCs w:val="26"/>
                <w:lang w:eastAsia="lv-LV"/>
              </w:rPr>
              <w:t>, aizbildnis, audžuģimene, ilgstoš</w:t>
            </w:r>
            <w:r w:rsidR="0039458D">
              <w:rPr>
                <w:rFonts w:eastAsia="Times New Roman"/>
                <w:sz w:val="26"/>
                <w:szCs w:val="26"/>
                <w:lang w:eastAsia="lv-LV"/>
              </w:rPr>
              <w:t>a</w:t>
            </w:r>
            <w:r w:rsidR="001F32C9" w:rsidRPr="006732DD">
              <w:rPr>
                <w:rFonts w:eastAsia="Times New Roman"/>
                <w:sz w:val="26"/>
                <w:szCs w:val="26"/>
                <w:lang w:eastAsia="lv-LV"/>
              </w:rPr>
              <w:t xml:space="preserve">s sociālās aprūpes institūcijas vadītājs vai internātskolas direktors, kura aprūpē nodots bērns, bērnam naudas līdzekļu veidā sniegtos fiziskas vai juridiskas personas dāvinājumus nogulda kredītiestādes kontā, kas atvērts uz bērna </w:t>
            </w:r>
            <w:r w:rsidR="006C18FE" w:rsidRPr="006732DD">
              <w:rPr>
                <w:rFonts w:eastAsia="Times New Roman"/>
                <w:sz w:val="26"/>
                <w:szCs w:val="26"/>
                <w:lang w:eastAsia="lv-LV"/>
              </w:rPr>
              <w:t>vārda</w:t>
            </w:r>
            <w:r w:rsidR="0039458D">
              <w:rPr>
                <w:rFonts w:eastAsia="Times New Roman"/>
                <w:sz w:val="26"/>
                <w:szCs w:val="26"/>
                <w:lang w:eastAsia="lv-LV"/>
              </w:rPr>
              <w:t>. B</w:t>
            </w:r>
            <w:r w:rsidR="001F32C9" w:rsidRPr="006732DD">
              <w:rPr>
                <w:rFonts w:eastAsia="Times New Roman"/>
                <w:sz w:val="26"/>
                <w:szCs w:val="26"/>
                <w:lang w:eastAsia="lv-LV"/>
              </w:rPr>
              <w:t>ērnam, kurš ievietot</w:t>
            </w:r>
            <w:r w:rsidR="00195CA3" w:rsidRPr="006732DD">
              <w:rPr>
                <w:rFonts w:eastAsia="Times New Roman"/>
                <w:sz w:val="26"/>
                <w:szCs w:val="26"/>
                <w:lang w:eastAsia="lv-LV"/>
              </w:rPr>
              <w:t>s</w:t>
            </w:r>
            <w:r w:rsidR="001F32C9" w:rsidRPr="006732DD">
              <w:rPr>
                <w:rFonts w:eastAsia="Times New Roman"/>
                <w:sz w:val="26"/>
                <w:szCs w:val="26"/>
                <w:lang w:eastAsia="lv-LV"/>
              </w:rPr>
              <w:t xml:space="preserve"> internātskolā un kuram nav iecelts aizbildnis, pašvaldība katru mēnesi </w:t>
            </w:r>
            <w:r w:rsidR="00195CA3" w:rsidRPr="006732DD">
              <w:rPr>
                <w:rFonts w:eastAsia="Times New Roman"/>
                <w:sz w:val="26"/>
                <w:szCs w:val="26"/>
                <w:lang w:eastAsia="lv-LV"/>
              </w:rPr>
              <w:t xml:space="preserve">izmaksā </w:t>
            </w:r>
            <w:r w:rsidR="001F32C9" w:rsidRPr="006732DD">
              <w:rPr>
                <w:rFonts w:eastAsia="Times New Roman"/>
                <w:sz w:val="26"/>
                <w:szCs w:val="26"/>
                <w:lang w:eastAsia="lv-LV"/>
              </w:rPr>
              <w:t>finanšu līdzekļus personiskiem izdevumiem</w:t>
            </w:r>
            <w:r w:rsidR="00195CA3" w:rsidRPr="006732DD">
              <w:rPr>
                <w:rFonts w:eastAsia="Times New Roman"/>
                <w:sz w:val="26"/>
                <w:szCs w:val="26"/>
                <w:lang w:eastAsia="lv-LV"/>
              </w:rPr>
              <w:t xml:space="preserve"> (3. punkts)</w:t>
            </w:r>
            <w:r w:rsidR="001F32C9" w:rsidRPr="006732DD">
              <w:rPr>
                <w:rFonts w:eastAsia="Times New Roman"/>
                <w:sz w:val="26"/>
                <w:szCs w:val="26"/>
                <w:lang w:eastAsia="lv-LV"/>
              </w:rPr>
              <w:t xml:space="preserve">, </w:t>
            </w:r>
            <w:r w:rsidR="00A5222F" w:rsidRPr="006732DD">
              <w:rPr>
                <w:rFonts w:eastAsia="Times New Roman"/>
                <w:sz w:val="26"/>
                <w:szCs w:val="26"/>
                <w:lang w:eastAsia="lv-LV"/>
              </w:rPr>
              <w:t>ilgstoš</w:t>
            </w:r>
            <w:r w:rsidR="0039458D">
              <w:rPr>
                <w:rFonts w:eastAsia="Times New Roman"/>
                <w:sz w:val="26"/>
                <w:szCs w:val="26"/>
                <w:lang w:eastAsia="lv-LV"/>
              </w:rPr>
              <w:t>a</w:t>
            </w:r>
            <w:r w:rsidR="00A5222F" w:rsidRPr="006732DD">
              <w:rPr>
                <w:rFonts w:eastAsia="Times New Roman"/>
                <w:sz w:val="26"/>
                <w:szCs w:val="26"/>
                <w:lang w:eastAsia="lv-LV"/>
              </w:rPr>
              <w:t xml:space="preserve">s sociālās aprūpes un sociālās rehabilitācijas institūcijas vadītājs vai </w:t>
            </w:r>
            <w:r w:rsidR="001F32C9" w:rsidRPr="006732DD">
              <w:rPr>
                <w:rFonts w:eastAsia="Times New Roman"/>
                <w:sz w:val="26"/>
                <w:szCs w:val="26"/>
                <w:lang w:eastAsia="lv-LV"/>
              </w:rPr>
              <w:t xml:space="preserve">internātskolas direktors bērnam piešķirto apgādnieka zaudējuma pensiju vai sociālā nodrošinājuma pabalstu pārskaita kredītiestādes kontā, kas atvērts uz bērna vārda </w:t>
            </w:r>
            <w:r w:rsidR="00195CA3" w:rsidRPr="006732DD">
              <w:rPr>
                <w:rFonts w:eastAsia="Times New Roman"/>
                <w:sz w:val="26"/>
                <w:szCs w:val="26"/>
                <w:lang w:eastAsia="lv-LV"/>
              </w:rPr>
              <w:t xml:space="preserve">(5. punkts) </w:t>
            </w:r>
            <w:r w:rsidR="001F32C9" w:rsidRPr="006732DD">
              <w:rPr>
                <w:rFonts w:eastAsia="Times New Roman"/>
                <w:sz w:val="26"/>
                <w:szCs w:val="26"/>
                <w:lang w:eastAsia="lv-LV"/>
              </w:rPr>
              <w:t>un pašvaldība, kuras bāriņtiesa pieņēmusi lēmumu par bērna ārpusģimenes aprūpi, pēc ārpusģimenes aprūpes izbeigšanās audžuģimenē, pie aizbildņa vai internātskolā pilngadību sasniegušam bērnam izmaksā naudas līdzekļus patstāvīgas dzīves uzsākšanai, kuru apmērs nav mazāks par divu sociālo nodrošinājuma pabalstu apmēru</w:t>
            </w:r>
            <w:r w:rsidR="00195CA3" w:rsidRPr="006732DD">
              <w:rPr>
                <w:rFonts w:eastAsia="Times New Roman"/>
                <w:sz w:val="26"/>
                <w:szCs w:val="26"/>
                <w:lang w:eastAsia="lv-LV"/>
              </w:rPr>
              <w:t xml:space="preserve"> (27. punkts)</w:t>
            </w:r>
            <w:r w:rsidR="001F32C9" w:rsidRPr="006732DD">
              <w:rPr>
                <w:rFonts w:eastAsia="Times New Roman"/>
                <w:sz w:val="26"/>
                <w:szCs w:val="26"/>
                <w:lang w:eastAsia="lv-LV"/>
              </w:rPr>
              <w:t>.</w:t>
            </w:r>
            <w:r w:rsidR="001F32C9" w:rsidRPr="006732DD">
              <w:rPr>
                <w:bCs/>
                <w:sz w:val="26"/>
                <w:szCs w:val="26"/>
              </w:rPr>
              <w:t xml:space="preserve"> </w:t>
            </w:r>
          </w:p>
          <w:p w14:paraId="6AC1EDE7" w14:textId="528235A0" w:rsidR="00195CA3" w:rsidRPr="006732DD" w:rsidRDefault="001B27C4" w:rsidP="008624F2">
            <w:pPr>
              <w:ind w:right="115" w:firstLine="0"/>
              <w:jc w:val="both"/>
              <w:rPr>
                <w:bCs/>
                <w:sz w:val="26"/>
                <w:szCs w:val="26"/>
              </w:rPr>
            </w:pPr>
            <w:r w:rsidRPr="006732DD">
              <w:rPr>
                <w:bCs/>
                <w:sz w:val="26"/>
                <w:szCs w:val="26"/>
              </w:rPr>
              <w:t>Ņemot vērā</w:t>
            </w:r>
            <w:r w:rsidR="00957B98" w:rsidRPr="006732DD">
              <w:rPr>
                <w:bCs/>
                <w:sz w:val="26"/>
                <w:szCs w:val="26"/>
              </w:rPr>
              <w:t xml:space="preserve">, ka </w:t>
            </w:r>
            <w:r w:rsidR="0039458D">
              <w:rPr>
                <w:bCs/>
                <w:sz w:val="26"/>
                <w:szCs w:val="26"/>
              </w:rPr>
              <w:t>iepriekš</w:t>
            </w:r>
            <w:r w:rsidR="00E85D5B">
              <w:rPr>
                <w:bCs/>
                <w:sz w:val="26"/>
                <w:szCs w:val="26"/>
              </w:rPr>
              <w:t xml:space="preserve"> </w:t>
            </w:r>
            <w:r w:rsidR="0039458D">
              <w:rPr>
                <w:bCs/>
                <w:sz w:val="26"/>
                <w:szCs w:val="26"/>
              </w:rPr>
              <w:t>minētie</w:t>
            </w:r>
            <w:r w:rsidRPr="006732DD">
              <w:rPr>
                <w:bCs/>
                <w:sz w:val="26"/>
                <w:szCs w:val="26"/>
              </w:rPr>
              <w:t xml:space="preserve"> normatīv</w:t>
            </w:r>
            <w:r w:rsidR="00957B98" w:rsidRPr="006732DD">
              <w:rPr>
                <w:bCs/>
                <w:sz w:val="26"/>
                <w:szCs w:val="26"/>
              </w:rPr>
              <w:t>ie</w:t>
            </w:r>
            <w:r w:rsidRPr="006732DD">
              <w:rPr>
                <w:bCs/>
                <w:sz w:val="26"/>
                <w:szCs w:val="26"/>
              </w:rPr>
              <w:t xml:space="preserve"> akt</w:t>
            </w:r>
            <w:r w:rsidR="00957B98" w:rsidRPr="006732DD">
              <w:rPr>
                <w:bCs/>
                <w:sz w:val="26"/>
                <w:szCs w:val="26"/>
              </w:rPr>
              <w:t xml:space="preserve">i neparedz, ka bāreni vai bez vecāku gādības palikušu bērnu </w:t>
            </w:r>
            <w:r w:rsidR="0039458D">
              <w:rPr>
                <w:bCs/>
                <w:sz w:val="26"/>
                <w:szCs w:val="26"/>
              </w:rPr>
              <w:t>pārstāv</w:t>
            </w:r>
            <w:r w:rsidR="00A36C54" w:rsidRPr="006732DD">
              <w:rPr>
                <w:bCs/>
                <w:sz w:val="26"/>
                <w:szCs w:val="26"/>
              </w:rPr>
              <w:t xml:space="preserve"> internātskol</w:t>
            </w:r>
            <w:r w:rsidR="0039458D">
              <w:rPr>
                <w:bCs/>
                <w:sz w:val="26"/>
                <w:szCs w:val="26"/>
              </w:rPr>
              <w:t>as direktors</w:t>
            </w:r>
            <w:r w:rsidRPr="006732DD">
              <w:rPr>
                <w:bCs/>
                <w:sz w:val="26"/>
                <w:szCs w:val="26"/>
              </w:rPr>
              <w:t>,</w:t>
            </w:r>
            <w:r w:rsidR="00195CA3" w:rsidRPr="006732DD">
              <w:rPr>
                <w:bCs/>
                <w:sz w:val="26"/>
                <w:szCs w:val="26"/>
              </w:rPr>
              <w:t xml:space="preserve"> nepieciešams saskaņot Noteikumu Nr. 857 normas ar Bērnu tiesību aizsardzības likumā noteikto attiecībā uz ārpusģimenes aprūpes veidiem, </w:t>
            </w:r>
            <w:r w:rsidRPr="006732DD">
              <w:rPr>
                <w:bCs/>
                <w:sz w:val="26"/>
                <w:szCs w:val="26"/>
              </w:rPr>
              <w:t>nosakot</w:t>
            </w:r>
            <w:r w:rsidR="00195CA3" w:rsidRPr="006732DD">
              <w:rPr>
                <w:bCs/>
                <w:sz w:val="26"/>
                <w:szCs w:val="26"/>
              </w:rPr>
              <w:t>, ka ārpusģimenes aprūpe tiek nodrošināta tikai pie aizbildņa, audžuģimenes vai aprūpes iestādē.</w:t>
            </w:r>
          </w:p>
          <w:p w14:paraId="0E38D82F" w14:textId="68500AB2" w:rsidR="001F32C9" w:rsidRPr="006732DD" w:rsidRDefault="001F32C9" w:rsidP="008624F2">
            <w:pPr>
              <w:ind w:right="115" w:firstLine="0"/>
              <w:jc w:val="both"/>
              <w:rPr>
                <w:bCs/>
                <w:sz w:val="26"/>
                <w:szCs w:val="26"/>
              </w:rPr>
            </w:pPr>
            <w:r w:rsidRPr="006732DD">
              <w:rPr>
                <w:bCs/>
                <w:sz w:val="26"/>
                <w:szCs w:val="26"/>
              </w:rPr>
              <w:t xml:space="preserve">Lai nodrošinātu iepriekš minēto, </w:t>
            </w:r>
            <w:r w:rsidR="009A2FBB">
              <w:rPr>
                <w:bCs/>
                <w:sz w:val="26"/>
                <w:szCs w:val="26"/>
              </w:rPr>
              <w:t>N</w:t>
            </w:r>
            <w:r w:rsidR="002C2111" w:rsidRPr="006732DD">
              <w:rPr>
                <w:bCs/>
                <w:sz w:val="26"/>
                <w:szCs w:val="26"/>
              </w:rPr>
              <w:t>oteikumu projekts paredz</w:t>
            </w:r>
            <w:r w:rsidRPr="006732DD">
              <w:rPr>
                <w:bCs/>
                <w:sz w:val="26"/>
                <w:szCs w:val="26"/>
              </w:rPr>
              <w:t>:</w:t>
            </w:r>
          </w:p>
          <w:p w14:paraId="35CA4BFB" w14:textId="1523B5A9"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sz w:val="26"/>
                <w:szCs w:val="26"/>
              </w:rPr>
              <w:t>aizstāt 2. punktā vārdus “ilgstošās sociālās aprūpes un sociālās rehabilitācijas institūcijas vadītājs vai internātskolas direktors” ar vārdiem “vai ilgstošās sociālās aprūpes un sociālās rehabilitācijas institūcijas vadītājs”</w:t>
            </w:r>
            <w:r w:rsidR="002C2111" w:rsidRPr="006732DD">
              <w:rPr>
                <w:sz w:val="26"/>
                <w:szCs w:val="26"/>
              </w:rPr>
              <w:t>;</w:t>
            </w:r>
          </w:p>
          <w:p w14:paraId="2CD1ABE9" w14:textId="254A1F03"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sz w:val="26"/>
                <w:szCs w:val="26"/>
                <w:shd w:val="clear" w:color="auto" w:fill="FFFFFF"/>
              </w:rPr>
              <w:t>svītrot 5. punktā vārdus "vai internātskolas direktors"</w:t>
            </w:r>
            <w:r w:rsidR="002C2111" w:rsidRPr="006732DD">
              <w:rPr>
                <w:sz w:val="26"/>
                <w:szCs w:val="26"/>
                <w:shd w:val="clear" w:color="auto" w:fill="FFFFFF"/>
              </w:rPr>
              <w:t>;</w:t>
            </w:r>
          </w:p>
          <w:p w14:paraId="02BCC751" w14:textId="279488D0"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color w:val="000000"/>
                <w:sz w:val="26"/>
                <w:szCs w:val="26"/>
              </w:rPr>
              <w:t>aizstāt 27. punktā vārdus “audžuģimenē, pie aizbildņa vai internātskolā” ar vārdiem “audžuģimenē vai pie aizbildņa”</w:t>
            </w:r>
            <w:r w:rsidR="002C2111" w:rsidRPr="006732DD">
              <w:rPr>
                <w:color w:val="000000"/>
                <w:sz w:val="26"/>
                <w:szCs w:val="26"/>
              </w:rPr>
              <w:t>;</w:t>
            </w:r>
          </w:p>
          <w:p w14:paraId="1F370E59" w14:textId="0278BC9B" w:rsidR="001F32C9" w:rsidRPr="006732DD" w:rsidRDefault="001F32C9" w:rsidP="008624F2">
            <w:pPr>
              <w:pStyle w:val="NormalWeb"/>
              <w:numPr>
                <w:ilvl w:val="0"/>
                <w:numId w:val="9"/>
              </w:numPr>
              <w:tabs>
                <w:tab w:val="left" w:pos="851"/>
              </w:tabs>
              <w:spacing w:before="0" w:beforeAutospacing="0" w:after="0" w:afterAutospacing="0"/>
              <w:jc w:val="both"/>
              <w:rPr>
                <w:bCs/>
                <w:sz w:val="26"/>
                <w:szCs w:val="26"/>
              </w:rPr>
            </w:pPr>
            <w:r w:rsidRPr="006732DD">
              <w:rPr>
                <w:bCs/>
                <w:sz w:val="26"/>
                <w:szCs w:val="26"/>
              </w:rPr>
              <w:lastRenderedPageBreak/>
              <w:t>svītrot 3. punktu, ņemot vērā, ka internātskola nav pielīdzināma bērnu aprūpes iestādei</w:t>
            </w:r>
            <w:r w:rsidR="006C18FE" w:rsidRPr="006732DD">
              <w:rPr>
                <w:bCs/>
                <w:sz w:val="26"/>
                <w:szCs w:val="26"/>
              </w:rPr>
              <w:t xml:space="preserve"> </w:t>
            </w:r>
            <w:r w:rsidR="002908BF" w:rsidRPr="006732DD">
              <w:rPr>
                <w:bCs/>
                <w:sz w:val="26"/>
                <w:szCs w:val="26"/>
              </w:rPr>
              <w:t>(</w:t>
            </w:r>
            <w:r w:rsidR="006C18FE" w:rsidRPr="006732DD">
              <w:rPr>
                <w:bCs/>
                <w:sz w:val="26"/>
                <w:szCs w:val="26"/>
              </w:rPr>
              <w:t>atbilstoši Izglītības likuma</w:t>
            </w:r>
            <w:r w:rsidR="002908BF" w:rsidRPr="006732DD">
              <w:rPr>
                <w:bCs/>
                <w:sz w:val="26"/>
                <w:szCs w:val="26"/>
              </w:rPr>
              <w:t>m</w:t>
            </w:r>
            <w:r w:rsidR="00B51D67" w:rsidRPr="006732DD">
              <w:rPr>
                <w:bCs/>
                <w:sz w:val="26"/>
                <w:szCs w:val="26"/>
              </w:rPr>
              <w:t xml:space="preserve">, kurā noteikta izglītības </w:t>
            </w:r>
            <w:r w:rsidR="009A2FBB">
              <w:rPr>
                <w:bCs/>
                <w:sz w:val="26"/>
                <w:szCs w:val="26"/>
              </w:rPr>
              <w:t xml:space="preserve">iestādes </w:t>
            </w:r>
            <w:r w:rsidR="00B51D67" w:rsidRPr="006732DD">
              <w:rPr>
                <w:bCs/>
                <w:sz w:val="26"/>
                <w:szCs w:val="26"/>
              </w:rPr>
              <w:t>vadītāja kompetence</w:t>
            </w:r>
            <w:r w:rsidR="002908BF" w:rsidRPr="006732DD">
              <w:rPr>
                <w:bCs/>
                <w:sz w:val="26"/>
                <w:szCs w:val="26"/>
              </w:rPr>
              <w:t xml:space="preserve"> un izglītības iestādes funkcijas)</w:t>
            </w:r>
            <w:r w:rsidRPr="006732DD">
              <w:rPr>
                <w:bCs/>
                <w:sz w:val="26"/>
                <w:szCs w:val="26"/>
              </w:rPr>
              <w:t xml:space="preserve">. </w:t>
            </w:r>
          </w:p>
          <w:p w14:paraId="727FCCDE" w14:textId="77777777" w:rsidR="001F32C9" w:rsidRPr="006732DD" w:rsidRDefault="001F32C9" w:rsidP="008624F2">
            <w:pPr>
              <w:pStyle w:val="NormalWeb"/>
              <w:tabs>
                <w:tab w:val="left" w:pos="851"/>
              </w:tabs>
              <w:spacing w:before="0" w:beforeAutospacing="0" w:after="0" w:afterAutospacing="0"/>
              <w:ind w:left="360"/>
              <w:jc w:val="both"/>
              <w:rPr>
                <w:sz w:val="26"/>
                <w:szCs w:val="26"/>
              </w:rPr>
            </w:pPr>
          </w:p>
          <w:p w14:paraId="1E2E2E59" w14:textId="771A6BFD" w:rsidR="001F32C9" w:rsidRPr="006732DD" w:rsidRDefault="00D50EA8" w:rsidP="008624F2">
            <w:pPr>
              <w:ind w:right="115" w:firstLine="0"/>
              <w:jc w:val="both"/>
              <w:rPr>
                <w:b/>
                <w:bCs/>
                <w:sz w:val="26"/>
                <w:szCs w:val="26"/>
              </w:rPr>
            </w:pPr>
            <w:r w:rsidRPr="006732DD">
              <w:rPr>
                <w:b/>
                <w:bCs/>
                <w:sz w:val="26"/>
                <w:szCs w:val="26"/>
              </w:rPr>
              <w:t xml:space="preserve">2. </w:t>
            </w:r>
            <w:r w:rsidR="004B0461" w:rsidRPr="006732DD">
              <w:rPr>
                <w:b/>
                <w:bCs/>
                <w:sz w:val="26"/>
                <w:szCs w:val="26"/>
              </w:rPr>
              <w:t>Sociālās garantijas</w:t>
            </w:r>
          </w:p>
          <w:p w14:paraId="2BE36619" w14:textId="77777777" w:rsidR="001F32C9" w:rsidRPr="006732DD" w:rsidRDefault="001F32C9" w:rsidP="008624F2">
            <w:pPr>
              <w:ind w:right="115" w:firstLine="0"/>
              <w:jc w:val="both"/>
              <w:rPr>
                <w:b/>
                <w:bCs/>
                <w:sz w:val="26"/>
                <w:szCs w:val="26"/>
              </w:rPr>
            </w:pPr>
          </w:p>
          <w:p w14:paraId="6CB4D7C8" w14:textId="77777777" w:rsidR="001F32C9" w:rsidRPr="006732DD" w:rsidRDefault="001F32C9" w:rsidP="008624F2">
            <w:pPr>
              <w:ind w:right="115" w:firstLine="0"/>
              <w:jc w:val="both"/>
              <w:rPr>
                <w:bCs/>
                <w:sz w:val="26"/>
                <w:szCs w:val="26"/>
              </w:rPr>
            </w:pPr>
            <w:r w:rsidRPr="006732DD">
              <w:rPr>
                <w:bCs/>
                <w:sz w:val="26"/>
                <w:szCs w:val="26"/>
              </w:rPr>
              <w:t xml:space="preserve"> Bērnu tiesību aizsardzības likuma 11. pants nosaka, ka valsts nodrošina visiem bērniem vienādas tiesības un iespējas iegūt izglītību atbilstoši katra spējām. Savukārt Izglītības likuma 8. pants nosaka, ka Izglītības ieguves formas ir klātiene, neklātiene, tālmācība, pašizglītība un izglītība ģimenē.</w:t>
            </w:r>
          </w:p>
          <w:p w14:paraId="70C7107C" w14:textId="003927D2" w:rsidR="001F32C9" w:rsidRPr="006732DD" w:rsidRDefault="001F32C9" w:rsidP="008624F2">
            <w:pPr>
              <w:ind w:right="115" w:firstLine="0"/>
              <w:jc w:val="both"/>
              <w:rPr>
                <w:bCs/>
                <w:sz w:val="26"/>
                <w:szCs w:val="26"/>
              </w:rPr>
            </w:pPr>
            <w:r w:rsidRPr="006732DD">
              <w:rPr>
                <w:bCs/>
                <w:sz w:val="26"/>
                <w:szCs w:val="26"/>
              </w:rPr>
              <w:t>Noteikumu Nr. 857 7. punkts nosaka, ka pilngadību sasniegušam bērnam apliecību izsniedz, ja viņš nepārtraukti klātienē turpina mācības kād</w:t>
            </w:r>
            <w:r w:rsidR="00DF1BAF" w:rsidRPr="006732DD">
              <w:rPr>
                <w:bCs/>
                <w:sz w:val="26"/>
                <w:szCs w:val="26"/>
              </w:rPr>
              <w:t>ā</w:t>
            </w:r>
            <w:r w:rsidRPr="006732DD">
              <w:rPr>
                <w:bCs/>
                <w:sz w:val="26"/>
                <w:szCs w:val="26"/>
              </w:rPr>
              <w:t xml:space="preserve"> no Izglītības likumā noteiktajām izglītības pakāpēm (pamatizglītība, vidējā izglītība, augstākā izglītība) un saskaņā ar izglītības jomu regulējošajos normatīvajos aktos noteikto kārtību sekmīgi apgūst izglītības programmas</w:t>
            </w:r>
            <w:r w:rsidR="00DF1BAF" w:rsidRPr="006732DD">
              <w:rPr>
                <w:bCs/>
                <w:sz w:val="26"/>
                <w:szCs w:val="26"/>
              </w:rPr>
              <w:t xml:space="preserve">. Noteikumu Nr. 857 </w:t>
            </w:r>
            <w:r w:rsidRPr="006732DD">
              <w:rPr>
                <w:bCs/>
                <w:sz w:val="26"/>
                <w:szCs w:val="26"/>
              </w:rPr>
              <w:t xml:space="preserve">16. punktā noteikts, ka, pieprasot apliecību, pilngadību sasniegušam bērnam jāiesniedz izglītības iestādes izziņa, kas apliecina, ka minētais bērns mācās klātienē šajā iestādē. Ievērojot spēkā esošo </w:t>
            </w:r>
            <w:r w:rsidR="00DF1BAF" w:rsidRPr="006732DD">
              <w:rPr>
                <w:bCs/>
                <w:sz w:val="26"/>
                <w:szCs w:val="26"/>
              </w:rPr>
              <w:t xml:space="preserve">tiesisko </w:t>
            </w:r>
            <w:r w:rsidRPr="006732DD">
              <w:rPr>
                <w:bCs/>
                <w:sz w:val="26"/>
                <w:szCs w:val="26"/>
              </w:rPr>
              <w:t>regulējumu, pilngadīgām personām pēc ārpusģimenes aprūpes, kuras atsākušas mācība</w:t>
            </w:r>
            <w:r w:rsidR="00DF1BAF" w:rsidRPr="006732DD">
              <w:rPr>
                <w:bCs/>
                <w:sz w:val="26"/>
                <w:szCs w:val="26"/>
              </w:rPr>
              <w:t>s</w:t>
            </w:r>
            <w:r w:rsidRPr="006732DD">
              <w:rPr>
                <w:bCs/>
                <w:sz w:val="26"/>
                <w:szCs w:val="26"/>
              </w:rPr>
              <w:t xml:space="preserve"> pēc pārtraukuma, vai arī kuras iegūst izglītību </w:t>
            </w:r>
            <w:r w:rsidR="0039065C" w:rsidRPr="006732DD">
              <w:rPr>
                <w:bCs/>
                <w:sz w:val="26"/>
                <w:szCs w:val="26"/>
              </w:rPr>
              <w:t>ne</w:t>
            </w:r>
            <w:r w:rsidRPr="006732DD">
              <w:rPr>
                <w:bCs/>
                <w:sz w:val="26"/>
                <w:szCs w:val="26"/>
              </w:rPr>
              <w:t xml:space="preserve">klātienē vai </w:t>
            </w:r>
            <w:r w:rsidR="0039065C" w:rsidRPr="006732DD">
              <w:rPr>
                <w:bCs/>
                <w:sz w:val="26"/>
                <w:szCs w:val="26"/>
              </w:rPr>
              <w:t>tālmācībā</w:t>
            </w:r>
            <w:r w:rsidRPr="006732DD">
              <w:rPr>
                <w:bCs/>
                <w:sz w:val="26"/>
                <w:szCs w:val="26"/>
              </w:rPr>
              <w:t xml:space="preserve">, </w:t>
            </w:r>
            <w:r w:rsidR="00DF1BAF" w:rsidRPr="006732DD">
              <w:rPr>
                <w:bCs/>
                <w:sz w:val="26"/>
                <w:szCs w:val="26"/>
              </w:rPr>
              <w:t>nav tiesību uz</w:t>
            </w:r>
            <w:r w:rsidRPr="006732DD">
              <w:rPr>
                <w:bCs/>
                <w:sz w:val="26"/>
                <w:szCs w:val="26"/>
              </w:rPr>
              <w:t xml:space="preserve"> </w:t>
            </w:r>
            <w:r w:rsidR="00DF1BAF" w:rsidRPr="006732DD">
              <w:rPr>
                <w:bCs/>
                <w:sz w:val="26"/>
                <w:szCs w:val="26"/>
              </w:rPr>
              <w:t xml:space="preserve">apliecību </w:t>
            </w:r>
            <w:r w:rsidRPr="006732DD">
              <w:rPr>
                <w:bCs/>
                <w:sz w:val="26"/>
                <w:szCs w:val="26"/>
              </w:rPr>
              <w:t>sociālo garantiju nodrošināšanai. Savukārt Noteikumu Nr. 857 31. un</w:t>
            </w:r>
            <w:proofErr w:type="gramStart"/>
            <w:r w:rsidRPr="006732DD">
              <w:rPr>
                <w:bCs/>
                <w:sz w:val="26"/>
                <w:szCs w:val="26"/>
              </w:rPr>
              <w:t xml:space="preserve"> </w:t>
            </w:r>
            <w:r w:rsidRPr="006732DD">
              <w:rPr>
                <w:color w:val="000000"/>
                <w:sz w:val="26"/>
                <w:szCs w:val="26"/>
              </w:rPr>
              <w:t>31.</w:t>
            </w:r>
            <w:r w:rsidRPr="006732DD">
              <w:rPr>
                <w:color w:val="000000"/>
                <w:sz w:val="26"/>
                <w:szCs w:val="26"/>
                <w:vertAlign w:val="superscript"/>
              </w:rPr>
              <w:t xml:space="preserve">1 </w:t>
            </w:r>
            <w:r w:rsidRPr="006732DD">
              <w:rPr>
                <w:bCs/>
                <w:sz w:val="26"/>
                <w:szCs w:val="26"/>
              </w:rPr>
              <w:t>punktā noteikts</w:t>
            </w:r>
            <w:proofErr w:type="gramEnd"/>
            <w:r w:rsidRPr="006732DD">
              <w:rPr>
                <w:bCs/>
                <w:sz w:val="26"/>
                <w:szCs w:val="26"/>
              </w:rPr>
              <w:t>, ka pilngadīgas personas pēc ārpusģimenes aprūpes var saņemt pabalstu ikmēneša izdevumiem, ja sekmīgi turpina mācības vispārējās vai profesionālajās izglītības iestādē, kas ir tiesīga izsniegt valsts atzītus vispārējās izglītības vai valsts atzītus profesionālo izglītību un profesionālo kvalifikāciju apliecinošus dokumentus vai augstskolā vai koledžā, kas ir tiesīgas izsniegt atzītus diplomus, neatkarīgi no tā, vai izglītības procesā ir bijis pārtraukums, vai izglītība iegūta klātienē, neklātienē, tālmācībā.</w:t>
            </w:r>
          </w:p>
          <w:p w14:paraId="1FD05691" w14:textId="2BB94263" w:rsidR="001F32C9" w:rsidRPr="006732DD" w:rsidRDefault="00DF1BAF" w:rsidP="008624F2">
            <w:pPr>
              <w:pStyle w:val="NormalWeb"/>
              <w:tabs>
                <w:tab w:val="left" w:pos="851"/>
              </w:tabs>
              <w:spacing w:before="0" w:beforeAutospacing="0" w:after="0" w:afterAutospacing="0"/>
              <w:jc w:val="both"/>
              <w:rPr>
                <w:sz w:val="26"/>
                <w:szCs w:val="26"/>
              </w:rPr>
            </w:pPr>
            <w:r w:rsidRPr="006732DD">
              <w:rPr>
                <w:sz w:val="26"/>
                <w:szCs w:val="26"/>
                <w:lang w:eastAsia="lv-LV"/>
              </w:rPr>
              <w:t>Lai veicinātu jauniešu iespējas iegūt profesiju, iesaistīties darba tirgū un iekļauties sabiedrības dzīvē</w:t>
            </w:r>
            <w:r w:rsidRPr="006732DD">
              <w:rPr>
                <w:sz w:val="26"/>
                <w:szCs w:val="26"/>
              </w:rPr>
              <w:t xml:space="preserve">, nesaistot to ar izglītības procesa pārtraukumiem un izglītības ieguves formām, Noteikumu projekts paredz </w:t>
            </w:r>
            <w:r w:rsidR="001F32C9" w:rsidRPr="006732DD">
              <w:rPr>
                <w:bCs/>
                <w:sz w:val="26"/>
                <w:szCs w:val="26"/>
              </w:rPr>
              <w:t>:</w:t>
            </w:r>
          </w:p>
          <w:p w14:paraId="1695B359"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7. punktā vārdus “nepārtraukti klātienē turpina mācības” ar vārdu “mācās”;</w:t>
            </w:r>
          </w:p>
          <w:p w14:paraId="080E196E"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lastRenderedPageBreak/>
              <w:t>svītrot 16. punktā vārdu “klātienē”;</w:t>
            </w:r>
          </w:p>
          <w:p w14:paraId="1FF23800"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31. punktā vārdu “turpina mācības” ar vārdu “mācās”;</w:t>
            </w:r>
          </w:p>
          <w:p w14:paraId="2A5B23D4"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31.</w:t>
            </w:r>
            <w:r w:rsidRPr="006732DD">
              <w:rPr>
                <w:color w:val="000000"/>
                <w:sz w:val="26"/>
                <w:szCs w:val="26"/>
                <w:vertAlign w:val="superscript"/>
              </w:rPr>
              <w:t xml:space="preserve">1 </w:t>
            </w:r>
            <w:r w:rsidRPr="006732DD">
              <w:rPr>
                <w:color w:val="000000"/>
                <w:sz w:val="26"/>
                <w:szCs w:val="26"/>
              </w:rPr>
              <w:t>punktā vārdu “turpina studijas” ar vārdu “mācās”;</w:t>
            </w:r>
          </w:p>
          <w:p w14:paraId="057A4EF7" w14:textId="7D34920D"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svītrot 2. pielikumā 9.2. apakšpunktā vārdu “klātienē”</w:t>
            </w:r>
            <w:r w:rsidR="00CB6F19" w:rsidRPr="006732DD">
              <w:rPr>
                <w:color w:val="000000"/>
                <w:sz w:val="26"/>
                <w:szCs w:val="26"/>
              </w:rPr>
              <w:t>.</w:t>
            </w:r>
          </w:p>
          <w:p w14:paraId="361AC7F1" w14:textId="77777777" w:rsidR="001F32C9" w:rsidRPr="006732DD" w:rsidRDefault="001F32C9" w:rsidP="008624F2">
            <w:pPr>
              <w:pStyle w:val="NormalWeb"/>
              <w:tabs>
                <w:tab w:val="left" w:pos="851"/>
              </w:tabs>
              <w:spacing w:before="0" w:beforeAutospacing="0" w:after="0" w:afterAutospacing="0"/>
              <w:jc w:val="both"/>
              <w:rPr>
                <w:color w:val="000000"/>
                <w:sz w:val="26"/>
                <w:szCs w:val="26"/>
              </w:rPr>
            </w:pPr>
          </w:p>
          <w:p w14:paraId="285B96E2" w14:textId="4BADB974" w:rsidR="001F32C9" w:rsidRPr="006732DD" w:rsidRDefault="00D50EA8" w:rsidP="008624F2">
            <w:pPr>
              <w:ind w:right="115" w:firstLine="0"/>
              <w:jc w:val="both"/>
              <w:rPr>
                <w:b/>
                <w:bCs/>
                <w:sz w:val="26"/>
                <w:szCs w:val="26"/>
              </w:rPr>
            </w:pPr>
            <w:r w:rsidRPr="006732DD">
              <w:rPr>
                <w:b/>
                <w:bCs/>
                <w:sz w:val="26"/>
                <w:szCs w:val="26"/>
              </w:rPr>
              <w:t xml:space="preserve">3. </w:t>
            </w:r>
            <w:r w:rsidR="001F32C9" w:rsidRPr="006732DD">
              <w:rPr>
                <w:b/>
                <w:bCs/>
                <w:sz w:val="26"/>
                <w:szCs w:val="26"/>
              </w:rPr>
              <w:t>Dzīvokļu pabalsts bez vecāku gādības palikušiem bērniem</w:t>
            </w:r>
          </w:p>
          <w:p w14:paraId="3C754AB5" w14:textId="77777777" w:rsidR="001F32C9" w:rsidRPr="006732DD" w:rsidRDefault="001F32C9" w:rsidP="008624F2">
            <w:pPr>
              <w:ind w:right="115" w:firstLine="0"/>
              <w:jc w:val="both"/>
              <w:rPr>
                <w:b/>
                <w:bCs/>
                <w:sz w:val="26"/>
                <w:szCs w:val="26"/>
              </w:rPr>
            </w:pPr>
          </w:p>
          <w:p w14:paraId="20D21D8C" w14:textId="5AD1F102" w:rsidR="001F32C9" w:rsidRPr="006732DD" w:rsidRDefault="001F32C9" w:rsidP="008624F2">
            <w:pPr>
              <w:ind w:right="115" w:firstLine="0"/>
              <w:jc w:val="both"/>
              <w:rPr>
                <w:bCs/>
                <w:sz w:val="26"/>
                <w:szCs w:val="26"/>
              </w:rPr>
            </w:pPr>
            <w:r w:rsidRPr="006732DD">
              <w:rPr>
                <w:bCs/>
                <w:sz w:val="26"/>
                <w:szCs w:val="26"/>
              </w:rPr>
              <w:t>Likum</w:t>
            </w:r>
            <w:r w:rsidR="009A2FBB">
              <w:rPr>
                <w:bCs/>
                <w:sz w:val="26"/>
                <w:szCs w:val="26"/>
              </w:rPr>
              <w:t>a</w:t>
            </w:r>
            <w:r w:rsidRPr="006732DD">
              <w:rPr>
                <w:bCs/>
                <w:sz w:val="26"/>
                <w:szCs w:val="26"/>
              </w:rPr>
              <w:t xml:space="preserve"> “Par pašvaldībām” 15. </w:t>
            </w:r>
            <w:r w:rsidR="00DF1BAF" w:rsidRPr="006732DD">
              <w:rPr>
                <w:bCs/>
                <w:sz w:val="26"/>
                <w:szCs w:val="26"/>
              </w:rPr>
              <w:t xml:space="preserve">pantā </w:t>
            </w:r>
            <w:r w:rsidRPr="006732DD">
              <w:rPr>
                <w:bCs/>
                <w:sz w:val="26"/>
                <w:szCs w:val="26"/>
              </w:rPr>
              <w:t>noteikts, ka pašvaldību autonomajās funkcijās ietilps</w:t>
            </w:r>
            <w:r w:rsidR="00DF1BAF" w:rsidRPr="006732DD">
              <w:rPr>
                <w:bCs/>
                <w:sz w:val="26"/>
                <w:szCs w:val="26"/>
              </w:rPr>
              <w:t>t pienākums</w:t>
            </w:r>
            <w:r w:rsidRPr="006732DD">
              <w:rPr>
                <w:bCs/>
                <w:sz w:val="26"/>
                <w:szCs w:val="26"/>
              </w:rPr>
              <w:t xml:space="preserve"> nodrošināt iedzīvotājiem sociālo palīdzību un</w:t>
            </w:r>
            <w:r w:rsidR="00DF1BAF" w:rsidRPr="006732DD">
              <w:rPr>
                <w:bCs/>
                <w:sz w:val="26"/>
                <w:szCs w:val="26"/>
              </w:rPr>
              <w:t xml:space="preserve"> </w:t>
            </w:r>
            <w:r w:rsidRPr="006732DD">
              <w:rPr>
                <w:bCs/>
                <w:sz w:val="26"/>
                <w:szCs w:val="26"/>
              </w:rPr>
              <w:t>sniegt palīdzību iedzīvotājiem dzīvokļa jautājumu risināšanā.</w:t>
            </w:r>
            <w:r w:rsidR="00A85D69" w:rsidRPr="006732DD">
              <w:rPr>
                <w:bCs/>
                <w:sz w:val="26"/>
                <w:szCs w:val="26"/>
              </w:rPr>
              <w:t xml:space="preserve"> </w:t>
            </w:r>
            <w:r w:rsidRPr="006732DD">
              <w:rPr>
                <w:bCs/>
                <w:sz w:val="26"/>
                <w:szCs w:val="26"/>
              </w:rPr>
              <w:t xml:space="preserve">Savukārt </w:t>
            </w:r>
            <w:r w:rsidR="009A2FBB">
              <w:rPr>
                <w:bCs/>
                <w:sz w:val="26"/>
                <w:szCs w:val="26"/>
              </w:rPr>
              <w:t xml:space="preserve">atbilstoši </w:t>
            </w:r>
            <w:r w:rsidR="00A85D69" w:rsidRPr="006732DD">
              <w:rPr>
                <w:bCs/>
                <w:sz w:val="26"/>
                <w:szCs w:val="26"/>
              </w:rPr>
              <w:t>2017. gada 30. mart</w:t>
            </w:r>
            <w:r w:rsidR="009A2FBB">
              <w:rPr>
                <w:bCs/>
                <w:sz w:val="26"/>
                <w:szCs w:val="26"/>
              </w:rPr>
              <w:t>ā</w:t>
            </w:r>
            <w:r w:rsidR="00A85D69" w:rsidRPr="006732DD">
              <w:rPr>
                <w:bCs/>
                <w:sz w:val="26"/>
                <w:szCs w:val="26"/>
              </w:rPr>
              <w:t xml:space="preserve"> pieņemt</w:t>
            </w:r>
            <w:r w:rsidR="009A2FBB">
              <w:rPr>
                <w:bCs/>
                <w:sz w:val="26"/>
                <w:szCs w:val="26"/>
              </w:rPr>
              <w:t>ajam</w:t>
            </w:r>
            <w:r w:rsidR="00A85D69" w:rsidRPr="006732DD">
              <w:rPr>
                <w:bCs/>
                <w:sz w:val="26"/>
                <w:szCs w:val="26"/>
              </w:rPr>
              <w:t xml:space="preserve"> likuma</w:t>
            </w:r>
            <w:r w:rsidR="009A2FBB">
              <w:rPr>
                <w:bCs/>
                <w:sz w:val="26"/>
                <w:szCs w:val="26"/>
              </w:rPr>
              <w:t>m</w:t>
            </w:r>
            <w:r w:rsidR="00A85D69" w:rsidRPr="006732DD">
              <w:rPr>
                <w:bCs/>
                <w:sz w:val="26"/>
                <w:szCs w:val="26"/>
              </w:rPr>
              <w:t xml:space="preserve"> </w:t>
            </w:r>
            <w:r w:rsidR="009A2FBB">
              <w:rPr>
                <w:bCs/>
                <w:sz w:val="26"/>
                <w:szCs w:val="26"/>
              </w:rPr>
              <w:t>„G</w:t>
            </w:r>
            <w:r w:rsidR="00A85D69" w:rsidRPr="006732DD">
              <w:rPr>
                <w:bCs/>
                <w:sz w:val="26"/>
                <w:szCs w:val="26"/>
              </w:rPr>
              <w:t>rozījum</w:t>
            </w:r>
            <w:r w:rsidR="009A2FBB">
              <w:rPr>
                <w:bCs/>
                <w:sz w:val="26"/>
                <w:szCs w:val="26"/>
              </w:rPr>
              <w:t>i likumā</w:t>
            </w:r>
            <w:r w:rsidR="00A85D69" w:rsidRPr="006732DD">
              <w:rPr>
                <w:bCs/>
                <w:sz w:val="26"/>
                <w:szCs w:val="26"/>
              </w:rPr>
              <w:t xml:space="preserve"> “</w:t>
            </w:r>
            <w:r w:rsidRPr="006732DD">
              <w:rPr>
                <w:bCs/>
                <w:sz w:val="26"/>
                <w:szCs w:val="26"/>
              </w:rPr>
              <w:t>Par palīdzību dzīvokļa jautājumu risināšanā”</w:t>
            </w:r>
            <w:r w:rsidR="00B51D67" w:rsidRPr="006732DD">
              <w:rPr>
                <w:bCs/>
                <w:sz w:val="26"/>
                <w:szCs w:val="26"/>
              </w:rPr>
              <w:t>, stājās spēkā 2017. gada 26.</w:t>
            </w:r>
            <w:r w:rsidR="009C24C3">
              <w:rPr>
                <w:bCs/>
                <w:sz w:val="26"/>
                <w:szCs w:val="26"/>
              </w:rPr>
              <w:t xml:space="preserve"> </w:t>
            </w:r>
            <w:r w:rsidR="009A2FBB">
              <w:rPr>
                <w:bCs/>
                <w:sz w:val="26"/>
                <w:szCs w:val="26"/>
              </w:rPr>
              <w:t>a</w:t>
            </w:r>
            <w:r w:rsidR="00B51D67" w:rsidRPr="006732DD">
              <w:rPr>
                <w:bCs/>
                <w:sz w:val="26"/>
                <w:szCs w:val="26"/>
              </w:rPr>
              <w:t>prīlī</w:t>
            </w:r>
            <w:r w:rsidR="009A2FBB">
              <w:rPr>
                <w:bCs/>
                <w:sz w:val="26"/>
                <w:szCs w:val="26"/>
              </w:rPr>
              <w:t>,</w:t>
            </w:r>
            <w:r w:rsidR="00B51D67" w:rsidRPr="006732DD">
              <w:rPr>
                <w:bCs/>
                <w:sz w:val="26"/>
                <w:szCs w:val="26"/>
              </w:rPr>
              <w:t xml:space="preserve"> </w:t>
            </w:r>
            <w:r w:rsidR="009A2FBB">
              <w:rPr>
                <w:bCs/>
                <w:sz w:val="26"/>
                <w:szCs w:val="26"/>
              </w:rPr>
              <w:t xml:space="preserve">likuma </w:t>
            </w:r>
            <w:r w:rsidRPr="006732DD">
              <w:rPr>
                <w:color w:val="000000"/>
                <w:sz w:val="26"/>
                <w:szCs w:val="26"/>
              </w:rPr>
              <w:t>25.</w:t>
            </w:r>
            <w:r w:rsidRPr="006732DD">
              <w:rPr>
                <w:color w:val="000000"/>
                <w:sz w:val="26"/>
                <w:szCs w:val="26"/>
                <w:vertAlign w:val="superscript"/>
              </w:rPr>
              <w:t xml:space="preserve">2 </w:t>
            </w:r>
            <w:r w:rsidRPr="006732DD">
              <w:rPr>
                <w:bCs/>
                <w:sz w:val="26"/>
                <w:szCs w:val="26"/>
              </w:rPr>
              <w:t>pantā</w:t>
            </w:r>
            <w:r w:rsidR="00A85D69" w:rsidRPr="006732DD">
              <w:rPr>
                <w:bCs/>
                <w:sz w:val="26"/>
                <w:szCs w:val="26"/>
              </w:rPr>
              <w:t xml:space="preserve"> </w:t>
            </w:r>
            <w:r w:rsidRPr="006732DD">
              <w:rPr>
                <w:bCs/>
                <w:sz w:val="26"/>
                <w:szCs w:val="26"/>
              </w:rPr>
              <w:t xml:space="preserve">noteikts, ka pašvaldība domes saistošajos noteikumos paredzētajā kārtībā maksā dzīvokļa pabalstu bez vecāku gādības palikušam bērnam no dienas, kad bērns sasniedzis pilngadību, līdz 24 gadu vecuma </w:t>
            </w:r>
            <w:r w:rsidR="00A85D69" w:rsidRPr="006732DD">
              <w:rPr>
                <w:bCs/>
                <w:sz w:val="26"/>
                <w:szCs w:val="26"/>
              </w:rPr>
              <w:t>sasniegšanai</w:t>
            </w:r>
            <w:r w:rsidRPr="006732DD">
              <w:rPr>
                <w:bCs/>
                <w:sz w:val="26"/>
                <w:szCs w:val="26"/>
              </w:rPr>
              <w:t>. Dzīvokļa pabalsts paredzēts izdevumiem par dzīvojamās platības lietošanu (īres maksa, nepieciešamie izdevumi par obligāti veicamajām pārvaldīšanas darbībām) un izdevumiem par pakalpojumiem, kas saistīti ar dzīvojamās telpas lietošanu (siltumenerģijas apkures un karstā ūdens nodrošināšanai, elektroenerģija, patērētais ūdens, dabasgāze, kanalizācijas vai asenizācijas nodrošināšana, sadzīves atkritumu apsaimniekošana) segšanai, ja tie nav ietverti īres maksā vai nepieciešamajos izdevumos par obligāti veicamajām pārvaldīšanas darbībām.</w:t>
            </w:r>
          </w:p>
          <w:p w14:paraId="37C4395C" w14:textId="633AA36E" w:rsidR="001F32C9" w:rsidRPr="006732DD" w:rsidRDefault="001F32C9" w:rsidP="008624F2">
            <w:pPr>
              <w:ind w:right="115" w:firstLine="0"/>
              <w:jc w:val="both"/>
              <w:rPr>
                <w:color w:val="000000"/>
                <w:sz w:val="26"/>
                <w:szCs w:val="26"/>
                <w:vertAlign w:val="superscript"/>
              </w:rPr>
            </w:pPr>
            <w:r w:rsidRPr="006732DD">
              <w:rPr>
                <w:bCs/>
                <w:sz w:val="26"/>
                <w:szCs w:val="26"/>
              </w:rPr>
              <w:t xml:space="preserve">Saskaņā ar Noteikumu Nr. 857 28. punktu pašvaldība likumā “Par palīdzību dzīvokļa jautājuma risināšanā” noteiktajā kārtībā sniedz pilngadību sasniegušam bērnam palīdzību dzīvokļa jautājuma risināšanā. </w:t>
            </w:r>
          </w:p>
          <w:p w14:paraId="6AEDF42B" w14:textId="4E493F98" w:rsidR="006E5A72" w:rsidRDefault="001F32C9" w:rsidP="008624F2">
            <w:pPr>
              <w:ind w:right="115" w:firstLine="0"/>
              <w:jc w:val="both"/>
              <w:rPr>
                <w:bCs/>
                <w:sz w:val="26"/>
                <w:szCs w:val="26"/>
              </w:rPr>
            </w:pPr>
            <w:r w:rsidRPr="006732DD">
              <w:rPr>
                <w:bCs/>
                <w:sz w:val="26"/>
                <w:szCs w:val="26"/>
              </w:rPr>
              <w:t>Ņemot vērā, ka likumā “Par palīdzību dzīvokļa jautājumu risināšanā” ir noteikt</w:t>
            </w:r>
            <w:r w:rsidR="009A2FBB">
              <w:rPr>
                <w:bCs/>
                <w:sz w:val="26"/>
                <w:szCs w:val="26"/>
              </w:rPr>
              <w:t>s</w:t>
            </w:r>
            <w:r w:rsidRPr="006732DD">
              <w:rPr>
                <w:bCs/>
                <w:sz w:val="26"/>
                <w:szCs w:val="26"/>
              </w:rPr>
              <w:t>, kā pašvaldība piešķir dzīvokļa pabalstu bāreņiem un bez vecāku gādības palikušiem bērniem</w:t>
            </w:r>
            <w:r w:rsidR="009A2FBB">
              <w:rPr>
                <w:bCs/>
                <w:sz w:val="26"/>
                <w:szCs w:val="26"/>
              </w:rPr>
              <w:t xml:space="preserve"> un noteikumos likuma normas nav jādublē</w:t>
            </w:r>
            <w:r w:rsidR="00A85D69" w:rsidRPr="006732DD">
              <w:rPr>
                <w:bCs/>
                <w:sz w:val="26"/>
                <w:szCs w:val="26"/>
              </w:rPr>
              <w:t>, Noteikumu projekts paredz</w:t>
            </w:r>
            <w:r w:rsidRPr="006732DD">
              <w:rPr>
                <w:bCs/>
                <w:sz w:val="26"/>
                <w:szCs w:val="26"/>
              </w:rPr>
              <w:t xml:space="preserve"> svītrot noteikumu Nr. 857 29. punktu, kurā noteikts, ka līdz dzīvojamās telpas piešķiršanai pilngadību sasniegušajam bērnam pašvaldība, kuras bāriņtiesa pieņēmusi lēmumu par bērnu ārpusģimenes aprūpi, sedz ar dzīvojamās telpas īri saistītos ikmēneša izdevumus. </w:t>
            </w:r>
          </w:p>
          <w:p w14:paraId="5817CA9D" w14:textId="77777777" w:rsidR="006E5A72" w:rsidRDefault="006E5A72" w:rsidP="008624F2">
            <w:pPr>
              <w:ind w:right="115" w:firstLine="0"/>
              <w:jc w:val="both"/>
              <w:rPr>
                <w:bCs/>
                <w:sz w:val="26"/>
                <w:szCs w:val="26"/>
              </w:rPr>
            </w:pPr>
          </w:p>
          <w:p w14:paraId="059AC722" w14:textId="2F5AED2A" w:rsidR="00C5715A" w:rsidRDefault="00C5715A" w:rsidP="008624F2">
            <w:pPr>
              <w:ind w:right="115" w:firstLine="0"/>
              <w:jc w:val="both"/>
              <w:rPr>
                <w:b/>
                <w:bCs/>
                <w:sz w:val="26"/>
                <w:szCs w:val="26"/>
              </w:rPr>
            </w:pPr>
            <w:r w:rsidRPr="00E2442C">
              <w:rPr>
                <w:b/>
                <w:bCs/>
                <w:sz w:val="26"/>
                <w:szCs w:val="26"/>
              </w:rPr>
              <w:t>4. Apliec</w:t>
            </w:r>
            <w:r w:rsidR="006E5A72">
              <w:rPr>
                <w:b/>
                <w:bCs/>
                <w:sz w:val="26"/>
                <w:szCs w:val="26"/>
              </w:rPr>
              <w:t>ība</w:t>
            </w:r>
            <w:r w:rsidRPr="00E2442C">
              <w:rPr>
                <w:b/>
                <w:bCs/>
                <w:sz w:val="26"/>
                <w:szCs w:val="26"/>
              </w:rPr>
              <w:t xml:space="preserve"> sociālo garantiju nodrošināšanai</w:t>
            </w:r>
          </w:p>
          <w:p w14:paraId="20641F60" w14:textId="77777777" w:rsidR="00E2442C" w:rsidRPr="00E2442C" w:rsidRDefault="00E2442C" w:rsidP="008624F2">
            <w:pPr>
              <w:ind w:right="115" w:firstLine="0"/>
              <w:jc w:val="both"/>
              <w:rPr>
                <w:b/>
                <w:bCs/>
                <w:sz w:val="26"/>
                <w:szCs w:val="26"/>
              </w:rPr>
            </w:pPr>
          </w:p>
          <w:p w14:paraId="29A479F8" w14:textId="5C3DE356" w:rsidR="002819F1" w:rsidRDefault="00C5715A" w:rsidP="008624F2">
            <w:pPr>
              <w:jc w:val="both"/>
              <w:rPr>
                <w:bCs/>
                <w:sz w:val="26"/>
                <w:szCs w:val="26"/>
              </w:rPr>
            </w:pPr>
            <w:r>
              <w:rPr>
                <w:bCs/>
                <w:sz w:val="26"/>
                <w:szCs w:val="26"/>
              </w:rPr>
              <w:t>Saskaņā ar noteikumu Nr. 857 1. pielikumu</w:t>
            </w:r>
            <w:r w:rsidR="00E2442C">
              <w:rPr>
                <w:bCs/>
                <w:sz w:val="26"/>
                <w:szCs w:val="26"/>
              </w:rPr>
              <w:t>,</w:t>
            </w:r>
            <w:r>
              <w:rPr>
                <w:bCs/>
                <w:sz w:val="26"/>
                <w:szCs w:val="26"/>
              </w:rPr>
              <w:t xml:space="preserve"> noteikt</w:t>
            </w:r>
            <w:r w:rsidR="009C24C3">
              <w:rPr>
                <w:bCs/>
                <w:sz w:val="26"/>
                <w:szCs w:val="26"/>
              </w:rPr>
              <w:t>i</w:t>
            </w:r>
            <w:r>
              <w:rPr>
                <w:bCs/>
                <w:sz w:val="26"/>
                <w:szCs w:val="26"/>
              </w:rPr>
              <w:t xml:space="preserve"> </w:t>
            </w:r>
            <w:r w:rsidR="009C24C3">
              <w:rPr>
                <w:bCs/>
                <w:sz w:val="26"/>
                <w:szCs w:val="26"/>
              </w:rPr>
              <w:t>kritēriji</w:t>
            </w:r>
            <w:r>
              <w:rPr>
                <w:bCs/>
                <w:sz w:val="26"/>
                <w:szCs w:val="26"/>
              </w:rPr>
              <w:t xml:space="preserve"> apliecībai sociālo garantiju nodrošināšanai</w:t>
            </w:r>
            <w:r w:rsidR="009C24C3">
              <w:rPr>
                <w:bCs/>
                <w:sz w:val="26"/>
                <w:szCs w:val="26"/>
              </w:rPr>
              <w:t xml:space="preserve"> bārenim un bez vecāku gādības palikušam bērnam. Noteikumu Nr. 857 1. pielikuma 4.3.5.2. apakšpunktā noteikts, ka apliecības aizmugures (reversa) vidusdaļā ir iestrādāta hologramma - aizmugurējā plānā 0.75-1 mm optiskā dziļumā burti BM, kas atkārtojas sešās diagonālās rindās no kreisās augšējā stūra uz labo augšējo stūri, ar priekšplāna “ēnu” (zem priekšplāna burtu BM nav)</w:t>
            </w:r>
            <w:r w:rsidR="0035213C">
              <w:rPr>
                <w:bCs/>
                <w:sz w:val="26"/>
                <w:szCs w:val="26"/>
              </w:rPr>
              <w:t>, savukārt 4.4. apakšpunktā noteikts, ka apliecības priekšpusē (aversā) visos stūros un diagonāļu krustpunktā izvietoti burti BM (hologrammas izmēri 20x20 mm) 45 grādu leņķī pret pamata malu, redzami ultravioletā gaismā vai normālā apgaismojumā, pagriežot apliecību noteiktā leņķī</w:t>
            </w:r>
            <w:r w:rsidR="0073645E">
              <w:rPr>
                <w:bCs/>
                <w:sz w:val="26"/>
                <w:szCs w:val="26"/>
              </w:rPr>
              <w:t xml:space="preserve">. </w:t>
            </w:r>
          </w:p>
          <w:p w14:paraId="7111E47C" w14:textId="53812E55" w:rsidR="002819F1" w:rsidRDefault="006E5A72" w:rsidP="008624F2">
            <w:pPr>
              <w:ind w:firstLine="0"/>
              <w:jc w:val="both"/>
              <w:rPr>
                <w:sz w:val="26"/>
                <w:szCs w:val="26"/>
              </w:rPr>
            </w:pPr>
            <w:r>
              <w:rPr>
                <w:bCs/>
                <w:sz w:val="26"/>
                <w:szCs w:val="26"/>
              </w:rPr>
              <w:t xml:space="preserve">Ņemot vērā, ka </w:t>
            </w:r>
            <w:r w:rsidR="0073645E" w:rsidRPr="0073645E">
              <w:rPr>
                <w:bCs/>
                <w:sz w:val="26"/>
                <w:szCs w:val="26"/>
              </w:rPr>
              <w:t>2009.</w:t>
            </w:r>
            <w:r w:rsidR="0073645E">
              <w:rPr>
                <w:bCs/>
                <w:sz w:val="26"/>
                <w:szCs w:val="26"/>
              </w:rPr>
              <w:t xml:space="preserve"> </w:t>
            </w:r>
            <w:r w:rsidR="0073645E" w:rsidRPr="0073645E">
              <w:rPr>
                <w:bCs/>
                <w:sz w:val="26"/>
                <w:szCs w:val="26"/>
              </w:rPr>
              <w:t>gada 1.</w:t>
            </w:r>
            <w:r w:rsidR="0073645E">
              <w:rPr>
                <w:bCs/>
                <w:sz w:val="26"/>
                <w:szCs w:val="26"/>
              </w:rPr>
              <w:t xml:space="preserve"> </w:t>
            </w:r>
            <w:r w:rsidR="0073645E" w:rsidRPr="0073645E">
              <w:rPr>
                <w:bCs/>
                <w:sz w:val="26"/>
                <w:szCs w:val="26"/>
              </w:rPr>
              <w:t>jūlij</w:t>
            </w:r>
            <w:r w:rsidR="0035213C">
              <w:rPr>
                <w:bCs/>
                <w:sz w:val="26"/>
                <w:szCs w:val="26"/>
              </w:rPr>
              <w:t>ā</w:t>
            </w:r>
            <w:r w:rsidR="002819F1">
              <w:rPr>
                <w:bCs/>
                <w:sz w:val="26"/>
                <w:szCs w:val="26"/>
              </w:rPr>
              <w:t xml:space="preserve"> </w:t>
            </w:r>
            <w:r w:rsidR="0035213C">
              <w:rPr>
                <w:bCs/>
                <w:sz w:val="26"/>
                <w:szCs w:val="26"/>
              </w:rPr>
              <w:t xml:space="preserve">tika likvidēta </w:t>
            </w:r>
            <w:r w:rsidR="002819F1">
              <w:rPr>
                <w:bCs/>
                <w:sz w:val="26"/>
                <w:szCs w:val="26"/>
              </w:rPr>
              <w:t>Bērnu un ģimenes lietu ministrija</w:t>
            </w:r>
            <w:r>
              <w:rPr>
                <w:bCs/>
                <w:sz w:val="26"/>
                <w:szCs w:val="26"/>
              </w:rPr>
              <w:t xml:space="preserve"> un tās</w:t>
            </w:r>
            <w:r w:rsidR="0035213C">
              <w:rPr>
                <w:bCs/>
                <w:sz w:val="26"/>
                <w:szCs w:val="26"/>
              </w:rPr>
              <w:t xml:space="preserve"> funkcijas pārņēma </w:t>
            </w:r>
            <w:r w:rsidR="0073645E" w:rsidRPr="0073645E">
              <w:rPr>
                <w:bCs/>
                <w:sz w:val="26"/>
                <w:szCs w:val="26"/>
              </w:rPr>
              <w:t>Labklājības ministrija</w:t>
            </w:r>
            <w:r w:rsidR="0073645E" w:rsidRPr="0073645E">
              <w:rPr>
                <w:sz w:val="26"/>
                <w:szCs w:val="26"/>
              </w:rPr>
              <w:t xml:space="preserve"> (Ministru kabineta 2004.</w:t>
            </w:r>
            <w:r w:rsidR="0073645E">
              <w:rPr>
                <w:sz w:val="26"/>
                <w:szCs w:val="26"/>
              </w:rPr>
              <w:t xml:space="preserve"> </w:t>
            </w:r>
            <w:r w:rsidR="0073645E" w:rsidRPr="0073645E">
              <w:rPr>
                <w:sz w:val="26"/>
                <w:szCs w:val="26"/>
              </w:rPr>
              <w:t>gada 27.</w:t>
            </w:r>
            <w:r w:rsidR="0073645E">
              <w:rPr>
                <w:sz w:val="26"/>
                <w:szCs w:val="26"/>
              </w:rPr>
              <w:t xml:space="preserve"> </w:t>
            </w:r>
            <w:r w:rsidR="0073645E" w:rsidRPr="0073645E">
              <w:rPr>
                <w:sz w:val="26"/>
                <w:szCs w:val="26"/>
              </w:rPr>
              <w:t>janvāra noteikumu Nr.49 „Labklājības ministrijas nolikums” 5.2.</w:t>
            </w:r>
            <w:r w:rsidR="0073645E" w:rsidRPr="0073645E">
              <w:rPr>
                <w:sz w:val="26"/>
                <w:szCs w:val="26"/>
                <w:vertAlign w:val="superscript"/>
              </w:rPr>
              <w:t>1</w:t>
            </w:r>
            <w:r>
              <w:rPr>
                <w:sz w:val="26"/>
                <w:szCs w:val="26"/>
              </w:rPr>
              <w:t xml:space="preserve"> apakšpunkts), </w:t>
            </w:r>
            <w:r w:rsidR="002819F1">
              <w:rPr>
                <w:sz w:val="26"/>
                <w:szCs w:val="26"/>
              </w:rPr>
              <w:t>Noteikumu projekts paredz:</w:t>
            </w:r>
          </w:p>
          <w:p w14:paraId="356BE22C" w14:textId="77777777" w:rsidR="002819F1" w:rsidRDefault="002819F1" w:rsidP="008624F2">
            <w:pPr>
              <w:pStyle w:val="ListParagraph"/>
              <w:numPr>
                <w:ilvl w:val="0"/>
                <w:numId w:val="12"/>
              </w:numPr>
              <w:jc w:val="both"/>
              <w:rPr>
                <w:sz w:val="26"/>
                <w:szCs w:val="26"/>
              </w:rPr>
            </w:pPr>
            <w:r>
              <w:rPr>
                <w:sz w:val="26"/>
                <w:szCs w:val="26"/>
              </w:rPr>
              <w:t>aizstāt 1. pielikuma 4.3.5.2. apakšpunktā abreviatūru “BM” ar abreviatūru “LM”;</w:t>
            </w:r>
          </w:p>
          <w:p w14:paraId="5E533210" w14:textId="078CAA5C" w:rsidR="00D36479" w:rsidRPr="002819F1" w:rsidRDefault="002819F1" w:rsidP="008624F2">
            <w:pPr>
              <w:pStyle w:val="ListParagraph"/>
              <w:numPr>
                <w:ilvl w:val="0"/>
                <w:numId w:val="12"/>
              </w:numPr>
              <w:jc w:val="both"/>
              <w:rPr>
                <w:sz w:val="26"/>
                <w:szCs w:val="26"/>
              </w:rPr>
            </w:pPr>
            <w:r>
              <w:rPr>
                <w:sz w:val="26"/>
                <w:szCs w:val="26"/>
              </w:rPr>
              <w:t>svītrot 4.4. apakšpunktu.</w:t>
            </w:r>
            <w:r w:rsidRPr="002819F1">
              <w:rPr>
                <w:sz w:val="26"/>
                <w:szCs w:val="26"/>
              </w:rPr>
              <w:t xml:space="preserve"> </w:t>
            </w:r>
          </w:p>
        </w:tc>
      </w:tr>
      <w:tr w:rsidR="00825345" w:rsidRPr="006732DD" w14:paraId="1F3309BE" w14:textId="77777777" w:rsidTr="008624F2">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05C4E45" w14:textId="06D073DA"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70335C32"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14:paraId="7D64CDAB" w14:textId="21481556" w:rsidR="00825345" w:rsidRPr="006732DD" w:rsidRDefault="00A85D69" w:rsidP="008624F2">
            <w:pPr>
              <w:ind w:firstLine="0"/>
              <w:rPr>
                <w:rFonts w:eastAsia="Times New Roman"/>
                <w:sz w:val="26"/>
                <w:szCs w:val="26"/>
                <w:lang w:eastAsia="lv-LV"/>
              </w:rPr>
            </w:pPr>
            <w:r w:rsidRPr="006732DD">
              <w:rPr>
                <w:rFonts w:eastAsia="Times New Roman"/>
                <w:sz w:val="26"/>
                <w:szCs w:val="26"/>
                <w:lang w:eastAsia="lv-LV"/>
              </w:rPr>
              <w:t>Valsts bērnu tiesību aizsardzības inspekcija</w:t>
            </w:r>
          </w:p>
        </w:tc>
      </w:tr>
      <w:tr w:rsidR="00825345" w:rsidRPr="006732DD" w14:paraId="4D22B23B" w14:textId="77777777" w:rsidTr="008624F2">
        <w:tc>
          <w:tcPr>
            <w:tcW w:w="302" w:type="pct"/>
            <w:tcBorders>
              <w:top w:val="outset" w:sz="6" w:space="0" w:color="414142"/>
              <w:left w:val="outset" w:sz="6" w:space="0" w:color="414142"/>
              <w:bottom w:val="outset" w:sz="6" w:space="0" w:color="414142"/>
              <w:right w:val="outset" w:sz="6" w:space="0" w:color="414142"/>
            </w:tcBorders>
            <w:hideMark/>
          </w:tcPr>
          <w:p w14:paraId="040971CE"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795F8CA7"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1A3D1EF" w14:textId="0E558BCC" w:rsidR="0029643A" w:rsidRPr="006732DD" w:rsidRDefault="00315B9F" w:rsidP="008624F2">
            <w:pPr>
              <w:tabs>
                <w:tab w:val="left" w:pos="885"/>
              </w:tabs>
              <w:ind w:firstLine="0"/>
              <w:jc w:val="both"/>
              <w:rPr>
                <w:rFonts w:eastAsia="Times New Roman"/>
                <w:sz w:val="26"/>
                <w:szCs w:val="26"/>
                <w:lang w:eastAsia="lv-LV"/>
              </w:rPr>
            </w:pPr>
            <w:r w:rsidRPr="006732DD">
              <w:rPr>
                <w:rFonts w:eastAsia="Times New Roman"/>
                <w:sz w:val="26"/>
                <w:szCs w:val="26"/>
                <w:lang w:eastAsia="lv-LV"/>
              </w:rPr>
              <w:t>Nav</w:t>
            </w:r>
          </w:p>
          <w:p w14:paraId="0F190006" w14:textId="77777777" w:rsidR="009026D6" w:rsidRPr="006732DD" w:rsidRDefault="009026D6" w:rsidP="008624F2">
            <w:pPr>
              <w:tabs>
                <w:tab w:val="left" w:pos="885"/>
              </w:tabs>
              <w:ind w:firstLine="0"/>
              <w:rPr>
                <w:rFonts w:eastAsia="Times New Roman"/>
                <w:sz w:val="26"/>
                <w:szCs w:val="26"/>
                <w:lang w:eastAsia="lv-LV"/>
              </w:rPr>
            </w:pPr>
          </w:p>
        </w:tc>
      </w:tr>
    </w:tbl>
    <w:p w14:paraId="2841CF8D" w14:textId="692F0213" w:rsidR="003B6392" w:rsidRPr="006732DD" w:rsidRDefault="008624F2" w:rsidP="004A0A7E">
      <w:pPr>
        <w:pStyle w:val="naisf"/>
        <w:spacing w:before="0" w:after="0"/>
        <w:ind w:firstLine="0"/>
        <w:jc w:val="center"/>
        <w:rPr>
          <w:i/>
          <w:sz w:val="26"/>
          <w:szCs w:val="26"/>
        </w:rPr>
      </w:pPr>
      <w:r>
        <w:rPr>
          <w:i/>
          <w:sz w:val="26"/>
          <w:szCs w:val="26"/>
        </w:rPr>
        <w:br w:type="textWrapping" w:clear="all"/>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5"/>
        <w:gridCol w:w="2441"/>
        <w:gridCol w:w="5798"/>
      </w:tblGrid>
      <w:tr w:rsidR="00315B9F" w:rsidRPr="006732DD" w14:paraId="75D68C2F" w14:textId="77777777" w:rsidTr="00315B9F">
        <w:trPr>
          <w:trHeight w:val="555"/>
        </w:trPr>
        <w:tc>
          <w:tcPr>
            <w:tcW w:w="9214" w:type="dxa"/>
            <w:gridSpan w:val="3"/>
            <w:vAlign w:val="center"/>
          </w:tcPr>
          <w:p w14:paraId="3658558B" w14:textId="77777777" w:rsidR="00315B9F" w:rsidRPr="006732DD" w:rsidRDefault="00315B9F" w:rsidP="00921366">
            <w:pPr>
              <w:ind w:firstLine="300"/>
              <w:jc w:val="center"/>
              <w:rPr>
                <w:rFonts w:eastAsia="Times New Roman"/>
                <w:b/>
                <w:bCs/>
                <w:sz w:val="26"/>
                <w:szCs w:val="26"/>
                <w:lang w:eastAsia="lv-LV"/>
              </w:rPr>
            </w:pPr>
            <w:r w:rsidRPr="006732DD">
              <w:rPr>
                <w:rFonts w:eastAsia="Times New Roman"/>
                <w:b/>
                <w:bCs/>
                <w:sz w:val="26"/>
                <w:szCs w:val="26"/>
                <w:lang w:eastAsia="lv-LV"/>
              </w:rPr>
              <w:t>II. Tiesību akta projekta ietekme uz sabiedrību, tautsaimniecības attīstību un administratīvo slogu</w:t>
            </w:r>
          </w:p>
        </w:tc>
      </w:tr>
      <w:tr w:rsidR="00315B9F" w:rsidRPr="006732DD" w14:paraId="50836128" w14:textId="77777777" w:rsidTr="00234F3C">
        <w:trPr>
          <w:trHeight w:val="2638"/>
        </w:trPr>
        <w:tc>
          <w:tcPr>
            <w:tcW w:w="960" w:type="dxa"/>
          </w:tcPr>
          <w:p w14:paraId="42CCED59" w14:textId="77777777" w:rsidR="00315B9F" w:rsidRPr="006732DD" w:rsidRDefault="00315B9F" w:rsidP="00921366">
            <w:pPr>
              <w:rPr>
                <w:rFonts w:eastAsia="Calibri"/>
                <w:iCs/>
                <w:sz w:val="26"/>
                <w:szCs w:val="26"/>
                <w:lang w:eastAsia="lv-LV"/>
              </w:rPr>
            </w:pPr>
            <w:r w:rsidRPr="006732DD">
              <w:rPr>
                <w:rFonts w:eastAsia="Calibri"/>
                <w:iCs/>
                <w:sz w:val="26"/>
                <w:szCs w:val="26"/>
                <w:lang w:eastAsia="lv-LV"/>
              </w:rPr>
              <w:t>1.</w:t>
            </w:r>
          </w:p>
        </w:tc>
        <w:tc>
          <w:tcPr>
            <w:tcW w:w="2443" w:type="dxa"/>
          </w:tcPr>
          <w:p w14:paraId="4ABA35FD" w14:textId="77777777" w:rsidR="00315B9F" w:rsidRPr="006732DD" w:rsidRDefault="00315B9F" w:rsidP="00315B9F">
            <w:pPr>
              <w:ind w:firstLine="0"/>
              <w:rPr>
                <w:rFonts w:eastAsia="Calibri"/>
                <w:iCs/>
                <w:sz w:val="26"/>
                <w:szCs w:val="26"/>
                <w:lang w:eastAsia="lv-LV"/>
              </w:rPr>
            </w:pPr>
            <w:r w:rsidRPr="006732DD">
              <w:rPr>
                <w:rFonts w:eastAsia="Calibri"/>
                <w:iCs/>
                <w:sz w:val="26"/>
                <w:szCs w:val="26"/>
                <w:lang w:eastAsia="lv-LV"/>
              </w:rPr>
              <w:t>Sabiedrības mērķgrupas, kuras tiesiskais regulējums ietekmē vai varētu ietekmēt</w:t>
            </w:r>
          </w:p>
        </w:tc>
        <w:tc>
          <w:tcPr>
            <w:tcW w:w="5811" w:type="dxa"/>
          </w:tcPr>
          <w:p w14:paraId="5CE2F911" w14:textId="1858526F" w:rsidR="00315B9F" w:rsidRPr="006732DD" w:rsidRDefault="00C40F8F" w:rsidP="00323217">
            <w:pPr>
              <w:ind w:firstLine="0"/>
              <w:jc w:val="both"/>
              <w:rPr>
                <w:rFonts w:eastAsia="Times New Roman"/>
                <w:sz w:val="26"/>
                <w:szCs w:val="26"/>
                <w:lang w:eastAsia="lv-LV"/>
              </w:rPr>
            </w:pPr>
            <w:r w:rsidRPr="006732DD">
              <w:rPr>
                <w:rFonts w:eastAsia="Times New Roman"/>
                <w:sz w:val="26"/>
                <w:szCs w:val="26"/>
                <w:lang w:eastAsia="lv-LV"/>
              </w:rPr>
              <w:t>Noteikumu projekts tiešā veidā attiecas uz Valsts bērnu tiesību aizsardzību inspekciju, bāriņtiesām</w:t>
            </w:r>
            <w:r w:rsidR="004C6A88" w:rsidRPr="006732DD">
              <w:rPr>
                <w:rFonts w:eastAsia="Times New Roman"/>
                <w:sz w:val="26"/>
                <w:szCs w:val="26"/>
                <w:lang w:eastAsia="lv-LV"/>
              </w:rPr>
              <w:t xml:space="preserve"> un </w:t>
            </w:r>
            <w:r w:rsidR="00315B9F" w:rsidRPr="006732DD">
              <w:rPr>
                <w:rFonts w:eastAsia="Times New Roman"/>
                <w:sz w:val="26"/>
                <w:szCs w:val="26"/>
                <w:lang w:eastAsia="lv-LV"/>
              </w:rPr>
              <w:t>bez vecāku gādības palikušie</w:t>
            </w:r>
            <w:r w:rsidR="00A85D69" w:rsidRPr="006732DD">
              <w:rPr>
                <w:rFonts w:eastAsia="Times New Roman"/>
                <w:sz w:val="26"/>
                <w:szCs w:val="26"/>
                <w:lang w:eastAsia="lv-LV"/>
              </w:rPr>
              <w:t>m</w:t>
            </w:r>
            <w:r w:rsidR="00315B9F" w:rsidRPr="006732DD">
              <w:rPr>
                <w:rFonts w:eastAsia="Times New Roman"/>
                <w:sz w:val="26"/>
                <w:szCs w:val="26"/>
                <w:lang w:eastAsia="lv-LV"/>
              </w:rPr>
              <w:t xml:space="preserve"> bērni</w:t>
            </w:r>
            <w:r w:rsidRPr="006732DD">
              <w:rPr>
                <w:rFonts w:eastAsia="Times New Roman"/>
                <w:sz w:val="26"/>
                <w:szCs w:val="26"/>
                <w:lang w:eastAsia="lv-LV"/>
              </w:rPr>
              <w:t>em</w:t>
            </w:r>
            <w:r w:rsidR="00315B9F" w:rsidRPr="006732DD">
              <w:rPr>
                <w:rFonts w:eastAsia="Times New Roman"/>
                <w:sz w:val="26"/>
                <w:szCs w:val="26"/>
                <w:lang w:eastAsia="lv-LV"/>
              </w:rPr>
              <w:t>, kuri iegūst izglītību klātienē, neklātienē</w:t>
            </w:r>
            <w:r w:rsidR="00623C87" w:rsidRPr="006732DD">
              <w:rPr>
                <w:rFonts w:eastAsia="Times New Roman"/>
                <w:sz w:val="26"/>
                <w:szCs w:val="26"/>
                <w:lang w:eastAsia="lv-LV"/>
              </w:rPr>
              <w:t>, tāl</w:t>
            </w:r>
            <w:r w:rsidR="00DB3CBA" w:rsidRPr="006732DD">
              <w:rPr>
                <w:rFonts w:eastAsia="Times New Roman"/>
                <w:sz w:val="26"/>
                <w:szCs w:val="26"/>
                <w:lang w:eastAsia="lv-LV"/>
              </w:rPr>
              <w:t>mā</w:t>
            </w:r>
            <w:r w:rsidR="00623C87" w:rsidRPr="006732DD">
              <w:rPr>
                <w:rFonts w:eastAsia="Times New Roman"/>
                <w:sz w:val="26"/>
                <w:szCs w:val="26"/>
                <w:lang w:eastAsia="lv-LV"/>
              </w:rPr>
              <w:t>cībā</w:t>
            </w:r>
            <w:r w:rsidR="00315B9F" w:rsidRPr="006732DD">
              <w:rPr>
                <w:rFonts w:eastAsia="Times New Roman"/>
                <w:sz w:val="26"/>
                <w:szCs w:val="26"/>
                <w:lang w:eastAsia="lv-LV"/>
              </w:rPr>
              <w:t xml:space="preserve"> vai atsākuši iegūt izglītību pēc pārtraukuma.</w:t>
            </w:r>
          </w:p>
          <w:p w14:paraId="5C4F19DA" w14:textId="77777777" w:rsidR="005D0480" w:rsidRPr="006732DD" w:rsidRDefault="005D0480" w:rsidP="00323217">
            <w:pPr>
              <w:ind w:firstLine="0"/>
              <w:jc w:val="both"/>
              <w:rPr>
                <w:rFonts w:eastAsia="Times New Roman"/>
                <w:sz w:val="26"/>
                <w:szCs w:val="26"/>
                <w:lang w:eastAsia="lv-LV"/>
              </w:rPr>
            </w:pPr>
          </w:p>
          <w:p w14:paraId="67EED58D" w14:textId="7BF1A5BE" w:rsidR="005D0480" w:rsidRPr="006732DD" w:rsidRDefault="005D0480" w:rsidP="00323217">
            <w:pPr>
              <w:ind w:firstLine="0"/>
              <w:jc w:val="both"/>
              <w:rPr>
                <w:color w:val="000000" w:themeColor="text1"/>
                <w:sz w:val="26"/>
                <w:szCs w:val="26"/>
              </w:rPr>
            </w:pPr>
            <w:r w:rsidRPr="006732DD">
              <w:rPr>
                <w:rFonts w:eastAsia="Times New Roman"/>
                <w:sz w:val="26"/>
                <w:szCs w:val="26"/>
                <w:lang w:eastAsia="lv-LV"/>
              </w:rPr>
              <w:t xml:space="preserve">Ārpusģimenes aprūpē esošo bērnu skaits līdz 18 gadu vecumam uz 2016. </w:t>
            </w:r>
            <w:r w:rsidR="00287B00" w:rsidRPr="006732DD">
              <w:rPr>
                <w:rFonts w:eastAsia="Times New Roman"/>
                <w:sz w:val="26"/>
                <w:szCs w:val="26"/>
                <w:lang w:eastAsia="lv-LV"/>
              </w:rPr>
              <w:t xml:space="preserve">gada </w:t>
            </w:r>
            <w:r w:rsidRPr="006732DD">
              <w:rPr>
                <w:rFonts w:eastAsia="Times New Roman"/>
                <w:sz w:val="26"/>
                <w:szCs w:val="26"/>
                <w:lang w:eastAsia="lv-LV"/>
              </w:rPr>
              <w:t>31. decembri bija 6 957.</w:t>
            </w:r>
          </w:p>
        </w:tc>
      </w:tr>
      <w:tr w:rsidR="00315B9F" w:rsidRPr="006732DD" w14:paraId="02561CDB" w14:textId="77777777" w:rsidTr="00234F3C">
        <w:trPr>
          <w:trHeight w:val="510"/>
        </w:trPr>
        <w:tc>
          <w:tcPr>
            <w:tcW w:w="960" w:type="dxa"/>
          </w:tcPr>
          <w:p w14:paraId="5B331AB0" w14:textId="77777777" w:rsidR="00315B9F" w:rsidRPr="006732DD" w:rsidRDefault="00315B9F" w:rsidP="00921366">
            <w:pPr>
              <w:rPr>
                <w:rFonts w:eastAsia="Calibri"/>
                <w:iCs/>
                <w:sz w:val="26"/>
                <w:szCs w:val="26"/>
                <w:lang w:eastAsia="lv-LV"/>
              </w:rPr>
            </w:pPr>
            <w:r w:rsidRPr="006732DD">
              <w:rPr>
                <w:rFonts w:eastAsia="Calibri"/>
                <w:iCs/>
                <w:sz w:val="26"/>
                <w:szCs w:val="26"/>
                <w:lang w:eastAsia="lv-LV"/>
              </w:rPr>
              <w:t>2.</w:t>
            </w:r>
          </w:p>
        </w:tc>
        <w:tc>
          <w:tcPr>
            <w:tcW w:w="2443" w:type="dxa"/>
          </w:tcPr>
          <w:p w14:paraId="5293C600"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Tiesiskā regulējuma ietekme uz tautsaimniecību un administratīvo slogu</w:t>
            </w:r>
          </w:p>
        </w:tc>
        <w:tc>
          <w:tcPr>
            <w:tcW w:w="5811" w:type="dxa"/>
          </w:tcPr>
          <w:p w14:paraId="0A1FD5B4" w14:textId="6567389D" w:rsidR="00315B9F" w:rsidRPr="006732DD" w:rsidRDefault="00315B9F" w:rsidP="005A0798">
            <w:pPr>
              <w:ind w:right="113" w:firstLine="0"/>
              <w:jc w:val="both"/>
              <w:rPr>
                <w:rFonts w:eastAsia="Times New Roman"/>
                <w:sz w:val="26"/>
                <w:szCs w:val="26"/>
                <w:lang w:eastAsia="lv-LV"/>
              </w:rPr>
            </w:pPr>
            <w:r w:rsidRPr="006732DD">
              <w:rPr>
                <w:rFonts w:eastAsia="Times New Roman"/>
                <w:sz w:val="26"/>
                <w:szCs w:val="26"/>
                <w:lang w:eastAsia="lv-LV"/>
              </w:rPr>
              <w:t xml:space="preserve">Projekta tiesiskais regulējums nemaina </w:t>
            </w:r>
            <w:r w:rsidR="00C40F8F" w:rsidRPr="006732DD">
              <w:rPr>
                <w:rFonts w:eastAsia="Times New Roman"/>
                <w:sz w:val="26"/>
                <w:szCs w:val="26"/>
                <w:lang w:eastAsia="lv-LV"/>
              </w:rPr>
              <w:t>Valsts bērn</w:t>
            </w:r>
            <w:r w:rsidR="005A0798" w:rsidRPr="006732DD">
              <w:rPr>
                <w:rFonts w:eastAsia="Times New Roman"/>
                <w:sz w:val="26"/>
                <w:szCs w:val="26"/>
                <w:lang w:eastAsia="lv-LV"/>
              </w:rPr>
              <w:t>u tiesību aizsardzību inspekcijas,</w:t>
            </w:r>
            <w:r w:rsidR="00C40F8F" w:rsidRPr="006732DD">
              <w:rPr>
                <w:rFonts w:eastAsia="Times New Roman"/>
                <w:sz w:val="26"/>
                <w:szCs w:val="26"/>
                <w:lang w:eastAsia="lv-LV"/>
              </w:rPr>
              <w:t xml:space="preserve"> </w:t>
            </w:r>
            <w:r w:rsidR="00A85D69" w:rsidRPr="006732DD">
              <w:rPr>
                <w:rFonts w:eastAsia="Times New Roman"/>
                <w:sz w:val="26"/>
                <w:szCs w:val="26"/>
                <w:lang w:eastAsia="lv-LV"/>
              </w:rPr>
              <w:t>b</w:t>
            </w:r>
            <w:r w:rsidR="00C40F8F" w:rsidRPr="006732DD">
              <w:rPr>
                <w:rFonts w:eastAsia="Times New Roman"/>
                <w:sz w:val="26"/>
                <w:szCs w:val="26"/>
                <w:lang w:eastAsia="lv-LV"/>
              </w:rPr>
              <w:t>āriņtiesu pienākumus un veicamās darbības.</w:t>
            </w:r>
          </w:p>
        </w:tc>
      </w:tr>
      <w:tr w:rsidR="00315B9F" w:rsidRPr="006732DD" w14:paraId="526F1540" w14:textId="77777777" w:rsidTr="00234F3C">
        <w:trPr>
          <w:trHeight w:val="510"/>
        </w:trPr>
        <w:tc>
          <w:tcPr>
            <w:tcW w:w="960" w:type="dxa"/>
          </w:tcPr>
          <w:p w14:paraId="3C9DB575" w14:textId="77777777" w:rsidR="00315B9F" w:rsidRPr="006732DD" w:rsidRDefault="00315B9F" w:rsidP="00921366">
            <w:pPr>
              <w:rPr>
                <w:rFonts w:eastAsia="Times New Roman"/>
                <w:sz w:val="26"/>
                <w:szCs w:val="26"/>
                <w:lang w:eastAsia="lv-LV"/>
              </w:rPr>
            </w:pPr>
            <w:r w:rsidRPr="006732DD">
              <w:rPr>
                <w:rFonts w:eastAsia="Times New Roman"/>
                <w:sz w:val="26"/>
                <w:szCs w:val="26"/>
                <w:lang w:eastAsia="lv-LV"/>
              </w:rPr>
              <w:t>3.</w:t>
            </w:r>
          </w:p>
        </w:tc>
        <w:tc>
          <w:tcPr>
            <w:tcW w:w="2443" w:type="dxa"/>
          </w:tcPr>
          <w:p w14:paraId="09471051"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Administratīvo izmaksu monetārs novērtējums</w:t>
            </w:r>
          </w:p>
        </w:tc>
        <w:tc>
          <w:tcPr>
            <w:tcW w:w="5811" w:type="dxa"/>
          </w:tcPr>
          <w:p w14:paraId="0649B07F" w14:textId="77777777" w:rsidR="00315B9F" w:rsidRPr="006732DD" w:rsidRDefault="00315B9F" w:rsidP="00C40F8F">
            <w:pPr>
              <w:ind w:right="113" w:firstLine="0"/>
              <w:rPr>
                <w:rFonts w:eastAsia="Calibri"/>
                <w:iCs/>
                <w:sz w:val="26"/>
                <w:szCs w:val="26"/>
                <w:lang w:eastAsia="lv-LV"/>
              </w:rPr>
            </w:pPr>
            <w:r w:rsidRPr="006732DD">
              <w:rPr>
                <w:rFonts w:eastAsia="Calibri"/>
                <w:iCs/>
                <w:sz w:val="26"/>
                <w:szCs w:val="26"/>
                <w:lang w:eastAsia="lv-LV"/>
              </w:rPr>
              <w:t>Noteikumu projekts šo jomu neskar.</w:t>
            </w:r>
          </w:p>
          <w:p w14:paraId="5404AD09" w14:textId="77777777" w:rsidR="00315B9F" w:rsidRPr="006732DD" w:rsidRDefault="00315B9F" w:rsidP="00921366">
            <w:pPr>
              <w:ind w:right="113"/>
              <w:jc w:val="both"/>
              <w:rPr>
                <w:rFonts w:eastAsia="Times New Roman"/>
                <w:sz w:val="26"/>
                <w:szCs w:val="26"/>
                <w:lang w:eastAsia="lv-LV"/>
              </w:rPr>
            </w:pPr>
          </w:p>
        </w:tc>
      </w:tr>
      <w:tr w:rsidR="00315B9F" w:rsidRPr="006732DD" w14:paraId="75031892" w14:textId="77777777" w:rsidTr="00234F3C">
        <w:trPr>
          <w:trHeight w:val="345"/>
        </w:trPr>
        <w:tc>
          <w:tcPr>
            <w:tcW w:w="960" w:type="dxa"/>
          </w:tcPr>
          <w:p w14:paraId="0A8F1012" w14:textId="77777777" w:rsidR="00315B9F" w:rsidRPr="006732DD" w:rsidRDefault="00315B9F" w:rsidP="00921366">
            <w:pPr>
              <w:rPr>
                <w:rFonts w:eastAsia="Times New Roman"/>
                <w:sz w:val="26"/>
                <w:szCs w:val="26"/>
                <w:lang w:eastAsia="lv-LV"/>
              </w:rPr>
            </w:pPr>
            <w:r w:rsidRPr="006732DD">
              <w:rPr>
                <w:rFonts w:eastAsia="Times New Roman"/>
                <w:sz w:val="26"/>
                <w:szCs w:val="26"/>
                <w:lang w:eastAsia="lv-LV"/>
              </w:rPr>
              <w:t>4.</w:t>
            </w:r>
          </w:p>
        </w:tc>
        <w:tc>
          <w:tcPr>
            <w:tcW w:w="2443" w:type="dxa"/>
          </w:tcPr>
          <w:p w14:paraId="2D683185"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Cita informācija</w:t>
            </w:r>
          </w:p>
        </w:tc>
        <w:tc>
          <w:tcPr>
            <w:tcW w:w="5811" w:type="dxa"/>
          </w:tcPr>
          <w:p w14:paraId="114090E3" w14:textId="77777777" w:rsidR="00315B9F" w:rsidRPr="006732DD" w:rsidRDefault="00315B9F" w:rsidP="00C40F8F">
            <w:pPr>
              <w:ind w:right="153" w:firstLine="0"/>
              <w:jc w:val="both"/>
              <w:rPr>
                <w:rFonts w:eastAsia="Calibri"/>
                <w:iCs/>
                <w:sz w:val="26"/>
                <w:szCs w:val="26"/>
                <w:lang w:eastAsia="lv-LV"/>
              </w:rPr>
            </w:pPr>
            <w:r w:rsidRPr="006732DD">
              <w:rPr>
                <w:rFonts w:eastAsia="Calibri"/>
                <w:iCs/>
                <w:sz w:val="26"/>
                <w:szCs w:val="26"/>
                <w:lang w:eastAsia="lv-LV"/>
              </w:rPr>
              <w:t>Nav.</w:t>
            </w:r>
          </w:p>
        </w:tc>
      </w:tr>
    </w:tbl>
    <w:p w14:paraId="7FC42AD6" w14:textId="77777777" w:rsidR="003B6392" w:rsidRPr="006732DD" w:rsidRDefault="003B6392" w:rsidP="004A0A7E">
      <w:pPr>
        <w:pStyle w:val="naisf"/>
        <w:spacing w:before="0" w:after="0"/>
        <w:ind w:firstLine="0"/>
        <w:jc w:val="center"/>
        <w:rPr>
          <w:i/>
          <w:sz w:val="26"/>
          <w:szCs w:val="26"/>
        </w:rPr>
      </w:pPr>
    </w:p>
    <w:p w14:paraId="23AC530C" w14:textId="77777777" w:rsidR="003B6392" w:rsidRPr="006732DD" w:rsidRDefault="003B6392" w:rsidP="004A0A7E">
      <w:pPr>
        <w:pStyle w:val="naisf"/>
        <w:spacing w:before="0" w:after="0"/>
        <w:ind w:firstLine="0"/>
        <w:jc w:val="center"/>
        <w:rPr>
          <w:i/>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27799" w:rsidRPr="006732DD" w14:paraId="38F7BCF2" w14:textId="77777777" w:rsidTr="00CE7189">
        <w:trPr>
          <w:trHeight w:val="410"/>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41FF49B" w14:textId="77777777" w:rsidR="00527799" w:rsidRPr="006732DD" w:rsidRDefault="00527799" w:rsidP="00527799">
            <w:pPr>
              <w:jc w:val="center"/>
              <w:rPr>
                <w:b/>
                <w:bCs/>
                <w:sz w:val="26"/>
                <w:szCs w:val="26"/>
              </w:rPr>
            </w:pPr>
            <w:r w:rsidRPr="006732DD">
              <w:rPr>
                <w:b/>
                <w:bCs/>
                <w:sz w:val="26"/>
                <w:szCs w:val="26"/>
              </w:rPr>
              <w:t>III. Tiesību akta projekta ietekme uz valsts budžetu un pašvaldību budžetiem</w:t>
            </w:r>
          </w:p>
        </w:tc>
      </w:tr>
      <w:tr w:rsidR="00527799" w:rsidRPr="006732DD" w14:paraId="273CA9B7" w14:textId="77777777" w:rsidTr="00CE718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13185334" w14:textId="14465463" w:rsidR="00527799" w:rsidRPr="006732DD" w:rsidRDefault="009A2FBB" w:rsidP="009A2FBB">
            <w:pPr>
              <w:jc w:val="center"/>
              <w:rPr>
                <w:bCs/>
                <w:sz w:val="26"/>
                <w:szCs w:val="26"/>
              </w:rPr>
            </w:pPr>
            <w:r>
              <w:rPr>
                <w:bCs/>
                <w:sz w:val="26"/>
                <w:szCs w:val="26"/>
              </w:rPr>
              <w:t>Noteikumu p</w:t>
            </w:r>
            <w:r w:rsidR="00527799" w:rsidRPr="006732DD">
              <w:rPr>
                <w:bCs/>
                <w:sz w:val="26"/>
                <w:szCs w:val="26"/>
              </w:rPr>
              <w:t>rojekts šo jomu neskar</w:t>
            </w:r>
          </w:p>
        </w:tc>
      </w:tr>
    </w:tbl>
    <w:p w14:paraId="68470EA1" w14:textId="777CF831" w:rsidR="00B24E74" w:rsidRPr="00285B7F" w:rsidRDefault="00B24E74" w:rsidP="00B24E74">
      <w:pPr>
        <w:pStyle w:val="NormalWeb"/>
        <w:rPr>
          <w:b/>
          <w:sz w:val="2"/>
          <w:szCs w:val="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24E74" w:rsidRPr="006732DD" w14:paraId="3CC12CCF" w14:textId="77777777" w:rsidTr="00285B7F">
        <w:tc>
          <w:tcPr>
            <w:tcW w:w="9214" w:type="dxa"/>
          </w:tcPr>
          <w:p w14:paraId="090916ED" w14:textId="77777777" w:rsidR="00B24E74" w:rsidRPr="006732DD" w:rsidRDefault="00B24E74" w:rsidP="00921366">
            <w:pPr>
              <w:spacing w:before="120" w:after="120"/>
              <w:jc w:val="center"/>
              <w:rPr>
                <w:b/>
                <w:color w:val="000000"/>
                <w:sz w:val="26"/>
                <w:szCs w:val="26"/>
              </w:rPr>
            </w:pPr>
            <w:r w:rsidRPr="006732DD">
              <w:rPr>
                <w:b/>
                <w:color w:val="000000"/>
                <w:sz w:val="26"/>
                <w:szCs w:val="26"/>
              </w:rPr>
              <w:t>IV. Tiesību akta projekta ietekme uz spēkā esošo tiesību normu sistēmu</w:t>
            </w:r>
          </w:p>
        </w:tc>
      </w:tr>
      <w:tr w:rsidR="00B24E74" w:rsidRPr="006732DD" w14:paraId="1F93BF16" w14:textId="77777777" w:rsidTr="00285B7F">
        <w:tc>
          <w:tcPr>
            <w:tcW w:w="9214" w:type="dxa"/>
          </w:tcPr>
          <w:p w14:paraId="59E0C934" w14:textId="69201B86" w:rsidR="00B24E74" w:rsidRPr="006732DD" w:rsidRDefault="009A2FBB" w:rsidP="009A2FBB">
            <w:pPr>
              <w:spacing w:before="120" w:after="120"/>
              <w:jc w:val="center"/>
              <w:rPr>
                <w:color w:val="000000"/>
                <w:sz w:val="26"/>
                <w:szCs w:val="26"/>
              </w:rPr>
            </w:pPr>
            <w:r>
              <w:rPr>
                <w:color w:val="000000"/>
                <w:sz w:val="26"/>
                <w:szCs w:val="26"/>
              </w:rPr>
              <w:t>Noteikumu p</w:t>
            </w:r>
            <w:r w:rsidR="00B24E74" w:rsidRPr="006732DD">
              <w:rPr>
                <w:color w:val="000000"/>
                <w:sz w:val="26"/>
                <w:szCs w:val="26"/>
              </w:rPr>
              <w:t>rojekts šo jomu neskar</w:t>
            </w:r>
          </w:p>
        </w:tc>
      </w:tr>
    </w:tbl>
    <w:p w14:paraId="021677C0" w14:textId="77777777" w:rsidR="00B24E74" w:rsidRPr="006732DD" w:rsidRDefault="00B24E74" w:rsidP="00B24E74">
      <w:pPr>
        <w:jc w:val="both"/>
        <w:rPr>
          <w:color w:val="000000"/>
          <w:sz w:val="26"/>
          <w:szCs w:val="26"/>
        </w:rPr>
      </w:pPr>
    </w:p>
    <w:p w14:paraId="1DDF73B1" w14:textId="77777777" w:rsidR="00FE0AAF" w:rsidRPr="006732DD" w:rsidRDefault="00FE0AAF" w:rsidP="00B24E74">
      <w:pPr>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24E74" w:rsidRPr="006732DD" w14:paraId="25BFEE0C" w14:textId="77777777" w:rsidTr="00285B7F">
        <w:tc>
          <w:tcPr>
            <w:tcW w:w="9214" w:type="dxa"/>
          </w:tcPr>
          <w:p w14:paraId="32FCC28A" w14:textId="77777777" w:rsidR="00B24E74" w:rsidRPr="006732DD" w:rsidRDefault="00B24E74" w:rsidP="00921366">
            <w:pPr>
              <w:spacing w:before="120" w:after="120"/>
              <w:jc w:val="center"/>
              <w:rPr>
                <w:b/>
                <w:color w:val="000000"/>
                <w:sz w:val="26"/>
                <w:szCs w:val="26"/>
              </w:rPr>
            </w:pPr>
            <w:r w:rsidRPr="006732DD">
              <w:rPr>
                <w:b/>
                <w:color w:val="000000"/>
                <w:sz w:val="26"/>
                <w:szCs w:val="26"/>
              </w:rPr>
              <w:t>V. Tiesību akta projekta atbilstība Latvijas Republikas starptautiskajām saistībām</w:t>
            </w:r>
          </w:p>
        </w:tc>
      </w:tr>
      <w:tr w:rsidR="00B24E74" w:rsidRPr="006732DD" w14:paraId="7F1A5FC1" w14:textId="77777777" w:rsidTr="00285B7F">
        <w:tc>
          <w:tcPr>
            <w:tcW w:w="9214" w:type="dxa"/>
          </w:tcPr>
          <w:p w14:paraId="4F1BF888" w14:textId="0FCCE16A" w:rsidR="00B24E74" w:rsidRPr="006732DD" w:rsidRDefault="009A2FBB" w:rsidP="009A2FBB">
            <w:pPr>
              <w:spacing w:before="120" w:after="120"/>
              <w:jc w:val="center"/>
              <w:rPr>
                <w:color w:val="000000"/>
                <w:sz w:val="26"/>
                <w:szCs w:val="26"/>
              </w:rPr>
            </w:pPr>
            <w:r>
              <w:rPr>
                <w:color w:val="000000"/>
                <w:sz w:val="26"/>
                <w:szCs w:val="26"/>
              </w:rPr>
              <w:t>Noteikumu p</w:t>
            </w:r>
            <w:r w:rsidR="00B24E74" w:rsidRPr="006732DD">
              <w:rPr>
                <w:color w:val="000000"/>
                <w:sz w:val="26"/>
                <w:szCs w:val="26"/>
              </w:rPr>
              <w:t>rojekts šo jomu neskar</w:t>
            </w:r>
          </w:p>
        </w:tc>
      </w:tr>
    </w:tbl>
    <w:p w14:paraId="39D87E38" w14:textId="77777777" w:rsidR="00527799" w:rsidRPr="006732DD" w:rsidRDefault="00527799" w:rsidP="00285B7F">
      <w:pPr>
        <w:ind w:firstLine="0"/>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901"/>
        <w:gridCol w:w="5135"/>
      </w:tblGrid>
      <w:tr w:rsidR="00B24E74" w:rsidRPr="006732DD" w14:paraId="1A724591" w14:textId="77777777" w:rsidTr="004946A3">
        <w:tc>
          <w:tcPr>
            <w:tcW w:w="9214" w:type="dxa"/>
            <w:gridSpan w:val="3"/>
          </w:tcPr>
          <w:p w14:paraId="57E58027" w14:textId="77777777" w:rsidR="00B24E74" w:rsidRPr="006732DD" w:rsidRDefault="00B24E74" w:rsidP="00921366">
            <w:pPr>
              <w:spacing w:before="120" w:after="120"/>
              <w:jc w:val="center"/>
              <w:rPr>
                <w:b/>
                <w:color w:val="000000"/>
                <w:sz w:val="26"/>
                <w:szCs w:val="26"/>
              </w:rPr>
            </w:pPr>
            <w:r w:rsidRPr="006732DD">
              <w:rPr>
                <w:b/>
                <w:color w:val="000000"/>
                <w:sz w:val="26"/>
                <w:szCs w:val="26"/>
              </w:rPr>
              <w:t>VI. Sabiedrības līdzdalība un komunikācijas aktivitātes</w:t>
            </w:r>
          </w:p>
        </w:tc>
      </w:tr>
      <w:tr w:rsidR="00285B7F" w:rsidRPr="004F482A" w14:paraId="018D04BF"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8FEB7"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 xml:space="preserve">1.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A0EC"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Plānotās sabiedrības līdzdalības un komunikācijas aktivitātes saistībā ar projektu</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C2EF" w14:textId="7FED093A" w:rsidR="00285B7F" w:rsidRPr="00285B7F" w:rsidRDefault="00285B7F" w:rsidP="00285B7F">
            <w:pPr>
              <w:suppressAutoHyphens/>
              <w:autoSpaceDN w:val="0"/>
              <w:ind w:firstLine="0"/>
              <w:jc w:val="both"/>
              <w:textAlignment w:val="baseline"/>
              <w:rPr>
                <w:rFonts w:ascii="Calibri" w:eastAsia="Calibri" w:hAnsi="Calibri"/>
                <w:sz w:val="26"/>
                <w:szCs w:val="26"/>
              </w:rPr>
            </w:pPr>
            <w:r w:rsidRPr="00285B7F">
              <w:rPr>
                <w:rFonts w:eastAsia="Times New Roman"/>
                <w:color w:val="000000"/>
                <w:sz w:val="26"/>
                <w:szCs w:val="26"/>
                <w:lang w:eastAsia="lv-LV"/>
              </w:rPr>
              <w:t>Noteikumu projekts publicēts Labklājības ministrijas tīmekļa vietnē sadaļā “LM dokumentu projekti”, kā arī Ministru kabineta tīmekļa vietnē sa</w:t>
            </w:r>
            <w:r w:rsidR="002B149F">
              <w:rPr>
                <w:rFonts w:eastAsia="Times New Roman"/>
                <w:color w:val="000000"/>
                <w:sz w:val="26"/>
                <w:szCs w:val="26"/>
                <w:lang w:eastAsia="lv-LV"/>
              </w:rPr>
              <w:t>daļā “Sabiedrības līdzdalība”, t</w:t>
            </w:r>
            <w:r w:rsidRPr="00285B7F">
              <w:rPr>
                <w:rFonts w:eastAsia="Times New Roman"/>
                <w:color w:val="000000"/>
                <w:sz w:val="26"/>
                <w:szCs w:val="26"/>
                <w:lang w:eastAsia="lv-LV"/>
              </w:rPr>
              <w:t>ādējādi dodot iespēju sabiedrībai līdzdarboties noteikumu projekta izstrādes procesā.</w:t>
            </w:r>
          </w:p>
        </w:tc>
      </w:tr>
      <w:tr w:rsidR="00285B7F" w:rsidRPr="004F482A" w14:paraId="02A27C7C"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D686"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 xml:space="preserve">2.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A2ED"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 xml:space="preserve">Sabiedrības līdzdalība projekta izstrādē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580B" w14:textId="72D7F991" w:rsidR="00285B7F" w:rsidRPr="00285B7F" w:rsidRDefault="00285B7F" w:rsidP="00285B7F">
            <w:pPr>
              <w:suppressAutoHyphens/>
              <w:autoSpaceDE w:val="0"/>
              <w:autoSpaceDN w:val="0"/>
              <w:ind w:firstLine="0"/>
              <w:jc w:val="both"/>
              <w:textAlignment w:val="baseline"/>
              <w:rPr>
                <w:rFonts w:eastAsia="Calibri"/>
                <w:sz w:val="26"/>
                <w:szCs w:val="26"/>
              </w:rPr>
            </w:pPr>
            <w:r w:rsidRPr="00285B7F">
              <w:rPr>
                <w:rFonts w:eastAsia="Calibri"/>
                <w:sz w:val="26"/>
                <w:szCs w:val="26"/>
              </w:rPr>
              <w:t>Lai informētu sabiedrību par noteikumu projektu un dotu iespēju izteikt par to viedokļus, Noteikumu projekts 2018. gada 12. martā ievietots Labklājības ministrijas tīmekļa vietnē, kā arī Ministru kabineta tīmekļa vietnē un t</w:t>
            </w:r>
            <w:r w:rsidR="002B149F">
              <w:rPr>
                <w:rFonts w:eastAsia="Calibri"/>
                <w:sz w:val="26"/>
                <w:szCs w:val="26"/>
              </w:rPr>
              <w:t>ermiņš viedokļa izteikšanai tika</w:t>
            </w:r>
            <w:r w:rsidRPr="00285B7F">
              <w:rPr>
                <w:rFonts w:eastAsia="Calibri"/>
                <w:sz w:val="26"/>
                <w:szCs w:val="26"/>
              </w:rPr>
              <w:t xml:space="preserve"> noteikts 2018. gada 23. marts.</w:t>
            </w:r>
          </w:p>
        </w:tc>
      </w:tr>
      <w:tr w:rsidR="00285B7F" w:rsidRPr="004F482A" w14:paraId="3955DF96"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5666"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3.</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471F"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 xml:space="preserve">Sabiedrības līdzdalības rezultāti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465A" w14:textId="78A1CD08" w:rsidR="00285B7F" w:rsidRPr="00E54DC7" w:rsidRDefault="00E54DC7" w:rsidP="00E54DC7">
            <w:pPr>
              <w:suppressAutoHyphens/>
              <w:autoSpaceDN w:val="0"/>
              <w:ind w:firstLine="0"/>
              <w:textAlignment w:val="baseline"/>
              <w:rPr>
                <w:rFonts w:eastAsia="Calibri"/>
                <w:sz w:val="26"/>
                <w:szCs w:val="26"/>
              </w:rPr>
            </w:pPr>
            <w:r w:rsidRPr="00E54DC7">
              <w:rPr>
                <w:rFonts w:eastAsia="Calibri"/>
                <w:sz w:val="26"/>
                <w:szCs w:val="26"/>
              </w:rPr>
              <w:t>Priekšlikumi un iebildumi par Noteikumu projektu nav saņemti.</w:t>
            </w:r>
          </w:p>
        </w:tc>
      </w:tr>
      <w:tr w:rsidR="00285B7F" w:rsidRPr="004F482A" w14:paraId="77DC95D3"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3EC2"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4.</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53F7" w14:textId="77777777" w:rsidR="00285B7F" w:rsidRPr="004F482A" w:rsidRDefault="00285B7F" w:rsidP="00285B7F">
            <w:pPr>
              <w:suppressAutoHyphens/>
              <w:autoSpaceDN w:val="0"/>
              <w:ind w:right="57" w:firstLine="0"/>
              <w:textAlignment w:val="baseline"/>
              <w:rPr>
                <w:rFonts w:eastAsia="Times New Roman"/>
                <w:sz w:val="24"/>
                <w:szCs w:val="24"/>
                <w:lang w:eastAsia="lv-LV"/>
              </w:rPr>
            </w:pPr>
            <w:r w:rsidRPr="004F482A">
              <w:rPr>
                <w:rFonts w:eastAsia="Times New Roman"/>
                <w:sz w:val="24"/>
                <w:szCs w:val="24"/>
                <w:lang w:eastAsia="lv-LV"/>
              </w:rPr>
              <w:t>Cita informācija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337A" w14:textId="77777777" w:rsidR="00285B7F" w:rsidRPr="004F482A" w:rsidRDefault="00285B7F" w:rsidP="00285B7F">
            <w:pPr>
              <w:suppressAutoHyphens/>
              <w:autoSpaceDN w:val="0"/>
              <w:ind w:firstLine="0"/>
              <w:textAlignment w:val="baseline"/>
              <w:rPr>
                <w:rFonts w:eastAsia="Times New Roman"/>
                <w:sz w:val="24"/>
                <w:szCs w:val="24"/>
                <w:lang w:eastAsia="lv-LV"/>
              </w:rPr>
            </w:pPr>
            <w:r w:rsidRPr="004F482A">
              <w:rPr>
                <w:rFonts w:eastAsia="Times New Roman"/>
                <w:sz w:val="24"/>
                <w:szCs w:val="24"/>
                <w:lang w:eastAsia="lv-LV"/>
              </w:rPr>
              <w:t>Nav.</w:t>
            </w:r>
          </w:p>
        </w:tc>
      </w:tr>
    </w:tbl>
    <w:p w14:paraId="43472EF7" w14:textId="77777777" w:rsidR="008D0153" w:rsidRPr="006732DD" w:rsidRDefault="008D0153" w:rsidP="005808BA">
      <w:pPr>
        <w:tabs>
          <w:tab w:val="left" w:pos="6237"/>
        </w:tabs>
        <w:ind w:firstLine="0"/>
        <w:rPr>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3"/>
        <w:gridCol w:w="2721"/>
        <w:gridCol w:w="5280"/>
      </w:tblGrid>
      <w:tr w:rsidR="00D0781C" w:rsidRPr="006732DD" w14:paraId="7389EC5C" w14:textId="77777777" w:rsidTr="004946A3">
        <w:trPr>
          <w:trHeight w:val="427"/>
        </w:trPr>
        <w:tc>
          <w:tcPr>
            <w:tcW w:w="9214" w:type="dxa"/>
            <w:gridSpan w:val="3"/>
            <w:tcBorders>
              <w:top w:val="single" w:sz="4" w:space="0" w:color="auto"/>
              <w:left w:val="single" w:sz="4" w:space="0" w:color="auto"/>
              <w:bottom w:val="single" w:sz="4" w:space="0" w:color="auto"/>
              <w:right w:val="single" w:sz="4" w:space="0" w:color="auto"/>
            </w:tcBorders>
          </w:tcPr>
          <w:p w14:paraId="57124911" w14:textId="77777777" w:rsidR="00D0781C" w:rsidRPr="006732DD" w:rsidRDefault="00D0781C" w:rsidP="00D0781C">
            <w:pPr>
              <w:shd w:val="clear" w:color="auto" w:fill="FFFFFF"/>
              <w:jc w:val="center"/>
              <w:rPr>
                <w:b/>
                <w:color w:val="000000"/>
                <w:sz w:val="26"/>
                <w:szCs w:val="26"/>
              </w:rPr>
            </w:pPr>
            <w:r w:rsidRPr="006732DD">
              <w:rPr>
                <w:b/>
                <w:color w:val="000000"/>
                <w:sz w:val="26"/>
                <w:szCs w:val="26"/>
              </w:rPr>
              <w:t>VII. Tiesību akta projekta izpildes nodrošināšana un tās ietekme uz institūcijām</w:t>
            </w:r>
          </w:p>
        </w:tc>
      </w:tr>
      <w:tr w:rsidR="00D0781C" w:rsidRPr="006732DD" w14:paraId="2B4AED9B" w14:textId="77777777" w:rsidTr="004946A3">
        <w:tblPrEx>
          <w:jc w:val="center"/>
          <w:tblInd w:w="0" w:type="dxa"/>
        </w:tblPrEx>
        <w:trPr>
          <w:trHeight w:val="471"/>
          <w:jc w:val="center"/>
        </w:trPr>
        <w:tc>
          <w:tcPr>
            <w:tcW w:w="1213" w:type="dxa"/>
          </w:tcPr>
          <w:p w14:paraId="0D3D87CD"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1.</w:t>
            </w:r>
          </w:p>
        </w:tc>
        <w:tc>
          <w:tcPr>
            <w:tcW w:w="2721" w:type="dxa"/>
          </w:tcPr>
          <w:p w14:paraId="0C8F790D"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Projekta izpildē iesaistītās institūcijas</w:t>
            </w:r>
          </w:p>
        </w:tc>
        <w:tc>
          <w:tcPr>
            <w:tcW w:w="5280" w:type="dxa"/>
          </w:tcPr>
          <w:p w14:paraId="77239653" w14:textId="55C885FF" w:rsidR="00D0781C" w:rsidRPr="006732DD" w:rsidRDefault="00D0781C" w:rsidP="00844237">
            <w:pPr>
              <w:shd w:val="clear" w:color="auto" w:fill="FFFFFF"/>
              <w:ind w:firstLine="0"/>
              <w:jc w:val="both"/>
              <w:rPr>
                <w:rFonts w:eastAsia="Times New Roman"/>
                <w:sz w:val="26"/>
                <w:szCs w:val="26"/>
                <w:lang w:eastAsia="lv-LV"/>
              </w:rPr>
            </w:pPr>
            <w:r w:rsidRPr="006732DD">
              <w:rPr>
                <w:rFonts w:eastAsia="Times New Roman"/>
                <w:sz w:val="26"/>
                <w:szCs w:val="26"/>
                <w:lang w:eastAsia="lv-LV"/>
              </w:rPr>
              <w:t>Valsts bērnu tiesību inspekcija</w:t>
            </w:r>
            <w:r w:rsidR="00844237" w:rsidRPr="006732DD">
              <w:rPr>
                <w:rFonts w:eastAsia="Times New Roman"/>
                <w:sz w:val="26"/>
                <w:szCs w:val="26"/>
                <w:lang w:eastAsia="lv-LV"/>
              </w:rPr>
              <w:t>.</w:t>
            </w:r>
          </w:p>
        </w:tc>
      </w:tr>
      <w:tr w:rsidR="00D0781C" w:rsidRPr="006732DD" w14:paraId="21F9FDF9" w14:textId="77777777" w:rsidTr="004946A3">
        <w:tblPrEx>
          <w:jc w:val="center"/>
          <w:tblInd w:w="0" w:type="dxa"/>
        </w:tblPrEx>
        <w:trPr>
          <w:trHeight w:val="463"/>
          <w:jc w:val="center"/>
        </w:trPr>
        <w:tc>
          <w:tcPr>
            <w:tcW w:w="1213" w:type="dxa"/>
          </w:tcPr>
          <w:p w14:paraId="748A2C19"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2.</w:t>
            </w:r>
          </w:p>
        </w:tc>
        <w:tc>
          <w:tcPr>
            <w:tcW w:w="2721" w:type="dxa"/>
          </w:tcPr>
          <w:p w14:paraId="73CA9E49"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Projekta izpildes ietekme uz pār</w:t>
            </w:r>
            <w:r w:rsidRPr="006732DD">
              <w:rPr>
                <w:rFonts w:eastAsia="Times New Roman"/>
                <w:sz w:val="26"/>
                <w:szCs w:val="26"/>
                <w:lang w:eastAsia="lv-LV"/>
              </w:rPr>
              <w:softHyphen/>
              <w:t>valdes funkcijām un institucionālo struktūru.</w:t>
            </w:r>
          </w:p>
          <w:p w14:paraId="3F27433E"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Jaunu institūciju izveide, esošu institūciju likvidācija vai reorga</w:t>
            </w:r>
            <w:r w:rsidRPr="006732DD">
              <w:rPr>
                <w:rFonts w:eastAsia="Times New Roman"/>
                <w:sz w:val="26"/>
                <w:szCs w:val="26"/>
                <w:lang w:eastAsia="lv-LV"/>
              </w:rPr>
              <w:softHyphen/>
              <w:t>nizācija, to ietekme uz institūcijas cilvēkresursiem.</w:t>
            </w:r>
          </w:p>
        </w:tc>
        <w:tc>
          <w:tcPr>
            <w:tcW w:w="5280" w:type="dxa"/>
          </w:tcPr>
          <w:p w14:paraId="604B6A94" w14:textId="77777777" w:rsidR="00D0781C" w:rsidRPr="006732DD" w:rsidRDefault="00D0781C" w:rsidP="00D0781C">
            <w:pPr>
              <w:ind w:left="27" w:right="142" w:firstLine="0"/>
              <w:jc w:val="both"/>
              <w:rPr>
                <w:rFonts w:eastAsia="Times New Roman"/>
                <w:color w:val="000000"/>
                <w:sz w:val="26"/>
                <w:szCs w:val="26"/>
                <w:lang w:eastAsia="lv-LV"/>
              </w:rPr>
            </w:pPr>
            <w:r w:rsidRPr="006732DD">
              <w:rPr>
                <w:rFonts w:eastAsia="Times New Roman"/>
                <w:color w:val="000000"/>
                <w:sz w:val="26"/>
                <w:szCs w:val="26"/>
                <w:lang w:eastAsia="lv-LV"/>
              </w:rPr>
              <w:t>Noteikumu projekts neparedz jaunu institūciju veidošanu, kā arī neparedz esošo institūciju funkciju paplašināšanu.</w:t>
            </w:r>
          </w:p>
          <w:p w14:paraId="48448D6D" w14:textId="77777777" w:rsidR="00D0781C" w:rsidRPr="006732DD" w:rsidRDefault="00D0781C" w:rsidP="00B20BFC">
            <w:pPr>
              <w:shd w:val="clear" w:color="auto" w:fill="FFFFFF"/>
              <w:jc w:val="both"/>
              <w:rPr>
                <w:rFonts w:eastAsia="Calibri"/>
                <w:iCs/>
                <w:sz w:val="26"/>
                <w:szCs w:val="26"/>
                <w:lang w:eastAsia="lv-LV"/>
              </w:rPr>
            </w:pPr>
          </w:p>
          <w:p w14:paraId="08F26A63" w14:textId="77777777" w:rsidR="00D0781C" w:rsidRPr="006732DD" w:rsidRDefault="00D0781C" w:rsidP="00B20BFC">
            <w:pPr>
              <w:shd w:val="clear" w:color="auto" w:fill="FFFFFF"/>
              <w:jc w:val="both"/>
              <w:rPr>
                <w:rFonts w:eastAsia="Calibri"/>
                <w:iCs/>
                <w:sz w:val="26"/>
                <w:szCs w:val="26"/>
                <w:lang w:eastAsia="lv-LV"/>
              </w:rPr>
            </w:pPr>
          </w:p>
          <w:p w14:paraId="56E81EFF" w14:textId="77777777" w:rsidR="00D0781C" w:rsidRPr="006732DD" w:rsidRDefault="00D0781C" w:rsidP="00B20BFC">
            <w:pPr>
              <w:shd w:val="clear" w:color="auto" w:fill="FFFFFF"/>
              <w:jc w:val="both"/>
              <w:rPr>
                <w:rFonts w:eastAsia="Times New Roman"/>
                <w:sz w:val="26"/>
                <w:szCs w:val="26"/>
                <w:lang w:eastAsia="lv-LV"/>
              </w:rPr>
            </w:pPr>
          </w:p>
        </w:tc>
      </w:tr>
      <w:tr w:rsidR="00D0781C" w:rsidRPr="006732DD" w14:paraId="02A5BF34" w14:textId="77777777" w:rsidTr="004946A3">
        <w:tblPrEx>
          <w:jc w:val="center"/>
          <w:tblInd w:w="0" w:type="dxa"/>
        </w:tblPrEx>
        <w:trPr>
          <w:trHeight w:val="258"/>
          <w:jc w:val="center"/>
        </w:trPr>
        <w:tc>
          <w:tcPr>
            <w:tcW w:w="1213" w:type="dxa"/>
            <w:tcBorders>
              <w:top w:val="single" w:sz="4" w:space="0" w:color="auto"/>
              <w:left w:val="single" w:sz="4" w:space="0" w:color="auto"/>
              <w:bottom w:val="single" w:sz="4" w:space="0" w:color="auto"/>
              <w:right w:val="single" w:sz="4" w:space="0" w:color="auto"/>
            </w:tcBorders>
          </w:tcPr>
          <w:p w14:paraId="0E90EB10"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3.</w:t>
            </w:r>
          </w:p>
        </w:tc>
        <w:tc>
          <w:tcPr>
            <w:tcW w:w="2721" w:type="dxa"/>
            <w:tcBorders>
              <w:top w:val="single" w:sz="4" w:space="0" w:color="auto"/>
              <w:left w:val="single" w:sz="4" w:space="0" w:color="auto"/>
              <w:bottom w:val="single" w:sz="4" w:space="0" w:color="auto"/>
              <w:right w:val="single" w:sz="4" w:space="0" w:color="auto"/>
            </w:tcBorders>
          </w:tcPr>
          <w:p w14:paraId="689681BA" w14:textId="77777777" w:rsidR="00D0781C" w:rsidRPr="006732DD" w:rsidRDefault="00D0781C" w:rsidP="00D0781C">
            <w:pPr>
              <w:ind w:right="57" w:firstLine="0"/>
              <w:jc w:val="both"/>
              <w:rPr>
                <w:rFonts w:eastAsia="Times New Roman"/>
                <w:sz w:val="26"/>
                <w:szCs w:val="26"/>
                <w:lang w:eastAsia="lv-LV"/>
              </w:rPr>
            </w:pPr>
            <w:r w:rsidRPr="006732DD">
              <w:rPr>
                <w:rFonts w:eastAsia="Times New Roman"/>
                <w:sz w:val="26"/>
                <w:szCs w:val="26"/>
                <w:lang w:eastAsia="lv-LV"/>
              </w:rPr>
              <w:t>Cita informācija</w:t>
            </w:r>
          </w:p>
        </w:tc>
        <w:tc>
          <w:tcPr>
            <w:tcW w:w="5280" w:type="dxa"/>
            <w:tcBorders>
              <w:top w:val="single" w:sz="4" w:space="0" w:color="auto"/>
              <w:left w:val="single" w:sz="4" w:space="0" w:color="auto"/>
              <w:bottom w:val="single" w:sz="4" w:space="0" w:color="auto"/>
              <w:right w:val="single" w:sz="4" w:space="0" w:color="auto"/>
            </w:tcBorders>
          </w:tcPr>
          <w:p w14:paraId="70FBB042" w14:textId="77777777" w:rsidR="00D0781C" w:rsidRPr="006732DD" w:rsidRDefault="00D0781C" w:rsidP="00B20BFC">
            <w:pPr>
              <w:ind w:left="57" w:right="57"/>
              <w:jc w:val="both"/>
              <w:rPr>
                <w:rFonts w:eastAsia="Times New Roman"/>
                <w:sz w:val="26"/>
                <w:szCs w:val="26"/>
                <w:lang w:eastAsia="lv-LV"/>
              </w:rPr>
            </w:pPr>
            <w:r w:rsidRPr="006732DD">
              <w:rPr>
                <w:rFonts w:eastAsia="Times New Roman"/>
                <w:sz w:val="26"/>
                <w:szCs w:val="26"/>
                <w:lang w:eastAsia="lv-LV"/>
              </w:rPr>
              <w:t>Nav.</w:t>
            </w:r>
          </w:p>
        </w:tc>
      </w:tr>
    </w:tbl>
    <w:p w14:paraId="6C7C6FDD" w14:textId="77777777" w:rsidR="00CE7189" w:rsidRPr="006732DD" w:rsidRDefault="00CE7189" w:rsidP="005808BA">
      <w:pPr>
        <w:tabs>
          <w:tab w:val="left" w:pos="6237"/>
        </w:tabs>
        <w:ind w:firstLine="0"/>
        <w:rPr>
          <w:sz w:val="26"/>
          <w:szCs w:val="26"/>
        </w:rPr>
      </w:pPr>
    </w:p>
    <w:p w14:paraId="7CDC6EB6" w14:textId="77777777" w:rsidR="00CE7189" w:rsidRDefault="00CE7189" w:rsidP="005808BA">
      <w:pPr>
        <w:tabs>
          <w:tab w:val="left" w:pos="6237"/>
        </w:tabs>
        <w:ind w:firstLine="0"/>
        <w:rPr>
          <w:sz w:val="26"/>
          <w:szCs w:val="26"/>
        </w:rPr>
      </w:pPr>
    </w:p>
    <w:p w14:paraId="166BFC2D" w14:textId="77777777" w:rsidR="0029565F" w:rsidRPr="006732DD" w:rsidRDefault="0029565F" w:rsidP="005808BA">
      <w:pPr>
        <w:tabs>
          <w:tab w:val="left" w:pos="6237"/>
        </w:tabs>
        <w:ind w:firstLine="0"/>
        <w:rPr>
          <w:sz w:val="26"/>
          <w:szCs w:val="26"/>
        </w:rPr>
      </w:pPr>
    </w:p>
    <w:p w14:paraId="1CE194C5" w14:textId="5830B0CD" w:rsidR="008D0153" w:rsidRPr="006732DD" w:rsidRDefault="008D0153" w:rsidP="00B43114">
      <w:pPr>
        <w:tabs>
          <w:tab w:val="left" w:pos="6237"/>
        </w:tabs>
        <w:ind w:firstLine="0"/>
        <w:rPr>
          <w:sz w:val="26"/>
          <w:szCs w:val="26"/>
        </w:rPr>
      </w:pPr>
      <w:r w:rsidRPr="006732DD">
        <w:rPr>
          <w:sz w:val="26"/>
          <w:szCs w:val="26"/>
        </w:rPr>
        <w:t>Labklājības ministrs</w:t>
      </w:r>
      <w:r w:rsidRPr="006732DD">
        <w:rPr>
          <w:sz w:val="26"/>
          <w:szCs w:val="26"/>
        </w:rPr>
        <w:tab/>
      </w:r>
      <w:proofErr w:type="gramStart"/>
      <w:r w:rsidRPr="006732DD">
        <w:rPr>
          <w:sz w:val="26"/>
          <w:szCs w:val="26"/>
        </w:rPr>
        <w:t xml:space="preserve">                       </w:t>
      </w:r>
      <w:r w:rsidR="003B6CD8" w:rsidRPr="006732DD">
        <w:rPr>
          <w:sz w:val="26"/>
          <w:szCs w:val="26"/>
        </w:rPr>
        <w:t xml:space="preserve">     </w:t>
      </w:r>
      <w:proofErr w:type="gramEnd"/>
      <w:r w:rsidRPr="006732DD">
        <w:rPr>
          <w:sz w:val="26"/>
          <w:szCs w:val="26"/>
        </w:rPr>
        <w:t>J.Reirs</w:t>
      </w:r>
    </w:p>
    <w:p w14:paraId="151517A5" w14:textId="77777777" w:rsidR="008D0153" w:rsidRPr="006732DD" w:rsidRDefault="008D0153" w:rsidP="008D0153">
      <w:pPr>
        <w:tabs>
          <w:tab w:val="left" w:pos="6237"/>
        </w:tabs>
        <w:rPr>
          <w:sz w:val="26"/>
          <w:szCs w:val="26"/>
        </w:rPr>
      </w:pPr>
    </w:p>
    <w:p w14:paraId="742CA63F" w14:textId="77777777" w:rsidR="00CE7189" w:rsidRDefault="00CE7189" w:rsidP="00CE7189">
      <w:pPr>
        <w:tabs>
          <w:tab w:val="left" w:pos="1545"/>
        </w:tabs>
        <w:ind w:firstLine="0"/>
        <w:rPr>
          <w:sz w:val="26"/>
          <w:szCs w:val="26"/>
        </w:rPr>
      </w:pPr>
    </w:p>
    <w:p w14:paraId="6AF31227" w14:textId="77777777" w:rsidR="0029565F" w:rsidRDefault="0029565F" w:rsidP="00CE7189">
      <w:pPr>
        <w:tabs>
          <w:tab w:val="left" w:pos="1545"/>
        </w:tabs>
        <w:ind w:firstLine="0"/>
        <w:rPr>
          <w:sz w:val="26"/>
          <w:szCs w:val="26"/>
        </w:rPr>
      </w:pPr>
    </w:p>
    <w:p w14:paraId="47B6192C" w14:textId="77777777" w:rsidR="0029565F" w:rsidRDefault="0029565F" w:rsidP="00CE7189">
      <w:pPr>
        <w:tabs>
          <w:tab w:val="left" w:pos="1545"/>
        </w:tabs>
        <w:ind w:firstLine="0"/>
        <w:rPr>
          <w:sz w:val="26"/>
          <w:szCs w:val="26"/>
        </w:rPr>
      </w:pPr>
    </w:p>
    <w:p w14:paraId="0A0C56D6" w14:textId="77777777" w:rsidR="0029565F" w:rsidRPr="006732DD" w:rsidRDefault="0029565F" w:rsidP="00CE7189">
      <w:pPr>
        <w:tabs>
          <w:tab w:val="left" w:pos="1545"/>
        </w:tabs>
        <w:ind w:firstLine="0"/>
        <w:rPr>
          <w:sz w:val="26"/>
          <w:szCs w:val="26"/>
        </w:rPr>
      </w:pPr>
    </w:p>
    <w:p w14:paraId="663043AC" w14:textId="11003087" w:rsidR="00527799" w:rsidRPr="006732DD" w:rsidRDefault="0079625B" w:rsidP="00CE7189">
      <w:pPr>
        <w:tabs>
          <w:tab w:val="left" w:pos="1545"/>
        </w:tabs>
        <w:ind w:firstLine="0"/>
        <w:rPr>
          <w:sz w:val="26"/>
          <w:szCs w:val="26"/>
        </w:rPr>
      </w:pPr>
      <w:r w:rsidRPr="006732DD">
        <w:rPr>
          <w:sz w:val="26"/>
          <w:szCs w:val="26"/>
        </w:rPr>
        <w:tab/>
      </w:r>
    </w:p>
    <w:p w14:paraId="4421F7F8" w14:textId="28F4D4A1" w:rsidR="008D0153" w:rsidRPr="006732DD" w:rsidRDefault="0079625B" w:rsidP="00B43114">
      <w:pPr>
        <w:ind w:firstLine="0"/>
        <w:jc w:val="both"/>
        <w:rPr>
          <w:color w:val="333333"/>
          <w:sz w:val="20"/>
          <w:szCs w:val="20"/>
          <w:shd w:val="clear" w:color="auto" w:fill="FFFFFF"/>
        </w:rPr>
      </w:pPr>
      <w:r w:rsidRPr="006732DD">
        <w:rPr>
          <w:color w:val="333333"/>
          <w:sz w:val="20"/>
          <w:szCs w:val="20"/>
          <w:shd w:val="clear" w:color="auto" w:fill="FFFFFF"/>
        </w:rPr>
        <w:t>R. Paršova, 67782954</w:t>
      </w:r>
    </w:p>
    <w:p w14:paraId="6632B258" w14:textId="66DDE1DE" w:rsidR="008D0153" w:rsidRPr="006732DD" w:rsidRDefault="00E44D24" w:rsidP="00B43114">
      <w:pPr>
        <w:ind w:firstLine="0"/>
        <w:jc w:val="both"/>
        <w:rPr>
          <w:color w:val="333333"/>
          <w:sz w:val="20"/>
          <w:szCs w:val="20"/>
          <w:shd w:val="clear" w:color="auto" w:fill="FFFFFF"/>
        </w:rPr>
      </w:pPr>
      <w:hyperlink r:id="rId8" w:history="1">
        <w:r w:rsidR="0079625B" w:rsidRPr="006732DD">
          <w:rPr>
            <w:rStyle w:val="Hyperlink"/>
            <w:sz w:val="20"/>
            <w:szCs w:val="20"/>
            <w:shd w:val="clear" w:color="auto" w:fill="FFFFFF"/>
          </w:rPr>
          <w:t>rita.parsova@lm.gov.lv</w:t>
        </w:r>
      </w:hyperlink>
      <w:r w:rsidR="008624F2">
        <w:rPr>
          <w:rStyle w:val="Hyperlink"/>
          <w:sz w:val="20"/>
          <w:szCs w:val="20"/>
          <w:shd w:val="clear" w:color="auto" w:fill="FFFFFF"/>
        </w:rPr>
        <w:t xml:space="preserve"> </w:t>
      </w:r>
    </w:p>
    <w:sectPr w:rsidR="008D0153" w:rsidRPr="006732DD" w:rsidSect="00BB152C">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B9BF" w14:textId="77777777" w:rsidR="00EF22E8" w:rsidRDefault="00EF22E8" w:rsidP="006531D9">
      <w:r>
        <w:separator/>
      </w:r>
    </w:p>
  </w:endnote>
  <w:endnote w:type="continuationSeparator" w:id="0">
    <w:p w14:paraId="5550EFB0" w14:textId="77777777" w:rsidR="00EF22E8" w:rsidRDefault="00EF22E8"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BAA5" w14:textId="609D118C" w:rsidR="00921366" w:rsidRPr="006D47BB" w:rsidRDefault="00921366" w:rsidP="00006965">
    <w:pPr>
      <w:pStyle w:val="Footer"/>
      <w:rPr>
        <w:sz w:val="20"/>
        <w:szCs w:val="20"/>
      </w:rPr>
    </w:pPr>
    <w:r>
      <w:rPr>
        <w:sz w:val="20"/>
        <w:szCs w:val="20"/>
      </w:rPr>
      <w:t>LManot_</w:t>
    </w:r>
    <w:r w:rsidR="008624F2">
      <w:rPr>
        <w:sz w:val="20"/>
        <w:szCs w:val="20"/>
      </w:rPr>
      <w:t>040418</w:t>
    </w:r>
    <w:r>
      <w:rPr>
        <w:sz w:val="20"/>
        <w:szCs w:val="20"/>
      </w:rPr>
      <w:t>_</w:t>
    </w:r>
    <w:r w:rsidR="0079625B">
      <w:rPr>
        <w:sz w:val="20"/>
        <w:szCs w:val="20"/>
      </w:rPr>
      <w:t>soc_gar</w:t>
    </w:r>
  </w:p>
  <w:p w14:paraId="2E604E8F" w14:textId="77777777" w:rsidR="00921366" w:rsidRDefault="00921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1599" w14:textId="7CD8C4F0" w:rsidR="00921366" w:rsidRPr="006D47BB" w:rsidRDefault="00921366">
    <w:pPr>
      <w:pStyle w:val="Footer"/>
      <w:rPr>
        <w:sz w:val="20"/>
        <w:szCs w:val="20"/>
      </w:rPr>
    </w:pPr>
    <w:r>
      <w:rPr>
        <w:sz w:val="20"/>
        <w:szCs w:val="20"/>
      </w:rPr>
      <w:t>LManot_</w:t>
    </w:r>
    <w:r w:rsidR="003403E0">
      <w:rPr>
        <w:sz w:val="20"/>
        <w:szCs w:val="20"/>
      </w:rPr>
      <w:t>040418</w:t>
    </w:r>
    <w:r>
      <w:rPr>
        <w:sz w:val="20"/>
        <w:szCs w:val="20"/>
      </w:rPr>
      <w:t>_</w:t>
    </w:r>
    <w:r w:rsidR="00CE7189">
      <w:rPr>
        <w:sz w:val="20"/>
        <w:szCs w:val="20"/>
      </w:rPr>
      <w:t>soc_gar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5CD7" w14:textId="77777777" w:rsidR="00EF22E8" w:rsidRDefault="00EF22E8" w:rsidP="006531D9">
      <w:r>
        <w:separator/>
      </w:r>
    </w:p>
  </w:footnote>
  <w:footnote w:type="continuationSeparator" w:id="0">
    <w:p w14:paraId="14991E53" w14:textId="77777777" w:rsidR="00EF22E8" w:rsidRDefault="00EF22E8" w:rsidP="0065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19885"/>
      <w:docPartObj>
        <w:docPartGallery w:val="Page Numbers (Top of Page)"/>
        <w:docPartUnique/>
      </w:docPartObj>
    </w:sdtPr>
    <w:sdtEndPr>
      <w:rPr>
        <w:noProof/>
        <w:sz w:val="24"/>
        <w:szCs w:val="24"/>
      </w:rPr>
    </w:sdtEndPr>
    <w:sdtContent>
      <w:p w14:paraId="48E0994B" w14:textId="77777777" w:rsidR="00921366" w:rsidRPr="0045660E" w:rsidRDefault="00921366">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E44D24">
          <w:rPr>
            <w:noProof/>
            <w:sz w:val="24"/>
            <w:szCs w:val="24"/>
          </w:rPr>
          <w:t>7</w:t>
        </w:r>
        <w:r w:rsidRPr="0045660E">
          <w:rPr>
            <w:noProof/>
            <w:sz w:val="24"/>
            <w:szCs w:val="24"/>
          </w:rPr>
          <w:fldChar w:fldCharType="end"/>
        </w:r>
      </w:p>
    </w:sdtContent>
  </w:sdt>
  <w:p w14:paraId="6B65BA52" w14:textId="77777777" w:rsidR="00921366" w:rsidRDefault="00921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949"/>
    <w:multiLevelType w:val="hybridMultilevel"/>
    <w:tmpl w:val="9182A5DE"/>
    <w:lvl w:ilvl="0" w:tplc="D27EE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DF04E6"/>
    <w:multiLevelType w:val="hybridMultilevel"/>
    <w:tmpl w:val="D4287B6A"/>
    <w:lvl w:ilvl="0" w:tplc="D27EDF4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32020D"/>
    <w:multiLevelType w:val="hybridMultilevel"/>
    <w:tmpl w:val="5F965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533AB7"/>
    <w:multiLevelType w:val="hybridMultilevel"/>
    <w:tmpl w:val="9452A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A77C7"/>
    <w:multiLevelType w:val="hybridMultilevel"/>
    <w:tmpl w:val="6BB8F8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12B2575"/>
    <w:multiLevelType w:val="hybridMultilevel"/>
    <w:tmpl w:val="1630730E"/>
    <w:lvl w:ilvl="0" w:tplc="ACF60B90">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380DB4"/>
    <w:multiLevelType w:val="hybridMultilevel"/>
    <w:tmpl w:val="CF9C1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B6549D"/>
    <w:multiLevelType w:val="hybridMultilevel"/>
    <w:tmpl w:val="38C2F1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8377FE"/>
    <w:multiLevelType w:val="hybridMultilevel"/>
    <w:tmpl w:val="CCCA10AE"/>
    <w:lvl w:ilvl="0" w:tplc="D8280CB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11"/>
  </w:num>
  <w:num w:numId="7">
    <w:abstractNumId w:val="9"/>
  </w:num>
  <w:num w:numId="8">
    <w:abstractNumId w:val="3"/>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45"/>
    <w:rsid w:val="00003398"/>
    <w:rsid w:val="00006965"/>
    <w:rsid w:val="00023E9D"/>
    <w:rsid w:val="00026C7E"/>
    <w:rsid w:val="000324CC"/>
    <w:rsid w:val="00033B0A"/>
    <w:rsid w:val="00041300"/>
    <w:rsid w:val="000474D1"/>
    <w:rsid w:val="000567CE"/>
    <w:rsid w:val="00062839"/>
    <w:rsid w:val="00065B61"/>
    <w:rsid w:val="00065C6D"/>
    <w:rsid w:val="000734F3"/>
    <w:rsid w:val="00076E91"/>
    <w:rsid w:val="00080931"/>
    <w:rsid w:val="00081543"/>
    <w:rsid w:val="00091787"/>
    <w:rsid w:val="0009264B"/>
    <w:rsid w:val="0009773D"/>
    <w:rsid w:val="000B5D59"/>
    <w:rsid w:val="000C2D84"/>
    <w:rsid w:val="000D2AA6"/>
    <w:rsid w:val="000D45FC"/>
    <w:rsid w:val="000D57FD"/>
    <w:rsid w:val="000E26DD"/>
    <w:rsid w:val="000F0379"/>
    <w:rsid w:val="000F4ED9"/>
    <w:rsid w:val="00104B5F"/>
    <w:rsid w:val="00116196"/>
    <w:rsid w:val="001217A9"/>
    <w:rsid w:val="00123A3C"/>
    <w:rsid w:val="001533FC"/>
    <w:rsid w:val="00160244"/>
    <w:rsid w:val="00161A19"/>
    <w:rsid w:val="00165C2E"/>
    <w:rsid w:val="00166430"/>
    <w:rsid w:val="00191628"/>
    <w:rsid w:val="00195CA3"/>
    <w:rsid w:val="001B27C4"/>
    <w:rsid w:val="001B478E"/>
    <w:rsid w:val="001B537F"/>
    <w:rsid w:val="001B6D8D"/>
    <w:rsid w:val="001D306A"/>
    <w:rsid w:val="001D650B"/>
    <w:rsid w:val="001E05DB"/>
    <w:rsid w:val="001E0A66"/>
    <w:rsid w:val="001E1468"/>
    <w:rsid w:val="001E748F"/>
    <w:rsid w:val="001F2AAD"/>
    <w:rsid w:val="001F32C9"/>
    <w:rsid w:val="001F60D3"/>
    <w:rsid w:val="0020142C"/>
    <w:rsid w:val="00203226"/>
    <w:rsid w:val="00214A36"/>
    <w:rsid w:val="00215BB7"/>
    <w:rsid w:val="0022064F"/>
    <w:rsid w:val="00221E9D"/>
    <w:rsid w:val="00234F3C"/>
    <w:rsid w:val="00236B5F"/>
    <w:rsid w:val="00246FB3"/>
    <w:rsid w:val="002616C5"/>
    <w:rsid w:val="00271A3D"/>
    <w:rsid w:val="002736EC"/>
    <w:rsid w:val="002819F1"/>
    <w:rsid w:val="00285B7F"/>
    <w:rsid w:val="00287B00"/>
    <w:rsid w:val="002908BF"/>
    <w:rsid w:val="0029565F"/>
    <w:rsid w:val="0029643A"/>
    <w:rsid w:val="002A0678"/>
    <w:rsid w:val="002A2AAE"/>
    <w:rsid w:val="002B149F"/>
    <w:rsid w:val="002B68D9"/>
    <w:rsid w:val="002C2111"/>
    <w:rsid w:val="002C5D69"/>
    <w:rsid w:val="002D491B"/>
    <w:rsid w:val="002D4D19"/>
    <w:rsid w:val="002F714D"/>
    <w:rsid w:val="00315B9F"/>
    <w:rsid w:val="0031718B"/>
    <w:rsid w:val="00323217"/>
    <w:rsid w:val="00323FEC"/>
    <w:rsid w:val="003257B9"/>
    <w:rsid w:val="00330320"/>
    <w:rsid w:val="00336477"/>
    <w:rsid w:val="00337506"/>
    <w:rsid w:val="003403E0"/>
    <w:rsid w:val="00341F7D"/>
    <w:rsid w:val="00346A06"/>
    <w:rsid w:val="0035213C"/>
    <w:rsid w:val="0037741C"/>
    <w:rsid w:val="00380A6A"/>
    <w:rsid w:val="00386D05"/>
    <w:rsid w:val="0039065C"/>
    <w:rsid w:val="003911B2"/>
    <w:rsid w:val="00393334"/>
    <w:rsid w:val="0039458D"/>
    <w:rsid w:val="00397F0D"/>
    <w:rsid w:val="003A6E7F"/>
    <w:rsid w:val="003B3096"/>
    <w:rsid w:val="003B6392"/>
    <w:rsid w:val="003B6CD8"/>
    <w:rsid w:val="003C05AD"/>
    <w:rsid w:val="003E2851"/>
    <w:rsid w:val="003E7B13"/>
    <w:rsid w:val="003F4A64"/>
    <w:rsid w:val="003F5E63"/>
    <w:rsid w:val="00400DA3"/>
    <w:rsid w:val="00412057"/>
    <w:rsid w:val="00416376"/>
    <w:rsid w:val="0042523E"/>
    <w:rsid w:val="00436FCA"/>
    <w:rsid w:val="00447EB0"/>
    <w:rsid w:val="00453AF6"/>
    <w:rsid w:val="0045660E"/>
    <w:rsid w:val="004726A1"/>
    <w:rsid w:val="004726FE"/>
    <w:rsid w:val="004946A3"/>
    <w:rsid w:val="00497A7E"/>
    <w:rsid w:val="004A0A7E"/>
    <w:rsid w:val="004B0461"/>
    <w:rsid w:val="004B2123"/>
    <w:rsid w:val="004C6A88"/>
    <w:rsid w:val="004D73EB"/>
    <w:rsid w:val="004E6792"/>
    <w:rsid w:val="004F0222"/>
    <w:rsid w:val="004F20B5"/>
    <w:rsid w:val="004F4B9A"/>
    <w:rsid w:val="004F65FE"/>
    <w:rsid w:val="00507D2C"/>
    <w:rsid w:val="00510E34"/>
    <w:rsid w:val="005163CF"/>
    <w:rsid w:val="00522BD4"/>
    <w:rsid w:val="00527799"/>
    <w:rsid w:val="00527FAD"/>
    <w:rsid w:val="00537EBD"/>
    <w:rsid w:val="00542BCC"/>
    <w:rsid w:val="00544E85"/>
    <w:rsid w:val="00554D8C"/>
    <w:rsid w:val="00564E63"/>
    <w:rsid w:val="00566C1E"/>
    <w:rsid w:val="00573E97"/>
    <w:rsid w:val="005808BA"/>
    <w:rsid w:val="00584BD5"/>
    <w:rsid w:val="00585D0C"/>
    <w:rsid w:val="00596701"/>
    <w:rsid w:val="005A0386"/>
    <w:rsid w:val="005A0798"/>
    <w:rsid w:val="005A71B2"/>
    <w:rsid w:val="005B49DE"/>
    <w:rsid w:val="005B57C5"/>
    <w:rsid w:val="005B7F74"/>
    <w:rsid w:val="005C1D17"/>
    <w:rsid w:val="005C7AC9"/>
    <w:rsid w:val="005D0480"/>
    <w:rsid w:val="005D27A2"/>
    <w:rsid w:val="005D7EF1"/>
    <w:rsid w:val="005E3153"/>
    <w:rsid w:val="005E4F60"/>
    <w:rsid w:val="006015FD"/>
    <w:rsid w:val="00614ADF"/>
    <w:rsid w:val="00623C87"/>
    <w:rsid w:val="00624D19"/>
    <w:rsid w:val="0062646E"/>
    <w:rsid w:val="00634B8D"/>
    <w:rsid w:val="00636664"/>
    <w:rsid w:val="006531D9"/>
    <w:rsid w:val="00657CE2"/>
    <w:rsid w:val="00663817"/>
    <w:rsid w:val="006732DD"/>
    <w:rsid w:val="006821F7"/>
    <w:rsid w:val="006A1E24"/>
    <w:rsid w:val="006A20D5"/>
    <w:rsid w:val="006C18FE"/>
    <w:rsid w:val="006D47BB"/>
    <w:rsid w:val="006D4D78"/>
    <w:rsid w:val="006D6C2A"/>
    <w:rsid w:val="006E442F"/>
    <w:rsid w:val="006E5A72"/>
    <w:rsid w:val="006F3FA0"/>
    <w:rsid w:val="006F665B"/>
    <w:rsid w:val="00717E6E"/>
    <w:rsid w:val="00726967"/>
    <w:rsid w:val="00731558"/>
    <w:rsid w:val="0073645E"/>
    <w:rsid w:val="00744764"/>
    <w:rsid w:val="00746E87"/>
    <w:rsid w:val="00752264"/>
    <w:rsid w:val="00753AE2"/>
    <w:rsid w:val="007660F3"/>
    <w:rsid w:val="00771720"/>
    <w:rsid w:val="0079625B"/>
    <w:rsid w:val="007A0233"/>
    <w:rsid w:val="007A3790"/>
    <w:rsid w:val="007B3D74"/>
    <w:rsid w:val="007B5F8C"/>
    <w:rsid w:val="007D0C22"/>
    <w:rsid w:val="007D0D90"/>
    <w:rsid w:val="007D3146"/>
    <w:rsid w:val="007E1378"/>
    <w:rsid w:val="007F220A"/>
    <w:rsid w:val="007F7A7F"/>
    <w:rsid w:val="008056F1"/>
    <w:rsid w:val="0081462B"/>
    <w:rsid w:val="00814A0D"/>
    <w:rsid w:val="00817844"/>
    <w:rsid w:val="008209F8"/>
    <w:rsid w:val="00822C6C"/>
    <w:rsid w:val="00825345"/>
    <w:rsid w:val="008274F2"/>
    <w:rsid w:val="00832462"/>
    <w:rsid w:val="008353BF"/>
    <w:rsid w:val="00844237"/>
    <w:rsid w:val="008467E5"/>
    <w:rsid w:val="00847274"/>
    <w:rsid w:val="00847BE5"/>
    <w:rsid w:val="008624F2"/>
    <w:rsid w:val="00866FB1"/>
    <w:rsid w:val="00873839"/>
    <w:rsid w:val="00884D3F"/>
    <w:rsid w:val="008A2B91"/>
    <w:rsid w:val="008B7D70"/>
    <w:rsid w:val="008D0153"/>
    <w:rsid w:val="008E4DF8"/>
    <w:rsid w:val="008F4AB5"/>
    <w:rsid w:val="00900D3D"/>
    <w:rsid w:val="009026D6"/>
    <w:rsid w:val="00915389"/>
    <w:rsid w:val="00921366"/>
    <w:rsid w:val="009214A5"/>
    <w:rsid w:val="0092619C"/>
    <w:rsid w:val="00930F5A"/>
    <w:rsid w:val="00934FE5"/>
    <w:rsid w:val="0094774C"/>
    <w:rsid w:val="009540B1"/>
    <w:rsid w:val="009570C1"/>
    <w:rsid w:val="00957B98"/>
    <w:rsid w:val="00965EC4"/>
    <w:rsid w:val="00966D5A"/>
    <w:rsid w:val="00967817"/>
    <w:rsid w:val="00973FC6"/>
    <w:rsid w:val="00983F86"/>
    <w:rsid w:val="00985C7A"/>
    <w:rsid w:val="009860E5"/>
    <w:rsid w:val="00993BE1"/>
    <w:rsid w:val="009A2FBB"/>
    <w:rsid w:val="009A5139"/>
    <w:rsid w:val="009B43A4"/>
    <w:rsid w:val="009B7CBF"/>
    <w:rsid w:val="009C11A0"/>
    <w:rsid w:val="009C1431"/>
    <w:rsid w:val="009C24C3"/>
    <w:rsid w:val="009C3594"/>
    <w:rsid w:val="009C7EB0"/>
    <w:rsid w:val="009E09DC"/>
    <w:rsid w:val="009F0385"/>
    <w:rsid w:val="00A2087C"/>
    <w:rsid w:val="00A34FDA"/>
    <w:rsid w:val="00A36C54"/>
    <w:rsid w:val="00A441ED"/>
    <w:rsid w:val="00A465E7"/>
    <w:rsid w:val="00A5222F"/>
    <w:rsid w:val="00A60D42"/>
    <w:rsid w:val="00A77B26"/>
    <w:rsid w:val="00A85D69"/>
    <w:rsid w:val="00AA24BA"/>
    <w:rsid w:val="00AB63A5"/>
    <w:rsid w:val="00AC0895"/>
    <w:rsid w:val="00AD187C"/>
    <w:rsid w:val="00AD1A40"/>
    <w:rsid w:val="00AE20E0"/>
    <w:rsid w:val="00AE39A9"/>
    <w:rsid w:val="00AF488A"/>
    <w:rsid w:val="00B070FA"/>
    <w:rsid w:val="00B07EFF"/>
    <w:rsid w:val="00B11A12"/>
    <w:rsid w:val="00B23A1C"/>
    <w:rsid w:val="00B24E74"/>
    <w:rsid w:val="00B35299"/>
    <w:rsid w:val="00B43114"/>
    <w:rsid w:val="00B50D79"/>
    <w:rsid w:val="00B51D67"/>
    <w:rsid w:val="00B54764"/>
    <w:rsid w:val="00B61918"/>
    <w:rsid w:val="00B66D81"/>
    <w:rsid w:val="00B81D8C"/>
    <w:rsid w:val="00B83430"/>
    <w:rsid w:val="00B9084B"/>
    <w:rsid w:val="00B90A6A"/>
    <w:rsid w:val="00B95A44"/>
    <w:rsid w:val="00BA21DB"/>
    <w:rsid w:val="00BB152C"/>
    <w:rsid w:val="00BB4D5D"/>
    <w:rsid w:val="00BB5B37"/>
    <w:rsid w:val="00BC09D2"/>
    <w:rsid w:val="00BC12FF"/>
    <w:rsid w:val="00BC48BE"/>
    <w:rsid w:val="00BC5A6B"/>
    <w:rsid w:val="00BD0191"/>
    <w:rsid w:val="00BE40C6"/>
    <w:rsid w:val="00BE674E"/>
    <w:rsid w:val="00BF6DD7"/>
    <w:rsid w:val="00C2313D"/>
    <w:rsid w:val="00C27B28"/>
    <w:rsid w:val="00C30105"/>
    <w:rsid w:val="00C40F8F"/>
    <w:rsid w:val="00C54A22"/>
    <w:rsid w:val="00C5715A"/>
    <w:rsid w:val="00C75FBB"/>
    <w:rsid w:val="00C7600C"/>
    <w:rsid w:val="00C773E9"/>
    <w:rsid w:val="00C80F53"/>
    <w:rsid w:val="00C826E0"/>
    <w:rsid w:val="00CA00F7"/>
    <w:rsid w:val="00CA58AB"/>
    <w:rsid w:val="00CA6E17"/>
    <w:rsid w:val="00CB211A"/>
    <w:rsid w:val="00CB6F19"/>
    <w:rsid w:val="00CB7845"/>
    <w:rsid w:val="00CE7189"/>
    <w:rsid w:val="00CF512A"/>
    <w:rsid w:val="00CF6EE1"/>
    <w:rsid w:val="00CF7D8A"/>
    <w:rsid w:val="00D0141D"/>
    <w:rsid w:val="00D0781C"/>
    <w:rsid w:val="00D173F8"/>
    <w:rsid w:val="00D20217"/>
    <w:rsid w:val="00D2094C"/>
    <w:rsid w:val="00D276A0"/>
    <w:rsid w:val="00D36479"/>
    <w:rsid w:val="00D4670A"/>
    <w:rsid w:val="00D50EA8"/>
    <w:rsid w:val="00D54CFD"/>
    <w:rsid w:val="00D6377C"/>
    <w:rsid w:val="00DA0B04"/>
    <w:rsid w:val="00DA51BF"/>
    <w:rsid w:val="00DA5E6F"/>
    <w:rsid w:val="00DB28B3"/>
    <w:rsid w:val="00DB3CBA"/>
    <w:rsid w:val="00DC27D3"/>
    <w:rsid w:val="00DC2CC6"/>
    <w:rsid w:val="00DF1BAF"/>
    <w:rsid w:val="00DF5CAC"/>
    <w:rsid w:val="00E01FAF"/>
    <w:rsid w:val="00E060F2"/>
    <w:rsid w:val="00E22E21"/>
    <w:rsid w:val="00E23F06"/>
    <w:rsid w:val="00E2442C"/>
    <w:rsid w:val="00E267C2"/>
    <w:rsid w:val="00E375B2"/>
    <w:rsid w:val="00E40540"/>
    <w:rsid w:val="00E42A62"/>
    <w:rsid w:val="00E440D2"/>
    <w:rsid w:val="00E44D24"/>
    <w:rsid w:val="00E45995"/>
    <w:rsid w:val="00E47E24"/>
    <w:rsid w:val="00E519F1"/>
    <w:rsid w:val="00E54DC7"/>
    <w:rsid w:val="00E65307"/>
    <w:rsid w:val="00E70660"/>
    <w:rsid w:val="00E836AA"/>
    <w:rsid w:val="00E83C68"/>
    <w:rsid w:val="00E85D5B"/>
    <w:rsid w:val="00E90DA7"/>
    <w:rsid w:val="00E90FE5"/>
    <w:rsid w:val="00ED59C5"/>
    <w:rsid w:val="00ED6973"/>
    <w:rsid w:val="00EE24CD"/>
    <w:rsid w:val="00EE45BF"/>
    <w:rsid w:val="00EF1116"/>
    <w:rsid w:val="00EF22E8"/>
    <w:rsid w:val="00EF5495"/>
    <w:rsid w:val="00F0212F"/>
    <w:rsid w:val="00F04A23"/>
    <w:rsid w:val="00F06656"/>
    <w:rsid w:val="00F134D4"/>
    <w:rsid w:val="00F159EB"/>
    <w:rsid w:val="00F23D57"/>
    <w:rsid w:val="00F25522"/>
    <w:rsid w:val="00F326EF"/>
    <w:rsid w:val="00F3488B"/>
    <w:rsid w:val="00F53308"/>
    <w:rsid w:val="00F66F26"/>
    <w:rsid w:val="00F73EC0"/>
    <w:rsid w:val="00F7728A"/>
    <w:rsid w:val="00F83B83"/>
    <w:rsid w:val="00F84DCA"/>
    <w:rsid w:val="00F9070A"/>
    <w:rsid w:val="00F941BC"/>
    <w:rsid w:val="00FB02CF"/>
    <w:rsid w:val="00FB70D1"/>
    <w:rsid w:val="00FC484D"/>
    <w:rsid w:val="00FC4FF8"/>
    <w:rsid w:val="00FE0AAF"/>
    <w:rsid w:val="00FE593A"/>
    <w:rsid w:val="00FE59A7"/>
    <w:rsid w:val="00FF02BF"/>
    <w:rsid w:val="00FF4E91"/>
    <w:rsid w:val="00FF5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42DBE"/>
  <w15:docId w15:val="{5350AA35-F9ED-48E4-A6BE-F51C11B6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uiPriority w:val="34"/>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 w:type="paragraph" w:customStyle="1" w:styleId="naisf">
    <w:name w:val="naisf"/>
    <w:basedOn w:val="Normal"/>
    <w:rsid w:val="004A0A7E"/>
    <w:pPr>
      <w:spacing w:before="75" w:after="75"/>
      <w:ind w:firstLine="375"/>
      <w:jc w:val="both"/>
    </w:pPr>
    <w:rPr>
      <w:rFonts w:eastAsia="Times New Roman"/>
      <w:sz w:val="24"/>
      <w:szCs w:val="24"/>
      <w:lang w:eastAsia="lv-LV"/>
    </w:rPr>
  </w:style>
  <w:style w:type="paragraph" w:styleId="BodyText">
    <w:name w:val="Body Text"/>
    <w:basedOn w:val="Normal"/>
    <w:link w:val="BodyTextChar"/>
    <w:rsid w:val="001F60D3"/>
    <w:pPr>
      <w:spacing w:after="120"/>
      <w:ind w:firstLine="0"/>
    </w:pPr>
    <w:rPr>
      <w:rFonts w:eastAsia="Times New Roman"/>
      <w:sz w:val="24"/>
      <w:szCs w:val="20"/>
      <w:lang w:val="en-AU" w:eastAsia="lv-LV"/>
    </w:rPr>
  </w:style>
  <w:style w:type="character" w:customStyle="1" w:styleId="BodyTextChar">
    <w:name w:val="Body Text Char"/>
    <w:basedOn w:val="DefaultParagraphFont"/>
    <w:link w:val="BodyText"/>
    <w:rsid w:val="001F60D3"/>
    <w:rPr>
      <w:rFonts w:eastAsia="Times New Roman"/>
      <w:sz w:val="24"/>
      <w:szCs w:val="20"/>
      <w:lang w:val="en-AU" w:eastAsia="lv-LV"/>
    </w:rPr>
  </w:style>
  <w:style w:type="character" w:styleId="CommentReference">
    <w:name w:val="annotation reference"/>
    <w:basedOn w:val="DefaultParagraphFont"/>
    <w:uiPriority w:val="99"/>
    <w:semiHidden/>
    <w:unhideWhenUsed/>
    <w:rsid w:val="008F4AB5"/>
    <w:rPr>
      <w:sz w:val="16"/>
      <w:szCs w:val="16"/>
    </w:rPr>
  </w:style>
  <w:style w:type="paragraph" w:styleId="CommentText">
    <w:name w:val="annotation text"/>
    <w:basedOn w:val="Normal"/>
    <w:link w:val="CommentTextChar"/>
    <w:uiPriority w:val="99"/>
    <w:semiHidden/>
    <w:unhideWhenUsed/>
    <w:rsid w:val="008F4AB5"/>
    <w:rPr>
      <w:sz w:val="20"/>
      <w:szCs w:val="20"/>
    </w:rPr>
  </w:style>
  <w:style w:type="character" w:customStyle="1" w:styleId="CommentTextChar">
    <w:name w:val="Comment Text Char"/>
    <w:basedOn w:val="DefaultParagraphFont"/>
    <w:link w:val="CommentText"/>
    <w:uiPriority w:val="99"/>
    <w:semiHidden/>
    <w:rsid w:val="008F4AB5"/>
    <w:rPr>
      <w:sz w:val="20"/>
      <w:szCs w:val="20"/>
    </w:rPr>
  </w:style>
  <w:style w:type="paragraph" w:styleId="CommentSubject">
    <w:name w:val="annotation subject"/>
    <w:basedOn w:val="CommentText"/>
    <w:next w:val="CommentText"/>
    <w:link w:val="CommentSubjectChar"/>
    <w:uiPriority w:val="99"/>
    <w:semiHidden/>
    <w:unhideWhenUsed/>
    <w:rsid w:val="008F4AB5"/>
    <w:rPr>
      <w:b/>
      <w:bCs/>
    </w:rPr>
  </w:style>
  <w:style w:type="character" w:customStyle="1" w:styleId="CommentSubjectChar">
    <w:name w:val="Comment Subject Char"/>
    <w:basedOn w:val="CommentTextChar"/>
    <w:link w:val="CommentSubject"/>
    <w:uiPriority w:val="99"/>
    <w:semiHidden/>
    <w:rsid w:val="008F4AB5"/>
    <w:rPr>
      <w:b/>
      <w:bCs/>
      <w:sz w:val="20"/>
      <w:szCs w:val="20"/>
    </w:rPr>
  </w:style>
  <w:style w:type="paragraph" w:styleId="NoSpacing">
    <w:name w:val="No Spacing"/>
    <w:link w:val="NoSpacingChar"/>
    <w:uiPriority w:val="1"/>
    <w:qFormat/>
    <w:rsid w:val="00F23D57"/>
    <w:pPr>
      <w:ind w:firstLine="0"/>
    </w:pPr>
    <w:rPr>
      <w:rFonts w:eastAsia="Times New Roman"/>
      <w:sz w:val="24"/>
      <w:szCs w:val="24"/>
      <w:lang w:eastAsia="lv-LV"/>
    </w:rPr>
  </w:style>
  <w:style w:type="character" w:customStyle="1" w:styleId="NoSpacingChar">
    <w:name w:val="No Spacing Char"/>
    <w:basedOn w:val="DefaultParagraphFont"/>
    <w:link w:val="NoSpacing"/>
    <w:uiPriority w:val="1"/>
    <w:rsid w:val="00F23D57"/>
    <w:rPr>
      <w:rFonts w:eastAsia="Times New Roman"/>
      <w:sz w:val="24"/>
      <w:szCs w:val="24"/>
      <w:lang w:eastAsia="lv-LV"/>
    </w:rPr>
  </w:style>
  <w:style w:type="paragraph" w:customStyle="1" w:styleId="Bezatstarpm1">
    <w:name w:val="Bez atstarpēm1"/>
    <w:uiPriority w:val="1"/>
    <w:qFormat/>
    <w:rsid w:val="00F23D57"/>
    <w:pPr>
      <w:ind w:firstLine="0"/>
    </w:pPr>
    <w:rPr>
      <w:rFonts w:ascii="Calibri" w:eastAsia="Times New Roman" w:hAnsi="Calibri"/>
      <w:sz w:val="22"/>
      <w:szCs w:val="22"/>
      <w:lang w:val="en-US"/>
    </w:rPr>
  </w:style>
  <w:style w:type="paragraph" w:styleId="NormalWeb">
    <w:name w:val="Normal (Web)"/>
    <w:basedOn w:val="Normal"/>
    <w:link w:val="NormalWebChar"/>
    <w:uiPriority w:val="99"/>
    <w:rsid w:val="00B24E74"/>
    <w:pPr>
      <w:spacing w:before="100" w:beforeAutospacing="1" w:after="100" w:afterAutospacing="1"/>
      <w:ind w:firstLine="0"/>
    </w:pPr>
    <w:rPr>
      <w:rFonts w:eastAsia="Times New Roman"/>
      <w:sz w:val="24"/>
      <w:szCs w:val="20"/>
    </w:rPr>
  </w:style>
  <w:style w:type="paragraph" w:customStyle="1" w:styleId="naisnod">
    <w:name w:val="naisnod"/>
    <w:basedOn w:val="Normal"/>
    <w:rsid w:val="00FE593A"/>
    <w:pPr>
      <w:spacing w:before="100" w:beforeAutospacing="1" w:after="100" w:afterAutospacing="1"/>
      <w:ind w:firstLine="0"/>
    </w:pPr>
    <w:rPr>
      <w:rFonts w:eastAsia="Times New Roman"/>
      <w:sz w:val="24"/>
      <w:szCs w:val="24"/>
      <w:lang w:eastAsia="lv-LV"/>
    </w:rPr>
  </w:style>
  <w:style w:type="character" w:customStyle="1" w:styleId="NormalWebChar">
    <w:name w:val="Normal (Web) Char"/>
    <w:link w:val="NormalWeb"/>
    <w:uiPriority w:val="99"/>
    <w:locked/>
    <w:rsid w:val="001F32C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F33D-89E8-4682-9579-A72CC2D7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8112</Words>
  <Characters>4625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15. novembra noteikumos Nr.857 "Noteikumi par sociālājām garantījām bārenim un bez vecāku gādības palikušajam bērnam, kurš ir ārpusģimenes aprūpē, kā arī pēc ārpusģimenes aprūpes</vt:lpstr>
    </vt:vector>
  </TitlesOfParts>
  <Company>Labklājības ministrija</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15. novembra noteikumos Nr.857 "Noteikumi par sociālājām garantījām bārenim un bez vecāku gādības palikušajam bērnam, kurš ir ārpusģimenes aprūpē, kā arī pēc ārpusģimenes aprūpes beigšānās"" sākotnējās ietekmes novērtējuma ziņojums (anotācija)</dc:title>
  <dc:subject>Noteikumu projekta anotācija</dc:subject>
  <dc:creator>Rita Paršova</dc:creator>
  <dc:description>67782954, rita.parsova@lm.gov.lv</dc:description>
  <cp:lastModifiedBy>Rita Paršova</cp:lastModifiedBy>
  <cp:revision>14</cp:revision>
  <cp:lastPrinted>2018-04-04T06:13:00Z</cp:lastPrinted>
  <dcterms:created xsi:type="dcterms:W3CDTF">2018-03-27T06:21:00Z</dcterms:created>
  <dcterms:modified xsi:type="dcterms:W3CDTF">2018-04-04T06:21:00Z</dcterms:modified>
</cp:coreProperties>
</file>