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A7" w:rsidRPr="00944F6E" w:rsidRDefault="00C40FA7" w:rsidP="00C40FA7">
      <w:pPr>
        <w:rPr>
          <w:b/>
          <w:sz w:val="32"/>
          <w:szCs w:val="32"/>
        </w:rPr>
      </w:pPr>
    </w:p>
    <w:p w:rsidR="00C40FA7" w:rsidRPr="00944F6E" w:rsidRDefault="00C40FA7" w:rsidP="00C40FA7">
      <w:pPr>
        <w:jc w:val="center"/>
        <w:rPr>
          <w:b/>
          <w:sz w:val="28"/>
          <w:szCs w:val="28"/>
        </w:rPr>
      </w:pPr>
    </w:p>
    <w:p w:rsidR="00C40FA7" w:rsidRPr="00944F6E" w:rsidRDefault="00C40FA7" w:rsidP="00C40FA7">
      <w:pPr>
        <w:jc w:val="center"/>
        <w:rPr>
          <w:b/>
          <w:sz w:val="28"/>
          <w:szCs w:val="28"/>
        </w:rPr>
      </w:pPr>
      <w:r w:rsidRPr="00944F6E">
        <w:rPr>
          <w:b/>
          <w:sz w:val="28"/>
          <w:szCs w:val="28"/>
        </w:rPr>
        <w:t xml:space="preserve">Informatīvais ziņojums </w:t>
      </w:r>
    </w:p>
    <w:p w:rsidR="00C40FA7" w:rsidRPr="00944F6E" w:rsidRDefault="00C40FA7" w:rsidP="00C40FA7">
      <w:pPr>
        <w:jc w:val="center"/>
        <w:rPr>
          <w:b/>
          <w:sz w:val="28"/>
          <w:szCs w:val="28"/>
        </w:rPr>
      </w:pPr>
      <w:r w:rsidRPr="00944F6E">
        <w:rPr>
          <w:b/>
          <w:sz w:val="28"/>
          <w:szCs w:val="28"/>
        </w:rPr>
        <w:t>„Par valsts atbalstu pensiju nodrošinājumā daudzbērnu ģimenēm”</w:t>
      </w:r>
    </w:p>
    <w:p w:rsidR="00C40FA7" w:rsidRPr="00944F6E" w:rsidRDefault="00C40FA7" w:rsidP="00C40FA7">
      <w:pPr>
        <w:rPr>
          <w:sz w:val="28"/>
          <w:szCs w:val="28"/>
        </w:rPr>
      </w:pPr>
    </w:p>
    <w:p w:rsidR="00C40FA7" w:rsidRPr="00944F6E" w:rsidRDefault="00C40FA7" w:rsidP="00C40FA7">
      <w:pPr>
        <w:rPr>
          <w:sz w:val="28"/>
          <w:szCs w:val="28"/>
        </w:rPr>
      </w:pPr>
    </w:p>
    <w:p w:rsidR="00C40FA7" w:rsidRPr="00944F6E" w:rsidRDefault="00C40FA7" w:rsidP="00C40FA7">
      <w:pPr>
        <w:autoSpaceDE w:val="0"/>
        <w:autoSpaceDN w:val="0"/>
        <w:adjustRightInd w:val="0"/>
        <w:ind w:firstLine="720"/>
        <w:jc w:val="both"/>
        <w:rPr>
          <w:sz w:val="28"/>
          <w:szCs w:val="28"/>
        </w:rPr>
      </w:pPr>
      <w:r w:rsidRPr="00944F6E">
        <w:rPr>
          <w:sz w:val="28"/>
          <w:szCs w:val="28"/>
        </w:rPr>
        <w:t xml:space="preserve">Informatīvais ziņojums „Par valsts atbalstu pensiju nodrošinājumā daudzbērnu ģimenēm” sagatavots saskaņā ar Valdības rīcības plānā Deklarācijas par Māra Kučinska vadītā Ministru kabineta iecerēto darbību īstenošanai (apstiprināts ar Ministru kabineta 2016.gada 3.maija rīkojumu Nr.275) paredzēto pasākumu Nr.103.3 „Vērtēsim </w:t>
      </w:r>
      <w:r w:rsidRPr="00944F6E">
        <w:rPr>
          <w:sz w:val="28"/>
          <w:szCs w:val="28"/>
          <w:shd w:val="clear" w:color="auto" w:fill="FFFFFF"/>
        </w:rPr>
        <w:t>priekšlaicīgas pensionēšanās iespējas visiem daudzbērnu vecākiem</w:t>
      </w:r>
      <w:r w:rsidRPr="00944F6E">
        <w:rPr>
          <w:sz w:val="28"/>
          <w:szCs w:val="28"/>
        </w:rPr>
        <w:t>”.</w:t>
      </w:r>
    </w:p>
    <w:p w:rsidR="00C40FA7" w:rsidRPr="00944F6E" w:rsidRDefault="00C40FA7" w:rsidP="00C40FA7">
      <w:pPr>
        <w:autoSpaceDE w:val="0"/>
        <w:autoSpaceDN w:val="0"/>
        <w:adjustRightInd w:val="0"/>
        <w:ind w:firstLine="720"/>
        <w:jc w:val="both"/>
        <w:rPr>
          <w:sz w:val="28"/>
          <w:szCs w:val="28"/>
        </w:rPr>
      </w:pPr>
    </w:p>
    <w:p w:rsidR="00C40FA7" w:rsidRPr="00944F6E" w:rsidRDefault="00C40FA7" w:rsidP="00C40FA7">
      <w:pPr>
        <w:pStyle w:val="ListParagraph"/>
        <w:numPr>
          <w:ilvl w:val="0"/>
          <w:numId w:val="4"/>
        </w:numPr>
        <w:autoSpaceDE w:val="0"/>
        <w:autoSpaceDN w:val="0"/>
        <w:adjustRightInd w:val="0"/>
        <w:jc w:val="both"/>
        <w:rPr>
          <w:b/>
          <w:sz w:val="28"/>
          <w:szCs w:val="28"/>
        </w:rPr>
      </w:pPr>
      <w:r w:rsidRPr="00944F6E">
        <w:rPr>
          <w:b/>
          <w:sz w:val="28"/>
          <w:szCs w:val="28"/>
        </w:rPr>
        <w:t>Situācijas raksturojums</w:t>
      </w:r>
    </w:p>
    <w:p w:rsidR="00C40FA7" w:rsidRPr="00944F6E" w:rsidRDefault="00C40FA7" w:rsidP="00C40FA7">
      <w:pPr>
        <w:autoSpaceDE w:val="0"/>
        <w:autoSpaceDN w:val="0"/>
        <w:adjustRightInd w:val="0"/>
        <w:ind w:firstLine="720"/>
        <w:jc w:val="both"/>
        <w:rPr>
          <w:b/>
          <w:sz w:val="28"/>
          <w:szCs w:val="28"/>
        </w:rPr>
      </w:pPr>
    </w:p>
    <w:p w:rsidR="00C40FA7" w:rsidRPr="00944F6E" w:rsidRDefault="00C40FA7" w:rsidP="00C40FA7">
      <w:pPr>
        <w:pStyle w:val="ListParagraph"/>
        <w:numPr>
          <w:ilvl w:val="1"/>
          <w:numId w:val="4"/>
        </w:numPr>
        <w:autoSpaceDE w:val="0"/>
        <w:autoSpaceDN w:val="0"/>
        <w:adjustRightInd w:val="0"/>
        <w:jc w:val="both"/>
        <w:rPr>
          <w:b/>
          <w:sz w:val="28"/>
          <w:szCs w:val="28"/>
        </w:rPr>
      </w:pPr>
      <w:r w:rsidRPr="00944F6E">
        <w:rPr>
          <w:b/>
          <w:sz w:val="28"/>
          <w:szCs w:val="28"/>
        </w:rPr>
        <w:t xml:space="preserve">Situācija </w:t>
      </w:r>
      <w:r w:rsidRPr="00944F6E">
        <w:rPr>
          <w:b/>
          <w:sz w:val="28"/>
          <w:szCs w:val="28"/>
          <w:lang w:eastAsia="en-US"/>
        </w:rPr>
        <w:t>valsts sociālās apdrošināšanas speciālā budžetā</w:t>
      </w:r>
    </w:p>
    <w:p w:rsidR="00C40FA7" w:rsidRPr="00944F6E" w:rsidRDefault="00C40FA7" w:rsidP="00C40FA7">
      <w:pPr>
        <w:autoSpaceDE w:val="0"/>
        <w:autoSpaceDN w:val="0"/>
        <w:adjustRightInd w:val="0"/>
        <w:jc w:val="both"/>
        <w:rPr>
          <w:b/>
          <w:sz w:val="28"/>
          <w:szCs w:val="28"/>
        </w:rPr>
      </w:pPr>
    </w:p>
    <w:p w:rsidR="00C40FA7" w:rsidRPr="00944F6E" w:rsidRDefault="00C40FA7" w:rsidP="00C40FA7">
      <w:pPr>
        <w:pStyle w:val="NormalWeb"/>
        <w:tabs>
          <w:tab w:val="left" w:pos="420"/>
        </w:tabs>
        <w:spacing w:before="0" w:beforeAutospacing="0" w:after="0" w:afterAutospacing="0"/>
        <w:jc w:val="both"/>
        <w:rPr>
          <w:sz w:val="28"/>
          <w:szCs w:val="28"/>
          <w:lang w:eastAsia="en-US"/>
        </w:rPr>
      </w:pPr>
      <w:r w:rsidRPr="00944F6E">
        <w:rPr>
          <w:sz w:val="28"/>
          <w:szCs w:val="28"/>
          <w:lang w:eastAsia="en-US"/>
        </w:rPr>
        <w:tab/>
      </w:r>
      <w:r w:rsidRPr="00944F6E">
        <w:rPr>
          <w:sz w:val="28"/>
          <w:szCs w:val="28"/>
          <w:lang w:eastAsia="en-US"/>
        </w:rPr>
        <w:tab/>
        <w:t xml:space="preserve">Valsts sociālās apdrošināšanas sistēmas darbības pamatprincips ir pašfinansēšanās – pašreizējās izmaksas pensiju un pabalstu saņēmējiem tiek segtas no šobrīd strādājošo veiktajām sociālās apdrošināšanas iemaksām, t.i., valsts sociālās apdrošināšanas speciālā budžeta (turpmāk – speciālais budžets) ieņēmumiem. </w:t>
      </w:r>
    </w:p>
    <w:p w:rsidR="00C40FA7" w:rsidRPr="00944F6E" w:rsidRDefault="00C40FA7" w:rsidP="00C40FA7">
      <w:pPr>
        <w:ind w:firstLine="720"/>
        <w:jc w:val="both"/>
        <w:rPr>
          <w:sz w:val="28"/>
          <w:szCs w:val="28"/>
          <w:lang w:eastAsia="en-US"/>
        </w:rPr>
      </w:pPr>
      <w:r w:rsidRPr="00944F6E">
        <w:rPr>
          <w:sz w:val="28"/>
          <w:szCs w:val="28"/>
          <w:lang w:eastAsia="en-US"/>
        </w:rPr>
        <w:t xml:space="preserve">Līdz ar ekonomikas izaugsmi, pārvarot globālo finanšu un ekonomisko krīzi un līdz ar to uzlabojoties situācijai darba tirgū, sākot no 2011.gada, ik gadu ir pieaudzis kopējais sociālās apdrošināšanas iemaksu veicēju skaits (obligāti sociāli apdrošināto personu skaits), kā arī viņu vidējā apdrošināšanas iemaksu alga (skat.1. </w:t>
      </w:r>
      <w:r w:rsidR="008009AA" w:rsidRPr="00944F6E">
        <w:rPr>
          <w:sz w:val="28"/>
          <w:szCs w:val="28"/>
          <w:lang w:eastAsia="en-US"/>
        </w:rPr>
        <w:t>att</w:t>
      </w:r>
      <w:r w:rsidRPr="00944F6E">
        <w:rPr>
          <w:sz w:val="28"/>
          <w:szCs w:val="28"/>
          <w:lang w:eastAsia="en-US"/>
        </w:rPr>
        <w:t xml:space="preserve">.). </w:t>
      </w:r>
    </w:p>
    <w:p w:rsidR="00C40FA7" w:rsidRPr="00944F6E" w:rsidRDefault="00C40FA7" w:rsidP="00C40FA7">
      <w:pPr>
        <w:pStyle w:val="NormalWeb"/>
        <w:tabs>
          <w:tab w:val="left" w:pos="420"/>
        </w:tabs>
        <w:spacing w:before="0" w:beforeAutospacing="0" w:after="0" w:afterAutospacing="0"/>
        <w:rPr>
          <w:lang w:eastAsia="en-US"/>
        </w:rPr>
      </w:pPr>
    </w:p>
    <w:p w:rsidR="00C40FA7" w:rsidRPr="00944F6E" w:rsidRDefault="00C40FA7" w:rsidP="00C40FA7">
      <w:pPr>
        <w:pStyle w:val="NormalWeb"/>
        <w:tabs>
          <w:tab w:val="left" w:pos="420"/>
        </w:tabs>
        <w:spacing w:before="0" w:beforeAutospacing="0" w:after="0" w:afterAutospacing="0"/>
        <w:jc w:val="right"/>
        <w:rPr>
          <w:sz w:val="28"/>
          <w:szCs w:val="28"/>
          <w:lang w:eastAsia="en-US"/>
        </w:rPr>
      </w:pPr>
      <w:r w:rsidRPr="00944F6E">
        <w:rPr>
          <w:sz w:val="28"/>
          <w:szCs w:val="28"/>
          <w:lang w:eastAsia="en-US"/>
        </w:rPr>
        <w:t>1.</w:t>
      </w:r>
      <w:r w:rsidR="008009AA" w:rsidRPr="00944F6E">
        <w:rPr>
          <w:sz w:val="28"/>
          <w:szCs w:val="28"/>
          <w:lang w:eastAsia="en-US"/>
        </w:rPr>
        <w:t>att</w:t>
      </w:r>
      <w:r w:rsidRPr="00944F6E">
        <w:rPr>
          <w:sz w:val="28"/>
          <w:szCs w:val="28"/>
          <w:lang w:eastAsia="en-US"/>
        </w:rPr>
        <w:t>.</w:t>
      </w:r>
    </w:p>
    <w:p w:rsidR="00C40FA7" w:rsidRPr="00944F6E" w:rsidRDefault="00C40FA7" w:rsidP="00C40FA7">
      <w:pPr>
        <w:pStyle w:val="NormalWeb"/>
        <w:tabs>
          <w:tab w:val="left" w:pos="420"/>
        </w:tabs>
        <w:spacing w:before="0" w:beforeAutospacing="0" w:after="0" w:afterAutospacing="0"/>
        <w:rPr>
          <w:lang w:eastAsia="en-US"/>
        </w:rPr>
      </w:pPr>
      <w:r w:rsidRPr="00944F6E">
        <w:rPr>
          <w:noProof/>
        </w:rPr>
        <w:drawing>
          <wp:inline distT="0" distB="0" distL="0" distR="0" wp14:anchorId="415DD9AC" wp14:editId="48747207">
            <wp:extent cx="5486400" cy="283527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FA7" w:rsidRPr="00944F6E" w:rsidRDefault="00C40FA7" w:rsidP="00C40FA7">
      <w:pPr>
        <w:pStyle w:val="NormalWeb"/>
        <w:tabs>
          <w:tab w:val="left" w:pos="420"/>
        </w:tabs>
        <w:spacing w:before="0" w:beforeAutospacing="0" w:after="0" w:afterAutospacing="0"/>
        <w:rPr>
          <w:sz w:val="20"/>
          <w:szCs w:val="20"/>
          <w:lang w:eastAsia="en-US"/>
        </w:rPr>
      </w:pPr>
      <w:r w:rsidRPr="00944F6E">
        <w:rPr>
          <w:sz w:val="20"/>
          <w:szCs w:val="20"/>
          <w:lang w:eastAsia="en-US"/>
        </w:rPr>
        <w:t>*Dati par obligāti sociāli apdrošināto personu vidējo skaitu pa visiem periodiem aktualizēti 2017.gada martā</w:t>
      </w:r>
    </w:p>
    <w:p w:rsidR="00C40FA7" w:rsidRPr="00944F6E" w:rsidRDefault="00C40FA7" w:rsidP="00C40FA7">
      <w:pPr>
        <w:pStyle w:val="NormalWeb"/>
        <w:tabs>
          <w:tab w:val="left" w:pos="420"/>
        </w:tabs>
        <w:spacing w:before="0" w:beforeAutospacing="0" w:after="0" w:afterAutospacing="0"/>
        <w:rPr>
          <w:lang w:eastAsia="en-US"/>
        </w:rPr>
      </w:pPr>
    </w:p>
    <w:p w:rsidR="00C40FA7" w:rsidRPr="00944F6E" w:rsidRDefault="00C40FA7" w:rsidP="00C40FA7">
      <w:pPr>
        <w:pStyle w:val="NormalWeb"/>
        <w:tabs>
          <w:tab w:val="left" w:pos="420"/>
        </w:tabs>
        <w:spacing w:before="0" w:beforeAutospacing="0" w:after="0" w:afterAutospacing="0"/>
        <w:jc w:val="both"/>
        <w:rPr>
          <w:sz w:val="28"/>
          <w:szCs w:val="28"/>
        </w:rPr>
      </w:pPr>
      <w:r w:rsidRPr="00944F6E">
        <w:rPr>
          <w:sz w:val="28"/>
          <w:szCs w:val="28"/>
        </w:rPr>
        <w:tab/>
      </w:r>
      <w:r w:rsidRPr="00944F6E">
        <w:rPr>
          <w:sz w:val="28"/>
          <w:szCs w:val="28"/>
        </w:rPr>
        <w:tab/>
        <w:t xml:space="preserve">Pēc ekonomiskās krīzes gadiem, pieaugot sociālās apdrošināšanas iemaksu veicēju skaitam un viņu vidējai apdrošināšanas iemaksu algai, sākot ar 2014.gadu, speciālais budžets bija atsācis stabili darboties ar pozitīvu bilanci, ko ir veicinājuši virkne uz īstermiņu, kā arī uz ilgtermiņu vērstu finansiāli stabilizējošu pasākumu kopums: piemaksu pie pensijas finansēšanas avota maiņa uz pamatbudžetu, pensionēšanās vecuma pakāpeniska celšana, minimālā apdrošināšanas stāža paaugstināšana tiesību iegūšanai uz vecuma pensiju.    </w:t>
      </w:r>
    </w:p>
    <w:p w:rsidR="00C40FA7" w:rsidRPr="00944F6E" w:rsidRDefault="00E749E6" w:rsidP="00C40FA7">
      <w:pPr>
        <w:ind w:firstLine="720"/>
        <w:jc w:val="both"/>
        <w:rPr>
          <w:sz w:val="28"/>
          <w:szCs w:val="28"/>
        </w:rPr>
      </w:pPr>
      <w:r w:rsidRPr="00944F6E">
        <w:rPr>
          <w:sz w:val="28"/>
          <w:szCs w:val="28"/>
        </w:rPr>
        <w:t xml:space="preserve">Iepriekšējo </w:t>
      </w:r>
      <w:r w:rsidR="00C40FA7" w:rsidRPr="00944F6E">
        <w:rPr>
          <w:sz w:val="28"/>
          <w:szCs w:val="28"/>
        </w:rPr>
        <w:t>gad</w:t>
      </w:r>
      <w:r w:rsidRPr="00944F6E">
        <w:rPr>
          <w:sz w:val="28"/>
          <w:szCs w:val="28"/>
        </w:rPr>
        <w:t>u</w:t>
      </w:r>
      <w:r w:rsidR="00C40FA7" w:rsidRPr="00944F6E">
        <w:rPr>
          <w:sz w:val="28"/>
          <w:szCs w:val="28"/>
        </w:rPr>
        <w:t xml:space="preserve"> dzimstības rādītāji, izmaiņas vecāku pabalsta izmaksas kārtībā, </w:t>
      </w:r>
      <w:r w:rsidRPr="00944F6E">
        <w:rPr>
          <w:sz w:val="28"/>
          <w:szCs w:val="28"/>
        </w:rPr>
        <w:t xml:space="preserve">izmaksu ierobežojumu atcelšana attiecībā uz īstermiņa pabalstiem, </w:t>
      </w:r>
      <w:r w:rsidR="00C40FA7" w:rsidRPr="00944F6E">
        <w:rPr>
          <w:sz w:val="28"/>
          <w:szCs w:val="28"/>
        </w:rPr>
        <w:t>sabiedrības veselības rādītāji, kā arī bezdarba līme</w:t>
      </w:r>
      <w:r w:rsidRPr="00944F6E">
        <w:rPr>
          <w:sz w:val="28"/>
          <w:szCs w:val="28"/>
        </w:rPr>
        <w:t>ņa attīstības tendences</w:t>
      </w:r>
      <w:r w:rsidR="00C40FA7" w:rsidRPr="00944F6E">
        <w:rPr>
          <w:sz w:val="28"/>
          <w:szCs w:val="28"/>
        </w:rPr>
        <w:t>, ir veicinājuš</w:t>
      </w:r>
      <w:r w:rsidRPr="00944F6E">
        <w:rPr>
          <w:sz w:val="28"/>
          <w:szCs w:val="28"/>
        </w:rPr>
        <w:t>as</w:t>
      </w:r>
      <w:r w:rsidR="00C40FA7" w:rsidRPr="00944F6E">
        <w:rPr>
          <w:sz w:val="28"/>
          <w:szCs w:val="28"/>
        </w:rPr>
        <w:t xml:space="preserve"> īstermiņa sociālās apdrošināšanas pakalpojumu – īpaši ar demogrāfiju saistīto pabalstu un slimības pabalstu saņēmēju skaita pieaugumu, kas vienlaikus ar pabalstu apmēru pieaugumu</w:t>
      </w:r>
      <w:r w:rsidRPr="00944F6E">
        <w:rPr>
          <w:sz w:val="28"/>
          <w:szCs w:val="28"/>
        </w:rPr>
        <w:t xml:space="preserve"> un izdevumu pieaugumu pensiju izmaksai</w:t>
      </w:r>
      <w:r w:rsidR="00C40FA7" w:rsidRPr="00944F6E">
        <w:rPr>
          <w:sz w:val="28"/>
          <w:szCs w:val="28"/>
        </w:rPr>
        <w:t xml:space="preserve"> ir ietekmējis </w:t>
      </w:r>
      <w:r w:rsidRPr="00944F6E">
        <w:rPr>
          <w:sz w:val="28"/>
          <w:szCs w:val="28"/>
        </w:rPr>
        <w:t xml:space="preserve">gan </w:t>
      </w:r>
      <w:r w:rsidR="00C40FA7" w:rsidRPr="00944F6E">
        <w:rPr>
          <w:sz w:val="28"/>
          <w:szCs w:val="28"/>
        </w:rPr>
        <w:t>speciālā budžet</w:t>
      </w:r>
      <w:r w:rsidRPr="00944F6E">
        <w:rPr>
          <w:sz w:val="28"/>
          <w:szCs w:val="28"/>
        </w:rPr>
        <w:t xml:space="preserve">a </w:t>
      </w:r>
      <w:r w:rsidR="00643D03" w:rsidRPr="00944F6E">
        <w:rPr>
          <w:sz w:val="28"/>
          <w:szCs w:val="28"/>
        </w:rPr>
        <w:t>izdevumus</w:t>
      </w:r>
      <w:r w:rsidR="008009AA" w:rsidRPr="00944F6E">
        <w:rPr>
          <w:sz w:val="28"/>
          <w:szCs w:val="28"/>
        </w:rPr>
        <w:t xml:space="preserve"> </w:t>
      </w:r>
      <w:r w:rsidR="00C40FA7" w:rsidRPr="00944F6E">
        <w:rPr>
          <w:sz w:val="28"/>
          <w:szCs w:val="28"/>
        </w:rPr>
        <w:t>(skat. 2.</w:t>
      </w:r>
      <w:r w:rsidR="008009AA" w:rsidRPr="00944F6E">
        <w:rPr>
          <w:sz w:val="28"/>
          <w:szCs w:val="28"/>
        </w:rPr>
        <w:t>att</w:t>
      </w:r>
      <w:r w:rsidR="00C40FA7" w:rsidRPr="00944F6E">
        <w:rPr>
          <w:sz w:val="28"/>
          <w:szCs w:val="28"/>
        </w:rPr>
        <w:t>.), gan līdz ar to arī uzkrātās rezerves pieauguma temp</w:t>
      </w:r>
      <w:r w:rsidR="00643D03" w:rsidRPr="00944F6E">
        <w:rPr>
          <w:sz w:val="28"/>
          <w:szCs w:val="28"/>
        </w:rPr>
        <w:t>u</w:t>
      </w:r>
      <w:r w:rsidR="00C40FA7" w:rsidRPr="00944F6E">
        <w:rPr>
          <w:sz w:val="28"/>
          <w:szCs w:val="28"/>
        </w:rPr>
        <w:t>s (skat. 3.</w:t>
      </w:r>
      <w:r w:rsidR="008009AA" w:rsidRPr="00944F6E">
        <w:rPr>
          <w:sz w:val="28"/>
          <w:szCs w:val="28"/>
        </w:rPr>
        <w:t>att</w:t>
      </w:r>
      <w:r w:rsidR="00C40FA7" w:rsidRPr="00944F6E">
        <w:rPr>
          <w:sz w:val="28"/>
          <w:szCs w:val="28"/>
        </w:rPr>
        <w:t xml:space="preserve">.). </w:t>
      </w:r>
    </w:p>
    <w:p w:rsidR="00C40FA7" w:rsidRPr="00944F6E" w:rsidRDefault="00C40FA7" w:rsidP="00C40FA7">
      <w:pPr>
        <w:ind w:firstLine="720"/>
        <w:jc w:val="both"/>
        <w:rPr>
          <w:sz w:val="28"/>
          <w:szCs w:val="28"/>
        </w:rPr>
      </w:pPr>
    </w:p>
    <w:p w:rsidR="00C40FA7" w:rsidRPr="00944F6E" w:rsidRDefault="00C40FA7" w:rsidP="00C40FA7">
      <w:pPr>
        <w:ind w:firstLine="720"/>
        <w:jc w:val="right"/>
        <w:rPr>
          <w:sz w:val="28"/>
          <w:szCs w:val="28"/>
        </w:rPr>
      </w:pPr>
      <w:r w:rsidRPr="00944F6E">
        <w:rPr>
          <w:sz w:val="28"/>
          <w:szCs w:val="28"/>
        </w:rPr>
        <w:t>2.</w:t>
      </w:r>
      <w:r w:rsidR="008009AA" w:rsidRPr="00944F6E">
        <w:rPr>
          <w:sz w:val="28"/>
          <w:szCs w:val="28"/>
        </w:rPr>
        <w:t>att</w:t>
      </w:r>
      <w:r w:rsidRPr="00944F6E">
        <w:rPr>
          <w:sz w:val="28"/>
          <w:szCs w:val="28"/>
        </w:rPr>
        <w:t>.</w:t>
      </w:r>
    </w:p>
    <w:p w:rsidR="00C40FA7" w:rsidRPr="00944F6E" w:rsidRDefault="00FD4512" w:rsidP="00FD4512">
      <w:pPr>
        <w:ind w:left="-142"/>
        <w:jc w:val="both"/>
        <w:rPr>
          <w:sz w:val="28"/>
          <w:szCs w:val="28"/>
        </w:rPr>
      </w:pPr>
      <w:r w:rsidRPr="00944F6E">
        <w:rPr>
          <w:noProof/>
        </w:rPr>
        <w:drawing>
          <wp:inline distT="0" distB="0" distL="0" distR="0" wp14:anchorId="36474884" wp14:editId="67B5BEDA">
            <wp:extent cx="6089716" cy="3506771"/>
            <wp:effectExtent l="0" t="0" r="2540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0FA7" w:rsidRPr="00944F6E" w:rsidRDefault="00C40FA7" w:rsidP="00C40FA7">
      <w:pPr>
        <w:jc w:val="both"/>
        <w:rPr>
          <w:sz w:val="20"/>
          <w:szCs w:val="20"/>
        </w:rPr>
      </w:pPr>
      <w:r w:rsidRPr="00944F6E">
        <w:rPr>
          <w:sz w:val="20"/>
          <w:szCs w:val="20"/>
        </w:rPr>
        <w:t>*</w:t>
      </w:r>
      <w:r w:rsidR="00FD4512" w:rsidRPr="00944F6E">
        <w:rPr>
          <w:sz w:val="20"/>
          <w:szCs w:val="20"/>
        </w:rPr>
        <w:t>2008.-2017.gads - izpilde; 2018.-2020.gads - plāns saskaņā ar likumu "Par vidēja termiņa budžeta ietvaru 2018.,2019. un 2020.gadam".</w:t>
      </w:r>
    </w:p>
    <w:p w:rsidR="00C40FA7" w:rsidRPr="00944F6E" w:rsidRDefault="00C40FA7" w:rsidP="00C40FA7">
      <w:pPr>
        <w:ind w:firstLine="720"/>
        <w:jc w:val="both"/>
        <w:rPr>
          <w:sz w:val="28"/>
          <w:szCs w:val="28"/>
        </w:rPr>
      </w:pPr>
    </w:p>
    <w:p w:rsidR="00C40FA7" w:rsidRPr="00944F6E" w:rsidRDefault="00C40FA7" w:rsidP="00C40FA7">
      <w:pPr>
        <w:ind w:firstLine="720"/>
        <w:jc w:val="both"/>
        <w:rPr>
          <w:sz w:val="28"/>
          <w:szCs w:val="28"/>
        </w:rPr>
      </w:pPr>
    </w:p>
    <w:p w:rsidR="00C40FA7" w:rsidRPr="00944F6E" w:rsidRDefault="00C40FA7" w:rsidP="00C40FA7">
      <w:pPr>
        <w:ind w:firstLine="720"/>
        <w:jc w:val="both"/>
        <w:rPr>
          <w:sz w:val="28"/>
          <w:szCs w:val="28"/>
        </w:rPr>
      </w:pPr>
    </w:p>
    <w:p w:rsidR="0043773F" w:rsidRPr="00944F6E" w:rsidRDefault="0043773F" w:rsidP="00C40FA7">
      <w:pPr>
        <w:ind w:firstLine="720"/>
        <w:jc w:val="right"/>
        <w:rPr>
          <w:sz w:val="28"/>
          <w:szCs w:val="28"/>
        </w:rPr>
      </w:pPr>
    </w:p>
    <w:p w:rsidR="0043773F" w:rsidRPr="00944F6E" w:rsidRDefault="0043773F" w:rsidP="00C40FA7">
      <w:pPr>
        <w:ind w:firstLine="720"/>
        <w:jc w:val="right"/>
        <w:rPr>
          <w:sz w:val="28"/>
          <w:szCs w:val="28"/>
        </w:rPr>
      </w:pPr>
    </w:p>
    <w:p w:rsidR="0043773F" w:rsidRPr="00944F6E" w:rsidRDefault="0043773F" w:rsidP="00C40FA7">
      <w:pPr>
        <w:ind w:firstLine="720"/>
        <w:jc w:val="right"/>
        <w:rPr>
          <w:sz w:val="28"/>
          <w:szCs w:val="28"/>
        </w:rPr>
      </w:pPr>
    </w:p>
    <w:p w:rsidR="0043773F" w:rsidRPr="00944F6E" w:rsidRDefault="0043773F" w:rsidP="00C40FA7">
      <w:pPr>
        <w:ind w:firstLine="720"/>
        <w:jc w:val="right"/>
        <w:rPr>
          <w:sz w:val="28"/>
          <w:szCs w:val="28"/>
        </w:rPr>
      </w:pPr>
    </w:p>
    <w:p w:rsidR="00C40FA7" w:rsidRPr="00944F6E" w:rsidRDefault="00C40FA7" w:rsidP="00C40FA7">
      <w:pPr>
        <w:ind w:firstLine="720"/>
        <w:jc w:val="right"/>
        <w:rPr>
          <w:sz w:val="28"/>
          <w:szCs w:val="28"/>
        </w:rPr>
      </w:pPr>
      <w:r w:rsidRPr="00944F6E">
        <w:rPr>
          <w:sz w:val="28"/>
          <w:szCs w:val="28"/>
        </w:rPr>
        <w:lastRenderedPageBreak/>
        <w:t>3.</w:t>
      </w:r>
      <w:r w:rsidR="008009AA" w:rsidRPr="00944F6E">
        <w:rPr>
          <w:sz w:val="28"/>
          <w:szCs w:val="28"/>
        </w:rPr>
        <w:t>att</w:t>
      </w:r>
      <w:r w:rsidRPr="00944F6E">
        <w:rPr>
          <w:sz w:val="28"/>
          <w:szCs w:val="28"/>
        </w:rPr>
        <w:t>.</w:t>
      </w:r>
    </w:p>
    <w:p w:rsidR="00C40FA7" w:rsidRPr="00944F6E" w:rsidRDefault="00C40FA7" w:rsidP="00C40FA7">
      <w:pPr>
        <w:ind w:firstLine="720"/>
        <w:jc w:val="both"/>
      </w:pPr>
    </w:p>
    <w:p w:rsidR="00C40FA7" w:rsidRPr="00944F6E" w:rsidRDefault="00A90CEE" w:rsidP="00A90CEE">
      <w:pPr>
        <w:ind w:firstLine="709"/>
        <w:jc w:val="both"/>
      </w:pPr>
      <w:r w:rsidRPr="00944F6E">
        <w:rPr>
          <w:noProof/>
        </w:rPr>
        <w:drawing>
          <wp:inline distT="0" distB="0" distL="0" distR="0" wp14:anchorId="4267954D" wp14:editId="1AD7783A">
            <wp:extent cx="4913086" cy="2191657"/>
            <wp:effectExtent l="0" t="0" r="20955" b="18415"/>
            <wp:docPr id="6" name="Chart 6" title="Speciālā budžeta uzkrātā rezerve gada sākumā, milj.EUR (ņemot vērā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0CEE" w:rsidRPr="00944F6E" w:rsidRDefault="00A90CEE" w:rsidP="00A90CEE">
      <w:pPr>
        <w:ind w:left="709"/>
        <w:jc w:val="both"/>
        <w:rPr>
          <w:sz w:val="20"/>
          <w:szCs w:val="20"/>
        </w:rPr>
      </w:pPr>
      <w:r w:rsidRPr="00944F6E">
        <w:rPr>
          <w:sz w:val="20"/>
          <w:szCs w:val="20"/>
        </w:rPr>
        <w:t>*2008.-2017.gads - izpilde; 2018.-2020.gads - plāns saskaņā ar likumu "Par vidēja termiņa budžeta ietvaru 2018.,2019. un 2020.gadam".</w:t>
      </w:r>
    </w:p>
    <w:p w:rsidR="00C40FA7" w:rsidRPr="00944F6E" w:rsidRDefault="00C40FA7" w:rsidP="00C40FA7">
      <w:pPr>
        <w:ind w:firstLine="720"/>
        <w:jc w:val="both"/>
      </w:pPr>
    </w:p>
    <w:p w:rsidR="00C40FA7" w:rsidRPr="00944F6E" w:rsidRDefault="00C40FA7" w:rsidP="00C40FA7">
      <w:pPr>
        <w:ind w:firstLine="720"/>
        <w:jc w:val="both"/>
        <w:rPr>
          <w:rFonts w:eastAsiaTheme="minorHAnsi"/>
          <w:sz w:val="28"/>
          <w:szCs w:val="28"/>
        </w:rPr>
      </w:pPr>
      <w:r w:rsidRPr="00944F6E">
        <w:rPr>
          <w:rFonts w:eastAsiaTheme="minorHAnsi"/>
          <w:sz w:val="28"/>
          <w:szCs w:val="28"/>
        </w:rPr>
        <w:t xml:space="preserve">Lai arī turpmāk speciālais budžets būtu finansiāli stabils gan pret ekonomisko un finanšu krīžu ietekmēm, gan demogrāfiskiem – novecošanās izaicinājumiem, svarīgākais priekšnoteikums ir savlaicīga un pietiekama finanšu uzkrājuma jeb rezerves veidošana, ko būtiski sekmētu personu pēc iespējas ilgāka un aktīva dalība darba tirgū un godprātīga sociālās apdrošināšanas iemaksu veikšana no saviem darba ienākumiem. </w:t>
      </w:r>
    </w:p>
    <w:p w:rsidR="00C40FA7" w:rsidRPr="00944F6E" w:rsidRDefault="00C40FA7" w:rsidP="00C40FA7">
      <w:pPr>
        <w:pStyle w:val="ListParagraph"/>
        <w:rPr>
          <w:b/>
          <w:sz w:val="28"/>
          <w:szCs w:val="28"/>
        </w:rPr>
      </w:pPr>
    </w:p>
    <w:p w:rsidR="00C40FA7" w:rsidRPr="00944F6E" w:rsidRDefault="00C40FA7" w:rsidP="00C40FA7">
      <w:pPr>
        <w:pStyle w:val="ListParagraph"/>
        <w:numPr>
          <w:ilvl w:val="1"/>
          <w:numId w:val="4"/>
        </w:numPr>
        <w:autoSpaceDE w:val="0"/>
        <w:autoSpaceDN w:val="0"/>
        <w:adjustRightInd w:val="0"/>
        <w:jc w:val="both"/>
        <w:rPr>
          <w:b/>
          <w:sz w:val="28"/>
          <w:szCs w:val="28"/>
        </w:rPr>
      </w:pPr>
      <w:r w:rsidRPr="00944F6E">
        <w:rPr>
          <w:b/>
          <w:sz w:val="28"/>
          <w:szCs w:val="28"/>
        </w:rPr>
        <w:t>Pensiju sistēmas raksturojums</w:t>
      </w: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r w:rsidRPr="00944F6E">
        <w:rPr>
          <w:sz w:val="28"/>
          <w:szCs w:val="28"/>
        </w:rPr>
        <w:t xml:space="preserve">Latvijā kopš 1996.gada ir veikta nozīmīga sociālās apdrošināšanas sistēmas reforma, t.i., ir ieviesta jauna, uz sociālās apdrošināšanas iemaksām balstīta sistēma, kas garantē aizsardzību visu tradicionālo sociālo risku gadījumā. Reformas ietvaros Latvijā ir ieviesta un šobrīd darbojas </w:t>
      </w:r>
      <w:proofErr w:type="gramStart"/>
      <w:r w:rsidRPr="00944F6E">
        <w:rPr>
          <w:sz w:val="28"/>
          <w:szCs w:val="28"/>
        </w:rPr>
        <w:t>trīs līmeņu pensiju sistēma</w:t>
      </w:r>
      <w:proofErr w:type="gramEnd"/>
      <w:r w:rsidRPr="00944F6E">
        <w:rPr>
          <w:sz w:val="28"/>
          <w:szCs w:val="28"/>
        </w:rPr>
        <w:t>:</w:t>
      </w:r>
    </w:p>
    <w:p w:rsidR="00C40FA7" w:rsidRPr="00944F6E" w:rsidRDefault="00C40FA7" w:rsidP="00C40FA7">
      <w:pPr>
        <w:pStyle w:val="NormalWeb"/>
        <w:numPr>
          <w:ilvl w:val="0"/>
          <w:numId w:val="1"/>
        </w:numPr>
        <w:spacing w:before="0" w:beforeAutospacing="0" w:after="0" w:afterAutospacing="0"/>
        <w:jc w:val="both"/>
        <w:rPr>
          <w:sz w:val="28"/>
          <w:szCs w:val="28"/>
        </w:rPr>
      </w:pPr>
      <w:r w:rsidRPr="00944F6E">
        <w:rPr>
          <w:sz w:val="28"/>
          <w:szCs w:val="28"/>
        </w:rPr>
        <w:t xml:space="preserve">Pirmais līmenis - valsts obligātā nefondēto pensiju shēma; </w:t>
      </w:r>
    </w:p>
    <w:p w:rsidR="00C40FA7" w:rsidRPr="00944F6E" w:rsidRDefault="00C40FA7" w:rsidP="00C40FA7">
      <w:pPr>
        <w:numPr>
          <w:ilvl w:val="0"/>
          <w:numId w:val="1"/>
        </w:numPr>
        <w:rPr>
          <w:sz w:val="28"/>
          <w:szCs w:val="28"/>
        </w:rPr>
      </w:pPr>
      <w:r w:rsidRPr="00944F6E">
        <w:rPr>
          <w:sz w:val="28"/>
          <w:szCs w:val="28"/>
        </w:rPr>
        <w:t xml:space="preserve">Otrais līmenis - valsts obligātā fondēto pensiju shēma; </w:t>
      </w:r>
    </w:p>
    <w:p w:rsidR="00C40FA7" w:rsidRPr="00944F6E" w:rsidRDefault="00C40FA7" w:rsidP="00C40FA7">
      <w:pPr>
        <w:numPr>
          <w:ilvl w:val="0"/>
          <w:numId w:val="1"/>
        </w:numPr>
        <w:rPr>
          <w:sz w:val="28"/>
          <w:szCs w:val="28"/>
        </w:rPr>
      </w:pPr>
      <w:r w:rsidRPr="00944F6E">
        <w:rPr>
          <w:sz w:val="28"/>
          <w:szCs w:val="28"/>
        </w:rPr>
        <w:t>Trešais līmenis - privātā brīvprātīgā pensiju shēma.</w:t>
      </w:r>
    </w:p>
    <w:p w:rsidR="00C40FA7" w:rsidRPr="00944F6E" w:rsidRDefault="00C40FA7" w:rsidP="00C40FA7">
      <w:pPr>
        <w:pStyle w:val="NormalWeb"/>
        <w:spacing w:before="0" w:beforeAutospacing="0" w:after="0" w:afterAutospacing="0"/>
        <w:ind w:firstLine="720"/>
        <w:jc w:val="both"/>
        <w:rPr>
          <w:sz w:val="28"/>
          <w:szCs w:val="28"/>
        </w:rPr>
      </w:pPr>
      <w:r w:rsidRPr="00944F6E">
        <w:rPr>
          <w:sz w:val="28"/>
          <w:szCs w:val="28"/>
        </w:rPr>
        <w:t>Tā ir pensiju sistēma, kurā apvienota katra cilvēka personiskā ieinteresētība savu vecumdienu nodrošināšanā un paaudžu solidaritāte. Pensiju sistēmas galvenais princips: jo lielākas sociālās apdrošināšanas iemaksas tiek veiktas šodien, jo lielāka būs pensija rīt. Visu trīs līmeņu vienlaikus pastāvēšana nodrošina pensiju sistēmas stabilitāti, jo izlīdzina katrā līmenī iespējamo demogrāfisko vai finansiālo risku, kas piemīt katram no šiem līmeņiem. </w:t>
      </w:r>
    </w:p>
    <w:p w:rsidR="00C40FA7" w:rsidRPr="00944F6E" w:rsidRDefault="00C40FA7" w:rsidP="00C40FA7">
      <w:pPr>
        <w:pStyle w:val="NormalWeb"/>
        <w:spacing w:before="0" w:beforeAutospacing="0" w:after="0" w:afterAutospacing="0"/>
        <w:ind w:firstLine="720"/>
        <w:jc w:val="both"/>
        <w:rPr>
          <w:sz w:val="28"/>
          <w:szCs w:val="28"/>
        </w:rPr>
      </w:pPr>
      <w:r w:rsidRPr="00944F6E">
        <w:rPr>
          <w:sz w:val="28"/>
          <w:szCs w:val="28"/>
        </w:rPr>
        <w:t xml:space="preserve">Visos trīs līmeņos pensijas apmērs ir atkarīgs no veiktajām iemaksām, tādējādi tie, kas iemaksā vairāk jeb atliek pensionēšanos uz vēlāku laiku, iegūst lielākus ienākumus pensijas vecumā. Kopīga iezīme ir tā, ka visos trīs līmeņos šīs iemaksas tiek uzkrātas (nosacīti vai tieši), pelnot procentus un veidojot pensijas kapitālu. </w:t>
      </w:r>
    </w:p>
    <w:p w:rsidR="00C40FA7" w:rsidRPr="00944F6E" w:rsidRDefault="00C40FA7" w:rsidP="00C40FA7">
      <w:pPr>
        <w:pStyle w:val="naisf"/>
        <w:spacing w:before="0" w:beforeAutospacing="0" w:after="0" w:afterAutospacing="0"/>
        <w:ind w:firstLine="720"/>
        <w:rPr>
          <w:sz w:val="28"/>
          <w:szCs w:val="28"/>
          <w:lang w:val="lv-LV"/>
        </w:rPr>
      </w:pPr>
      <w:r w:rsidRPr="00944F6E">
        <w:rPr>
          <w:sz w:val="28"/>
          <w:szCs w:val="28"/>
          <w:lang w:val="lv-LV"/>
        </w:rPr>
        <w:lastRenderedPageBreak/>
        <w:t xml:space="preserve">Sociālajai apdrošināšanai pakļautās personas (darba ņēmēji, pašnodarbinātie u.c. personas), veicot sociālās apdrošināšanas iemaksas, nodrošina pensiju izmaksu pašreizējiem pensionāriem, vienlaikus krājot pensijas kapitālu savai pensijai. </w:t>
      </w:r>
    </w:p>
    <w:p w:rsidR="00C40FA7" w:rsidRPr="00944F6E" w:rsidRDefault="00C40FA7" w:rsidP="00C40FA7">
      <w:pPr>
        <w:pStyle w:val="naisf"/>
        <w:spacing w:before="0" w:beforeAutospacing="0" w:after="0" w:afterAutospacing="0"/>
        <w:ind w:firstLine="720"/>
        <w:rPr>
          <w:rFonts w:eastAsia="Times New Roman"/>
          <w:sz w:val="28"/>
          <w:szCs w:val="28"/>
          <w:lang w:val="lv-LV"/>
        </w:rPr>
      </w:pPr>
      <w:r w:rsidRPr="00944F6E">
        <w:rPr>
          <w:rFonts w:eastAsia="Times New Roman"/>
          <w:sz w:val="28"/>
          <w:szCs w:val="28"/>
          <w:lang w:val="lv-LV"/>
        </w:rPr>
        <w:t xml:space="preserve">Latvijas pensiju sistēmā ietvertā ideoloģija ir vērsta uz to, lai ieinteresētu darbspējīgā vecuma iedzīvotājus pēc iespējas ilgāk palikt darba tirgū, turpinot darbu pēc noteiktā minimālā pensionēšanās vecuma sasniegšanas. Vecuma pensijas apmērs paaudžu solidaritātes shēmā (1.līmenī) ir atkarīgs ne tikai no uzkrātā pensijas kapitāla, bet arī no pensionēšanās vecuma un prognozētā mūža ilguma pēc aiziešanas pensijā. </w:t>
      </w:r>
    </w:p>
    <w:p w:rsidR="00C40FA7" w:rsidRPr="00944F6E" w:rsidRDefault="00C40FA7" w:rsidP="00C40FA7">
      <w:pPr>
        <w:autoSpaceDE w:val="0"/>
        <w:autoSpaceDN w:val="0"/>
        <w:adjustRightInd w:val="0"/>
        <w:ind w:firstLine="720"/>
        <w:jc w:val="both"/>
        <w:rPr>
          <w:sz w:val="28"/>
          <w:szCs w:val="28"/>
        </w:rPr>
      </w:pPr>
      <w:r w:rsidRPr="00944F6E">
        <w:rPr>
          <w:sz w:val="28"/>
          <w:szCs w:val="28"/>
        </w:rPr>
        <w:t xml:space="preserve">Pēdējos gadus kopumā ir pieaudzis paredzamais mūža ilgums gan jaundzimušajiem, gan virs darbspējīgā vecuma iedzīvotājiem. Jaundzimušo </w:t>
      </w:r>
      <w:r w:rsidR="00963CE9" w:rsidRPr="00944F6E">
        <w:rPr>
          <w:sz w:val="28"/>
          <w:szCs w:val="28"/>
        </w:rPr>
        <w:t xml:space="preserve">vidējais </w:t>
      </w:r>
      <w:r w:rsidRPr="00944F6E">
        <w:rPr>
          <w:sz w:val="28"/>
          <w:szCs w:val="28"/>
        </w:rPr>
        <w:t>paredzamais mūža ilgums 201</w:t>
      </w:r>
      <w:r w:rsidR="00335BFA" w:rsidRPr="00944F6E">
        <w:rPr>
          <w:sz w:val="28"/>
          <w:szCs w:val="28"/>
        </w:rPr>
        <w:t>6</w:t>
      </w:r>
      <w:r w:rsidRPr="00944F6E">
        <w:rPr>
          <w:sz w:val="28"/>
          <w:szCs w:val="28"/>
        </w:rPr>
        <w:t>.gadā bija 74,</w:t>
      </w:r>
      <w:r w:rsidR="00335BFA" w:rsidRPr="00944F6E">
        <w:rPr>
          <w:sz w:val="28"/>
          <w:szCs w:val="28"/>
        </w:rPr>
        <w:t>8</w:t>
      </w:r>
      <w:r w:rsidRPr="00944F6E">
        <w:rPr>
          <w:sz w:val="28"/>
          <w:szCs w:val="28"/>
        </w:rPr>
        <w:t xml:space="preserve"> gadi, kur mūža ilgums vīriešiem – 69,</w:t>
      </w:r>
      <w:r w:rsidR="00335BFA" w:rsidRPr="00944F6E">
        <w:rPr>
          <w:sz w:val="28"/>
          <w:szCs w:val="28"/>
        </w:rPr>
        <w:t>8</w:t>
      </w:r>
      <w:r w:rsidRPr="00944F6E">
        <w:rPr>
          <w:sz w:val="28"/>
          <w:szCs w:val="28"/>
        </w:rPr>
        <w:t xml:space="preserve"> gadi un sievietēm – 79,</w:t>
      </w:r>
      <w:r w:rsidR="00335BFA" w:rsidRPr="00944F6E">
        <w:rPr>
          <w:sz w:val="28"/>
          <w:szCs w:val="28"/>
        </w:rPr>
        <w:t>4</w:t>
      </w:r>
      <w:r w:rsidRPr="00944F6E">
        <w:rPr>
          <w:sz w:val="28"/>
          <w:szCs w:val="28"/>
        </w:rPr>
        <w:t xml:space="preserve"> gadi. Līdzīgi kā citās ES valstīs, Latvijā jaundzimušo paredzamais mūža ilgums sievietēm ir augstāks nekā vīriešiem. Lielo atšķirību starp abiem rādītājiem nosaka augstāki mirstības rādītāji vīriešiem, īpaši no asinsrites sistēmas slimībām un ārējiem nāves cēloņiem. Turpretī, pārdzīvojot kritiskos dzīves periodus, paredzamais mūža ilgums vīriešiem, kas 201</w:t>
      </w:r>
      <w:r w:rsidR="00335BFA" w:rsidRPr="00944F6E">
        <w:rPr>
          <w:sz w:val="28"/>
          <w:szCs w:val="28"/>
        </w:rPr>
        <w:t>6</w:t>
      </w:r>
      <w:r w:rsidRPr="00944F6E">
        <w:rPr>
          <w:sz w:val="28"/>
          <w:szCs w:val="28"/>
        </w:rPr>
        <w:t xml:space="preserve">.gadā sasnieguši 60 gadu vecumu, bija </w:t>
      </w:r>
      <w:r w:rsidR="00335BFA" w:rsidRPr="00944F6E">
        <w:rPr>
          <w:sz w:val="28"/>
          <w:szCs w:val="28"/>
        </w:rPr>
        <w:t>16,9</w:t>
      </w:r>
      <w:r w:rsidRPr="00944F6E">
        <w:rPr>
          <w:sz w:val="28"/>
          <w:szCs w:val="28"/>
        </w:rPr>
        <w:t xml:space="preserve"> </w:t>
      </w:r>
      <w:r w:rsidR="00963CE9" w:rsidRPr="00944F6E">
        <w:rPr>
          <w:sz w:val="28"/>
          <w:szCs w:val="28"/>
        </w:rPr>
        <w:t xml:space="preserve">gadi </w:t>
      </w:r>
      <w:r w:rsidRPr="00944F6E">
        <w:rPr>
          <w:sz w:val="28"/>
          <w:szCs w:val="28"/>
        </w:rPr>
        <w:t>un sievietēm – 22,</w:t>
      </w:r>
      <w:r w:rsidR="00335BFA" w:rsidRPr="00944F6E">
        <w:rPr>
          <w:sz w:val="28"/>
          <w:szCs w:val="28"/>
        </w:rPr>
        <w:t>9</w:t>
      </w:r>
      <w:r w:rsidRPr="00944F6E">
        <w:rPr>
          <w:sz w:val="28"/>
          <w:szCs w:val="28"/>
        </w:rPr>
        <w:t xml:space="preserve"> gadi, bet tiem, kuri sasnieguši 65 gadu vecumu – </w:t>
      </w:r>
      <w:r w:rsidR="00963CE9" w:rsidRPr="00944F6E">
        <w:rPr>
          <w:sz w:val="28"/>
          <w:szCs w:val="28"/>
        </w:rPr>
        <w:t xml:space="preserve">attiecīgi </w:t>
      </w:r>
      <w:r w:rsidR="00335BFA" w:rsidRPr="00944F6E">
        <w:rPr>
          <w:sz w:val="28"/>
          <w:szCs w:val="28"/>
        </w:rPr>
        <w:t>13,9</w:t>
      </w:r>
      <w:r w:rsidRPr="00944F6E">
        <w:rPr>
          <w:sz w:val="28"/>
          <w:szCs w:val="28"/>
        </w:rPr>
        <w:t xml:space="preserve"> gadi un 18,</w:t>
      </w:r>
      <w:r w:rsidR="00335BFA" w:rsidRPr="00944F6E">
        <w:rPr>
          <w:sz w:val="28"/>
          <w:szCs w:val="28"/>
        </w:rPr>
        <w:t>8</w:t>
      </w:r>
      <w:r w:rsidRPr="00944F6E">
        <w:rPr>
          <w:sz w:val="28"/>
          <w:szCs w:val="28"/>
        </w:rPr>
        <w:t xml:space="preserve"> </w:t>
      </w:r>
      <w:r w:rsidR="00963CE9" w:rsidRPr="00944F6E">
        <w:rPr>
          <w:sz w:val="28"/>
          <w:szCs w:val="28"/>
        </w:rPr>
        <w:t>gadi</w:t>
      </w:r>
      <w:r w:rsidR="006C1BB0" w:rsidRPr="00944F6E">
        <w:rPr>
          <w:rStyle w:val="FootnoteReference"/>
          <w:sz w:val="28"/>
          <w:szCs w:val="28"/>
        </w:rPr>
        <w:footnoteReference w:id="1"/>
      </w:r>
      <w:r w:rsidRPr="00944F6E">
        <w:rPr>
          <w:sz w:val="28"/>
          <w:szCs w:val="28"/>
        </w:rPr>
        <w:t xml:space="preserve">. </w:t>
      </w:r>
    </w:p>
    <w:p w:rsidR="00C40FA7" w:rsidRPr="00944F6E" w:rsidRDefault="00C40FA7" w:rsidP="00C40FA7">
      <w:pPr>
        <w:ind w:firstLine="720"/>
        <w:jc w:val="both"/>
        <w:rPr>
          <w:sz w:val="28"/>
          <w:szCs w:val="28"/>
        </w:rPr>
      </w:pPr>
      <w:r w:rsidRPr="00944F6E">
        <w:rPr>
          <w:sz w:val="28"/>
          <w:szCs w:val="28"/>
        </w:rPr>
        <w:t xml:space="preserve">2012.gada 18.jūlijā stājās spēkā grozījumi likumā „Par valsts pensijām”, kas nosaka, ka no 2014.gada pakāpeniski pensionēšanās vecums tiek palielināts par trim mēnešiem ik gadu - līdz </w:t>
      </w:r>
      <w:r w:rsidRPr="00944F6E">
        <w:rPr>
          <w:bCs/>
          <w:sz w:val="28"/>
          <w:szCs w:val="28"/>
        </w:rPr>
        <w:t>2025.gada 1.janvārī</w:t>
      </w:r>
      <w:r w:rsidRPr="00944F6E">
        <w:rPr>
          <w:sz w:val="28"/>
          <w:szCs w:val="28"/>
        </w:rPr>
        <w:t xml:space="preserve"> tas būs </w:t>
      </w:r>
      <w:r w:rsidRPr="00944F6E">
        <w:rPr>
          <w:bCs/>
          <w:sz w:val="28"/>
          <w:szCs w:val="28"/>
        </w:rPr>
        <w:t>65 gadi</w:t>
      </w:r>
      <w:r w:rsidRPr="00944F6E">
        <w:rPr>
          <w:sz w:val="28"/>
          <w:szCs w:val="28"/>
        </w:rPr>
        <w:t xml:space="preserve">. Vienlaikus ar vispārējā pensionēšanās vecuma paaugstināšanu tiek celts arī </w:t>
      </w:r>
      <w:r w:rsidRPr="00944F6E">
        <w:rPr>
          <w:rStyle w:val="Strong"/>
          <w:b w:val="0"/>
          <w:sz w:val="28"/>
          <w:szCs w:val="28"/>
        </w:rPr>
        <w:t>pensionēšanās vecums</w:t>
      </w:r>
      <w:r w:rsidRPr="00944F6E">
        <w:rPr>
          <w:b/>
          <w:sz w:val="28"/>
          <w:szCs w:val="28"/>
        </w:rPr>
        <w:t xml:space="preserve"> </w:t>
      </w:r>
      <w:r w:rsidRPr="00944F6E">
        <w:rPr>
          <w:rStyle w:val="Strong"/>
          <w:b w:val="0"/>
          <w:sz w:val="28"/>
          <w:szCs w:val="28"/>
        </w:rPr>
        <w:t>priekšlaicīgo pensiju saņēmējiem. 201</w:t>
      </w:r>
      <w:r w:rsidR="00103265" w:rsidRPr="00944F6E">
        <w:rPr>
          <w:rStyle w:val="Strong"/>
          <w:b w:val="0"/>
          <w:sz w:val="28"/>
          <w:szCs w:val="28"/>
        </w:rPr>
        <w:t>8</w:t>
      </w:r>
      <w:r w:rsidRPr="00944F6E">
        <w:rPr>
          <w:rStyle w:val="Strong"/>
          <w:b w:val="0"/>
          <w:sz w:val="28"/>
          <w:szCs w:val="28"/>
        </w:rPr>
        <w:t>.gadā t</w:t>
      </w:r>
      <w:r w:rsidRPr="00944F6E">
        <w:rPr>
          <w:sz w:val="28"/>
          <w:szCs w:val="28"/>
        </w:rPr>
        <w:t xml:space="preserve">iesības uz vecuma pensiju ir sievietēm un vīriešiem, kuri sasnieguši 63 gadu </w:t>
      </w:r>
      <w:r w:rsidR="00103265" w:rsidRPr="00944F6E">
        <w:rPr>
          <w:sz w:val="28"/>
          <w:szCs w:val="28"/>
        </w:rPr>
        <w:t xml:space="preserve">un 3 mēnešu </w:t>
      </w:r>
      <w:r w:rsidRPr="00944F6E">
        <w:rPr>
          <w:sz w:val="28"/>
          <w:szCs w:val="28"/>
        </w:rPr>
        <w:t xml:space="preserve">vecumu un kuru apdrošināšanas stāžs nav mazāks par 15 gadiem. Pensiju var pieprasīt priekšlaicīgi - divus gadus pirms vecuma pensijas piešķiršanai nepieciešamā vecuma sasniegšanas, t.i., ne agrāk kā no 61 gadu </w:t>
      </w:r>
      <w:r w:rsidR="00103265" w:rsidRPr="00944F6E">
        <w:rPr>
          <w:sz w:val="28"/>
          <w:szCs w:val="28"/>
        </w:rPr>
        <w:t xml:space="preserve">un 3 mēnešu </w:t>
      </w:r>
      <w:r w:rsidRPr="00944F6E">
        <w:rPr>
          <w:sz w:val="28"/>
          <w:szCs w:val="28"/>
        </w:rPr>
        <w:t xml:space="preserve">vecuma, ja apdrošināšanas stāžs nav mazāks par 30 gadiem. </w:t>
      </w:r>
    </w:p>
    <w:p w:rsidR="00C40FA7" w:rsidRPr="00944F6E" w:rsidRDefault="00C40FA7" w:rsidP="00C40FA7">
      <w:pPr>
        <w:autoSpaceDE w:val="0"/>
        <w:autoSpaceDN w:val="0"/>
        <w:adjustRightInd w:val="0"/>
        <w:ind w:firstLine="720"/>
        <w:jc w:val="both"/>
        <w:rPr>
          <w:sz w:val="28"/>
          <w:szCs w:val="28"/>
        </w:rPr>
      </w:pPr>
      <w:r w:rsidRPr="00944F6E">
        <w:rPr>
          <w:sz w:val="28"/>
          <w:szCs w:val="28"/>
        </w:rPr>
        <w:t>201</w:t>
      </w:r>
      <w:r w:rsidR="00103265" w:rsidRPr="00944F6E">
        <w:rPr>
          <w:sz w:val="28"/>
          <w:szCs w:val="28"/>
        </w:rPr>
        <w:t>7</w:t>
      </w:r>
      <w:r w:rsidRPr="00944F6E">
        <w:rPr>
          <w:sz w:val="28"/>
          <w:szCs w:val="28"/>
        </w:rPr>
        <w:t>.gadā</w:t>
      </w:r>
      <w:r w:rsidR="003A3C01" w:rsidRPr="00944F6E">
        <w:rPr>
          <w:rStyle w:val="FootnoteReference"/>
          <w:sz w:val="28"/>
          <w:szCs w:val="28"/>
        </w:rPr>
        <w:footnoteReference w:id="2"/>
      </w:r>
      <w:r w:rsidRPr="00944F6E">
        <w:rPr>
          <w:sz w:val="28"/>
          <w:szCs w:val="28"/>
        </w:rPr>
        <w:t xml:space="preserve"> bija 45</w:t>
      </w:r>
      <w:r w:rsidR="00F32515" w:rsidRPr="00944F6E">
        <w:rPr>
          <w:sz w:val="28"/>
          <w:szCs w:val="28"/>
        </w:rPr>
        <w:t>2</w:t>
      </w:r>
      <w:r w:rsidRPr="00944F6E">
        <w:rPr>
          <w:sz w:val="28"/>
          <w:szCs w:val="28"/>
        </w:rPr>
        <w:t>,</w:t>
      </w:r>
      <w:r w:rsidR="00F32515" w:rsidRPr="00944F6E">
        <w:rPr>
          <w:sz w:val="28"/>
          <w:szCs w:val="28"/>
        </w:rPr>
        <w:t>8</w:t>
      </w:r>
      <w:r w:rsidRPr="00944F6E">
        <w:rPr>
          <w:sz w:val="28"/>
          <w:szCs w:val="28"/>
        </w:rPr>
        <w:t xml:space="preserve"> tūkst. vecuma pensijas saņēmēju. Vidējais vecuma pensijas apmērs (kopā ar piemaksu par apdrošināšanas stāžu līdz 1996.gadam) </w:t>
      </w:r>
      <w:r w:rsidR="003A3C01" w:rsidRPr="00944F6E">
        <w:rPr>
          <w:sz w:val="28"/>
          <w:szCs w:val="28"/>
        </w:rPr>
        <w:t xml:space="preserve">vidēji mēnesī </w:t>
      </w:r>
      <w:r w:rsidRPr="00944F6E">
        <w:rPr>
          <w:sz w:val="28"/>
          <w:szCs w:val="28"/>
        </w:rPr>
        <w:t xml:space="preserve">bija </w:t>
      </w:r>
      <w:r w:rsidR="00F32515" w:rsidRPr="00944F6E">
        <w:rPr>
          <w:sz w:val="28"/>
          <w:szCs w:val="28"/>
        </w:rPr>
        <w:t>312,31</w:t>
      </w:r>
      <w:r w:rsidRPr="00944F6E">
        <w:rPr>
          <w:sz w:val="28"/>
          <w:szCs w:val="28"/>
        </w:rPr>
        <w:t xml:space="preserve"> EUR mēnesī. Vidējais vecuma pensijas apmērs (kopā ar piemaksu) vīriešiem bija </w:t>
      </w:r>
      <w:r w:rsidR="00103265" w:rsidRPr="00944F6E">
        <w:rPr>
          <w:sz w:val="28"/>
          <w:szCs w:val="28"/>
        </w:rPr>
        <w:t>337,40</w:t>
      </w:r>
      <w:r w:rsidRPr="00944F6E">
        <w:rPr>
          <w:sz w:val="28"/>
          <w:szCs w:val="28"/>
        </w:rPr>
        <w:t xml:space="preserve"> EUR, bet sievietēm – </w:t>
      </w:r>
      <w:r w:rsidR="00103265" w:rsidRPr="00944F6E">
        <w:rPr>
          <w:sz w:val="28"/>
          <w:szCs w:val="28"/>
        </w:rPr>
        <w:t>293,80</w:t>
      </w:r>
      <w:r w:rsidRPr="00944F6E">
        <w:rPr>
          <w:sz w:val="28"/>
          <w:szCs w:val="28"/>
        </w:rPr>
        <w:t xml:space="preserve"> EUR jeb 87% no vidējā vecuma pensijas apmēra vīriešiem.  Piemaksu par darba stāžu līdz 1995.gada 31.decembrim pie vecuma pensijas saņēma 8</w:t>
      </w:r>
      <w:r w:rsidR="00103265" w:rsidRPr="00944F6E">
        <w:rPr>
          <w:sz w:val="28"/>
          <w:szCs w:val="28"/>
        </w:rPr>
        <w:t>3</w:t>
      </w:r>
      <w:r w:rsidRPr="00944F6E">
        <w:rPr>
          <w:sz w:val="28"/>
          <w:szCs w:val="28"/>
        </w:rPr>
        <w:t xml:space="preserve">% no visiem vecuma pensionāriem, un tās vidējais apmērs bija </w:t>
      </w:r>
      <w:r w:rsidR="00103265" w:rsidRPr="00944F6E">
        <w:rPr>
          <w:sz w:val="28"/>
          <w:szCs w:val="28"/>
        </w:rPr>
        <w:t>31,</w:t>
      </w:r>
      <w:r w:rsidR="00F32515" w:rsidRPr="00944F6E">
        <w:rPr>
          <w:sz w:val="28"/>
          <w:szCs w:val="28"/>
        </w:rPr>
        <w:t>75</w:t>
      </w:r>
      <w:r w:rsidRPr="00944F6E">
        <w:rPr>
          <w:sz w:val="28"/>
          <w:szCs w:val="28"/>
        </w:rPr>
        <w:t xml:space="preserve"> EUR mēnesī. 201</w:t>
      </w:r>
      <w:r w:rsidR="00103265" w:rsidRPr="00944F6E">
        <w:rPr>
          <w:sz w:val="28"/>
          <w:szCs w:val="28"/>
        </w:rPr>
        <w:t>7</w:t>
      </w:r>
      <w:r w:rsidRPr="00944F6E">
        <w:rPr>
          <w:sz w:val="28"/>
          <w:szCs w:val="28"/>
        </w:rPr>
        <w:t xml:space="preserve">.gadā vidējais pensijas apmērs </w:t>
      </w:r>
      <w:proofErr w:type="spellStart"/>
      <w:r w:rsidRPr="00944F6E">
        <w:rPr>
          <w:sz w:val="28"/>
          <w:szCs w:val="28"/>
        </w:rPr>
        <w:t>jaunpiešķirtajām</w:t>
      </w:r>
      <w:proofErr w:type="spellEnd"/>
      <w:r w:rsidRPr="00944F6E">
        <w:rPr>
          <w:sz w:val="28"/>
          <w:szCs w:val="28"/>
        </w:rPr>
        <w:t xml:space="preserve"> vecuma pensijām bija </w:t>
      </w:r>
      <w:r w:rsidR="00103265" w:rsidRPr="00944F6E">
        <w:rPr>
          <w:sz w:val="28"/>
          <w:szCs w:val="28"/>
        </w:rPr>
        <w:t>335,46</w:t>
      </w:r>
      <w:r w:rsidRPr="00944F6E">
        <w:rPr>
          <w:sz w:val="28"/>
          <w:szCs w:val="28"/>
        </w:rPr>
        <w:t xml:space="preserve"> EUR. 201</w:t>
      </w:r>
      <w:r w:rsidR="00103265" w:rsidRPr="00944F6E">
        <w:rPr>
          <w:sz w:val="28"/>
          <w:szCs w:val="28"/>
        </w:rPr>
        <w:t>7</w:t>
      </w:r>
      <w:r w:rsidRPr="00944F6E">
        <w:rPr>
          <w:sz w:val="28"/>
          <w:szCs w:val="28"/>
        </w:rPr>
        <w:t xml:space="preserve">.gadā no </w:t>
      </w:r>
      <w:proofErr w:type="spellStart"/>
      <w:r w:rsidRPr="00944F6E">
        <w:rPr>
          <w:sz w:val="28"/>
          <w:szCs w:val="28"/>
        </w:rPr>
        <w:t>jaunpiešķirtajām</w:t>
      </w:r>
      <w:proofErr w:type="spellEnd"/>
      <w:r w:rsidRPr="00944F6E">
        <w:rPr>
          <w:sz w:val="28"/>
          <w:szCs w:val="28"/>
        </w:rPr>
        <w:t xml:space="preserve"> vecuma pensijām 1</w:t>
      </w:r>
      <w:r w:rsidR="00103265" w:rsidRPr="00944F6E">
        <w:rPr>
          <w:sz w:val="28"/>
          <w:szCs w:val="28"/>
        </w:rPr>
        <w:t>5</w:t>
      </w:r>
      <w:r w:rsidRPr="00944F6E">
        <w:rPr>
          <w:sz w:val="28"/>
          <w:szCs w:val="28"/>
        </w:rPr>
        <w:t xml:space="preserve">% bija piešķirtas priekšlaicīgi </w:t>
      </w:r>
      <w:r w:rsidRPr="00944F6E">
        <w:rPr>
          <w:sz w:val="28"/>
          <w:szCs w:val="28"/>
        </w:rPr>
        <w:lastRenderedPageBreak/>
        <w:t xml:space="preserve">(faktiskais pensionēšanās vecums vīriešiem bija </w:t>
      </w:r>
      <w:r w:rsidR="00103265" w:rsidRPr="00944F6E">
        <w:rPr>
          <w:sz w:val="28"/>
          <w:szCs w:val="28"/>
        </w:rPr>
        <w:t>61,23</w:t>
      </w:r>
      <w:r w:rsidRPr="00944F6E">
        <w:rPr>
          <w:sz w:val="28"/>
          <w:szCs w:val="28"/>
        </w:rPr>
        <w:t xml:space="preserve"> gadi (stāžs – 3</w:t>
      </w:r>
      <w:r w:rsidR="00103265" w:rsidRPr="00944F6E">
        <w:rPr>
          <w:sz w:val="28"/>
          <w:szCs w:val="28"/>
        </w:rPr>
        <w:t>7</w:t>
      </w:r>
      <w:r w:rsidRPr="00944F6E">
        <w:rPr>
          <w:sz w:val="28"/>
          <w:szCs w:val="28"/>
        </w:rPr>
        <w:t xml:space="preserve"> gadi), sievietēm – </w:t>
      </w:r>
      <w:r w:rsidR="00103265" w:rsidRPr="00944F6E">
        <w:rPr>
          <w:sz w:val="28"/>
          <w:szCs w:val="28"/>
        </w:rPr>
        <w:t>61,21</w:t>
      </w:r>
      <w:r w:rsidRPr="00944F6E">
        <w:rPr>
          <w:sz w:val="28"/>
          <w:szCs w:val="28"/>
        </w:rPr>
        <w:t xml:space="preserve"> gadi (stāžs</w:t>
      </w:r>
      <w:r w:rsidR="00643D03" w:rsidRPr="00944F6E">
        <w:rPr>
          <w:sz w:val="28"/>
          <w:szCs w:val="28"/>
        </w:rPr>
        <w:t xml:space="preserve"> </w:t>
      </w:r>
      <w:r w:rsidRPr="00944F6E">
        <w:rPr>
          <w:sz w:val="28"/>
          <w:szCs w:val="28"/>
        </w:rPr>
        <w:t>- 3</w:t>
      </w:r>
      <w:r w:rsidR="00103265" w:rsidRPr="00944F6E">
        <w:rPr>
          <w:sz w:val="28"/>
          <w:szCs w:val="28"/>
        </w:rPr>
        <w:t>8</w:t>
      </w:r>
      <w:r w:rsidRPr="00944F6E">
        <w:rPr>
          <w:sz w:val="28"/>
          <w:szCs w:val="28"/>
        </w:rPr>
        <w:t xml:space="preserve"> gadi))</w:t>
      </w:r>
      <w:r w:rsidRPr="00944F6E">
        <w:rPr>
          <w:rStyle w:val="FootnoteReference"/>
          <w:sz w:val="28"/>
          <w:szCs w:val="28"/>
        </w:rPr>
        <w:footnoteReference w:id="3"/>
      </w:r>
      <w:r w:rsidRPr="00944F6E">
        <w:rPr>
          <w:sz w:val="28"/>
          <w:szCs w:val="28"/>
        </w:rPr>
        <w:t xml:space="preserve">. </w:t>
      </w: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numPr>
          <w:ilvl w:val="1"/>
          <w:numId w:val="4"/>
        </w:numPr>
        <w:spacing w:before="0" w:beforeAutospacing="0" w:after="0" w:afterAutospacing="0"/>
        <w:jc w:val="both"/>
        <w:rPr>
          <w:b/>
          <w:sz w:val="28"/>
          <w:szCs w:val="28"/>
        </w:rPr>
      </w:pPr>
      <w:r w:rsidRPr="00944F6E">
        <w:rPr>
          <w:b/>
          <w:sz w:val="28"/>
          <w:szCs w:val="28"/>
        </w:rPr>
        <w:t>Esošie atvieglojumi pensiju sistēmā</w:t>
      </w:r>
    </w:p>
    <w:p w:rsidR="00C40FA7" w:rsidRPr="00944F6E" w:rsidRDefault="00C40FA7" w:rsidP="00C40FA7">
      <w:pPr>
        <w:pStyle w:val="NormalWeb"/>
        <w:spacing w:before="0" w:beforeAutospacing="0" w:after="0" w:afterAutospacing="0"/>
        <w:ind w:left="144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r w:rsidRPr="00944F6E">
        <w:rPr>
          <w:sz w:val="28"/>
          <w:szCs w:val="28"/>
        </w:rPr>
        <w:t>Likums „Par valsts pensijām” jau šobrīd nosaka virkni atvieglojumu gan pensijas pieprasīšanā, gan vecuma pensijas aprēķināšanā. Jāatzīmē, ka pēc Valsts sociālās apdrošināšanas aģentūras (turpmāk – VSAA) datiem par 201</w:t>
      </w:r>
      <w:r w:rsidR="00FF1868" w:rsidRPr="00944F6E">
        <w:rPr>
          <w:sz w:val="28"/>
          <w:szCs w:val="28"/>
        </w:rPr>
        <w:t>7</w:t>
      </w:r>
      <w:r w:rsidRPr="00944F6E">
        <w:rPr>
          <w:sz w:val="28"/>
          <w:szCs w:val="28"/>
        </w:rPr>
        <w:t>.gada decembri</w:t>
      </w:r>
      <w:r w:rsidR="0081052F" w:rsidRPr="00944F6E">
        <w:rPr>
          <w:sz w:val="28"/>
          <w:szCs w:val="28"/>
        </w:rPr>
        <w:t>,</w:t>
      </w:r>
      <w:r w:rsidRPr="00944F6E">
        <w:rPr>
          <w:sz w:val="28"/>
          <w:szCs w:val="28"/>
        </w:rPr>
        <w:t>6</w:t>
      </w:r>
      <w:r w:rsidR="00A06008" w:rsidRPr="00944F6E">
        <w:rPr>
          <w:sz w:val="28"/>
          <w:szCs w:val="28"/>
        </w:rPr>
        <w:t>2</w:t>
      </w:r>
      <w:r w:rsidRPr="00944F6E">
        <w:rPr>
          <w:sz w:val="28"/>
          <w:szCs w:val="28"/>
        </w:rPr>
        <w:t xml:space="preserve"> tūkst. personu jeb 13,</w:t>
      </w:r>
      <w:r w:rsidR="00A06008" w:rsidRPr="00944F6E">
        <w:rPr>
          <w:sz w:val="28"/>
          <w:szCs w:val="28"/>
        </w:rPr>
        <w:t>6</w:t>
      </w:r>
      <w:r w:rsidRPr="00944F6E">
        <w:rPr>
          <w:sz w:val="28"/>
          <w:szCs w:val="28"/>
        </w:rPr>
        <w:t>% no visiem uzskaitē esošajiem vecuma pensijas saņēmējiem</w:t>
      </w:r>
      <w:r w:rsidRPr="00944F6E" w:rsidDel="00CD1D17">
        <w:rPr>
          <w:sz w:val="28"/>
          <w:szCs w:val="28"/>
        </w:rPr>
        <w:t xml:space="preserve"> </w:t>
      </w:r>
      <w:r w:rsidRPr="00944F6E">
        <w:rPr>
          <w:sz w:val="28"/>
          <w:szCs w:val="28"/>
        </w:rPr>
        <w:t xml:space="preserve">vecuma pensiju pieprasījuši no </w:t>
      </w:r>
      <w:r w:rsidR="008009AA" w:rsidRPr="00944F6E">
        <w:rPr>
          <w:sz w:val="28"/>
          <w:szCs w:val="28"/>
        </w:rPr>
        <w:t>agrāka</w:t>
      </w:r>
      <w:r w:rsidRPr="00944F6E">
        <w:rPr>
          <w:sz w:val="28"/>
          <w:szCs w:val="28"/>
        </w:rPr>
        <w:t xml:space="preserve"> vecuma. Visvairāk šo iespēju izmantojušas personas, kas strādājušas kaitīgos un smagos darba apstākļos (</w:t>
      </w:r>
      <w:r w:rsidR="00A06008" w:rsidRPr="00944F6E">
        <w:rPr>
          <w:sz w:val="28"/>
          <w:szCs w:val="28"/>
        </w:rPr>
        <w:t>29 219</w:t>
      </w:r>
      <w:r w:rsidRPr="00944F6E">
        <w:rPr>
          <w:sz w:val="28"/>
          <w:szCs w:val="28"/>
        </w:rPr>
        <w:t xml:space="preserve"> personas), bērna ar invaliditāti vecāki un piecu bērnu vecāki (13 </w:t>
      </w:r>
      <w:r w:rsidR="00A06008" w:rsidRPr="00944F6E">
        <w:rPr>
          <w:sz w:val="28"/>
          <w:szCs w:val="28"/>
        </w:rPr>
        <w:t>287</w:t>
      </w:r>
      <w:r w:rsidRPr="00944F6E">
        <w:rPr>
          <w:sz w:val="28"/>
          <w:szCs w:val="28"/>
        </w:rPr>
        <w:t xml:space="preserve"> personas),</w:t>
      </w:r>
      <w:proofErr w:type="gramStart"/>
      <w:r w:rsidRPr="00944F6E">
        <w:rPr>
          <w:sz w:val="28"/>
          <w:szCs w:val="28"/>
        </w:rPr>
        <w:t xml:space="preserve">  </w:t>
      </w:r>
      <w:proofErr w:type="gramEnd"/>
      <w:r w:rsidRPr="00944F6E">
        <w:rPr>
          <w:sz w:val="28"/>
          <w:szCs w:val="28"/>
        </w:rPr>
        <w:t>personas ar invaliditāti uz mūžu (9 </w:t>
      </w:r>
      <w:r w:rsidR="00A06008" w:rsidRPr="00944F6E">
        <w:rPr>
          <w:sz w:val="28"/>
          <w:szCs w:val="28"/>
        </w:rPr>
        <w:t>321</w:t>
      </w:r>
      <w:r w:rsidRPr="00944F6E">
        <w:rPr>
          <w:sz w:val="28"/>
          <w:szCs w:val="28"/>
        </w:rPr>
        <w:t xml:space="preserve"> personas) u.c. (skat. </w:t>
      </w:r>
      <w:r w:rsidR="00910505" w:rsidRPr="00944F6E">
        <w:rPr>
          <w:sz w:val="28"/>
          <w:szCs w:val="28"/>
        </w:rPr>
        <w:t>Pielikums Nr.</w:t>
      </w:r>
      <w:r w:rsidRPr="00944F6E">
        <w:rPr>
          <w:sz w:val="28"/>
          <w:szCs w:val="28"/>
        </w:rPr>
        <w:t>1). Šobrīd likums „Par valsts pensijām” nosaka, ka bērna vecāks vai aizbildnis, kura apdrošināšanas stāžs nav mazāks par 25 gadiem, piecus gadus ātrāk (201</w:t>
      </w:r>
      <w:r w:rsidR="00A06008" w:rsidRPr="00944F6E">
        <w:rPr>
          <w:sz w:val="28"/>
          <w:szCs w:val="28"/>
        </w:rPr>
        <w:t>8</w:t>
      </w:r>
      <w:r w:rsidRPr="00944F6E">
        <w:rPr>
          <w:sz w:val="28"/>
          <w:szCs w:val="28"/>
        </w:rPr>
        <w:t>.gadā  58 gadi</w:t>
      </w:r>
      <w:r w:rsidR="00A06008" w:rsidRPr="00944F6E">
        <w:rPr>
          <w:sz w:val="28"/>
          <w:szCs w:val="28"/>
        </w:rPr>
        <w:t xml:space="preserve"> un 3 mēneši</w:t>
      </w:r>
      <w:r w:rsidRPr="00944F6E">
        <w:rPr>
          <w:sz w:val="28"/>
          <w:szCs w:val="28"/>
        </w:rPr>
        <w:t xml:space="preserve">) var pieprasīt vecuma pensiju, ja laika periodā līdz bērna 18 gadu vecuma sasniegšanai: </w:t>
      </w:r>
    </w:p>
    <w:p w:rsidR="00C40FA7" w:rsidRPr="00944F6E" w:rsidRDefault="00C40FA7" w:rsidP="00C40FA7">
      <w:pPr>
        <w:pStyle w:val="NormalWeb"/>
        <w:numPr>
          <w:ilvl w:val="0"/>
          <w:numId w:val="3"/>
        </w:numPr>
        <w:spacing w:before="0" w:beforeAutospacing="0" w:after="0" w:afterAutospacing="0"/>
        <w:jc w:val="both"/>
        <w:rPr>
          <w:sz w:val="28"/>
          <w:szCs w:val="28"/>
        </w:rPr>
      </w:pPr>
      <w:r w:rsidRPr="00944F6E">
        <w:rPr>
          <w:sz w:val="28"/>
          <w:szCs w:val="28"/>
        </w:rPr>
        <w:t>ne mazāk kā 8 gadus ir aprūpējis 5 vai vairāk bērnus;</w:t>
      </w:r>
    </w:p>
    <w:p w:rsidR="00C40FA7" w:rsidRPr="00944F6E" w:rsidRDefault="00C40FA7" w:rsidP="00C40FA7">
      <w:pPr>
        <w:pStyle w:val="NormalWeb"/>
        <w:numPr>
          <w:ilvl w:val="0"/>
          <w:numId w:val="3"/>
        </w:numPr>
        <w:spacing w:before="0" w:beforeAutospacing="0" w:after="0" w:afterAutospacing="0"/>
        <w:jc w:val="both"/>
        <w:rPr>
          <w:sz w:val="28"/>
          <w:szCs w:val="28"/>
        </w:rPr>
      </w:pPr>
      <w:r w:rsidRPr="00944F6E">
        <w:rPr>
          <w:sz w:val="28"/>
          <w:szCs w:val="28"/>
        </w:rPr>
        <w:t>ne mazāk kā 8 gadus aprūpējis bērnu ar invaliditāti, kurš vismaz 8 gadus atzīts par bērnu ar invaliditāti.</w:t>
      </w:r>
    </w:p>
    <w:p w:rsidR="00C40FA7" w:rsidRPr="00944F6E" w:rsidRDefault="00C40FA7" w:rsidP="00C40FA7">
      <w:pPr>
        <w:pStyle w:val="NormalWeb"/>
        <w:spacing w:before="0" w:beforeAutospacing="0" w:after="0" w:afterAutospacing="0"/>
        <w:jc w:val="both"/>
        <w:rPr>
          <w:sz w:val="28"/>
          <w:szCs w:val="28"/>
        </w:rPr>
      </w:pPr>
      <w:r w:rsidRPr="00944F6E">
        <w:rPr>
          <w:sz w:val="28"/>
          <w:szCs w:val="28"/>
        </w:rPr>
        <w:t>Šādu tiesību nav personām, kurām atņemtas aprūpes vai aizgādības tiesības.</w:t>
      </w:r>
    </w:p>
    <w:p w:rsidR="00C40FA7" w:rsidRPr="00944F6E" w:rsidRDefault="00C40FA7" w:rsidP="00C40FA7">
      <w:pPr>
        <w:pStyle w:val="NormalWeb"/>
        <w:spacing w:before="0" w:beforeAutospacing="0" w:after="0" w:afterAutospacing="0"/>
        <w:ind w:firstLine="720"/>
        <w:jc w:val="both"/>
        <w:rPr>
          <w:sz w:val="28"/>
          <w:szCs w:val="28"/>
        </w:rPr>
      </w:pPr>
      <w:r w:rsidRPr="00944F6E">
        <w:rPr>
          <w:sz w:val="28"/>
          <w:szCs w:val="28"/>
        </w:rPr>
        <w:t xml:space="preserve">Vienlaikus darbojas arī likuma „Par valsts pensijām” pārejas perioda norma (pārejas noteikumu 10.punkts), kas pašreiz dod tiesības </w:t>
      </w:r>
      <w:r w:rsidRPr="00944F6E">
        <w:rPr>
          <w:rStyle w:val="Emphasis"/>
          <w:i w:val="0"/>
          <w:sz w:val="28"/>
          <w:szCs w:val="28"/>
        </w:rPr>
        <w:t>sievietei</w:t>
      </w:r>
      <w:r w:rsidRPr="00944F6E">
        <w:rPr>
          <w:sz w:val="28"/>
          <w:szCs w:val="28"/>
        </w:rPr>
        <w:t xml:space="preserve">, kura aprūpējusi līdz 8 gadu vecuma sasniegšanai piecus vai vairāk bērnus vai bērnu ar invaliditāti un kurai apdrošināšanas stāžs nav mazāks par 20 gadiem, pieprasīt vecuma pensiju no 61 gadu </w:t>
      </w:r>
      <w:r w:rsidR="00A06008" w:rsidRPr="00944F6E">
        <w:rPr>
          <w:sz w:val="28"/>
          <w:szCs w:val="28"/>
        </w:rPr>
        <w:t xml:space="preserve">un 6 mēnešu </w:t>
      </w:r>
      <w:r w:rsidRPr="00944F6E">
        <w:rPr>
          <w:sz w:val="28"/>
          <w:szCs w:val="28"/>
        </w:rPr>
        <w:t>vecuma (līdz 30.06.201</w:t>
      </w:r>
      <w:r w:rsidR="00A06008" w:rsidRPr="00944F6E">
        <w:rPr>
          <w:sz w:val="28"/>
          <w:szCs w:val="28"/>
        </w:rPr>
        <w:t>8</w:t>
      </w:r>
      <w:r w:rsidRPr="00944F6E">
        <w:rPr>
          <w:sz w:val="28"/>
          <w:szCs w:val="28"/>
        </w:rPr>
        <w:t>., no 01.07.201</w:t>
      </w:r>
      <w:r w:rsidR="00A06008" w:rsidRPr="00944F6E">
        <w:rPr>
          <w:sz w:val="28"/>
          <w:szCs w:val="28"/>
        </w:rPr>
        <w:t>8</w:t>
      </w:r>
      <w:r w:rsidRPr="00944F6E">
        <w:rPr>
          <w:sz w:val="28"/>
          <w:szCs w:val="28"/>
        </w:rPr>
        <w:t xml:space="preserve">. – no </w:t>
      </w:r>
      <w:r w:rsidR="00A06008" w:rsidRPr="00944F6E">
        <w:rPr>
          <w:sz w:val="28"/>
          <w:szCs w:val="28"/>
        </w:rPr>
        <w:t>62</w:t>
      </w:r>
      <w:r w:rsidRPr="00944F6E">
        <w:rPr>
          <w:sz w:val="28"/>
          <w:szCs w:val="28"/>
        </w:rPr>
        <w:t xml:space="preserve"> gad</w:t>
      </w:r>
      <w:r w:rsidR="00A35FF1" w:rsidRPr="00944F6E">
        <w:rPr>
          <w:sz w:val="28"/>
          <w:szCs w:val="28"/>
        </w:rPr>
        <w:t>u vecuma</w:t>
      </w:r>
      <w:r w:rsidRPr="00944F6E">
        <w:rPr>
          <w:sz w:val="28"/>
          <w:szCs w:val="28"/>
        </w:rPr>
        <w:t xml:space="preserve">). </w:t>
      </w:r>
    </w:p>
    <w:p w:rsidR="00C40FA7" w:rsidRPr="00944F6E" w:rsidRDefault="00C40FA7" w:rsidP="00C40FA7">
      <w:pPr>
        <w:pStyle w:val="naisf"/>
        <w:spacing w:before="0" w:beforeAutospacing="0" w:after="0" w:afterAutospacing="0"/>
        <w:ind w:firstLine="720"/>
        <w:rPr>
          <w:rFonts w:eastAsia="Times New Roman"/>
          <w:sz w:val="28"/>
          <w:szCs w:val="28"/>
          <w:lang w:val="lv-LV"/>
        </w:rPr>
      </w:pPr>
      <w:r w:rsidRPr="00944F6E">
        <w:rPr>
          <w:sz w:val="28"/>
          <w:szCs w:val="28"/>
          <w:lang w:val="lv-LV"/>
        </w:rPr>
        <w:t>201</w:t>
      </w:r>
      <w:r w:rsidR="00A06008" w:rsidRPr="00944F6E">
        <w:rPr>
          <w:sz w:val="28"/>
          <w:szCs w:val="28"/>
          <w:lang w:val="lv-LV"/>
        </w:rPr>
        <w:t>7</w:t>
      </w:r>
      <w:r w:rsidRPr="00944F6E">
        <w:rPr>
          <w:sz w:val="28"/>
          <w:szCs w:val="28"/>
          <w:lang w:val="lv-LV"/>
        </w:rPr>
        <w:t xml:space="preserve">.gadā </w:t>
      </w:r>
      <w:r w:rsidR="00A06008" w:rsidRPr="00944F6E">
        <w:rPr>
          <w:sz w:val="28"/>
          <w:szCs w:val="28"/>
          <w:lang w:val="lv-LV"/>
        </w:rPr>
        <w:t>572</w:t>
      </w:r>
      <w:r w:rsidRPr="00944F6E">
        <w:rPr>
          <w:sz w:val="28"/>
          <w:szCs w:val="28"/>
          <w:lang w:val="lv-LV"/>
        </w:rPr>
        <w:t xml:space="preserve"> personām (sievietes – 6</w:t>
      </w:r>
      <w:r w:rsidR="00576062" w:rsidRPr="00944F6E">
        <w:rPr>
          <w:sz w:val="28"/>
          <w:szCs w:val="28"/>
          <w:lang w:val="lv-LV"/>
        </w:rPr>
        <w:t>7</w:t>
      </w:r>
      <w:r w:rsidRPr="00944F6E">
        <w:rPr>
          <w:sz w:val="28"/>
          <w:szCs w:val="28"/>
          <w:lang w:val="lv-LV"/>
        </w:rPr>
        <w:t>%, vīrieši – 3</w:t>
      </w:r>
      <w:r w:rsidR="00576062" w:rsidRPr="00944F6E">
        <w:rPr>
          <w:sz w:val="28"/>
          <w:szCs w:val="28"/>
          <w:lang w:val="lv-LV"/>
        </w:rPr>
        <w:t>3</w:t>
      </w:r>
      <w:r w:rsidRPr="00944F6E">
        <w:rPr>
          <w:sz w:val="28"/>
          <w:szCs w:val="28"/>
          <w:lang w:val="lv-LV"/>
        </w:rPr>
        <w:t>%) vecuma pensija tika piešķirta ar atvieglotiem noteikumiem kā personām, kuras aprūpējušas līdz 8 gadu vecumam piecus vai vairāk bērnus vai bērnu ar invaliditāti. Vidējais piešķirtais vecuma pensijas apmērs minētajām personām bija 2</w:t>
      </w:r>
      <w:r w:rsidR="00576062" w:rsidRPr="00944F6E">
        <w:rPr>
          <w:sz w:val="28"/>
          <w:szCs w:val="28"/>
          <w:lang w:val="lv-LV"/>
        </w:rPr>
        <w:t>32,1</w:t>
      </w:r>
      <w:r w:rsidRPr="00944F6E">
        <w:rPr>
          <w:sz w:val="28"/>
          <w:szCs w:val="28"/>
          <w:lang w:val="lv-LV"/>
        </w:rPr>
        <w:t xml:space="preserve"> EUR (sievietēm </w:t>
      </w:r>
      <w:r w:rsidR="00576062" w:rsidRPr="00944F6E">
        <w:rPr>
          <w:sz w:val="28"/>
          <w:szCs w:val="28"/>
          <w:lang w:val="lv-LV"/>
        </w:rPr>
        <w:t>–</w:t>
      </w:r>
      <w:r w:rsidRPr="00944F6E">
        <w:rPr>
          <w:sz w:val="28"/>
          <w:szCs w:val="28"/>
          <w:lang w:val="lv-LV"/>
        </w:rPr>
        <w:t xml:space="preserve"> </w:t>
      </w:r>
      <w:r w:rsidR="00576062" w:rsidRPr="00944F6E">
        <w:rPr>
          <w:sz w:val="28"/>
          <w:szCs w:val="28"/>
          <w:lang w:val="lv-LV"/>
        </w:rPr>
        <w:t>221,12</w:t>
      </w:r>
      <w:r w:rsidRPr="00944F6E">
        <w:rPr>
          <w:sz w:val="28"/>
          <w:szCs w:val="28"/>
          <w:lang w:val="lv-LV"/>
        </w:rPr>
        <w:t xml:space="preserve"> EUR, vīriešiem – </w:t>
      </w:r>
      <w:r w:rsidR="00576062" w:rsidRPr="00944F6E">
        <w:rPr>
          <w:sz w:val="28"/>
          <w:szCs w:val="28"/>
          <w:lang w:val="lv-LV"/>
        </w:rPr>
        <w:t>306,25</w:t>
      </w:r>
      <w:r w:rsidRPr="00944F6E">
        <w:rPr>
          <w:sz w:val="28"/>
          <w:szCs w:val="28"/>
          <w:lang w:val="lv-LV"/>
        </w:rPr>
        <w:t xml:space="preserve"> EUR), t.i., 69% no </w:t>
      </w:r>
      <w:proofErr w:type="spellStart"/>
      <w:r w:rsidRPr="00944F6E">
        <w:rPr>
          <w:sz w:val="28"/>
          <w:szCs w:val="28"/>
          <w:lang w:val="lv-LV"/>
        </w:rPr>
        <w:t>jaunpiešķirto</w:t>
      </w:r>
      <w:proofErr w:type="spellEnd"/>
      <w:r w:rsidRPr="00944F6E">
        <w:rPr>
          <w:sz w:val="28"/>
          <w:szCs w:val="28"/>
          <w:lang w:val="lv-LV"/>
        </w:rPr>
        <w:t xml:space="preserve"> vecuma pensiju </w:t>
      </w:r>
      <w:r w:rsidR="0081052F" w:rsidRPr="00944F6E">
        <w:rPr>
          <w:sz w:val="28"/>
          <w:szCs w:val="28"/>
          <w:lang w:val="lv-LV"/>
        </w:rPr>
        <w:t xml:space="preserve">vidējā </w:t>
      </w:r>
      <w:r w:rsidRPr="00944F6E">
        <w:rPr>
          <w:sz w:val="28"/>
          <w:szCs w:val="28"/>
          <w:lang w:val="lv-LV"/>
        </w:rPr>
        <w:t>apmēra vispārējā gadījumā. Faktiskais pensionēšanās vecums bija 58 gadi</w:t>
      </w:r>
      <w:r w:rsidR="00576062" w:rsidRPr="00944F6E">
        <w:rPr>
          <w:sz w:val="28"/>
          <w:szCs w:val="28"/>
          <w:lang w:val="lv-LV"/>
        </w:rPr>
        <w:t xml:space="preserve"> un 7 mēneši</w:t>
      </w:r>
      <w:r w:rsidRPr="00944F6E">
        <w:rPr>
          <w:sz w:val="28"/>
          <w:szCs w:val="28"/>
          <w:lang w:val="lv-LV"/>
        </w:rPr>
        <w:t>, vidējais apdrošināšanas stāžs – 33 gadi</w:t>
      </w:r>
      <w:r w:rsidRPr="00944F6E">
        <w:rPr>
          <w:rStyle w:val="FootnoteReference"/>
          <w:sz w:val="28"/>
          <w:szCs w:val="28"/>
          <w:lang w:val="lv-LV"/>
        </w:rPr>
        <w:footnoteReference w:id="4"/>
      </w:r>
      <w:r w:rsidRPr="00944F6E">
        <w:rPr>
          <w:sz w:val="28"/>
          <w:szCs w:val="28"/>
          <w:lang w:val="lv-LV"/>
        </w:rPr>
        <w:t xml:space="preserve">. Secināms, ka, pieprasot vecuma pensiju pirms likumā noteiktā vispārīgā pensionēšanās vecuma, pensijas apmērs ir mazāks, jo pensijas kapitāls tiek izdalīts uz </w:t>
      </w:r>
      <w:r w:rsidRPr="00944F6E">
        <w:rPr>
          <w:rFonts w:eastAsia="Times New Roman"/>
          <w:sz w:val="28"/>
          <w:szCs w:val="28"/>
          <w:lang w:val="lv-LV"/>
        </w:rPr>
        <w:t>prognozēto mūža ilgumu pēc aiziešanas pensijā, kas</w:t>
      </w:r>
      <w:proofErr w:type="gramStart"/>
      <w:r w:rsidRPr="00944F6E">
        <w:rPr>
          <w:rFonts w:eastAsia="Times New Roman"/>
          <w:sz w:val="28"/>
          <w:szCs w:val="28"/>
          <w:lang w:val="lv-LV"/>
        </w:rPr>
        <w:t>, savukārt,</w:t>
      </w:r>
      <w:proofErr w:type="gramEnd"/>
      <w:r w:rsidRPr="00944F6E">
        <w:rPr>
          <w:rFonts w:eastAsia="Times New Roman"/>
          <w:sz w:val="28"/>
          <w:szCs w:val="28"/>
          <w:lang w:val="lv-LV"/>
        </w:rPr>
        <w:t xml:space="preserve"> ir lielāks, ja pensijā dodas ātrāk.</w:t>
      </w:r>
    </w:p>
    <w:p w:rsidR="00C40FA7" w:rsidRPr="00944F6E" w:rsidRDefault="00C40FA7" w:rsidP="00C40FA7">
      <w:pPr>
        <w:pStyle w:val="BodyText"/>
        <w:spacing w:after="0"/>
        <w:ind w:firstLine="720"/>
        <w:jc w:val="both"/>
        <w:rPr>
          <w:sz w:val="28"/>
          <w:szCs w:val="28"/>
          <w:lang w:val="lv-LV"/>
        </w:rPr>
      </w:pPr>
      <w:r w:rsidRPr="00944F6E">
        <w:rPr>
          <w:sz w:val="28"/>
          <w:szCs w:val="28"/>
          <w:lang w:val="lv-LV"/>
        </w:rPr>
        <w:t xml:space="preserve">Tāpat likums „Par valsts pensijām” paredz vairākus atvieglojumus gan nosakot vecuma pensijas sākuma kapitālu, gan ieskaitot apdrošināšanas stāžā </w:t>
      </w:r>
      <w:r w:rsidRPr="00944F6E">
        <w:rPr>
          <w:sz w:val="28"/>
          <w:szCs w:val="28"/>
          <w:lang w:val="lv-LV"/>
        </w:rPr>
        <w:lastRenderedPageBreak/>
        <w:t xml:space="preserve">tam pielīdzinātos periodus, gan nosakot vecuma pensiju </w:t>
      </w:r>
      <w:r w:rsidR="00A35FF1" w:rsidRPr="00944F6E">
        <w:rPr>
          <w:sz w:val="28"/>
          <w:szCs w:val="28"/>
          <w:lang w:val="lv-LV"/>
        </w:rPr>
        <w:t xml:space="preserve">ne mazāku par iepriekš saņemto </w:t>
      </w:r>
      <w:r w:rsidRPr="00944F6E">
        <w:rPr>
          <w:sz w:val="28"/>
          <w:szCs w:val="28"/>
          <w:lang w:val="lv-LV"/>
        </w:rPr>
        <w:t>invaliditātes pensij</w:t>
      </w:r>
      <w:r w:rsidR="00A35FF1" w:rsidRPr="00944F6E">
        <w:rPr>
          <w:sz w:val="28"/>
          <w:szCs w:val="28"/>
          <w:lang w:val="lv-LV"/>
        </w:rPr>
        <w:t>u</w:t>
      </w:r>
      <w:r w:rsidRPr="00944F6E">
        <w:rPr>
          <w:sz w:val="28"/>
          <w:szCs w:val="28"/>
          <w:lang w:val="lv-LV"/>
        </w:rPr>
        <w:t xml:space="preserve"> u.c. (skat. </w:t>
      </w:r>
      <w:r w:rsidR="00910505" w:rsidRPr="00944F6E">
        <w:rPr>
          <w:sz w:val="28"/>
          <w:szCs w:val="28"/>
          <w:lang w:val="lv-LV"/>
        </w:rPr>
        <w:t>Pielikums Nr.</w:t>
      </w:r>
      <w:r w:rsidRPr="00944F6E">
        <w:rPr>
          <w:sz w:val="28"/>
          <w:szCs w:val="28"/>
          <w:lang w:val="lv-LV"/>
        </w:rPr>
        <w:t>2).</w:t>
      </w:r>
    </w:p>
    <w:p w:rsidR="00C40FA7" w:rsidRPr="00944F6E" w:rsidRDefault="00C40FA7" w:rsidP="00C40FA7">
      <w:pPr>
        <w:pStyle w:val="naisf"/>
        <w:spacing w:before="0" w:beforeAutospacing="0" w:after="0" w:afterAutospacing="0"/>
        <w:ind w:firstLine="720"/>
        <w:rPr>
          <w:sz w:val="28"/>
          <w:szCs w:val="28"/>
          <w:lang w:val="lv-LV"/>
        </w:rPr>
      </w:pPr>
      <w:r w:rsidRPr="00944F6E">
        <w:rPr>
          <w:sz w:val="28"/>
          <w:szCs w:val="28"/>
          <w:lang w:val="lv-LV"/>
        </w:rPr>
        <w:t>Periodu, kad persona nav bijusi ekonomiski aktīva, t.i., atradās bērna kopšanas atvaļinājumā, ieskaita apdrošināšanas stāžā šādā kārtībā:</w:t>
      </w:r>
    </w:p>
    <w:p w:rsidR="00C40FA7" w:rsidRPr="00944F6E" w:rsidRDefault="00C40FA7" w:rsidP="00C40FA7">
      <w:pPr>
        <w:numPr>
          <w:ilvl w:val="0"/>
          <w:numId w:val="2"/>
        </w:numPr>
        <w:tabs>
          <w:tab w:val="clear" w:pos="1755"/>
          <w:tab w:val="num" w:pos="1200"/>
        </w:tabs>
        <w:autoSpaceDE w:val="0"/>
        <w:autoSpaceDN w:val="0"/>
        <w:adjustRightInd w:val="0"/>
        <w:spacing w:line="240" w:lineRule="atLeast"/>
        <w:ind w:left="1200" w:hanging="600"/>
        <w:jc w:val="both"/>
        <w:rPr>
          <w:sz w:val="28"/>
          <w:szCs w:val="28"/>
        </w:rPr>
      </w:pPr>
      <w:r w:rsidRPr="00944F6E">
        <w:rPr>
          <w:sz w:val="28"/>
          <w:szCs w:val="28"/>
        </w:rPr>
        <w:t xml:space="preserve">Saskaņā ar likuma „Par valsts pensijām” pārejas noteikumu 1.punktu </w:t>
      </w:r>
      <w:r w:rsidRPr="00944F6E">
        <w:rPr>
          <w:i/>
          <w:sz w:val="28"/>
          <w:szCs w:val="28"/>
        </w:rPr>
        <w:t xml:space="preserve">līdz 1990.gada 31.decembrim </w:t>
      </w:r>
      <w:r w:rsidRPr="00944F6E">
        <w:rPr>
          <w:sz w:val="28"/>
          <w:szCs w:val="28"/>
        </w:rPr>
        <w:t>laiku, kad māte audzinājusi bērnu līdz 8 gadu vecumam, ieskaita apdrošināšanas stāžā neatkarīgi no sociālās apdrošināšanas iemaksu veikšanas;</w:t>
      </w:r>
    </w:p>
    <w:p w:rsidR="00C40FA7" w:rsidRPr="00944F6E" w:rsidRDefault="00C40FA7" w:rsidP="00C40FA7">
      <w:pPr>
        <w:numPr>
          <w:ilvl w:val="0"/>
          <w:numId w:val="2"/>
        </w:numPr>
        <w:tabs>
          <w:tab w:val="clear" w:pos="1755"/>
          <w:tab w:val="num" w:pos="1200"/>
        </w:tabs>
        <w:autoSpaceDE w:val="0"/>
        <w:autoSpaceDN w:val="0"/>
        <w:adjustRightInd w:val="0"/>
        <w:spacing w:line="240" w:lineRule="atLeast"/>
        <w:ind w:left="1200" w:hanging="600"/>
        <w:jc w:val="both"/>
        <w:rPr>
          <w:sz w:val="28"/>
          <w:szCs w:val="28"/>
        </w:rPr>
      </w:pPr>
      <w:r w:rsidRPr="00944F6E">
        <w:rPr>
          <w:i/>
          <w:sz w:val="28"/>
          <w:szCs w:val="28"/>
        </w:rPr>
        <w:t>No 1991.gada 1.janvāra līdz 1995.gada 31.decembrim</w:t>
      </w:r>
      <w:r w:rsidRPr="00944F6E">
        <w:rPr>
          <w:sz w:val="28"/>
          <w:szCs w:val="28"/>
        </w:rPr>
        <w:t xml:space="preserve"> bērna kopšanas laiku līdz bērns sasniedz 8 gadu vecumu, apdrošināšanas stāžā ieskaita tikai tad, ja ir veiktas sociālās apdrošināšanas iemaksas;</w:t>
      </w:r>
      <w:proofErr w:type="gramStart"/>
      <w:r w:rsidRPr="00944F6E">
        <w:rPr>
          <w:sz w:val="28"/>
          <w:szCs w:val="28"/>
        </w:rPr>
        <w:t xml:space="preserve">  </w:t>
      </w:r>
      <w:proofErr w:type="gramEnd"/>
    </w:p>
    <w:p w:rsidR="00C40FA7" w:rsidRPr="00944F6E" w:rsidRDefault="00C40FA7" w:rsidP="00C40FA7">
      <w:pPr>
        <w:numPr>
          <w:ilvl w:val="0"/>
          <w:numId w:val="2"/>
        </w:numPr>
        <w:tabs>
          <w:tab w:val="clear" w:pos="1755"/>
          <w:tab w:val="num" w:pos="1200"/>
        </w:tabs>
        <w:autoSpaceDE w:val="0"/>
        <w:autoSpaceDN w:val="0"/>
        <w:adjustRightInd w:val="0"/>
        <w:spacing w:line="240" w:lineRule="atLeast"/>
        <w:ind w:left="1200" w:hanging="600"/>
        <w:jc w:val="both"/>
        <w:rPr>
          <w:sz w:val="28"/>
          <w:szCs w:val="28"/>
        </w:rPr>
      </w:pPr>
      <w:r w:rsidRPr="00944F6E">
        <w:rPr>
          <w:sz w:val="28"/>
          <w:szCs w:val="28"/>
        </w:rPr>
        <w:t xml:space="preserve">Laika periodā </w:t>
      </w:r>
      <w:r w:rsidRPr="00944F6E">
        <w:rPr>
          <w:i/>
          <w:sz w:val="28"/>
          <w:szCs w:val="28"/>
        </w:rPr>
        <w:t>no 1996.gada 1.janvāra līdz 1996.gada 31.decembrim</w:t>
      </w:r>
      <w:r w:rsidRPr="00944F6E">
        <w:rPr>
          <w:sz w:val="28"/>
          <w:szCs w:val="28"/>
        </w:rPr>
        <w:t xml:space="preserve"> par personu, kura kopj bērnu līdz trīs gadu vecumam, tika veikti sociālā nodokļa maksājumi pensiju apdrošināšanas stāža uzkrāšanai no valsts pamatbudžeta, bet </w:t>
      </w:r>
      <w:r w:rsidRPr="00944F6E">
        <w:rPr>
          <w:i/>
          <w:sz w:val="28"/>
          <w:szCs w:val="28"/>
        </w:rPr>
        <w:t>1997.gadā</w:t>
      </w:r>
      <w:r w:rsidRPr="00944F6E">
        <w:rPr>
          <w:sz w:val="28"/>
          <w:szCs w:val="28"/>
        </w:rPr>
        <w:t xml:space="preserve"> iepriekš minētie nodokļa maksājumi tika veikti par personu, kura kopj bērnu līdz pusotra gada vecumam;</w:t>
      </w:r>
    </w:p>
    <w:p w:rsidR="00C40FA7" w:rsidRPr="00944F6E" w:rsidRDefault="00C40FA7" w:rsidP="00C40FA7">
      <w:pPr>
        <w:pStyle w:val="ListParagraph"/>
        <w:numPr>
          <w:ilvl w:val="0"/>
          <w:numId w:val="2"/>
        </w:numPr>
        <w:tabs>
          <w:tab w:val="clear" w:pos="1755"/>
          <w:tab w:val="num" w:pos="1276"/>
        </w:tabs>
        <w:autoSpaceDE w:val="0"/>
        <w:autoSpaceDN w:val="0"/>
        <w:adjustRightInd w:val="0"/>
        <w:spacing w:line="240" w:lineRule="atLeast"/>
        <w:ind w:left="1276" w:hanging="556"/>
        <w:jc w:val="both"/>
        <w:rPr>
          <w:sz w:val="28"/>
          <w:szCs w:val="28"/>
        </w:rPr>
      </w:pPr>
      <w:r w:rsidRPr="00944F6E">
        <w:rPr>
          <w:sz w:val="28"/>
          <w:szCs w:val="28"/>
        </w:rPr>
        <w:t>Kopš 1998.gada saskaņā ar likumu „Par valsts sociālo apdrošināšanu” par personu, kura kopj bērnu līdz pusotra gada vecumam un saņem vecāku pabalstu vai bērna kopšanas pabalstu, tiek veiktas sociālās apdrošināšanas iemaksas no speciālā budžeta vai valsts pamatbudžeta.</w:t>
      </w:r>
    </w:p>
    <w:p w:rsidR="005C2974" w:rsidRPr="00944F6E" w:rsidRDefault="005C2974" w:rsidP="00C40FA7">
      <w:pPr>
        <w:pStyle w:val="ListParagraph"/>
        <w:autoSpaceDE w:val="0"/>
        <w:autoSpaceDN w:val="0"/>
        <w:adjustRightInd w:val="0"/>
        <w:ind w:left="0" w:firstLine="720"/>
        <w:jc w:val="both"/>
        <w:rPr>
          <w:sz w:val="28"/>
          <w:szCs w:val="28"/>
        </w:rPr>
      </w:pPr>
      <w:r w:rsidRPr="00944F6E">
        <w:rPr>
          <w:sz w:val="28"/>
          <w:szCs w:val="28"/>
        </w:rPr>
        <w:t>Savukārt, ja vecāks audzinājis bērnu ar invaliditāti</w:t>
      </w:r>
      <w:r w:rsidR="003B42B6" w:rsidRPr="00944F6E">
        <w:rPr>
          <w:sz w:val="28"/>
          <w:szCs w:val="28"/>
        </w:rPr>
        <w:t>, saņēmis bērna invalīda kopšanas pabalstu un šajā laikā nav bijis nodarbināts, tad no 2006.gada 1.janvāra šo laiku ieskaita personas apdrošināšanas stāž</w:t>
      </w:r>
      <w:r w:rsidR="00C717B1" w:rsidRPr="00944F6E">
        <w:rPr>
          <w:sz w:val="28"/>
          <w:szCs w:val="28"/>
        </w:rPr>
        <w:t xml:space="preserve">ā, jo </w:t>
      </w:r>
      <w:r w:rsidR="0052292A" w:rsidRPr="00944F6E">
        <w:rPr>
          <w:sz w:val="28"/>
          <w:szCs w:val="28"/>
        </w:rPr>
        <w:t xml:space="preserve">par viņu </w:t>
      </w:r>
      <w:r w:rsidR="00C717B1" w:rsidRPr="00944F6E">
        <w:rPr>
          <w:sz w:val="28"/>
          <w:szCs w:val="28"/>
        </w:rPr>
        <w:t xml:space="preserve">tiek veiktas sociālās apdrošināšanas iemaksas </w:t>
      </w:r>
      <w:r w:rsidR="0052292A" w:rsidRPr="00944F6E">
        <w:rPr>
          <w:sz w:val="28"/>
          <w:szCs w:val="28"/>
        </w:rPr>
        <w:t xml:space="preserve">pensiju apdrošināšanai </w:t>
      </w:r>
      <w:r w:rsidR="00C717B1" w:rsidRPr="00944F6E">
        <w:rPr>
          <w:sz w:val="28"/>
          <w:szCs w:val="28"/>
        </w:rPr>
        <w:t xml:space="preserve">no valsts pamatbudžeta. </w:t>
      </w:r>
      <w:r w:rsidR="003B42B6" w:rsidRPr="00944F6E">
        <w:rPr>
          <w:sz w:val="28"/>
          <w:szCs w:val="28"/>
        </w:rPr>
        <w:t xml:space="preserve"> 2017.gadā bērna invalīda kopšanas pabalstu saņēma 2 05</w:t>
      </w:r>
      <w:r w:rsidR="00F32515" w:rsidRPr="00944F6E">
        <w:rPr>
          <w:sz w:val="28"/>
          <w:szCs w:val="28"/>
        </w:rPr>
        <w:t>2</w:t>
      </w:r>
      <w:r w:rsidR="003B42B6" w:rsidRPr="00944F6E">
        <w:rPr>
          <w:sz w:val="28"/>
          <w:szCs w:val="28"/>
        </w:rPr>
        <w:t xml:space="preserve"> personas</w:t>
      </w:r>
      <w:r w:rsidR="00C97E67" w:rsidRPr="00944F6E">
        <w:rPr>
          <w:sz w:val="28"/>
          <w:szCs w:val="28"/>
        </w:rPr>
        <w:t xml:space="preserve"> (ieskaitot </w:t>
      </w:r>
      <w:r w:rsidR="00AD3A51" w:rsidRPr="00944F6E">
        <w:rPr>
          <w:sz w:val="28"/>
          <w:szCs w:val="28"/>
        </w:rPr>
        <w:t xml:space="preserve">arī </w:t>
      </w:r>
      <w:r w:rsidR="00C97E67" w:rsidRPr="00944F6E">
        <w:rPr>
          <w:sz w:val="28"/>
          <w:szCs w:val="28"/>
        </w:rPr>
        <w:t>nodarbinātās personas)</w:t>
      </w:r>
      <w:r w:rsidR="003B42B6" w:rsidRPr="00944F6E">
        <w:rPr>
          <w:sz w:val="28"/>
          <w:szCs w:val="28"/>
        </w:rPr>
        <w:t xml:space="preserve">, no tām 94% sievietes un 6% vīrieši. Bērna </w:t>
      </w:r>
      <w:r w:rsidR="00DC1716" w:rsidRPr="00944F6E">
        <w:rPr>
          <w:sz w:val="28"/>
          <w:szCs w:val="28"/>
        </w:rPr>
        <w:t xml:space="preserve">invalīda </w:t>
      </w:r>
      <w:r w:rsidR="003B42B6" w:rsidRPr="00944F6E">
        <w:rPr>
          <w:sz w:val="28"/>
          <w:szCs w:val="28"/>
        </w:rPr>
        <w:t xml:space="preserve">kopšanas pabalsta apmērs </w:t>
      </w:r>
      <w:r w:rsidR="001D0915" w:rsidRPr="00944F6E">
        <w:rPr>
          <w:sz w:val="28"/>
          <w:szCs w:val="28"/>
        </w:rPr>
        <w:t xml:space="preserve">no 2008.gada </w:t>
      </w:r>
      <w:r w:rsidR="003B42B6" w:rsidRPr="00944F6E">
        <w:rPr>
          <w:sz w:val="28"/>
          <w:szCs w:val="28"/>
        </w:rPr>
        <w:t xml:space="preserve">ir 213,43 EUR mēnesī. </w:t>
      </w:r>
    </w:p>
    <w:p w:rsidR="00C717B1" w:rsidRPr="00944F6E" w:rsidRDefault="00C40FA7" w:rsidP="00C40FA7">
      <w:pPr>
        <w:pStyle w:val="ListParagraph"/>
        <w:autoSpaceDE w:val="0"/>
        <w:autoSpaceDN w:val="0"/>
        <w:adjustRightInd w:val="0"/>
        <w:ind w:left="0" w:firstLine="720"/>
        <w:jc w:val="both"/>
        <w:rPr>
          <w:sz w:val="28"/>
          <w:szCs w:val="28"/>
        </w:rPr>
      </w:pPr>
      <w:r w:rsidRPr="00944F6E">
        <w:rPr>
          <w:sz w:val="28"/>
          <w:szCs w:val="28"/>
        </w:rPr>
        <w:t>Saskaņā ar 2001.gada 5.jūnija Ministru kabineta noteikumiem Nr.230 „Noteikumi par valsts sociālās apdrošināšanas obligātajām iemaksām no valsts pamatbudžeta un valsts sociālās apdrošināšanas speciālajiem budžetiem” pensiju apdrošināšanai tiek veiktas obligātās iemaksas</w:t>
      </w:r>
      <w:r w:rsidR="00C717B1" w:rsidRPr="00944F6E">
        <w:rPr>
          <w:sz w:val="28"/>
          <w:szCs w:val="28"/>
        </w:rPr>
        <w:t>:</w:t>
      </w:r>
    </w:p>
    <w:p w:rsidR="00C717B1" w:rsidRPr="00944F6E" w:rsidRDefault="00C40FA7" w:rsidP="00C717B1">
      <w:pPr>
        <w:pStyle w:val="ListParagraph"/>
        <w:numPr>
          <w:ilvl w:val="0"/>
          <w:numId w:val="6"/>
        </w:numPr>
        <w:autoSpaceDE w:val="0"/>
        <w:autoSpaceDN w:val="0"/>
        <w:adjustRightInd w:val="0"/>
        <w:jc w:val="both"/>
        <w:rPr>
          <w:sz w:val="28"/>
          <w:szCs w:val="28"/>
        </w:rPr>
      </w:pPr>
      <w:r w:rsidRPr="00944F6E">
        <w:rPr>
          <w:sz w:val="28"/>
          <w:szCs w:val="28"/>
        </w:rPr>
        <w:t xml:space="preserve">20 procentu apmērā </w:t>
      </w:r>
      <w:r w:rsidRPr="00944F6E">
        <w:rPr>
          <w:bCs/>
          <w:sz w:val="28"/>
          <w:szCs w:val="28"/>
        </w:rPr>
        <w:t>no 171 EUR</w:t>
      </w:r>
      <w:r w:rsidRPr="00944F6E">
        <w:rPr>
          <w:b/>
          <w:bCs/>
          <w:sz w:val="28"/>
          <w:szCs w:val="28"/>
        </w:rPr>
        <w:t xml:space="preserve"> </w:t>
      </w:r>
      <w:r w:rsidRPr="00944F6E">
        <w:rPr>
          <w:bCs/>
          <w:sz w:val="28"/>
          <w:szCs w:val="28"/>
        </w:rPr>
        <w:t>no valsts pamatbudžeta</w:t>
      </w:r>
      <w:r w:rsidRPr="00944F6E">
        <w:rPr>
          <w:b/>
          <w:bCs/>
          <w:sz w:val="28"/>
          <w:szCs w:val="28"/>
        </w:rPr>
        <w:t xml:space="preserve"> </w:t>
      </w:r>
      <w:r w:rsidRPr="00944F6E">
        <w:rPr>
          <w:sz w:val="28"/>
          <w:szCs w:val="28"/>
        </w:rPr>
        <w:t>par personām, kuras kopj bērnu, kas nav sasniedzis pusotra gada vecumu un saņem bērna kopšanas pabalstu;</w:t>
      </w:r>
    </w:p>
    <w:p w:rsidR="004149EE" w:rsidRPr="00944F6E" w:rsidRDefault="00C40FA7" w:rsidP="00C717B1">
      <w:pPr>
        <w:pStyle w:val="ListParagraph"/>
        <w:numPr>
          <w:ilvl w:val="0"/>
          <w:numId w:val="6"/>
        </w:numPr>
        <w:autoSpaceDE w:val="0"/>
        <w:autoSpaceDN w:val="0"/>
        <w:adjustRightInd w:val="0"/>
        <w:jc w:val="both"/>
        <w:rPr>
          <w:sz w:val="28"/>
          <w:szCs w:val="28"/>
        </w:rPr>
      </w:pPr>
      <w:r w:rsidRPr="00944F6E">
        <w:rPr>
          <w:sz w:val="28"/>
          <w:szCs w:val="28"/>
        </w:rPr>
        <w:t xml:space="preserve"> </w:t>
      </w:r>
      <w:r w:rsidR="00C717B1" w:rsidRPr="00944F6E">
        <w:rPr>
          <w:sz w:val="28"/>
          <w:szCs w:val="28"/>
        </w:rPr>
        <w:t xml:space="preserve">20 procentu apmērā </w:t>
      </w:r>
      <w:r w:rsidR="00C717B1" w:rsidRPr="00944F6E">
        <w:rPr>
          <w:bCs/>
          <w:sz w:val="28"/>
          <w:szCs w:val="28"/>
        </w:rPr>
        <w:t>no 171 EUR</w:t>
      </w:r>
      <w:r w:rsidRPr="00944F6E">
        <w:rPr>
          <w:sz w:val="28"/>
          <w:szCs w:val="28"/>
        </w:rPr>
        <w:t xml:space="preserve"> no invaliditātes, maternitātes un slimības speciālā budžeta par personām, kuras kopj bērnu, kas nav sasniedzis gada vai pusotra gada vecumu, un saņem vecāku pabalstu</w:t>
      </w:r>
      <w:r w:rsidR="00C717B1" w:rsidRPr="00944F6E">
        <w:rPr>
          <w:sz w:val="28"/>
          <w:szCs w:val="28"/>
        </w:rPr>
        <w:t>;</w:t>
      </w:r>
    </w:p>
    <w:p w:rsidR="00C717B1" w:rsidRPr="00944F6E" w:rsidRDefault="00C717B1" w:rsidP="00C717B1">
      <w:pPr>
        <w:pStyle w:val="ListParagraph"/>
        <w:numPr>
          <w:ilvl w:val="0"/>
          <w:numId w:val="6"/>
        </w:numPr>
        <w:autoSpaceDE w:val="0"/>
        <w:autoSpaceDN w:val="0"/>
        <w:adjustRightInd w:val="0"/>
        <w:jc w:val="both"/>
        <w:rPr>
          <w:sz w:val="28"/>
          <w:szCs w:val="28"/>
        </w:rPr>
      </w:pPr>
      <w:r w:rsidRPr="00944F6E">
        <w:rPr>
          <w:sz w:val="28"/>
          <w:szCs w:val="28"/>
        </w:rPr>
        <w:t xml:space="preserve">20 procentu apmērā </w:t>
      </w:r>
      <w:r w:rsidRPr="00944F6E">
        <w:rPr>
          <w:bCs/>
          <w:sz w:val="28"/>
          <w:szCs w:val="28"/>
        </w:rPr>
        <w:t>no 71,14 EUR no valsts pamatbudžeta</w:t>
      </w:r>
      <w:r w:rsidRPr="00944F6E">
        <w:rPr>
          <w:b/>
          <w:bCs/>
          <w:sz w:val="28"/>
          <w:szCs w:val="28"/>
        </w:rPr>
        <w:t xml:space="preserve"> </w:t>
      </w:r>
      <w:r w:rsidRPr="00944F6E">
        <w:rPr>
          <w:sz w:val="28"/>
          <w:szCs w:val="28"/>
        </w:rPr>
        <w:t>par personām, kuras saņem bērna invalīda kopšanas pabalstu.</w:t>
      </w:r>
    </w:p>
    <w:p w:rsidR="00365E67" w:rsidRPr="00944F6E" w:rsidRDefault="00365E67" w:rsidP="00C40FA7">
      <w:pPr>
        <w:pStyle w:val="ListParagraph"/>
        <w:autoSpaceDE w:val="0"/>
        <w:autoSpaceDN w:val="0"/>
        <w:adjustRightInd w:val="0"/>
        <w:ind w:left="0" w:firstLine="720"/>
        <w:jc w:val="both"/>
        <w:rPr>
          <w:sz w:val="28"/>
          <w:szCs w:val="28"/>
        </w:rPr>
      </w:pPr>
      <w:r w:rsidRPr="00944F6E">
        <w:rPr>
          <w:sz w:val="28"/>
          <w:szCs w:val="28"/>
        </w:rPr>
        <w:lastRenderedPageBreak/>
        <w:t xml:space="preserve">Saskaņā ar šiem noteikumiem iepriekš minētajām personām no šāda iemaksu objekta tiek veiktas sociālās apdrošināšanas iemaksas arī bezdarba un invaliditātes apdrošināšanai. </w:t>
      </w:r>
    </w:p>
    <w:p w:rsidR="00C40FA7" w:rsidRPr="00944F6E" w:rsidRDefault="00C40FA7" w:rsidP="00C40FA7">
      <w:pPr>
        <w:pStyle w:val="ListParagraph"/>
        <w:autoSpaceDE w:val="0"/>
        <w:autoSpaceDN w:val="0"/>
        <w:adjustRightInd w:val="0"/>
        <w:ind w:left="0" w:firstLine="720"/>
        <w:jc w:val="both"/>
        <w:rPr>
          <w:sz w:val="28"/>
          <w:szCs w:val="28"/>
        </w:rPr>
      </w:pPr>
      <w:r w:rsidRPr="00944F6E">
        <w:rPr>
          <w:sz w:val="28"/>
          <w:szCs w:val="28"/>
        </w:rPr>
        <w:t>Laika periodu, kurā par personām tiek veiktas obligātās iemaksas no valsts pamatbudžeta vai no invaliditātes, maternitātes un slimības speciālā budžeta, ieskaita personas apdrošināšanas stāžā, ko ņem vērā pie pensijas apmēra noteikšanas, ja persona šajā laikā nav bijusi nodarbināta. Ja persona vienlaikus ir strādājusi un audzinājusi bērnus, tad dubultā šo laiku stāžā neieskaita.</w:t>
      </w:r>
    </w:p>
    <w:p w:rsidR="00C40FA7" w:rsidRPr="00944F6E" w:rsidRDefault="00C40FA7" w:rsidP="00C40FA7">
      <w:pPr>
        <w:ind w:firstLine="720"/>
        <w:jc w:val="both"/>
        <w:rPr>
          <w:sz w:val="28"/>
          <w:szCs w:val="28"/>
        </w:rPr>
      </w:pPr>
      <w:r w:rsidRPr="00944F6E">
        <w:rPr>
          <w:sz w:val="28"/>
          <w:szCs w:val="28"/>
        </w:rPr>
        <w:t xml:space="preserve">Pārejas periodā finansiāli papildus tiek atbalstītas tās personas, kuru apdrošināšanas </w:t>
      </w:r>
      <w:r w:rsidR="00550DA1" w:rsidRPr="00944F6E">
        <w:rPr>
          <w:sz w:val="28"/>
          <w:szCs w:val="28"/>
        </w:rPr>
        <w:t xml:space="preserve">stāžs nav mazāks par 30 gadiem (no kuriem vismaz pieci gadi uzkrāti pēc 1996.gada), </w:t>
      </w:r>
      <w:r w:rsidRPr="00944F6E">
        <w:rPr>
          <w:sz w:val="28"/>
          <w:szCs w:val="28"/>
        </w:rPr>
        <w:t>bet kuru ienākumi ir bijuši zemāki nekā vidēji valstī, t.i., pensijas sākuma kapitāla aprēķināšanai nozīmīgajos gados (</w:t>
      </w:r>
      <w:r w:rsidRPr="00944F6E">
        <w:rPr>
          <w:i/>
          <w:iCs/>
          <w:sz w:val="28"/>
          <w:szCs w:val="28"/>
        </w:rPr>
        <w:t>1996.-1999</w:t>
      </w:r>
      <w:r w:rsidRPr="00944F6E">
        <w:rPr>
          <w:sz w:val="28"/>
          <w:szCs w:val="28"/>
        </w:rPr>
        <w:t>.) tiek izmantota, nevis individuālā apdrošināšanas iemaksu alga, bet gan vidējā alga valstī.  201</w:t>
      </w:r>
      <w:r w:rsidR="0043773F" w:rsidRPr="00944F6E">
        <w:rPr>
          <w:sz w:val="28"/>
          <w:szCs w:val="28"/>
        </w:rPr>
        <w:t>8</w:t>
      </w:r>
      <w:r w:rsidRPr="00944F6E">
        <w:rPr>
          <w:sz w:val="28"/>
          <w:szCs w:val="28"/>
        </w:rPr>
        <w:t xml:space="preserve">.gadā </w:t>
      </w:r>
      <w:r w:rsidR="00085C29" w:rsidRPr="00944F6E">
        <w:rPr>
          <w:sz w:val="28"/>
          <w:szCs w:val="28"/>
        </w:rPr>
        <w:t>vecuma pensiju</w:t>
      </w:r>
      <w:r w:rsidR="00AD3A51" w:rsidRPr="00944F6E">
        <w:rPr>
          <w:sz w:val="28"/>
          <w:szCs w:val="28"/>
        </w:rPr>
        <w:t xml:space="preserve"> aprēķinā piemērojamā </w:t>
      </w:r>
      <w:r w:rsidRPr="00944F6E">
        <w:rPr>
          <w:sz w:val="28"/>
          <w:szCs w:val="28"/>
        </w:rPr>
        <w:t xml:space="preserve">vidējā aktualizētā apdrošināšanas iemaksu alga valstī </w:t>
      </w:r>
      <w:r w:rsidR="00AD3A51" w:rsidRPr="00944F6E">
        <w:rPr>
          <w:sz w:val="28"/>
          <w:szCs w:val="28"/>
        </w:rPr>
        <w:t xml:space="preserve">par laika periodu </w:t>
      </w:r>
      <w:r w:rsidRPr="00944F6E">
        <w:rPr>
          <w:sz w:val="28"/>
          <w:szCs w:val="28"/>
        </w:rPr>
        <w:t xml:space="preserve">no 1996. -1999.gadam </w:t>
      </w:r>
      <w:r w:rsidR="0043773F" w:rsidRPr="00944F6E">
        <w:rPr>
          <w:sz w:val="28"/>
          <w:szCs w:val="28"/>
        </w:rPr>
        <w:t>ir</w:t>
      </w:r>
      <w:proofErr w:type="gramStart"/>
      <w:r w:rsidR="0043773F" w:rsidRPr="00944F6E">
        <w:rPr>
          <w:sz w:val="28"/>
          <w:szCs w:val="28"/>
        </w:rPr>
        <w:t xml:space="preserve"> </w:t>
      </w:r>
      <w:r w:rsidR="00085C29" w:rsidRPr="00944F6E">
        <w:rPr>
          <w:sz w:val="28"/>
          <w:szCs w:val="28"/>
        </w:rPr>
        <w:t xml:space="preserve"> </w:t>
      </w:r>
      <w:proofErr w:type="gramEnd"/>
      <w:r w:rsidR="00550DA1" w:rsidRPr="00944F6E">
        <w:rPr>
          <w:sz w:val="28"/>
          <w:szCs w:val="28"/>
        </w:rPr>
        <w:t>908,35</w:t>
      </w:r>
      <w:r w:rsidRPr="00944F6E">
        <w:rPr>
          <w:sz w:val="28"/>
          <w:szCs w:val="28"/>
        </w:rPr>
        <w:t xml:space="preserve"> EUR, kas ir pieaugusi vairāk kā sešas reizes (ikgadējo pensijas kapitāla indeksu piemērošanas rezultāts). Jāatzīmē, ja šāda atvieglojuma nebūtu, tad pensijas apmērs būtu ievērojami zemāks nekā piešķirtais apmērs. 201</w:t>
      </w:r>
      <w:r w:rsidR="006609FB" w:rsidRPr="00944F6E">
        <w:rPr>
          <w:sz w:val="28"/>
          <w:szCs w:val="28"/>
        </w:rPr>
        <w:t>7</w:t>
      </w:r>
      <w:r w:rsidRPr="00944F6E">
        <w:rPr>
          <w:sz w:val="28"/>
          <w:szCs w:val="28"/>
        </w:rPr>
        <w:t xml:space="preserve">.gadā no visām </w:t>
      </w:r>
      <w:proofErr w:type="spellStart"/>
      <w:r w:rsidRPr="00944F6E">
        <w:rPr>
          <w:sz w:val="28"/>
          <w:szCs w:val="28"/>
        </w:rPr>
        <w:t>jaunpiešķirtajām</w:t>
      </w:r>
      <w:proofErr w:type="spellEnd"/>
      <w:r w:rsidRPr="00944F6E">
        <w:rPr>
          <w:sz w:val="28"/>
          <w:szCs w:val="28"/>
        </w:rPr>
        <w:t xml:space="preserve"> vecuma pensijām 51% pensiju tika piemērots šis atvieglojums.</w:t>
      </w:r>
    </w:p>
    <w:p w:rsidR="00C40FA7" w:rsidRPr="00944F6E" w:rsidRDefault="00C40FA7" w:rsidP="00C40FA7">
      <w:pPr>
        <w:autoSpaceDE w:val="0"/>
        <w:autoSpaceDN w:val="0"/>
        <w:adjustRightInd w:val="0"/>
        <w:ind w:firstLine="720"/>
        <w:jc w:val="both"/>
        <w:rPr>
          <w:sz w:val="28"/>
          <w:szCs w:val="28"/>
        </w:rPr>
      </w:pPr>
      <w:r w:rsidRPr="00944F6E">
        <w:rPr>
          <w:sz w:val="28"/>
          <w:szCs w:val="28"/>
        </w:rPr>
        <w:t>Savukārt personām, kurām no 2010.gada 1.janvāra līdz 2015.gada 31.decembrim piešķirta vai pārrēķināta vecuma, izdienas vai apgādnieka zaudējuma pensija un kuras aprēķinā ir ņemti vērā negatīvie pensijas kapitāla indeksi, pensijas tiek pārskatītas. Tas nozīmē, ka pensijas kapitāla aprēķināšanā tiek piemērota izlīdzināšanas metode, t.i., negatīvos pensijas kapitāla indeksus un tam sekojošos pozitīvos indeksus aizstā</w:t>
      </w:r>
      <w:r w:rsidR="00085C29" w:rsidRPr="00944F6E">
        <w:rPr>
          <w:sz w:val="28"/>
          <w:szCs w:val="28"/>
        </w:rPr>
        <w:t>j</w:t>
      </w:r>
      <w:r w:rsidRPr="00944F6E">
        <w:rPr>
          <w:sz w:val="28"/>
          <w:szCs w:val="28"/>
        </w:rPr>
        <w:t xml:space="preserve"> ar skaitli "1" līdz laikam, kad negatīvo un pozitīvo indeksu reizinājums būs lielāks par skaitli "1". 2016.gadā pārskatīja pensijas, kas piešķirtas</w:t>
      </w:r>
      <w:r w:rsidR="004D601F" w:rsidRPr="00944F6E">
        <w:rPr>
          <w:sz w:val="28"/>
          <w:szCs w:val="28"/>
        </w:rPr>
        <w:t xml:space="preserve"> vai pārrēķinātas 2010.gadā, 2017.gadā -</w:t>
      </w:r>
      <w:proofErr w:type="gramStart"/>
      <w:r w:rsidR="004D601F" w:rsidRPr="00944F6E">
        <w:rPr>
          <w:sz w:val="28"/>
          <w:szCs w:val="28"/>
        </w:rPr>
        <w:t xml:space="preserve"> </w:t>
      </w:r>
      <w:r w:rsidRPr="00944F6E">
        <w:rPr>
          <w:sz w:val="28"/>
          <w:szCs w:val="28"/>
        </w:rPr>
        <w:t xml:space="preserve"> </w:t>
      </w:r>
      <w:proofErr w:type="gramEnd"/>
      <w:r w:rsidR="004D601F" w:rsidRPr="00944F6E">
        <w:rPr>
          <w:sz w:val="28"/>
          <w:szCs w:val="28"/>
        </w:rPr>
        <w:t xml:space="preserve">pensijas, kas piešķirtas vai pārrēķinātas 2011.gadā. </w:t>
      </w:r>
      <w:r w:rsidRPr="00944F6E">
        <w:rPr>
          <w:sz w:val="28"/>
          <w:szCs w:val="28"/>
        </w:rPr>
        <w:t>Vidējais pensijas apmēra palielinājums 2016.gadā pārskatītajām pensijām bija 11,</w:t>
      </w:r>
      <w:r w:rsidR="004D601F" w:rsidRPr="00944F6E">
        <w:rPr>
          <w:sz w:val="28"/>
          <w:szCs w:val="28"/>
        </w:rPr>
        <w:t>85 EUR, bet 2017.gadā – 49 EUR.</w:t>
      </w:r>
      <w:r w:rsidRPr="00944F6E">
        <w:rPr>
          <w:sz w:val="28"/>
          <w:szCs w:val="28"/>
        </w:rPr>
        <w:t xml:space="preserve"> 201</w:t>
      </w:r>
      <w:r w:rsidR="004D601F" w:rsidRPr="00944F6E">
        <w:rPr>
          <w:sz w:val="28"/>
          <w:szCs w:val="28"/>
        </w:rPr>
        <w:t>8</w:t>
      </w:r>
      <w:r w:rsidRPr="00944F6E">
        <w:rPr>
          <w:sz w:val="28"/>
          <w:szCs w:val="28"/>
        </w:rPr>
        <w:t>.gadā pārskat</w:t>
      </w:r>
      <w:r w:rsidR="00AB0E17" w:rsidRPr="00944F6E">
        <w:rPr>
          <w:sz w:val="28"/>
          <w:szCs w:val="28"/>
        </w:rPr>
        <w:t>a</w:t>
      </w:r>
      <w:r w:rsidRPr="00944F6E">
        <w:rPr>
          <w:sz w:val="28"/>
          <w:szCs w:val="28"/>
        </w:rPr>
        <w:t xml:space="preserve"> pensijas, kas piešķirtas vai pārrēķinātas 2012., 2013., 2014. un 2015.gadā.</w:t>
      </w:r>
    </w:p>
    <w:p w:rsidR="00C40FA7" w:rsidRPr="00944F6E" w:rsidRDefault="00C40FA7" w:rsidP="00C40FA7">
      <w:pPr>
        <w:ind w:firstLine="720"/>
        <w:jc w:val="both"/>
        <w:rPr>
          <w:sz w:val="28"/>
          <w:szCs w:val="28"/>
        </w:rPr>
      </w:pPr>
      <w:r w:rsidRPr="00944F6E">
        <w:rPr>
          <w:sz w:val="28"/>
          <w:szCs w:val="28"/>
        </w:rPr>
        <w:t>Tāpat arī ikgadējā pensiju indeksācijā ir piemērojami atvieglojumi - noteiktām pensionāru grupām pensijas tiek pārskatītas labvēlīgākā kārtībā kā pārējiem pensionāriem, t.i., politiski represētajām personām, personām ar I grupas invaliditāti un Černobiļas atomelektrostacijas avārijas seku likvidēšanas dalībniekiem pensijas tiek indeksētas pilnā apmērā. Līdz ar to šīm personām kopumā vidējais pensijas pieaugums ir lielāks.</w:t>
      </w:r>
    </w:p>
    <w:p w:rsidR="00C40FA7" w:rsidRPr="00944F6E" w:rsidRDefault="00C40FA7" w:rsidP="00C40FA7">
      <w:pPr>
        <w:ind w:firstLine="720"/>
        <w:jc w:val="both"/>
        <w:rPr>
          <w:sz w:val="28"/>
          <w:szCs w:val="28"/>
        </w:rPr>
      </w:pPr>
      <w:r w:rsidRPr="00944F6E">
        <w:rPr>
          <w:noProof/>
          <w:sz w:val="28"/>
          <w:szCs w:val="28"/>
        </w:rPr>
        <w:t>Jebkurām papildus garantijām, kas tiek piemērotas pensiju aprēķinā, lai palielinātu piešķirtās pensijas apmēru, nav reālu sociālās apdrošināšanas iemaksu seguma, un līdz ar to tas ir papildus finanšu slogs visiem pārējiem pensiju sistēmas dalībniekiem.</w:t>
      </w:r>
    </w:p>
    <w:p w:rsidR="00C40FA7" w:rsidRPr="00944F6E" w:rsidRDefault="00C40FA7" w:rsidP="00C40FA7">
      <w:pPr>
        <w:autoSpaceDE w:val="0"/>
        <w:autoSpaceDN w:val="0"/>
        <w:adjustRightInd w:val="0"/>
        <w:ind w:firstLine="709"/>
        <w:jc w:val="both"/>
        <w:rPr>
          <w:sz w:val="28"/>
          <w:szCs w:val="28"/>
        </w:rPr>
      </w:pPr>
    </w:p>
    <w:p w:rsidR="00F8027B" w:rsidRPr="00944F6E" w:rsidRDefault="00F8027B" w:rsidP="00C40FA7">
      <w:pPr>
        <w:autoSpaceDE w:val="0"/>
        <w:autoSpaceDN w:val="0"/>
        <w:adjustRightInd w:val="0"/>
        <w:ind w:firstLine="709"/>
        <w:jc w:val="both"/>
        <w:rPr>
          <w:b/>
          <w:sz w:val="28"/>
          <w:szCs w:val="28"/>
        </w:rPr>
      </w:pPr>
    </w:p>
    <w:p w:rsidR="00C40FA7" w:rsidRPr="00944F6E" w:rsidRDefault="00C40FA7" w:rsidP="00C40FA7">
      <w:pPr>
        <w:autoSpaceDE w:val="0"/>
        <w:autoSpaceDN w:val="0"/>
        <w:adjustRightInd w:val="0"/>
        <w:ind w:firstLine="709"/>
        <w:jc w:val="both"/>
        <w:rPr>
          <w:b/>
          <w:sz w:val="28"/>
          <w:szCs w:val="28"/>
        </w:rPr>
      </w:pPr>
      <w:r w:rsidRPr="00944F6E">
        <w:rPr>
          <w:b/>
          <w:sz w:val="28"/>
          <w:szCs w:val="28"/>
        </w:rPr>
        <w:t>2. Izvērtējums par ātrāku pensionēšanos visiem daudzbērnu vecākiem</w:t>
      </w:r>
    </w:p>
    <w:p w:rsidR="00C40FA7" w:rsidRPr="00944F6E" w:rsidRDefault="00C40FA7" w:rsidP="00C40FA7">
      <w:pPr>
        <w:autoSpaceDE w:val="0"/>
        <w:autoSpaceDN w:val="0"/>
        <w:adjustRightInd w:val="0"/>
        <w:ind w:firstLine="709"/>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r w:rsidRPr="00944F6E">
        <w:rPr>
          <w:sz w:val="28"/>
          <w:szCs w:val="28"/>
        </w:rPr>
        <w:t xml:space="preserve">Sociālā politika, it īpaši pensiju sistēma, Latvijā, tāpat kā citās ES dalībvalstīs, ir nesaraujami saistīta ar valsts demogrāfisko un ekonomisko attīstību. Sabiedrības novecošanās ir nopietns risks valsts sociālās apdrošināšanas sistēmas stabilitātei ne tikai pašlaik, bet arī turpmākajos gados. </w:t>
      </w:r>
    </w:p>
    <w:p w:rsidR="00C40FA7" w:rsidRPr="00944F6E" w:rsidRDefault="00AA4A6F" w:rsidP="003A3B38">
      <w:pPr>
        <w:tabs>
          <w:tab w:val="left" w:pos="720"/>
        </w:tabs>
        <w:autoSpaceDE w:val="0"/>
        <w:autoSpaceDN w:val="0"/>
        <w:adjustRightInd w:val="0"/>
        <w:ind w:firstLine="709"/>
        <w:jc w:val="both"/>
        <w:rPr>
          <w:sz w:val="28"/>
          <w:szCs w:val="28"/>
        </w:rPr>
      </w:pPr>
      <w:r w:rsidRPr="00944F6E">
        <w:rPr>
          <w:noProof/>
          <w:sz w:val="28"/>
          <w:szCs w:val="28"/>
          <w:lang w:val="pt-PT"/>
        </w:rPr>
        <w:t>Kopš 1993. gada pensijas vecuma iedzīvotāju īpatsvars ir lielāks par bērnu un pusaudžu īpatsvaru, kas nozīmē, ka nākotnē būs mazāks iedzīvotāju skaits darbspējas vecumā un demogr</w:t>
      </w:r>
      <w:r w:rsidR="00311A18" w:rsidRPr="00944F6E">
        <w:rPr>
          <w:noProof/>
          <w:sz w:val="28"/>
          <w:szCs w:val="28"/>
          <w:lang w:val="pt-PT"/>
        </w:rPr>
        <w:t>āfiskās slodzes līmenis pieaugs</w:t>
      </w:r>
      <w:r w:rsidR="00311A18" w:rsidRPr="00944F6E">
        <w:rPr>
          <w:rStyle w:val="FootnoteReference"/>
          <w:noProof/>
          <w:sz w:val="28"/>
          <w:szCs w:val="28"/>
          <w:lang w:val="pt-PT"/>
        </w:rPr>
        <w:footnoteReference w:id="5"/>
      </w:r>
      <w:r w:rsidR="00311A18" w:rsidRPr="00944F6E">
        <w:rPr>
          <w:noProof/>
          <w:sz w:val="28"/>
          <w:szCs w:val="28"/>
          <w:lang w:val="pt-PT"/>
        </w:rPr>
        <w:t xml:space="preserve">, t.i. iedzīvotājiem darbspējas vecumā būs jāuztur arvien lielāka sabiedrības daļa. </w:t>
      </w:r>
      <w:r w:rsidR="00843EF1" w:rsidRPr="00944F6E">
        <w:rPr>
          <w:noProof/>
          <w:sz w:val="28"/>
          <w:szCs w:val="28"/>
          <w:lang w:val="pt-PT"/>
        </w:rPr>
        <w:t>I</w:t>
      </w:r>
      <w:r w:rsidR="00C40FA7" w:rsidRPr="00944F6E">
        <w:rPr>
          <w:noProof/>
          <w:sz w:val="28"/>
          <w:szCs w:val="28"/>
          <w:lang w:val="pt-PT"/>
        </w:rPr>
        <w:t>edzīvotāju novecošanās tendenc</w:t>
      </w:r>
      <w:r w:rsidR="00843EF1" w:rsidRPr="00944F6E">
        <w:rPr>
          <w:noProof/>
          <w:sz w:val="28"/>
          <w:szCs w:val="28"/>
          <w:lang w:val="pt-PT"/>
        </w:rPr>
        <w:t>ēm</w:t>
      </w:r>
      <w:r w:rsidR="00C40FA7" w:rsidRPr="00944F6E">
        <w:rPr>
          <w:noProof/>
          <w:sz w:val="28"/>
          <w:szCs w:val="28"/>
          <w:lang w:val="pt-PT"/>
        </w:rPr>
        <w:t xml:space="preserve"> </w:t>
      </w:r>
      <w:r w:rsidR="00843EF1" w:rsidRPr="00944F6E">
        <w:rPr>
          <w:noProof/>
          <w:sz w:val="28"/>
          <w:szCs w:val="28"/>
          <w:lang w:val="pt-PT"/>
        </w:rPr>
        <w:t>turpinoties</w:t>
      </w:r>
      <w:r w:rsidR="00C40FA7" w:rsidRPr="00944F6E">
        <w:rPr>
          <w:noProof/>
          <w:sz w:val="28"/>
          <w:szCs w:val="28"/>
          <w:lang w:val="pt-PT"/>
        </w:rPr>
        <w:t xml:space="preserve">, </w:t>
      </w:r>
      <w:r w:rsidR="00843EF1" w:rsidRPr="00944F6E">
        <w:rPr>
          <w:noProof/>
          <w:sz w:val="28"/>
          <w:szCs w:val="28"/>
          <w:lang w:val="pt-PT"/>
        </w:rPr>
        <w:t>paredzamas</w:t>
      </w:r>
      <w:r w:rsidR="00C40FA7" w:rsidRPr="00944F6E">
        <w:rPr>
          <w:noProof/>
          <w:sz w:val="28"/>
          <w:szCs w:val="28"/>
          <w:lang w:val="pt-PT"/>
        </w:rPr>
        <w:t xml:space="preserve"> lielākas sociālās izdevumu vajadzības, kuras jāfinansē arvien mazākam darba ņēmēju skaitam. Līdz ar to i</w:t>
      </w:r>
      <w:r w:rsidR="00C40FA7" w:rsidRPr="00944F6E">
        <w:rPr>
          <w:noProof/>
          <w:sz w:val="28"/>
          <w:szCs w:val="28"/>
        </w:rPr>
        <w:t>lgāka darba mūža atbalstīšanai ir izšķiroša nozīme, ņemot vērā Latvijas demogrāfiskās problēmas un augstos demogrāfiskās slodzes rādītājus</w:t>
      </w:r>
      <w:r w:rsidR="0026427D" w:rsidRPr="00944F6E">
        <w:rPr>
          <w:noProof/>
          <w:sz w:val="28"/>
          <w:szCs w:val="28"/>
        </w:rPr>
        <w:t xml:space="preserve"> (s</w:t>
      </w:r>
      <w:r w:rsidR="003A3B38" w:rsidRPr="00944F6E">
        <w:rPr>
          <w:noProof/>
          <w:sz w:val="28"/>
          <w:szCs w:val="28"/>
        </w:rPr>
        <w:t>agaidāms, ka iedzīvotāju vecumā virs 65 gadiem skaita proporcija no darbspējas vecuma iedzīvotājiem (20-64 gadi) Latvijā pieaugs no 32% 2015.gadā līdz 58% 2055.gadā</w:t>
      </w:r>
      <w:r w:rsidR="00843EF1" w:rsidRPr="00944F6E">
        <w:rPr>
          <w:rStyle w:val="FootnoteReference"/>
          <w:noProof/>
          <w:sz w:val="28"/>
          <w:szCs w:val="28"/>
        </w:rPr>
        <w:footnoteReference w:id="6"/>
      </w:r>
      <w:r w:rsidR="0026427D" w:rsidRPr="00944F6E">
        <w:rPr>
          <w:noProof/>
          <w:sz w:val="28"/>
          <w:szCs w:val="28"/>
        </w:rPr>
        <w:t>)</w:t>
      </w:r>
      <w:r w:rsidR="00C40FA7" w:rsidRPr="00944F6E">
        <w:rPr>
          <w:noProof/>
          <w:sz w:val="28"/>
          <w:szCs w:val="28"/>
        </w:rPr>
        <w:t xml:space="preserve">. </w:t>
      </w:r>
      <w:r w:rsidR="00C40FA7" w:rsidRPr="00944F6E">
        <w:rPr>
          <w:sz w:val="28"/>
          <w:szCs w:val="28"/>
        </w:rPr>
        <w:t xml:space="preserve">Aktīva un iekļaujoša politika un ilgāka atrašanās darba tirgū ir risinājums arī iedzīvotāju novecošanās problēmas risināšanai. </w:t>
      </w:r>
    </w:p>
    <w:p w:rsidR="00C40FA7" w:rsidRPr="00944F6E" w:rsidRDefault="00C40FA7" w:rsidP="00C40FA7">
      <w:pPr>
        <w:tabs>
          <w:tab w:val="left" w:pos="720"/>
        </w:tabs>
        <w:autoSpaceDE w:val="0"/>
        <w:autoSpaceDN w:val="0"/>
        <w:adjustRightInd w:val="0"/>
        <w:ind w:firstLine="720"/>
        <w:jc w:val="both"/>
        <w:rPr>
          <w:sz w:val="28"/>
          <w:szCs w:val="28"/>
        </w:rPr>
      </w:pPr>
      <w:r w:rsidRPr="00944F6E">
        <w:rPr>
          <w:sz w:val="28"/>
          <w:szCs w:val="28"/>
        </w:rPr>
        <w:t xml:space="preserve">Izveidojot sīkāku gradāciju, lai varētu doties pensijā ātrāk atkarībā no izaudzināto bērnu skaita, tas nav izmantojams kā mehānisms ar mērķi atrisināt pašreizējo demogrāfisko situāciju valstī. </w:t>
      </w:r>
      <w:proofErr w:type="gramStart"/>
      <w:r w:rsidRPr="00944F6E">
        <w:rPr>
          <w:sz w:val="28"/>
          <w:szCs w:val="28"/>
        </w:rPr>
        <w:t>Bez tam</w:t>
      </w:r>
      <w:proofErr w:type="gramEnd"/>
      <w:r w:rsidRPr="00944F6E">
        <w:rPr>
          <w:sz w:val="28"/>
          <w:szCs w:val="28"/>
        </w:rPr>
        <w:t xml:space="preserve"> Latvijas pensiju sistēma saskaņā ar spēkā esošajiem normatīvajiem aktiem jau piedāvā atvieglojumu doties pensijā piecus gadus ātrāk personām, kuras aprūpējušas piecus vai vairāk bērnus. Vienlaikus jāatzīmē, ka minētajām personām, izmantojot iespēju ātrāk pensionēties, būs gan mazāks pensijas kapitāls, gan apdrošināšanas stāžs, līdz ar to arī pensijas apmērs. </w:t>
      </w:r>
    </w:p>
    <w:p w:rsidR="00C40FA7" w:rsidRPr="00944F6E" w:rsidRDefault="00C40FA7" w:rsidP="00C40FA7">
      <w:pPr>
        <w:autoSpaceDE w:val="0"/>
        <w:autoSpaceDN w:val="0"/>
        <w:adjustRightInd w:val="0"/>
        <w:ind w:firstLine="720"/>
        <w:jc w:val="both"/>
        <w:rPr>
          <w:sz w:val="28"/>
          <w:szCs w:val="28"/>
        </w:rPr>
      </w:pPr>
      <w:r w:rsidRPr="00944F6E">
        <w:rPr>
          <w:sz w:val="28"/>
          <w:szCs w:val="28"/>
        </w:rPr>
        <w:t xml:space="preserve">Pastāvot iespējai atsevišķām personu kategorijām doties pensijā ātrāk, pensiju sistēmai ilgtermiņā tiek uzlikts papildu slogs, t.i., jo vairāk </w:t>
      </w:r>
      <w:r w:rsidR="00614310" w:rsidRPr="00944F6E">
        <w:rPr>
          <w:sz w:val="28"/>
          <w:szCs w:val="28"/>
        </w:rPr>
        <w:t xml:space="preserve">iedzīvotāji </w:t>
      </w:r>
      <w:r w:rsidR="0043773F" w:rsidRPr="00944F6E">
        <w:rPr>
          <w:sz w:val="28"/>
          <w:szCs w:val="28"/>
        </w:rPr>
        <w:t xml:space="preserve">darbspējas vecumā </w:t>
      </w:r>
      <w:r w:rsidRPr="00944F6E">
        <w:rPr>
          <w:sz w:val="28"/>
          <w:szCs w:val="28"/>
        </w:rPr>
        <w:t xml:space="preserve">būs ekonomiski </w:t>
      </w:r>
      <w:r w:rsidR="00614310" w:rsidRPr="00944F6E">
        <w:rPr>
          <w:sz w:val="28"/>
          <w:szCs w:val="28"/>
        </w:rPr>
        <w:t>neaktīvi</w:t>
      </w:r>
      <w:r w:rsidRPr="00944F6E">
        <w:rPr>
          <w:sz w:val="28"/>
          <w:szCs w:val="28"/>
        </w:rPr>
        <w:t>, jo vairāk sociāli atkarīgi no pārējiem. Jebkādu jaunu garantiju un atvieglojumu ieviešana ir saistīta ar papildu finanšu resursu nepieciešamību. Tā kā vecuma pensijas apmērs ir atkarīgs gan no apdrošinātās personas pierādītā apdrošināšanas stāža līdz 1996.gadam, gan no uzkrātā pensijas kapitāla laikā no 1996.gada 1.janvāra līdz pensijas pieprasīšanas mēnesim, kā arī no personas vecuma pensijas piešķiršanas brīdī, tad papildu atvieglojumi ietekmētu mazāka apmēra pensiju</w:t>
      </w:r>
      <w:r w:rsidRPr="00944F6E" w:rsidDel="00617D70">
        <w:rPr>
          <w:sz w:val="28"/>
          <w:szCs w:val="28"/>
        </w:rPr>
        <w:t xml:space="preserve"> </w:t>
      </w:r>
      <w:r w:rsidRPr="00944F6E">
        <w:rPr>
          <w:sz w:val="28"/>
          <w:szCs w:val="28"/>
        </w:rPr>
        <w:t>aprēķināšanu, kas savukārt palielinātu nabadzības līmeni starp pensijas vecuma iedzīvotājiem.</w:t>
      </w:r>
    </w:p>
    <w:p w:rsidR="00C40FA7" w:rsidRPr="00944F6E" w:rsidRDefault="00C40FA7" w:rsidP="00C40FA7">
      <w:pPr>
        <w:tabs>
          <w:tab w:val="left" w:pos="720"/>
        </w:tabs>
        <w:autoSpaceDE w:val="0"/>
        <w:autoSpaceDN w:val="0"/>
        <w:adjustRightInd w:val="0"/>
        <w:ind w:firstLine="960"/>
        <w:jc w:val="both"/>
        <w:rPr>
          <w:sz w:val="28"/>
          <w:szCs w:val="28"/>
        </w:rPr>
      </w:pPr>
    </w:p>
    <w:p w:rsidR="00F8027B" w:rsidRPr="00944F6E" w:rsidRDefault="00F8027B" w:rsidP="00C40FA7">
      <w:pPr>
        <w:tabs>
          <w:tab w:val="left" w:pos="720"/>
        </w:tabs>
        <w:autoSpaceDE w:val="0"/>
        <w:autoSpaceDN w:val="0"/>
        <w:adjustRightInd w:val="0"/>
        <w:ind w:firstLine="960"/>
        <w:jc w:val="both"/>
        <w:rPr>
          <w:sz w:val="28"/>
          <w:szCs w:val="28"/>
        </w:rPr>
      </w:pPr>
    </w:p>
    <w:p w:rsidR="00F8027B" w:rsidRPr="00944F6E" w:rsidRDefault="00F8027B" w:rsidP="00C40FA7">
      <w:pPr>
        <w:tabs>
          <w:tab w:val="left" w:pos="720"/>
        </w:tabs>
        <w:autoSpaceDE w:val="0"/>
        <w:autoSpaceDN w:val="0"/>
        <w:adjustRightInd w:val="0"/>
        <w:ind w:firstLine="960"/>
        <w:jc w:val="both"/>
        <w:rPr>
          <w:sz w:val="28"/>
          <w:szCs w:val="28"/>
        </w:rPr>
      </w:pPr>
    </w:p>
    <w:p w:rsidR="00C40FA7" w:rsidRPr="00944F6E" w:rsidRDefault="00C40FA7" w:rsidP="00C40FA7">
      <w:pPr>
        <w:pStyle w:val="ListParagraph"/>
        <w:numPr>
          <w:ilvl w:val="0"/>
          <w:numId w:val="5"/>
        </w:numPr>
        <w:tabs>
          <w:tab w:val="left" w:pos="720"/>
        </w:tabs>
        <w:autoSpaceDE w:val="0"/>
        <w:autoSpaceDN w:val="0"/>
        <w:adjustRightInd w:val="0"/>
        <w:jc w:val="both"/>
        <w:rPr>
          <w:b/>
          <w:sz w:val="28"/>
          <w:szCs w:val="28"/>
        </w:rPr>
      </w:pPr>
      <w:r w:rsidRPr="00944F6E">
        <w:rPr>
          <w:b/>
          <w:sz w:val="28"/>
          <w:szCs w:val="28"/>
        </w:rPr>
        <w:t>Risinājums</w:t>
      </w:r>
    </w:p>
    <w:p w:rsidR="00C40FA7" w:rsidRPr="00944F6E" w:rsidRDefault="00C40FA7" w:rsidP="00C40FA7">
      <w:pPr>
        <w:tabs>
          <w:tab w:val="left" w:pos="720"/>
        </w:tabs>
        <w:autoSpaceDE w:val="0"/>
        <w:autoSpaceDN w:val="0"/>
        <w:adjustRightInd w:val="0"/>
        <w:ind w:firstLine="960"/>
        <w:jc w:val="both"/>
        <w:rPr>
          <w:sz w:val="28"/>
          <w:szCs w:val="28"/>
        </w:rPr>
      </w:pPr>
    </w:p>
    <w:p w:rsidR="00C66CF1" w:rsidRPr="00944F6E" w:rsidRDefault="00C66CF1" w:rsidP="00145655">
      <w:pPr>
        <w:tabs>
          <w:tab w:val="left" w:pos="720"/>
        </w:tabs>
        <w:autoSpaceDE w:val="0"/>
        <w:autoSpaceDN w:val="0"/>
        <w:adjustRightInd w:val="0"/>
        <w:ind w:firstLine="709"/>
        <w:jc w:val="both"/>
        <w:rPr>
          <w:b/>
          <w:sz w:val="28"/>
          <w:szCs w:val="28"/>
        </w:rPr>
      </w:pPr>
      <w:r w:rsidRPr="00944F6E">
        <w:rPr>
          <w:b/>
          <w:sz w:val="28"/>
          <w:szCs w:val="28"/>
        </w:rPr>
        <w:t xml:space="preserve">Veikt sociālās apdrošināšanas iemaksas pensiju apdrošināšanai no valsts pamatbudžeta no </w:t>
      </w:r>
      <w:r w:rsidR="00AB0E17" w:rsidRPr="00944F6E">
        <w:rPr>
          <w:b/>
          <w:sz w:val="28"/>
          <w:szCs w:val="28"/>
        </w:rPr>
        <w:t>iemaksu objekta</w:t>
      </w:r>
      <w:r w:rsidRPr="00944F6E">
        <w:rPr>
          <w:b/>
          <w:sz w:val="28"/>
          <w:szCs w:val="28"/>
        </w:rPr>
        <w:t>, kas atbilst personai piešķirtajam pabalstam:</w:t>
      </w:r>
    </w:p>
    <w:p w:rsidR="00C66CF1" w:rsidRPr="00944F6E" w:rsidRDefault="00C66CF1" w:rsidP="00C66CF1">
      <w:pPr>
        <w:pStyle w:val="ListParagraph"/>
        <w:numPr>
          <w:ilvl w:val="0"/>
          <w:numId w:val="6"/>
        </w:numPr>
        <w:autoSpaceDE w:val="0"/>
        <w:autoSpaceDN w:val="0"/>
        <w:adjustRightInd w:val="0"/>
        <w:jc w:val="both"/>
        <w:rPr>
          <w:b/>
          <w:sz w:val="28"/>
          <w:szCs w:val="28"/>
        </w:rPr>
      </w:pPr>
      <w:r w:rsidRPr="00944F6E">
        <w:rPr>
          <w:b/>
          <w:sz w:val="28"/>
          <w:szCs w:val="28"/>
        </w:rPr>
        <w:t xml:space="preserve">20 procentu apmērā </w:t>
      </w:r>
      <w:r w:rsidRPr="00944F6E">
        <w:rPr>
          <w:b/>
          <w:bCs/>
          <w:sz w:val="28"/>
          <w:szCs w:val="28"/>
        </w:rPr>
        <w:t xml:space="preserve">no vecāku pabalsta apmēra </w:t>
      </w:r>
      <w:r w:rsidRPr="00944F6E">
        <w:rPr>
          <w:b/>
          <w:sz w:val="28"/>
          <w:szCs w:val="28"/>
        </w:rPr>
        <w:t xml:space="preserve">par </w:t>
      </w:r>
      <w:r w:rsidR="00AB0E17" w:rsidRPr="00944F6E">
        <w:rPr>
          <w:b/>
          <w:sz w:val="28"/>
          <w:szCs w:val="28"/>
        </w:rPr>
        <w:t xml:space="preserve">nestrādājošām </w:t>
      </w:r>
      <w:r w:rsidRPr="00944F6E">
        <w:rPr>
          <w:b/>
          <w:sz w:val="28"/>
          <w:szCs w:val="28"/>
        </w:rPr>
        <w:t>personām, kuras kopj bērnu, kas nav sasniedzis gada vai pusotra gada vecumu, un saņem vecāku pabalstu;</w:t>
      </w:r>
    </w:p>
    <w:p w:rsidR="00C66CF1" w:rsidRPr="00944F6E" w:rsidRDefault="00C66CF1" w:rsidP="00C66CF1">
      <w:pPr>
        <w:pStyle w:val="ListParagraph"/>
        <w:numPr>
          <w:ilvl w:val="0"/>
          <w:numId w:val="6"/>
        </w:numPr>
        <w:autoSpaceDE w:val="0"/>
        <w:autoSpaceDN w:val="0"/>
        <w:adjustRightInd w:val="0"/>
        <w:jc w:val="both"/>
        <w:rPr>
          <w:b/>
          <w:sz w:val="28"/>
          <w:szCs w:val="28"/>
        </w:rPr>
      </w:pPr>
      <w:r w:rsidRPr="00944F6E">
        <w:rPr>
          <w:b/>
          <w:sz w:val="28"/>
          <w:szCs w:val="28"/>
        </w:rPr>
        <w:t xml:space="preserve">20 procentu apmērā </w:t>
      </w:r>
      <w:r w:rsidRPr="00944F6E">
        <w:rPr>
          <w:b/>
          <w:bCs/>
          <w:sz w:val="28"/>
          <w:szCs w:val="28"/>
        </w:rPr>
        <w:t xml:space="preserve">no bērna invalīda kopšanas pabalsta 213,43 EUR </w:t>
      </w:r>
      <w:r w:rsidRPr="00944F6E">
        <w:rPr>
          <w:b/>
          <w:sz w:val="28"/>
          <w:szCs w:val="28"/>
        </w:rPr>
        <w:t xml:space="preserve">par </w:t>
      </w:r>
      <w:r w:rsidR="00AB0E17" w:rsidRPr="00944F6E">
        <w:rPr>
          <w:b/>
          <w:sz w:val="28"/>
          <w:szCs w:val="28"/>
        </w:rPr>
        <w:t xml:space="preserve">nestrādājošām </w:t>
      </w:r>
      <w:r w:rsidRPr="00944F6E">
        <w:rPr>
          <w:b/>
          <w:sz w:val="28"/>
          <w:szCs w:val="28"/>
        </w:rPr>
        <w:t>personām, kuras saņem bērna invalīda kopšanas pabalstu.</w:t>
      </w:r>
    </w:p>
    <w:p w:rsidR="00C40FA7" w:rsidRPr="00944F6E" w:rsidRDefault="00C40FA7" w:rsidP="00145655">
      <w:pPr>
        <w:tabs>
          <w:tab w:val="left" w:pos="720"/>
        </w:tabs>
        <w:autoSpaceDE w:val="0"/>
        <w:autoSpaceDN w:val="0"/>
        <w:adjustRightInd w:val="0"/>
        <w:ind w:firstLine="709"/>
        <w:jc w:val="both"/>
        <w:rPr>
          <w:sz w:val="28"/>
          <w:szCs w:val="28"/>
        </w:rPr>
      </w:pPr>
      <w:r w:rsidRPr="00944F6E">
        <w:rPr>
          <w:sz w:val="28"/>
          <w:szCs w:val="28"/>
        </w:rPr>
        <w:t xml:space="preserve">Tādejādi </w:t>
      </w:r>
      <w:r w:rsidR="00337653" w:rsidRPr="00944F6E">
        <w:rPr>
          <w:sz w:val="28"/>
          <w:szCs w:val="28"/>
        </w:rPr>
        <w:t>personai</w:t>
      </w:r>
      <w:r w:rsidRPr="00944F6E">
        <w:rPr>
          <w:sz w:val="28"/>
          <w:szCs w:val="28"/>
        </w:rPr>
        <w:t>, kura visu savu laiku veltījusi bērna kopšanai, būtu iespēja uzkrāt lielāku pensijas kapitālu, kas attiecīgi ietekmē</w:t>
      </w:r>
      <w:r w:rsidR="00BE2883" w:rsidRPr="00944F6E">
        <w:rPr>
          <w:sz w:val="28"/>
          <w:szCs w:val="28"/>
        </w:rPr>
        <w:t>tu</w:t>
      </w:r>
      <w:r w:rsidRPr="00944F6E">
        <w:rPr>
          <w:sz w:val="28"/>
          <w:szCs w:val="28"/>
        </w:rPr>
        <w:t xml:space="preserve"> viņas pensijas apmēru vecumdienās.    </w:t>
      </w:r>
    </w:p>
    <w:p w:rsidR="00B5560A" w:rsidRPr="00944F6E" w:rsidRDefault="00A52ECD" w:rsidP="00145655">
      <w:pPr>
        <w:tabs>
          <w:tab w:val="left" w:pos="720"/>
        </w:tabs>
        <w:autoSpaceDE w:val="0"/>
        <w:autoSpaceDN w:val="0"/>
        <w:adjustRightInd w:val="0"/>
        <w:ind w:firstLine="709"/>
        <w:jc w:val="both"/>
        <w:rPr>
          <w:sz w:val="28"/>
          <w:szCs w:val="28"/>
        </w:rPr>
      </w:pPr>
      <w:r w:rsidRPr="00944F6E">
        <w:rPr>
          <w:sz w:val="28"/>
          <w:szCs w:val="28"/>
        </w:rPr>
        <w:t>Palielinot iemaksu objektu pensiju apdrošināšanai, palielinātos arī iemaksu objekts invaliditātes un bezdarba apdrošināšanai.</w:t>
      </w:r>
    </w:p>
    <w:p w:rsidR="00C40FA7" w:rsidRPr="00944F6E" w:rsidRDefault="00C40FA7" w:rsidP="00145655">
      <w:pPr>
        <w:tabs>
          <w:tab w:val="left" w:pos="720"/>
        </w:tabs>
        <w:autoSpaceDE w:val="0"/>
        <w:autoSpaceDN w:val="0"/>
        <w:adjustRightInd w:val="0"/>
        <w:ind w:firstLine="709"/>
        <w:jc w:val="both"/>
        <w:rPr>
          <w:sz w:val="28"/>
          <w:szCs w:val="28"/>
        </w:rPr>
      </w:pPr>
      <w:r w:rsidRPr="00944F6E">
        <w:rPr>
          <w:sz w:val="28"/>
          <w:szCs w:val="28"/>
        </w:rPr>
        <w:t>201</w:t>
      </w:r>
      <w:r w:rsidR="00337653" w:rsidRPr="00944F6E">
        <w:rPr>
          <w:sz w:val="28"/>
          <w:szCs w:val="28"/>
        </w:rPr>
        <w:t>7</w:t>
      </w:r>
      <w:r w:rsidRPr="00944F6E">
        <w:rPr>
          <w:sz w:val="28"/>
          <w:szCs w:val="28"/>
        </w:rPr>
        <w:t>.gadā</w:t>
      </w:r>
      <w:r w:rsidR="003A3C01" w:rsidRPr="00944F6E">
        <w:rPr>
          <w:rStyle w:val="FootnoteReference"/>
          <w:sz w:val="28"/>
          <w:szCs w:val="28"/>
        </w:rPr>
        <w:footnoteReference w:id="7"/>
      </w:r>
      <w:r w:rsidRPr="00944F6E">
        <w:rPr>
          <w:sz w:val="28"/>
          <w:szCs w:val="28"/>
        </w:rPr>
        <w:t xml:space="preserve"> </w:t>
      </w:r>
      <w:r w:rsidR="003A3C01" w:rsidRPr="00944F6E">
        <w:rPr>
          <w:sz w:val="28"/>
          <w:szCs w:val="28"/>
        </w:rPr>
        <w:t xml:space="preserve">vidēji mēnesī </w:t>
      </w:r>
      <w:r w:rsidRPr="00944F6E">
        <w:rPr>
          <w:sz w:val="28"/>
          <w:szCs w:val="28"/>
        </w:rPr>
        <w:t xml:space="preserve">vecāku pabalstu </w:t>
      </w:r>
      <w:r w:rsidR="00082FCD" w:rsidRPr="00944F6E">
        <w:rPr>
          <w:sz w:val="28"/>
          <w:szCs w:val="28"/>
        </w:rPr>
        <w:t>izmaksāja</w:t>
      </w:r>
      <w:r w:rsidRPr="00944F6E">
        <w:rPr>
          <w:sz w:val="28"/>
          <w:szCs w:val="28"/>
        </w:rPr>
        <w:t xml:space="preserve"> 23,</w:t>
      </w:r>
      <w:r w:rsidR="00BE2883" w:rsidRPr="00944F6E">
        <w:rPr>
          <w:sz w:val="28"/>
          <w:szCs w:val="28"/>
        </w:rPr>
        <w:t>6</w:t>
      </w:r>
      <w:r w:rsidR="00082FCD" w:rsidRPr="00944F6E">
        <w:rPr>
          <w:sz w:val="28"/>
          <w:szCs w:val="28"/>
        </w:rPr>
        <w:t xml:space="preserve"> tūkst. personām</w:t>
      </w:r>
      <w:r w:rsidR="00591847" w:rsidRPr="00944F6E">
        <w:rPr>
          <w:sz w:val="28"/>
          <w:szCs w:val="28"/>
        </w:rPr>
        <w:t xml:space="preserve"> (sievietēm</w:t>
      </w:r>
      <w:r w:rsidRPr="00944F6E">
        <w:rPr>
          <w:sz w:val="28"/>
          <w:szCs w:val="28"/>
        </w:rPr>
        <w:t xml:space="preserve"> – 8</w:t>
      </w:r>
      <w:r w:rsidR="00BE2883" w:rsidRPr="00944F6E">
        <w:rPr>
          <w:sz w:val="28"/>
          <w:szCs w:val="28"/>
        </w:rPr>
        <w:t>1</w:t>
      </w:r>
      <w:r w:rsidRPr="00944F6E">
        <w:rPr>
          <w:sz w:val="28"/>
          <w:szCs w:val="28"/>
        </w:rPr>
        <w:t>%, vīrieši</w:t>
      </w:r>
      <w:r w:rsidR="00591847" w:rsidRPr="00944F6E">
        <w:rPr>
          <w:sz w:val="28"/>
          <w:szCs w:val="28"/>
        </w:rPr>
        <w:t>em</w:t>
      </w:r>
      <w:r w:rsidRPr="00944F6E">
        <w:rPr>
          <w:sz w:val="28"/>
          <w:szCs w:val="28"/>
        </w:rPr>
        <w:t xml:space="preserve"> – </w:t>
      </w:r>
      <w:r w:rsidR="00BE2883" w:rsidRPr="00944F6E">
        <w:rPr>
          <w:sz w:val="28"/>
          <w:szCs w:val="28"/>
        </w:rPr>
        <w:t>19</w:t>
      </w:r>
      <w:r w:rsidRPr="00944F6E">
        <w:rPr>
          <w:sz w:val="28"/>
          <w:szCs w:val="28"/>
        </w:rPr>
        <w:t>%), no t</w:t>
      </w:r>
      <w:r w:rsidR="00AB0E17" w:rsidRPr="00944F6E">
        <w:rPr>
          <w:sz w:val="28"/>
          <w:szCs w:val="28"/>
        </w:rPr>
        <w:t>ā</w:t>
      </w:r>
      <w:r w:rsidRPr="00944F6E">
        <w:rPr>
          <w:sz w:val="28"/>
          <w:szCs w:val="28"/>
        </w:rPr>
        <w:t>m 1</w:t>
      </w:r>
      <w:r w:rsidR="004724F1" w:rsidRPr="00944F6E">
        <w:rPr>
          <w:sz w:val="28"/>
          <w:szCs w:val="28"/>
        </w:rPr>
        <w:t>2</w:t>
      </w:r>
      <w:r w:rsidRPr="00944F6E">
        <w:rPr>
          <w:sz w:val="28"/>
          <w:szCs w:val="28"/>
        </w:rPr>
        <w:t>% izvēlējās vecāku pabalstu saņemt līdz bērna viena gada vecumam, 8</w:t>
      </w:r>
      <w:r w:rsidR="004724F1" w:rsidRPr="00944F6E">
        <w:rPr>
          <w:sz w:val="28"/>
          <w:szCs w:val="28"/>
        </w:rPr>
        <w:t>8</w:t>
      </w:r>
      <w:r w:rsidRPr="00944F6E">
        <w:rPr>
          <w:sz w:val="28"/>
          <w:szCs w:val="28"/>
        </w:rPr>
        <w:t xml:space="preserve">% - līdz bērna pusotra gada vecumam. Vidējais vecāku pabalsta apmērs </w:t>
      </w:r>
      <w:r w:rsidR="003A3C01" w:rsidRPr="00944F6E">
        <w:rPr>
          <w:sz w:val="28"/>
          <w:szCs w:val="28"/>
        </w:rPr>
        <w:t xml:space="preserve">mēnesī </w:t>
      </w:r>
      <w:r w:rsidRPr="00944F6E">
        <w:rPr>
          <w:sz w:val="28"/>
          <w:szCs w:val="28"/>
        </w:rPr>
        <w:t xml:space="preserve">bija </w:t>
      </w:r>
      <w:r w:rsidR="00F225BF" w:rsidRPr="00944F6E">
        <w:rPr>
          <w:sz w:val="28"/>
          <w:szCs w:val="28"/>
        </w:rPr>
        <w:t>349,96</w:t>
      </w:r>
      <w:r w:rsidRPr="00944F6E">
        <w:rPr>
          <w:sz w:val="28"/>
          <w:szCs w:val="28"/>
        </w:rPr>
        <w:t xml:space="preserve"> EUR (gadījumā, kad vecāku pabalsts piešķirts par bērna kopšanu līdz viena gada vecumam, vidējais vecāku pabalsta apmērs bija 5</w:t>
      </w:r>
      <w:r w:rsidR="004724F1" w:rsidRPr="00944F6E">
        <w:rPr>
          <w:sz w:val="28"/>
          <w:szCs w:val="28"/>
        </w:rPr>
        <w:t>4</w:t>
      </w:r>
      <w:r w:rsidRPr="00944F6E">
        <w:rPr>
          <w:sz w:val="28"/>
          <w:szCs w:val="28"/>
        </w:rPr>
        <w:t>3,</w:t>
      </w:r>
      <w:r w:rsidR="004724F1" w:rsidRPr="00944F6E">
        <w:rPr>
          <w:sz w:val="28"/>
          <w:szCs w:val="28"/>
        </w:rPr>
        <w:t>53</w:t>
      </w:r>
      <w:r w:rsidRPr="00944F6E">
        <w:rPr>
          <w:sz w:val="28"/>
          <w:szCs w:val="28"/>
        </w:rPr>
        <w:t xml:space="preserve"> EUR, bet par bērna kopšanu līdz pusotra gada vecumam – </w:t>
      </w:r>
      <w:r w:rsidR="004724F1" w:rsidRPr="00944F6E">
        <w:rPr>
          <w:sz w:val="28"/>
          <w:szCs w:val="28"/>
        </w:rPr>
        <w:t>339,80</w:t>
      </w:r>
      <w:r w:rsidRPr="00944F6E">
        <w:rPr>
          <w:sz w:val="28"/>
          <w:szCs w:val="28"/>
        </w:rPr>
        <w:t xml:space="preserve"> EUR).</w:t>
      </w:r>
    </w:p>
    <w:p w:rsidR="00C23E00" w:rsidRPr="00944F6E" w:rsidRDefault="00C23E00" w:rsidP="00C31E6A">
      <w:pPr>
        <w:autoSpaceDE w:val="0"/>
        <w:autoSpaceDN w:val="0"/>
        <w:adjustRightInd w:val="0"/>
        <w:ind w:firstLine="709"/>
        <w:jc w:val="both"/>
        <w:rPr>
          <w:sz w:val="28"/>
          <w:szCs w:val="28"/>
        </w:rPr>
      </w:pPr>
      <w:r w:rsidRPr="00944F6E">
        <w:rPr>
          <w:sz w:val="28"/>
          <w:szCs w:val="28"/>
        </w:rPr>
        <w:t xml:space="preserve">Savukārt bērna invalīda kopšanas pabalsts tika ieviests no 2006.gada, nosakot tā apmēru 71,14 EUR (50 Ls), no kura tad arī </w:t>
      </w:r>
      <w:r w:rsidR="00AB0E17" w:rsidRPr="00944F6E">
        <w:rPr>
          <w:sz w:val="28"/>
          <w:szCs w:val="28"/>
        </w:rPr>
        <w:t>ir noteikts veikt</w:t>
      </w:r>
      <w:r w:rsidRPr="00944F6E">
        <w:rPr>
          <w:sz w:val="28"/>
          <w:szCs w:val="28"/>
        </w:rPr>
        <w:t xml:space="preserve"> sociālās apdrošināšanas iemaksas pensiju apdrošināšanai. No 2008.gada 1.janvāra bērna invalīda kopšanas pabalsts tika paaugstināts līdz 213,43 EUR (150 Ls), taču iemaksu objekts </w:t>
      </w:r>
      <w:proofErr w:type="gramStart"/>
      <w:r w:rsidRPr="00944F6E">
        <w:rPr>
          <w:sz w:val="28"/>
          <w:szCs w:val="28"/>
        </w:rPr>
        <w:t>pārskatīts netika</w:t>
      </w:r>
      <w:proofErr w:type="gramEnd"/>
      <w:r w:rsidRPr="00944F6E">
        <w:rPr>
          <w:sz w:val="28"/>
          <w:szCs w:val="28"/>
        </w:rPr>
        <w:t>. Līdz ar to sociālās apdrošināšanas iemaksas pensiju apdrošināšanai šobrīd tiek veiktas no neadekvāti zemas summas, kas trīs reizes mazāka par saņemamā pabalsta apmēru.</w:t>
      </w:r>
    </w:p>
    <w:p w:rsidR="00C40FA7" w:rsidRPr="00944F6E" w:rsidRDefault="00C40FA7" w:rsidP="00C31E6A">
      <w:pPr>
        <w:autoSpaceDE w:val="0"/>
        <w:autoSpaceDN w:val="0"/>
        <w:adjustRightInd w:val="0"/>
        <w:ind w:firstLine="709"/>
        <w:jc w:val="both"/>
        <w:rPr>
          <w:sz w:val="28"/>
          <w:szCs w:val="28"/>
        </w:rPr>
      </w:pPr>
      <w:r w:rsidRPr="00944F6E">
        <w:rPr>
          <w:sz w:val="28"/>
          <w:szCs w:val="28"/>
        </w:rPr>
        <w:t xml:space="preserve">Ja </w:t>
      </w:r>
      <w:r w:rsidR="003108B3" w:rsidRPr="00944F6E">
        <w:rPr>
          <w:sz w:val="28"/>
          <w:szCs w:val="28"/>
        </w:rPr>
        <w:t xml:space="preserve">sociālās apdrošināšanas </w:t>
      </w:r>
      <w:r w:rsidRPr="00944F6E">
        <w:rPr>
          <w:sz w:val="28"/>
          <w:szCs w:val="28"/>
        </w:rPr>
        <w:t xml:space="preserve">iemaksas pensiju apdrošināšanai par šīm personām, kuras kopj bērnu, veiktu </w:t>
      </w:r>
      <w:r w:rsidRPr="00944F6E">
        <w:rPr>
          <w:bCs/>
          <w:sz w:val="28"/>
          <w:szCs w:val="28"/>
        </w:rPr>
        <w:t xml:space="preserve">no vecāku </w:t>
      </w:r>
      <w:r w:rsidR="00C23E00" w:rsidRPr="00944F6E">
        <w:rPr>
          <w:bCs/>
          <w:sz w:val="28"/>
          <w:szCs w:val="28"/>
        </w:rPr>
        <w:t>vai bērna invalīda kopšanas pabalsta</w:t>
      </w:r>
      <w:r w:rsidRPr="00944F6E">
        <w:rPr>
          <w:bCs/>
          <w:sz w:val="28"/>
          <w:szCs w:val="28"/>
        </w:rPr>
        <w:t xml:space="preserve"> apmēra,</w:t>
      </w:r>
      <w:r w:rsidRPr="00944F6E">
        <w:rPr>
          <w:sz w:val="28"/>
          <w:szCs w:val="28"/>
        </w:rPr>
        <w:t xml:space="preserve"> tiktu palielināts šo personu pensijas kapitāls par laiku, kad tiek kopts bērns. Vecuma pensijas apmērs ir atkarīgs no personas uzkrātā pensijas kapitāla, ko veido veiktās sociālās apdrošināšanas iemaksas, un pensionēšanās vecuma. Līdz ar to, jo lielāks ir pensijas kapitāls, jo lielāka būs vecuma pensija. Palielinot veiktās sociālās apdrošināšanas iemaksas, tiktu palielināts šo personu pensijas kapitāls, tā īpaši atbalstot personas, kuras kopj bērnu un šajā laikā nav nodarbinātas. </w:t>
      </w:r>
    </w:p>
    <w:p w:rsidR="0043773F" w:rsidRPr="00944F6E" w:rsidRDefault="0043773F" w:rsidP="008E25DC">
      <w:pPr>
        <w:autoSpaceDE w:val="0"/>
        <w:autoSpaceDN w:val="0"/>
        <w:adjustRightInd w:val="0"/>
        <w:ind w:firstLine="709"/>
        <w:jc w:val="both"/>
        <w:rPr>
          <w:rFonts w:eastAsiaTheme="minorHAnsi"/>
          <w:sz w:val="28"/>
          <w:szCs w:val="28"/>
          <w:lang w:eastAsia="en-US"/>
        </w:rPr>
      </w:pPr>
      <w:r w:rsidRPr="00944F6E">
        <w:rPr>
          <w:rFonts w:eastAsiaTheme="minorHAnsi"/>
          <w:sz w:val="28"/>
          <w:szCs w:val="28"/>
          <w:lang w:eastAsia="en-US"/>
        </w:rPr>
        <w:lastRenderedPageBreak/>
        <w:t xml:space="preserve">Aprēķini liecina, ka šāda risinājuma ieviešanai, sākot ar 2019.gadu, būs negatīva finansiālā ietekme uz valsts pamatbudžetu: izdevumu palielinājums 2019.gadā: 28,7 milj. EUR; 2020. un 2021.gadā: 30,8 milj. EUR, savukārt vienlaicīgi pozitīva finansiālā ietekme būs speciālajam budžetam: ieņēmumu palielinājums 2019. gadā par 24,1 milj. EUR; 2020. un 2021.gadā un turpmāk ik gadu – par 25,7 milj. EUR. Līdz ar to valsts budžetā kopējā fiskālā </w:t>
      </w:r>
      <w:proofErr w:type="gramStart"/>
      <w:r w:rsidRPr="00944F6E">
        <w:rPr>
          <w:rFonts w:eastAsiaTheme="minorHAnsi"/>
          <w:sz w:val="28"/>
          <w:szCs w:val="28"/>
          <w:lang w:eastAsia="en-US"/>
        </w:rPr>
        <w:t>ietekme</w:t>
      </w:r>
      <w:proofErr w:type="gramEnd"/>
      <w:r w:rsidRPr="00944F6E">
        <w:rPr>
          <w:rFonts w:eastAsiaTheme="minorHAnsi"/>
          <w:sz w:val="28"/>
          <w:szCs w:val="28"/>
          <w:lang w:eastAsia="en-US"/>
        </w:rPr>
        <w:t xml:space="preserve"> plānota negatīva: 2019.gadā: - 4,6 milj. EUR; 20</w:t>
      </w:r>
      <w:r w:rsidR="00DC1716" w:rsidRPr="00944F6E">
        <w:rPr>
          <w:rFonts w:eastAsiaTheme="minorHAnsi"/>
          <w:sz w:val="28"/>
          <w:szCs w:val="28"/>
          <w:lang w:eastAsia="en-US"/>
        </w:rPr>
        <w:t>20. un 2021</w:t>
      </w:r>
      <w:r w:rsidRPr="00944F6E">
        <w:rPr>
          <w:rFonts w:eastAsiaTheme="minorHAnsi"/>
          <w:sz w:val="28"/>
          <w:szCs w:val="28"/>
          <w:lang w:eastAsia="en-US"/>
        </w:rPr>
        <w:t xml:space="preserve">.gadā ik gadu: - 5,1 milj. EUR </w:t>
      </w:r>
      <w:proofErr w:type="gramStart"/>
      <w:r w:rsidRPr="00944F6E">
        <w:rPr>
          <w:rFonts w:eastAsiaTheme="minorHAnsi"/>
          <w:sz w:val="28"/>
          <w:szCs w:val="28"/>
          <w:lang w:eastAsia="en-US"/>
        </w:rPr>
        <w:t>(</w:t>
      </w:r>
      <w:proofErr w:type="gramEnd"/>
      <w:r w:rsidRPr="00944F6E">
        <w:rPr>
          <w:rFonts w:eastAsiaTheme="minorHAnsi"/>
          <w:sz w:val="28"/>
          <w:szCs w:val="28"/>
          <w:lang w:eastAsia="en-US"/>
        </w:rPr>
        <w:t>detalizētus aprēķinus skat. Pielikumā Nr.3).</w:t>
      </w:r>
    </w:p>
    <w:p w:rsidR="008E25DC" w:rsidRPr="00944F6E" w:rsidRDefault="008E25DC" w:rsidP="008E25DC">
      <w:pPr>
        <w:autoSpaceDE w:val="0"/>
        <w:autoSpaceDN w:val="0"/>
        <w:adjustRightInd w:val="0"/>
        <w:ind w:firstLine="709"/>
        <w:jc w:val="both"/>
        <w:rPr>
          <w:sz w:val="28"/>
          <w:szCs w:val="28"/>
        </w:rPr>
      </w:pPr>
      <w:r w:rsidRPr="00944F6E">
        <w:rPr>
          <w:sz w:val="28"/>
          <w:szCs w:val="28"/>
        </w:rPr>
        <w:t>Palielinoties speciālā budžeta ieņēmumiem, attiecīgi lielāka būs speciālā budžeta plānotā ikgadējā finansiālā rezerve. Savukārt paaugstinot iemaksas vecuma pensiju kapitālam, būs pozitīva ietekme uz šo personu nākotnes pensiju apmēriem, vienlaikus palielinoties speciālā budžeta izdevumiem vecuma pensiju izmaksai.</w:t>
      </w: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p>
    <w:p w:rsidR="00C434FB" w:rsidRPr="00944F6E" w:rsidRDefault="00C434FB"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r w:rsidRPr="00944F6E">
        <w:rPr>
          <w:sz w:val="28"/>
          <w:szCs w:val="28"/>
        </w:rPr>
        <w:t>Labklājības ministrs</w:t>
      </w:r>
      <w:proofErr w:type="gramStart"/>
      <w:r w:rsidRPr="00944F6E">
        <w:rPr>
          <w:sz w:val="28"/>
          <w:szCs w:val="28"/>
        </w:rPr>
        <w:t xml:space="preserve">                       </w:t>
      </w:r>
      <w:proofErr w:type="gramEnd"/>
      <w:r w:rsidRPr="00944F6E">
        <w:rPr>
          <w:sz w:val="28"/>
          <w:szCs w:val="28"/>
        </w:rPr>
        <w:tab/>
      </w:r>
      <w:r w:rsidRPr="00944F6E">
        <w:rPr>
          <w:sz w:val="28"/>
          <w:szCs w:val="28"/>
        </w:rPr>
        <w:tab/>
      </w:r>
      <w:r w:rsidRPr="00944F6E">
        <w:rPr>
          <w:sz w:val="28"/>
          <w:szCs w:val="28"/>
        </w:rPr>
        <w:tab/>
      </w:r>
      <w:r w:rsidR="00DB5AFC" w:rsidRPr="00944F6E">
        <w:rPr>
          <w:sz w:val="28"/>
          <w:szCs w:val="28"/>
        </w:rPr>
        <w:tab/>
      </w:r>
      <w:r w:rsidRPr="00944F6E">
        <w:rPr>
          <w:sz w:val="28"/>
          <w:szCs w:val="28"/>
        </w:rPr>
        <w:tab/>
        <w:t>J.Reirs</w:t>
      </w: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bookmarkStart w:id="0" w:name="_GoBack"/>
      <w:bookmarkEnd w:id="0"/>
    </w:p>
    <w:p w:rsidR="00C40FA7" w:rsidRPr="00944F6E" w:rsidRDefault="00EE05D3" w:rsidP="00EE05D3">
      <w:pPr>
        <w:pStyle w:val="NormalWeb"/>
        <w:tabs>
          <w:tab w:val="left" w:pos="4123"/>
        </w:tabs>
        <w:spacing w:before="0" w:beforeAutospacing="0" w:after="0" w:afterAutospacing="0"/>
        <w:ind w:firstLine="720"/>
        <w:jc w:val="both"/>
        <w:rPr>
          <w:sz w:val="28"/>
          <w:szCs w:val="28"/>
        </w:rPr>
      </w:pPr>
      <w:r w:rsidRPr="00944F6E">
        <w:rPr>
          <w:sz w:val="28"/>
          <w:szCs w:val="28"/>
        </w:rPr>
        <w:tab/>
      </w:r>
    </w:p>
    <w:p w:rsidR="00C40FA7" w:rsidRPr="00944F6E" w:rsidRDefault="00C40FA7" w:rsidP="00C40FA7">
      <w:pPr>
        <w:pStyle w:val="NormalWeb"/>
        <w:spacing w:before="0" w:beforeAutospacing="0" w:after="0" w:afterAutospacing="0"/>
        <w:ind w:firstLine="720"/>
        <w:jc w:val="both"/>
        <w:rPr>
          <w:sz w:val="28"/>
          <w:szCs w:val="28"/>
        </w:rPr>
      </w:pPr>
    </w:p>
    <w:p w:rsidR="00C40FA7" w:rsidRPr="00944F6E" w:rsidRDefault="00C40FA7" w:rsidP="00C40FA7">
      <w:pPr>
        <w:pStyle w:val="NormalWeb"/>
        <w:spacing w:before="0" w:beforeAutospacing="0" w:after="0" w:afterAutospacing="0"/>
        <w:ind w:firstLine="720"/>
        <w:jc w:val="both"/>
        <w:rPr>
          <w:sz w:val="28"/>
          <w:szCs w:val="28"/>
        </w:rPr>
      </w:pPr>
    </w:p>
    <w:p w:rsidR="00150C8B" w:rsidRDefault="00150C8B" w:rsidP="00C40FA7">
      <w:pPr>
        <w:pStyle w:val="NormalWeb"/>
        <w:spacing w:before="0" w:beforeAutospacing="0" w:after="0" w:afterAutospacing="0"/>
        <w:jc w:val="both"/>
      </w:pPr>
      <w:r>
        <w:t>16.04.2018 10:08</w:t>
      </w:r>
    </w:p>
    <w:p w:rsidR="00C40FA7" w:rsidRPr="00944F6E" w:rsidRDefault="00150C8B" w:rsidP="00C40FA7">
      <w:pPr>
        <w:pStyle w:val="NormalWeb"/>
        <w:spacing w:before="0" w:beforeAutospacing="0" w:after="0" w:afterAutospacing="0"/>
        <w:jc w:val="both"/>
      </w:pPr>
      <w:r>
        <w:t>4022</w:t>
      </w:r>
    </w:p>
    <w:p w:rsidR="00C40FA7" w:rsidRPr="00944F6E" w:rsidRDefault="00C40FA7" w:rsidP="00C40FA7">
      <w:pPr>
        <w:pStyle w:val="NormalWeb"/>
        <w:spacing w:before="0" w:beforeAutospacing="0" w:after="0" w:afterAutospacing="0"/>
        <w:jc w:val="both"/>
      </w:pPr>
      <w:proofErr w:type="spellStart"/>
      <w:r w:rsidRPr="00944F6E">
        <w:t>D.Trušinska</w:t>
      </w:r>
      <w:proofErr w:type="spellEnd"/>
      <w:r w:rsidRPr="00944F6E">
        <w:t>, 67021553</w:t>
      </w:r>
    </w:p>
    <w:p w:rsidR="00C40FA7" w:rsidRPr="00944F6E" w:rsidRDefault="00C40FA7" w:rsidP="00C40FA7">
      <w:pPr>
        <w:pStyle w:val="NormalWeb"/>
        <w:spacing w:before="0" w:beforeAutospacing="0" w:after="0" w:afterAutospacing="0"/>
        <w:jc w:val="both"/>
      </w:pPr>
      <w:r w:rsidRPr="00944F6E">
        <w:t>Dace.Trusinska@lm.gov.lv</w:t>
      </w:r>
    </w:p>
    <w:p w:rsidR="00C40FA7" w:rsidRPr="00944F6E" w:rsidRDefault="00C40FA7" w:rsidP="00C40FA7"/>
    <w:p w:rsidR="00C40FA7" w:rsidRPr="00944F6E" w:rsidRDefault="00C40FA7" w:rsidP="00C40FA7"/>
    <w:p w:rsidR="00C40FA7" w:rsidRPr="00944F6E" w:rsidRDefault="00C40FA7" w:rsidP="00C40FA7"/>
    <w:p w:rsidR="00C40FA7" w:rsidRPr="00944F6E" w:rsidRDefault="00C40FA7" w:rsidP="00C40FA7"/>
    <w:p w:rsidR="00C40FA7" w:rsidRPr="00944F6E" w:rsidRDefault="00C40FA7" w:rsidP="00C40FA7"/>
    <w:p w:rsidR="00C40FA7" w:rsidRPr="00944F6E" w:rsidRDefault="00C40FA7" w:rsidP="00C40FA7"/>
    <w:p w:rsidR="00C40FA7" w:rsidRPr="00944F6E" w:rsidRDefault="00C40FA7" w:rsidP="00C40FA7"/>
    <w:p w:rsidR="00C40FA7" w:rsidRPr="00944F6E" w:rsidRDefault="00C40FA7"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43773F" w:rsidRPr="00944F6E" w:rsidRDefault="0043773F" w:rsidP="00C40FA7"/>
    <w:p w:rsidR="00C40FA7" w:rsidRPr="00944F6E" w:rsidRDefault="00C40FA7" w:rsidP="00C40FA7"/>
    <w:p w:rsidR="00C434FB" w:rsidRPr="00944F6E" w:rsidRDefault="00C434FB" w:rsidP="00C40FA7"/>
    <w:p w:rsidR="00C40FA7" w:rsidRPr="00944F6E" w:rsidRDefault="00C40FA7" w:rsidP="00C40FA7">
      <w:pPr>
        <w:jc w:val="right"/>
        <w:rPr>
          <w:bCs/>
          <w:i/>
        </w:rPr>
      </w:pPr>
      <w:r w:rsidRPr="00944F6E">
        <w:rPr>
          <w:bCs/>
          <w:i/>
        </w:rPr>
        <w:t xml:space="preserve">Pielikums Nr.1 Informatīvajam ziņojumam </w:t>
      </w:r>
      <w:r w:rsidRPr="00944F6E">
        <w:rPr>
          <w:i/>
        </w:rPr>
        <w:t>„Par valsts atbalstu pensiju nodrošinājumā daudzbērnu ģimenēm”</w:t>
      </w:r>
    </w:p>
    <w:p w:rsidR="00C40FA7" w:rsidRPr="00944F6E" w:rsidRDefault="00C40FA7" w:rsidP="00C40FA7"/>
    <w:p w:rsidR="00C40FA7" w:rsidRPr="00944F6E" w:rsidRDefault="00C40FA7" w:rsidP="00C40FA7">
      <w:pPr>
        <w:jc w:val="center"/>
        <w:rPr>
          <w:b/>
        </w:rPr>
      </w:pPr>
      <w:r w:rsidRPr="00944F6E">
        <w:rPr>
          <w:b/>
        </w:rPr>
        <w:t xml:space="preserve">Personas, kuras var pieprasīt vecuma pensiju no </w:t>
      </w:r>
      <w:r w:rsidR="0043773F" w:rsidRPr="00944F6E">
        <w:rPr>
          <w:b/>
        </w:rPr>
        <w:t>agrāka</w:t>
      </w:r>
      <w:r w:rsidRPr="00944F6E">
        <w:rPr>
          <w:b/>
        </w:rPr>
        <w:t xml:space="preserve"> vecuma</w:t>
      </w:r>
      <w:r w:rsidR="0043773F" w:rsidRPr="00944F6E">
        <w:rPr>
          <w:b/>
        </w:rPr>
        <w:t>,</w:t>
      </w:r>
    </w:p>
    <w:p w:rsidR="00C40FA7" w:rsidRPr="00944F6E" w:rsidRDefault="00C40FA7" w:rsidP="00C40FA7">
      <w:pPr>
        <w:jc w:val="center"/>
        <w:rPr>
          <w:b/>
        </w:rPr>
      </w:pPr>
      <w:r w:rsidRPr="00944F6E">
        <w:rPr>
          <w:b/>
        </w:rPr>
        <w:t>dati par 201</w:t>
      </w:r>
      <w:r w:rsidR="008A0AA8" w:rsidRPr="00944F6E">
        <w:rPr>
          <w:b/>
        </w:rPr>
        <w:t>7</w:t>
      </w:r>
      <w:r w:rsidRPr="00944F6E">
        <w:rPr>
          <w:b/>
        </w:rPr>
        <w:t>.decembri</w:t>
      </w:r>
    </w:p>
    <w:tbl>
      <w:tblPr>
        <w:tblW w:w="539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50"/>
        <w:gridCol w:w="1376"/>
        <w:gridCol w:w="1070"/>
        <w:gridCol w:w="743"/>
        <w:gridCol w:w="1429"/>
        <w:gridCol w:w="1276"/>
        <w:gridCol w:w="1296"/>
      </w:tblGrid>
      <w:tr w:rsidR="00F8027B" w:rsidRPr="00944F6E" w:rsidTr="00F616ED">
        <w:trPr>
          <w:trHeight w:val="227"/>
          <w:tblHeader/>
        </w:trPr>
        <w:tc>
          <w:tcPr>
            <w:tcW w:w="990" w:type="pct"/>
            <w:tcBorders>
              <w:bottom w:val="single" w:sz="4" w:space="0" w:color="auto"/>
            </w:tcBorders>
            <w:shd w:val="clear" w:color="auto" w:fill="auto"/>
          </w:tcPr>
          <w:p w:rsidR="00C40FA7" w:rsidRPr="00944F6E" w:rsidRDefault="00C40FA7" w:rsidP="00FF1868"/>
        </w:tc>
        <w:tc>
          <w:tcPr>
            <w:tcW w:w="424" w:type="pct"/>
            <w:tcBorders>
              <w:bottom w:val="single" w:sz="4" w:space="0" w:color="auto"/>
            </w:tcBorders>
            <w:shd w:val="clear" w:color="auto" w:fill="auto"/>
          </w:tcPr>
          <w:p w:rsidR="00C40FA7" w:rsidRPr="00944F6E" w:rsidRDefault="00C40FA7" w:rsidP="00FF1868">
            <w:pPr>
              <w:jc w:val="center"/>
            </w:pPr>
            <w:proofErr w:type="spellStart"/>
            <w:r w:rsidRPr="00944F6E">
              <w:t>Kateg</w:t>
            </w:r>
            <w:proofErr w:type="spellEnd"/>
            <w:r w:rsidRPr="00944F6E">
              <w:t>.</w:t>
            </w:r>
          </w:p>
        </w:tc>
        <w:tc>
          <w:tcPr>
            <w:tcW w:w="686" w:type="pct"/>
            <w:tcBorders>
              <w:bottom w:val="single" w:sz="4" w:space="0" w:color="auto"/>
            </w:tcBorders>
            <w:shd w:val="clear" w:color="auto" w:fill="auto"/>
          </w:tcPr>
          <w:p w:rsidR="00C40FA7" w:rsidRPr="00944F6E" w:rsidRDefault="00C40FA7" w:rsidP="00FF1868">
            <w:pPr>
              <w:jc w:val="center"/>
            </w:pPr>
            <w:proofErr w:type="spellStart"/>
            <w:r w:rsidRPr="00944F6E">
              <w:t>Pensionēš</w:t>
            </w:r>
            <w:proofErr w:type="spellEnd"/>
            <w:r w:rsidRPr="00944F6E">
              <w:t>. vecums (gados)</w:t>
            </w:r>
          </w:p>
        </w:tc>
        <w:tc>
          <w:tcPr>
            <w:tcW w:w="534" w:type="pct"/>
            <w:tcBorders>
              <w:bottom w:val="single" w:sz="4" w:space="0" w:color="auto"/>
            </w:tcBorders>
            <w:shd w:val="clear" w:color="auto" w:fill="auto"/>
          </w:tcPr>
          <w:p w:rsidR="00C40FA7" w:rsidRPr="00944F6E" w:rsidRDefault="00C40FA7" w:rsidP="00FF1868">
            <w:r w:rsidRPr="00944F6E">
              <w:t>Kopējais stāžs (gados)</w:t>
            </w:r>
          </w:p>
        </w:tc>
        <w:tc>
          <w:tcPr>
            <w:tcW w:w="371" w:type="pct"/>
            <w:tcBorders>
              <w:bottom w:val="single" w:sz="4" w:space="0" w:color="auto"/>
            </w:tcBorders>
            <w:shd w:val="clear" w:color="auto" w:fill="auto"/>
          </w:tcPr>
          <w:p w:rsidR="00C40FA7" w:rsidRPr="00944F6E" w:rsidRDefault="00C40FA7" w:rsidP="00FF1868">
            <w:r w:rsidRPr="00944F6E">
              <w:t>Spec. stāžs</w:t>
            </w:r>
          </w:p>
          <w:p w:rsidR="00C40FA7" w:rsidRPr="00944F6E" w:rsidRDefault="00C40FA7" w:rsidP="00FF1868"/>
        </w:tc>
        <w:tc>
          <w:tcPr>
            <w:tcW w:w="713" w:type="pct"/>
            <w:tcBorders>
              <w:bottom w:val="single" w:sz="4" w:space="0" w:color="auto"/>
            </w:tcBorders>
            <w:shd w:val="clear" w:color="auto" w:fill="EEECE1" w:themeFill="background2"/>
          </w:tcPr>
          <w:p w:rsidR="00C40FA7" w:rsidRPr="00944F6E" w:rsidRDefault="00C40FA7" w:rsidP="00FF1868">
            <w:r w:rsidRPr="00944F6E">
              <w:t xml:space="preserve">Personu skaits, kuri izmantojuši normu </w:t>
            </w:r>
          </w:p>
        </w:tc>
        <w:tc>
          <w:tcPr>
            <w:tcW w:w="636" w:type="pct"/>
            <w:tcBorders>
              <w:bottom w:val="single" w:sz="4" w:space="0" w:color="auto"/>
            </w:tcBorders>
            <w:shd w:val="clear" w:color="auto" w:fill="EEECE1" w:themeFill="background2"/>
          </w:tcPr>
          <w:p w:rsidR="00C40FA7" w:rsidRPr="00944F6E" w:rsidRDefault="00C40FA7" w:rsidP="00FF1868">
            <w:r w:rsidRPr="00944F6E">
              <w:t xml:space="preserve">Piešķirt. apmērs (ar piemaksu), </w:t>
            </w:r>
            <w:proofErr w:type="spellStart"/>
            <w:r w:rsidRPr="00944F6E">
              <w:t>euro</w:t>
            </w:r>
            <w:proofErr w:type="spellEnd"/>
          </w:p>
        </w:tc>
        <w:tc>
          <w:tcPr>
            <w:tcW w:w="646" w:type="pct"/>
            <w:tcBorders>
              <w:bottom w:val="single" w:sz="4" w:space="0" w:color="auto"/>
            </w:tcBorders>
            <w:shd w:val="clear" w:color="auto" w:fill="EEECE1" w:themeFill="background2"/>
          </w:tcPr>
          <w:p w:rsidR="00C40FA7" w:rsidRPr="00944F6E" w:rsidRDefault="00C40FA7" w:rsidP="00FF1868">
            <w:r w:rsidRPr="00944F6E">
              <w:t xml:space="preserve">Teorētiskie izdevumi gadā, milj. </w:t>
            </w:r>
            <w:proofErr w:type="spellStart"/>
            <w:r w:rsidRPr="00944F6E">
              <w:t>euro</w:t>
            </w:r>
            <w:proofErr w:type="spellEnd"/>
          </w:p>
        </w:tc>
      </w:tr>
      <w:tr w:rsidR="00F8027B" w:rsidRPr="00944F6E" w:rsidTr="00F616ED">
        <w:trPr>
          <w:trHeight w:val="227"/>
          <w:tblHeader/>
        </w:trPr>
        <w:tc>
          <w:tcPr>
            <w:tcW w:w="990" w:type="pct"/>
            <w:tcBorders>
              <w:left w:val="single" w:sz="4" w:space="0" w:color="auto"/>
            </w:tcBorders>
            <w:shd w:val="clear" w:color="auto" w:fill="auto"/>
          </w:tcPr>
          <w:p w:rsidR="00C40FA7" w:rsidRPr="00944F6E" w:rsidRDefault="00C40FA7" w:rsidP="00FF1868">
            <w:pPr>
              <w:jc w:val="center"/>
              <w:rPr>
                <w:sz w:val="22"/>
              </w:rPr>
            </w:pPr>
            <w:r w:rsidRPr="00944F6E">
              <w:rPr>
                <w:sz w:val="22"/>
              </w:rPr>
              <w:t>(1)</w:t>
            </w:r>
          </w:p>
        </w:tc>
        <w:tc>
          <w:tcPr>
            <w:tcW w:w="424" w:type="pct"/>
            <w:shd w:val="clear" w:color="auto" w:fill="auto"/>
          </w:tcPr>
          <w:p w:rsidR="00C40FA7" w:rsidRPr="00944F6E" w:rsidRDefault="00C40FA7" w:rsidP="00FF1868">
            <w:pPr>
              <w:jc w:val="center"/>
              <w:rPr>
                <w:sz w:val="22"/>
              </w:rPr>
            </w:pPr>
            <w:r w:rsidRPr="00944F6E">
              <w:rPr>
                <w:sz w:val="22"/>
              </w:rPr>
              <w:t>(2)</w:t>
            </w:r>
          </w:p>
        </w:tc>
        <w:tc>
          <w:tcPr>
            <w:tcW w:w="686" w:type="pct"/>
            <w:shd w:val="clear" w:color="auto" w:fill="auto"/>
          </w:tcPr>
          <w:p w:rsidR="00C40FA7" w:rsidRPr="00944F6E" w:rsidRDefault="00C40FA7" w:rsidP="00FF1868">
            <w:pPr>
              <w:jc w:val="center"/>
              <w:rPr>
                <w:sz w:val="22"/>
              </w:rPr>
            </w:pPr>
            <w:r w:rsidRPr="00944F6E">
              <w:rPr>
                <w:sz w:val="22"/>
              </w:rPr>
              <w:t>(3)</w:t>
            </w:r>
          </w:p>
        </w:tc>
        <w:tc>
          <w:tcPr>
            <w:tcW w:w="534" w:type="pct"/>
            <w:shd w:val="clear" w:color="auto" w:fill="auto"/>
          </w:tcPr>
          <w:p w:rsidR="00C40FA7" w:rsidRPr="00944F6E" w:rsidRDefault="00C40FA7" w:rsidP="00FF1868">
            <w:pPr>
              <w:jc w:val="center"/>
              <w:rPr>
                <w:sz w:val="22"/>
              </w:rPr>
            </w:pPr>
            <w:r w:rsidRPr="00944F6E">
              <w:rPr>
                <w:sz w:val="22"/>
              </w:rPr>
              <w:t>(4)</w:t>
            </w:r>
          </w:p>
        </w:tc>
        <w:tc>
          <w:tcPr>
            <w:tcW w:w="371" w:type="pct"/>
            <w:tcBorders>
              <w:right w:val="single" w:sz="4" w:space="0" w:color="auto"/>
            </w:tcBorders>
            <w:shd w:val="clear" w:color="auto" w:fill="auto"/>
          </w:tcPr>
          <w:p w:rsidR="00C40FA7" w:rsidRPr="00944F6E" w:rsidRDefault="00C40FA7" w:rsidP="00FF1868">
            <w:pPr>
              <w:jc w:val="center"/>
              <w:rPr>
                <w:sz w:val="22"/>
              </w:rPr>
            </w:pPr>
            <w:r w:rsidRPr="00944F6E">
              <w:rPr>
                <w:sz w:val="22"/>
              </w:rPr>
              <w:t>(5)</w:t>
            </w:r>
          </w:p>
        </w:tc>
        <w:tc>
          <w:tcPr>
            <w:tcW w:w="713" w:type="pct"/>
            <w:tcBorders>
              <w:right w:val="single" w:sz="4" w:space="0" w:color="auto"/>
            </w:tcBorders>
            <w:shd w:val="clear" w:color="auto" w:fill="EEECE1" w:themeFill="background2"/>
          </w:tcPr>
          <w:p w:rsidR="00C40FA7" w:rsidRPr="00944F6E" w:rsidRDefault="00C40FA7" w:rsidP="00FF1868">
            <w:pPr>
              <w:jc w:val="center"/>
              <w:rPr>
                <w:sz w:val="22"/>
              </w:rPr>
            </w:pPr>
            <w:r w:rsidRPr="00944F6E">
              <w:rPr>
                <w:sz w:val="22"/>
              </w:rPr>
              <w:t>(6)</w:t>
            </w:r>
          </w:p>
        </w:tc>
        <w:tc>
          <w:tcPr>
            <w:tcW w:w="636" w:type="pct"/>
            <w:tcBorders>
              <w:right w:val="single" w:sz="4" w:space="0" w:color="auto"/>
            </w:tcBorders>
            <w:shd w:val="clear" w:color="auto" w:fill="EEECE1" w:themeFill="background2"/>
          </w:tcPr>
          <w:p w:rsidR="00C40FA7" w:rsidRPr="00944F6E" w:rsidRDefault="00C40FA7" w:rsidP="00FF1868">
            <w:pPr>
              <w:jc w:val="center"/>
              <w:rPr>
                <w:sz w:val="22"/>
              </w:rPr>
            </w:pPr>
            <w:r w:rsidRPr="00944F6E">
              <w:rPr>
                <w:sz w:val="22"/>
              </w:rPr>
              <w:t>(7)</w:t>
            </w:r>
          </w:p>
        </w:tc>
        <w:tc>
          <w:tcPr>
            <w:tcW w:w="646" w:type="pct"/>
            <w:tcBorders>
              <w:right w:val="single" w:sz="4" w:space="0" w:color="auto"/>
            </w:tcBorders>
            <w:shd w:val="clear" w:color="auto" w:fill="EEECE1" w:themeFill="background2"/>
          </w:tcPr>
          <w:p w:rsidR="00C40FA7" w:rsidRPr="00944F6E" w:rsidRDefault="00C40FA7" w:rsidP="00FF1868">
            <w:pPr>
              <w:jc w:val="center"/>
              <w:rPr>
                <w:sz w:val="22"/>
              </w:rPr>
            </w:pPr>
            <w:r w:rsidRPr="00944F6E">
              <w:rPr>
                <w:sz w:val="22"/>
              </w:rPr>
              <w:t>(8) = (6) x (7) x 12</w:t>
            </w:r>
          </w:p>
        </w:tc>
      </w:tr>
      <w:tr w:rsidR="008A0AA8" w:rsidRPr="00944F6E" w:rsidTr="00F616ED">
        <w:trPr>
          <w:trHeight w:val="227"/>
        </w:trPr>
        <w:tc>
          <w:tcPr>
            <w:tcW w:w="990" w:type="pct"/>
            <w:tcBorders>
              <w:left w:val="single" w:sz="4" w:space="0" w:color="auto"/>
            </w:tcBorders>
            <w:shd w:val="clear" w:color="auto" w:fill="auto"/>
          </w:tcPr>
          <w:p w:rsidR="008A0AA8" w:rsidRPr="00944F6E" w:rsidRDefault="008A0AA8" w:rsidP="00FF1868">
            <w:pPr>
              <w:jc w:val="center"/>
              <w:rPr>
                <w:b/>
              </w:rPr>
            </w:pPr>
            <w:r w:rsidRPr="00944F6E">
              <w:rPr>
                <w:b/>
              </w:rPr>
              <w:t>Priekšlaicīgā</w:t>
            </w:r>
          </w:p>
          <w:p w:rsidR="008A0AA8" w:rsidRPr="00944F6E" w:rsidRDefault="008A0AA8" w:rsidP="00FF1868">
            <w:pPr>
              <w:jc w:val="center"/>
              <w:rPr>
                <w:b/>
              </w:rPr>
            </w:pPr>
            <w:r w:rsidRPr="00944F6E">
              <w:rPr>
                <w:b/>
              </w:rPr>
              <w:t>pensionēšanās</w:t>
            </w:r>
          </w:p>
        </w:tc>
        <w:tc>
          <w:tcPr>
            <w:tcW w:w="424" w:type="pct"/>
            <w:shd w:val="clear" w:color="auto" w:fill="auto"/>
          </w:tcPr>
          <w:p w:rsidR="008A0AA8" w:rsidRPr="00944F6E" w:rsidRDefault="008A0AA8" w:rsidP="00FF1868">
            <w:pPr>
              <w:jc w:val="center"/>
            </w:pPr>
            <w:r w:rsidRPr="00944F6E">
              <w:t>vīr., siev.</w:t>
            </w:r>
          </w:p>
        </w:tc>
        <w:tc>
          <w:tcPr>
            <w:tcW w:w="686" w:type="pct"/>
            <w:shd w:val="clear" w:color="auto" w:fill="auto"/>
          </w:tcPr>
          <w:p w:rsidR="008A0AA8" w:rsidRPr="00944F6E" w:rsidRDefault="008A0AA8" w:rsidP="00FF1868">
            <w:pPr>
              <w:jc w:val="center"/>
              <w:rPr>
                <w:b/>
              </w:rPr>
            </w:pPr>
            <w:r w:rsidRPr="00944F6E">
              <w:rPr>
                <w:b/>
              </w:rPr>
              <w:t>61</w:t>
            </w:r>
          </w:p>
          <w:p w:rsidR="008A0AA8" w:rsidRPr="00944F6E" w:rsidRDefault="008A0AA8" w:rsidP="00FF1868">
            <w:pPr>
              <w:jc w:val="center"/>
              <w:rPr>
                <w:b/>
              </w:rPr>
            </w:pPr>
          </w:p>
        </w:tc>
        <w:tc>
          <w:tcPr>
            <w:tcW w:w="534" w:type="pct"/>
            <w:shd w:val="clear" w:color="auto" w:fill="auto"/>
          </w:tcPr>
          <w:p w:rsidR="008A0AA8" w:rsidRPr="00944F6E" w:rsidRDefault="008A0AA8" w:rsidP="00FF1868">
            <w:pPr>
              <w:jc w:val="center"/>
              <w:rPr>
                <w:b/>
              </w:rPr>
            </w:pPr>
            <w:r w:rsidRPr="00944F6E">
              <w:rPr>
                <w:b/>
              </w:rPr>
              <w:t>30</w:t>
            </w:r>
          </w:p>
          <w:p w:rsidR="008A0AA8" w:rsidRPr="00944F6E" w:rsidRDefault="008A0AA8" w:rsidP="00FF1868">
            <w:pPr>
              <w:jc w:val="center"/>
              <w:rPr>
                <w:b/>
              </w:rPr>
            </w:pPr>
          </w:p>
        </w:tc>
        <w:tc>
          <w:tcPr>
            <w:tcW w:w="371" w:type="pct"/>
            <w:tcBorders>
              <w:right w:val="single" w:sz="4" w:space="0" w:color="auto"/>
            </w:tcBorders>
            <w:shd w:val="clear" w:color="auto" w:fill="auto"/>
          </w:tcPr>
          <w:p w:rsidR="008A0AA8" w:rsidRPr="00944F6E" w:rsidRDefault="008A0AA8" w:rsidP="00FF1868">
            <w:pPr>
              <w:jc w:val="center"/>
              <w:rPr>
                <w:b/>
              </w:rPr>
            </w:pPr>
            <w:r w:rsidRPr="00944F6E">
              <w:rPr>
                <w:b/>
              </w:rPr>
              <w:t>-</w:t>
            </w:r>
          </w:p>
          <w:p w:rsidR="008A0AA8" w:rsidRPr="00944F6E" w:rsidRDefault="008A0AA8" w:rsidP="00FF1868">
            <w:pPr>
              <w:jc w:val="center"/>
              <w:rPr>
                <w:b/>
              </w:rPr>
            </w:pPr>
            <w:r w:rsidRPr="00944F6E">
              <w:rPr>
                <w:b/>
              </w:rPr>
              <w:t>-</w:t>
            </w:r>
          </w:p>
        </w:tc>
        <w:tc>
          <w:tcPr>
            <w:tcW w:w="713" w:type="pct"/>
            <w:tcBorders>
              <w:right w:val="single" w:sz="4" w:space="0" w:color="auto"/>
            </w:tcBorders>
            <w:shd w:val="clear" w:color="auto" w:fill="EEECE1" w:themeFill="background2"/>
          </w:tcPr>
          <w:p w:rsidR="008A0AA8" w:rsidRPr="00944F6E" w:rsidRDefault="008A0AA8" w:rsidP="007D28E6">
            <w:pPr>
              <w:jc w:val="center"/>
            </w:pPr>
            <w:r w:rsidRPr="00944F6E">
              <w:t>5 340</w:t>
            </w:r>
          </w:p>
        </w:tc>
        <w:tc>
          <w:tcPr>
            <w:tcW w:w="636" w:type="pct"/>
            <w:tcBorders>
              <w:right w:val="single" w:sz="4" w:space="0" w:color="auto"/>
            </w:tcBorders>
            <w:shd w:val="clear" w:color="auto" w:fill="EEECE1" w:themeFill="background2"/>
          </w:tcPr>
          <w:p w:rsidR="008A0AA8" w:rsidRPr="00944F6E" w:rsidRDefault="008A0AA8" w:rsidP="007D28E6">
            <w:pPr>
              <w:jc w:val="center"/>
            </w:pPr>
            <w:r w:rsidRPr="00944F6E">
              <w:t>173,36 (50%)</w:t>
            </w:r>
          </w:p>
        </w:tc>
        <w:tc>
          <w:tcPr>
            <w:tcW w:w="646" w:type="pct"/>
            <w:tcBorders>
              <w:right w:val="single" w:sz="4" w:space="0" w:color="auto"/>
            </w:tcBorders>
            <w:shd w:val="clear" w:color="auto" w:fill="EEECE1" w:themeFill="background2"/>
          </w:tcPr>
          <w:p w:rsidR="008A0AA8" w:rsidRPr="00944F6E" w:rsidRDefault="00436007" w:rsidP="00FF1868">
            <w:pPr>
              <w:jc w:val="center"/>
            </w:pPr>
            <w:r w:rsidRPr="00944F6E">
              <w:t>11,1</w:t>
            </w:r>
          </w:p>
        </w:tc>
      </w:tr>
      <w:tr w:rsidR="008A0AA8" w:rsidRPr="00944F6E" w:rsidTr="00F616ED">
        <w:trPr>
          <w:trHeight w:val="227"/>
        </w:trPr>
        <w:tc>
          <w:tcPr>
            <w:tcW w:w="990" w:type="pct"/>
            <w:vMerge w:val="restart"/>
            <w:tcBorders>
              <w:left w:val="single" w:sz="4" w:space="0" w:color="auto"/>
            </w:tcBorders>
            <w:shd w:val="clear" w:color="auto" w:fill="auto"/>
          </w:tcPr>
          <w:p w:rsidR="008A0AA8" w:rsidRPr="00944F6E" w:rsidRDefault="008A0AA8" w:rsidP="00FF1868">
            <w:pPr>
              <w:jc w:val="center"/>
              <w:rPr>
                <w:b/>
              </w:rPr>
            </w:pPr>
            <w:r w:rsidRPr="00944F6E">
              <w:rPr>
                <w:b/>
              </w:rPr>
              <w:t>Ja ir 5 bērni vai bērns ar invaliditāti</w:t>
            </w:r>
          </w:p>
        </w:tc>
        <w:tc>
          <w:tcPr>
            <w:tcW w:w="424" w:type="pct"/>
            <w:shd w:val="clear" w:color="auto" w:fill="auto"/>
          </w:tcPr>
          <w:p w:rsidR="008A0AA8" w:rsidRPr="00944F6E" w:rsidRDefault="008A0AA8" w:rsidP="00FF1868">
            <w:pPr>
              <w:jc w:val="center"/>
            </w:pPr>
            <w:r w:rsidRPr="00944F6E">
              <w:t>vīr.</w:t>
            </w:r>
          </w:p>
        </w:tc>
        <w:tc>
          <w:tcPr>
            <w:tcW w:w="686" w:type="pct"/>
            <w:shd w:val="clear" w:color="auto" w:fill="auto"/>
          </w:tcPr>
          <w:p w:rsidR="008A0AA8" w:rsidRPr="00944F6E" w:rsidRDefault="008A0AA8" w:rsidP="00FF1868">
            <w:pPr>
              <w:jc w:val="center"/>
              <w:rPr>
                <w:b/>
              </w:rPr>
            </w:pPr>
            <w:r w:rsidRPr="00944F6E">
              <w:rPr>
                <w:b/>
              </w:rPr>
              <w:t>58</w:t>
            </w:r>
          </w:p>
          <w:p w:rsidR="008A0AA8" w:rsidRPr="00944F6E" w:rsidRDefault="008A0AA8" w:rsidP="00FF1868">
            <w:pPr>
              <w:jc w:val="center"/>
              <w:rPr>
                <w:b/>
              </w:rPr>
            </w:pPr>
          </w:p>
        </w:tc>
        <w:tc>
          <w:tcPr>
            <w:tcW w:w="534" w:type="pct"/>
            <w:shd w:val="clear" w:color="auto" w:fill="auto"/>
          </w:tcPr>
          <w:p w:rsidR="008A0AA8" w:rsidRPr="00944F6E" w:rsidRDefault="008A0AA8" w:rsidP="00FF1868">
            <w:pPr>
              <w:jc w:val="center"/>
              <w:rPr>
                <w:b/>
              </w:rPr>
            </w:pPr>
            <w:r w:rsidRPr="00944F6E">
              <w:rPr>
                <w:b/>
              </w:rPr>
              <w:t>25</w:t>
            </w:r>
          </w:p>
        </w:tc>
        <w:tc>
          <w:tcPr>
            <w:tcW w:w="371" w:type="pct"/>
            <w:shd w:val="clear" w:color="auto" w:fill="auto"/>
          </w:tcPr>
          <w:p w:rsidR="008A0AA8" w:rsidRPr="00944F6E" w:rsidRDefault="008A0AA8" w:rsidP="00FF1868">
            <w:pPr>
              <w:jc w:val="center"/>
              <w:rPr>
                <w:b/>
              </w:rPr>
            </w:pPr>
            <w:r w:rsidRPr="00944F6E">
              <w:rPr>
                <w:b/>
              </w:rPr>
              <w:t>-</w:t>
            </w:r>
          </w:p>
        </w:tc>
        <w:tc>
          <w:tcPr>
            <w:tcW w:w="713" w:type="pct"/>
            <w:vMerge w:val="restart"/>
            <w:shd w:val="clear" w:color="auto" w:fill="EEECE1" w:themeFill="background2"/>
          </w:tcPr>
          <w:p w:rsidR="008A0AA8" w:rsidRPr="00944F6E" w:rsidRDefault="008A0AA8" w:rsidP="007D28E6">
            <w:pPr>
              <w:jc w:val="center"/>
            </w:pPr>
            <w:r w:rsidRPr="00944F6E">
              <w:t>13 287</w:t>
            </w:r>
          </w:p>
        </w:tc>
        <w:tc>
          <w:tcPr>
            <w:tcW w:w="636" w:type="pct"/>
            <w:vMerge w:val="restart"/>
            <w:shd w:val="clear" w:color="auto" w:fill="EEECE1" w:themeFill="background2"/>
          </w:tcPr>
          <w:p w:rsidR="008A0AA8" w:rsidRPr="00944F6E" w:rsidRDefault="008A0AA8" w:rsidP="007D28E6">
            <w:pPr>
              <w:jc w:val="center"/>
            </w:pPr>
            <w:r w:rsidRPr="00944F6E">
              <w:t>256,98</w:t>
            </w:r>
          </w:p>
        </w:tc>
        <w:tc>
          <w:tcPr>
            <w:tcW w:w="646" w:type="pct"/>
            <w:vMerge w:val="restart"/>
            <w:shd w:val="clear" w:color="auto" w:fill="EEECE1" w:themeFill="background2"/>
          </w:tcPr>
          <w:p w:rsidR="008A0AA8" w:rsidRPr="00944F6E" w:rsidRDefault="00436007" w:rsidP="00FF1868">
            <w:pPr>
              <w:jc w:val="center"/>
            </w:pPr>
            <w:r w:rsidRPr="00944F6E">
              <w:t>41,0</w:t>
            </w:r>
          </w:p>
        </w:tc>
      </w:tr>
      <w:tr w:rsidR="008A0AA8" w:rsidRPr="00944F6E" w:rsidTr="00F616ED">
        <w:trPr>
          <w:trHeight w:val="227"/>
        </w:trPr>
        <w:tc>
          <w:tcPr>
            <w:tcW w:w="990" w:type="pct"/>
            <w:vMerge/>
            <w:tcBorders>
              <w:left w:val="single" w:sz="4" w:space="0" w:color="auto"/>
            </w:tcBorders>
            <w:shd w:val="clear" w:color="auto" w:fill="auto"/>
          </w:tcPr>
          <w:p w:rsidR="008A0AA8" w:rsidRPr="00944F6E" w:rsidRDefault="008A0AA8" w:rsidP="00FF1868">
            <w:pPr>
              <w:jc w:val="center"/>
              <w:rPr>
                <w:b/>
              </w:rPr>
            </w:pPr>
          </w:p>
        </w:tc>
        <w:tc>
          <w:tcPr>
            <w:tcW w:w="424" w:type="pct"/>
            <w:vMerge w:val="restart"/>
            <w:shd w:val="clear" w:color="auto" w:fill="auto"/>
          </w:tcPr>
          <w:p w:rsidR="008A0AA8" w:rsidRPr="00944F6E" w:rsidRDefault="008A0AA8" w:rsidP="00FF1868">
            <w:pPr>
              <w:jc w:val="center"/>
            </w:pPr>
            <w:r w:rsidRPr="00944F6E">
              <w:t>siev.</w:t>
            </w:r>
          </w:p>
        </w:tc>
        <w:tc>
          <w:tcPr>
            <w:tcW w:w="686" w:type="pct"/>
            <w:shd w:val="clear" w:color="auto" w:fill="auto"/>
          </w:tcPr>
          <w:p w:rsidR="008A0AA8" w:rsidRPr="00944F6E" w:rsidRDefault="008A0AA8" w:rsidP="00FF1868">
            <w:pPr>
              <w:jc w:val="center"/>
              <w:rPr>
                <w:b/>
              </w:rPr>
            </w:pPr>
            <w:r w:rsidRPr="00944F6E">
              <w:rPr>
                <w:b/>
              </w:rPr>
              <w:t>58</w:t>
            </w:r>
          </w:p>
          <w:p w:rsidR="008A0AA8" w:rsidRPr="00944F6E" w:rsidRDefault="008A0AA8" w:rsidP="00FF1868">
            <w:pPr>
              <w:jc w:val="center"/>
              <w:rPr>
                <w:b/>
              </w:rPr>
            </w:pPr>
          </w:p>
        </w:tc>
        <w:tc>
          <w:tcPr>
            <w:tcW w:w="534" w:type="pct"/>
            <w:shd w:val="clear" w:color="auto" w:fill="auto"/>
          </w:tcPr>
          <w:p w:rsidR="008A0AA8" w:rsidRPr="00944F6E" w:rsidRDefault="008A0AA8" w:rsidP="00FF1868">
            <w:pPr>
              <w:jc w:val="center"/>
              <w:rPr>
                <w:b/>
              </w:rPr>
            </w:pPr>
            <w:r w:rsidRPr="00944F6E">
              <w:rPr>
                <w:b/>
              </w:rPr>
              <w:t>25</w:t>
            </w:r>
          </w:p>
        </w:tc>
        <w:tc>
          <w:tcPr>
            <w:tcW w:w="371" w:type="pct"/>
            <w:shd w:val="clear" w:color="auto" w:fill="auto"/>
          </w:tcPr>
          <w:p w:rsidR="008A0AA8" w:rsidRPr="00944F6E" w:rsidRDefault="008A0AA8" w:rsidP="00FF1868">
            <w:pPr>
              <w:jc w:val="center"/>
              <w:rPr>
                <w:b/>
              </w:rPr>
            </w:pPr>
            <w:r w:rsidRPr="00944F6E">
              <w:rPr>
                <w:b/>
              </w:rPr>
              <w:t>-</w:t>
            </w:r>
          </w:p>
        </w:tc>
        <w:tc>
          <w:tcPr>
            <w:tcW w:w="713" w:type="pct"/>
            <w:vMerge/>
            <w:shd w:val="clear" w:color="auto" w:fill="EEECE1" w:themeFill="background2"/>
          </w:tcPr>
          <w:p w:rsidR="008A0AA8" w:rsidRPr="00944F6E" w:rsidRDefault="008A0AA8" w:rsidP="00FF1868">
            <w:pPr>
              <w:jc w:val="center"/>
              <w:rPr>
                <w:b/>
              </w:rPr>
            </w:pPr>
          </w:p>
        </w:tc>
        <w:tc>
          <w:tcPr>
            <w:tcW w:w="636" w:type="pct"/>
            <w:vMerge/>
            <w:shd w:val="clear" w:color="auto" w:fill="EEECE1" w:themeFill="background2"/>
          </w:tcPr>
          <w:p w:rsidR="008A0AA8" w:rsidRPr="00944F6E" w:rsidRDefault="008A0AA8" w:rsidP="00FF1868">
            <w:pPr>
              <w:jc w:val="center"/>
              <w:rPr>
                <w:b/>
              </w:rPr>
            </w:pPr>
          </w:p>
        </w:tc>
        <w:tc>
          <w:tcPr>
            <w:tcW w:w="646" w:type="pct"/>
            <w:vMerge/>
            <w:shd w:val="clear" w:color="auto" w:fill="EEECE1" w:themeFill="background2"/>
          </w:tcPr>
          <w:p w:rsidR="008A0AA8" w:rsidRPr="00944F6E" w:rsidRDefault="008A0AA8" w:rsidP="00FF1868">
            <w:pPr>
              <w:jc w:val="center"/>
              <w:rPr>
                <w:b/>
              </w:rPr>
            </w:pPr>
          </w:p>
        </w:tc>
      </w:tr>
      <w:tr w:rsidR="008A0AA8" w:rsidRPr="00944F6E" w:rsidTr="00F616ED">
        <w:trPr>
          <w:trHeight w:val="227"/>
        </w:trPr>
        <w:tc>
          <w:tcPr>
            <w:tcW w:w="990" w:type="pct"/>
            <w:vMerge/>
            <w:tcBorders>
              <w:left w:val="single" w:sz="4" w:space="0" w:color="auto"/>
            </w:tcBorders>
            <w:shd w:val="clear" w:color="auto" w:fill="auto"/>
          </w:tcPr>
          <w:p w:rsidR="008A0AA8" w:rsidRPr="00944F6E" w:rsidRDefault="008A0AA8" w:rsidP="00FF1868">
            <w:pPr>
              <w:jc w:val="center"/>
              <w:rPr>
                <w:b/>
              </w:rPr>
            </w:pPr>
          </w:p>
        </w:tc>
        <w:tc>
          <w:tcPr>
            <w:tcW w:w="424" w:type="pct"/>
            <w:vMerge/>
            <w:shd w:val="clear" w:color="auto" w:fill="auto"/>
          </w:tcPr>
          <w:p w:rsidR="008A0AA8" w:rsidRPr="00944F6E" w:rsidRDefault="008A0AA8" w:rsidP="00FF1868">
            <w:pPr>
              <w:jc w:val="center"/>
            </w:pPr>
          </w:p>
        </w:tc>
        <w:tc>
          <w:tcPr>
            <w:tcW w:w="686" w:type="pct"/>
            <w:shd w:val="clear" w:color="auto" w:fill="auto"/>
          </w:tcPr>
          <w:p w:rsidR="008A0AA8" w:rsidRPr="00944F6E" w:rsidRDefault="008A0AA8" w:rsidP="00FF1868">
            <w:pPr>
              <w:ind w:left="-108"/>
              <w:jc w:val="center"/>
            </w:pPr>
            <w:r w:rsidRPr="00944F6E">
              <w:rPr>
                <w:b/>
              </w:rPr>
              <w:t xml:space="preserve">61,5 </w:t>
            </w:r>
            <w:r w:rsidRPr="00944F6E">
              <w:t>(no 01.07.2017)</w:t>
            </w:r>
          </w:p>
          <w:p w:rsidR="008A0AA8" w:rsidRPr="00944F6E" w:rsidRDefault="008A0AA8" w:rsidP="00FF1868">
            <w:pPr>
              <w:ind w:left="-108"/>
              <w:jc w:val="center"/>
            </w:pPr>
            <w:r w:rsidRPr="00944F6E">
              <w:t>pārejas not. 8.punkts</w:t>
            </w:r>
          </w:p>
        </w:tc>
        <w:tc>
          <w:tcPr>
            <w:tcW w:w="534" w:type="pct"/>
            <w:shd w:val="clear" w:color="auto" w:fill="auto"/>
          </w:tcPr>
          <w:p w:rsidR="008A0AA8" w:rsidRPr="00944F6E" w:rsidRDefault="008A0AA8" w:rsidP="00FF1868">
            <w:pPr>
              <w:jc w:val="center"/>
              <w:rPr>
                <w:b/>
              </w:rPr>
            </w:pPr>
            <w:r w:rsidRPr="00944F6E">
              <w:rPr>
                <w:b/>
              </w:rPr>
              <w:t>20</w:t>
            </w:r>
          </w:p>
        </w:tc>
        <w:tc>
          <w:tcPr>
            <w:tcW w:w="371" w:type="pct"/>
            <w:shd w:val="clear" w:color="auto" w:fill="auto"/>
          </w:tcPr>
          <w:p w:rsidR="008A0AA8" w:rsidRPr="00944F6E" w:rsidRDefault="008A0AA8" w:rsidP="00FF1868">
            <w:pPr>
              <w:jc w:val="center"/>
              <w:rPr>
                <w:b/>
              </w:rPr>
            </w:pPr>
            <w:r w:rsidRPr="00944F6E">
              <w:rPr>
                <w:b/>
              </w:rPr>
              <w:t>-</w:t>
            </w:r>
          </w:p>
        </w:tc>
        <w:tc>
          <w:tcPr>
            <w:tcW w:w="713" w:type="pct"/>
            <w:vMerge/>
            <w:shd w:val="clear" w:color="auto" w:fill="EEECE1" w:themeFill="background2"/>
          </w:tcPr>
          <w:p w:rsidR="008A0AA8" w:rsidRPr="00944F6E" w:rsidRDefault="008A0AA8" w:rsidP="00FF1868">
            <w:pPr>
              <w:jc w:val="center"/>
              <w:rPr>
                <w:b/>
              </w:rPr>
            </w:pPr>
          </w:p>
        </w:tc>
        <w:tc>
          <w:tcPr>
            <w:tcW w:w="636" w:type="pct"/>
            <w:vMerge/>
            <w:shd w:val="clear" w:color="auto" w:fill="EEECE1" w:themeFill="background2"/>
          </w:tcPr>
          <w:p w:rsidR="008A0AA8" w:rsidRPr="00944F6E" w:rsidRDefault="008A0AA8" w:rsidP="00FF1868">
            <w:pPr>
              <w:jc w:val="center"/>
              <w:rPr>
                <w:b/>
              </w:rPr>
            </w:pPr>
          </w:p>
        </w:tc>
        <w:tc>
          <w:tcPr>
            <w:tcW w:w="646" w:type="pct"/>
            <w:vMerge/>
            <w:shd w:val="clear" w:color="auto" w:fill="EEECE1" w:themeFill="background2"/>
          </w:tcPr>
          <w:p w:rsidR="008A0AA8" w:rsidRPr="00944F6E" w:rsidRDefault="008A0AA8" w:rsidP="00FF1868">
            <w:pPr>
              <w:jc w:val="center"/>
              <w:rPr>
                <w:b/>
              </w:rPr>
            </w:pPr>
          </w:p>
        </w:tc>
      </w:tr>
      <w:tr w:rsidR="008A0AA8" w:rsidRPr="00944F6E" w:rsidTr="00F616ED">
        <w:trPr>
          <w:trHeight w:val="227"/>
        </w:trPr>
        <w:tc>
          <w:tcPr>
            <w:tcW w:w="990" w:type="pct"/>
            <w:vMerge w:val="restart"/>
            <w:shd w:val="clear" w:color="auto" w:fill="auto"/>
          </w:tcPr>
          <w:p w:rsidR="008A0AA8" w:rsidRPr="00944F6E" w:rsidRDefault="008A0AA8" w:rsidP="00FF1868">
            <w:pPr>
              <w:jc w:val="center"/>
              <w:rPr>
                <w:b/>
              </w:rPr>
            </w:pPr>
            <w:r w:rsidRPr="00944F6E">
              <w:rPr>
                <w:b/>
              </w:rPr>
              <w:t>Liliputi, punduri, neredzīgie</w:t>
            </w:r>
          </w:p>
        </w:tc>
        <w:tc>
          <w:tcPr>
            <w:tcW w:w="424" w:type="pct"/>
            <w:shd w:val="clear" w:color="auto" w:fill="auto"/>
          </w:tcPr>
          <w:p w:rsidR="008A0AA8" w:rsidRPr="00944F6E" w:rsidRDefault="008A0AA8" w:rsidP="00FF1868">
            <w:pPr>
              <w:jc w:val="center"/>
            </w:pPr>
            <w:r w:rsidRPr="00944F6E">
              <w:t>vīr.</w:t>
            </w:r>
          </w:p>
        </w:tc>
        <w:tc>
          <w:tcPr>
            <w:tcW w:w="686" w:type="pct"/>
            <w:shd w:val="clear" w:color="auto" w:fill="auto"/>
          </w:tcPr>
          <w:p w:rsidR="008A0AA8" w:rsidRPr="00944F6E" w:rsidRDefault="008A0AA8" w:rsidP="00D23AA1">
            <w:pPr>
              <w:jc w:val="center"/>
            </w:pPr>
            <w:r w:rsidRPr="00944F6E">
              <w:rPr>
                <w:b/>
              </w:rPr>
              <w:t>56</w:t>
            </w:r>
            <w:r w:rsidR="00D23AA1" w:rsidRPr="00944F6E">
              <w:rPr>
                <w:b/>
              </w:rPr>
              <w:t>,5</w:t>
            </w:r>
            <w:r w:rsidRPr="00944F6E">
              <w:t xml:space="preserve"> (no 01.07.201</w:t>
            </w:r>
            <w:r w:rsidR="00D23AA1" w:rsidRPr="00944F6E">
              <w:t>7</w:t>
            </w:r>
            <w:r w:rsidRPr="00944F6E">
              <w:t>)</w:t>
            </w:r>
          </w:p>
        </w:tc>
        <w:tc>
          <w:tcPr>
            <w:tcW w:w="534" w:type="pct"/>
            <w:shd w:val="clear" w:color="auto" w:fill="auto"/>
          </w:tcPr>
          <w:p w:rsidR="008A0AA8" w:rsidRPr="00944F6E" w:rsidRDefault="008A0AA8" w:rsidP="00FF1868">
            <w:pPr>
              <w:jc w:val="center"/>
              <w:rPr>
                <w:b/>
              </w:rPr>
            </w:pPr>
            <w:r w:rsidRPr="00944F6E">
              <w:rPr>
                <w:b/>
              </w:rPr>
              <w:t>20</w:t>
            </w:r>
          </w:p>
        </w:tc>
        <w:tc>
          <w:tcPr>
            <w:tcW w:w="371" w:type="pct"/>
            <w:shd w:val="clear" w:color="auto" w:fill="auto"/>
          </w:tcPr>
          <w:p w:rsidR="008A0AA8" w:rsidRPr="00944F6E" w:rsidRDefault="008A0AA8" w:rsidP="00FF1868">
            <w:pPr>
              <w:jc w:val="center"/>
              <w:rPr>
                <w:b/>
              </w:rPr>
            </w:pPr>
            <w:r w:rsidRPr="00944F6E">
              <w:rPr>
                <w:b/>
              </w:rPr>
              <w:t>-</w:t>
            </w:r>
          </w:p>
        </w:tc>
        <w:tc>
          <w:tcPr>
            <w:tcW w:w="713" w:type="pct"/>
            <w:vMerge w:val="restart"/>
            <w:shd w:val="clear" w:color="auto" w:fill="EEECE1" w:themeFill="background2"/>
          </w:tcPr>
          <w:p w:rsidR="008A0AA8" w:rsidRPr="00944F6E" w:rsidRDefault="008A0AA8" w:rsidP="007D28E6">
            <w:pPr>
              <w:jc w:val="center"/>
            </w:pPr>
            <w:r w:rsidRPr="00944F6E">
              <w:t>32</w:t>
            </w:r>
          </w:p>
        </w:tc>
        <w:tc>
          <w:tcPr>
            <w:tcW w:w="636" w:type="pct"/>
            <w:vMerge w:val="restart"/>
            <w:shd w:val="clear" w:color="auto" w:fill="EEECE1" w:themeFill="background2"/>
          </w:tcPr>
          <w:p w:rsidR="008A0AA8" w:rsidRPr="00944F6E" w:rsidRDefault="008A0AA8" w:rsidP="007D28E6">
            <w:pPr>
              <w:jc w:val="center"/>
            </w:pPr>
            <w:r w:rsidRPr="00944F6E">
              <w:t>254,15</w:t>
            </w:r>
          </w:p>
        </w:tc>
        <w:tc>
          <w:tcPr>
            <w:tcW w:w="646" w:type="pct"/>
            <w:vMerge w:val="restart"/>
            <w:shd w:val="clear" w:color="auto" w:fill="EEECE1" w:themeFill="background2"/>
          </w:tcPr>
          <w:p w:rsidR="008A0AA8" w:rsidRPr="00944F6E" w:rsidRDefault="008A0AA8" w:rsidP="00FF1868">
            <w:pPr>
              <w:jc w:val="center"/>
            </w:pPr>
            <w:r w:rsidRPr="00944F6E">
              <w:t>0,1</w:t>
            </w:r>
          </w:p>
        </w:tc>
      </w:tr>
      <w:tr w:rsidR="008A0AA8" w:rsidRPr="00944F6E" w:rsidTr="00F616ED">
        <w:trPr>
          <w:trHeight w:val="227"/>
        </w:trPr>
        <w:tc>
          <w:tcPr>
            <w:tcW w:w="990" w:type="pct"/>
            <w:vMerge/>
            <w:shd w:val="clear" w:color="auto" w:fill="auto"/>
          </w:tcPr>
          <w:p w:rsidR="008A0AA8" w:rsidRPr="00944F6E" w:rsidRDefault="008A0AA8" w:rsidP="00FF1868">
            <w:pPr>
              <w:jc w:val="center"/>
              <w:rPr>
                <w:b/>
              </w:rPr>
            </w:pPr>
          </w:p>
        </w:tc>
        <w:tc>
          <w:tcPr>
            <w:tcW w:w="424" w:type="pct"/>
            <w:shd w:val="clear" w:color="auto" w:fill="auto"/>
          </w:tcPr>
          <w:p w:rsidR="008A0AA8" w:rsidRPr="00944F6E" w:rsidRDefault="008A0AA8" w:rsidP="00FF1868">
            <w:pPr>
              <w:jc w:val="center"/>
            </w:pPr>
            <w:r w:rsidRPr="00944F6E">
              <w:t>siev.</w:t>
            </w:r>
          </w:p>
        </w:tc>
        <w:tc>
          <w:tcPr>
            <w:tcW w:w="686" w:type="pct"/>
            <w:shd w:val="clear" w:color="auto" w:fill="auto"/>
          </w:tcPr>
          <w:p w:rsidR="008A0AA8" w:rsidRPr="00944F6E" w:rsidRDefault="008A0AA8" w:rsidP="00D23AA1">
            <w:pPr>
              <w:jc w:val="center"/>
            </w:pPr>
            <w:r w:rsidRPr="00944F6E">
              <w:rPr>
                <w:b/>
              </w:rPr>
              <w:t>51</w:t>
            </w:r>
            <w:r w:rsidR="00D23AA1" w:rsidRPr="00944F6E">
              <w:rPr>
                <w:b/>
              </w:rPr>
              <w:t>,5</w:t>
            </w:r>
            <w:r w:rsidRPr="00944F6E">
              <w:rPr>
                <w:b/>
              </w:rPr>
              <w:t xml:space="preserve"> </w:t>
            </w:r>
            <w:r w:rsidRPr="00944F6E">
              <w:t>(no 01.07.201</w:t>
            </w:r>
            <w:r w:rsidR="00D23AA1" w:rsidRPr="00944F6E">
              <w:t>7</w:t>
            </w:r>
            <w:r w:rsidRPr="00944F6E">
              <w:t>)</w:t>
            </w:r>
          </w:p>
        </w:tc>
        <w:tc>
          <w:tcPr>
            <w:tcW w:w="534" w:type="pct"/>
            <w:shd w:val="clear" w:color="auto" w:fill="auto"/>
          </w:tcPr>
          <w:p w:rsidR="008A0AA8" w:rsidRPr="00944F6E" w:rsidRDefault="008A0AA8" w:rsidP="00FF1868">
            <w:pPr>
              <w:jc w:val="center"/>
              <w:rPr>
                <w:b/>
              </w:rPr>
            </w:pPr>
            <w:r w:rsidRPr="00944F6E">
              <w:rPr>
                <w:b/>
              </w:rPr>
              <w:t>15</w:t>
            </w:r>
          </w:p>
        </w:tc>
        <w:tc>
          <w:tcPr>
            <w:tcW w:w="371" w:type="pct"/>
            <w:shd w:val="clear" w:color="auto" w:fill="auto"/>
          </w:tcPr>
          <w:p w:rsidR="008A0AA8" w:rsidRPr="00944F6E" w:rsidRDefault="008A0AA8" w:rsidP="00FF1868">
            <w:pPr>
              <w:jc w:val="center"/>
              <w:rPr>
                <w:b/>
              </w:rPr>
            </w:pPr>
            <w:r w:rsidRPr="00944F6E">
              <w:rPr>
                <w:b/>
              </w:rPr>
              <w:t>-</w:t>
            </w:r>
          </w:p>
        </w:tc>
        <w:tc>
          <w:tcPr>
            <w:tcW w:w="713" w:type="pct"/>
            <w:vMerge/>
            <w:shd w:val="clear" w:color="auto" w:fill="EEECE1" w:themeFill="background2"/>
          </w:tcPr>
          <w:p w:rsidR="008A0AA8" w:rsidRPr="00944F6E" w:rsidRDefault="008A0AA8" w:rsidP="00FF1868">
            <w:pPr>
              <w:jc w:val="center"/>
              <w:rPr>
                <w:b/>
              </w:rPr>
            </w:pPr>
          </w:p>
        </w:tc>
        <w:tc>
          <w:tcPr>
            <w:tcW w:w="636" w:type="pct"/>
            <w:vMerge/>
            <w:shd w:val="clear" w:color="auto" w:fill="EEECE1" w:themeFill="background2"/>
          </w:tcPr>
          <w:p w:rsidR="008A0AA8" w:rsidRPr="00944F6E" w:rsidRDefault="008A0AA8" w:rsidP="00FF1868">
            <w:pPr>
              <w:jc w:val="center"/>
              <w:rPr>
                <w:b/>
              </w:rPr>
            </w:pPr>
          </w:p>
        </w:tc>
        <w:tc>
          <w:tcPr>
            <w:tcW w:w="646" w:type="pct"/>
            <w:vMerge/>
            <w:shd w:val="clear" w:color="auto" w:fill="EEECE1" w:themeFill="background2"/>
          </w:tcPr>
          <w:p w:rsidR="008A0AA8" w:rsidRPr="00944F6E" w:rsidRDefault="008A0AA8" w:rsidP="00FF1868">
            <w:pPr>
              <w:jc w:val="center"/>
              <w:rPr>
                <w:b/>
              </w:rPr>
            </w:pPr>
          </w:p>
        </w:tc>
      </w:tr>
      <w:tr w:rsidR="008A0AA8" w:rsidRPr="00944F6E" w:rsidTr="00F616ED">
        <w:trPr>
          <w:trHeight w:val="227"/>
        </w:trPr>
        <w:tc>
          <w:tcPr>
            <w:tcW w:w="990" w:type="pct"/>
            <w:tcBorders>
              <w:bottom w:val="single" w:sz="4" w:space="0" w:color="auto"/>
            </w:tcBorders>
            <w:shd w:val="clear" w:color="auto" w:fill="auto"/>
          </w:tcPr>
          <w:p w:rsidR="008A0AA8" w:rsidRPr="00944F6E" w:rsidRDefault="008A0AA8" w:rsidP="00FF1868">
            <w:pPr>
              <w:jc w:val="center"/>
              <w:rPr>
                <w:b/>
              </w:rPr>
            </w:pPr>
            <w:r w:rsidRPr="00944F6E">
              <w:rPr>
                <w:b/>
              </w:rPr>
              <w:t>Invalīdi uz mūžu</w:t>
            </w:r>
          </w:p>
        </w:tc>
        <w:tc>
          <w:tcPr>
            <w:tcW w:w="424" w:type="pct"/>
            <w:tcBorders>
              <w:bottom w:val="single" w:sz="4" w:space="0" w:color="auto"/>
            </w:tcBorders>
            <w:shd w:val="clear" w:color="auto" w:fill="auto"/>
          </w:tcPr>
          <w:p w:rsidR="008A0AA8" w:rsidRPr="00944F6E" w:rsidRDefault="008A0AA8" w:rsidP="00FF1868">
            <w:pPr>
              <w:jc w:val="center"/>
            </w:pPr>
            <w:r w:rsidRPr="00944F6E">
              <w:t>siev.</w:t>
            </w:r>
          </w:p>
        </w:tc>
        <w:tc>
          <w:tcPr>
            <w:tcW w:w="686" w:type="pct"/>
            <w:tcBorders>
              <w:bottom w:val="single" w:sz="4" w:space="0" w:color="auto"/>
            </w:tcBorders>
            <w:shd w:val="clear" w:color="auto" w:fill="auto"/>
          </w:tcPr>
          <w:p w:rsidR="008A0AA8" w:rsidRPr="00944F6E" w:rsidRDefault="008A0AA8" w:rsidP="00D23AA1">
            <w:pPr>
              <w:jc w:val="center"/>
            </w:pPr>
            <w:r w:rsidRPr="00944F6E">
              <w:rPr>
                <w:b/>
              </w:rPr>
              <w:t>61</w:t>
            </w:r>
            <w:r w:rsidR="00D23AA1" w:rsidRPr="00944F6E">
              <w:rPr>
                <w:b/>
              </w:rPr>
              <w:t>,5</w:t>
            </w:r>
            <w:r w:rsidRPr="00944F6E">
              <w:rPr>
                <w:b/>
              </w:rPr>
              <w:t xml:space="preserve"> </w:t>
            </w:r>
            <w:r w:rsidRPr="00944F6E">
              <w:t>(no 01.07.201</w:t>
            </w:r>
            <w:r w:rsidR="00D23AA1" w:rsidRPr="00944F6E">
              <w:t>7</w:t>
            </w:r>
            <w:r w:rsidRPr="00944F6E">
              <w:t>)</w:t>
            </w:r>
          </w:p>
        </w:tc>
        <w:tc>
          <w:tcPr>
            <w:tcW w:w="534" w:type="pct"/>
            <w:tcBorders>
              <w:bottom w:val="single" w:sz="4" w:space="0" w:color="auto"/>
            </w:tcBorders>
            <w:shd w:val="clear" w:color="auto" w:fill="auto"/>
          </w:tcPr>
          <w:p w:rsidR="008A0AA8" w:rsidRPr="00944F6E" w:rsidRDefault="008A0AA8" w:rsidP="00FF1868">
            <w:pPr>
              <w:jc w:val="center"/>
              <w:rPr>
                <w:b/>
              </w:rPr>
            </w:pPr>
            <w:r w:rsidRPr="00944F6E">
              <w:rPr>
                <w:b/>
              </w:rPr>
              <w:t>20</w:t>
            </w:r>
          </w:p>
        </w:tc>
        <w:tc>
          <w:tcPr>
            <w:tcW w:w="371" w:type="pct"/>
            <w:tcBorders>
              <w:bottom w:val="single" w:sz="4" w:space="0" w:color="auto"/>
            </w:tcBorders>
            <w:shd w:val="clear" w:color="auto" w:fill="auto"/>
          </w:tcPr>
          <w:p w:rsidR="008A0AA8" w:rsidRPr="00944F6E" w:rsidRDefault="008A0AA8" w:rsidP="00FF1868">
            <w:pPr>
              <w:jc w:val="center"/>
              <w:rPr>
                <w:b/>
              </w:rPr>
            </w:pPr>
            <w:r w:rsidRPr="00944F6E">
              <w:rPr>
                <w:b/>
              </w:rPr>
              <w:t>-</w:t>
            </w:r>
          </w:p>
        </w:tc>
        <w:tc>
          <w:tcPr>
            <w:tcW w:w="713" w:type="pct"/>
            <w:tcBorders>
              <w:bottom w:val="single" w:sz="4" w:space="0" w:color="auto"/>
            </w:tcBorders>
            <w:shd w:val="clear" w:color="auto" w:fill="EEECE1" w:themeFill="background2"/>
          </w:tcPr>
          <w:p w:rsidR="008A0AA8" w:rsidRPr="00944F6E" w:rsidRDefault="008A0AA8" w:rsidP="007D28E6">
            <w:pPr>
              <w:jc w:val="center"/>
            </w:pPr>
            <w:r w:rsidRPr="00944F6E">
              <w:t>9 321</w:t>
            </w:r>
          </w:p>
        </w:tc>
        <w:tc>
          <w:tcPr>
            <w:tcW w:w="636" w:type="pct"/>
            <w:tcBorders>
              <w:bottom w:val="single" w:sz="4" w:space="0" w:color="auto"/>
            </w:tcBorders>
            <w:shd w:val="clear" w:color="auto" w:fill="EEECE1" w:themeFill="background2"/>
          </w:tcPr>
          <w:p w:rsidR="008A0AA8" w:rsidRPr="00944F6E" w:rsidRDefault="008A0AA8" w:rsidP="007D28E6">
            <w:pPr>
              <w:jc w:val="center"/>
            </w:pPr>
            <w:r w:rsidRPr="00944F6E">
              <w:t>312,22</w:t>
            </w:r>
          </w:p>
        </w:tc>
        <w:tc>
          <w:tcPr>
            <w:tcW w:w="646" w:type="pct"/>
            <w:tcBorders>
              <w:bottom w:val="single" w:sz="4" w:space="0" w:color="auto"/>
            </w:tcBorders>
            <w:shd w:val="clear" w:color="auto" w:fill="EEECE1" w:themeFill="background2"/>
          </w:tcPr>
          <w:p w:rsidR="008A0AA8" w:rsidRPr="00944F6E" w:rsidRDefault="00436007" w:rsidP="00FF1868">
            <w:pPr>
              <w:jc w:val="center"/>
            </w:pPr>
            <w:r w:rsidRPr="00944F6E">
              <w:t>34,9</w:t>
            </w:r>
          </w:p>
        </w:tc>
      </w:tr>
      <w:tr w:rsidR="008A0AA8" w:rsidRPr="00944F6E" w:rsidTr="00F616ED">
        <w:trPr>
          <w:trHeight w:val="227"/>
        </w:trPr>
        <w:tc>
          <w:tcPr>
            <w:tcW w:w="990" w:type="pct"/>
            <w:vMerge w:val="restart"/>
            <w:tcBorders>
              <w:top w:val="single" w:sz="4" w:space="0" w:color="auto"/>
              <w:left w:val="single" w:sz="4" w:space="0" w:color="auto"/>
            </w:tcBorders>
            <w:shd w:val="clear" w:color="auto" w:fill="auto"/>
          </w:tcPr>
          <w:p w:rsidR="008A0AA8" w:rsidRPr="00944F6E" w:rsidRDefault="008A0AA8" w:rsidP="00FF1868">
            <w:pPr>
              <w:jc w:val="center"/>
              <w:rPr>
                <w:b/>
              </w:rPr>
            </w:pPr>
            <w:r w:rsidRPr="00944F6E">
              <w:rPr>
                <w:b/>
              </w:rPr>
              <w:t>I saraksts</w:t>
            </w:r>
          </w:p>
        </w:tc>
        <w:tc>
          <w:tcPr>
            <w:tcW w:w="424" w:type="pct"/>
            <w:tcBorders>
              <w:top w:val="single" w:sz="4" w:space="0" w:color="auto"/>
            </w:tcBorders>
            <w:shd w:val="clear" w:color="auto" w:fill="auto"/>
          </w:tcPr>
          <w:p w:rsidR="008A0AA8" w:rsidRPr="00944F6E" w:rsidRDefault="008A0AA8" w:rsidP="00FF1868">
            <w:pPr>
              <w:jc w:val="center"/>
            </w:pPr>
            <w:r w:rsidRPr="00944F6E">
              <w:t>vīr.</w:t>
            </w:r>
          </w:p>
        </w:tc>
        <w:tc>
          <w:tcPr>
            <w:tcW w:w="686" w:type="pct"/>
            <w:tcBorders>
              <w:top w:val="single" w:sz="4" w:space="0" w:color="auto"/>
            </w:tcBorders>
            <w:shd w:val="clear" w:color="auto" w:fill="auto"/>
          </w:tcPr>
          <w:p w:rsidR="008A0AA8" w:rsidRPr="00944F6E" w:rsidRDefault="008A0AA8" w:rsidP="00FF1868">
            <w:pPr>
              <w:jc w:val="center"/>
              <w:rPr>
                <w:b/>
              </w:rPr>
            </w:pPr>
            <w:r w:rsidRPr="00944F6E">
              <w:rPr>
                <w:b/>
              </w:rPr>
              <w:t>6</w:t>
            </w:r>
            <w:r w:rsidR="00D23AA1" w:rsidRPr="00944F6E">
              <w:rPr>
                <w:b/>
              </w:rPr>
              <w:t>1</w:t>
            </w:r>
          </w:p>
          <w:p w:rsidR="008A0AA8" w:rsidRPr="00944F6E" w:rsidRDefault="008A0AA8" w:rsidP="00FF1868">
            <w:pPr>
              <w:jc w:val="center"/>
            </w:pPr>
          </w:p>
        </w:tc>
        <w:tc>
          <w:tcPr>
            <w:tcW w:w="534" w:type="pct"/>
            <w:tcBorders>
              <w:top w:val="single" w:sz="4" w:space="0" w:color="auto"/>
            </w:tcBorders>
            <w:shd w:val="clear" w:color="auto" w:fill="auto"/>
          </w:tcPr>
          <w:p w:rsidR="008A0AA8" w:rsidRPr="00944F6E" w:rsidRDefault="008A0AA8" w:rsidP="00FF1868">
            <w:pPr>
              <w:jc w:val="center"/>
              <w:rPr>
                <w:b/>
              </w:rPr>
            </w:pPr>
            <w:r w:rsidRPr="00944F6E">
              <w:rPr>
                <w:b/>
              </w:rPr>
              <w:t>20</w:t>
            </w:r>
          </w:p>
        </w:tc>
        <w:tc>
          <w:tcPr>
            <w:tcW w:w="371" w:type="pct"/>
            <w:tcBorders>
              <w:top w:val="single" w:sz="4" w:space="0" w:color="auto"/>
              <w:right w:val="single" w:sz="4" w:space="0" w:color="auto"/>
            </w:tcBorders>
            <w:shd w:val="clear" w:color="auto" w:fill="auto"/>
          </w:tcPr>
          <w:p w:rsidR="008A0AA8" w:rsidRPr="00944F6E" w:rsidRDefault="008A0AA8" w:rsidP="00FF1868">
            <w:pPr>
              <w:jc w:val="center"/>
              <w:rPr>
                <w:b/>
              </w:rPr>
            </w:pPr>
            <w:r w:rsidRPr="00944F6E">
              <w:rPr>
                <w:b/>
              </w:rPr>
              <w:t>5 g.</w:t>
            </w:r>
          </w:p>
        </w:tc>
        <w:tc>
          <w:tcPr>
            <w:tcW w:w="713" w:type="pct"/>
            <w:vMerge w:val="restart"/>
            <w:tcBorders>
              <w:top w:val="single" w:sz="4" w:space="0" w:color="auto"/>
              <w:right w:val="single" w:sz="4" w:space="0" w:color="auto"/>
            </w:tcBorders>
            <w:shd w:val="clear" w:color="auto" w:fill="EEECE1" w:themeFill="background2"/>
          </w:tcPr>
          <w:p w:rsidR="008A0AA8" w:rsidRPr="00944F6E" w:rsidRDefault="008A0AA8" w:rsidP="007D28E6">
            <w:pPr>
              <w:jc w:val="center"/>
            </w:pPr>
            <w:r w:rsidRPr="00944F6E">
              <w:t>7 863</w:t>
            </w:r>
          </w:p>
        </w:tc>
        <w:tc>
          <w:tcPr>
            <w:tcW w:w="636" w:type="pct"/>
            <w:vMerge w:val="restart"/>
            <w:tcBorders>
              <w:top w:val="single" w:sz="4" w:space="0" w:color="auto"/>
              <w:right w:val="single" w:sz="4" w:space="0" w:color="auto"/>
            </w:tcBorders>
            <w:shd w:val="clear" w:color="auto" w:fill="EEECE1" w:themeFill="background2"/>
          </w:tcPr>
          <w:p w:rsidR="008A0AA8" w:rsidRPr="00944F6E" w:rsidRDefault="008A0AA8" w:rsidP="007D28E6">
            <w:pPr>
              <w:jc w:val="center"/>
            </w:pPr>
            <w:r w:rsidRPr="00944F6E">
              <w:t>283,87</w:t>
            </w:r>
          </w:p>
        </w:tc>
        <w:tc>
          <w:tcPr>
            <w:tcW w:w="646" w:type="pct"/>
            <w:vMerge w:val="restart"/>
            <w:tcBorders>
              <w:top w:val="single" w:sz="4" w:space="0" w:color="auto"/>
              <w:right w:val="single" w:sz="4" w:space="0" w:color="auto"/>
            </w:tcBorders>
            <w:shd w:val="clear" w:color="auto" w:fill="EEECE1" w:themeFill="background2"/>
          </w:tcPr>
          <w:p w:rsidR="008A0AA8" w:rsidRPr="00944F6E" w:rsidRDefault="008A0AA8" w:rsidP="00436007">
            <w:pPr>
              <w:jc w:val="center"/>
            </w:pPr>
            <w:r w:rsidRPr="00944F6E">
              <w:t>26,</w:t>
            </w:r>
            <w:r w:rsidR="00436007" w:rsidRPr="00944F6E">
              <w:t>8</w:t>
            </w:r>
          </w:p>
        </w:tc>
      </w:tr>
      <w:tr w:rsidR="008A0AA8" w:rsidRPr="00944F6E" w:rsidTr="00F616ED">
        <w:trPr>
          <w:trHeight w:val="227"/>
        </w:trPr>
        <w:tc>
          <w:tcPr>
            <w:tcW w:w="990" w:type="pct"/>
            <w:vMerge/>
            <w:tcBorders>
              <w:left w:val="single" w:sz="4" w:space="0" w:color="auto"/>
              <w:bottom w:val="single" w:sz="4" w:space="0" w:color="auto"/>
            </w:tcBorders>
            <w:shd w:val="clear" w:color="auto" w:fill="auto"/>
          </w:tcPr>
          <w:p w:rsidR="008A0AA8" w:rsidRPr="00944F6E" w:rsidRDefault="008A0AA8" w:rsidP="00FF1868">
            <w:pPr>
              <w:jc w:val="center"/>
              <w:rPr>
                <w:b/>
              </w:rPr>
            </w:pPr>
          </w:p>
        </w:tc>
        <w:tc>
          <w:tcPr>
            <w:tcW w:w="424" w:type="pct"/>
            <w:tcBorders>
              <w:bottom w:val="single" w:sz="4" w:space="0" w:color="auto"/>
            </w:tcBorders>
            <w:shd w:val="clear" w:color="auto" w:fill="auto"/>
          </w:tcPr>
          <w:p w:rsidR="008A0AA8" w:rsidRPr="00944F6E" w:rsidRDefault="008A0AA8" w:rsidP="00FF1868">
            <w:pPr>
              <w:jc w:val="center"/>
            </w:pPr>
            <w:r w:rsidRPr="00944F6E">
              <w:t>siev.</w:t>
            </w:r>
          </w:p>
        </w:tc>
        <w:tc>
          <w:tcPr>
            <w:tcW w:w="686" w:type="pct"/>
            <w:tcBorders>
              <w:bottom w:val="single" w:sz="4" w:space="0" w:color="auto"/>
            </w:tcBorders>
            <w:shd w:val="clear" w:color="auto" w:fill="auto"/>
          </w:tcPr>
          <w:p w:rsidR="008A0AA8" w:rsidRPr="00944F6E" w:rsidRDefault="008A0AA8" w:rsidP="00D23AA1">
            <w:pPr>
              <w:jc w:val="center"/>
            </w:pPr>
            <w:r w:rsidRPr="00944F6E">
              <w:rPr>
                <w:b/>
              </w:rPr>
              <w:t>56</w:t>
            </w:r>
            <w:r w:rsidR="00D23AA1" w:rsidRPr="00944F6E">
              <w:rPr>
                <w:b/>
              </w:rPr>
              <w:t>,5</w:t>
            </w:r>
            <w:r w:rsidRPr="00944F6E">
              <w:t xml:space="preserve"> (no 01.07.201</w:t>
            </w:r>
            <w:r w:rsidR="00D23AA1" w:rsidRPr="00944F6E">
              <w:t>7</w:t>
            </w:r>
            <w:r w:rsidRPr="00944F6E">
              <w:t>)</w:t>
            </w:r>
          </w:p>
        </w:tc>
        <w:tc>
          <w:tcPr>
            <w:tcW w:w="534" w:type="pct"/>
            <w:tcBorders>
              <w:bottom w:val="single" w:sz="4" w:space="0" w:color="auto"/>
            </w:tcBorders>
            <w:shd w:val="clear" w:color="auto" w:fill="auto"/>
          </w:tcPr>
          <w:p w:rsidR="008A0AA8" w:rsidRPr="00944F6E" w:rsidRDefault="008A0AA8" w:rsidP="00FF1868">
            <w:pPr>
              <w:jc w:val="center"/>
              <w:rPr>
                <w:b/>
              </w:rPr>
            </w:pPr>
            <w:r w:rsidRPr="00944F6E">
              <w:rPr>
                <w:b/>
              </w:rPr>
              <w:t>15</w:t>
            </w:r>
          </w:p>
        </w:tc>
        <w:tc>
          <w:tcPr>
            <w:tcW w:w="371" w:type="pct"/>
            <w:tcBorders>
              <w:bottom w:val="single" w:sz="4" w:space="0" w:color="auto"/>
              <w:right w:val="single" w:sz="4" w:space="0" w:color="auto"/>
            </w:tcBorders>
            <w:shd w:val="clear" w:color="auto" w:fill="auto"/>
          </w:tcPr>
          <w:p w:rsidR="008A0AA8" w:rsidRPr="00944F6E" w:rsidRDefault="008A0AA8" w:rsidP="00FF1868">
            <w:pPr>
              <w:jc w:val="center"/>
              <w:rPr>
                <w:b/>
              </w:rPr>
            </w:pPr>
            <w:r w:rsidRPr="00944F6E">
              <w:rPr>
                <w:b/>
              </w:rPr>
              <w:t>3 g. 9 m.</w:t>
            </w:r>
          </w:p>
        </w:tc>
        <w:tc>
          <w:tcPr>
            <w:tcW w:w="713" w:type="pct"/>
            <w:vMerge/>
            <w:tcBorders>
              <w:bottom w:val="single" w:sz="4" w:space="0" w:color="auto"/>
              <w:right w:val="single" w:sz="4" w:space="0" w:color="auto"/>
            </w:tcBorders>
            <w:shd w:val="clear" w:color="auto" w:fill="EEECE1" w:themeFill="background2"/>
          </w:tcPr>
          <w:p w:rsidR="008A0AA8" w:rsidRPr="00944F6E" w:rsidRDefault="008A0AA8" w:rsidP="00FF1868">
            <w:pPr>
              <w:jc w:val="center"/>
              <w:rPr>
                <w:b/>
              </w:rPr>
            </w:pPr>
          </w:p>
        </w:tc>
        <w:tc>
          <w:tcPr>
            <w:tcW w:w="636" w:type="pct"/>
            <w:vMerge/>
            <w:tcBorders>
              <w:bottom w:val="single" w:sz="4" w:space="0" w:color="auto"/>
              <w:right w:val="single" w:sz="4" w:space="0" w:color="auto"/>
            </w:tcBorders>
            <w:shd w:val="clear" w:color="auto" w:fill="EEECE1" w:themeFill="background2"/>
          </w:tcPr>
          <w:p w:rsidR="008A0AA8" w:rsidRPr="00944F6E" w:rsidRDefault="008A0AA8" w:rsidP="00FF1868">
            <w:pPr>
              <w:jc w:val="center"/>
              <w:rPr>
                <w:b/>
              </w:rPr>
            </w:pPr>
          </w:p>
        </w:tc>
        <w:tc>
          <w:tcPr>
            <w:tcW w:w="646" w:type="pct"/>
            <w:vMerge/>
            <w:tcBorders>
              <w:bottom w:val="single" w:sz="4" w:space="0" w:color="auto"/>
              <w:right w:val="single" w:sz="4" w:space="0" w:color="auto"/>
            </w:tcBorders>
            <w:shd w:val="clear" w:color="auto" w:fill="EEECE1" w:themeFill="background2"/>
          </w:tcPr>
          <w:p w:rsidR="008A0AA8" w:rsidRPr="00944F6E" w:rsidRDefault="008A0AA8" w:rsidP="00FF1868">
            <w:pPr>
              <w:jc w:val="center"/>
              <w:rPr>
                <w:b/>
              </w:rPr>
            </w:pPr>
          </w:p>
        </w:tc>
      </w:tr>
      <w:tr w:rsidR="008A0AA8" w:rsidRPr="00944F6E" w:rsidTr="00F616ED">
        <w:trPr>
          <w:trHeight w:val="227"/>
        </w:trPr>
        <w:tc>
          <w:tcPr>
            <w:tcW w:w="990" w:type="pct"/>
            <w:vMerge w:val="restart"/>
            <w:tcBorders>
              <w:top w:val="single" w:sz="4" w:space="0" w:color="auto"/>
            </w:tcBorders>
            <w:shd w:val="clear" w:color="auto" w:fill="auto"/>
          </w:tcPr>
          <w:p w:rsidR="008A0AA8" w:rsidRPr="00944F6E" w:rsidRDefault="008A0AA8" w:rsidP="00FF1868">
            <w:pPr>
              <w:jc w:val="center"/>
              <w:rPr>
                <w:b/>
              </w:rPr>
            </w:pPr>
            <w:r w:rsidRPr="00944F6E">
              <w:rPr>
                <w:b/>
              </w:rPr>
              <w:t>II saraksts</w:t>
            </w:r>
          </w:p>
        </w:tc>
        <w:tc>
          <w:tcPr>
            <w:tcW w:w="424" w:type="pct"/>
            <w:tcBorders>
              <w:top w:val="single" w:sz="4" w:space="0" w:color="auto"/>
              <w:bottom w:val="nil"/>
            </w:tcBorders>
            <w:shd w:val="clear" w:color="auto" w:fill="auto"/>
          </w:tcPr>
          <w:p w:rsidR="008A0AA8" w:rsidRPr="00944F6E" w:rsidRDefault="008A0AA8" w:rsidP="00FF1868">
            <w:pPr>
              <w:jc w:val="center"/>
            </w:pPr>
            <w:r w:rsidRPr="00944F6E">
              <w:t>vīr.</w:t>
            </w:r>
          </w:p>
        </w:tc>
        <w:tc>
          <w:tcPr>
            <w:tcW w:w="686" w:type="pct"/>
            <w:vMerge w:val="restart"/>
            <w:tcBorders>
              <w:top w:val="single" w:sz="4" w:space="0" w:color="auto"/>
            </w:tcBorders>
            <w:shd w:val="clear" w:color="auto" w:fill="auto"/>
          </w:tcPr>
          <w:p w:rsidR="008A0AA8" w:rsidRPr="00944F6E" w:rsidRDefault="008A0AA8" w:rsidP="00D23AA1">
            <w:pPr>
              <w:jc w:val="center"/>
              <w:rPr>
                <w:b/>
              </w:rPr>
            </w:pPr>
            <w:r w:rsidRPr="00944F6E">
              <w:rPr>
                <w:b/>
              </w:rPr>
              <w:t>6</w:t>
            </w:r>
            <w:r w:rsidR="00D23AA1" w:rsidRPr="00944F6E">
              <w:rPr>
                <w:b/>
              </w:rPr>
              <w:t>1</w:t>
            </w:r>
          </w:p>
        </w:tc>
        <w:tc>
          <w:tcPr>
            <w:tcW w:w="534" w:type="pct"/>
            <w:vMerge w:val="restart"/>
            <w:tcBorders>
              <w:top w:val="single" w:sz="4" w:space="0" w:color="auto"/>
            </w:tcBorders>
            <w:shd w:val="clear" w:color="auto" w:fill="auto"/>
          </w:tcPr>
          <w:p w:rsidR="008A0AA8" w:rsidRPr="00944F6E" w:rsidRDefault="008A0AA8" w:rsidP="00FF1868">
            <w:pPr>
              <w:jc w:val="center"/>
              <w:rPr>
                <w:b/>
              </w:rPr>
            </w:pPr>
            <w:r w:rsidRPr="00944F6E">
              <w:rPr>
                <w:b/>
              </w:rPr>
              <w:t>25</w:t>
            </w:r>
          </w:p>
        </w:tc>
        <w:tc>
          <w:tcPr>
            <w:tcW w:w="371" w:type="pct"/>
            <w:vMerge w:val="restart"/>
            <w:tcBorders>
              <w:top w:val="single" w:sz="4" w:space="0" w:color="auto"/>
            </w:tcBorders>
            <w:shd w:val="clear" w:color="auto" w:fill="auto"/>
          </w:tcPr>
          <w:p w:rsidR="008A0AA8" w:rsidRPr="00944F6E" w:rsidRDefault="008A0AA8" w:rsidP="00FF1868">
            <w:pPr>
              <w:jc w:val="center"/>
              <w:rPr>
                <w:b/>
              </w:rPr>
            </w:pPr>
            <w:r w:rsidRPr="00944F6E">
              <w:rPr>
                <w:b/>
              </w:rPr>
              <w:t>6 g. 3 m.</w:t>
            </w:r>
          </w:p>
        </w:tc>
        <w:tc>
          <w:tcPr>
            <w:tcW w:w="713" w:type="pct"/>
            <w:vMerge w:val="restart"/>
            <w:tcBorders>
              <w:top w:val="single" w:sz="4" w:space="0" w:color="auto"/>
            </w:tcBorders>
            <w:shd w:val="clear" w:color="auto" w:fill="EEECE1" w:themeFill="background2"/>
          </w:tcPr>
          <w:p w:rsidR="008A0AA8" w:rsidRPr="00944F6E" w:rsidRDefault="008A0AA8" w:rsidP="007D28E6">
            <w:pPr>
              <w:jc w:val="center"/>
            </w:pPr>
            <w:r w:rsidRPr="00944F6E">
              <w:t>21 356</w:t>
            </w:r>
          </w:p>
        </w:tc>
        <w:tc>
          <w:tcPr>
            <w:tcW w:w="636" w:type="pct"/>
            <w:vMerge w:val="restart"/>
            <w:tcBorders>
              <w:top w:val="single" w:sz="4" w:space="0" w:color="auto"/>
            </w:tcBorders>
            <w:shd w:val="clear" w:color="auto" w:fill="EEECE1" w:themeFill="background2"/>
          </w:tcPr>
          <w:p w:rsidR="008A0AA8" w:rsidRPr="00944F6E" w:rsidRDefault="008A0AA8" w:rsidP="007D28E6">
            <w:pPr>
              <w:jc w:val="center"/>
            </w:pPr>
            <w:r w:rsidRPr="00944F6E">
              <w:t>308,51</w:t>
            </w:r>
          </w:p>
        </w:tc>
        <w:tc>
          <w:tcPr>
            <w:tcW w:w="646" w:type="pct"/>
            <w:vMerge w:val="restart"/>
            <w:tcBorders>
              <w:top w:val="single" w:sz="4" w:space="0" w:color="auto"/>
            </w:tcBorders>
            <w:shd w:val="clear" w:color="auto" w:fill="EEECE1" w:themeFill="background2"/>
          </w:tcPr>
          <w:p w:rsidR="008A0AA8" w:rsidRPr="00944F6E" w:rsidRDefault="00E30D61" w:rsidP="00FF1868">
            <w:pPr>
              <w:jc w:val="center"/>
            </w:pPr>
            <w:r w:rsidRPr="00944F6E">
              <w:t>79,1</w:t>
            </w:r>
          </w:p>
        </w:tc>
      </w:tr>
      <w:tr w:rsidR="008A0AA8" w:rsidRPr="00944F6E" w:rsidTr="00F616ED">
        <w:trPr>
          <w:trHeight w:val="227"/>
        </w:trPr>
        <w:tc>
          <w:tcPr>
            <w:tcW w:w="990" w:type="pct"/>
            <w:vMerge/>
            <w:shd w:val="clear" w:color="auto" w:fill="auto"/>
          </w:tcPr>
          <w:p w:rsidR="008A0AA8" w:rsidRPr="00944F6E" w:rsidRDefault="008A0AA8" w:rsidP="00FF1868">
            <w:pPr>
              <w:jc w:val="center"/>
              <w:rPr>
                <w:b/>
              </w:rPr>
            </w:pPr>
          </w:p>
        </w:tc>
        <w:tc>
          <w:tcPr>
            <w:tcW w:w="424" w:type="pct"/>
            <w:tcBorders>
              <w:top w:val="nil"/>
            </w:tcBorders>
            <w:shd w:val="clear" w:color="auto" w:fill="auto"/>
          </w:tcPr>
          <w:p w:rsidR="008A0AA8" w:rsidRPr="00944F6E" w:rsidRDefault="008A0AA8" w:rsidP="00FF1868">
            <w:pPr>
              <w:jc w:val="center"/>
            </w:pPr>
          </w:p>
        </w:tc>
        <w:tc>
          <w:tcPr>
            <w:tcW w:w="686" w:type="pct"/>
            <w:vMerge/>
            <w:shd w:val="clear" w:color="auto" w:fill="auto"/>
          </w:tcPr>
          <w:p w:rsidR="008A0AA8" w:rsidRPr="00944F6E" w:rsidRDefault="008A0AA8" w:rsidP="00FF1868">
            <w:pPr>
              <w:jc w:val="center"/>
              <w:rPr>
                <w:b/>
              </w:rPr>
            </w:pPr>
          </w:p>
        </w:tc>
        <w:tc>
          <w:tcPr>
            <w:tcW w:w="534" w:type="pct"/>
            <w:vMerge/>
            <w:shd w:val="clear" w:color="auto" w:fill="auto"/>
          </w:tcPr>
          <w:p w:rsidR="008A0AA8" w:rsidRPr="00944F6E" w:rsidRDefault="008A0AA8" w:rsidP="00FF1868">
            <w:pPr>
              <w:jc w:val="center"/>
              <w:rPr>
                <w:b/>
              </w:rPr>
            </w:pPr>
          </w:p>
        </w:tc>
        <w:tc>
          <w:tcPr>
            <w:tcW w:w="371" w:type="pct"/>
            <w:vMerge/>
            <w:shd w:val="clear" w:color="auto" w:fill="auto"/>
          </w:tcPr>
          <w:p w:rsidR="008A0AA8" w:rsidRPr="00944F6E" w:rsidRDefault="008A0AA8" w:rsidP="00FF1868">
            <w:pPr>
              <w:jc w:val="center"/>
              <w:rPr>
                <w:b/>
              </w:rPr>
            </w:pPr>
          </w:p>
        </w:tc>
        <w:tc>
          <w:tcPr>
            <w:tcW w:w="713" w:type="pct"/>
            <w:vMerge/>
            <w:shd w:val="clear" w:color="auto" w:fill="EEECE1" w:themeFill="background2"/>
          </w:tcPr>
          <w:p w:rsidR="008A0AA8" w:rsidRPr="00944F6E" w:rsidRDefault="008A0AA8" w:rsidP="00FF1868">
            <w:pPr>
              <w:jc w:val="center"/>
              <w:rPr>
                <w:b/>
              </w:rPr>
            </w:pPr>
          </w:p>
        </w:tc>
        <w:tc>
          <w:tcPr>
            <w:tcW w:w="636" w:type="pct"/>
            <w:vMerge/>
            <w:shd w:val="clear" w:color="auto" w:fill="EEECE1" w:themeFill="background2"/>
          </w:tcPr>
          <w:p w:rsidR="008A0AA8" w:rsidRPr="00944F6E" w:rsidRDefault="008A0AA8" w:rsidP="00FF1868">
            <w:pPr>
              <w:jc w:val="center"/>
              <w:rPr>
                <w:b/>
              </w:rPr>
            </w:pPr>
          </w:p>
        </w:tc>
        <w:tc>
          <w:tcPr>
            <w:tcW w:w="646" w:type="pct"/>
            <w:vMerge/>
            <w:shd w:val="clear" w:color="auto" w:fill="EEECE1" w:themeFill="background2"/>
          </w:tcPr>
          <w:p w:rsidR="008A0AA8" w:rsidRPr="00944F6E" w:rsidRDefault="008A0AA8" w:rsidP="00FF1868">
            <w:pPr>
              <w:jc w:val="center"/>
              <w:rPr>
                <w:b/>
              </w:rPr>
            </w:pPr>
          </w:p>
        </w:tc>
      </w:tr>
      <w:tr w:rsidR="008A0AA8" w:rsidRPr="00944F6E" w:rsidTr="00F616ED">
        <w:trPr>
          <w:trHeight w:val="227"/>
        </w:trPr>
        <w:tc>
          <w:tcPr>
            <w:tcW w:w="990" w:type="pct"/>
            <w:vMerge/>
            <w:shd w:val="clear" w:color="auto" w:fill="auto"/>
          </w:tcPr>
          <w:p w:rsidR="008A0AA8" w:rsidRPr="00944F6E" w:rsidRDefault="008A0AA8" w:rsidP="00FF1868"/>
        </w:tc>
        <w:tc>
          <w:tcPr>
            <w:tcW w:w="424" w:type="pct"/>
            <w:shd w:val="clear" w:color="auto" w:fill="auto"/>
          </w:tcPr>
          <w:p w:rsidR="008A0AA8" w:rsidRPr="00944F6E" w:rsidRDefault="008A0AA8" w:rsidP="00FF1868">
            <w:pPr>
              <w:jc w:val="center"/>
            </w:pPr>
            <w:r w:rsidRPr="00944F6E">
              <w:t>siev.</w:t>
            </w:r>
          </w:p>
        </w:tc>
        <w:tc>
          <w:tcPr>
            <w:tcW w:w="686" w:type="pct"/>
            <w:shd w:val="clear" w:color="auto" w:fill="auto"/>
          </w:tcPr>
          <w:p w:rsidR="008A0AA8" w:rsidRPr="00944F6E" w:rsidRDefault="008A0AA8" w:rsidP="00FF1868">
            <w:pPr>
              <w:jc w:val="center"/>
            </w:pPr>
            <w:r w:rsidRPr="00944F6E">
              <w:rPr>
                <w:b/>
              </w:rPr>
              <w:t>6</w:t>
            </w:r>
            <w:r w:rsidR="00D23AA1" w:rsidRPr="00944F6E">
              <w:rPr>
                <w:b/>
              </w:rPr>
              <w:t>1</w:t>
            </w:r>
          </w:p>
          <w:p w:rsidR="008A0AA8" w:rsidRPr="00944F6E" w:rsidRDefault="008A0AA8" w:rsidP="00FF1868">
            <w:pPr>
              <w:jc w:val="center"/>
            </w:pPr>
          </w:p>
        </w:tc>
        <w:tc>
          <w:tcPr>
            <w:tcW w:w="534" w:type="pct"/>
            <w:shd w:val="clear" w:color="auto" w:fill="auto"/>
          </w:tcPr>
          <w:p w:rsidR="008A0AA8" w:rsidRPr="00944F6E" w:rsidRDefault="008A0AA8" w:rsidP="00FF1868">
            <w:pPr>
              <w:jc w:val="center"/>
              <w:rPr>
                <w:b/>
              </w:rPr>
            </w:pPr>
            <w:r w:rsidRPr="00944F6E">
              <w:rPr>
                <w:b/>
              </w:rPr>
              <w:t>20</w:t>
            </w:r>
          </w:p>
        </w:tc>
        <w:tc>
          <w:tcPr>
            <w:tcW w:w="371" w:type="pct"/>
            <w:shd w:val="clear" w:color="auto" w:fill="auto"/>
          </w:tcPr>
          <w:p w:rsidR="008A0AA8" w:rsidRPr="00944F6E" w:rsidRDefault="008A0AA8" w:rsidP="00FF1868">
            <w:pPr>
              <w:jc w:val="center"/>
              <w:rPr>
                <w:b/>
              </w:rPr>
            </w:pPr>
            <w:r w:rsidRPr="00944F6E">
              <w:rPr>
                <w:b/>
              </w:rPr>
              <w:t>5 g.</w:t>
            </w:r>
          </w:p>
        </w:tc>
        <w:tc>
          <w:tcPr>
            <w:tcW w:w="713" w:type="pct"/>
            <w:vMerge/>
            <w:shd w:val="clear" w:color="auto" w:fill="EEECE1" w:themeFill="background2"/>
          </w:tcPr>
          <w:p w:rsidR="008A0AA8" w:rsidRPr="00944F6E" w:rsidRDefault="008A0AA8" w:rsidP="00FF1868">
            <w:pPr>
              <w:jc w:val="center"/>
              <w:rPr>
                <w:b/>
              </w:rPr>
            </w:pPr>
          </w:p>
        </w:tc>
        <w:tc>
          <w:tcPr>
            <w:tcW w:w="636" w:type="pct"/>
            <w:vMerge/>
            <w:shd w:val="clear" w:color="auto" w:fill="EEECE1" w:themeFill="background2"/>
          </w:tcPr>
          <w:p w:rsidR="008A0AA8" w:rsidRPr="00944F6E" w:rsidRDefault="008A0AA8" w:rsidP="00FF1868">
            <w:pPr>
              <w:jc w:val="center"/>
              <w:rPr>
                <w:b/>
              </w:rPr>
            </w:pPr>
          </w:p>
        </w:tc>
        <w:tc>
          <w:tcPr>
            <w:tcW w:w="646" w:type="pct"/>
            <w:vMerge/>
            <w:shd w:val="clear" w:color="auto" w:fill="EEECE1" w:themeFill="background2"/>
          </w:tcPr>
          <w:p w:rsidR="008A0AA8" w:rsidRPr="00944F6E" w:rsidRDefault="008A0AA8" w:rsidP="00FF1868">
            <w:pPr>
              <w:jc w:val="center"/>
              <w:rPr>
                <w:b/>
              </w:rPr>
            </w:pPr>
          </w:p>
        </w:tc>
      </w:tr>
      <w:tr w:rsidR="008A0AA8" w:rsidRPr="00944F6E" w:rsidTr="00F616ED">
        <w:trPr>
          <w:trHeight w:val="227"/>
        </w:trPr>
        <w:tc>
          <w:tcPr>
            <w:tcW w:w="990" w:type="pct"/>
            <w:vMerge w:val="restart"/>
            <w:shd w:val="clear" w:color="auto" w:fill="auto"/>
          </w:tcPr>
          <w:p w:rsidR="008A0AA8" w:rsidRPr="00944F6E" w:rsidRDefault="008A0AA8" w:rsidP="00FF1868">
            <w:pPr>
              <w:jc w:val="center"/>
              <w:rPr>
                <w:b/>
              </w:rPr>
            </w:pPr>
            <w:r w:rsidRPr="00944F6E">
              <w:rPr>
                <w:b/>
              </w:rPr>
              <w:t>ČAES dalībnieki</w:t>
            </w:r>
          </w:p>
        </w:tc>
        <w:tc>
          <w:tcPr>
            <w:tcW w:w="424" w:type="pct"/>
            <w:shd w:val="clear" w:color="auto" w:fill="auto"/>
          </w:tcPr>
          <w:p w:rsidR="008A0AA8" w:rsidRPr="00944F6E" w:rsidRDefault="008A0AA8" w:rsidP="00FF1868">
            <w:pPr>
              <w:jc w:val="center"/>
            </w:pPr>
            <w:r w:rsidRPr="00944F6E">
              <w:t>vīr.</w:t>
            </w:r>
          </w:p>
        </w:tc>
        <w:tc>
          <w:tcPr>
            <w:tcW w:w="686" w:type="pct"/>
            <w:shd w:val="clear" w:color="auto" w:fill="auto"/>
          </w:tcPr>
          <w:p w:rsidR="008A0AA8" w:rsidRPr="00944F6E" w:rsidRDefault="008A0AA8" w:rsidP="00FF1868">
            <w:pPr>
              <w:jc w:val="center"/>
              <w:rPr>
                <w:b/>
              </w:rPr>
            </w:pPr>
            <w:r w:rsidRPr="00944F6E">
              <w:rPr>
                <w:b/>
              </w:rPr>
              <w:t>5</w:t>
            </w:r>
            <w:r w:rsidR="00D23AA1" w:rsidRPr="00944F6E">
              <w:rPr>
                <w:b/>
              </w:rPr>
              <w:t>8</w:t>
            </w:r>
          </w:p>
          <w:p w:rsidR="008A0AA8" w:rsidRPr="00944F6E" w:rsidRDefault="008A0AA8" w:rsidP="00FF1868">
            <w:pPr>
              <w:jc w:val="center"/>
              <w:rPr>
                <w:b/>
              </w:rPr>
            </w:pPr>
          </w:p>
        </w:tc>
        <w:tc>
          <w:tcPr>
            <w:tcW w:w="534" w:type="pct"/>
            <w:shd w:val="clear" w:color="auto" w:fill="auto"/>
          </w:tcPr>
          <w:p w:rsidR="008A0AA8" w:rsidRPr="00944F6E" w:rsidRDefault="008A0AA8" w:rsidP="00FF1868">
            <w:pPr>
              <w:jc w:val="center"/>
              <w:rPr>
                <w:b/>
              </w:rPr>
            </w:pPr>
            <w:r w:rsidRPr="00944F6E">
              <w:rPr>
                <w:b/>
              </w:rPr>
              <w:t>15</w:t>
            </w:r>
          </w:p>
        </w:tc>
        <w:tc>
          <w:tcPr>
            <w:tcW w:w="371" w:type="pct"/>
            <w:shd w:val="clear" w:color="auto" w:fill="auto"/>
          </w:tcPr>
          <w:p w:rsidR="008A0AA8" w:rsidRPr="00944F6E" w:rsidRDefault="008A0AA8" w:rsidP="00FF1868">
            <w:pPr>
              <w:jc w:val="center"/>
              <w:rPr>
                <w:b/>
              </w:rPr>
            </w:pPr>
            <w:r w:rsidRPr="00944F6E">
              <w:rPr>
                <w:b/>
              </w:rPr>
              <w:t>-</w:t>
            </w:r>
          </w:p>
        </w:tc>
        <w:tc>
          <w:tcPr>
            <w:tcW w:w="713" w:type="pct"/>
            <w:vMerge w:val="restart"/>
            <w:shd w:val="clear" w:color="auto" w:fill="EEECE1" w:themeFill="background2"/>
          </w:tcPr>
          <w:p w:rsidR="008A0AA8" w:rsidRPr="00944F6E" w:rsidRDefault="008A0AA8" w:rsidP="007D28E6">
            <w:pPr>
              <w:jc w:val="center"/>
            </w:pPr>
            <w:r w:rsidRPr="00944F6E">
              <w:t>1 008</w:t>
            </w:r>
          </w:p>
        </w:tc>
        <w:tc>
          <w:tcPr>
            <w:tcW w:w="636" w:type="pct"/>
            <w:vMerge w:val="restart"/>
            <w:shd w:val="clear" w:color="auto" w:fill="EEECE1" w:themeFill="background2"/>
          </w:tcPr>
          <w:p w:rsidR="008A0AA8" w:rsidRPr="00944F6E" w:rsidRDefault="008A0AA8" w:rsidP="007D28E6">
            <w:pPr>
              <w:jc w:val="center"/>
            </w:pPr>
            <w:r w:rsidRPr="00944F6E">
              <w:t>351,39</w:t>
            </w:r>
          </w:p>
        </w:tc>
        <w:tc>
          <w:tcPr>
            <w:tcW w:w="646" w:type="pct"/>
            <w:vMerge w:val="restart"/>
            <w:shd w:val="clear" w:color="auto" w:fill="EEECE1" w:themeFill="background2"/>
          </w:tcPr>
          <w:p w:rsidR="008A0AA8" w:rsidRPr="00944F6E" w:rsidRDefault="00E30D61" w:rsidP="00FF1868">
            <w:pPr>
              <w:jc w:val="center"/>
            </w:pPr>
            <w:r w:rsidRPr="00944F6E">
              <w:t>4,3</w:t>
            </w:r>
          </w:p>
        </w:tc>
      </w:tr>
      <w:tr w:rsidR="008A0AA8" w:rsidRPr="00944F6E" w:rsidTr="00F616ED">
        <w:trPr>
          <w:trHeight w:val="227"/>
        </w:trPr>
        <w:tc>
          <w:tcPr>
            <w:tcW w:w="990" w:type="pct"/>
            <w:vMerge/>
            <w:shd w:val="clear" w:color="auto" w:fill="auto"/>
          </w:tcPr>
          <w:p w:rsidR="008A0AA8" w:rsidRPr="00944F6E" w:rsidRDefault="008A0AA8" w:rsidP="00FF1868"/>
        </w:tc>
        <w:tc>
          <w:tcPr>
            <w:tcW w:w="424" w:type="pct"/>
            <w:shd w:val="clear" w:color="auto" w:fill="auto"/>
          </w:tcPr>
          <w:p w:rsidR="008A0AA8" w:rsidRPr="00944F6E" w:rsidRDefault="008A0AA8" w:rsidP="00FF1868">
            <w:pPr>
              <w:jc w:val="center"/>
            </w:pPr>
            <w:r w:rsidRPr="00944F6E">
              <w:t>siev.</w:t>
            </w:r>
          </w:p>
        </w:tc>
        <w:tc>
          <w:tcPr>
            <w:tcW w:w="686" w:type="pct"/>
            <w:shd w:val="clear" w:color="auto" w:fill="auto"/>
          </w:tcPr>
          <w:p w:rsidR="008A0AA8" w:rsidRPr="00944F6E" w:rsidRDefault="008A0AA8" w:rsidP="00D23AA1">
            <w:pPr>
              <w:jc w:val="center"/>
              <w:rPr>
                <w:b/>
              </w:rPr>
            </w:pPr>
            <w:r w:rsidRPr="00944F6E">
              <w:rPr>
                <w:b/>
              </w:rPr>
              <w:t>5</w:t>
            </w:r>
            <w:r w:rsidR="00D23AA1" w:rsidRPr="00944F6E">
              <w:rPr>
                <w:b/>
              </w:rPr>
              <w:t>8</w:t>
            </w:r>
          </w:p>
        </w:tc>
        <w:tc>
          <w:tcPr>
            <w:tcW w:w="534" w:type="pct"/>
            <w:shd w:val="clear" w:color="auto" w:fill="auto"/>
          </w:tcPr>
          <w:p w:rsidR="008A0AA8" w:rsidRPr="00944F6E" w:rsidRDefault="008A0AA8" w:rsidP="00FF1868">
            <w:pPr>
              <w:jc w:val="center"/>
              <w:rPr>
                <w:b/>
              </w:rPr>
            </w:pPr>
            <w:r w:rsidRPr="00944F6E">
              <w:rPr>
                <w:b/>
              </w:rPr>
              <w:t>15</w:t>
            </w:r>
          </w:p>
        </w:tc>
        <w:tc>
          <w:tcPr>
            <w:tcW w:w="371" w:type="pct"/>
            <w:shd w:val="clear" w:color="auto" w:fill="auto"/>
          </w:tcPr>
          <w:p w:rsidR="008A0AA8" w:rsidRPr="00944F6E" w:rsidRDefault="008A0AA8" w:rsidP="00FF1868">
            <w:pPr>
              <w:jc w:val="center"/>
              <w:rPr>
                <w:b/>
              </w:rPr>
            </w:pPr>
            <w:r w:rsidRPr="00944F6E">
              <w:rPr>
                <w:b/>
              </w:rPr>
              <w:t>-</w:t>
            </w:r>
          </w:p>
        </w:tc>
        <w:tc>
          <w:tcPr>
            <w:tcW w:w="713" w:type="pct"/>
            <w:vMerge/>
            <w:shd w:val="clear" w:color="auto" w:fill="EEECE1" w:themeFill="background2"/>
          </w:tcPr>
          <w:p w:rsidR="008A0AA8" w:rsidRPr="00944F6E" w:rsidRDefault="008A0AA8" w:rsidP="00FF1868">
            <w:pPr>
              <w:jc w:val="center"/>
              <w:rPr>
                <w:b/>
              </w:rPr>
            </w:pPr>
          </w:p>
        </w:tc>
        <w:tc>
          <w:tcPr>
            <w:tcW w:w="636" w:type="pct"/>
            <w:vMerge/>
            <w:shd w:val="clear" w:color="auto" w:fill="EEECE1" w:themeFill="background2"/>
          </w:tcPr>
          <w:p w:rsidR="008A0AA8" w:rsidRPr="00944F6E" w:rsidRDefault="008A0AA8" w:rsidP="00FF1868">
            <w:pPr>
              <w:jc w:val="center"/>
              <w:rPr>
                <w:b/>
              </w:rPr>
            </w:pPr>
          </w:p>
        </w:tc>
        <w:tc>
          <w:tcPr>
            <w:tcW w:w="646" w:type="pct"/>
            <w:vMerge/>
            <w:shd w:val="clear" w:color="auto" w:fill="EEECE1" w:themeFill="background2"/>
          </w:tcPr>
          <w:p w:rsidR="008A0AA8" w:rsidRPr="00944F6E" w:rsidRDefault="008A0AA8" w:rsidP="00FF1868">
            <w:pPr>
              <w:jc w:val="center"/>
              <w:rPr>
                <w:b/>
              </w:rPr>
            </w:pPr>
          </w:p>
        </w:tc>
      </w:tr>
      <w:tr w:rsidR="008A0AA8" w:rsidRPr="00944F6E" w:rsidTr="00F616ED">
        <w:trPr>
          <w:trHeight w:val="227"/>
        </w:trPr>
        <w:tc>
          <w:tcPr>
            <w:tcW w:w="990" w:type="pct"/>
            <w:shd w:val="clear" w:color="auto" w:fill="auto"/>
          </w:tcPr>
          <w:p w:rsidR="008A0AA8" w:rsidRPr="00944F6E" w:rsidRDefault="008A0AA8" w:rsidP="00FF1868">
            <w:pPr>
              <w:jc w:val="center"/>
              <w:rPr>
                <w:b/>
              </w:rPr>
            </w:pPr>
            <w:r w:rsidRPr="00944F6E">
              <w:rPr>
                <w:b/>
              </w:rPr>
              <w:t>Politiski represētie</w:t>
            </w:r>
          </w:p>
          <w:p w:rsidR="008A0AA8" w:rsidRPr="00944F6E" w:rsidRDefault="008A0AA8" w:rsidP="00FF1868">
            <w:pPr>
              <w:jc w:val="center"/>
              <w:rPr>
                <w:b/>
              </w:rPr>
            </w:pPr>
          </w:p>
        </w:tc>
        <w:tc>
          <w:tcPr>
            <w:tcW w:w="424" w:type="pct"/>
            <w:shd w:val="clear" w:color="auto" w:fill="auto"/>
          </w:tcPr>
          <w:p w:rsidR="008A0AA8" w:rsidRPr="00944F6E" w:rsidRDefault="008A0AA8" w:rsidP="00FF1868">
            <w:pPr>
              <w:jc w:val="center"/>
            </w:pPr>
            <w:r w:rsidRPr="00944F6E">
              <w:t>vīr., siev.</w:t>
            </w:r>
          </w:p>
        </w:tc>
        <w:tc>
          <w:tcPr>
            <w:tcW w:w="686" w:type="pct"/>
            <w:shd w:val="clear" w:color="auto" w:fill="auto"/>
          </w:tcPr>
          <w:p w:rsidR="008A0AA8" w:rsidRPr="00944F6E" w:rsidRDefault="00D23AA1" w:rsidP="00FF1868">
            <w:pPr>
              <w:jc w:val="center"/>
              <w:rPr>
                <w:b/>
              </w:rPr>
            </w:pPr>
            <w:r w:rsidRPr="00944F6E">
              <w:rPr>
                <w:b/>
              </w:rPr>
              <w:t>58</w:t>
            </w:r>
          </w:p>
        </w:tc>
        <w:tc>
          <w:tcPr>
            <w:tcW w:w="534" w:type="pct"/>
            <w:shd w:val="clear" w:color="auto" w:fill="auto"/>
          </w:tcPr>
          <w:p w:rsidR="008A0AA8" w:rsidRPr="00944F6E" w:rsidRDefault="008A0AA8" w:rsidP="00FF1868">
            <w:pPr>
              <w:jc w:val="center"/>
              <w:rPr>
                <w:b/>
              </w:rPr>
            </w:pPr>
            <w:r w:rsidRPr="00944F6E">
              <w:rPr>
                <w:b/>
              </w:rPr>
              <w:t>30</w:t>
            </w:r>
          </w:p>
        </w:tc>
        <w:tc>
          <w:tcPr>
            <w:tcW w:w="371" w:type="pct"/>
            <w:shd w:val="clear" w:color="auto" w:fill="auto"/>
          </w:tcPr>
          <w:p w:rsidR="008A0AA8" w:rsidRPr="00944F6E" w:rsidRDefault="008A0AA8" w:rsidP="00FF1868">
            <w:pPr>
              <w:jc w:val="center"/>
              <w:rPr>
                <w:b/>
              </w:rPr>
            </w:pPr>
          </w:p>
        </w:tc>
        <w:tc>
          <w:tcPr>
            <w:tcW w:w="713" w:type="pct"/>
            <w:shd w:val="clear" w:color="auto" w:fill="EEECE1" w:themeFill="background2"/>
          </w:tcPr>
          <w:p w:rsidR="008A0AA8" w:rsidRPr="00944F6E" w:rsidRDefault="008A0AA8" w:rsidP="007D28E6">
            <w:pPr>
              <w:jc w:val="center"/>
            </w:pPr>
            <w:r w:rsidRPr="00944F6E">
              <w:t>3 817</w:t>
            </w:r>
          </w:p>
        </w:tc>
        <w:tc>
          <w:tcPr>
            <w:tcW w:w="636" w:type="pct"/>
            <w:shd w:val="clear" w:color="auto" w:fill="EEECE1" w:themeFill="background2"/>
          </w:tcPr>
          <w:p w:rsidR="008A0AA8" w:rsidRPr="00944F6E" w:rsidRDefault="008A0AA8" w:rsidP="007D28E6">
            <w:pPr>
              <w:jc w:val="center"/>
            </w:pPr>
            <w:r w:rsidRPr="00944F6E">
              <w:t>491,34</w:t>
            </w:r>
          </w:p>
        </w:tc>
        <w:tc>
          <w:tcPr>
            <w:tcW w:w="646" w:type="pct"/>
            <w:shd w:val="clear" w:color="auto" w:fill="EEECE1" w:themeFill="background2"/>
          </w:tcPr>
          <w:p w:rsidR="008A0AA8" w:rsidRPr="00944F6E" w:rsidRDefault="00E30D61" w:rsidP="00FF1868">
            <w:pPr>
              <w:jc w:val="center"/>
            </w:pPr>
            <w:r w:rsidRPr="00944F6E">
              <w:t>22,5</w:t>
            </w:r>
          </w:p>
        </w:tc>
      </w:tr>
      <w:tr w:rsidR="008A0AA8" w:rsidRPr="00944F6E" w:rsidTr="00F616ED">
        <w:trPr>
          <w:trHeight w:val="227"/>
        </w:trPr>
        <w:tc>
          <w:tcPr>
            <w:tcW w:w="990" w:type="pct"/>
            <w:shd w:val="clear" w:color="auto" w:fill="auto"/>
          </w:tcPr>
          <w:p w:rsidR="008A0AA8" w:rsidRPr="00944F6E" w:rsidRDefault="008A0AA8" w:rsidP="00FF1868">
            <w:pPr>
              <w:jc w:val="center"/>
              <w:rPr>
                <w:b/>
              </w:rPr>
            </w:pPr>
            <w:r w:rsidRPr="00944F6E">
              <w:rPr>
                <w:b/>
              </w:rPr>
              <w:t>Kopā</w:t>
            </w:r>
          </w:p>
        </w:tc>
        <w:tc>
          <w:tcPr>
            <w:tcW w:w="424" w:type="pct"/>
            <w:shd w:val="clear" w:color="auto" w:fill="auto"/>
          </w:tcPr>
          <w:p w:rsidR="008A0AA8" w:rsidRPr="00944F6E" w:rsidRDefault="008A0AA8" w:rsidP="00FF1868">
            <w:pPr>
              <w:jc w:val="center"/>
            </w:pPr>
          </w:p>
        </w:tc>
        <w:tc>
          <w:tcPr>
            <w:tcW w:w="686" w:type="pct"/>
            <w:shd w:val="clear" w:color="auto" w:fill="auto"/>
          </w:tcPr>
          <w:p w:rsidR="008A0AA8" w:rsidRPr="00944F6E" w:rsidRDefault="008A0AA8" w:rsidP="00FF1868">
            <w:pPr>
              <w:jc w:val="center"/>
              <w:rPr>
                <w:b/>
              </w:rPr>
            </w:pPr>
          </w:p>
        </w:tc>
        <w:tc>
          <w:tcPr>
            <w:tcW w:w="534" w:type="pct"/>
            <w:shd w:val="clear" w:color="auto" w:fill="auto"/>
          </w:tcPr>
          <w:p w:rsidR="008A0AA8" w:rsidRPr="00944F6E" w:rsidRDefault="008A0AA8" w:rsidP="00FF1868">
            <w:pPr>
              <w:jc w:val="center"/>
              <w:rPr>
                <w:b/>
              </w:rPr>
            </w:pPr>
          </w:p>
        </w:tc>
        <w:tc>
          <w:tcPr>
            <w:tcW w:w="371" w:type="pct"/>
            <w:shd w:val="clear" w:color="auto" w:fill="auto"/>
          </w:tcPr>
          <w:p w:rsidR="008A0AA8" w:rsidRPr="00944F6E" w:rsidRDefault="008A0AA8" w:rsidP="00FF1868">
            <w:pPr>
              <w:jc w:val="center"/>
              <w:rPr>
                <w:b/>
              </w:rPr>
            </w:pPr>
          </w:p>
        </w:tc>
        <w:tc>
          <w:tcPr>
            <w:tcW w:w="713" w:type="pct"/>
            <w:shd w:val="clear" w:color="auto" w:fill="EEECE1" w:themeFill="background2"/>
          </w:tcPr>
          <w:p w:rsidR="008A0AA8" w:rsidRPr="00944F6E" w:rsidRDefault="008A0AA8" w:rsidP="007D28E6">
            <w:pPr>
              <w:jc w:val="center"/>
              <w:rPr>
                <w:b/>
              </w:rPr>
            </w:pPr>
            <w:r w:rsidRPr="00944F6E">
              <w:rPr>
                <w:b/>
              </w:rPr>
              <w:t xml:space="preserve">62 024 jeb 13.6% no visiem vecuma </w:t>
            </w:r>
            <w:r w:rsidRPr="00944F6E">
              <w:rPr>
                <w:b/>
              </w:rPr>
              <w:lastRenderedPageBreak/>
              <w:t xml:space="preserve">pensijas saņēmējiem </w:t>
            </w:r>
          </w:p>
        </w:tc>
        <w:tc>
          <w:tcPr>
            <w:tcW w:w="636" w:type="pct"/>
            <w:shd w:val="clear" w:color="auto" w:fill="EEECE1" w:themeFill="background2"/>
          </w:tcPr>
          <w:p w:rsidR="008A0AA8" w:rsidRPr="00944F6E" w:rsidRDefault="008A0AA8" w:rsidP="007D28E6">
            <w:pPr>
              <w:jc w:val="center"/>
            </w:pPr>
          </w:p>
        </w:tc>
        <w:tc>
          <w:tcPr>
            <w:tcW w:w="646" w:type="pct"/>
            <w:shd w:val="clear" w:color="auto" w:fill="EEECE1" w:themeFill="background2"/>
          </w:tcPr>
          <w:p w:rsidR="008A0AA8" w:rsidRPr="00944F6E" w:rsidRDefault="00E30D61" w:rsidP="00FF1868">
            <w:pPr>
              <w:jc w:val="center"/>
              <w:rPr>
                <w:b/>
              </w:rPr>
            </w:pPr>
            <w:r w:rsidRPr="00944F6E">
              <w:rPr>
                <w:b/>
              </w:rPr>
              <w:t>219,8</w:t>
            </w:r>
          </w:p>
        </w:tc>
      </w:tr>
    </w:tbl>
    <w:p w:rsidR="00C40FA7" w:rsidRPr="00944F6E" w:rsidRDefault="00C40FA7" w:rsidP="00C40FA7"/>
    <w:p w:rsidR="007D28E6" w:rsidRPr="00944F6E" w:rsidRDefault="007D28E6" w:rsidP="00C40FA7">
      <w:pPr>
        <w:jc w:val="right"/>
        <w:rPr>
          <w:bCs/>
          <w:i/>
        </w:rPr>
      </w:pPr>
      <w:r w:rsidRPr="00944F6E">
        <w:rPr>
          <w:bCs/>
          <w:i/>
        </w:rPr>
        <w:br w:type="page"/>
      </w:r>
    </w:p>
    <w:p w:rsidR="00C40FA7" w:rsidRPr="00944F6E" w:rsidRDefault="00C40FA7" w:rsidP="00C40FA7">
      <w:pPr>
        <w:jc w:val="right"/>
        <w:rPr>
          <w:bCs/>
          <w:i/>
        </w:rPr>
      </w:pPr>
      <w:r w:rsidRPr="00944F6E">
        <w:rPr>
          <w:bCs/>
          <w:i/>
        </w:rPr>
        <w:lastRenderedPageBreak/>
        <w:t xml:space="preserve">Pielikums Nr.2 Informatīvajam ziņojumam </w:t>
      </w:r>
      <w:r w:rsidRPr="00944F6E">
        <w:rPr>
          <w:i/>
        </w:rPr>
        <w:t>„Par valsts atbalstu pensiju nodrošinājumā daudzbērnu ģimenēm”</w:t>
      </w:r>
    </w:p>
    <w:p w:rsidR="00C40FA7" w:rsidRPr="00944F6E" w:rsidRDefault="00C40FA7" w:rsidP="00C40FA7"/>
    <w:p w:rsidR="00C40FA7" w:rsidRPr="00944F6E" w:rsidRDefault="00C40FA7" w:rsidP="00C40FA7">
      <w:pPr>
        <w:jc w:val="center"/>
        <w:rPr>
          <w:b/>
        </w:rPr>
      </w:pPr>
      <w:r w:rsidRPr="00944F6E">
        <w:rPr>
          <w:b/>
        </w:rPr>
        <w:t>Pensijas apmēru ietekmējošie atvieglojumi,</w:t>
      </w:r>
    </w:p>
    <w:p w:rsidR="00C40FA7" w:rsidRPr="00944F6E" w:rsidRDefault="00C40FA7" w:rsidP="00C40FA7">
      <w:pPr>
        <w:jc w:val="center"/>
        <w:rPr>
          <w:b/>
        </w:rPr>
      </w:pPr>
      <w:r w:rsidRPr="00944F6E">
        <w:rPr>
          <w:b/>
        </w:rPr>
        <w:t>dati par 201</w:t>
      </w:r>
      <w:r w:rsidR="00366A99" w:rsidRPr="00944F6E">
        <w:rPr>
          <w:b/>
        </w:rPr>
        <w:t>7</w:t>
      </w:r>
      <w:r w:rsidRPr="00944F6E">
        <w:rPr>
          <w:b/>
        </w:rPr>
        <w:t>.gada decembri</w:t>
      </w:r>
    </w:p>
    <w:tbl>
      <w:tblPr>
        <w:tblStyle w:val="TableGrid"/>
        <w:tblW w:w="5289" w:type="pct"/>
        <w:tblInd w:w="-318" w:type="dxa"/>
        <w:tblLook w:val="04A0" w:firstRow="1" w:lastRow="0" w:firstColumn="1" w:lastColumn="0" w:noHBand="0" w:noVBand="1"/>
      </w:tblPr>
      <w:tblGrid>
        <w:gridCol w:w="3060"/>
        <w:gridCol w:w="1336"/>
        <w:gridCol w:w="1458"/>
        <w:gridCol w:w="1358"/>
        <w:gridCol w:w="1276"/>
        <w:gridCol w:w="1336"/>
      </w:tblGrid>
      <w:tr w:rsidR="00F616ED" w:rsidRPr="00944F6E" w:rsidTr="00F616ED">
        <w:trPr>
          <w:trHeight w:val="170"/>
          <w:tblHeader/>
        </w:trPr>
        <w:tc>
          <w:tcPr>
            <w:tcW w:w="1558" w:type="pct"/>
          </w:tcPr>
          <w:p w:rsidR="00C40FA7" w:rsidRPr="00944F6E" w:rsidRDefault="00C40FA7" w:rsidP="00FF1868">
            <w:pPr>
              <w:ind w:left="360"/>
              <w:contextualSpacing/>
              <w:jc w:val="both"/>
            </w:pPr>
            <w:r w:rsidRPr="00944F6E">
              <w:t xml:space="preserve"> </w:t>
            </w:r>
          </w:p>
        </w:tc>
        <w:tc>
          <w:tcPr>
            <w:tcW w:w="680" w:type="pct"/>
            <w:shd w:val="clear" w:color="auto" w:fill="EEECE1" w:themeFill="background2"/>
          </w:tcPr>
          <w:p w:rsidR="00C40FA7" w:rsidRPr="00944F6E" w:rsidRDefault="00C40FA7" w:rsidP="00FF1868">
            <w:r w:rsidRPr="00944F6E">
              <w:t>Personu skaits, kuri izmantojuši normu</w:t>
            </w:r>
            <w:r w:rsidR="007D28E6" w:rsidRPr="00944F6E">
              <w:t xml:space="preserve"> (jeb % no kopskaita)</w:t>
            </w:r>
          </w:p>
        </w:tc>
        <w:tc>
          <w:tcPr>
            <w:tcW w:w="742" w:type="pct"/>
            <w:shd w:val="clear" w:color="auto" w:fill="EEECE1" w:themeFill="background2"/>
          </w:tcPr>
          <w:p w:rsidR="00C40FA7" w:rsidRPr="00944F6E" w:rsidRDefault="00C40FA7" w:rsidP="00FF1868">
            <w:r w:rsidRPr="00944F6E">
              <w:t>Apmērs, ja atvieglojums nebūtu piemērots (bez piemaksas), EUR</w:t>
            </w:r>
          </w:p>
        </w:tc>
        <w:tc>
          <w:tcPr>
            <w:tcW w:w="691" w:type="pct"/>
            <w:shd w:val="clear" w:color="auto" w:fill="EEECE1" w:themeFill="background2"/>
          </w:tcPr>
          <w:p w:rsidR="00C40FA7" w:rsidRPr="00944F6E" w:rsidRDefault="00C40FA7" w:rsidP="00FF1868">
            <w:r w:rsidRPr="00944F6E">
              <w:t>Piešķirt.</w:t>
            </w:r>
          </w:p>
          <w:p w:rsidR="00C40FA7" w:rsidRPr="00944F6E" w:rsidRDefault="00C40FA7" w:rsidP="00FF1868">
            <w:r w:rsidRPr="00944F6E">
              <w:t>apmērs (bez piemaksas), EUR</w:t>
            </w:r>
          </w:p>
        </w:tc>
        <w:tc>
          <w:tcPr>
            <w:tcW w:w="649" w:type="pct"/>
            <w:shd w:val="clear" w:color="auto" w:fill="EEECE1" w:themeFill="background2"/>
          </w:tcPr>
          <w:p w:rsidR="00C40FA7" w:rsidRPr="00944F6E" w:rsidRDefault="00C40FA7" w:rsidP="00FF1868">
            <w:pPr>
              <w:jc w:val="both"/>
              <w:rPr>
                <w:b/>
              </w:rPr>
            </w:pPr>
            <w:r w:rsidRPr="00944F6E">
              <w:t>Piešķirt. apmērs (ar piemaksu), EUR</w:t>
            </w:r>
          </w:p>
        </w:tc>
        <w:tc>
          <w:tcPr>
            <w:tcW w:w="680" w:type="pct"/>
            <w:shd w:val="clear" w:color="auto" w:fill="EEECE1" w:themeFill="background2"/>
          </w:tcPr>
          <w:p w:rsidR="00C40FA7" w:rsidRPr="00944F6E" w:rsidRDefault="00C40FA7" w:rsidP="00FF1868">
            <w:pPr>
              <w:jc w:val="both"/>
              <w:rPr>
                <w:b/>
              </w:rPr>
            </w:pPr>
            <w:r w:rsidRPr="00944F6E">
              <w:t>Teorētiskie papildus izdevumi gadā, milj. EUR</w:t>
            </w:r>
          </w:p>
        </w:tc>
      </w:tr>
      <w:tr w:rsidR="00F616ED" w:rsidRPr="00944F6E" w:rsidTr="00F616ED">
        <w:trPr>
          <w:trHeight w:val="170"/>
          <w:tblHeader/>
        </w:trPr>
        <w:tc>
          <w:tcPr>
            <w:tcW w:w="1558" w:type="pct"/>
          </w:tcPr>
          <w:p w:rsidR="00C40FA7" w:rsidRPr="00944F6E" w:rsidRDefault="00C40FA7" w:rsidP="00FF1868">
            <w:pPr>
              <w:jc w:val="center"/>
              <w:rPr>
                <w:i/>
                <w:sz w:val="18"/>
                <w:szCs w:val="18"/>
              </w:rPr>
            </w:pPr>
            <w:r w:rsidRPr="00944F6E">
              <w:rPr>
                <w:i/>
                <w:sz w:val="18"/>
                <w:szCs w:val="18"/>
              </w:rPr>
              <w:t>(1)</w:t>
            </w:r>
          </w:p>
        </w:tc>
        <w:tc>
          <w:tcPr>
            <w:tcW w:w="680" w:type="pct"/>
            <w:shd w:val="clear" w:color="auto" w:fill="EEECE1" w:themeFill="background2"/>
          </w:tcPr>
          <w:p w:rsidR="00C40FA7" w:rsidRPr="00944F6E" w:rsidRDefault="00C40FA7" w:rsidP="00FF1868">
            <w:pPr>
              <w:jc w:val="center"/>
              <w:rPr>
                <w:i/>
                <w:sz w:val="18"/>
                <w:szCs w:val="18"/>
              </w:rPr>
            </w:pPr>
            <w:r w:rsidRPr="00944F6E">
              <w:rPr>
                <w:i/>
                <w:sz w:val="18"/>
                <w:szCs w:val="18"/>
              </w:rPr>
              <w:t>(2)</w:t>
            </w:r>
          </w:p>
        </w:tc>
        <w:tc>
          <w:tcPr>
            <w:tcW w:w="742" w:type="pct"/>
            <w:shd w:val="clear" w:color="auto" w:fill="EEECE1" w:themeFill="background2"/>
          </w:tcPr>
          <w:p w:rsidR="00C40FA7" w:rsidRPr="00944F6E" w:rsidRDefault="00C40FA7" w:rsidP="00FF1868">
            <w:pPr>
              <w:jc w:val="center"/>
              <w:rPr>
                <w:i/>
                <w:sz w:val="18"/>
                <w:szCs w:val="18"/>
              </w:rPr>
            </w:pPr>
            <w:r w:rsidRPr="00944F6E">
              <w:rPr>
                <w:i/>
                <w:sz w:val="18"/>
                <w:szCs w:val="18"/>
              </w:rPr>
              <w:t>(3)</w:t>
            </w:r>
          </w:p>
        </w:tc>
        <w:tc>
          <w:tcPr>
            <w:tcW w:w="691" w:type="pct"/>
            <w:shd w:val="clear" w:color="auto" w:fill="EEECE1" w:themeFill="background2"/>
          </w:tcPr>
          <w:p w:rsidR="00C40FA7" w:rsidRPr="00944F6E" w:rsidRDefault="00C40FA7" w:rsidP="00FF1868">
            <w:pPr>
              <w:jc w:val="center"/>
              <w:rPr>
                <w:i/>
                <w:sz w:val="18"/>
                <w:szCs w:val="18"/>
              </w:rPr>
            </w:pPr>
            <w:r w:rsidRPr="00944F6E">
              <w:rPr>
                <w:i/>
                <w:sz w:val="18"/>
                <w:szCs w:val="18"/>
              </w:rPr>
              <w:t>(4)</w:t>
            </w:r>
          </w:p>
        </w:tc>
        <w:tc>
          <w:tcPr>
            <w:tcW w:w="649" w:type="pct"/>
            <w:shd w:val="clear" w:color="auto" w:fill="EEECE1" w:themeFill="background2"/>
          </w:tcPr>
          <w:p w:rsidR="00C40FA7" w:rsidRPr="00944F6E" w:rsidRDefault="00C40FA7" w:rsidP="00FF1868">
            <w:pPr>
              <w:jc w:val="center"/>
              <w:rPr>
                <w:i/>
                <w:sz w:val="18"/>
                <w:szCs w:val="18"/>
              </w:rPr>
            </w:pPr>
            <w:r w:rsidRPr="00944F6E">
              <w:rPr>
                <w:i/>
                <w:sz w:val="18"/>
                <w:szCs w:val="18"/>
              </w:rPr>
              <w:t>(5)</w:t>
            </w:r>
          </w:p>
        </w:tc>
        <w:tc>
          <w:tcPr>
            <w:tcW w:w="680" w:type="pct"/>
            <w:shd w:val="clear" w:color="auto" w:fill="EEECE1" w:themeFill="background2"/>
          </w:tcPr>
          <w:p w:rsidR="00C40FA7" w:rsidRPr="00944F6E" w:rsidRDefault="00C40FA7" w:rsidP="00FF1868">
            <w:pPr>
              <w:jc w:val="both"/>
              <w:rPr>
                <w:i/>
                <w:sz w:val="18"/>
                <w:szCs w:val="18"/>
              </w:rPr>
            </w:pPr>
            <w:r w:rsidRPr="00944F6E">
              <w:rPr>
                <w:i/>
                <w:sz w:val="18"/>
                <w:szCs w:val="18"/>
              </w:rPr>
              <w:t>(6) = ((4) - (3))x(2)x12</w:t>
            </w:r>
          </w:p>
        </w:tc>
      </w:tr>
      <w:tr w:rsidR="00F616ED" w:rsidRPr="00944F6E" w:rsidTr="00F616ED">
        <w:trPr>
          <w:trHeight w:val="170"/>
        </w:trPr>
        <w:tc>
          <w:tcPr>
            <w:tcW w:w="1558" w:type="pct"/>
          </w:tcPr>
          <w:p w:rsidR="00C40FA7" w:rsidRPr="00944F6E" w:rsidRDefault="00C40FA7" w:rsidP="00FF1868">
            <w:pPr>
              <w:jc w:val="both"/>
            </w:pPr>
            <w:r w:rsidRPr="00944F6E">
              <w:t xml:space="preserve">1.Vecuma pensijas sākuma kapitāla aprēķināšanai apdrošinātajām personām, kuru apdrošināšanas </w:t>
            </w:r>
            <w:r w:rsidRPr="00944F6E">
              <w:rPr>
                <w:u w:val="single"/>
              </w:rPr>
              <w:t>stāžs nav mazāks par 30 gadiem</w:t>
            </w:r>
            <w:r w:rsidRPr="00944F6E">
              <w:t xml:space="preserve"> un kurām mēneša vidējā apdrošināšanas iemaksu </w:t>
            </w:r>
            <w:r w:rsidRPr="00944F6E">
              <w:rPr>
                <w:u w:val="single"/>
              </w:rPr>
              <w:t>alga</w:t>
            </w:r>
            <w:r w:rsidRPr="00944F6E">
              <w:t xml:space="preserve"> </w:t>
            </w:r>
            <w:r w:rsidRPr="00944F6E">
              <w:rPr>
                <w:u w:val="single"/>
              </w:rPr>
              <w:t xml:space="preserve">ir mazāka par vidējo apdrošināšanas iemaksu algu valstī </w:t>
            </w:r>
            <w:r w:rsidRPr="00944F6E">
              <w:t xml:space="preserve">laikā no 1996.gada 1.janvāra līdz 1999.gada 31.decembrim, ir </w:t>
            </w:r>
            <w:r w:rsidRPr="00944F6E">
              <w:rPr>
                <w:b/>
              </w:rPr>
              <w:t xml:space="preserve">ņemama vērā vidējā apdrošināšanas iemaksu alga valstī </w:t>
            </w:r>
            <w:r w:rsidRPr="00944F6E">
              <w:t xml:space="preserve">iepriekš norādītajā periodā. </w:t>
            </w:r>
          </w:p>
          <w:p w:rsidR="00C40FA7" w:rsidRPr="00944F6E" w:rsidRDefault="00C40FA7" w:rsidP="00FF1868"/>
        </w:tc>
        <w:tc>
          <w:tcPr>
            <w:tcW w:w="680" w:type="pct"/>
            <w:shd w:val="clear" w:color="auto" w:fill="EEECE1" w:themeFill="background2"/>
          </w:tcPr>
          <w:p w:rsidR="00C40FA7" w:rsidRPr="00944F6E" w:rsidRDefault="00C40FA7" w:rsidP="00366A99">
            <w:pPr>
              <w:jc w:val="both"/>
            </w:pPr>
            <w:r w:rsidRPr="00944F6E">
              <w:t>23</w:t>
            </w:r>
            <w:r w:rsidR="00366A99" w:rsidRPr="00944F6E">
              <w:t>7</w:t>
            </w:r>
            <w:r w:rsidR="007D28E6" w:rsidRPr="00944F6E">
              <w:t> </w:t>
            </w:r>
            <w:r w:rsidR="00366A99" w:rsidRPr="00944F6E">
              <w:t>503</w:t>
            </w:r>
          </w:p>
          <w:p w:rsidR="007D28E6" w:rsidRPr="00944F6E" w:rsidRDefault="007D28E6" w:rsidP="00366A99">
            <w:pPr>
              <w:jc w:val="both"/>
            </w:pPr>
            <w:r w:rsidRPr="00944F6E">
              <w:t>(52%)</w:t>
            </w:r>
          </w:p>
        </w:tc>
        <w:tc>
          <w:tcPr>
            <w:tcW w:w="742" w:type="pct"/>
            <w:shd w:val="clear" w:color="auto" w:fill="EEECE1" w:themeFill="background2"/>
          </w:tcPr>
          <w:p w:rsidR="00C40FA7" w:rsidRPr="00944F6E" w:rsidRDefault="00C40FA7" w:rsidP="00FF1868">
            <w:pPr>
              <w:jc w:val="both"/>
              <w:rPr>
                <w:i/>
              </w:rPr>
            </w:pPr>
            <w:r w:rsidRPr="00944F6E">
              <w:rPr>
                <w:i/>
              </w:rPr>
              <w:t>Nav aprēķināms</w:t>
            </w:r>
          </w:p>
        </w:tc>
        <w:tc>
          <w:tcPr>
            <w:tcW w:w="691" w:type="pct"/>
            <w:shd w:val="clear" w:color="auto" w:fill="EEECE1" w:themeFill="background2"/>
          </w:tcPr>
          <w:p w:rsidR="00C40FA7" w:rsidRPr="00944F6E" w:rsidRDefault="00366A99" w:rsidP="00FF1868">
            <w:pPr>
              <w:jc w:val="both"/>
            </w:pPr>
            <w:r w:rsidRPr="00944F6E">
              <w:t>316,88</w:t>
            </w:r>
          </w:p>
        </w:tc>
        <w:tc>
          <w:tcPr>
            <w:tcW w:w="649" w:type="pct"/>
            <w:shd w:val="clear" w:color="auto" w:fill="EEECE1" w:themeFill="background2"/>
          </w:tcPr>
          <w:p w:rsidR="00C40FA7" w:rsidRPr="00944F6E" w:rsidRDefault="008874BF" w:rsidP="00FF1868">
            <w:pPr>
              <w:jc w:val="both"/>
            </w:pPr>
            <w:r w:rsidRPr="00944F6E">
              <w:t>342,65</w:t>
            </w:r>
          </w:p>
        </w:tc>
        <w:tc>
          <w:tcPr>
            <w:tcW w:w="680" w:type="pct"/>
            <w:shd w:val="clear" w:color="auto" w:fill="EEECE1" w:themeFill="background2"/>
          </w:tcPr>
          <w:p w:rsidR="00C40FA7" w:rsidRPr="00944F6E" w:rsidRDefault="00C40FA7" w:rsidP="00FF1868">
            <w:pPr>
              <w:jc w:val="both"/>
              <w:rPr>
                <w:i/>
              </w:rPr>
            </w:pPr>
            <w:r w:rsidRPr="00944F6E">
              <w:rPr>
                <w:i/>
              </w:rPr>
              <w:t>Nav aprēķināms</w:t>
            </w:r>
          </w:p>
        </w:tc>
      </w:tr>
      <w:tr w:rsidR="00F616ED" w:rsidRPr="00944F6E" w:rsidTr="00F616ED">
        <w:trPr>
          <w:trHeight w:val="170"/>
        </w:trPr>
        <w:tc>
          <w:tcPr>
            <w:tcW w:w="1558" w:type="pct"/>
          </w:tcPr>
          <w:p w:rsidR="008874BF" w:rsidRPr="00944F6E" w:rsidRDefault="008874BF" w:rsidP="00FF1868">
            <w:pPr>
              <w:jc w:val="both"/>
              <w:rPr>
                <w:b/>
              </w:rPr>
            </w:pPr>
            <w:r w:rsidRPr="00944F6E">
              <w:t xml:space="preserve">2.Invaliditātes pensiju izmaksā līdz vecuma pensijas piešķiršanai nepieciešamā vecuma sasniegšanai – kad cilvēks sasniedz valstī noteikto pensijas vecumu, viņam tiek piešķirta vecuma pensija. </w:t>
            </w:r>
            <w:r w:rsidRPr="00944F6E">
              <w:rPr>
                <w:b/>
              </w:rPr>
              <w:t xml:space="preserve">Invaliditātes laikā tā nedrīkst būt mazāka par invaliditātes pensiju, kas saņemta līdz vecuma pensijas piešķiršanas brīdim. </w:t>
            </w:r>
          </w:p>
        </w:tc>
        <w:tc>
          <w:tcPr>
            <w:tcW w:w="680" w:type="pct"/>
            <w:shd w:val="clear" w:color="auto" w:fill="EEECE1" w:themeFill="background2"/>
          </w:tcPr>
          <w:p w:rsidR="008874BF" w:rsidRPr="00944F6E" w:rsidRDefault="008874BF" w:rsidP="007D28E6">
            <w:pPr>
              <w:jc w:val="both"/>
            </w:pPr>
            <w:r w:rsidRPr="00944F6E">
              <w:t>11</w:t>
            </w:r>
            <w:r w:rsidR="00F16F10" w:rsidRPr="00944F6E">
              <w:t> </w:t>
            </w:r>
            <w:r w:rsidRPr="00944F6E">
              <w:t>039</w:t>
            </w:r>
          </w:p>
          <w:p w:rsidR="00F16F10" w:rsidRPr="00944F6E" w:rsidRDefault="00F16F10" w:rsidP="007D28E6">
            <w:pPr>
              <w:jc w:val="both"/>
            </w:pPr>
            <w:r w:rsidRPr="00944F6E">
              <w:t>(2,4%)</w:t>
            </w:r>
          </w:p>
        </w:tc>
        <w:tc>
          <w:tcPr>
            <w:tcW w:w="742" w:type="pct"/>
            <w:shd w:val="clear" w:color="auto" w:fill="EEECE1" w:themeFill="background2"/>
          </w:tcPr>
          <w:p w:rsidR="008874BF" w:rsidRPr="00944F6E" w:rsidRDefault="008874BF" w:rsidP="007D28E6">
            <w:pPr>
              <w:jc w:val="both"/>
            </w:pPr>
            <w:r w:rsidRPr="00944F6E">
              <w:t>92,44</w:t>
            </w:r>
          </w:p>
        </w:tc>
        <w:tc>
          <w:tcPr>
            <w:tcW w:w="691" w:type="pct"/>
            <w:shd w:val="clear" w:color="auto" w:fill="EEECE1" w:themeFill="background2"/>
          </w:tcPr>
          <w:p w:rsidR="008874BF" w:rsidRPr="00944F6E" w:rsidRDefault="008874BF" w:rsidP="007D28E6">
            <w:pPr>
              <w:jc w:val="both"/>
            </w:pPr>
            <w:r w:rsidRPr="00944F6E">
              <w:t>243,96</w:t>
            </w:r>
          </w:p>
        </w:tc>
        <w:tc>
          <w:tcPr>
            <w:tcW w:w="649" w:type="pct"/>
            <w:shd w:val="clear" w:color="auto" w:fill="EEECE1" w:themeFill="background2"/>
          </w:tcPr>
          <w:p w:rsidR="008874BF" w:rsidRPr="00944F6E" w:rsidRDefault="008874BF" w:rsidP="007D28E6">
            <w:pPr>
              <w:jc w:val="both"/>
            </w:pPr>
            <w:r w:rsidRPr="00944F6E">
              <w:t>270,04</w:t>
            </w:r>
          </w:p>
        </w:tc>
        <w:tc>
          <w:tcPr>
            <w:tcW w:w="680" w:type="pct"/>
            <w:shd w:val="clear" w:color="auto" w:fill="EEECE1" w:themeFill="background2"/>
          </w:tcPr>
          <w:p w:rsidR="008874BF" w:rsidRPr="00944F6E" w:rsidRDefault="008874BF" w:rsidP="00FF1868">
            <w:pPr>
              <w:jc w:val="both"/>
            </w:pPr>
            <w:r w:rsidRPr="00944F6E">
              <w:t>20,1</w:t>
            </w:r>
          </w:p>
        </w:tc>
      </w:tr>
      <w:tr w:rsidR="00F616ED" w:rsidRPr="00944F6E" w:rsidTr="00F616ED">
        <w:trPr>
          <w:trHeight w:val="170"/>
        </w:trPr>
        <w:tc>
          <w:tcPr>
            <w:tcW w:w="1558" w:type="pct"/>
          </w:tcPr>
          <w:p w:rsidR="00C40FA7" w:rsidRPr="00944F6E" w:rsidRDefault="00C40FA7" w:rsidP="00FF1868">
            <w:r w:rsidRPr="00944F6E">
              <w:rPr>
                <w:b/>
              </w:rPr>
              <w:t xml:space="preserve">3.Minimālo pensiju </w:t>
            </w:r>
            <w:r w:rsidRPr="00944F6E">
              <w:t>(vecuma, invaliditātes, AZG)</w:t>
            </w:r>
            <w:r w:rsidRPr="00944F6E">
              <w:rPr>
                <w:b/>
              </w:rPr>
              <w:t xml:space="preserve"> nodrošināšana</w:t>
            </w:r>
            <w:r w:rsidRPr="00944F6E">
              <w:t>.</w:t>
            </w:r>
          </w:p>
        </w:tc>
        <w:tc>
          <w:tcPr>
            <w:tcW w:w="680" w:type="pct"/>
            <w:shd w:val="clear" w:color="auto" w:fill="EEECE1" w:themeFill="background2"/>
          </w:tcPr>
          <w:p w:rsidR="00C40FA7" w:rsidRPr="00944F6E" w:rsidRDefault="00C40FA7" w:rsidP="00FF1868">
            <w:pPr>
              <w:rPr>
                <w:b/>
              </w:rPr>
            </w:pPr>
          </w:p>
        </w:tc>
        <w:tc>
          <w:tcPr>
            <w:tcW w:w="742" w:type="pct"/>
            <w:shd w:val="clear" w:color="auto" w:fill="EEECE1" w:themeFill="background2"/>
          </w:tcPr>
          <w:p w:rsidR="00C40FA7" w:rsidRPr="00944F6E" w:rsidRDefault="00C40FA7" w:rsidP="00FF1868"/>
        </w:tc>
        <w:tc>
          <w:tcPr>
            <w:tcW w:w="691" w:type="pct"/>
            <w:shd w:val="clear" w:color="auto" w:fill="EEECE1" w:themeFill="background2"/>
          </w:tcPr>
          <w:p w:rsidR="00C40FA7" w:rsidRPr="00944F6E" w:rsidRDefault="00C40FA7" w:rsidP="00FF1868"/>
        </w:tc>
        <w:tc>
          <w:tcPr>
            <w:tcW w:w="649" w:type="pct"/>
            <w:shd w:val="clear" w:color="auto" w:fill="EEECE1" w:themeFill="background2"/>
          </w:tcPr>
          <w:p w:rsidR="00C40FA7" w:rsidRPr="00944F6E" w:rsidRDefault="00C40FA7" w:rsidP="00FF1868"/>
        </w:tc>
        <w:tc>
          <w:tcPr>
            <w:tcW w:w="680" w:type="pct"/>
            <w:shd w:val="clear" w:color="auto" w:fill="EEECE1" w:themeFill="background2"/>
          </w:tcPr>
          <w:p w:rsidR="00C40FA7" w:rsidRPr="00944F6E" w:rsidRDefault="00C40FA7" w:rsidP="00FF1868"/>
        </w:tc>
      </w:tr>
      <w:tr w:rsidR="00F616ED" w:rsidRPr="00944F6E" w:rsidTr="00F616ED">
        <w:trPr>
          <w:trHeight w:val="170"/>
        </w:trPr>
        <w:tc>
          <w:tcPr>
            <w:tcW w:w="1558" w:type="pct"/>
          </w:tcPr>
          <w:p w:rsidR="00893EED" w:rsidRPr="00944F6E" w:rsidRDefault="00893EED" w:rsidP="00FF1868">
            <w:pPr>
              <w:ind w:left="720"/>
              <w:contextualSpacing/>
              <w:rPr>
                <w:b/>
              </w:rPr>
            </w:pPr>
            <w:r w:rsidRPr="00944F6E">
              <w:rPr>
                <w:b/>
              </w:rPr>
              <w:t>vecuma</w:t>
            </w:r>
          </w:p>
        </w:tc>
        <w:tc>
          <w:tcPr>
            <w:tcW w:w="680" w:type="pct"/>
            <w:shd w:val="clear" w:color="auto" w:fill="EEECE1" w:themeFill="background2"/>
          </w:tcPr>
          <w:p w:rsidR="00893EED" w:rsidRPr="00944F6E" w:rsidRDefault="00893EED" w:rsidP="007D28E6">
            <w:r w:rsidRPr="00944F6E">
              <w:t>63</w:t>
            </w:r>
            <w:r w:rsidR="00F16F10" w:rsidRPr="00944F6E">
              <w:t> </w:t>
            </w:r>
            <w:r w:rsidRPr="00944F6E">
              <w:t>245</w:t>
            </w:r>
            <w:r w:rsidR="00F16F10" w:rsidRPr="00944F6E">
              <w:t xml:space="preserve"> (14%)</w:t>
            </w:r>
          </w:p>
        </w:tc>
        <w:tc>
          <w:tcPr>
            <w:tcW w:w="742" w:type="pct"/>
            <w:shd w:val="clear" w:color="auto" w:fill="EEECE1" w:themeFill="background2"/>
          </w:tcPr>
          <w:p w:rsidR="00893EED" w:rsidRPr="00944F6E" w:rsidRDefault="00893EED" w:rsidP="007D28E6">
            <w:pPr>
              <w:jc w:val="both"/>
            </w:pPr>
            <w:r w:rsidRPr="00944F6E">
              <w:t>46,94</w:t>
            </w:r>
          </w:p>
        </w:tc>
        <w:tc>
          <w:tcPr>
            <w:tcW w:w="691" w:type="pct"/>
            <w:shd w:val="clear" w:color="auto" w:fill="EEECE1" w:themeFill="background2"/>
          </w:tcPr>
          <w:p w:rsidR="00893EED" w:rsidRPr="00944F6E" w:rsidRDefault="00893EED" w:rsidP="007D28E6">
            <w:r w:rsidRPr="00944F6E">
              <w:t>158,74</w:t>
            </w:r>
          </w:p>
        </w:tc>
        <w:tc>
          <w:tcPr>
            <w:tcW w:w="649" w:type="pct"/>
            <w:shd w:val="clear" w:color="auto" w:fill="EEECE1" w:themeFill="background2"/>
          </w:tcPr>
          <w:p w:rsidR="00893EED" w:rsidRPr="00944F6E" w:rsidRDefault="00893EED" w:rsidP="007D28E6">
            <w:r w:rsidRPr="00944F6E">
              <w:t>179,79</w:t>
            </w:r>
          </w:p>
        </w:tc>
        <w:tc>
          <w:tcPr>
            <w:tcW w:w="680" w:type="pct"/>
            <w:shd w:val="clear" w:color="auto" w:fill="EEECE1" w:themeFill="background2"/>
          </w:tcPr>
          <w:p w:rsidR="00893EED" w:rsidRPr="00944F6E" w:rsidRDefault="006D40C2" w:rsidP="00FF1868">
            <w:r w:rsidRPr="00944F6E">
              <w:t>84,8</w:t>
            </w:r>
          </w:p>
        </w:tc>
      </w:tr>
      <w:tr w:rsidR="00F616ED" w:rsidRPr="00944F6E" w:rsidTr="00F616ED">
        <w:trPr>
          <w:trHeight w:val="170"/>
        </w:trPr>
        <w:tc>
          <w:tcPr>
            <w:tcW w:w="1558" w:type="pct"/>
          </w:tcPr>
          <w:p w:rsidR="00893EED" w:rsidRPr="00944F6E" w:rsidRDefault="00893EED" w:rsidP="00FF1868">
            <w:pPr>
              <w:ind w:left="720"/>
              <w:contextualSpacing/>
              <w:rPr>
                <w:b/>
              </w:rPr>
            </w:pPr>
            <w:r w:rsidRPr="00944F6E">
              <w:rPr>
                <w:b/>
              </w:rPr>
              <w:t>invaliditātes</w:t>
            </w:r>
          </w:p>
        </w:tc>
        <w:tc>
          <w:tcPr>
            <w:tcW w:w="680" w:type="pct"/>
            <w:shd w:val="clear" w:color="auto" w:fill="EEECE1" w:themeFill="background2"/>
          </w:tcPr>
          <w:p w:rsidR="00893EED" w:rsidRPr="00944F6E" w:rsidRDefault="00893EED" w:rsidP="007D28E6">
            <w:r w:rsidRPr="00944F6E">
              <w:t>16</w:t>
            </w:r>
            <w:r w:rsidR="00F16F10" w:rsidRPr="00944F6E">
              <w:t> </w:t>
            </w:r>
            <w:r w:rsidRPr="00944F6E">
              <w:t>585</w:t>
            </w:r>
            <w:r w:rsidR="00F16F10" w:rsidRPr="00944F6E">
              <w:t xml:space="preserve"> (22%)</w:t>
            </w:r>
          </w:p>
        </w:tc>
        <w:tc>
          <w:tcPr>
            <w:tcW w:w="742" w:type="pct"/>
            <w:shd w:val="clear" w:color="auto" w:fill="EEECE1" w:themeFill="background2"/>
          </w:tcPr>
          <w:p w:rsidR="00893EED" w:rsidRPr="00944F6E" w:rsidRDefault="00893EED" w:rsidP="007D28E6">
            <w:r w:rsidRPr="00944F6E">
              <w:t>56,90</w:t>
            </w:r>
          </w:p>
        </w:tc>
        <w:tc>
          <w:tcPr>
            <w:tcW w:w="691" w:type="pct"/>
            <w:shd w:val="clear" w:color="auto" w:fill="EEECE1" w:themeFill="background2"/>
          </w:tcPr>
          <w:p w:rsidR="00893EED" w:rsidRPr="00944F6E" w:rsidRDefault="00893EED" w:rsidP="007D28E6">
            <w:r w:rsidRPr="00944F6E">
              <w:t>138,41</w:t>
            </w:r>
          </w:p>
        </w:tc>
        <w:tc>
          <w:tcPr>
            <w:tcW w:w="649" w:type="pct"/>
            <w:shd w:val="clear" w:color="auto" w:fill="EEECE1" w:themeFill="background2"/>
          </w:tcPr>
          <w:p w:rsidR="00893EED" w:rsidRPr="00944F6E" w:rsidRDefault="00893EED" w:rsidP="007D28E6">
            <w:r w:rsidRPr="00944F6E">
              <w:t>145,08</w:t>
            </w:r>
          </w:p>
        </w:tc>
        <w:tc>
          <w:tcPr>
            <w:tcW w:w="680" w:type="pct"/>
            <w:shd w:val="clear" w:color="auto" w:fill="EEECE1" w:themeFill="background2"/>
          </w:tcPr>
          <w:p w:rsidR="00893EED" w:rsidRPr="00944F6E" w:rsidRDefault="00893EED" w:rsidP="00FF1868">
            <w:r w:rsidRPr="00944F6E">
              <w:t>16,</w:t>
            </w:r>
            <w:r w:rsidR="006D40C2" w:rsidRPr="00944F6E">
              <w:t>2</w:t>
            </w:r>
          </w:p>
        </w:tc>
      </w:tr>
      <w:tr w:rsidR="00F616ED" w:rsidRPr="00944F6E" w:rsidTr="00F616ED">
        <w:trPr>
          <w:trHeight w:val="170"/>
        </w:trPr>
        <w:tc>
          <w:tcPr>
            <w:tcW w:w="1558" w:type="pct"/>
          </w:tcPr>
          <w:p w:rsidR="00893EED" w:rsidRPr="00944F6E" w:rsidRDefault="00893EED" w:rsidP="00FF1868">
            <w:r w:rsidRPr="00944F6E">
              <w:lastRenderedPageBreak/>
              <w:t xml:space="preserve">4.Politiski represētajām personām izsūtījumā pavadīto laiku apdrošināšanas stāžā </w:t>
            </w:r>
            <w:r w:rsidRPr="00944F6E">
              <w:rPr>
                <w:b/>
              </w:rPr>
              <w:t>ieskaita trīskārša</w:t>
            </w:r>
            <w:r w:rsidRPr="00944F6E">
              <w:t xml:space="preserve"> (Galējos Ziemeļos – pieckāršā) </w:t>
            </w:r>
            <w:r w:rsidRPr="00944F6E">
              <w:rPr>
                <w:b/>
              </w:rPr>
              <w:t>apmērā.</w:t>
            </w:r>
          </w:p>
        </w:tc>
        <w:tc>
          <w:tcPr>
            <w:tcW w:w="680" w:type="pct"/>
            <w:shd w:val="clear" w:color="auto" w:fill="EEECE1" w:themeFill="background2"/>
          </w:tcPr>
          <w:p w:rsidR="00893EED" w:rsidRPr="00944F6E" w:rsidRDefault="00893EED" w:rsidP="007D28E6">
            <w:r w:rsidRPr="00944F6E">
              <w:t>12</w:t>
            </w:r>
            <w:r w:rsidR="00452B9D" w:rsidRPr="00944F6E">
              <w:t> </w:t>
            </w:r>
            <w:r w:rsidRPr="00944F6E">
              <w:t>962</w:t>
            </w:r>
            <w:r w:rsidR="00452B9D" w:rsidRPr="00944F6E">
              <w:t xml:space="preserve"> (2,8%)</w:t>
            </w:r>
          </w:p>
        </w:tc>
        <w:tc>
          <w:tcPr>
            <w:tcW w:w="742" w:type="pct"/>
            <w:shd w:val="clear" w:color="auto" w:fill="EEECE1" w:themeFill="background2"/>
          </w:tcPr>
          <w:p w:rsidR="00893EED" w:rsidRPr="00944F6E" w:rsidRDefault="00893EED" w:rsidP="007D28E6">
            <w:pPr>
              <w:rPr>
                <w:i/>
              </w:rPr>
            </w:pPr>
            <w:r w:rsidRPr="00944F6E">
              <w:rPr>
                <w:i/>
              </w:rPr>
              <w:t>Nav aprēķināms</w:t>
            </w:r>
          </w:p>
        </w:tc>
        <w:tc>
          <w:tcPr>
            <w:tcW w:w="691" w:type="pct"/>
            <w:shd w:val="clear" w:color="auto" w:fill="EEECE1" w:themeFill="background2"/>
          </w:tcPr>
          <w:p w:rsidR="00893EED" w:rsidRPr="00944F6E" w:rsidRDefault="00893EED" w:rsidP="007D28E6">
            <w:r w:rsidRPr="00944F6E">
              <w:t>368,31</w:t>
            </w:r>
          </w:p>
        </w:tc>
        <w:tc>
          <w:tcPr>
            <w:tcW w:w="649" w:type="pct"/>
            <w:shd w:val="clear" w:color="auto" w:fill="EEECE1" w:themeFill="background2"/>
          </w:tcPr>
          <w:p w:rsidR="00893EED" w:rsidRPr="00944F6E" w:rsidRDefault="00893EED" w:rsidP="007D28E6">
            <w:r w:rsidRPr="00944F6E">
              <w:t>416,10</w:t>
            </w:r>
          </w:p>
        </w:tc>
        <w:tc>
          <w:tcPr>
            <w:tcW w:w="680" w:type="pct"/>
            <w:shd w:val="clear" w:color="auto" w:fill="EEECE1" w:themeFill="background2"/>
          </w:tcPr>
          <w:p w:rsidR="00893EED" w:rsidRPr="00944F6E" w:rsidRDefault="00893EED" w:rsidP="00FF1868">
            <w:pPr>
              <w:rPr>
                <w:i/>
              </w:rPr>
            </w:pPr>
            <w:r w:rsidRPr="00944F6E">
              <w:rPr>
                <w:i/>
              </w:rPr>
              <w:t>Nav aprēķināms</w:t>
            </w:r>
          </w:p>
        </w:tc>
      </w:tr>
      <w:tr w:rsidR="00F616ED" w:rsidRPr="00944F6E" w:rsidTr="00F616ED">
        <w:trPr>
          <w:trHeight w:val="170"/>
        </w:trPr>
        <w:tc>
          <w:tcPr>
            <w:tcW w:w="1558" w:type="pct"/>
          </w:tcPr>
          <w:p w:rsidR="00C40FA7" w:rsidRPr="00944F6E" w:rsidRDefault="00C40FA7" w:rsidP="00FF1868">
            <w:pPr>
              <w:jc w:val="both"/>
            </w:pPr>
            <w:r w:rsidRPr="00944F6E">
              <w:t xml:space="preserve">5.Apdrošināšanas stāžā līdz 1991.gadam </w:t>
            </w:r>
            <w:r w:rsidRPr="00944F6E">
              <w:rPr>
                <w:b/>
              </w:rPr>
              <w:t>ieskaita</w:t>
            </w:r>
            <w:r w:rsidRPr="00944F6E">
              <w:t xml:space="preserve"> ne tikai darba, bet arī tam </w:t>
            </w:r>
            <w:r w:rsidRPr="00944F6E">
              <w:rPr>
                <w:b/>
              </w:rPr>
              <w:t>pielīdzinātos periodus</w:t>
            </w:r>
            <w:r w:rsidRPr="00944F6E">
              <w:t xml:space="preserve"> (mācības, dienests, bērna audzināšana u.c.).</w:t>
            </w:r>
          </w:p>
        </w:tc>
        <w:tc>
          <w:tcPr>
            <w:tcW w:w="3442" w:type="pct"/>
            <w:gridSpan w:val="5"/>
            <w:tcBorders>
              <w:bottom w:val="single" w:sz="4" w:space="0" w:color="auto"/>
            </w:tcBorders>
            <w:shd w:val="clear" w:color="auto" w:fill="EEECE1" w:themeFill="background2"/>
          </w:tcPr>
          <w:p w:rsidR="00C40FA7" w:rsidRPr="00944F6E" w:rsidRDefault="00C40FA7" w:rsidP="00FF1868">
            <w:pPr>
              <w:rPr>
                <w:i/>
              </w:rPr>
            </w:pPr>
            <w:r w:rsidRPr="00944F6E">
              <w:rPr>
                <w:i/>
              </w:rPr>
              <w:t>Statistikas dati par personām, kurām apdrošināšanas stāžā līdz 1991.g. ir ieskaitīti pielīdzinātie periodi, nav pieejami</w:t>
            </w:r>
          </w:p>
          <w:p w:rsidR="00C40FA7" w:rsidRPr="00944F6E" w:rsidRDefault="00C40FA7" w:rsidP="00FF1868">
            <w:pPr>
              <w:rPr>
                <w:i/>
              </w:rPr>
            </w:pPr>
          </w:p>
        </w:tc>
      </w:tr>
    </w:tbl>
    <w:p w:rsidR="00C40FA7" w:rsidRPr="00944F6E" w:rsidRDefault="00C40FA7" w:rsidP="00C40FA7"/>
    <w:p w:rsidR="00C40FA7" w:rsidRPr="00944F6E" w:rsidRDefault="00C40FA7" w:rsidP="00C40FA7"/>
    <w:p w:rsidR="00C40FA7" w:rsidRPr="00944F6E" w:rsidRDefault="00C40FA7" w:rsidP="00C40FA7"/>
    <w:p w:rsidR="00F616ED" w:rsidRPr="00944F6E" w:rsidRDefault="00F616ED">
      <w:pPr>
        <w:spacing w:after="200" w:line="276" w:lineRule="auto"/>
        <w:rPr>
          <w:bCs/>
          <w:i/>
        </w:rPr>
        <w:sectPr w:rsidR="00F616ED" w:rsidRPr="00944F6E" w:rsidSect="00F616ED">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p>
    <w:p w:rsidR="00C40FA7" w:rsidRPr="00944F6E" w:rsidRDefault="00C40FA7" w:rsidP="00C40FA7">
      <w:pPr>
        <w:jc w:val="right"/>
        <w:rPr>
          <w:i/>
        </w:rPr>
      </w:pPr>
      <w:r w:rsidRPr="00944F6E">
        <w:rPr>
          <w:bCs/>
          <w:i/>
        </w:rPr>
        <w:lastRenderedPageBreak/>
        <w:t xml:space="preserve">Pielikums Nr.3 Informatīvajam ziņojumam </w:t>
      </w:r>
      <w:r w:rsidRPr="00944F6E">
        <w:rPr>
          <w:i/>
        </w:rPr>
        <w:t>„Par valsts atbalstu pensiju nodrošinājumā daudzbērnu ģimenēm”</w:t>
      </w:r>
    </w:p>
    <w:p w:rsidR="00C40FA7" w:rsidRPr="00944F6E" w:rsidRDefault="00C40FA7" w:rsidP="00C40FA7">
      <w:pPr>
        <w:jc w:val="right"/>
        <w:rPr>
          <w:bCs/>
          <w:i/>
        </w:rPr>
      </w:pPr>
    </w:p>
    <w:p w:rsidR="00C40FA7" w:rsidRPr="00944F6E" w:rsidRDefault="00AA2728" w:rsidP="00C40FA7">
      <w:pPr>
        <w:jc w:val="both"/>
        <w:rPr>
          <w:b/>
          <w:sz w:val="28"/>
        </w:rPr>
      </w:pPr>
      <w:r w:rsidRPr="00944F6E">
        <w:rPr>
          <w:b/>
          <w:sz w:val="28"/>
        </w:rPr>
        <w:t>Valsts iemaksas - šobrīd spēkā esošs</w:t>
      </w:r>
    </w:p>
    <w:tbl>
      <w:tblPr>
        <w:tblW w:w="5173" w:type="pct"/>
        <w:tblInd w:w="-34" w:type="dxa"/>
        <w:tblLook w:val="04A0" w:firstRow="1" w:lastRow="0" w:firstColumn="1" w:lastColumn="0" w:noHBand="0" w:noVBand="1"/>
      </w:tblPr>
      <w:tblGrid>
        <w:gridCol w:w="4397"/>
        <w:gridCol w:w="1057"/>
        <w:gridCol w:w="1210"/>
        <w:gridCol w:w="1278"/>
        <w:gridCol w:w="1056"/>
        <w:gridCol w:w="1350"/>
        <w:gridCol w:w="1215"/>
        <w:gridCol w:w="1056"/>
        <w:gridCol w:w="1353"/>
        <w:gridCol w:w="1032"/>
      </w:tblGrid>
      <w:tr w:rsidR="00C32E58" w:rsidRPr="00944F6E" w:rsidTr="00C32E58">
        <w:trPr>
          <w:trHeight w:val="113"/>
        </w:trPr>
        <w:tc>
          <w:tcPr>
            <w:tcW w:w="146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AA2728" w:rsidRPr="00944F6E" w:rsidRDefault="00AA2728" w:rsidP="00AA2728">
            <w:pPr>
              <w:rPr>
                <w:sz w:val="18"/>
                <w:szCs w:val="18"/>
              </w:rPr>
            </w:pPr>
            <w:r w:rsidRPr="00944F6E">
              <w:rPr>
                <w:sz w:val="18"/>
                <w:szCs w:val="18"/>
              </w:rPr>
              <w:t> </w:t>
            </w:r>
          </w:p>
        </w:tc>
        <w:tc>
          <w:tcPr>
            <w:tcW w:w="1181" w:type="pct"/>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2019</w:t>
            </w:r>
          </w:p>
        </w:tc>
        <w:tc>
          <w:tcPr>
            <w:tcW w:w="1207" w:type="pct"/>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2020</w:t>
            </w:r>
          </w:p>
        </w:tc>
        <w:tc>
          <w:tcPr>
            <w:tcW w:w="1147" w:type="pct"/>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2021</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000000" w:fill="EEECE1"/>
            <w:vAlign w:val="center"/>
            <w:hideMark/>
          </w:tcPr>
          <w:p w:rsidR="00AA2728" w:rsidRPr="00944F6E" w:rsidRDefault="00AA2728" w:rsidP="00AA2728">
            <w:pPr>
              <w:ind w:firstLineChars="100" w:firstLine="180"/>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403" w:type="pct"/>
            <w:tcBorders>
              <w:top w:val="nil"/>
              <w:left w:val="nil"/>
              <w:bottom w:val="single" w:sz="4" w:space="0" w:color="auto"/>
              <w:right w:val="single" w:sz="4" w:space="0" w:color="auto"/>
            </w:tcBorders>
            <w:shd w:val="clear" w:color="000000" w:fill="EEECE1"/>
            <w:vAlign w:val="center"/>
            <w:hideMark/>
          </w:tcPr>
          <w:p w:rsidR="00AA2728" w:rsidRPr="00944F6E" w:rsidRDefault="00C32E58" w:rsidP="00AA2728">
            <w:pPr>
              <w:jc w:val="center"/>
              <w:rPr>
                <w:sz w:val="18"/>
                <w:szCs w:val="18"/>
              </w:rPr>
            </w:pPr>
            <w:r w:rsidRPr="00944F6E">
              <w:rPr>
                <w:sz w:val="18"/>
                <w:szCs w:val="18"/>
              </w:rPr>
              <w:t>vid.</w:t>
            </w:r>
            <w:r w:rsidR="00AA2728" w:rsidRPr="00944F6E">
              <w:rPr>
                <w:sz w:val="18"/>
                <w:szCs w:val="18"/>
              </w:rPr>
              <w:t xml:space="preserve"> iemaksas apmērs, EUR </w:t>
            </w:r>
          </w:p>
        </w:tc>
        <w:tc>
          <w:tcPr>
            <w:tcW w:w="426"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c>
          <w:tcPr>
            <w:tcW w:w="352" w:type="pct"/>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450" w:type="pct"/>
            <w:tcBorders>
              <w:top w:val="nil"/>
              <w:left w:val="nil"/>
              <w:bottom w:val="single" w:sz="4" w:space="0" w:color="auto"/>
              <w:right w:val="single" w:sz="4" w:space="0" w:color="auto"/>
            </w:tcBorders>
            <w:shd w:val="clear" w:color="000000" w:fill="EEECE1"/>
            <w:vAlign w:val="center"/>
            <w:hideMark/>
          </w:tcPr>
          <w:p w:rsidR="00AA2728" w:rsidRPr="00944F6E" w:rsidRDefault="00C32E58" w:rsidP="00AA2728">
            <w:pPr>
              <w:jc w:val="center"/>
              <w:rPr>
                <w:sz w:val="18"/>
                <w:szCs w:val="18"/>
              </w:rPr>
            </w:pPr>
            <w:r w:rsidRPr="00944F6E">
              <w:rPr>
                <w:sz w:val="18"/>
                <w:szCs w:val="18"/>
              </w:rPr>
              <w:t>vid. iemaksas apmērs, EUR</w:t>
            </w:r>
          </w:p>
        </w:tc>
        <w:tc>
          <w:tcPr>
            <w:tcW w:w="404"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c>
          <w:tcPr>
            <w:tcW w:w="352" w:type="pct"/>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451" w:type="pct"/>
            <w:tcBorders>
              <w:top w:val="nil"/>
              <w:left w:val="nil"/>
              <w:bottom w:val="single" w:sz="4" w:space="0" w:color="auto"/>
              <w:right w:val="single" w:sz="4" w:space="0" w:color="auto"/>
            </w:tcBorders>
            <w:shd w:val="clear" w:color="000000" w:fill="EEECE1"/>
            <w:vAlign w:val="center"/>
            <w:hideMark/>
          </w:tcPr>
          <w:p w:rsidR="00AA2728" w:rsidRPr="00944F6E" w:rsidRDefault="00C32E58" w:rsidP="00AA2728">
            <w:pPr>
              <w:jc w:val="center"/>
              <w:rPr>
                <w:sz w:val="18"/>
                <w:szCs w:val="18"/>
              </w:rPr>
            </w:pPr>
            <w:r w:rsidRPr="00944F6E">
              <w:rPr>
                <w:sz w:val="18"/>
                <w:szCs w:val="18"/>
              </w:rPr>
              <w:t>vid. iemaksas apmērs, EUR</w:t>
            </w:r>
          </w:p>
        </w:tc>
        <w:tc>
          <w:tcPr>
            <w:tcW w:w="344"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PB (transferts uz SB):</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center"/>
              <w:rPr>
                <w:sz w:val="18"/>
                <w:szCs w:val="18"/>
              </w:rPr>
            </w:pPr>
            <w:r w:rsidRPr="00944F6E">
              <w:rPr>
                <w:sz w:val="18"/>
                <w:szCs w:val="18"/>
              </w:rPr>
              <w:t> </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Iemaksas pensiju apdrošināšanai par nestrādājošiem invalīda kopš bērnības pabalsta saņēmējiem (iemaksu objekts - 71,14 eiro)</w:t>
            </w:r>
          </w:p>
        </w:tc>
        <w:tc>
          <w:tcPr>
            <w:tcW w:w="352"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800</w:t>
            </w:r>
          </w:p>
        </w:tc>
        <w:tc>
          <w:tcPr>
            <w:tcW w:w="403"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14.23</w:t>
            </w:r>
          </w:p>
        </w:tc>
        <w:tc>
          <w:tcPr>
            <w:tcW w:w="426" w:type="pct"/>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b/>
                <w:bCs/>
                <w:sz w:val="18"/>
                <w:szCs w:val="18"/>
              </w:rPr>
            </w:pPr>
            <w:r w:rsidRPr="00944F6E">
              <w:rPr>
                <w:b/>
                <w:bCs/>
                <w:sz w:val="18"/>
                <w:szCs w:val="18"/>
              </w:rPr>
              <w:t>136 608</w:t>
            </w:r>
          </w:p>
        </w:tc>
        <w:tc>
          <w:tcPr>
            <w:tcW w:w="352"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800</w:t>
            </w:r>
          </w:p>
        </w:tc>
        <w:tc>
          <w:tcPr>
            <w:tcW w:w="450"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14.23</w:t>
            </w:r>
          </w:p>
        </w:tc>
        <w:tc>
          <w:tcPr>
            <w:tcW w:w="404" w:type="pct"/>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b/>
                <w:bCs/>
                <w:sz w:val="18"/>
                <w:szCs w:val="18"/>
              </w:rPr>
            </w:pPr>
            <w:r w:rsidRPr="00944F6E">
              <w:rPr>
                <w:b/>
                <w:bCs/>
                <w:sz w:val="18"/>
                <w:szCs w:val="18"/>
              </w:rPr>
              <w:t>136 608</w:t>
            </w:r>
          </w:p>
        </w:tc>
        <w:tc>
          <w:tcPr>
            <w:tcW w:w="352"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800</w:t>
            </w:r>
          </w:p>
        </w:tc>
        <w:tc>
          <w:tcPr>
            <w:tcW w:w="451"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14.23</w:t>
            </w:r>
          </w:p>
        </w:tc>
        <w:tc>
          <w:tcPr>
            <w:tcW w:w="344" w:type="pct"/>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b/>
                <w:bCs/>
                <w:sz w:val="18"/>
                <w:szCs w:val="18"/>
              </w:rPr>
            </w:pPr>
            <w:r w:rsidRPr="00944F6E">
              <w:rPr>
                <w:b/>
                <w:bCs/>
                <w:sz w:val="18"/>
                <w:szCs w:val="18"/>
              </w:rPr>
              <w:t>136 608</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no tām 2.pensiju līmenim</w:t>
            </w:r>
          </w:p>
        </w:tc>
        <w:tc>
          <w:tcPr>
            <w:tcW w:w="352"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800</w:t>
            </w:r>
          </w:p>
        </w:tc>
        <w:tc>
          <w:tcPr>
            <w:tcW w:w="403" w:type="pct"/>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4.27</w:t>
            </w:r>
          </w:p>
        </w:tc>
        <w:tc>
          <w:tcPr>
            <w:tcW w:w="426" w:type="pct"/>
            <w:tcBorders>
              <w:top w:val="nil"/>
              <w:left w:val="nil"/>
              <w:bottom w:val="single" w:sz="4" w:space="0" w:color="auto"/>
              <w:right w:val="single" w:sz="4" w:space="0" w:color="auto"/>
            </w:tcBorders>
            <w:shd w:val="clear" w:color="000000" w:fill="FFFFFF"/>
            <w:vAlign w:val="bottom"/>
            <w:hideMark/>
          </w:tcPr>
          <w:p w:rsidR="00AA2728" w:rsidRPr="00944F6E" w:rsidRDefault="00AA2728" w:rsidP="00AA2728">
            <w:pPr>
              <w:jc w:val="right"/>
              <w:rPr>
                <w:i/>
                <w:iCs/>
                <w:sz w:val="18"/>
                <w:szCs w:val="18"/>
              </w:rPr>
            </w:pPr>
            <w:r w:rsidRPr="00944F6E">
              <w:rPr>
                <w:i/>
                <w:iCs/>
                <w:sz w:val="18"/>
                <w:szCs w:val="18"/>
              </w:rPr>
              <w:t>40 982</w:t>
            </w:r>
          </w:p>
        </w:tc>
        <w:tc>
          <w:tcPr>
            <w:tcW w:w="352"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800</w:t>
            </w:r>
          </w:p>
        </w:tc>
        <w:tc>
          <w:tcPr>
            <w:tcW w:w="450" w:type="pct"/>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4.27</w:t>
            </w:r>
          </w:p>
        </w:tc>
        <w:tc>
          <w:tcPr>
            <w:tcW w:w="404" w:type="pct"/>
            <w:tcBorders>
              <w:top w:val="nil"/>
              <w:left w:val="nil"/>
              <w:bottom w:val="single" w:sz="4" w:space="0" w:color="auto"/>
              <w:right w:val="single" w:sz="4" w:space="0" w:color="auto"/>
            </w:tcBorders>
            <w:shd w:val="clear" w:color="000000" w:fill="FFFFFF"/>
            <w:vAlign w:val="bottom"/>
            <w:hideMark/>
          </w:tcPr>
          <w:p w:rsidR="00AA2728" w:rsidRPr="00944F6E" w:rsidRDefault="00AA2728" w:rsidP="00AA2728">
            <w:pPr>
              <w:jc w:val="right"/>
              <w:rPr>
                <w:i/>
                <w:iCs/>
                <w:sz w:val="18"/>
                <w:szCs w:val="18"/>
              </w:rPr>
            </w:pPr>
            <w:r w:rsidRPr="00944F6E">
              <w:rPr>
                <w:i/>
                <w:iCs/>
                <w:sz w:val="18"/>
                <w:szCs w:val="18"/>
              </w:rPr>
              <w:t>40 982</w:t>
            </w:r>
          </w:p>
        </w:tc>
        <w:tc>
          <w:tcPr>
            <w:tcW w:w="352" w:type="pct"/>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jc w:val="right"/>
              <w:rPr>
                <w:sz w:val="18"/>
                <w:szCs w:val="18"/>
              </w:rPr>
            </w:pPr>
            <w:r w:rsidRPr="00944F6E">
              <w:rPr>
                <w:sz w:val="18"/>
                <w:szCs w:val="18"/>
              </w:rPr>
              <w:t>800</w:t>
            </w:r>
          </w:p>
        </w:tc>
        <w:tc>
          <w:tcPr>
            <w:tcW w:w="451" w:type="pct"/>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4.27</w:t>
            </w:r>
          </w:p>
        </w:tc>
        <w:tc>
          <w:tcPr>
            <w:tcW w:w="344" w:type="pct"/>
            <w:tcBorders>
              <w:top w:val="nil"/>
              <w:left w:val="nil"/>
              <w:bottom w:val="single" w:sz="4" w:space="0" w:color="auto"/>
              <w:right w:val="single" w:sz="4" w:space="0" w:color="auto"/>
            </w:tcBorders>
            <w:shd w:val="clear" w:color="000000" w:fill="FFFFFF"/>
            <w:vAlign w:val="bottom"/>
            <w:hideMark/>
          </w:tcPr>
          <w:p w:rsidR="00AA2728" w:rsidRPr="00944F6E" w:rsidRDefault="00AA2728" w:rsidP="00AA2728">
            <w:pPr>
              <w:jc w:val="right"/>
              <w:rPr>
                <w:i/>
                <w:iCs/>
                <w:sz w:val="18"/>
                <w:szCs w:val="18"/>
              </w:rPr>
            </w:pPr>
            <w:r w:rsidRPr="00944F6E">
              <w:rPr>
                <w:i/>
                <w:iCs/>
                <w:sz w:val="18"/>
                <w:szCs w:val="18"/>
              </w:rPr>
              <w:t>40 982</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403"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426"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450"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404"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451"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344" w:type="pct"/>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SB (starpbudžetu transferti):</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Iemaksas par nestrādājošiem vecāku pabalsta saņēmējiem (iemaksu objekts - 171 eiro):</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Iemaksas pensiju apdrošināšanai</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20 819</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34.20</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8 543 937</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34.20</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8 668 042</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34.20</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8 668 042</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no tām 2.pensiju līmenim</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20 819</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10.26</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2 563 181</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10.26</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2 600 413</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10.26</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2 600 413</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xml:space="preserve">Iemaksas bezdarba apdrošināšanai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20 819</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3.15</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786 042</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3.15</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797 460</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3.15</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797 460</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xml:space="preserve">Iemaksas invaliditātes apdrošināšanai </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20 819</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3.81</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952 649</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3.81</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966 487</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3.81</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966 487</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SB starpbudžetu transferti (iemaksas) kopā</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 </w:t>
            </w:r>
          </w:p>
        </w:tc>
        <w:tc>
          <w:tcPr>
            <w:tcW w:w="426"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10 282 628</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 </w:t>
            </w:r>
          </w:p>
        </w:tc>
        <w:tc>
          <w:tcPr>
            <w:tcW w:w="40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10 431 989</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 </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 </w:t>
            </w:r>
          </w:p>
        </w:tc>
        <w:tc>
          <w:tcPr>
            <w:tcW w:w="344"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10 431 989</w:t>
            </w:r>
          </w:p>
        </w:tc>
      </w:tr>
      <w:tr w:rsidR="00C32E58" w:rsidRPr="00944F6E" w:rsidTr="00C32E58">
        <w:trPr>
          <w:trHeight w:val="113"/>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no tām 2.pensiju līmenim</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403"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426" w:type="pct"/>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2 563 181</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404" w:type="pct"/>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2 600 413</w:t>
            </w:r>
          </w:p>
        </w:tc>
        <w:tc>
          <w:tcPr>
            <w:tcW w:w="352"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451" w:type="pct"/>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344" w:type="pct"/>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2 600 413</w:t>
            </w:r>
          </w:p>
        </w:tc>
      </w:tr>
    </w:tbl>
    <w:p w:rsidR="00C40FA7" w:rsidRPr="00944F6E" w:rsidRDefault="00AA2728" w:rsidP="00AA2728">
      <w:r w:rsidRPr="00944F6E">
        <w:rPr>
          <w:b/>
          <w:sz w:val="28"/>
        </w:rPr>
        <w:t>Priekšlikums - valsts iemaksas par nestrādājošiem vecāku pabalsta saņēmējiem</w:t>
      </w:r>
    </w:p>
    <w:tbl>
      <w:tblPr>
        <w:tblW w:w="14962" w:type="dxa"/>
        <w:tblInd w:w="-34" w:type="dxa"/>
        <w:tblLook w:val="04A0" w:firstRow="1" w:lastRow="0" w:firstColumn="1" w:lastColumn="0" w:noHBand="0" w:noVBand="1"/>
      </w:tblPr>
      <w:tblGrid>
        <w:gridCol w:w="4253"/>
        <w:gridCol w:w="1056"/>
        <w:gridCol w:w="1431"/>
        <w:gridCol w:w="1205"/>
        <w:gridCol w:w="1056"/>
        <w:gridCol w:w="1283"/>
        <w:gridCol w:w="1127"/>
        <w:gridCol w:w="1056"/>
        <w:gridCol w:w="1219"/>
        <w:gridCol w:w="1276"/>
      </w:tblGrid>
      <w:tr w:rsidR="00AA2728" w:rsidRPr="00944F6E" w:rsidTr="002D091B">
        <w:trPr>
          <w:trHeight w:val="20"/>
          <w:tblHeader/>
        </w:trPr>
        <w:tc>
          <w:tcPr>
            <w:tcW w:w="4253" w:type="dxa"/>
            <w:tcBorders>
              <w:top w:val="single" w:sz="4" w:space="0" w:color="auto"/>
              <w:left w:val="single" w:sz="4" w:space="0" w:color="auto"/>
              <w:bottom w:val="nil"/>
              <w:right w:val="single" w:sz="4" w:space="0" w:color="auto"/>
            </w:tcBorders>
            <w:shd w:val="clear" w:color="000000" w:fill="EEECE1"/>
            <w:vAlign w:val="center"/>
            <w:hideMark/>
          </w:tcPr>
          <w:p w:rsidR="00AA2728" w:rsidRPr="00944F6E" w:rsidRDefault="00AA2728" w:rsidP="00AA2728">
            <w:pPr>
              <w:rPr>
                <w:sz w:val="18"/>
                <w:szCs w:val="18"/>
              </w:rPr>
            </w:pPr>
            <w:r w:rsidRPr="00944F6E">
              <w:rPr>
                <w:sz w:val="18"/>
                <w:szCs w:val="18"/>
              </w:rPr>
              <w:t> </w:t>
            </w:r>
          </w:p>
        </w:tc>
        <w:tc>
          <w:tcPr>
            <w:tcW w:w="3692" w:type="dxa"/>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2019</w:t>
            </w:r>
          </w:p>
        </w:tc>
        <w:tc>
          <w:tcPr>
            <w:tcW w:w="3466" w:type="dxa"/>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2020</w:t>
            </w:r>
          </w:p>
        </w:tc>
        <w:tc>
          <w:tcPr>
            <w:tcW w:w="3551" w:type="dxa"/>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2021</w:t>
            </w:r>
          </w:p>
        </w:tc>
      </w:tr>
      <w:tr w:rsidR="00AA2728" w:rsidRPr="00944F6E" w:rsidTr="002D091B">
        <w:trPr>
          <w:trHeight w:val="20"/>
          <w:tblHeader/>
        </w:trPr>
        <w:tc>
          <w:tcPr>
            <w:tcW w:w="4253" w:type="dxa"/>
            <w:tcBorders>
              <w:top w:val="nil"/>
              <w:left w:val="single" w:sz="4" w:space="0" w:color="auto"/>
              <w:bottom w:val="single" w:sz="4" w:space="0" w:color="auto"/>
              <w:right w:val="single" w:sz="4" w:space="0" w:color="auto"/>
            </w:tcBorders>
            <w:shd w:val="clear" w:color="000000" w:fill="EEECE1"/>
            <w:vAlign w:val="center"/>
            <w:hideMark/>
          </w:tcPr>
          <w:p w:rsidR="00AA2728" w:rsidRPr="00944F6E" w:rsidRDefault="00AA2728" w:rsidP="00AA2728">
            <w:pPr>
              <w:rPr>
                <w:sz w:val="18"/>
                <w:szCs w:val="18"/>
              </w:rPr>
            </w:pPr>
            <w:r w:rsidRPr="00944F6E">
              <w:rPr>
                <w:sz w:val="18"/>
                <w:szCs w:val="18"/>
              </w:rPr>
              <w:t> </w:t>
            </w:r>
          </w:p>
        </w:tc>
        <w:tc>
          <w:tcPr>
            <w:tcW w:w="1056" w:type="dxa"/>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1431" w:type="dxa"/>
            <w:tcBorders>
              <w:top w:val="nil"/>
              <w:left w:val="nil"/>
              <w:bottom w:val="single" w:sz="4" w:space="0" w:color="auto"/>
              <w:right w:val="single" w:sz="4" w:space="0" w:color="auto"/>
            </w:tcBorders>
            <w:shd w:val="clear" w:color="000000" w:fill="EEECE1"/>
            <w:vAlign w:val="center"/>
            <w:hideMark/>
          </w:tcPr>
          <w:p w:rsidR="00AA2728" w:rsidRPr="00944F6E" w:rsidRDefault="00C32E58" w:rsidP="00AA2728">
            <w:pPr>
              <w:jc w:val="center"/>
              <w:rPr>
                <w:sz w:val="18"/>
                <w:szCs w:val="18"/>
              </w:rPr>
            </w:pPr>
            <w:r w:rsidRPr="00944F6E">
              <w:rPr>
                <w:sz w:val="18"/>
                <w:szCs w:val="18"/>
              </w:rPr>
              <w:t>vid. iemaksas apmērs, EUR</w:t>
            </w:r>
          </w:p>
        </w:tc>
        <w:tc>
          <w:tcPr>
            <w:tcW w:w="1205"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c>
          <w:tcPr>
            <w:tcW w:w="1056" w:type="dxa"/>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1283" w:type="dxa"/>
            <w:tcBorders>
              <w:top w:val="nil"/>
              <w:left w:val="nil"/>
              <w:bottom w:val="single" w:sz="4" w:space="0" w:color="auto"/>
              <w:right w:val="single" w:sz="4" w:space="0" w:color="auto"/>
            </w:tcBorders>
            <w:shd w:val="clear" w:color="000000" w:fill="EEECE1"/>
            <w:vAlign w:val="center"/>
            <w:hideMark/>
          </w:tcPr>
          <w:p w:rsidR="00AA2728" w:rsidRPr="00944F6E" w:rsidRDefault="00C32E58" w:rsidP="00AA2728">
            <w:pPr>
              <w:jc w:val="center"/>
              <w:rPr>
                <w:sz w:val="18"/>
                <w:szCs w:val="18"/>
              </w:rPr>
            </w:pPr>
            <w:r w:rsidRPr="00944F6E">
              <w:rPr>
                <w:sz w:val="18"/>
                <w:szCs w:val="18"/>
              </w:rPr>
              <w:t>vid. iemaksas apmērs, EUR</w:t>
            </w:r>
          </w:p>
        </w:tc>
        <w:tc>
          <w:tcPr>
            <w:tcW w:w="1127"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c>
          <w:tcPr>
            <w:tcW w:w="1056" w:type="dxa"/>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1219" w:type="dxa"/>
            <w:tcBorders>
              <w:top w:val="nil"/>
              <w:left w:val="nil"/>
              <w:bottom w:val="single" w:sz="4" w:space="0" w:color="auto"/>
              <w:right w:val="single" w:sz="4" w:space="0" w:color="auto"/>
            </w:tcBorders>
            <w:shd w:val="clear" w:color="000000" w:fill="EEECE1"/>
            <w:vAlign w:val="center"/>
            <w:hideMark/>
          </w:tcPr>
          <w:p w:rsidR="00AA2728" w:rsidRPr="00944F6E" w:rsidRDefault="00C32E58" w:rsidP="00AA2728">
            <w:pPr>
              <w:jc w:val="center"/>
              <w:rPr>
                <w:sz w:val="18"/>
                <w:szCs w:val="18"/>
              </w:rPr>
            </w:pPr>
            <w:r w:rsidRPr="00944F6E">
              <w:rPr>
                <w:sz w:val="18"/>
                <w:szCs w:val="18"/>
              </w:rPr>
              <w:t>vid. iemaksas apmērs, EUR</w:t>
            </w:r>
          </w:p>
        </w:tc>
        <w:tc>
          <w:tcPr>
            <w:tcW w:w="1276"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 xml:space="preserve">Izdevumu palielinājums iemaksu veikšanai no </w:t>
            </w:r>
            <w:r w:rsidRPr="00944F6E">
              <w:rPr>
                <w:b/>
                <w:bCs/>
                <w:sz w:val="22"/>
                <w:szCs w:val="22"/>
              </w:rPr>
              <w:t>PB</w:t>
            </w:r>
            <w:r w:rsidRPr="00944F6E">
              <w:rPr>
                <w:b/>
                <w:bCs/>
                <w:sz w:val="18"/>
                <w:szCs w:val="18"/>
              </w:rPr>
              <w:t xml:space="preserve"> (iemaksu objekts - </w:t>
            </w:r>
            <w:r w:rsidRPr="00944F6E">
              <w:rPr>
                <w:b/>
                <w:bCs/>
                <w:sz w:val="18"/>
                <w:szCs w:val="18"/>
                <w:u w:val="single"/>
              </w:rPr>
              <w:t>pabalsta apmērs</w:t>
            </w:r>
            <w:r w:rsidRPr="00944F6E">
              <w:rPr>
                <w:b/>
                <w:bCs/>
                <w:sz w:val="18"/>
                <w:szCs w:val="18"/>
              </w:rPr>
              <w:t>, kas nav mazāks par 171 eiro):</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r w:rsidR="006C53ED" w:rsidRPr="00944F6E">
              <w:rPr>
                <w:sz w:val="18"/>
                <w:szCs w:val="18"/>
              </w:rPr>
              <w:t>Iemaksu objekts –</w:t>
            </w:r>
            <w:r w:rsidR="004E235A" w:rsidRPr="00944F6E">
              <w:rPr>
                <w:sz w:val="18"/>
                <w:szCs w:val="18"/>
              </w:rPr>
              <w:t xml:space="preserve"> 473.</w:t>
            </w:r>
            <w:r w:rsidR="006C53ED" w:rsidRPr="00944F6E">
              <w:rPr>
                <w:sz w:val="18"/>
                <w:szCs w:val="18"/>
              </w:rPr>
              <w:t>33 EUR</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6C53ED">
            <w:pPr>
              <w:rPr>
                <w:sz w:val="18"/>
                <w:szCs w:val="18"/>
              </w:rPr>
            </w:pPr>
            <w:r w:rsidRPr="00944F6E">
              <w:rPr>
                <w:sz w:val="18"/>
                <w:szCs w:val="18"/>
              </w:rPr>
              <w:t> </w:t>
            </w:r>
            <w:r w:rsidR="006C53ED" w:rsidRPr="00944F6E">
              <w:rPr>
                <w:sz w:val="18"/>
                <w:szCs w:val="18"/>
              </w:rPr>
              <w:t xml:space="preserve">Iemaksu objekts – </w:t>
            </w:r>
            <w:r w:rsidR="004E235A" w:rsidRPr="00944F6E">
              <w:rPr>
                <w:sz w:val="18"/>
                <w:szCs w:val="18"/>
              </w:rPr>
              <w:t>501.</w:t>
            </w:r>
            <w:r w:rsidR="006C53ED" w:rsidRPr="00944F6E">
              <w:rPr>
                <w:sz w:val="18"/>
                <w:szCs w:val="18"/>
              </w:rPr>
              <w:t>06 EUR</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4E235A">
            <w:pPr>
              <w:rPr>
                <w:sz w:val="18"/>
                <w:szCs w:val="18"/>
              </w:rPr>
            </w:pPr>
            <w:r w:rsidRPr="00944F6E">
              <w:rPr>
                <w:sz w:val="18"/>
                <w:szCs w:val="18"/>
              </w:rPr>
              <w:t> </w:t>
            </w:r>
            <w:r w:rsidR="006C53ED" w:rsidRPr="00944F6E">
              <w:rPr>
                <w:sz w:val="18"/>
                <w:szCs w:val="18"/>
              </w:rPr>
              <w:t xml:space="preserve">Iemaksu objekts – </w:t>
            </w:r>
            <w:r w:rsidR="004E235A" w:rsidRPr="00944F6E">
              <w:rPr>
                <w:sz w:val="18"/>
                <w:szCs w:val="18"/>
              </w:rPr>
              <w:t>501.06</w:t>
            </w:r>
            <w:r w:rsidR="006C53ED" w:rsidRPr="00944F6E">
              <w:rPr>
                <w:sz w:val="18"/>
                <w:szCs w:val="18"/>
              </w:rPr>
              <w:t xml:space="preserve"> EUR</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xml:space="preserve">Iemaksas pensiju apdrošināšanai </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20 819</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94.67</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23 649 732</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100.21</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25 399 068</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100.21</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25 399 068</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no tām 2.pensiju līmenim</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20 819</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28.40</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7 094 919</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21 121</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30.06</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7 619 720</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21 121</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30.06</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7 619 720</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xml:space="preserve">Iemaksas bezdarba apdrošināšanai </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20 819</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8.71</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2 175 775</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9.22</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2 336 714</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9.22</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2 336 714</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sz w:val="18"/>
                <w:szCs w:val="18"/>
              </w:rPr>
            </w:pPr>
            <w:r w:rsidRPr="00944F6E">
              <w:rPr>
                <w:sz w:val="18"/>
                <w:szCs w:val="18"/>
              </w:rPr>
              <w:t xml:space="preserve">Iemaksas invaliditātes apdrošināšanai </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20 819</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10.56</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2 636 945</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11.17</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2 831 996</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21 121</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11.17</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2 831 996</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Iemaksas kopā</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28 462 452</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30 567 778</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30 567 778</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no tām 2.pensiju līmenim</w:t>
            </w:r>
          </w:p>
        </w:tc>
        <w:tc>
          <w:tcPr>
            <w:tcW w:w="1056"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 </w:t>
            </w:r>
          </w:p>
        </w:tc>
        <w:tc>
          <w:tcPr>
            <w:tcW w:w="1431"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 </w:t>
            </w:r>
          </w:p>
        </w:tc>
        <w:tc>
          <w:tcPr>
            <w:tcW w:w="1205"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7 094 919</w:t>
            </w:r>
          </w:p>
        </w:tc>
        <w:tc>
          <w:tcPr>
            <w:tcW w:w="1056"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 </w:t>
            </w:r>
          </w:p>
        </w:tc>
        <w:tc>
          <w:tcPr>
            <w:tcW w:w="1283"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 </w:t>
            </w:r>
          </w:p>
        </w:tc>
        <w:tc>
          <w:tcPr>
            <w:tcW w:w="1127"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7 619 720</w:t>
            </w:r>
          </w:p>
        </w:tc>
        <w:tc>
          <w:tcPr>
            <w:tcW w:w="1056"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 </w:t>
            </w:r>
          </w:p>
        </w:tc>
        <w:tc>
          <w:tcPr>
            <w:tcW w:w="1219"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7 619 720</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000000" w:fill="EEECE1"/>
            <w:vAlign w:val="center"/>
            <w:hideMark/>
          </w:tcPr>
          <w:p w:rsidR="00AA2728" w:rsidRPr="00944F6E" w:rsidRDefault="00AA2728" w:rsidP="00AA2728">
            <w:pPr>
              <w:jc w:val="right"/>
              <w:rPr>
                <w:i/>
                <w:iCs/>
                <w:sz w:val="18"/>
                <w:szCs w:val="18"/>
              </w:rPr>
            </w:pPr>
            <w:r w:rsidRPr="00944F6E">
              <w:rPr>
                <w:i/>
                <w:iCs/>
                <w:sz w:val="18"/>
                <w:szCs w:val="18"/>
              </w:rPr>
              <w:t> </w:t>
            </w:r>
          </w:p>
        </w:tc>
        <w:tc>
          <w:tcPr>
            <w:tcW w:w="1056"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1431"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1205"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i/>
                <w:iCs/>
                <w:sz w:val="18"/>
                <w:szCs w:val="18"/>
              </w:rPr>
            </w:pPr>
            <w:r w:rsidRPr="00944F6E">
              <w:rPr>
                <w:i/>
                <w:iCs/>
                <w:sz w:val="18"/>
                <w:szCs w:val="18"/>
              </w:rPr>
              <w:t> </w:t>
            </w:r>
          </w:p>
        </w:tc>
        <w:tc>
          <w:tcPr>
            <w:tcW w:w="1056"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1283"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1127"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i/>
                <w:iCs/>
                <w:sz w:val="18"/>
                <w:szCs w:val="18"/>
              </w:rPr>
            </w:pPr>
            <w:r w:rsidRPr="00944F6E">
              <w:rPr>
                <w:i/>
                <w:iCs/>
                <w:sz w:val="18"/>
                <w:szCs w:val="18"/>
              </w:rPr>
              <w:t> </w:t>
            </w:r>
          </w:p>
        </w:tc>
        <w:tc>
          <w:tcPr>
            <w:tcW w:w="1056"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1219"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sz w:val="18"/>
                <w:szCs w:val="18"/>
              </w:rPr>
            </w:pPr>
            <w:r w:rsidRPr="00944F6E">
              <w:rPr>
                <w:sz w:val="18"/>
                <w:szCs w:val="18"/>
              </w:rPr>
              <w:t> </w:t>
            </w:r>
          </w:p>
        </w:tc>
        <w:tc>
          <w:tcPr>
            <w:tcW w:w="1276"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right"/>
              <w:rPr>
                <w:i/>
                <w:iCs/>
                <w:sz w:val="18"/>
                <w:szCs w:val="18"/>
              </w:rPr>
            </w:pPr>
            <w:r w:rsidRPr="00944F6E">
              <w:rPr>
                <w:i/>
                <w:iCs/>
                <w:sz w:val="18"/>
                <w:szCs w:val="18"/>
              </w:rPr>
              <w:t> </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SB (starpbudžetu transferti):</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 </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 </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sz w:val="18"/>
                <w:szCs w:val="18"/>
              </w:rPr>
            </w:pPr>
            <w:r w:rsidRPr="00944F6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 </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Iemaksas kopā</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b/>
                <w:bCs/>
                <w:sz w:val="18"/>
                <w:szCs w:val="18"/>
              </w:rPr>
            </w:pPr>
            <w:r w:rsidRPr="00944F6E">
              <w:rPr>
                <w:b/>
                <w:bCs/>
                <w:sz w:val="18"/>
                <w:szCs w:val="18"/>
              </w:rPr>
              <w:t>0</w:t>
            </w:r>
          </w:p>
        </w:tc>
      </w:tr>
      <w:tr w:rsidR="00AA2728" w:rsidRPr="00944F6E" w:rsidTr="002D091B">
        <w:trPr>
          <w:trHeight w:val="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no tām 2.pensiju līmenim</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431"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205"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283"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127"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05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219"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AA2728" w:rsidRPr="00944F6E" w:rsidRDefault="00AA2728" w:rsidP="00AA2728">
            <w:pPr>
              <w:jc w:val="right"/>
              <w:rPr>
                <w:i/>
                <w:iCs/>
                <w:sz w:val="18"/>
                <w:szCs w:val="18"/>
              </w:rPr>
            </w:pPr>
            <w:r w:rsidRPr="00944F6E">
              <w:rPr>
                <w:i/>
                <w:iCs/>
                <w:sz w:val="18"/>
                <w:szCs w:val="18"/>
              </w:rPr>
              <w:t>0</w:t>
            </w:r>
          </w:p>
        </w:tc>
      </w:tr>
    </w:tbl>
    <w:p w:rsidR="00905ACF" w:rsidRPr="00944F6E" w:rsidRDefault="00AA2728">
      <w:pPr>
        <w:rPr>
          <w:b/>
          <w:sz w:val="28"/>
        </w:rPr>
      </w:pPr>
      <w:r w:rsidRPr="00944F6E">
        <w:rPr>
          <w:b/>
          <w:sz w:val="28"/>
        </w:rPr>
        <w:lastRenderedPageBreak/>
        <w:t>Priekšlikums - valsts iemaksas par nestrādājošiem invalīda kopš bērnības pabalsta saņēmējiem</w:t>
      </w:r>
    </w:p>
    <w:tbl>
      <w:tblPr>
        <w:tblW w:w="14889" w:type="dxa"/>
        <w:tblInd w:w="-34" w:type="dxa"/>
        <w:tblLook w:val="04A0" w:firstRow="1" w:lastRow="0" w:firstColumn="1" w:lastColumn="0" w:noHBand="0" w:noVBand="1"/>
      </w:tblPr>
      <w:tblGrid>
        <w:gridCol w:w="4120"/>
        <w:gridCol w:w="1056"/>
        <w:gridCol w:w="1492"/>
        <w:gridCol w:w="1134"/>
        <w:gridCol w:w="1134"/>
        <w:gridCol w:w="1275"/>
        <w:gridCol w:w="1134"/>
        <w:gridCol w:w="1134"/>
        <w:gridCol w:w="1134"/>
        <w:gridCol w:w="1276"/>
      </w:tblGrid>
      <w:tr w:rsidR="00AA2728" w:rsidRPr="00944F6E" w:rsidTr="00E63D71">
        <w:trPr>
          <w:trHeight w:val="57"/>
        </w:trPr>
        <w:tc>
          <w:tcPr>
            <w:tcW w:w="4120" w:type="dxa"/>
            <w:tcBorders>
              <w:top w:val="single" w:sz="4" w:space="0" w:color="auto"/>
              <w:left w:val="single" w:sz="4" w:space="0" w:color="auto"/>
              <w:bottom w:val="nil"/>
              <w:right w:val="single" w:sz="4" w:space="0" w:color="auto"/>
            </w:tcBorders>
            <w:shd w:val="clear" w:color="000000" w:fill="EEECE1"/>
            <w:noWrap/>
            <w:vAlign w:val="bottom"/>
            <w:hideMark/>
          </w:tcPr>
          <w:p w:rsidR="00AA2728" w:rsidRPr="00944F6E" w:rsidRDefault="00AA2728" w:rsidP="00AA2728">
            <w:pPr>
              <w:rPr>
                <w:rFonts w:ascii="Calibri" w:hAnsi="Calibri"/>
                <w:b/>
                <w:bCs/>
                <w:sz w:val="22"/>
                <w:szCs w:val="22"/>
              </w:rPr>
            </w:pPr>
            <w:r w:rsidRPr="00944F6E">
              <w:rPr>
                <w:rFonts w:ascii="Calibri" w:hAnsi="Calibri"/>
                <w:b/>
                <w:bCs/>
                <w:sz w:val="22"/>
                <w:szCs w:val="22"/>
              </w:rPr>
              <w:t> </w:t>
            </w:r>
          </w:p>
        </w:tc>
        <w:tc>
          <w:tcPr>
            <w:tcW w:w="3682" w:type="dxa"/>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2019</w:t>
            </w:r>
          </w:p>
        </w:tc>
        <w:tc>
          <w:tcPr>
            <w:tcW w:w="3543" w:type="dxa"/>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2020</w:t>
            </w:r>
          </w:p>
        </w:tc>
        <w:tc>
          <w:tcPr>
            <w:tcW w:w="3544" w:type="dxa"/>
            <w:gridSpan w:val="3"/>
            <w:tcBorders>
              <w:top w:val="single" w:sz="4" w:space="0" w:color="auto"/>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b/>
                <w:bCs/>
                <w:sz w:val="18"/>
                <w:szCs w:val="18"/>
              </w:rPr>
            </w:pPr>
            <w:r w:rsidRPr="00944F6E">
              <w:rPr>
                <w:b/>
                <w:bCs/>
                <w:sz w:val="18"/>
                <w:szCs w:val="18"/>
              </w:rPr>
              <w:t>2021</w:t>
            </w:r>
          </w:p>
        </w:tc>
      </w:tr>
      <w:tr w:rsidR="00AA2728" w:rsidRPr="00944F6E" w:rsidTr="00E63D71">
        <w:trPr>
          <w:trHeight w:val="57"/>
        </w:trPr>
        <w:tc>
          <w:tcPr>
            <w:tcW w:w="4120" w:type="dxa"/>
            <w:tcBorders>
              <w:top w:val="nil"/>
              <w:left w:val="single" w:sz="4" w:space="0" w:color="auto"/>
              <w:bottom w:val="single" w:sz="4" w:space="0" w:color="auto"/>
              <w:right w:val="single" w:sz="4" w:space="0" w:color="auto"/>
            </w:tcBorders>
            <w:shd w:val="clear" w:color="000000" w:fill="EEECE1"/>
            <w:noWrap/>
            <w:vAlign w:val="bottom"/>
            <w:hideMark/>
          </w:tcPr>
          <w:p w:rsidR="00AA2728" w:rsidRPr="00944F6E" w:rsidRDefault="00AA2728" w:rsidP="00AA2728">
            <w:pPr>
              <w:rPr>
                <w:sz w:val="18"/>
                <w:szCs w:val="18"/>
              </w:rPr>
            </w:pPr>
            <w:r w:rsidRPr="00944F6E">
              <w:rPr>
                <w:sz w:val="18"/>
                <w:szCs w:val="18"/>
              </w:rPr>
              <w:t> </w:t>
            </w:r>
          </w:p>
        </w:tc>
        <w:tc>
          <w:tcPr>
            <w:tcW w:w="1056" w:type="dxa"/>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1492"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iemaksas apmērs, EUR</w:t>
            </w:r>
          </w:p>
        </w:tc>
        <w:tc>
          <w:tcPr>
            <w:tcW w:w="1134"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c>
          <w:tcPr>
            <w:tcW w:w="1134" w:type="dxa"/>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1275"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iemaksas apmērs, EUR</w:t>
            </w:r>
          </w:p>
        </w:tc>
        <w:tc>
          <w:tcPr>
            <w:tcW w:w="1134"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c>
          <w:tcPr>
            <w:tcW w:w="1134" w:type="dxa"/>
            <w:tcBorders>
              <w:top w:val="nil"/>
              <w:left w:val="nil"/>
              <w:bottom w:val="single" w:sz="4" w:space="0" w:color="auto"/>
              <w:right w:val="single" w:sz="4" w:space="0" w:color="auto"/>
            </w:tcBorders>
            <w:shd w:val="clear" w:color="000000" w:fill="EEECE1"/>
            <w:noWrap/>
            <w:vAlign w:val="center"/>
            <w:hideMark/>
          </w:tcPr>
          <w:p w:rsidR="00AA2728" w:rsidRPr="00944F6E" w:rsidRDefault="00AA2728" w:rsidP="00AA2728">
            <w:pPr>
              <w:jc w:val="center"/>
              <w:rPr>
                <w:sz w:val="18"/>
                <w:szCs w:val="18"/>
              </w:rPr>
            </w:pPr>
            <w:r w:rsidRPr="00944F6E">
              <w:rPr>
                <w:sz w:val="18"/>
                <w:szCs w:val="18"/>
              </w:rPr>
              <w:t>kontingents</w:t>
            </w:r>
          </w:p>
        </w:tc>
        <w:tc>
          <w:tcPr>
            <w:tcW w:w="1134"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iemaksas apmērs, EUR</w:t>
            </w:r>
          </w:p>
        </w:tc>
        <w:tc>
          <w:tcPr>
            <w:tcW w:w="1276" w:type="dxa"/>
            <w:tcBorders>
              <w:top w:val="nil"/>
              <w:left w:val="nil"/>
              <w:bottom w:val="single" w:sz="4" w:space="0" w:color="auto"/>
              <w:right w:val="single" w:sz="4" w:space="0" w:color="auto"/>
            </w:tcBorders>
            <w:shd w:val="clear" w:color="000000" w:fill="EEECE1"/>
            <w:vAlign w:val="center"/>
            <w:hideMark/>
          </w:tcPr>
          <w:p w:rsidR="00AA2728" w:rsidRPr="00944F6E" w:rsidRDefault="00AA2728" w:rsidP="00AA2728">
            <w:pPr>
              <w:jc w:val="center"/>
              <w:rPr>
                <w:sz w:val="18"/>
                <w:szCs w:val="18"/>
              </w:rPr>
            </w:pPr>
            <w:r w:rsidRPr="00944F6E">
              <w:rPr>
                <w:sz w:val="18"/>
                <w:szCs w:val="18"/>
              </w:rPr>
              <w:t>iemaksu summa gadā, EUR</w:t>
            </w:r>
          </w:p>
        </w:tc>
      </w:tr>
      <w:tr w:rsidR="00AA2728" w:rsidRPr="00944F6E" w:rsidTr="00E63D71">
        <w:trPr>
          <w:trHeight w:val="57"/>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AA2728" w:rsidRPr="00944F6E" w:rsidRDefault="00AA2728" w:rsidP="00AA2728">
            <w:pPr>
              <w:rPr>
                <w:b/>
                <w:bCs/>
                <w:sz w:val="18"/>
                <w:szCs w:val="18"/>
              </w:rPr>
            </w:pPr>
            <w:r w:rsidRPr="00944F6E">
              <w:rPr>
                <w:b/>
                <w:bCs/>
                <w:sz w:val="18"/>
                <w:szCs w:val="18"/>
              </w:rPr>
              <w:t xml:space="preserve">Izdevumu palielinājums iemaksu veikšanai no PB </w:t>
            </w:r>
            <w:proofErr w:type="gramStart"/>
            <w:r w:rsidRPr="00944F6E">
              <w:rPr>
                <w:b/>
                <w:bCs/>
                <w:sz w:val="18"/>
                <w:szCs w:val="18"/>
              </w:rPr>
              <w:t>(</w:t>
            </w:r>
            <w:proofErr w:type="gramEnd"/>
            <w:r w:rsidRPr="00944F6E">
              <w:rPr>
                <w:b/>
                <w:bCs/>
                <w:sz w:val="18"/>
                <w:szCs w:val="18"/>
              </w:rPr>
              <w:t xml:space="preserve">iemaksu objekts - </w:t>
            </w:r>
            <w:r w:rsidRPr="00944F6E">
              <w:rPr>
                <w:b/>
                <w:bCs/>
                <w:sz w:val="18"/>
                <w:szCs w:val="18"/>
                <w:u w:val="single"/>
              </w:rPr>
              <w:t xml:space="preserve">pabalsta apmēra palielinājums </w:t>
            </w:r>
            <w:r w:rsidRPr="00944F6E">
              <w:rPr>
                <w:b/>
                <w:bCs/>
                <w:sz w:val="18"/>
                <w:szCs w:val="18"/>
              </w:rPr>
              <w:t>(142,29=213,43-71,14 eiro):</w:t>
            </w:r>
          </w:p>
        </w:tc>
        <w:tc>
          <w:tcPr>
            <w:tcW w:w="1056"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rPr>
                <w:sz w:val="18"/>
                <w:szCs w:val="18"/>
              </w:rPr>
            </w:pPr>
            <w:r w:rsidRPr="00944F6E">
              <w:rPr>
                <w:sz w:val="18"/>
                <w:szCs w:val="18"/>
              </w:rPr>
              <w:t> </w:t>
            </w:r>
          </w:p>
        </w:tc>
        <w:tc>
          <w:tcPr>
            <w:tcW w:w="1492" w:type="dxa"/>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rPr>
                <w:sz w:val="18"/>
                <w:szCs w:val="18"/>
              </w:rPr>
            </w:pPr>
            <w:r w:rsidRPr="00944F6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rPr>
                <w:sz w:val="18"/>
                <w:szCs w:val="18"/>
              </w:rPr>
            </w:pPr>
            <w:r w:rsidRPr="00944F6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rPr>
                <w:sz w:val="18"/>
                <w:szCs w:val="18"/>
              </w:rPr>
            </w:pPr>
            <w:r w:rsidRPr="00944F6E">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rPr>
                <w:sz w:val="18"/>
                <w:szCs w:val="18"/>
              </w:rPr>
            </w:pPr>
            <w:r w:rsidRPr="00944F6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rPr>
                <w:sz w:val="18"/>
                <w:szCs w:val="18"/>
              </w:rPr>
            </w:pPr>
            <w:r w:rsidRPr="00944F6E">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rPr>
                <w:sz w:val="18"/>
                <w:szCs w:val="18"/>
              </w:rPr>
            </w:pPr>
            <w:r w:rsidRPr="00944F6E">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rPr>
                <w:sz w:val="18"/>
                <w:szCs w:val="18"/>
              </w:rPr>
            </w:pPr>
            <w:r w:rsidRPr="00944F6E">
              <w:rPr>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AA2728" w:rsidRPr="00944F6E" w:rsidRDefault="00AA2728" w:rsidP="00AA2728">
            <w:pPr>
              <w:rPr>
                <w:sz w:val="18"/>
                <w:szCs w:val="18"/>
              </w:rPr>
            </w:pPr>
            <w:r w:rsidRPr="00944F6E">
              <w:rPr>
                <w:sz w:val="18"/>
                <w:szCs w:val="18"/>
              </w:rPr>
              <w:t> </w:t>
            </w:r>
          </w:p>
        </w:tc>
      </w:tr>
      <w:tr w:rsidR="00AA2728" w:rsidRPr="00944F6E" w:rsidTr="00E63D71">
        <w:trPr>
          <w:trHeight w:val="57"/>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A2728" w:rsidRPr="00944F6E" w:rsidRDefault="00AA2728" w:rsidP="00AA2728">
            <w:pPr>
              <w:rPr>
                <w:sz w:val="18"/>
                <w:szCs w:val="18"/>
              </w:rPr>
            </w:pPr>
            <w:r w:rsidRPr="00944F6E">
              <w:rPr>
                <w:sz w:val="18"/>
                <w:szCs w:val="18"/>
              </w:rPr>
              <w:t xml:space="preserve">Iemaksas pensiju apdrošināšanai </w:t>
            </w:r>
          </w:p>
        </w:tc>
        <w:tc>
          <w:tcPr>
            <w:tcW w:w="1056"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800</w:t>
            </w:r>
          </w:p>
        </w:tc>
        <w:tc>
          <w:tcPr>
            <w:tcW w:w="1492"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28.46</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b/>
                <w:bCs/>
                <w:sz w:val="18"/>
                <w:szCs w:val="18"/>
              </w:rPr>
            </w:pPr>
            <w:r w:rsidRPr="00944F6E">
              <w:rPr>
                <w:b/>
                <w:bCs/>
                <w:sz w:val="18"/>
                <w:szCs w:val="18"/>
              </w:rPr>
              <w:t>273 216</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28.46</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b/>
                <w:bCs/>
                <w:sz w:val="18"/>
                <w:szCs w:val="18"/>
              </w:rPr>
            </w:pPr>
            <w:r w:rsidRPr="00944F6E">
              <w:rPr>
                <w:b/>
                <w:bCs/>
                <w:sz w:val="18"/>
                <w:szCs w:val="18"/>
              </w:rPr>
              <w:t>273 216</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28.46</w:t>
            </w:r>
          </w:p>
        </w:tc>
        <w:tc>
          <w:tcPr>
            <w:tcW w:w="1276"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b/>
                <w:bCs/>
                <w:sz w:val="18"/>
                <w:szCs w:val="18"/>
              </w:rPr>
            </w:pPr>
            <w:r w:rsidRPr="00944F6E">
              <w:rPr>
                <w:b/>
                <w:bCs/>
                <w:sz w:val="18"/>
                <w:szCs w:val="18"/>
              </w:rPr>
              <w:t>273 216</w:t>
            </w:r>
          </w:p>
        </w:tc>
      </w:tr>
      <w:tr w:rsidR="00AA2728" w:rsidRPr="00944F6E" w:rsidTr="00E63D71">
        <w:trPr>
          <w:trHeight w:val="57"/>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AA2728" w:rsidRPr="00944F6E" w:rsidRDefault="00AA2728" w:rsidP="00AA2728">
            <w:pPr>
              <w:jc w:val="right"/>
              <w:rPr>
                <w:i/>
                <w:iCs/>
                <w:sz w:val="18"/>
                <w:szCs w:val="18"/>
              </w:rPr>
            </w:pPr>
            <w:r w:rsidRPr="00944F6E">
              <w:rPr>
                <w:i/>
                <w:iCs/>
                <w:sz w:val="18"/>
                <w:szCs w:val="18"/>
              </w:rPr>
              <w:t>no tā 2.pensiju līmenim</w:t>
            </w:r>
          </w:p>
        </w:tc>
        <w:tc>
          <w:tcPr>
            <w:tcW w:w="1056"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800</w:t>
            </w:r>
          </w:p>
        </w:tc>
        <w:tc>
          <w:tcPr>
            <w:tcW w:w="1492"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8.54</w:t>
            </w:r>
          </w:p>
        </w:tc>
        <w:tc>
          <w:tcPr>
            <w:tcW w:w="1134" w:type="dxa"/>
            <w:tcBorders>
              <w:top w:val="nil"/>
              <w:left w:val="nil"/>
              <w:bottom w:val="single" w:sz="4" w:space="0" w:color="auto"/>
              <w:right w:val="single" w:sz="4" w:space="0" w:color="auto"/>
            </w:tcBorders>
            <w:shd w:val="clear" w:color="000000" w:fill="FFFFFF"/>
            <w:noWrap/>
            <w:vAlign w:val="bottom"/>
            <w:hideMark/>
          </w:tcPr>
          <w:p w:rsidR="00AA2728" w:rsidRPr="00944F6E" w:rsidRDefault="00AA2728" w:rsidP="00AA2728">
            <w:pPr>
              <w:jc w:val="right"/>
              <w:rPr>
                <w:i/>
                <w:iCs/>
                <w:sz w:val="18"/>
                <w:szCs w:val="18"/>
              </w:rPr>
            </w:pPr>
            <w:r w:rsidRPr="00944F6E">
              <w:rPr>
                <w:i/>
                <w:iCs/>
                <w:sz w:val="18"/>
                <w:szCs w:val="18"/>
              </w:rPr>
              <w:t>81 965</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800</w:t>
            </w:r>
          </w:p>
        </w:tc>
        <w:tc>
          <w:tcPr>
            <w:tcW w:w="1275"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8.54</w:t>
            </w:r>
          </w:p>
        </w:tc>
        <w:tc>
          <w:tcPr>
            <w:tcW w:w="1134" w:type="dxa"/>
            <w:tcBorders>
              <w:top w:val="nil"/>
              <w:left w:val="nil"/>
              <w:bottom w:val="single" w:sz="4" w:space="0" w:color="auto"/>
              <w:right w:val="single" w:sz="4" w:space="0" w:color="auto"/>
            </w:tcBorders>
            <w:shd w:val="clear" w:color="000000" w:fill="FFFFFF"/>
            <w:noWrap/>
            <w:vAlign w:val="bottom"/>
            <w:hideMark/>
          </w:tcPr>
          <w:p w:rsidR="00AA2728" w:rsidRPr="00944F6E" w:rsidRDefault="00AA2728" w:rsidP="00AA2728">
            <w:pPr>
              <w:jc w:val="right"/>
              <w:rPr>
                <w:i/>
                <w:iCs/>
                <w:sz w:val="18"/>
                <w:szCs w:val="18"/>
              </w:rPr>
            </w:pPr>
            <w:r w:rsidRPr="00944F6E">
              <w:rPr>
                <w:i/>
                <w:iCs/>
                <w:sz w:val="18"/>
                <w:szCs w:val="18"/>
              </w:rPr>
              <w:t>81 965</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AA2728" w:rsidRPr="00944F6E" w:rsidRDefault="00AA2728" w:rsidP="00AA2728">
            <w:pPr>
              <w:jc w:val="right"/>
              <w:rPr>
                <w:sz w:val="18"/>
                <w:szCs w:val="18"/>
              </w:rPr>
            </w:pPr>
            <w:r w:rsidRPr="00944F6E">
              <w:rPr>
                <w:sz w:val="18"/>
                <w:szCs w:val="18"/>
              </w:rPr>
              <w:t>8.54</w:t>
            </w:r>
          </w:p>
        </w:tc>
        <w:tc>
          <w:tcPr>
            <w:tcW w:w="1276" w:type="dxa"/>
            <w:tcBorders>
              <w:top w:val="nil"/>
              <w:left w:val="nil"/>
              <w:bottom w:val="single" w:sz="4" w:space="0" w:color="auto"/>
              <w:right w:val="single" w:sz="4" w:space="0" w:color="auto"/>
            </w:tcBorders>
            <w:shd w:val="clear" w:color="000000" w:fill="FFFFFF"/>
            <w:noWrap/>
            <w:vAlign w:val="bottom"/>
            <w:hideMark/>
          </w:tcPr>
          <w:p w:rsidR="00AA2728" w:rsidRPr="00944F6E" w:rsidRDefault="00AA2728" w:rsidP="00AA2728">
            <w:pPr>
              <w:jc w:val="right"/>
              <w:rPr>
                <w:i/>
                <w:iCs/>
                <w:sz w:val="18"/>
                <w:szCs w:val="18"/>
              </w:rPr>
            </w:pPr>
            <w:r w:rsidRPr="00944F6E">
              <w:rPr>
                <w:i/>
                <w:iCs/>
                <w:sz w:val="18"/>
                <w:szCs w:val="18"/>
              </w:rPr>
              <w:t>81 965</w:t>
            </w:r>
          </w:p>
        </w:tc>
      </w:tr>
    </w:tbl>
    <w:p w:rsidR="00AA2728" w:rsidRPr="00944F6E" w:rsidRDefault="00AA2728"/>
    <w:p w:rsidR="002D091B" w:rsidRPr="00944F6E" w:rsidRDefault="002D091B">
      <w:pPr>
        <w:rPr>
          <w:b/>
          <w:sz w:val="28"/>
        </w:rPr>
      </w:pPr>
      <w:r w:rsidRPr="00944F6E">
        <w:rPr>
          <w:b/>
          <w:sz w:val="28"/>
        </w:rPr>
        <w:t>Izmaiņu kopējā finansiālā ietekme</w:t>
      </w:r>
    </w:p>
    <w:tbl>
      <w:tblPr>
        <w:tblW w:w="12904" w:type="dxa"/>
        <w:tblInd w:w="103" w:type="dxa"/>
        <w:tblLook w:val="04A0" w:firstRow="1" w:lastRow="0" w:firstColumn="1" w:lastColumn="0" w:noHBand="0" w:noVBand="1"/>
      </w:tblPr>
      <w:tblGrid>
        <w:gridCol w:w="8794"/>
        <w:gridCol w:w="1417"/>
        <w:gridCol w:w="1418"/>
        <w:gridCol w:w="1275"/>
      </w:tblGrid>
      <w:tr w:rsidR="00206195" w:rsidRPr="00944F6E" w:rsidTr="00206195">
        <w:trPr>
          <w:trHeight w:val="227"/>
        </w:trPr>
        <w:tc>
          <w:tcPr>
            <w:tcW w:w="879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D091B" w:rsidRPr="00944F6E" w:rsidRDefault="002D091B" w:rsidP="002D091B">
            <w:pPr>
              <w:rPr>
                <w:sz w:val="18"/>
                <w:szCs w:val="18"/>
              </w:rPr>
            </w:pPr>
            <w:r w:rsidRPr="00944F6E">
              <w:rPr>
                <w:sz w:val="18"/>
                <w:szCs w:val="18"/>
              </w:rPr>
              <w:t> </w:t>
            </w:r>
          </w:p>
        </w:tc>
        <w:tc>
          <w:tcPr>
            <w:tcW w:w="1417" w:type="dxa"/>
            <w:tcBorders>
              <w:top w:val="single" w:sz="4" w:space="0" w:color="auto"/>
              <w:left w:val="nil"/>
              <w:bottom w:val="single" w:sz="4" w:space="0" w:color="auto"/>
              <w:right w:val="single" w:sz="4" w:space="0" w:color="auto"/>
            </w:tcBorders>
            <w:shd w:val="clear" w:color="000000" w:fill="EEECE1"/>
            <w:vAlign w:val="center"/>
            <w:hideMark/>
          </w:tcPr>
          <w:p w:rsidR="002D091B" w:rsidRPr="00944F6E" w:rsidRDefault="002D091B" w:rsidP="002D091B">
            <w:pPr>
              <w:jc w:val="center"/>
              <w:rPr>
                <w:b/>
                <w:bCs/>
                <w:sz w:val="18"/>
                <w:szCs w:val="18"/>
              </w:rPr>
            </w:pPr>
            <w:r w:rsidRPr="00944F6E">
              <w:rPr>
                <w:b/>
                <w:bCs/>
                <w:sz w:val="18"/>
                <w:szCs w:val="18"/>
              </w:rPr>
              <w:t>2019</w:t>
            </w:r>
          </w:p>
        </w:tc>
        <w:tc>
          <w:tcPr>
            <w:tcW w:w="1418" w:type="dxa"/>
            <w:tcBorders>
              <w:top w:val="single" w:sz="4" w:space="0" w:color="auto"/>
              <w:left w:val="nil"/>
              <w:bottom w:val="single" w:sz="4" w:space="0" w:color="auto"/>
              <w:right w:val="single" w:sz="4" w:space="0" w:color="auto"/>
            </w:tcBorders>
            <w:shd w:val="clear" w:color="000000" w:fill="EEECE1"/>
            <w:vAlign w:val="center"/>
            <w:hideMark/>
          </w:tcPr>
          <w:p w:rsidR="002D091B" w:rsidRPr="00944F6E" w:rsidRDefault="002D091B" w:rsidP="002D091B">
            <w:pPr>
              <w:jc w:val="center"/>
              <w:rPr>
                <w:b/>
                <w:bCs/>
                <w:sz w:val="18"/>
                <w:szCs w:val="18"/>
              </w:rPr>
            </w:pPr>
            <w:r w:rsidRPr="00944F6E">
              <w:rPr>
                <w:b/>
                <w:bCs/>
                <w:sz w:val="18"/>
                <w:szCs w:val="18"/>
              </w:rPr>
              <w:t>2020</w:t>
            </w:r>
          </w:p>
        </w:tc>
        <w:tc>
          <w:tcPr>
            <w:tcW w:w="1275" w:type="dxa"/>
            <w:tcBorders>
              <w:top w:val="single" w:sz="4" w:space="0" w:color="auto"/>
              <w:left w:val="nil"/>
              <w:bottom w:val="single" w:sz="4" w:space="0" w:color="auto"/>
              <w:right w:val="single" w:sz="4" w:space="0" w:color="auto"/>
            </w:tcBorders>
            <w:shd w:val="clear" w:color="000000" w:fill="EEECE1"/>
            <w:vAlign w:val="center"/>
            <w:hideMark/>
          </w:tcPr>
          <w:p w:rsidR="002D091B" w:rsidRPr="00944F6E" w:rsidRDefault="002D091B" w:rsidP="002D091B">
            <w:pPr>
              <w:jc w:val="center"/>
              <w:rPr>
                <w:b/>
                <w:bCs/>
                <w:sz w:val="18"/>
                <w:szCs w:val="18"/>
              </w:rPr>
            </w:pPr>
            <w:r w:rsidRPr="00944F6E">
              <w:rPr>
                <w:b/>
                <w:bCs/>
                <w:sz w:val="18"/>
                <w:szCs w:val="18"/>
              </w:rPr>
              <w:t>2021</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b/>
                <w:bCs/>
                <w:sz w:val="18"/>
                <w:szCs w:val="18"/>
              </w:rPr>
            </w:pPr>
            <w:r w:rsidRPr="00944F6E">
              <w:rPr>
                <w:b/>
                <w:bCs/>
                <w:sz w:val="18"/>
                <w:szCs w:val="18"/>
              </w:rPr>
              <w:t>PB:</w:t>
            </w:r>
          </w:p>
        </w:tc>
        <w:tc>
          <w:tcPr>
            <w:tcW w:w="1417" w:type="dxa"/>
            <w:tcBorders>
              <w:top w:val="nil"/>
              <w:left w:val="nil"/>
              <w:bottom w:val="single" w:sz="4" w:space="0" w:color="auto"/>
              <w:right w:val="single" w:sz="4" w:space="0" w:color="auto"/>
            </w:tcBorders>
            <w:shd w:val="clear" w:color="auto" w:fill="auto"/>
            <w:vAlign w:val="center"/>
            <w:hideMark/>
          </w:tcPr>
          <w:p w:rsidR="002D091B" w:rsidRPr="00944F6E" w:rsidRDefault="002D091B" w:rsidP="002D091B">
            <w:pPr>
              <w:jc w:val="center"/>
              <w:rPr>
                <w:sz w:val="18"/>
                <w:szCs w:val="18"/>
              </w:rPr>
            </w:pPr>
            <w:r w:rsidRPr="00944F6E">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2D091B" w:rsidP="002D091B">
            <w:pPr>
              <w:jc w:val="center"/>
              <w:rPr>
                <w:sz w:val="18"/>
                <w:szCs w:val="18"/>
              </w:rPr>
            </w:pPr>
            <w:r w:rsidRPr="00944F6E">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2D091B" w:rsidP="002D091B">
            <w:pPr>
              <w:jc w:val="center"/>
              <w:rPr>
                <w:sz w:val="18"/>
                <w:szCs w:val="18"/>
              </w:rPr>
            </w:pPr>
            <w:r w:rsidRPr="00944F6E">
              <w:rPr>
                <w:sz w:val="18"/>
                <w:szCs w:val="18"/>
              </w:rPr>
              <w:t> </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b/>
                <w:bCs/>
                <w:sz w:val="18"/>
                <w:szCs w:val="18"/>
              </w:rPr>
            </w:pPr>
            <w:r w:rsidRPr="00944F6E">
              <w:rPr>
                <w:b/>
                <w:bCs/>
                <w:sz w:val="18"/>
                <w:szCs w:val="18"/>
              </w:rPr>
              <w:t>Izdevumu palielinājums – transferts uz SB</w:t>
            </w:r>
          </w:p>
        </w:tc>
        <w:tc>
          <w:tcPr>
            <w:tcW w:w="1417" w:type="dxa"/>
            <w:tcBorders>
              <w:top w:val="nil"/>
              <w:left w:val="nil"/>
              <w:bottom w:val="single" w:sz="4" w:space="0" w:color="auto"/>
              <w:right w:val="single" w:sz="4" w:space="0" w:color="auto"/>
            </w:tcBorders>
            <w:shd w:val="clear" w:color="auto" w:fill="auto"/>
            <w:noWrap/>
            <w:vAlign w:val="bottom"/>
            <w:hideMark/>
          </w:tcPr>
          <w:p w:rsidR="002D091B" w:rsidRPr="00944F6E" w:rsidRDefault="002D091B" w:rsidP="002D091B">
            <w:pPr>
              <w:rPr>
                <w:rFonts w:ascii="Calibri" w:hAnsi="Calibri"/>
                <w:sz w:val="22"/>
                <w:szCs w:val="22"/>
              </w:rPr>
            </w:pPr>
            <w:r w:rsidRPr="00944F6E">
              <w:rPr>
                <w:rFonts w:ascii="Calibri" w:hAnsi="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D091B" w:rsidRPr="00944F6E" w:rsidRDefault="002D091B" w:rsidP="002D091B">
            <w:pPr>
              <w:rPr>
                <w:rFonts w:ascii="Calibri" w:hAnsi="Calibri"/>
                <w:sz w:val="22"/>
                <w:szCs w:val="22"/>
              </w:rPr>
            </w:pPr>
            <w:r w:rsidRPr="00944F6E">
              <w:rPr>
                <w:rFonts w:ascii="Calibri" w:hAnsi="Calibri"/>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D091B" w:rsidRPr="00944F6E" w:rsidRDefault="002D091B" w:rsidP="002D091B">
            <w:pPr>
              <w:rPr>
                <w:rFonts w:ascii="Calibri" w:hAnsi="Calibri"/>
                <w:sz w:val="22"/>
                <w:szCs w:val="22"/>
              </w:rPr>
            </w:pPr>
            <w:r w:rsidRPr="00944F6E">
              <w:rPr>
                <w:rFonts w:ascii="Calibri" w:hAnsi="Calibri"/>
                <w:sz w:val="22"/>
                <w:szCs w:val="22"/>
              </w:rPr>
              <w:t> </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sz w:val="18"/>
                <w:szCs w:val="18"/>
              </w:rPr>
            </w:pPr>
            <w:r w:rsidRPr="00944F6E">
              <w:rPr>
                <w:sz w:val="18"/>
                <w:szCs w:val="18"/>
              </w:rPr>
              <w:t>Iemaksas par nestrādājošiem vecāku pabalsta saņēmējiem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28 462 452</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30 567 778</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30 567 778</w:t>
            </w:r>
          </w:p>
        </w:tc>
      </w:tr>
      <w:tr w:rsidR="00206195" w:rsidRPr="00944F6E" w:rsidTr="00206195">
        <w:trPr>
          <w:trHeight w:val="227"/>
        </w:trPr>
        <w:tc>
          <w:tcPr>
            <w:tcW w:w="8794" w:type="dxa"/>
            <w:tcBorders>
              <w:top w:val="nil"/>
              <w:left w:val="single" w:sz="4" w:space="0" w:color="auto"/>
              <w:bottom w:val="single" w:sz="4" w:space="0" w:color="auto"/>
              <w:right w:val="single" w:sz="4" w:space="0" w:color="auto"/>
            </w:tcBorders>
            <w:shd w:val="clear" w:color="000000" w:fill="FFFFFF"/>
            <w:vAlign w:val="center"/>
            <w:hideMark/>
          </w:tcPr>
          <w:p w:rsidR="002D091B" w:rsidRPr="00944F6E" w:rsidRDefault="002D091B" w:rsidP="002D091B">
            <w:pPr>
              <w:jc w:val="right"/>
              <w:rPr>
                <w:i/>
                <w:iCs/>
                <w:sz w:val="18"/>
                <w:szCs w:val="18"/>
              </w:rPr>
            </w:pPr>
            <w:r w:rsidRPr="00944F6E">
              <w:rPr>
                <w:i/>
                <w:iCs/>
                <w:sz w:val="18"/>
                <w:szCs w:val="18"/>
              </w:rPr>
              <w:t>no tām 2.pensiju līmenim</w:t>
            </w:r>
          </w:p>
        </w:tc>
        <w:tc>
          <w:tcPr>
            <w:tcW w:w="1417" w:type="dxa"/>
            <w:tcBorders>
              <w:top w:val="nil"/>
              <w:left w:val="nil"/>
              <w:bottom w:val="single" w:sz="4" w:space="0" w:color="auto"/>
              <w:right w:val="single" w:sz="4" w:space="0" w:color="auto"/>
            </w:tcBorders>
            <w:shd w:val="clear" w:color="000000" w:fill="FFFFFF"/>
            <w:noWrap/>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7 094 919</w:t>
            </w:r>
          </w:p>
        </w:tc>
        <w:tc>
          <w:tcPr>
            <w:tcW w:w="1418" w:type="dxa"/>
            <w:tcBorders>
              <w:top w:val="nil"/>
              <w:left w:val="nil"/>
              <w:bottom w:val="single" w:sz="4" w:space="0" w:color="auto"/>
              <w:right w:val="single" w:sz="4" w:space="0" w:color="auto"/>
            </w:tcBorders>
            <w:shd w:val="clear" w:color="000000" w:fill="FFFFFF"/>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7 619 720</w:t>
            </w:r>
          </w:p>
        </w:tc>
        <w:tc>
          <w:tcPr>
            <w:tcW w:w="1275" w:type="dxa"/>
            <w:tcBorders>
              <w:top w:val="nil"/>
              <w:left w:val="nil"/>
              <w:bottom w:val="single" w:sz="4" w:space="0" w:color="auto"/>
              <w:right w:val="single" w:sz="4" w:space="0" w:color="auto"/>
            </w:tcBorders>
            <w:shd w:val="clear" w:color="000000" w:fill="FFFFFF"/>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7 619 720</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sz w:val="18"/>
                <w:szCs w:val="18"/>
              </w:rPr>
            </w:pPr>
            <w:r w:rsidRPr="00944F6E">
              <w:rPr>
                <w:sz w:val="18"/>
                <w:szCs w:val="18"/>
              </w:rPr>
              <w:t>Iemaksas par nestrādājošiem invalīda kopš bērnības pabalsta saņēmējiem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273 216</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273 216</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273 216</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000000" w:fill="FFFFFF"/>
            <w:vAlign w:val="center"/>
            <w:hideMark/>
          </w:tcPr>
          <w:p w:rsidR="002D091B" w:rsidRPr="00944F6E" w:rsidRDefault="002D091B" w:rsidP="002D091B">
            <w:pPr>
              <w:jc w:val="right"/>
              <w:rPr>
                <w:i/>
                <w:iCs/>
                <w:sz w:val="18"/>
                <w:szCs w:val="18"/>
              </w:rPr>
            </w:pPr>
            <w:r w:rsidRPr="00944F6E">
              <w:rPr>
                <w:i/>
                <w:iCs/>
                <w:sz w:val="18"/>
                <w:szCs w:val="18"/>
              </w:rPr>
              <w:t>no tām2.pensiju līmenim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81 965</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81 965</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81 965</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b/>
                <w:bCs/>
                <w:sz w:val="18"/>
                <w:szCs w:val="18"/>
              </w:rPr>
            </w:pPr>
            <w:r w:rsidRPr="00944F6E">
              <w:rPr>
                <w:b/>
                <w:bCs/>
                <w:sz w:val="18"/>
                <w:szCs w:val="18"/>
              </w:rPr>
              <w:t xml:space="preserve">Kopējais PB izdevumu palielinājums </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28 735 668</w:t>
            </w:r>
          </w:p>
        </w:tc>
        <w:tc>
          <w:tcPr>
            <w:tcW w:w="1418"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30 840 994</w:t>
            </w:r>
          </w:p>
        </w:tc>
        <w:tc>
          <w:tcPr>
            <w:tcW w:w="1275"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30 840 994</w:t>
            </w:r>
          </w:p>
        </w:tc>
      </w:tr>
      <w:tr w:rsidR="00206195" w:rsidRPr="00944F6E" w:rsidTr="00206195">
        <w:trPr>
          <w:trHeight w:val="227"/>
        </w:trPr>
        <w:tc>
          <w:tcPr>
            <w:tcW w:w="8794" w:type="dxa"/>
            <w:tcBorders>
              <w:top w:val="nil"/>
              <w:left w:val="single" w:sz="4" w:space="0" w:color="auto"/>
              <w:bottom w:val="single" w:sz="4" w:space="0" w:color="auto"/>
              <w:right w:val="single" w:sz="4" w:space="0" w:color="auto"/>
            </w:tcBorders>
            <w:shd w:val="clear" w:color="000000" w:fill="EEECE1"/>
            <w:vAlign w:val="center"/>
            <w:hideMark/>
          </w:tcPr>
          <w:p w:rsidR="002D091B" w:rsidRPr="00944F6E" w:rsidRDefault="002D091B" w:rsidP="002D091B">
            <w:pPr>
              <w:jc w:val="right"/>
              <w:rPr>
                <w:i/>
                <w:iCs/>
                <w:sz w:val="18"/>
                <w:szCs w:val="18"/>
              </w:rPr>
            </w:pPr>
            <w:r w:rsidRPr="00944F6E">
              <w:rPr>
                <w:i/>
                <w:iCs/>
                <w:sz w:val="18"/>
                <w:szCs w:val="18"/>
              </w:rPr>
              <w:t> </w:t>
            </w:r>
          </w:p>
        </w:tc>
        <w:tc>
          <w:tcPr>
            <w:tcW w:w="1417" w:type="dxa"/>
            <w:tcBorders>
              <w:top w:val="nil"/>
              <w:left w:val="nil"/>
              <w:bottom w:val="single" w:sz="4" w:space="0" w:color="auto"/>
              <w:right w:val="single" w:sz="4" w:space="0" w:color="auto"/>
            </w:tcBorders>
            <w:shd w:val="clear" w:color="000000" w:fill="EEECE1"/>
            <w:noWrap/>
            <w:vAlign w:val="center"/>
            <w:hideMark/>
          </w:tcPr>
          <w:p w:rsidR="002D091B" w:rsidRPr="00944F6E" w:rsidRDefault="002D091B" w:rsidP="002D091B">
            <w:pPr>
              <w:jc w:val="right"/>
              <w:rPr>
                <w:i/>
                <w:iCs/>
                <w:sz w:val="18"/>
                <w:szCs w:val="18"/>
              </w:rPr>
            </w:pPr>
            <w:r w:rsidRPr="00944F6E">
              <w:rPr>
                <w:i/>
                <w:iCs/>
                <w:sz w:val="18"/>
                <w:szCs w:val="18"/>
              </w:rPr>
              <w:t> </w:t>
            </w:r>
          </w:p>
        </w:tc>
        <w:tc>
          <w:tcPr>
            <w:tcW w:w="1418" w:type="dxa"/>
            <w:tcBorders>
              <w:top w:val="nil"/>
              <w:left w:val="nil"/>
              <w:bottom w:val="single" w:sz="4" w:space="0" w:color="auto"/>
              <w:right w:val="single" w:sz="4" w:space="0" w:color="auto"/>
            </w:tcBorders>
            <w:shd w:val="clear" w:color="000000" w:fill="EEECE1"/>
            <w:vAlign w:val="center"/>
            <w:hideMark/>
          </w:tcPr>
          <w:p w:rsidR="002D091B" w:rsidRPr="00944F6E" w:rsidRDefault="002D091B" w:rsidP="002D091B">
            <w:pPr>
              <w:jc w:val="right"/>
              <w:rPr>
                <w:i/>
                <w:iCs/>
                <w:sz w:val="18"/>
                <w:szCs w:val="18"/>
              </w:rPr>
            </w:pPr>
            <w:r w:rsidRPr="00944F6E">
              <w:rPr>
                <w:i/>
                <w:iCs/>
                <w:sz w:val="18"/>
                <w:szCs w:val="18"/>
              </w:rPr>
              <w:t> </w:t>
            </w:r>
          </w:p>
        </w:tc>
        <w:tc>
          <w:tcPr>
            <w:tcW w:w="1275" w:type="dxa"/>
            <w:tcBorders>
              <w:top w:val="nil"/>
              <w:left w:val="nil"/>
              <w:bottom w:val="single" w:sz="4" w:space="0" w:color="auto"/>
              <w:right w:val="single" w:sz="4" w:space="0" w:color="auto"/>
            </w:tcBorders>
            <w:shd w:val="clear" w:color="000000" w:fill="EEECE1"/>
            <w:vAlign w:val="center"/>
            <w:hideMark/>
          </w:tcPr>
          <w:p w:rsidR="002D091B" w:rsidRPr="00944F6E" w:rsidRDefault="002D091B" w:rsidP="002D091B">
            <w:pPr>
              <w:jc w:val="right"/>
              <w:rPr>
                <w:i/>
                <w:iCs/>
                <w:sz w:val="18"/>
                <w:szCs w:val="18"/>
              </w:rPr>
            </w:pPr>
            <w:r w:rsidRPr="00944F6E">
              <w:rPr>
                <w:i/>
                <w:iCs/>
                <w:sz w:val="18"/>
                <w:szCs w:val="18"/>
              </w:rPr>
              <w:t> </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b/>
                <w:bCs/>
                <w:sz w:val="18"/>
                <w:szCs w:val="18"/>
              </w:rPr>
            </w:pPr>
            <w:r w:rsidRPr="00944F6E">
              <w:rPr>
                <w:b/>
                <w:bCs/>
                <w:sz w:val="18"/>
                <w:szCs w:val="18"/>
              </w:rPr>
              <w:t xml:space="preserve">SB: </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2D091B" w:rsidP="002D091B">
            <w:pPr>
              <w:rPr>
                <w:sz w:val="18"/>
                <w:szCs w:val="18"/>
              </w:rPr>
            </w:pPr>
            <w:r w:rsidRPr="00944F6E">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2D091B" w:rsidP="002D091B">
            <w:pPr>
              <w:rPr>
                <w:sz w:val="18"/>
                <w:szCs w:val="18"/>
              </w:rPr>
            </w:pPr>
            <w:r w:rsidRPr="00944F6E">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2D091B" w:rsidP="002D091B">
            <w:pPr>
              <w:rPr>
                <w:sz w:val="18"/>
                <w:szCs w:val="18"/>
              </w:rPr>
            </w:pPr>
            <w:r w:rsidRPr="00944F6E">
              <w:rPr>
                <w:sz w:val="18"/>
                <w:szCs w:val="18"/>
              </w:rPr>
              <w:t> </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sz w:val="18"/>
                <w:szCs w:val="18"/>
              </w:rPr>
            </w:pPr>
            <w:r w:rsidRPr="00944F6E">
              <w:rPr>
                <w:sz w:val="18"/>
                <w:szCs w:val="18"/>
              </w:rPr>
              <w:t>Ieņēmumu palielinājums, pārtraucot SB starpbudžetu transfertus (ietekme saistībā ar iemaksām 2.pensiju līmenim par vecāku pabalstiem)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2 563 181</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2 600 413</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2 600 413</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sz w:val="18"/>
                <w:szCs w:val="18"/>
              </w:rPr>
            </w:pPr>
            <w:r w:rsidRPr="00944F6E">
              <w:rPr>
                <w:sz w:val="18"/>
                <w:szCs w:val="18"/>
              </w:rPr>
              <w:t xml:space="preserve">Ieņēmumu palielinājums - transferts no PB </w:t>
            </w:r>
            <w:r w:rsidRPr="00944F6E">
              <w:rPr>
                <w:i/>
                <w:iCs/>
                <w:sz w:val="18"/>
                <w:szCs w:val="18"/>
              </w:rPr>
              <w:t>(par nestrādājošiem vecāku pabalsta saņēmējiem)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28 462 452</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30 567 778</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sz w:val="18"/>
                <w:szCs w:val="18"/>
              </w:rPr>
            </w:pPr>
            <w:r w:rsidRPr="00944F6E">
              <w:rPr>
                <w:sz w:val="18"/>
                <w:szCs w:val="18"/>
              </w:rPr>
              <w:t>+</w:t>
            </w:r>
            <w:r w:rsidR="002D091B" w:rsidRPr="00944F6E">
              <w:rPr>
                <w:sz w:val="18"/>
                <w:szCs w:val="18"/>
              </w:rPr>
              <w:t>30 567 778</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jc w:val="right"/>
              <w:rPr>
                <w:i/>
                <w:iCs/>
                <w:sz w:val="18"/>
                <w:szCs w:val="18"/>
              </w:rPr>
            </w:pPr>
            <w:r w:rsidRPr="00944F6E">
              <w:rPr>
                <w:i/>
                <w:iCs/>
                <w:sz w:val="18"/>
                <w:szCs w:val="18"/>
              </w:rPr>
              <w:t>no tā samazinājums 2.pensiju līmenim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7 094 919</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7 619 720</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7 619 720</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sz w:val="18"/>
                <w:szCs w:val="18"/>
              </w:rPr>
            </w:pPr>
            <w:r w:rsidRPr="00944F6E">
              <w:rPr>
                <w:sz w:val="18"/>
                <w:szCs w:val="18"/>
              </w:rPr>
              <w:t xml:space="preserve">Ieņēmumu palielinājums - transferts no PB </w:t>
            </w:r>
            <w:r w:rsidRPr="00944F6E">
              <w:rPr>
                <w:i/>
                <w:iCs/>
                <w:sz w:val="18"/>
                <w:szCs w:val="18"/>
              </w:rPr>
              <w:t>(par nestrādājošiem invalīda kopš bērnības pabalsta saņēmējiem)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273 216</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273 216</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273 216</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jc w:val="right"/>
              <w:rPr>
                <w:i/>
                <w:iCs/>
                <w:sz w:val="18"/>
                <w:szCs w:val="18"/>
              </w:rPr>
            </w:pPr>
            <w:r w:rsidRPr="00944F6E">
              <w:rPr>
                <w:i/>
                <w:iCs/>
                <w:sz w:val="18"/>
                <w:szCs w:val="18"/>
              </w:rPr>
              <w:t>no tā samazinājums 2.pensiju līmenim</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81 965</w:t>
            </w:r>
          </w:p>
        </w:tc>
        <w:tc>
          <w:tcPr>
            <w:tcW w:w="1418"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81 965</w:t>
            </w:r>
          </w:p>
        </w:tc>
        <w:tc>
          <w:tcPr>
            <w:tcW w:w="1275" w:type="dxa"/>
            <w:tcBorders>
              <w:top w:val="nil"/>
              <w:left w:val="nil"/>
              <w:bottom w:val="single" w:sz="4" w:space="0" w:color="auto"/>
              <w:right w:val="single" w:sz="4" w:space="0" w:color="auto"/>
            </w:tcBorders>
            <w:shd w:val="clear" w:color="auto" w:fill="auto"/>
            <w:vAlign w:val="center"/>
            <w:hideMark/>
          </w:tcPr>
          <w:p w:rsidR="002D091B" w:rsidRPr="00944F6E" w:rsidRDefault="00C32E58" w:rsidP="002D091B">
            <w:pPr>
              <w:jc w:val="right"/>
              <w:rPr>
                <w:i/>
                <w:iCs/>
                <w:sz w:val="18"/>
                <w:szCs w:val="18"/>
              </w:rPr>
            </w:pPr>
            <w:r w:rsidRPr="00944F6E">
              <w:rPr>
                <w:i/>
                <w:iCs/>
                <w:sz w:val="18"/>
                <w:szCs w:val="18"/>
              </w:rPr>
              <w:t>-</w:t>
            </w:r>
            <w:r w:rsidR="002D091B" w:rsidRPr="00944F6E">
              <w:rPr>
                <w:i/>
                <w:iCs/>
                <w:sz w:val="18"/>
                <w:szCs w:val="18"/>
              </w:rPr>
              <w:t>81 965</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b/>
                <w:bCs/>
                <w:sz w:val="18"/>
                <w:szCs w:val="18"/>
              </w:rPr>
            </w:pPr>
            <w:r w:rsidRPr="00944F6E">
              <w:rPr>
                <w:b/>
                <w:bCs/>
                <w:sz w:val="18"/>
                <w:szCs w:val="18"/>
              </w:rPr>
              <w:t xml:space="preserve">Kopējais SB ieņēmumu palielinājums </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24 121 965</w:t>
            </w:r>
          </w:p>
        </w:tc>
        <w:tc>
          <w:tcPr>
            <w:tcW w:w="1418"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25 739 721</w:t>
            </w:r>
          </w:p>
        </w:tc>
        <w:tc>
          <w:tcPr>
            <w:tcW w:w="1275"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25 739 721</w:t>
            </w:r>
          </w:p>
        </w:tc>
      </w:tr>
      <w:tr w:rsidR="00206195" w:rsidRPr="00944F6E" w:rsidTr="00206195">
        <w:trPr>
          <w:trHeight w:val="227"/>
        </w:trPr>
        <w:tc>
          <w:tcPr>
            <w:tcW w:w="8794" w:type="dxa"/>
            <w:tcBorders>
              <w:top w:val="nil"/>
              <w:left w:val="single" w:sz="4" w:space="0" w:color="auto"/>
              <w:bottom w:val="single" w:sz="4" w:space="0" w:color="auto"/>
              <w:right w:val="single" w:sz="4" w:space="0" w:color="auto"/>
            </w:tcBorders>
            <w:shd w:val="clear" w:color="000000" w:fill="EEECE1"/>
            <w:vAlign w:val="center"/>
            <w:hideMark/>
          </w:tcPr>
          <w:p w:rsidR="002D091B" w:rsidRPr="00944F6E" w:rsidRDefault="002D091B" w:rsidP="002D091B">
            <w:pPr>
              <w:rPr>
                <w:sz w:val="18"/>
                <w:szCs w:val="18"/>
              </w:rPr>
            </w:pPr>
            <w:r w:rsidRPr="00944F6E">
              <w:rPr>
                <w:sz w:val="18"/>
                <w:szCs w:val="18"/>
              </w:rPr>
              <w:t> </w:t>
            </w:r>
          </w:p>
        </w:tc>
        <w:tc>
          <w:tcPr>
            <w:tcW w:w="1417" w:type="dxa"/>
            <w:tcBorders>
              <w:top w:val="nil"/>
              <w:left w:val="nil"/>
              <w:bottom w:val="single" w:sz="4" w:space="0" w:color="auto"/>
              <w:right w:val="single" w:sz="4" w:space="0" w:color="auto"/>
            </w:tcBorders>
            <w:shd w:val="clear" w:color="000000" w:fill="EEECE1"/>
            <w:noWrap/>
            <w:vAlign w:val="center"/>
            <w:hideMark/>
          </w:tcPr>
          <w:p w:rsidR="002D091B" w:rsidRPr="00944F6E" w:rsidRDefault="002D091B" w:rsidP="002D091B">
            <w:pPr>
              <w:jc w:val="right"/>
              <w:rPr>
                <w:sz w:val="18"/>
                <w:szCs w:val="18"/>
              </w:rPr>
            </w:pPr>
            <w:r w:rsidRPr="00944F6E">
              <w:rPr>
                <w:sz w:val="18"/>
                <w:szCs w:val="18"/>
              </w:rPr>
              <w:t> </w:t>
            </w:r>
          </w:p>
        </w:tc>
        <w:tc>
          <w:tcPr>
            <w:tcW w:w="1418" w:type="dxa"/>
            <w:tcBorders>
              <w:top w:val="nil"/>
              <w:left w:val="nil"/>
              <w:bottom w:val="single" w:sz="4" w:space="0" w:color="auto"/>
              <w:right w:val="single" w:sz="4" w:space="0" w:color="auto"/>
            </w:tcBorders>
            <w:shd w:val="clear" w:color="000000" w:fill="EEECE1"/>
            <w:vAlign w:val="center"/>
            <w:hideMark/>
          </w:tcPr>
          <w:p w:rsidR="002D091B" w:rsidRPr="00944F6E" w:rsidRDefault="002D091B" w:rsidP="002D091B">
            <w:pPr>
              <w:jc w:val="right"/>
              <w:rPr>
                <w:sz w:val="18"/>
                <w:szCs w:val="18"/>
              </w:rPr>
            </w:pPr>
            <w:r w:rsidRPr="00944F6E">
              <w:rPr>
                <w:sz w:val="18"/>
                <w:szCs w:val="18"/>
              </w:rPr>
              <w:t> </w:t>
            </w:r>
          </w:p>
        </w:tc>
        <w:tc>
          <w:tcPr>
            <w:tcW w:w="1275" w:type="dxa"/>
            <w:tcBorders>
              <w:top w:val="nil"/>
              <w:left w:val="nil"/>
              <w:bottom w:val="single" w:sz="4" w:space="0" w:color="auto"/>
              <w:right w:val="single" w:sz="4" w:space="0" w:color="auto"/>
            </w:tcBorders>
            <w:shd w:val="clear" w:color="000000" w:fill="EEECE1"/>
            <w:vAlign w:val="center"/>
            <w:hideMark/>
          </w:tcPr>
          <w:p w:rsidR="002D091B" w:rsidRPr="00944F6E" w:rsidRDefault="002D091B" w:rsidP="002D091B">
            <w:pPr>
              <w:jc w:val="right"/>
              <w:rPr>
                <w:sz w:val="18"/>
                <w:szCs w:val="18"/>
              </w:rPr>
            </w:pPr>
            <w:r w:rsidRPr="00944F6E">
              <w:rPr>
                <w:sz w:val="18"/>
                <w:szCs w:val="18"/>
              </w:rPr>
              <w:t> </w:t>
            </w:r>
          </w:p>
        </w:tc>
      </w:tr>
      <w:tr w:rsidR="002D091B" w:rsidRPr="00944F6E" w:rsidTr="00206195">
        <w:trPr>
          <w:trHeight w:val="227"/>
        </w:trPr>
        <w:tc>
          <w:tcPr>
            <w:tcW w:w="8794" w:type="dxa"/>
            <w:tcBorders>
              <w:top w:val="nil"/>
              <w:left w:val="single" w:sz="4" w:space="0" w:color="auto"/>
              <w:bottom w:val="single" w:sz="4" w:space="0" w:color="auto"/>
              <w:right w:val="single" w:sz="4" w:space="0" w:color="auto"/>
            </w:tcBorders>
            <w:shd w:val="clear" w:color="auto" w:fill="auto"/>
            <w:vAlign w:val="center"/>
            <w:hideMark/>
          </w:tcPr>
          <w:p w:rsidR="002D091B" w:rsidRPr="00944F6E" w:rsidRDefault="002D091B" w:rsidP="002D091B">
            <w:pPr>
              <w:rPr>
                <w:b/>
                <w:bCs/>
                <w:sz w:val="18"/>
                <w:szCs w:val="18"/>
              </w:rPr>
            </w:pPr>
            <w:r w:rsidRPr="00944F6E">
              <w:rPr>
                <w:b/>
                <w:bCs/>
                <w:sz w:val="18"/>
                <w:szCs w:val="18"/>
              </w:rPr>
              <w:t>Kopējā fiskālā ietekme</w:t>
            </w:r>
          </w:p>
        </w:tc>
        <w:tc>
          <w:tcPr>
            <w:tcW w:w="1417"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4 613 703</w:t>
            </w:r>
          </w:p>
        </w:tc>
        <w:tc>
          <w:tcPr>
            <w:tcW w:w="1418"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5 101 273</w:t>
            </w:r>
          </w:p>
        </w:tc>
        <w:tc>
          <w:tcPr>
            <w:tcW w:w="1275" w:type="dxa"/>
            <w:tcBorders>
              <w:top w:val="nil"/>
              <w:left w:val="nil"/>
              <w:bottom w:val="single" w:sz="4" w:space="0" w:color="auto"/>
              <w:right w:val="single" w:sz="4" w:space="0" w:color="auto"/>
            </w:tcBorders>
            <w:shd w:val="clear" w:color="auto" w:fill="auto"/>
            <w:noWrap/>
            <w:vAlign w:val="center"/>
            <w:hideMark/>
          </w:tcPr>
          <w:p w:rsidR="002D091B" w:rsidRPr="00944F6E" w:rsidRDefault="00C32E58" w:rsidP="002D091B">
            <w:pPr>
              <w:jc w:val="right"/>
              <w:rPr>
                <w:b/>
                <w:bCs/>
                <w:sz w:val="18"/>
                <w:szCs w:val="18"/>
              </w:rPr>
            </w:pPr>
            <w:r w:rsidRPr="00944F6E">
              <w:rPr>
                <w:b/>
                <w:bCs/>
                <w:sz w:val="18"/>
                <w:szCs w:val="18"/>
              </w:rPr>
              <w:t>-</w:t>
            </w:r>
            <w:r w:rsidR="002D091B" w:rsidRPr="00944F6E">
              <w:rPr>
                <w:b/>
                <w:bCs/>
                <w:sz w:val="18"/>
                <w:szCs w:val="18"/>
              </w:rPr>
              <w:t>5 101 273</w:t>
            </w:r>
          </w:p>
        </w:tc>
      </w:tr>
    </w:tbl>
    <w:p w:rsidR="002D091B" w:rsidRPr="00944F6E" w:rsidRDefault="002D091B">
      <w:pPr>
        <w:rPr>
          <w:b/>
          <w:sz w:val="28"/>
        </w:rPr>
      </w:pPr>
    </w:p>
    <w:sectPr w:rsidR="002D091B" w:rsidRPr="00944F6E" w:rsidSect="00AA2728">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AF" w:rsidRDefault="006F49AF" w:rsidP="00C40FA7">
      <w:r>
        <w:separator/>
      </w:r>
    </w:p>
  </w:endnote>
  <w:endnote w:type="continuationSeparator" w:id="0">
    <w:p w:rsidR="006F49AF" w:rsidRDefault="006F49AF" w:rsidP="00C4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eciliaLTSt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0A" w:rsidRDefault="00B5560A" w:rsidP="00FF1868">
    <w:pPr>
      <w:pStyle w:val="Footer"/>
      <w:jc w:val="both"/>
    </w:pPr>
    <w:r>
      <w:t>LMzin_160418; Informatīvais ziņojums „Par valsts atbalstu pensiju nodrošinājumā daudzbērnu ģimenēm”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0A" w:rsidRDefault="00B5560A" w:rsidP="00FF1868">
    <w:pPr>
      <w:pStyle w:val="Footer"/>
      <w:jc w:val="both"/>
    </w:pPr>
    <w:r>
      <w:t>LMzin_160418; Informatīvais ziņojums „Par valsts atbalstu pensiju nodrošinājumā daudzbērnu ģimenēm”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AF" w:rsidRDefault="006F49AF" w:rsidP="00C40FA7">
      <w:r>
        <w:separator/>
      </w:r>
    </w:p>
  </w:footnote>
  <w:footnote w:type="continuationSeparator" w:id="0">
    <w:p w:rsidR="006F49AF" w:rsidRDefault="006F49AF" w:rsidP="00C40FA7">
      <w:r>
        <w:continuationSeparator/>
      </w:r>
    </w:p>
  </w:footnote>
  <w:footnote w:id="1">
    <w:p w:rsidR="00B5560A" w:rsidRDefault="00B5560A">
      <w:pPr>
        <w:pStyle w:val="FootnoteText"/>
      </w:pPr>
      <w:r>
        <w:rPr>
          <w:rStyle w:val="FootnoteReference"/>
        </w:rPr>
        <w:footnoteRef/>
      </w:r>
      <w:r>
        <w:t xml:space="preserve"> </w:t>
      </w:r>
      <w:r w:rsidRPr="00267834">
        <w:t>Centrālā</w:t>
      </w:r>
      <w:r>
        <w:t>s</w:t>
      </w:r>
      <w:r w:rsidRPr="00267834">
        <w:t xml:space="preserve"> statistikas pārvalde</w:t>
      </w:r>
      <w:r>
        <w:t>s dati.</w:t>
      </w:r>
    </w:p>
  </w:footnote>
  <w:footnote w:id="2">
    <w:p w:rsidR="00B5560A" w:rsidRDefault="00B5560A">
      <w:pPr>
        <w:pStyle w:val="FootnoteText"/>
      </w:pPr>
      <w:r>
        <w:rPr>
          <w:rStyle w:val="FootnoteReference"/>
        </w:rPr>
        <w:footnoteRef/>
      </w:r>
      <w:r>
        <w:t xml:space="preserve"> Atbilstoši 2017.gada 12 mēnešu valsts budžeta analīzei</w:t>
      </w:r>
    </w:p>
  </w:footnote>
  <w:footnote w:id="3">
    <w:p w:rsidR="00B5560A" w:rsidRDefault="00B5560A" w:rsidP="00C40FA7">
      <w:pPr>
        <w:pStyle w:val="FootnoteText"/>
      </w:pPr>
      <w:r>
        <w:rPr>
          <w:rStyle w:val="FootnoteReference"/>
        </w:rPr>
        <w:footnoteRef/>
      </w:r>
      <w:r>
        <w:t xml:space="preserve"> Datu avots: Valsts sociālās apdrošināšanas aģentūras statistikas dati par 2017.gadu.</w:t>
      </w:r>
    </w:p>
  </w:footnote>
  <w:footnote w:id="4">
    <w:p w:rsidR="00B5560A" w:rsidRDefault="00B5560A" w:rsidP="00C40FA7">
      <w:pPr>
        <w:pStyle w:val="FootnoteText"/>
      </w:pPr>
      <w:r>
        <w:rPr>
          <w:rStyle w:val="FootnoteReference"/>
        </w:rPr>
        <w:footnoteRef/>
      </w:r>
      <w:r>
        <w:t xml:space="preserve"> Datu avots: Valsts sociālās apdrošināšanas aģentūras statistikas dati par 2017.gadu.</w:t>
      </w:r>
    </w:p>
  </w:footnote>
  <w:footnote w:id="5">
    <w:p w:rsidR="00B5560A" w:rsidRDefault="00B5560A" w:rsidP="00311A18">
      <w:pPr>
        <w:pStyle w:val="FootnoteText"/>
      </w:pPr>
      <w:r>
        <w:rPr>
          <w:rStyle w:val="FootnoteReference"/>
        </w:rPr>
        <w:footnoteRef/>
      </w:r>
      <w:r>
        <w:t xml:space="preserve"> Centrālā statistikas pārvalde „Demogrāfija 2017”, </w:t>
      </w:r>
      <w:r w:rsidRPr="00AA4A6F">
        <w:t>http://www.csb.gov.lv/sites/default/files/nr_11_demografija_2017_17_00_lv_en.pdf</w:t>
      </w:r>
    </w:p>
  </w:footnote>
  <w:footnote w:id="6">
    <w:p w:rsidR="00B5560A" w:rsidRDefault="00B5560A" w:rsidP="008D0138">
      <w:pPr>
        <w:pStyle w:val="FootnoteText"/>
        <w:jc w:val="both"/>
      </w:pPr>
      <w:r>
        <w:rPr>
          <w:rStyle w:val="FootnoteReference"/>
        </w:rPr>
        <w:footnoteRef/>
      </w:r>
      <w:r>
        <w:t xml:space="preserve"> </w:t>
      </w:r>
      <w:r w:rsidRPr="003A3B38">
        <w:t xml:space="preserve">OECD (2018), OECD </w:t>
      </w:r>
      <w:proofErr w:type="spellStart"/>
      <w:r w:rsidRPr="003A3B38">
        <w:t>Reviews</w:t>
      </w:r>
      <w:proofErr w:type="spellEnd"/>
      <w:r w:rsidRPr="003A3B38">
        <w:t xml:space="preserve"> </w:t>
      </w:r>
      <w:proofErr w:type="spellStart"/>
      <w:r w:rsidRPr="003A3B38">
        <w:t>of</w:t>
      </w:r>
      <w:proofErr w:type="spellEnd"/>
      <w:r w:rsidRPr="003A3B38">
        <w:t xml:space="preserve"> </w:t>
      </w:r>
      <w:proofErr w:type="spellStart"/>
      <w:r w:rsidRPr="003A3B38">
        <w:t>Pension</w:t>
      </w:r>
      <w:proofErr w:type="spellEnd"/>
      <w:r w:rsidRPr="003A3B38">
        <w:t xml:space="preserve"> </w:t>
      </w:r>
      <w:proofErr w:type="spellStart"/>
      <w:r w:rsidRPr="003A3B38">
        <w:t>Systems</w:t>
      </w:r>
      <w:proofErr w:type="spellEnd"/>
      <w:r w:rsidRPr="003A3B38">
        <w:t xml:space="preserve">: </w:t>
      </w:r>
      <w:proofErr w:type="spellStart"/>
      <w:r w:rsidRPr="003A3B38">
        <w:t>Latvia</w:t>
      </w:r>
      <w:proofErr w:type="spellEnd"/>
      <w:r w:rsidRPr="003A3B38">
        <w:t xml:space="preserve">, OECD </w:t>
      </w:r>
      <w:proofErr w:type="spellStart"/>
      <w:r w:rsidRPr="003A3B38">
        <w:t>Publishing</w:t>
      </w:r>
      <w:proofErr w:type="spellEnd"/>
      <w:r w:rsidRPr="003A3B38">
        <w:t>, Paris</w:t>
      </w:r>
      <w:r>
        <w:t>,</w:t>
      </w:r>
    </w:p>
    <w:p w:rsidR="00B5560A" w:rsidRPr="0026427D" w:rsidRDefault="00B5560A" w:rsidP="008D0138">
      <w:pPr>
        <w:pStyle w:val="FootnoteText"/>
        <w:jc w:val="both"/>
        <w:rPr>
          <w:sz w:val="22"/>
        </w:rPr>
      </w:pPr>
      <w:r w:rsidRPr="0026427D">
        <w:rPr>
          <w:rFonts w:ascii="CaeciliaLTStd-Italic" w:eastAsiaTheme="minorHAnsi" w:hAnsi="CaeciliaLTStd-Italic" w:cs="CaeciliaLTStd-Italic"/>
          <w:i/>
          <w:iCs/>
          <w:sz w:val="18"/>
          <w:szCs w:val="16"/>
          <w:lang w:eastAsia="en-US"/>
        </w:rPr>
        <w:t>http://dx.doi.org/10.1787/9789264289390-en</w:t>
      </w:r>
    </w:p>
  </w:footnote>
  <w:footnote w:id="7">
    <w:p w:rsidR="00B5560A" w:rsidRDefault="00B5560A">
      <w:pPr>
        <w:pStyle w:val="FootnoteText"/>
      </w:pPr>
      <w:r>
        <w:rPr>
          <w:rStyle w:val="FootnoteReference"/>
        </w:rPr>
        <w:footnoteRef/>
      </w:r>
      <w:r>
        <w:t xml:space="preserve"> Atbilstoši 2017.gada 12 mēnešu valsts budžeta analīzei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0A" w:rsidRDefault="00B5560A" w:rsidP="00FF18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60A" w:rsidRDefault="00B5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0A" w:rsidRDefault="00B5560A" w:rsidP="00FF18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C8B">
      <w:rPr>
        <w:rStyle w:val="PageNumber"/>
        <w:noProof/>
      </w:rPr>
      <w:t>16</w:t>
    </w:r>
    <w:r>
      <w:rPr>
        <w:rStyle w:val="PageNumber"/>
      </w:rPr>
      <w:fldChar w:fldCharType="end"/>
    </w:r>
  </w:p>
  <w:p w:rsidR="00B5560A" w:rsidRDefault="00B5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018"/>
    <w:multiLevelType w:val="hybridMultilevel"/>
    <w:tmpl w:val="F082372A"/>
    <w:lvl w:ilvl="0" w:tplc="04260001">
      <w:start w:val="1"/>
      <w:numFmt w:val="bullet"/>
      <w:lvlText w:val=""/>
      <w:lvlJc w:val="left"/>
      <w:pPr>
        <w:tabs>
          <w:tab w:val="num" w:pos="1077"/>
        </w:tabs>
        <w:ind w:left="1077" w:hanging="360"/>
      </w:pPr>
      <w:rPr>
        <w:rFonts w:ascii="Symbol" w:hAnsi="Symbol" w:hint="default"/>
      </w:rPr>
    </w:lvl>
    <w:lvl w:ilvl="1" w:tplc="04260003" w:tentative="1">
      <w:start w:val="1"/>
      <w:numFmt w:val="bullet"/>
      <w:lvlText w:val="o"/>
      <w:lvlJc w:val="left"/>
      <w:pPr>
        <w:tabs>
          <w:tab w:val="num" w:pos="1797"/>
        </w:tabs>
        <w:ind w:left="1797" w:hanging="360"/>
      </w:pPr>
      <w:rPr>
        <w:rFonts w:ascii="Courier New" w:hAnsi="Courier New" w:cs="Courier New" w:hint="default"/>
      </w:rPr>
    </w:lvl>
    <w:lvl w:ilvl="2" w:tplc="04260005" w:tentative="1">
      <w:start w:val="1"/>
      <w:numFmt w:val="bullet"/>
      <w:lvlText w:val=""/>
      <w:lvlJc w:val="left"/>
      <w:pPr>
        <w:tabs>
          <w:tab w:val="num" w:pos="2517"/>
        </w:tabs>
        <w:ind w:left="2517" w:hanging="360"/>
      </w:pPr>
      <w:rPr>
        <w:rFonts w:ascii="Wingdings" w:hAnsi="Wingdings" w:hint="default"/>
      </w:rPr>
    </w:lvl>
    <w:lvl w:ilvl="3" w:tplc="04260001" w:tentative="1">
      <w:start w:val="1"/>
      <w:numFmt w:val="bullet"/>
      <w:lvlText w:val=""/>
      <w:lvlJc w:val="left"/>
      <w:pPr>
        <w:tabs>
          <w:tab w:val="num" w:pos="3237"/>
        </w:tabs>
        <w:ind w:left="3237" w:hanging="360"/>
      </w:pPr>
      <w:rPr>
        <w:rFonts w:ascii="Symbol" w:hAnsi="Symbol" w:hint="default"/>
      </w:rPr>
    </w:lvl>
    <w:lvl w:ilvl="4" w:tplc="04260003" w:tentative="1">
      <w:start w:val="1"/>
      <w:numFmt w:val="bullet"/>
      <w:lvlText w:val="o"/>
      <w:lvlJc w:val="left"/>
      <w:pPr>
        <w:tabs>
          <w:tab w:val="num" w:pos="3957"/>
        </w:tabs>
        <w:ind w:left="3957" w:hanging="360"/>
      </w:pPr>
      <w:rPr>
        <w:rFonts w:ascii="Courier New" w:hAnsi="Courier New" w:cs="Courier New" w:hint="default"/>
      </w:rPr>
    </w:lvl>
    <w:lvl w:ilvl="5" w:tplc="04260005" w:tentative="1">
      <w:start w:val="1"/>
      <w:numFmt w:val="bullet"/>
      <w:lvlText w:val=""/>
      <w:lvlJc w:val="left"/>
      <w:pPr>
        <w:tabs>
          <w:tab w:val="num" w:pos="4677"/>
        </w:tabs>
        <w:ind w:left="4677" w:hanging="360"/>
      </w:pPr>
      <w:rPr>
        <w:rFonts w:ascii="Wingdings" w:hAnsi="Wingdings" w:hint="default"/>
      </w:rPr>
    </w:lvl>
    <w:lvl w:ilvl="6" w:tplc="04260001" w:tentative="1">
      <w:start w:val="1"/>
      <w:numFmt w:val="bullet"/>
      <w:lvlText w:val=""/>
      <w:lvlJc w:val="left"/>
      <w:pPr>
        <w:tabs>
          <w:tab w:val="num" w:pos="5397"/>
        </w:tabs>
        <w:ind w:left="5397" w:hanging="360"/>
      </w:pPr>
      <w:rPr>
        <w:rFonts w:ascii="Symbol" w:hAnsi="Symbol" w:hint="default"/>
      </w:rPr>
    </w:lvl>
    <w:lvl w:ilvl="7" w:tplc="04260003" w:tentative="1">
      <w:start w:val="1"/>
      <w:numFmt w:val="bullet"/>
      <w:lvlText w:val="o"/>
      <w:lvlJc w:val="left"/>
      <w:pPr>
        <w:tabs>
          <w:tab w:val="num" w:pos="6117"/>
        </w:tabs>
        <w:ind w:left="6117" w:hanging="360"/>
      </w:pPr>
      <w:rPr>
        <w:rFonts w:ascii="Courier New" w:hAnsi="Courier New" w:cs="Courier New" w:hint="default"/>
      </w:rPr>
    </w:lvl>
    <w:lvl w:ilvl="8" w:tplc="04260005" w:tentative="1">
      <w:start w:val="1"/>
      <w:numFmt w:val="bullet"/>
      <w:lvlText w:val=""/>
      <w:lvlJc w:val="left"/>
      <w:pPr>
        <w:tabs>
          <w:tab w:val="num" w:pos="6837"/>
        </w:tabs>
        <w:ind w:left="6837" w:hanging="360"/>
      </w:pPr>
      <w:rPr>
        <w:rFonts w:ascii="Wingdings" w:hAnsi="Wingdings" w:hint="default"/>
      </w:rPr>
    </w:lvl>
  </w:abstractNum>
  <w:abstractNum w:abstractNumId="1">
    <w:nsid w:val="28157941"/>
    <w:multiLevelType w:val="hybridMultilevel"/>
    <w:tmpl w:val="06601230"/>
    <w:lvl w:ilvl="0" w:tplc="03AE7D3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4D5B7355"/>
    <w:multiLevelType w:val="multilevel"/>
    <w:tmpl w:val="FFB2E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49E6A93"/>
    <w:multiLevelType w:val="hybridMultilevel"/>
    <w:tmpl w:val="B156E3FA"/>
    <w:lvl w:ilvl="0" w:tplc="0426000B">
      <w:start w:val="1"/>
      <w:numFmt w:val="bullet"/>
      <w:lvlText w:val=""/>
      <w:lvlJc w:val="left"/>
      <w:pPr>
        <w:ind w:left="1514" w:hanging="360"/>
      </w:pPr>
      <w:rPr>
        <w:rFonts w:ascii="Wingdings" w:hAnsi="Wingdings" w:hint="default"/>
      </w:rPr>
    </w:lvl>
    <w:lvl w:ilvl="1" w:tplc="04260003" w:tentative="1">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4">
    <w:nsid w:val="6B68337D"/>
    <w:multiLevelType w:val="hybridMultilevel"/>
    <w:tmpl w:val="88A0E0D0"/>
    <w:lvl w:ilvl="0" w:tplc="0688EEBE">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7FCD3EC5"/>
    <w:multiLevelType w:val="hybridMultilevel"/>
    <w:tmpl w:val="F7D4129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A7"/>
    <w:rsid w:val="00003790"/>
    <w:rsid w:val="00013003"/>
    <w:rsid w:val="0001453B"/>
    <w:rsid w:val="00016458"/>
    <w:rsid w:val="000251DA"/>
    <w:rsid w:val="0003315A"/>
    <w:rsid w:val="00034C32"/>
    <w:rsid w:val="00041368"/>
    <w:rsid w:val="00043775"/>
    <w:rsid w:val="00045021"/>
    <w:rsid w:val="00050441"/>
    <w:rsid w:val="0005065F"/>
    <w:rsid w:val="00051C61"/>
    <w:rsid w:val="000521AD"/>
    <w:rsid w:val="00057D2E"/>
    <w:rsid w:val="000631FA"/>
    <w:rsid w:val="00073F63"/>
    <w:rsid w:val="00082FCD"/>
    <w:rsid w:val="000852B7"/>
    <w:rsid w:val="00085402"/>
    <w:rsid w:val="00085C29"/>
    <w:rsid w:val="00086B42"/>
    <w:rsid w:val="00087B52"/>
    <w:rsid w:val="000910D7"/>
    <w:rsid w:val="000914AE"/>
    <w:rsid w:val="00093CF3"/>
    <w:rsid w:val="000958DF"/>
    <w:rsid w:val="000A0A43"/>
    <w:rsid w:val="000A4600"/>
    <w:rsid w:val="000B57A7"/>
    <w:rsid w:val="000B57D0"/>
    <w:rsid w:val="000C0120"/>
    <w:rsid w:val="000C7620"/>
    <w:rsid w:val="000D0439"/>
    <w:rsid w:val="000D0A47"/>
    <w:rsid w:val="000D1590"/>
    <w:rsid w:val="000D2757"/>
    <w:rsid w:val="000D7EB3"/>
    <w:rsid w:val="000E3E07"/>
    <w:rsid w:val="000E6C9D"/>
    <w:rsid w:val="000F2970"/>
    <w:rsid w:val="000F4D42"/>
    <w:rsid w:val="000F6B4A"/>
    <w:rsid w:val="00102775"/>
    <w:rsid w:val="00102835"/>
    <w:rsid w:val="00103265"/>
    <w:rsid w:val="00103B28"/>
    <w:rsid w:val="00106774"/>
    <w:rsid w:val="0011250A"/>
    <w:rsid w:val="00117DDF"/>
    <w:rsid w:val="001225BB"/>
    <w:rsid w:val="00123B64"/>
    <w:rsid w:val="00123C42"/>
    <w:rsid w:val="001251C0"/>
    <w:rsid w:val="00132C38"/>
    <w:rsid w:val="00136B3C"/>
    <w:rsid w:val="00145655"/>
    <w:rsid w:val="00146E5F"/>
    <w:rsid w:val="00150C8B"/>
    <w:rsid w:val="00152651"/>
    <w:rsid w:val="0015430F"/>
    <w:rsid w:val="00155211"/>
    <w:rsid w:val="00160473"/>
    <w:rsid w:val="00171268"/>
    <w:rsid w:val="0017149A"/>
    <w:rsid w:val="001742EC"/>
    <w:rsid w:val="00180E23"/>
    <w:rsid w:val="001877A1"/>
    <w:rsid w:val="0019570A"/>
    <w:rsid w:val="001A0666"/>
    <w:rsid w:val="001A2007"/>
    <w:rsid w:val="001A49F2"/>
    <w:rsid w:val="001A4F97"/>
    <w:rsid w:val="001B0C2A"/>
    <w:rsid w:val="001B5C66"/>
    <w:rsid w:val="001B73F2"/>
    <w:rsid w:val="001C011B"/>
    <w:rsid w:val="001D0915"/>
    <w:rsid w:val="001D3509"/>
    <w:rsid w:val="001D460C"/>
    <w:rsid w:val="001D4E6F"/>
    <w:rsid w:val="001D4F8C"/>
    <w:rsid w:val="001D66EF"/>
    <w:rsid w:val="001D6B38"/>
    <w:rsid w:val="001E6583"/>
    <w:rsid w:val="002025C4"/>
    <w:rsid w:val="00202820"/>
    <w:rsid w:val="00206195"/>
    <w:rsid w:val="002075AD"/>
    <w:rsid w:val="00214D11"/>
    <w:rsid w:val="00220916"/>
    <w:rsid w:val="00221E9F"/>
    <w:rsid w:val="00222BD6"/>
    <w:rsid w:val="00226973"/>
    <w:rsid w:val="002279EC"/>
    <w:rsid w:val="00227C20"/>
    <w:rsid w:val="002351EA"/>
    <w:rsid w:val="00244629"/>
    <w:rsid w:val="00244756"/>
    <w:rsid w:val="002465AC"/>
    <w:rsid w:val="0025319B"/>
    <w:rsid w:val="00255179"/>
    <w:rsid w:val="00255EE7"/>
    <w:rsid w:val="00260C0D"/>
    <w:rsid w:val="0026427D"/>
    <w:rsid w:val="00264BE9"/>
    <w:rsid w:val="00267834"/>
    <w:rsid w:val="00271E13"/>
    <w:rsid w:val="002727D5"/>
    <w:rsid w:val="00272F11"/>
    <w:rsid w:val="00273BB1"/>
    <w:rsid w:val="00277A72"/>
    <w:rsid w:val="00280692"/>
    <w:rsid w:val="00290C80"/>
    <w:rsid w:val="00291EA8"/>
    <w:rsid w:val="00292C7B"/>
    <w:rsid w:val="00295C2E"/>
    <w:rsid w:val="002A0203"/>
    <w:rsid w:val="002A0D7F"/>
    <w:rsid w:val="002A1BD1"/>
    <w:rsid w:val="002B1B6A"/>
    <w:rsid w:val="002B3D72"/>
    <w:rsid w:val="002B5232"/>
    <w:rsid w:val="002B7543"/>
    <w:rsid w:val="002B7C4C"/>
    <w:rsid w:val="002B7F5D"/>
    <w:rsid w:val="002C0859"/>
    <w:rsid w:val="002C2A57"/>
    <w:rsid w:val="002C4377"/>
    <w:rsid w:val="002C5CAA"/>
    <w:rsid w:val="002C72D7"/>
    <w:rsid w:val="002D091B"/>
    <w:rsid w:val="002D0FBC"/>
    <w:rsid w:val="002D2418"/>
    <w:rsid w:val="002E414E"/>
    <w:rsid w:val="002F1A31"/>
    <w:rsid w:val="00304010"/>
    <w:rsid w:val="003108B3"/>
    <w:rsid w:val="00311A18"/>
    <w:rsid w:val="00325132"/>
    <w:rsid w:val="003338A4"/>
    <w:rsid w:val="00335BFA"/>
    <w:rsid w:val="00337653"/>
    <w:rsid w:val="00344821"/>
    <w:rsid w:val="00344A68"/>
    <w:rsid w:val="00347F41"/>
    <w:rsid w:val="003578FA"/>
    <w:rsid w:val="00365AC6"/>
    <w:rsid w:val="00365BC5"/>
    <w:rsid w:val="00365E67"/>
    <w:rsid w:val="00366A99"/>
    <w:rsid w:val="003671D6"/>
    <w:rsid w:val="00371332"/>
    <w:rsid w:val="003770FD"/>
    <w:rsid w:val="00392694"/>
    <w:rsid w:val="00393F09"/>
    <w:rsid w:val="003A2114"/>
    <w:rsid w:val="003A3670"/>
    <w:rsid w:val="003A3B38"/>
    <w:rsid w:val="003A3C01"/>
    <w:rsid w:val="003A3DE6"/>
    <w:rsid w:val="003A76BA"/>
    <w:rsid w:val="003B1B9D"/>
    <w:rsid w:val="003B3271"/>
    <w:rsid w:val="003B42B6"/>
    <w:rsid w:val="003B518A"/>
    <w:rsid w:val="003B72BC"/>
    <w:rsid w:val="003C3FA5"/>
    <w:rsid w:val="003C7369"/>
    <w:rsid w:val="003D1C5A"/>
    <w:rsid w:val="003D22E1"/>
    <w:rsid w:val="003D2E11"/>
    <w:rsid w:val="003E12E1"/>
    <w:rsid w:val="003E5FDF"/>
    <w:rsid w:val="003F1980"/>
    <w:rsid w:val="003F66B5"/>
    <w:rsid w:val="003F7418"/>
    <w:rsid w:val="00405272"/>
    <w:rsid w:val="004149EE"/>
    <w:rsid w:val="00417035"/>
    <w:rsid w:val="004219BD"/>
    <w:rsid w:val="004220D5"/>
    <w:rsid w:val="00426F66"/>
    <w:rsid w:val="00431574"/>
    <w:rsid w:val="00432CEF"/>
    <w:rsid w:val="0043302D"/>
    <w:rsid w:val="00433C24"/>
    <w:rsid w:val="00436007"/>
    <w:rsid w:val="0043773F"/>
    <w:rsid w:val="004406B4"/>
    <w:rsid w:val="00444C27"/>
    <w:rsid w:val="00445425"/>
    <w:rsid w:val="00452B9D"/>
    <w:rsid w:val="00452DB7"/>
    <w:rsid w:val="004638D6"/>
    <w:rsid w:val="004672D6"/>
    <w:rsid w:val="0047156D"/>
    <w:rsid w:val="004724F1"/>
    <w:rsid w:val="00476D7E"/>
    <w:rsid w:val="0047789D"/>
    <w:rsid w:val="00482437"/>
    <w:rsid w:val="00483DE3"/>
    <w:rsid w:val="00493ADB"/>
    <w:rsid w:val="00493B2F"/>
    <w:rsid w:val="00497660"/>
    <w:rsid w:val="004A5697"/>
    <w:rsid w:val="004A7AE1"/>
    <w:rsid w:val="004A7E40"/>
    <w:rsid w:val="004B3CBF"/>
    <w:rsid w:val="004C2AFD"/>
    <w:rsid w:val="004C43AD"/>
    <w:rsid w:val="004C5BA8"/>
    <w:rsid w:val="004C6BDF"/>
    <w:rsid w:val="004D2E6B"/>
    <w:rsid w:val="004D2F15"/>
    <w:rsid w:val="004D601F"/>
    <w:rsid w:val="004E0AB0"/>
    <w:rsid w:val="004E19F0"/>
    <w:rsid w:val="004E235A"/>
    <w:rsid w:val="004E2E28"/>
    <w:rsid w:val="004E3383"/>
    <w:rsid w:val="004E4718"/>
    <w:rsid w:val="004E5D2E"/>
    <w:rsid w:val="004F00C0"/>
    <w:rsid w:val="004F0ACD"/>
    <w:rsid w:val="004F2C07"/>
    <w:rsid w:val="004F31A8"/>
    <w:rsid w:val="004F6366"/>
    <w:rsid w:val="00512F96"/>
    <w:rsid w:val="005135CC"/>
    <w:rsid w:val="005146C5"/>
    <w:rsid w:val="005206BC"/>
    <w:rsid w:val="00521B97"/>
    <w:rsid w:val="0052292A"/>
    <w:rsid w:val="00522DFF"/>
    <w:rsid w:val="00525ACD"/>
    <w:rsid w:val="00526569"/>
    <w:rsid w:val="00531678"/>
    <w:rsid w:val="00535DF3"/>
    <w:rsid w:val="00536FCB"/>
    <w:rsid w:val="00545C7C"/>
    <w:rsid w:val="0054688D"/>
    <w:rsid w:val="00550A89"/>
    <w:rsid w:val="00550DA1"/>
    <w:rsid w:val="00551BF0"/>
    <w:rsid w:val="005618ED"/>
    <w:rsid w:val="0056546D"/>
    <w:rsid w:val="00572EEC"/>
    <w:rsid w:val="00576062"/>
    <w:rsid w:val="00577C5D"/>
    <w:rsid w:val="00583219"/>
    <w:rsid w:val="0058365E"/>
    <w:rsid w:val="00591847"/>
    <w:rsid w:val="00591A84"/>
    <w:rsid w:val="005A0B6B"/>
    <w:rsid w:val="005A2BB6"/>
    <w:rsid w:val="005A5729"/>
    <w:rsid w:val="005A6459"/>
    <w:rsid w:val="005A69D6"/>
    <w:rsid w:val="005A6FCB"/>
    <w:rsid w:val="005B1AA5"/>
    <w:rsid w:val="005B2263"/>
    <w:rsid w:val="005B2B4B"/>
    <w:rsid w:val="005C2974"/>
    <w:rsid w:val="005E0804"/>
    <w:rsid w:val="005E3464"/>
    <w:rsid w:val="005F0731"/>
    <w:rsid w:val="005F11A9"/>
    <w:rsid w:val="005F5584"/>
    <w:rsid w:val="005F598A"/>
    <w:rsid w:val="006047DC"/>
    <w:rsid w:val="006108F0"/>
    <w:rsid w:val="00614310"/>
    <w:rsid w:val="00616E55"/>
    <w:rsid w:val="00617618"/>
    <w:rsid w:val="00617865"/>
    <w:rsid w:val="00617F87"/>
    <w:rsid w:val="00626B97"/>
    <w:rsid w:val="00626D6A"/>
    <w:rsid w:val="006302D8"/>
    <w:rsid w:val="00633934"/>
    <w:rsid w:val="006358C3"/>
    <w:rsid w:val="00643D03"/>
    <w:rsid w:val="006462B0"/>
    <w:rsid w:val="00655F02"/>
    <w:rsid w:val="00656093"/>
    <w:rsid w:val="00656961"/>
    <w:rsid w:val="00657C10"/>
    <w:rsid w:val="006609FB"/>
    <w:rsid w:val="0066492D"/>
    <w:rsid w:val="00666279"/>
    <w:rsid w:val="00667E8F"/>
    <w:rsid w:val="00677B5C"/>
    <w:rsid w:val="00680295"/>
    <w:rsid w:val="00690637"/>
    <w:rsid w:val="00691795"/>
    <w:rsid w:val="00692709"/>
    <w:rsid w:val="00693DA8"/>
    <w:rsid w:val="006A368E"/>
    <w:rsid w:val="006A3767"/>
    <w:rsid w:val="006A389C"/>
    <w:rsid w:val="006A3DEA"/>
    <w:rsid w:val="006A43CD"/>
    <w:rsid w:val="006A43D1"/>
    <w:rsid w:val="006A5394"/>
    <w:rsid w:val="006A59C7"/>
    <w:rsid w:val="006C14B3"/>
    <w:rsid w:val="006C1BB0"/>
    <w:rsid w:val="006C53ED"/>
    <w:rsid w:val="006C62EB"/>
    <w:rsid w:val="006D1174"/>
    <w:rsid w:val="006D40C2"/>
    <w:rsid w:val="006E110E"/>
    <w:rsid w:val="006E7373"/>
    <w:rsid w:val="006F17FC"/>
    <w:rsid w:val="006F2F2C"/>
    <w:rsid w:val="006F49AF"/>
    <w:rsid w:val="00701C20"/>
    <w:rsid w:val="00705DD7"/>
    <w:rsid w:val="00711CA2"/>
    <w:rsid w:val="007137C7"/>
    <w:rsid w:val="00716EDB"/>
    <w:rsid w:val="007206A0"/>
    <w:rsid w:val="00725188"/>
    <w:rsid w:val="0072571E"/>
    <w:rsid w:val="00725C26"/>
    <w:rsid w:val="0072729D"/>
    <w:rsid w:val="00731C30"/>
    <w:rsid w:val="00732ABA"/>
    <w:rsid w:val="00735D76"/>
    <w:rsid w:val="007401DC"/>
    <w:rsid w:val="00745D57"/>
    <w:rsid w:val="007508B7"/>
    <w:rsid w:val="00750D09"/>
    <w:rsid w:val="007525C5"/>
    <w:rsid w:val="0075356C"/>
    <w:rsid w:val="00760642"/>
    <w:rsid w:val="00761191"/>
    <w:rsid w:val="00766256"/>
    <w:rsid w:val="00770931"/>
    <w:rsid w:val="007806B5"/>
    <w:rsid w:val="00783221"/>
    <w:rsid w:val="00787D52"/>
    <w:rsid w:val="0079231A"/>
    <w:rsid w:val="00795DF3"/>
    <w:rsid w:val="0079771A"/>
    <w:rsid w:val="007B4185"/>
    <w:rsid w:val="007B548D"/>
    <w:rsid w:val="007C452F"/>
    <w:rsid w:val="007C6A68"/>
    <w:rsid w:val="007C7091"/>
    <w:rsid w:val="007D02C0"/>
    <w:rsid w:val="007D28E6"/>
    <w:rsid w:val="007D344D"/>
    <w:rsid w:val="007D5ABB"/>
    <w:rsid w:val="007F21DA"/>
    <w:rsid w:val="007F7820"/>
    <w:rsid w:val="007F7EB5"/>
    <w:rsid w:val="008009AA"/>
    <w:rsid w:val="0080360C"/>
    <w:rsid w:val="00803EDE"/>
    <w:rsid w:val="00806204"/>
    <w:rsid w:val="0081052F"/>
    <w:rsid w:val="00810812"/>
    <w:rsid w:val="00813BE4"/>
    <w:rsid w:val="0081595C"/>
    <w:rsid w:val="0081608E"/>
    <w:rsid w:val="00820598"/>
    <w:rsid w:val="00821B64"/>
    <w:rsid w:val="008259BF"/>
    <w:rsid w:val="008317AF"/>
    <w:rsid w:val="00840775"/>
    <w:rsid w:val="00843EF1"/>
    <w:rsid w:val="00852CD8"/>
    <w:rsid w:val="008554B7"/>
    <w:rsid w:val="00856A03"/>
    <w:rsid w:val="00867AD1"/>
    <w:rsid w:val="008751E1"/>
    <w:rsid w:val="00881F00"/>
    <w:rsid w:val="00884837"/>
    <w:rsid w:val="00885048"/>
    <w:rsid w:val="008874BF"/>
    <w:rsid w:val="00892440"/>
    <w:rsid w:val="00892575"/>
    <w:rsid w:val="00893EED"/>
    <w:rsid w:val="00895010"/>
    <w:rsid w:val="00895EFC"/>
    <w:rsid w:val="008961D2"/>
    <w:rsid w:val="008A0AA8"/>
    <w:rsid w:val="008A0BB4"/>
    <w:rsid w:val="008A157B"/>
    <w:rsid w:val="008A2BAC"/>
    <w:rsid w:val="008B561A"/>
    <w:rsid w:val="008B7994"/>
    <w:rsid w:val="008D0138"/>
    <w:rsid w:val="008D3FFE"/>
    <w:rsid w:val="008D4FF7"/>
    <w:rsid w:val="008D57CB"/>
    <w:rsid w:val="008E18BC"/>
    <w:rsid w:val="008E2054"/>
    <w:rsid w:val="008E25DC"/>
    <w:rsid w:val="008E4E50"/>
    <w:rsid w:val="008E5D8E"/>
    <w:rsid w:val="008E6551"/>
    <w:rsid w:val="008F0FC4"/>
    <w:rsid w:val="008F1A3A"/>
    <w:rsid w:val="008F4F4F"/>
    <w:rsid w:val="00901762"/>
    <w:rsid w:val="009020E7"/>
    <w:rsid w:val="009041DC"/>
    <w:rsid w:val="00905ACF"/>
    <w:rsid w:val="00906953"/>
    <w:rsid w:val="00906E2A"/>
    <w:rsid w:val="00910505"/>
    <w:rsid w:val="00914480"/>
    <w:rsid w:val="00915542"/>
    <w:rsid w:val="00915B2A"/>
    <w:rsid w:val="0091674B"/>
    <w:rsid w:val="00930514"/>
    <w:rsid w:val="00930ABC"/>
    <w:rsid w:val="0093474C"/>
    <w:rsid w:val="00936A2A"/>
    <w:rsid w:val="00936F7D"/>
    <w:rsid w:val="00944F6E"/>
    <w:rsid w:val="009474D7"/>
    <w:rsid w:val="0095102F"/>
    <w:rsid w:val="0095309A"/>
    <w:rsid w:val="009566E1"/>
    <w:rsid w:val="00960509"/>
    <w:rsid w:val="00961067"/>
    <w:rsid w:val="0096343C"/>
    <w:rsid w:val="00963CE9"/>
    <w:rsid w:val="00963DDB"/>
    <w:rsid w:val="0096626A"/>
    <w:rsid w:val="0097034B"/>
    <w:rsid w:val="00974AD4"/>
    <w:rsid w:val="00977E20"/>
    <w:rsid w:val="00982381"/>
    <w:rsid w:val="0098688C"/>
    <w:rsid w:val="009914CA"/>
    <w:rsid w:val="009924FB"/>
    <w:rsid w:val="009A27ED"/>
    <w:rsid w:val="009A396E"/>
    <w:rsid w:val="009A5222"/>
    <w:rsid w:val="009B2BFA"/>
    <w:rsid w:val="009B6AED"/>
    <w:rsid w:val="009C2C5B"/>
    <w:rsid w:val="009C7832"/>
    <w:rsid w:val="009D2B22"/>
    <w:rsid w:val="009D4DAF"/>
    <w:rsid w:val="009E12DB"/>
    <w:rsid w:val="009E1E8F"/>
    <w:rsid w:val="009F3C8A"/>
    <w:rsid w:val="00A0379B"/>
    <w:rsid w:val="00A05951"/>
    <w:rsid w:val="00A06008"/>
    <w:rsid w:val="00A10437"/>
    <w:rsid w:val="00A1471F"/>
    <w:rsid w:val="00A15B76"/>
    <w:rsid w:val="00A172B5"/>
    <w:rsid w:val="00A21892"/>
    <w:rsid w:val="00A23955"/>
    <w:rsid w:val="00A276A8"/>
    <w:rsid w:val="00A329A2"/>
    <w:rsid w:val="00A35349"/>
    <w:rsid w:val="00A35FF1"/>
    <w:rsid w:val="00A36FB6"/>
    <w:rsid w:val="00A43C76"/>
    <w:rsid w:val="00A44828"/>
    <w:rsid w:val="00A45CA8"/>
    <w:rsid w:val="00A4751A"/>
    <w:rsid w:val="00A52ECD"/>
    <w:rsid w:val="00A631E8"/>
    <w:rsid w:val="00A63471"/>
    <w:rsid w:val="00A705C7"/>
    <w:rsid w:val="00A7104F"/>
    <w:rsid w:val="00A72E00"/>
    <w:rsid w:val="00A75E4E"/>
    <w:rsid w:val="00A75F2F"/>
    <w:rsid w:val="00A80E85"/>
    <w:rsid w:val="00A81FA4"/>
    <w:rsid w:val="00A82F32"/>
    <w:rsid w:val="00A875CC"/>
    <w:rsid w:val="00A90CEE"/>
    <w:rsid w:val="00A919F9"/>
    <w:rsid w:val="00AA1DEC"/>
    <w:rsid w:val="00AA1EE9"/>
    <w:rsid w:val="00AA2728"/>
    <w:rsid w:val="00AA32DE"/>
    <w:rsid w:val="00AA4A6F"/>
    <w:rsid w:val="00AB077B"/>
    <w:rsid w:val="00AB0E17"/>
    <w:rsid w:val="00AC348C"/>
    <w:rsid w:val="00AC457A"/>
    <w:rsid w:val="00AC6541"/>
    <w:rsid w:val="00AC7928"/>
    <w:rsid w:val="00AD3A51"/>
    <w:rsid w:val="00AD536E"/>
    <w:rsid w:val="00AD5BC5"/>
    <w:rsid w:val="00AD60E5"/>
    <w:rsid w:val="00AE6084"/>
    <w:rsid w:val="00AF02AD"/>
    <w:rsid w:val="00AF266F"/>
    <w:rsid w:val="00AF3022"/>
    <w:rsid w:val="00AF7091"/>
    <w:rsid w:val="00B00B5A"/>
    <w:rsid w:val="00B018FC"/>
    <w:rsid w:val="00B01B60"/>
    <w:rsid w:val="00B03603"/>
    <w:rsid w:val="00B04FA4"/>
    <w:rsid w:val="00B07B26"/>
    <w:rsid w:val="00B1207B"/>
    <w:rsid w:val="00B12107"/>
    <w:rsid w:val="00B13681"/>
    <w:rsid w:val="00B14AEB"/>
    <w:rsid w:val="00B15573"/>
    <w:rsid w:val="00B17214"/>
    <w:rsid w:val="00B2593D"/>
    <w:rsid w:val="00B25B35"/>
    <w:rsid w:val="00B30971"/>
    <w:rsid w:val="00B30B35"/>
    <w:rsid w:val="00B32230"/>
    <w:rsid w:val="00B344B5"/>
    <w:rsid w:val="00B34B0F"/>
    <w:rsid w:val="00B35D6B"/>
    <w:rsid w:val="00B36396"/>
    <w:rsid w:val="00B37331"/>
    <w:rsid w:val="00B42ABF"/>
    <w:rsid w:val="00B436BB"/>
    <w:rsid w:val="00B50907"/>
    <w:rsid w:val="00B5315B"/>
    <w:rsid w:val="00B5560A"/>
    <w:rsid w:val="00B577B3"/>
    <w:rsid w:val="00B605AA"/>
    <w:rsid w:val="00B6124E"/>
    <w:rsid w:val="00B64EE4"/>
    <w:rsid w:val="00B67B26"/>
    <w:rsid w:val="00B71FE1"/>
    <w:rsid w:val="00B74A8D"/>
    <w:rsid w:val="00B74BF1"/>
    <w:rsid w:val="00B81339"/>
    <w:rsid w:val="00B81F18"/>
    <w:rsid w:val="00B86363"/>
    <w:rsid w:val="00B90114"/>
    <w:rsid w:val="00B91095"/>
    <w:rsid w:val="00B94D0B"/>
    <w:rsid w:val="00B964F4"/>
    <w:rsid w:val="00BA001D"/>
    <w:rsid w:val="00BB14C1"/>
    <w:rsid w:val="00BC31F6"/>
    <w:rsid w:val="00BC4ABD"/>
    <w:rsid w:val="00BC546C"/>
    <w:rsid w:val="00BD27F7"/>
    <w:rsid w:val="00BD30FC"/>
    <w:rsid w:val="00BD4F4F"/>
    <w:rsid w:val="00BD5216"/>
    <w:rsid w:val="00BE2272"/>
    <w:rsid w:val="00BE2883"/>
    <w:rsid w:val="00BE4007"/>
    <w:rsid w:val="00BF02C8"/>
    <w:rsid w:val="00BF0ADA"/>
    <w:rsid w:val="00BF1BD3"/>
    <w:rsid w:val="00BF5213"/>
    <w:rsid w:val="00C00854"/>
    <w:rsid w:val="00C02920"/>
    <w:rsid w:val="00C10CE7"/>
    <w:rsid w:val="00C12152"/>
    <w:rsid w:val="00C14FB3"/>
    <w:rsid w:val="00C1718F"/>
    <w:rsid w:val="00C20365"/>
    <w:rsid w:val="00C2386F"/>
    <w:rsid w:val="00C23E00"/>
    <w:rsid w:val="00C25484"/>
    <w:rsid w:val="00C2675B"/>
    <w:rsid w:val="00C26D28"/>
    <w:rsid w:val="00C30EE2"/>
    <w:rsid w:val="00C31E6A"/>
    <w:rsid w:val="00C32E58"/>
    <w:rsid w:val="00C37F27"/>
    <w:rsid w:val="00C40FA7"/>
    <w:rsid w:val="00C42A4B"/>
    <w:rsid w:val="00C434FB"/>
    <w:rsid w:val="00C463BC"/>
    <w:rsid w:val="00C5014E"/>
    <w:rsid w:val="00C6037A"/>
    <w:rsid w:val="00C6143C"/>
    <w:rsid w:val="00C625A5"/>
    <w:rsid w:val="00C62771"/>
    <w:rsid w:val="00C66CF1"/>
    <w:rsid w:val="00C717B1"/>
    <w:rsid w:val="00C71C6E"/>
    <w:rsid w:val="00C71F8A"/>
    <w:rsid w:val="00C72669"/>
    <w:rsid w:val="00C75757"/>
    <w:rsid w:val="00C76429"/>
    <w:rsid w:val="00C806AF"/>
    <w:rsid w:val="00C8157D"/>
    <w:rsid w:val="00C84088"/>
    <w:rsid w:val="00C84390"/>
    <w:rsid w:val="00C84EE4"/>
    <w:rsid w:val="00C874CB"/>
    <w:rsid w:val="00C91F19"/>
    <w:rsid w:val="00C9375A"/>
    <w:rsid w:val="00C943CA"/>
    <w:rsid w:val="00C957C1"/>
    <w:rsid w:val="00C97E67"/>
    <w:rsid w:val="00C97EBC"/>
    <w:rsid w:val="00CA1361"/>
    <w:rsid w:val="00CA4A6A"/>
    <w:rsid w:val="00CA4D3F"/>
    <w:rsid w:val="00CB17D9"/>
    <w:rsid w:val="00CB69AF"/>
    <w:rsid w:val="00CD1587"/>
    <w:rsid w:val="00CE052B"/>
    <w:rsid w:val="00CE3723"/>
    <w:rsid w:val="00CF16C4"/>
    <w:rsid w:val="00CF1BED"/>
    <w:rsid w:val="00D01646"/>
    <w:rsid w:val="00D03AFF"/>
    <w:rsid w:val="00D069C4"/>
    <w:rsid w:val="00D1117D"/>
    <w:rsid w:val="00D11A33"/>
    <w:rsid w:val="00D11CF6"/>
    <w:rsid w:val="00D12984"/>
    <w:rsid w:val="00D140F6"/>
    <w:rsid w:val="00D15C5B"/>
    <w:rsid w:val="00D20EB2"/>
    <w:rsid w:val="00D23AA1"/>
    <w:rsid w:val="00D32E0E"/>
    <w:rsid w:val="00D33271"/>
    <w:rsid w:val="00D33921"/>
    <w:rsid w:val="00D413DF"/>
    <w:rsid w:val="00D41E42"/>
    <w:rsid w:val="00D45456"/>
    <w:rsid w:val="00D5049E"/>
    <w:rsid w:val="00D50A53"/>
    <w:rsid w:val="00D53C15"/>
    <w:rsid w:val="00D53EF1"/>
    <w:rsid w:val="00D5525D"/>
    <w:rsid w:val="00D649A7"/>
    <w:rsid w:val="00D67D2E"/>
    <w:rsid w:val="00D71E7D"/>
    <w:rsid w:val="00D75E1E"/>
    <w:rsid w:val="00D7660B"/>
    <w:rsid w:val="00D81EBE"/>
    <w:rsid w:val="00D8494A"/>
    <w:rsid w:val="00D93AD9"/>
    <w:rsid w:val="00D94B6A"/>
    <w:rsid w:val="00D95F8B"/>
    <w:rsid w:val="00D9607E"/>
    <w:rsid w:val="00D97758"/>
    <w:rsid w:val="00DA0352"/>
    <w:rsid w:val="00DA4F10"/>
    <w:rsid w:val="00DB1312"/>
    <w:rsid w:val="00DB5AFC"/>
    <w:rsid w:val="00DC100F"/>
    <w:rsid w:val="00DC1716"/>
    <w:rsid w:val="00DC41D0"/>
    <w:rsid w:val="00DD36E2"/>
    <w:rsid w:val="00DE5F1B"/>
    <w:rsid w:val="00DE6432"/>
    <w:rsid w:val="00DF5B63"/>
    <w:rsid w:val="00DF5E56"/>
    <w:rsid w:val="00DF609F"/>
    <w:rsid w:val="00DF725A"/>
    <w:rsid w:val="00DF73C2"/>
    <w:rsid w:val="00E01043"/>
    <w:rsid w:val="00E026A1"/>
    <w:rsid w:val="00E03073"/>
    <w:rsid w:val="00E052C0"/>
    <w:rsid w:val="00E0601C"/>
    <w:rsid w:val="00E07025"/>
    <w:rsid w:val="00E14190"/>
    <w:rsid w:val="00E1523C"/>
    <w:rsid w:val="00E15D73"/>
    <w:rsid w:val="00E30D61"/>
    <w:rsid w:val="00E33221"/>
    <w:rsid w:val="00E40719"/>
    <w:rsid w:val="00E41EFF"/>
    <w:rsid w:val="00E42C10"/>
    <w:rsid w:val="00E44912"/>
    <w:rsid w:val="00E45EFC"/>
    <w:rsid w:val="00E471ED"/>
    <w:rsid w:val="00E47B83"/>
    <w:rsid w:val="00E47F3C"/>
    <w:rsid w:val="00E50004"/>
    <w:rsid w:val="00E53818"/>
    <w:rsid w:val="00E54352"/>
    <w:rsid w:val="00E55218"/>
    <w:rsid w:val="00E55B0C"/>
    <w:rsid w:val="00E55FA2"/>
    <w:rsid w:val="00E615B6"/>
    <w:rsid w:val="00E62F64"/>
    <w:rsid w:val="00E63D71"/>
    <w:rsid w:val="00E63DD6"/>
    <w:rsid w:val="00E6552A"/>
    <w:rsid w:val="00E73DA5"/>
    <w:rsid w:val="00E747D8"/>
    <w:rsid w:val="00E749E6"/>
    <w:rsid w:val="00E76268"/>
    <w:rsid w:val="00E846D2"/>
    <w:rsid w:val="00E93DFB"/>
    <w:rsid w:val="00E95284"/>
    <w:rsid w:val="00E956E5"/>
    <w:rsid w:val="00EA37B5"/>
    <w:rsid w:val="00EA7718"/>
    <w:rsid w:val="00EB46CC"/>
    <w:rsid w:val="00EC11A8"/>
    <w:rsid w:val="00ED2EEF"/>
    <w:rsid w:val="00ED38C0"/>
    <w:rsid w:val="00ED7571"/>
    <w:rsid w:val="00EE05D3"/>
    <w:rsid w:val="00EE7778"/>
    <w:rsid w:val="00F018EA"/>
    <w:rsid w:val="00F02475"/>
    <w:rsid w:val="00F04B39"/>
    <w:rsid w:val="00F055A1"/>
    <w:rsid w:val="00F06472"/>
    <w:rsid w:val="00F066F6"/>
    <w:rsid w:val="00F14FD3"/>
    <w:rsid w:val="00F150C5"/>
    <w:rsid w:val="00F16672"/>
    <w:rsid w:val="00F16F10"/>
    <w:rsid w:val="00F225BF"/>
    <w:rsid w:val="00F22A37"/>
    <w:rsid w:val="00F24CD6"/>
    <w:rsid w:val="00F30D68"/>
    <w:rsid w:val="00F3188C"/>
    <w:rsid w:val="00F32515"/>
    <w:rsid w:val="00F332A2"/>
    <w:rsid w:val="00F35D29"/>
    <w:rsid w:val="00F3793D"/>
    <w:rsid w:val="00F4165A"/>
    <w:rsid w:val="00F44D8F"/>
    <w:rsid w:val="00F47CE2"/>
    <w:rsid w:val="00F52110"/>
    <w:rsid w:val="00F5460A"/>
    <w:rsid w:val="00F54FE7"/>
    <w:rsid w:val="00F616ED"/>
    <w:rsid w:val="00F70E49"/>
    <w:rsid w:val="00F714D0"/>
    <w:rsid w:val="00F717B2"/>
    <w:rsid w:val="00F73DB1"/>
    <w:rsid w:val="00F76882"/>
    <w:rsid w:val="00F8027B"/>
    <w:rsid w:val="00F83298"/>
    <w:rsid w:val="00F853CF"/>
    <w:rsid w:val="00F864B5"/>
    <w:rsid w:val="00F8698D"/>
    <w:rsid w:val="00F942C8"/>
    <w:rsid w:val="00FA045E"/>
    <w:rsid w:val="00FA1C82"/>
    <w:rsid w:val="00FA2563"/>
    <w:rsid w:val="00FB099D"/>
    <w:rsid w:val="00FB5C1D"/>
    <w:rsid w:val="00FC588F"/>
    <w:rsid w:val="00FC625C"/>
    <w:rsid w:val="00FC7DB6"/>
    <w:rsid w:val="00FD0F03"/>
    <w:rsid w:val="00FD28F6"/>
    <w:rsid w:val="00FD334C"/>
    <w:rsid w:val="00FD4503"/>
    <w:rsid w:val="00FD4512"/>
    <w:rsid w:val="00FD6D78"/>
    <w:rsid w:val="00FE1A39"/>
    <w:rsid w:val="00FE4F1D"/>
    <w:rsid w:val="00FF11DA"/>
    <w:rsid w:val="00FF1868"/>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C40FA7"/>
    <w:pPr>
      <w:spacing w:before="100" w:beforeAutospacing="1" w:after="100" w:afterAutospacing="1"/>
      <w:jc w:val="both"/>
    </w:pPr>
    <w:rPr>
      <w:rFonts w:eastAsia="Arial Unicode MS"/>
      <w:lang w:val="en-GB" w:eastAsia="en-US"/>
    </w:rPr>
  </w:style>
  <w:style w:type="character" w:customStyle="1" w:styleId="naisfChar">
    <w:name w:val="naisf Char"/>
    <w:basedOn w:val="DefaultParagraphFont"/>
    <w:link w:val="naisf"/>
    <w:locked/>
    <w:rsid w:val="00C40FA7"/>
    <w:rPr>
      <w:rFonts w:ascii="Times New Roman" w:eastAsia="Arial Unicode MS" w:hAnsi="Times New Roman" w:cs="Times New Roman"/>
      <w:sz w:val="24"/>
      <w:szCs w:val="24"/>
      <w:lang w:val="en-GB"/>
    </w:rPr>
  </w:style>
  <w:style w:type="paragraph" w:styleId="NormalWeb">
    <w:name w:val="Normal (Web)"/>
    <w:aliases w:val="sākums"/>
    <w:basedOn w:val="Normal"/>
    <w:uiPriority w:val="99"/>
    <w:rsid w:val="00C40FA7"/>
    <w:pPr>
      <w:spacing w:before="100" w:beforeAutospacing="1" w:after="100" w:afterAutospacing="1"/>
    </w:pPr>
  </w:style>
  <w:style w:type="character" w:styleId="Emphasis">
    <w:name w:val="Emphasis"/>
    <w:basedOn w:val="DefaultParagraphFont"/>
    <w:qFormat/>
    <w:rsid w:val="00C40FA7"/>
    <w:rPr>
      <w:i/>
      <w:iCs/>
    </w:rPr>
  </w:style>
  <w:style w:type="character" w:styleId="Strong">
    <w:name w:val="Strong"/>
    <w:basedOn w:val="DefaultParagraphFont"/>
    <w:uiPriority w:val="22"/>
    <w:qFormat/>
    <w:rsid w:val="00C40FA7"/>
    <w:rPr>
      <w:b/>
      <w:bCs/>
    </w:rPr>
  </w:style>
  <w:style w:type="paragraph" w:styleId="Header">
    <w:name w:val="header"/>
    <w:basedOn w:val="Normal"/>
    <w:link w:val="HeaderChar"/>
    <w:rsid w:val="00C40FA7"/>
    <w:pPr>
      <w:tabs>
        <w:tab w:val="center" w:pos="4153"/>
        <w:tab w:val="right" w:pos="8306"/>
      </w:tabs>
    </w:pPr>
  </w:style>
  <w:style w:type="character" w:customStyle="1" w:styleId="HeaderChar">
    <w:name w:val="Header Char"/>
    <w:basedOn w:val="DefaultParagraphFont"/>
    <w:link w:val="Header"/>
    <w:rsid w:val="00C40FA7"/>
    <w:rPr>
      <w:rFonts w:ascii="Times New Roman" w:eastAsia="Times New Roman" w:hAnsi="Times New Roman" w:cs="Times New Roman"/>
      <w:sz w:val="24"/>
      <w:szCs w:val="24"/>
      <w:lang w:eastAsia="lv-LV"/>
    </w:rPr>
  </w:style>
  <w:style w:type="character" w:styleId="PageNumber">
    <w:name w:val="page number"/>
    <w:basedOn w:val="DefaultParagraphFont"/>
    <w:rsid w:val="00C40FA7"/>
  </w:style>
  <w:style w:type="paragraph" w:styleId="Footer">
    <w:name w:val="footer"/>
    <w:basedOn w:val="Normal"/>
    <w:link w:val="FooterChar"/>
    <w:rsid w:val="00C40FA7"/>
    <w:pPr>
      <w:tabs>
        <w:tab w:val="center" w:pos="4153"/>
        <w:tab w:val="right" w:pos="8306"/>
      </w:tabs>
    </w:pPr>
  </w:style>
  <w:style w:type="character" w:customStyle="1" w:styleId="FooterChar">
    <w:name w:val="Footer Char"/>
    <w:basedOn w:val="DefaultParagraphFont"/>
    <w:link w:val="Footer"/>
    <w:rsid w:val="00C40FA7"/>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40FA7"/>
    <w:rPr>
      <w:sz w:val="20"/>
      <w:szCs w:val="20"/>
    </w:rPr>
  </w:style>
  <w:style w:type="character" w:customStyle="1" w:styleId="FootnoteTextChar">
    <w:name w:val="Footnote Text Char"/>
    <w:basedOn w:val="DefaultParagraphFont"/>
    <w:link w:val="FootnoteText"/>
    <w:semiHidden/>
    <w:rsid w:val="00C40FA7"/>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C40FA7"/>
    <w:rPr>
      <w:vertAlign w:val="superscript"/>
    </w:rPr>
  </w:style>
  <w:style w:type="paragraph" w:styleId="ListParagraph">
    <w:name w:val="List Paragraph"/>
    <w:basedOn w:val="Normal"/>
    <w:uiPriority w:val="34"/>
    <w:qFormat/>
    <w:rsid w:val="00C40FA7"/>
    <w:pPr>
      <w:ind w:left="720"/>
      <w:contextualSpacing/>
    </w:pPr>
  </w:style>
  <w:style w:type="paragraph" w:styleId="BodyText">
    <w:name w:val="Body Text"/>
    <w:basedOn w:val="Normal"/>
    <w:link w:val="BodyTextChar"/>
    <w:uiPriority w:val="99"/>
    <w:unhideWhenUsed/>
    <w:rsid w:val="00C40FA7"/>
    <w:pPr>
      <w:spacing w:after="120"/>
    </w:pPr>
    <w:rPr>
      <w:lang w:val="en-GB" w:eastAsia="en-US"/>
    </w:rPr>
  </w:style>
  <w:style w:type="character" w:customStyle="1" w:styleId="BodyTextChar">
    <w:name w:val="Body Text Char"/>
    <w:basedOn w:val="DefaultParagraphFont"/>
    <w:link w:val="BodyText"/>
    <w:uiPriority w:val="99"/>
    <w:rsid w:val="00C40FA7"/>
    <w:rPr>
      <w:rFonts w:ascii="Times New Roman" w:eastAsia="Times New Roman" w:hAnsi="Times New Roman" w:cs="Times New Roman"/>
      <w:sz w:val="24"/>
      <w:szCs w:val="24"/>
      <w:lang w:val="en-GB"/>
    </w:rPr>
  </w:style>
  <w:style w:type="table" w:styleId="TableGrid">
    <w:name w:val="Table Grid"/>
    <w:basedOn w:val="TableNormal"/>
    <w:uiPriority w:val="59"/>
    <w:rsid w:val="00C4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A7"/>
    <w:rPr>
      <w:rFonts w:ascii="Tahoma" w:hAnsi="Tahoma" w:cs="Tahoma"/>
      <w:sz w:val="16"/>
      <w:szCs w:val="16"/>
    </w:rPr>
  </w:style>
  <w:style w:type="character" w:customStyle="1" w:styleId="BalloonTextChar">
    <w:name w:val="Balloon Text Char"/>
    <w:basedOn w:val="DefaultParagraphFont"/>
    <w:link w:val="BalloonText"/>
    <w:uiPriority w:val="99"/>
    <w:semiHidden/>
    <w:rsid w:val="00C40FA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1052F"/>
    <w:rPr>
      <w:sz w:val="16"/>
      <w:szCs w:val="16"/>
    </w:rPr>
  </w:style>
  <w:style w:type="paragraph" w:styleId="CommentText">
    <w:name w:val="annotation text"/>
    <w:basedOn w:val="Normal"/>
    <w:link w:val="CommentTextChar"/>
    <w:uiPriority w:val="99"/>
    <w:semiHidden/>
    <w:unhideWhenUsed/>
    <w:rsid w:val="0081052F"/>
    <w:rPr>
      <w:sz w:val="20"/>
      <w:szCs w:val="20"/>
    </w:rPr>
  </w:style>
  <w:style w:type="character" w:customStyle="1" w:styleId="CommentTextChar">
    <w:name w:val="Comment Text Char"/>
    <w:basedOn w:val="DefaultParagraphFont"/>
    <w:link w:val="CommentText"/>
    <w:uiPriority w:val="99"/>
    <w:semiHidden/>
    <w:rsid w:val="008105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052F"/>
    <w:rPr>
      <w:b/>
      <w:bCs/>
    </w:rPr>
  </w:style>
  <w:style w:type="character" w:customStyle="1" w:styleId="CommentSubjectChar">
    <w:name w:val="Comment Subject Char"/>
    <w:basedOn w:val="CommentTextChar"/>
    <w:link w:val="CommentSubject"/>
    <w:uiPriority w:val="99"/>
    <w:semiHidden/>
    <w:rsid w:val="0081052F"/>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3A3C01"/>
    <w:rPr>
      <w:sz w:val="20"/>
      <w:szCs w:val="20"/>
    </w:rPr>
  </w:style>
  <w:style w:type="character" w:customStyle="1" w:styleId="EndnoteTextChar">
    <w:name w:val="Endnote Text Char"/>
    <w:basedOn w:val="DefaultParagraphFont"/>
    <w:link w:val="EndnoteText"/>
    <w:uiPriority w:val="99"/>
    <w:semiHidden/>
    <w:rsid w:val="003A3C01"/>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3A3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C40FA7"/>
    <w:pPr>
      <w:spacing w:before="100" w:beforeAutospacing="1" w:after="100" w:afterAutospacing="1"/>
      <w:jc w:val="both"/>
    </w:pPr>
    <w:rPr>
      <w:rFonts w:eastAsia="Arial Unicode MS"/>
      <w:lang w:val="en-GB" w:eastAsia="en-US"/>
    </w:rPr>
  </w:style>
  <w:style w:type="character" w:customStyle="1" w:styleId="naisfChar">
    <w:name w:val="naisf Char"/>
    <w:basedOn w:val="DefaultParagraphFont"/>
    <w:link w:val="naisf"/>
    <w:locked/>
    <w:rsid w:val="00C40FA7"/>
    <w:rPr>
      <w:rFonts w:ascii="Times New Roman" w:eastAsia="Arial Unicode MS" w:hAnsi="Times New Roman" w:cs="Times New Roman"/>
      <w:sz w:val="24"/>
      <w:szCs w:val="24"/>
      <w:lang w:val="en-GB"/>
    </w:rPr>
  </w:style>
  <w:style w:type="paragraph" w:styleId="NormalWeb">
    <w:name w:val="Normal (Web)"/>
    <w:aliases w:val="sākums"/>
    <w:basedOn w:val="Normal"/>
    <w:uiPriority w:val="99"/>
    <w:rsid w:val="00C40FA7"/>
    <w:pPr>
      <w:spacing w:before="100" w:beforeAutospacing="1" w:after="100" w:afterAutospacing="1"/>
    </w:pPr>
  </w:style>
  <w:style w:type="character" w:styleId="Emphasis">
    <w:name w:val="Emphasis"/>
    <w:basedOn w:val="DefaultParagraphFont"/>
    <w:qFormat/>
    <w:rsid w:val="00C40FA7"/>
    <w:rPr>
      <w:i/>
      <w:iCs/>
    </w:rPr>
  </w:style>
  <w:style w:type="character" w:styleId="Strong">
    <w:name w:val="Strong"/>
    <w:basedOn w:val="DefaultParagraphFont"/>
    <w:uiPriority w:val="22"/>
    <w:qFormat/>
    <w:rsid w:val="00C40FA7"/>
    <w:rPr>
      <w:b/>
      <w:bCs/>
    </w:rPr>
  </w:style>
  <w:style w:type="paragraph" w:styleId="Header">
    <w:name w:val="header"/>
    <w:basedOn w:val="Normal"/>
    <w:link w:val="HeaderChar"/>
    <w:rsid w:val="00C40FA7"/>
    <w:pPr>
      <w:tabs>
        <w:tab w:val="center" w:pos="4153"/>
        <w:tab w:val="right" w:pos="8306"/>
      </w:tabs>
    </w:pPr>
  </w:style>
  <w:style w:type="character" w:customStyle="1" w:styleId="HeaderChar">
    <w:name w:val="Header Char"/>
    <w:basedOn w:val="DefaultParagraphFont"/>
    <w:link w:val="Header"/>
    <w:rsid w:val="00C40FA7"/>
    <w:rPr>
      <w:rFonts w:ascii="Times New Roman" w:eastAsia="Times New Roman" w:hAnsi="Times New Roman" w:cs="Times New Roman"/>
      <w:sz w:val="24"/>
      <w:szCs w:val="24"/>
      <w:lang w:eastAsia="lv-LV"/>
    </w:rPr>
  </w:style>
  <w:style w:type="character" w:styleId="PageNumber">
    <w:name w:val="page number"/>
    <w:basedOn w:val="DefaultParagraphFont"/>
    <w:rsid w:val="00C40FA7"/>
  </w:style>
  <w:style w:type="paragraph" w:styleId="Footer">
    <w:name w:val="footer"/>
    <w:basedOn w:val="Normal"/>
    <w:link w:val="FooterChar"/>
    <w:rsid w:val="00C40FA7"/>
    <w:pPr>
      <w:tabs>
        <w:tab w:val="center" w:pos="4153"/>
        <w:tab w:val="right" w:pos="8306"/>
      </w:tabs>
    </w:pPr>
  </w:style>
  <w:style w:type="character" w:customStyle="1" w:styleId="FooterChar">
    <w:name w:val="Footer Char"/>
    <w:basedOn w:val="DefaultParagraphFont"/>
    <w:link w:val="Footer"/>
    <w:rsid w:val="00C40FA7"/>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40FA7"/>
    <w:rPr>
      <w:sz w:val="20"/>
      <w:szCs w:val="20"/>
    </w:rPr>
  </w:style>
  <w:style w:type="character" w:customStyle="1" w:styleId="FootnoteTextChar">
    <w:name w:val="Footnote Text Char"/>
    <w:basedOn w:val="DefaultParagraphFont"/>
    <w:link w:val="FootnoteText"/>
    <w:semiHidden/>
    <w:rsid w:val="00C40FA7"/>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C40FA7"/>
    <w:rPr>
      <w:vertAlign w:val="superscript"/>
    </w:rPr>
  </w:style>
  <w:style w:type="paragraph" w:styleId="ListParagraph">
    <w:name w:val="List Paragraph"/>
    <w:basedOn w:val="Normal"/>
    <w:uiPriority w:val="34"/>
    <w:qFormat/>
    <w:rsid w:val="00C40FA7"/>
    <w:pPr>
      <w:ind w:left="720"/>
      <w:contextualSpacing/>
    </w:pPr>
  </w:style>
  <w:style w:type="paragraph" w:styleId="BodyText">
    <w:name w:val="Body Text"/>
    <w:basedOn w:val="Normal"/>
    <w:link w:val="BodyTextChar"/>
    <w:uiPriority w:val="99"/>
    <w:unhideWhenUsed/>
    <w:rsid w:val="00C40FA7"/>
    <w:pPr>
      <w:spacing w:after="120"/>
    </w:pPr>
    <w:rPr>
      <w:lang w:val="en-GB" w:eastAsia="en-US"/>
    </w:rPr>
  </w:style>
  <w:style w:type="character" w:customStyle="1" w:styleId="BodyTextChar">
    <w:name w:val="Body Text Char"/>
    <w:basedOn w:val="DefaultParagraphFont"/>
    <w:link w:val="BodyText"/>
    <w:uiPriority w:val="99"/>
    <w:rsid w:val="00C40FA7"/>
    <w:rPr>
      <w:rFonts w:ascii="Times New Roman" w:eastAsia="Times New Roman" w:hAnsi="Times New Roman" w:cs="Times New Roman"/>
      <w:sz w:val="24"/>
      <w:szCs w:val="24"/>
      <w:lang w:val="en-GB"/>
    </w:rPr>
  </w:style>
  <w:style w:type="table" w:styleId="TableGrid">
    <w:name w:val="Table Grid"/>
    <w:basedOn w:val="TableNormal"/>
    <w:uiPriority w:val="59"/>
    <w:rsid w:val="00C4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A7"/>
    <w:rPr>
      <w:rFonts w:ascii="Tahoma" w:hAnsi="Tahoma" w:cs="Tahoma"/>
      <w:sz w:val="16"/>
      <w:szCs w:val="16"/>
    </w:rPr>
  </w:style>
  <w:style w:type="character" w:customStyle="1" w:styleId="BalloonTextChar">
    <w:name w:val="Balloon Text Char"/>
    <w:basedOn w:val="DefaultParagraphFont"/>
    <w:link w:val="BalloonText"/>
    <w:uiPriority w:val="99"/>
    <w:semiHidden/>
    <w:rsid w:val="00C40FA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1052F"/>
    <w:rPr>
      <w:sz w:val="16"/>
      <w:szCs w:val="16"/>
    </w:rPr>
  </w:style>
  <w:style w:type="paragraph" w:styleId="CommentText">
    <w:name w:val="annotation text"/>
    <w:basedOn w:val="Normal"/>
    <w:link w:val="CommentTextChar"/>
    <w:uiPriority w:val="99"/>
    <w:semiHidden/>
    <w:unhideWhenUsed/>
    <w:rsid w:val="0081052F"/>
    <w:rPr>
      <w:sz w:val="20"/>
      <w:szCs w:val="20"/>
    </w:rPr>
  </w:style>
  <w:style w:type="character" w:customStyle="1" w:styleId="CommentTextChar">
    <w:name w:val="Comment Text Char"/>
    <w:basedOn w:val="DefaultParagraphFont"/>
    <w:link w:val="CommentText"/>
    <w:uiPriority w:val="99"/>
    <w:semiHidden/>
    <w:rsid w:val="008105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052F"/>
    <w:rPr>
      <w:b/>
      <w:bCs/>
    </w:rPr>
  </w:style>
  <w:style w:type="character" w:customStyle="1" w:styleId="CommentSubjectChar">
    <w:name w:val="Comment Subject Char"/>
    <w:basedOn w:val="CommentTextChar"/>
    <w:link w:val="CommentSubject"/>
    <w:uiPriority w:val="99"/>
    <w:semiHidden/>
    <w:rsid w:val="0081052F"/>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3A3C01"/>
    <w:rPr>
      <w:sz w:val="20"/>
      <w:szCs w:val="20"/>
    </w:rPr>
  </w:style>
  <w:style w:type="character" w:customStyle="1" w:styleId="EndnoteTextChar">
    <w:name w:val="Endnote Text Char"/>
    <w:basedOn w:val="DefaultParagraphFont"/>
    <w:link w:val="EndnoteText"/>
    <w:uiPriority w:val="99"/>
    <w:semiHidden/>
    <w:rsid w:val="003A3C01"/>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3A3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761">
      <w:bodyDiv w:val="1"/>
      <w:marLeft w:val="0"/>
      <w:marRight w:val="0"/>
      <w:marTop w:val="0"/>
      <w:marBottom w:val="0"/>
      <w:divBdr>
        <w:top w:val="none" w:sz="0" w:space="0" w:color="auto"/>
        <w:left w:val="none" w:sz="0" w:space="0" w:color="auto"/>
        <w:bottom w:val="none" w:sz="0" w:space="0" w:color="auto"/>
        <w:right w:val="none" w:sz="0" w:space="0" w:color="auto"/>
      </w:divBdr>
    </w:div>
    <w:div w:id="96606756">
      <w:bodyDiv w:val="1"/>
      <w:marLeft w:val="0"/>
      <w:marRight w:val="0"/>
      <w:marTop w:val="0"/>
      <w:marBottom w:val="0"/>
      <w:divBdr>
        <w:top w:val="none" w:sz="0" w:space="0" w:color="auto"/>
        <w:left w:val="none" w:sz="0" w:space="0" w:color="auto"/>
        <w:bottom w:val="none" w:sz="0" w:space="0" w:color="auto"/>
        <w:right w:val="none" w:sz="0" w:space="0" w:color="auto"/>
      </w:divBdr>
    </w:div>
    <w:div w:id="145367067">
      <w:bodyDiv w:val="1"/>
      <w:marLeft w:val="0"/>
      <w:marRight w:val="0"/>
      <w:marTop w:val="0"/>
      <w:marBottom w:val="0"/>
      <w:divBdr>
        <w:top w:val="none" w:sz="0" w:space="0" w:color="auto"/>
        <w:left w:val="none" w:sz="0" w:space="0" w:color="auto"/>
        <w:bottom w:val="none" w:sz="0" w:space="0" w:color="auto"/>
        <w:right w:val="none" w:sz="0" w:space="0" w:color="auto"/>
      </w:divBdr>
    </w:div>
    <w:div w:id="562983139">
      <w:bodyDiv w:val="1"/>
      <w:marLeft w:val="0"/>
      <w:marRight w:val="0"/>
      <w:marTop w:val="0"/>
      <w:marBottom w:val="0"/>
      <w:divBdr>
        <w:top w:val="none" w:sz="0" w:space="0" w:color="auto"/>
        <w:left w:val="none" w:sz="0" w:space="0" w:color="auto"/>
        <w:bottom w:val="none" w:sz="0" w:space="0" w:color="auto"/>
        <w:right w:val="none" w:sz="0" w:space="0" w:color="auto"/>
      </w:divBdr>
    </w:div>
    <w:div w:id="15677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dra.stabina\Documents\2017_gads\Info_zinojumi\Pensiju_zinojums_MK\Darba_materiali\LM_soc-apdr_vid-men_2008-201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i="0" baseline="0">
                <a:effectLst/>
              </a:rPr>
              <a:t>O</a:t>
            </a:r>
            <a:r>
              <a:rPr lang="en-US" sz="1200" b="1" i="0" baseline="0">
                <a:effectLst/>
              </a:rPr>
              <a:t>bligāti sociāli apdrošināt</a:t>
            </a:r>
            <a:r>
              <a:rPr lang="lv-LV" sz="1200" b="1" i="0" baseline="0">
                <a:effectLst/>
              </a:rPr>
              <a:t>o</a:t>
            </a:r>
            <a:r>
              <a:rPr lang="en-US" sz="1200" b="1" i="0" baseline="0">
                <a:effectLst/>
              </a:rPr>
              <a:t> person</a:t>
            </a:r>
            <a:r>
              <a:rPr lang="lv-LV" sz="1200" b="1" i="0" baseline="0">
                <a:effectLst/>
              </a:rPr>
              <a:t>u skaita* un vidējā apdrošināšanas iemaksu algas dinamika </a:t>
            </a:r>
            <a:endParaRPr lang="lv-LV" sz="1200">
              <a:effectLst/>
            </a:endParaRPr>
          </a:p>
        </c:rich>
      </c:tx>
      <c:overlay val="0"/>
    </c:title>
    <c:autoTitleDeleted val="0"/>
    <c:plotArea>
      <c:layout>
        <c:manualLayout>
          <c:layoutTarget val="inner"/>
          <c:xMode val="edge"/>
          <c:yMode val="edge"/>
          <c:x val="0.12814659635435477"/>
          <c:y val="0.20192766638994405"/>
          <c:w val="0.76137253485516143"/>
          <c:h val="0.50960596379126732"/>
        </c:manualLayout>
      </c:layout>
      <c:barChart>
        <c:barDir val="col"/>
        <c:grouping val="clustered"/>
        <c:varyColors val="0"/>
        <c:ser>
          <c:idx val="1"/>
          <c:order val="1"/>
          <c:tx>
            <c:strRef>
              <c:f>Sheet1!$B$52</c:f>
              <c:strCache>
                <c:ptCount val="1"/>
                <c:pt idx="0">
                  <c:v>Obligāti sociāli apdrošinātās personas, tūkst. vidēji gadā</c:v>
                </c:pt>
              </c:strCache>
            </c:strRef>
          </c:tx>
          <c:invertIfNegative val="0"/>
          <c:cat>
            <c:strRef>
              <c:f>Sheet1!$C$50:$K$50</c:f>
              <c:strCache>
                <c:ptCount val="9"/>
                <c:pt idx="0">
                  <c:v>2008*</c:v>
                </c:pt>
                <c:pt idx="1">
                  <c:v>2009</c:v>
                </c:pt>
                <c:pt idx="2">
                  <c:v>2010</c:v>
                </c:pt>
                <c:pt idx="3">
                  <c:v>2011</c:v>
                </c:pt>
                <c:pt idx="4">
                  <c:v>2012</c:v>
                </c:pt>
                <c:pt idx="5">
                  <c:v>2013</c:v>
                </c:pt>
                <c:pt idx="6">
                  <c:v>2014*</c:v>
                </c:pt>
                <c:pt idx="7">
                  <c:v>2015</c:v>
                </c:pt>
                <c:pt idx="8">
                  <c:v>2016</c:v>
                </c:pt>
              </c:strCache>
            </c:strRef>
          </c:cat>
          <c:val>
            <c:numRef>
              <c:f>Sheet1!$C$52:$K$52</c:f>
              <c:numCache>
                <c:formatCode>0.0</c:formatCode>
                <c:ptCount val="9"/>
                <c:pt idx="0">
                  <c:v>949.15</c:v>
                </c:pt>
                <c:pt idx="1">
                  <c:v>810.76900000000001</c:v>
                </c:pt>
                <c:pt idx="2">
                  <c:v>750.11400000000003</c:v>
                </c:pt>
                <c:pt idx="3">
                  <c:v>778.67499999999995</c:v>
                </c:pt>
                <c:pt idx="4">
                  <c:v>808.94600000000003</c:v>
                </c:pt>
                <c:pt idx="5">
                  <c:v>832.06600000000003</c:v>
                </c:pt>
                <c:pt idx="6">
                  <c:v>847.84500000000003</c:v>
                </c:pt>
                <c:pt idx="7">
                  <c:v>854.66700000000003</c:v>
                </c:pt>
                <c:pt idx="8">
                  <c:v>855.971</c:v>
                </c:pt>
              </c:numCache>
            </c:numRef>
          </c:val>
        </c:ser>
        <c:dLbls>
          <c:showLegendKey val="0"/>
          <c:showVal val="0"/>
          <c:showCatName val="0"/>
          <c:showSerName val="0"/>
          <c:showPercent val="0"/>
          <c:showBubbleSize val="0"/>
        </c:dLbls>
        <c:gapWidth val="75"/>
        <c:overlap val="40"/>
        <c:axId val="180405760"/>
        <c:axId val="180407296"/>
      </c:barChart>
      <c:lineChart>
        <c:grouping val="standard"/>
        <c:varyColors val="0"/>
        <c:ser>
          <c:idx val="0"/>
          <c:order val="0"/>
          <c:tx>
            <c:strRef>
              <c:f>Sheet1!$B$51</c:f>
              <c:strCache>
                <c:ptCount val="1"/>
                <c:pt idx="0">
                  <c:v>Vidējā apdrošināšanas iemaksu alga obligāti sociāli apdroš.personām, EUR</c:v>
                </c:pt>
              </c:strCache>
            </c:strRef>
          </c:tx>
          <c:cat>
            <c:strRef>
              <c:f>Sheet1!$C$50:$K$50</c:f>
              <c:strCache>
                <c:ptCount val="9"/>
                <c:pt idx="0">
                  <c:v>2008*</c:v>
                </c:pt>
                <c:pt idx="1">
                  <c:v>2009</c:v>
                </c:pt>
                <c:pt idx="2">
                  <c:v>2010</c:v>
                </c:pt>
                <c:pt idx="3">
                  <c:v>2011</c:v>
                </c:pt>
                <c:pt idx="4">
                  <c:v>2012</c:v>
                </c:pt>
                <c:pt idx="5">
                  <c:v>2013</c:v>
                </c:pt>
                <c:pt idx="6">
                  <c:v>2014*</c:v>
                </c:pt>
                <c:pt idx="7">
                  <c:v>2015</c:v>
                </c:pt>
                <c:pt idx="8">
                  <c:v>2016</c:v>
                </c:pt>
              </c:strCache>
            </c:strRef>
          </c:cat>
          <c:val>
            <c:numRef>
              <c:f>Sheet1!$C$51:$K$51</c:f>
              <c:numCache>
                <c:formatCode>General</c:formatCode>
                <c:ptCount val="9"/>
                <c:pt idx="0">
                  <c:v>644.79999999999995</c:v>
                </c:pt>
                <c:pt idx="1">
                  <c:v>596.78</c:v>
                </c:pt>
                <c:pt idx="2">
                  <c:v>572.27</c:v>
                </c:pt>
                <c:pt idx="3">
                  <c:v>579.59</c:v>
                </c:pt>
                <c:pt idx="4">
                  <c:v>599.87</c:v>
                </c:pt>
                <c:pt idx="5">
                  <c:v>626.41</c:v>
                </c:pt>
                <c:pt idx="6">
                  <c:v>651.20000000000005</c:v>
                </c:pt>
                <c:pt idx="7">
                  <c:v>693.56</c:v>
                </c:pt>
                <c:pt idx="8">
                  <c:v>743.58</c:v>
                </c:pt>
              </c:numCache>
            </c:numRef>
          </c:val>
          <c:smooth val="0"/>
        </c:ser>
        <c:dLbls>
          <c:showLegendKey val="0"/>
          <c:showVal val="0"/>
          <c:showCatName val="0"/>
          <c:showSerName val="0"/>
          <c:showPercent val="0"/>
          <c:showBubbleSize val="0"/>
        </c:dLbls>
        <c:marker val="1"/>
        <c:smooth val="0"/>
        <c:axId val="185386112"/>
        <c:axId val="180434816"/>
      </c:lineChart>
      <c:catAx>
        <c:axId val="180405760"/>
        <c:scaling>
          <c:orientation val="minMax"/>
        </c:scaling>
        <c:delete val="0"/>
        <c:axPos val="b"/>
        <c:majorTickMark val="none"/>
        <c:minorTickMark val="none"/>
        <c:tickLblPos val="nextTo"/>
        <c:crossAx val="180407296"/>
        <c:crosses val="autoZero"/>
        <c:auto val="1"/>
        <c:lblAlgn val="ctr"/>
        <c:lblOffset val="100"/>
        <c:noMultiLvlLbl val="0"/>
      </c:catAx>
      <c:valAx>
        <c:axId val="180407296"/>
        <c:scaling>
          <c:orientation val="minMax"/>
        </c:scaling>
        <c:delete val="0"/>
        <c:axPos val="l"/>
        <c:majorGridlines/>
        <c:title>
          <c:tx>
            <c:rich>
              <a:bodyPr rot="-5400000" vert="horz"/>
              <a:lstStyle/>
              <a:p>
                <a:pPr>
                  <a:defRPr/>
                </a:pPr>
                <a:r>
                  <a:rPr lang="lv-LV"/>
                  <a:t>tūkst.pers.</a:t>
                </a:r>
              </a:p>
            </c:rich>
          </c:tx>
          <c:layout>
            <c:manualLayout>
              <c:xMode val="edge"/>
              <c:yMode val="edge"/>
              <c:x val="2.2426095820591234E-2"/>
              <c:y val="0.3593502888816214"/>
            </c:manualLayout>
          </c:layout>
          <c:overlay val="0"/>
        </c:title>
        <c:numFmt formatCode="0.0" sourceLinked="1"/>
        <c:majorTickMark val="none"/>
        <c:minorTickMark val="none"/>
        <c:tickLblPos val="nextTo"/>
        <c:crossAx val="180405760"/>
        <c:crosses val="autoZero"/>
        <c:crossBetween val="between"/>
      </c:valAx>
      <c:valAx>
        <c:axId val="180434816"/>
        <c:scaling>
          <c:orientation val="minMax"/>
        </c:scaling>
        <c:delete val="0"/>
        <c:axPos val="r"/>
        <c:title>
          <c:tx>
            <c:rich>
              <a:bodyPr rot="-5400000" vert="horz"/>
              <a:lstStyle/>
              <a:p>
                <a:pPr>
                  <a:defRPr/>
                </a:pPr>
                <a:r>
                  <a:rPr lang="lv-LV"/>
                  <a:t>EUR</a:t>
                </a:r>
              </a:p>
            </c:rich>
          </c:tx>
          <c:overlay val="0"/>
        </c:title>
        <c:numFmt formatCode="General" sourceLinked="1"/>
        <c:majorTickMark val="out"/>
        <c:minorTickMark val="none"/>
        <c:tickLblPos val="nextTo"/>
        <c:crossAx val="185386112"/>
        <c:crosses val="max"/>
        <c:crossBetween val="between"/>
      </c:valAx>
      <c:catAx>
        <c:axId val="185386112"/>
        <c:scaling>
          <c:orientation val="minMax"/>
        </c:scaling>
        <c:delete val="1"/>
        <c:axPos val="b"/>
        <c:majorTickMark val="out"/>
        <c:minorTickMark val="none"/>
        <c:tickLblPos val="nextTo"/>
        <c:crossAx val="180434816"/>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lv-LV" sz="1200" b="1" i="0" baseline="0">
                <a:effectLst/>
              </a:rPr>
              <a:t>Speciālā budžeta  ieņēmumi, izdevumi  un finansiālā bilance*, milj. EUR </a:t>
            </a:r>
            <a:endParaRPr lang="lv-LV" sz="1200">
              <a:effectLst/>
            </a:endParaRPr>
          </a:p>
        </c:rich>
      </c:tx>
      <c:overlay val="0"/>
    </c:title>
    <c:autoTitleDeleted val="0"/>
    <c:plotArea>
      <c:layout/>
      <c:barChart>
        <c:barDir val="col"/>
        <c:grouping val="clustered"/>
        <c:varyColors val="0"/>
        <c:ser>
          <c:idx val="0"/>
          <c:order val="0"/>
          <c:tx>
            <c:strRef>
              <c:f>uzkrājums!$A$5</c:f>
              <c:strCache>
                <c:ptCount val="1"/>
                <c:pt idx="0">
                  <c:v>ieņēmumi</c:v>
                </c:pt>
              </c:strCache>
            </c:strRef>
          </c:tx>
          <c:invertIfNegative val="0"/>
          <c:dPt>
            <c:idx val="10"/>
            <c:invertIfNegative val="0"/>
            <c:bubble3D val="0"/>
            <c:spPr>
              <a:ln>
                <a:solidFill>
                  <a:srgbClr val="0070C0"/>
                </a:solidFill>
                <a:prstDash val="sysDash"/>
              </a:ln>
            </c:spPr>
          </c:dPt>
          <c:cat>
            <c:numRef>
              <c:f>uzkrājums!$B$4:$N$4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uzkrājums!$B$5:$N$5</c:f>
              <c:numCache>
                <c:formatCode>#,##0</c:formatCode>
                <c:ptCount val="13"/>
                <c:pt idx="0">
                  <c:v>2050.5384061559125</c:v>
                </c:pt>
                <c:pt idx="1">
                  <c:v>1776.3996576570423</c:v>
                </c:pt>
                <c:pt idx="2">
                  <c:v>1676.2908293066062</c:v>
                </c:pt>
                <c:pt idx="3">
                  <c:v>1785.5142941702097</c:v>
                </c:pt>
                <c:pt idx="4">
                  <c:v>1924.6760120887191</c:v>
                </c:pt>
                <c:pt idx="5">
                  <c:v>2036.2561966067353</c:v>
                </c:pt>
                <c:pt idx="6">
                  <c:v>2222.1063290000002</c:v>
                </c:pt>
                <c:pt idx="7">
                  <c:v>2294.241043</c:v>
                </c:pt>
                <c:pt idx="8">
                  <c:v>2338.6118580000002</c:v>
                </c:pt>
                <c:pt idx="9" formatCode="#,##0.0">
                  <c:v>2504.1999999999998</c:v>
                </c:pt>
                <c:pt idx="10">
                  <c:v>2777.0818989999998</c:v>
                </c:pt>
                <c:pt idx="11">
                  <c:v>2935.1317210000002</c:v>
                </c:pt>
                <c:pt idx="12">
                  <c:v>3101.3799049999998</c:v>
                </c:pt>
              </c:numCache>
            </c:numRef>
          </c:val>
        </c:ser>
        <c:ser>
          <c:idx val="1"/>
          <c:order val="1"/>
          <c:tx>
            <c:strRef>
              <c:f>uzkrājums!$A$6</c:f>
              <c:strCache>
                <c:ptCount val="1"/>
                <c:pt idx="0">
                  <c:v>izdevumi</c:v>
                </c:pt>
              </c:strCache>
            </c:strRef>
          </c:tx>
          <c:spPr>
            <a:pattFill prst="dkUpDiag">
              <a:fgClr>
                <a:schemeClr val="accent2">
                  <a:lumMod val="75000"/>
                </a:schemeClr>
              </a:fgClr>
              <a:bgClr>
                <a:schemeClr val="bg1"/>
              </a:bgClr>
            </a:pattFill>
            <a:ln>
              <a:solidFill>
                <a:srgbClr val="C00000"/>
              </a:solidFill>
            </a:ln>
          </c:spPr>
          <c:invertIfNegative val="0"/>
          <c:dPt>
            <c:idx val="10"/>
            <c:invertIfNegative val="0"/>
            <c:bubble3D val="0"/>
            <c:spPr>
              <a:pattFill prst="dkUpDiag">
                <a:fgClr>
                  <a:schemeClr val="accent2">
                    <a:lumMod val="75000"/>
                  </a:schemeClr>
                </a:fgClr>
                <a:bgClr>
                  <a:schemeClr val="bg1"/>
                </a:bgClr>
              </a:pattFill>
              <a:ln>
                <a:solidFill>
                  <a:srgbClr val="C00000"/>
                </a:solidFill>
                <a:prstDash val="sysDash"/>
              </a:ln>
            </c:spPr>
          </c:dPt>
          <c:cat>
            <c:numRef>
              <c:f>uzkrājums!$B$4:$N$4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uzkrājums!$B$6:$N$6</c:f>
              <c:numCache>
                <c:formatCode>#,##0</c:formatCode>
                <c:ptCount val="13"/>
                <c:pt idx="0">
                  <c:v>1727.1319927035133</c:v>
                </c:pt>
                <c:pt idx="1">
                  <c:v>2079.4880749113554</c:v>
                </c:pt>
                <c:pt idx="2">
                  <c:v>2154.0411522985069</c:v>
                </c:pt>
                <c:pt idx="3">
                  <c:v>1963.1769824872938</c:v>
                </c:pt>
                <c:pt idx="4">
                  <c:v>1995.0797092788318</c:v>
                </c:pt>
                <c:pt idx="5">
                  <c:v>2094.1670792994919</c:v>
                </c:pt>
                <c:pt idx="6">
                  <c:v>2121.7545</c:v>
                </c:pt>
                <c:pt idx="7">
                  <c:v>2203.1090909999998</c:v>
                </c:pt>
                <c:pt idx="8">
                  <c:v>2290.7893939999999</c:v>
                </c:pt>
                <c:pt idx="9" formatCode="#,##0.0">
                  <c:v>2390.4</c:v>
                </c:pt>
                <c:pt idx="10">
                  <c:v>2651.1989359999998</c:v>
                </c:pt>
                <c:pt idx="11">
                  <c:v>2855.2234739999999</c:v>
                </c:pt>
                <c:pt idx="12">
                  <c:v>3032.767218</c:v>
                </c:pt>
              </c:numCache>
            </c:numRef>
          </c:val>
        </c:ser>
        <c:dLbls>
          <c:showLegendKey val="0"/>
          <c:showVal val="0"/>
          <c:showCatName val="0"/>
          <c:showSerName val="0"/>
          <c:showPercent val="0"/>
          <c:showBubbleSize val="0"/>
        </c:dLbls>
        <c:gapWidth val="150"/>
        <c:axId val="176240128"/>
        <c:axId val="176241664"/>
      </c:barChart>
      <c:lineChart>
        <c:grouping val="standard"/>
        <c:varyColors val="0"/>
        <c:ser>
          <c:idx val="2"/>
          <c:order val="2"/>
          <c:tx>
            <c:strRef>
              <c:f>uzkrājums!$A$7</c:f>
              <c:strCache>
                <c:ptCount val="1"/>
                <c:pt idx="0">
                  <c:v>finansiālā bilance</c:v>
                </c:pt>
              </c:strCache>
            </c:strRef>
          </c:tx>
          <c:spPr>
            <a:ln w="38100"/>
          </c:spPr>
          <c:marker>
            <c:spPr>
              <a:ln w="15875"/>
            </c:spPr>
          </c:marker>
          <c:dPt>
            <c:idx val="10"/>
            <c:bubble3D val="0"/>
            <c:spPr>
              <a:ln w="38100">
                <a:prstDash val="sysDot"/>
              </a:ln>
            </c:spPr>
          </c:dPt>
          <c:dPt>
            <c:idx val="11"/>
            <c:bubble3D val="0"/>
            <c:spPr>
              <a:ln w="38100">
                <a:prstDash val="sysDot"/>
              </a:ln>
            </c:spPr>
          </c:dPt>
          <c:dPt>
            <c:idx val="12"/>
            <c:bubble3D val="0"/>
            <c:spPr>
              <a:ln w="38100">
                <a:prstDash val="sysDot"/>
              </a:ln>
            </c:spPr>
          </c:dPt>
          <c:cat>
            <c:numRef>
              <c:f>uzkrājums!$B$4:$N$4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uzkrājums!$B$7:$N$7</c:f>
              <c:numCache>
                <c:formatCode>#,##0</c:formatCode>
                <c:ptCount val="13"/>
                <c:pt idx="0">
                  <c:v>323.40641345239919</c:v>
                </c:pt>
                <c:pt idx="1">
                  <c:v>-303.08841725431307</c:v>
                </c:pt>
                <c:pt idx="2">
                  <c:v>-477.7503229919007</c:v>
                </c:pt>
                <c:pt idx="3">
                  <c:v>-177.66268831708408</c:v>
                </c:pt>
                <c:pt idx="4">
                  <c:v>-70.40369719011278</c:v>
                </c:pt>
                <c:pt idx="5">
                  <c:v>-57.910882692756559</c:v>
                </c:pt>
                <c:pt idx="6">
                  <c:v>100.35182900000018</c:v>
                </c:pt>
                <c:pt idx="7">
                  <c:v>91.131952000000183</c:v>
                </c:pt>
                <c:pt idx="8">
                  <c:v>47.822464000000309</c:v>
                </c:pt>
                <c:pt idx="9">
                  <c:v>113.79999999999973</c:v>
                </c:pt>
                <c:pt idx="10" formatCode="#,##0.0">
                  <c:v>125.88296300000002</c:v>
                </c:pt>
                <c:pt idx="11">
                  <c:v>79.908247000000301</c:v>
                </c:pt>
                <c:pt idx="12">
                  <c:v>68.612686999999823</c:v>
                </c:pt>
              </c:numCache>
            </c:numRef>
          </c:val>
          <c:smooth val="0"/>
        </c:ser>
        <c:dLbls>
          <c:showLegendKey val="0"/>
          <c:showVal val="0"/>
          <c:showCatName val="0"/>
          <c:showSerName val="0"/>
          <c:showPercent val="0"/>
          <c:showBubbleSize val="0"/>
        </c:dLbls>
        <c:marker val="1"/>
        <c:smooth val="0"/>
        <c:axId val="176240128"/>
        <c:axId val="176241664"/>
      </c:lineChart>
      <c:catAx>
        <c:axId val="176240128"/>
        <c:scaling>
          <c:orientation val="minMax"/>
        </c:scaling>
        <c:delete val="0"/>
        <c:axPos val="b"/>
        <c:numFmt formatCode="General" sourceLinked="1"/>
        <c:majorTickMark val="out"/>
        <c:minorTickMark val="none"/>
        <c:tickLblPos val="nextTo"/>
        <c:txPr>
          <a:bodyPr/>
          <a:lstStyle/>
          <a:p>
            <a:pPr>
              <a:defRPr sz="1050"/>
            </a:pPr>
            <a:endParaRPr lang="lv-LV"/>
          </a:p>
        </c:txPr>
        <c:crossAx val="176241664"/>
        <c:crosses val="autoZero"/>
        <c:auto val="1"/>
        <c:lblAlgn val="ctr"/>
        <c:lblOffset val="100"/>
        <c:noMultiLvlLbl val="0"/>
      </c:catAx>
      <c:valAx>
        <c:axId val="176241664"/>
        <c:scaling>
          <c:orientation val="minMax"/>
          <c:min val="-800"/>
        </c:scaling>
        <c:delete val="0"/>
        <c:axPos val="l"/>
        <c:majorGridlines>
          <c:spPr>
            <a:ln>
              <a:solidFill>
                <a:schemeClr val="bg1">
                  <a:lumMod val="85000"/>
                </a:schemeClr>
              </a:solidFill>
              <a:prstDash val="sysDash"/>
            </a:ln>
          </c:spPr>
        </c:majorGridlines>
        <c:numFmt formatCode="#,##0" sourceLinked="1"/>
        <c:majorTickMark val="out"/>
        <c:minorTickMark val="none"/>
        <c:tickLblPos val="nextTo"/>
        <c:crossAx val="176240128"/>
        <c:crosses val="autoZero"/>
        <c:crossBetween val="between"/>
      </c:valAx>
    </c:plotArea>
    <c:legend>
      <c:legendPos val="b"/>
      <c:overlay val="0"/>
      <c:txPr>
        <a:bodyPr/>
        <a:lstStyle/>
        <a:p>
          <a:pPr>
            <a:defRPr sz="1200"/>
          </a:pPr>
          <a:endParaRPr lang="lv-LV"/>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Speciālā budžeta</a:t>
            </a:r>
            <a:r>
              <a:rPr lang="lv-LV" sz="1200"/>
              <a:t> uzkrātā rezerve gada sākumā*, milj.EUR</a:t>
            </a:r>
            <a:r>
              <a:rPr lang="en-US" sz="1200"/>
              <a:t> </a:t>
            </a:r>
          </a:p>
        </c:rich>
      </c:tx>
      <c:overlay val="0"/>
    </c:title>
    <c:autoTitleDeleted val="0"/>
    <c:plotArea>
      <c:layout>
        <c:manualLayout>
          <c:layoutTarget val="inner"/>
          <c:xMode val="edge"/>
          <c:yMode val="edge"/>
          <c:x val="5.7845616007379523E-2"/>
          <c:y val="0.11548365266178762"/>
          <c:w val="0.89121026538349368"/>
          <c:h val="0.77514752998038161"/>
        </c:manualLayout>
      </c:layout>
      <c:lineChart>
        <c:grouping val="standard"/>
        <c:varyColors val="0"/>
        <c:ser>
          <c:idx val="0"/>
          <c:order val="0"/>
          <c:tx>
            <c:strRef>
              <c:f>uzkrājums!$A$11</c:f>
              <c:strCache>
                <c:ptCount val="1"/>
                <c:pt idx="0">
                  <c:v>Fakts un vidēja termiņa budžets</c:v>
                </c:pt>
              </c:strCache>
            </c:strRef>
          </c:tx>
          <c:dPt>
            <c:idx val="10"/>
            <c:bubble3D val="0"/>
            <c:spPr>
              <a:ln>
                <a:prstDash val="sysDash"/>
              </a:ln>
            </c:spPr>
          </c:dPt>
          <c:dPt>
            <c:idx val="11"/>
            <c:bubble3D val="0"/>
            <c:spPr>
              <a:ln>
                <a:prstDash val="sysDash"/>
              </a:ln>
            </c:spPr>
          </c:dPt>
          <c:dPt>
            <c:idx val="12"/>
            <c:bubble3D val="0"/>
            <c:spPr>
              <a:ln>
                <a:prstDash val="sysDash"/>
              </a:ln>
            </c:spPr>
          </c:dPt>
          <c:cat>
            <c:numRef>
              <c:f>uzkrājums!$B$10:$N$10</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uzkrājums!$B$11:$N$11</c:f>
              <c:numCache>
                <c:formatCode>0</c:formatCode>
                <c:ptCount val="13"/>
                <c:pt idx="0">
                  <c:v>1353.2567415666388</c:v>
                </c:pt>
                <c:pt idx="1">
                  <c:v>1049.7244651424865</c:v>
                </c:pt>
                <c:pt idx="2">
                  <c:v>571.93376104859965</c:v>
                </c:pt>
                <c:pt idx="3">
                  <c:v>394.42952089060395</c:v>
                </c:pt>
                <c:pt idx="4">
                  <c:v>324.08203425137026</c:v>
                </c:pt>
                <c:pt idx="5">
                  <c:v>266.21450399999998</c:v>
                </c:pt>
                <c:pt idx="6">
                  <c:v>366.663138</c:v>
                </c:pt>
                <c:pt idx="7">
                  <c:v>458.96396900000002</c:v>
                </c:pt>
                <c:pt idx="8">
                  <c:v>506.78643300000033</c:v>
                </c:pt>
                <c:pt idx="9">
                  <c:v>620.58643300000006</c:v>
                </c:pt>
                <c:pt idx="10">
                  <c:v>746.46939600000007</c:v>
                </c:pt>
                <c:pt idx="11">
                  <c:v>826.37764300000038</c:v>
                </c:pt>
                <c:pt idx="12">
                  <c:v>894.9903300000002</c:v>
                </c:pt>
              </c:numCache>
            </c:numRef>
          </c:val>
          <c:smooth val="0"/>
        </c:ser>
        <c:dLbls>
          <c:showLegendKey val="0"/>
          <c:showVal val="0"/>
          <c:showCatName val="0"/>
          <c:showSerName val="0"/>
          <c:showPercent val="0"/>
          <c:showBubbleSize val="0"/>
        </c:dLbls>
        <c:marker val="1"/>
        <c:smooth val="0"/>
        <c:axId val="156262784"/>
        <c:axId val="156264320"/>
      </c:lineChart>
      <c:catAx>
        <c:axId val="156262784"/>
        <c:scaling>
          <c:orientation val="minMax"/>
        </c:scaling>
        <c:delete val="0"/>
        <c:axPos val="b"/>
        <c:numFmt formatCode="General" sourceLinked="1"/>
        <c:majorTickMark val="none"/>
        <c:minorTickMark val="none"/>
        <c:tickLblPos val="nextTo"/>
        <c:crossAx val="156264320"/>
        <c:crosses val="autoZero"/>
        <c:auto val="1"/>
        <c:lblAlgn val="ctr"/>
        <c:lblOffset val="100"/>
        <c:noMultiLvlLbl val="0"/>
      </c:catAx>
      <c:valAx>
        <c:axId val="156264320"/>
        <c:scaling>
          <c:orientation val="minMax"/>
        </c:scaling>
        <c:delete val="0"/>
        <c:axPos val="l"/>
        <c:majorGridlines>
          <c:spPr>
            <a:ln>
              <a:solidFill>
                <a:schemeClr val="bg1">
                  <a:lumMod val="85000"/>
                </a:schemeClr>
              </a:solidFill>
              <a:prstDash val="sysDash"/>
            </a:ln>
          </c:spPr>
        </c:majorGridlines>
        <c:numFmt formatCode="0" sourceLinked="1"/>
        <c:majorTickMark val="none"/>
        <c:minorTickMark val="none"/>
        <c:tickLblPos val="nextTo"/>
        <c:crossAx val="156262784"/>
        <c:crosses val="autoZero"/>
        <c:crossBetween val="between"/>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5F5A-6870-4868-8273-6EC59D9A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18440</Words>
  <Characters>10511</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„Par valsts atbalstu pensiju nodrošinājumā daudzbērnu ģimenēm”</vt:lpstr>
    </vt:vector>
  </TitlesOfParts>
  <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atbalstu pensiju nodrošinājumā daudzbērnu ģimenēm”</dc:title>
  <dc:subject>informatīvais ziņojums</dc:subject>
  <dc:creator>Dace Trusinska</dc:creator>
  <dc:description>D.Trušinska, 67021553
Dace.Trusinska@lm.gov.lv</dc:description>
  <cp:lastModifiedBy>Dace Trusinska</cp:lastModifiedBy>
  <cp:revision>19</cp:revision>
  <cp:lastPrinted>2018-04-13T08:28:00Z</cp:lastPrinted>
  <dcterms:created xsi:type="dcterms:W3CDTF">2018-03-23T12:18:00Z</dcterms:created>
  <dcterms:modified xsi:type="dcterms:W3CDTF">2018-04-16T07:09:00Z</dcterms:modified>
</cp:coreProperties>
</file>