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FE" w:rsidRDefault="00911819" w:rsidP="00911819">
      <w:pPr>
        <w:jc w:val="center"/>
        <w:rPr>
          <w:b/>
          <w:sz w:val="24"/>
          <w:szCs w:val="24"/>
        </w:rPr>
      </w:pPr>
      <w:bookmarkStart w:id="0" w:name="_Hlk502916799"/>
      <w:r w:rsidRPr="00EC26CA">
        <w:rPr>
          <w:rFonts w:eastAsia="Times New Roman"/>
          <w:b/>
          <w:sz w:val="24"/>
          <w:szCs w:val="24"/>
        </w:rPr>
        <w:t>Likum</w:t>
      </w:r>
      <w:r w:rsidRPr="00EC26CA">
        <w:rPr>
          <w:b/>
          <w:bCs/>
          <w:sz w:val="24"/>
          <w:szCs w:val="24"/>
        </w:rPr>
        <w:t xml:space="preserve">projekta „Grozījumi Sauszemes transportlīdzekļu īpašnieku civiltiesiskās atbildības obligātās apdrošināšanas likumā” </w:t>
      </w:r>
      <w:r w:rsidRPr="00EC26CA">
        <w:rPr>
          <w:b/>
          <w:sz w:val="24"/>
          <w:szCs w:val="24"/>
        </w:rPr>
        <w:t xml:space="preserve">sākotnējās ietekmes novērtējuma </w:t>
      </w:r>
      <w:smartTag w:uri="schemas-tilde-lv/tildestengine" w:element="veidnes">
        <w:smartTagPr>
          <w:attr w:name="id" w:val="-1"/>
          <w:attr w:name="baseform" w:val="ziņojums"/>
          <w:attr w:name="text" w:val="ziņojums"/>
        </w:smartTagPr>
        <w:r w:rsidRPr="00EC26CA">
          <w:rPr>
            <w:b/>
            <w:sz w:val="24"/>
            <w:szCs w:val="24"/>
          </w:rPr>
          <w:t>ziņojums</w:t>
        </w:r>
      </w:smartTag>
      <w:r w:rsidRPr="00EC26CA">
        <w:rPr>
          <w:b/>
          <w:sz w:val="24"/>
          <w:szCs w:val="24"/>
        </w:rPr>
        <w:t xml:space="preserve"> (anotācija)</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8"/>
        <w:gridCol w:w="3141"/>
        <w:gridCol w:w="5606"/>
      </w:tblGrid>
      <w:tr w:rsidR="00091BD0" w:rsidRPr="002F6DC1" w:rsidTr="004124B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0"/>
          <w:p w:rsidR="00091BD0" w:rsidRPr="002F6DC1" w:rsidRDefault="00091BD0" w:rsidP="00091BD0">
            <w:pPr>
              <w:spacing w:before="100" w:beforeAutospacing="1" w:after="100" w:afterAutospacing="1" w:line="293" w:lineRule="atLeast"/>
              <w:ind w:firstLine="0"/>
              <w:jc w:val="center"/>
              <w:rPr>
                <w:rFonts w:eastAsia="Times New Roman"/>
                <w:b/>
                <w:bCs/>
                <w:color w:val="000000"/>
                <w:sz w:val="24"/>
                <w:szCs w:val="24"/>
              </w:rPr>
            </w:pPr>
            <w:r w:rsidRPr="002F6DC1">
              <w:rPr>
                <w:rFonts w:eastAsia="Times New Roman"/>
                <w:b/>
                <w:bCs/>
                <w:color w:val="000000"/>
                <w:sz w:val="24"/>
                <w:szCs w:val="24"/>
              </w:rPr>
              <w:t>Tiesību akta projekta anotācijas kopsavilkums</w:t>
            </w:r>
          </w:p>
        </w:tc>
      </w:tr>
      <w:tr w:rsidR="00091BD0" w:rsidRPr="002F6DC1" w:rsidTr="004124B5">
        <w:tc>
          <w:tcPr>
            <w:tcW w:w="195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91BD0" w:rsidRPr="002F6DC1" w:rsidRDefault="00091BD0" w:rsidP="00091BD0">
            <w:pPr>
              <w:spacing w:line="240" w:lineRule="auto"/>
              <w:ind w:firstLine="0"/>
              <w:jc w:val="left"/>
              <w:rPr>
                <w:rFonts w:eastAsia="Times New Roman"/>
                <w:color w:val="000000"/>
                <w:sz w:val="24"/>
                <w:szCs w:val="24"/>
              </w:rPr>
            </w:pPr>
            <w:r w:rsidRPr="002F6DC1">
              <w:rPr>
                <w:rFonts w:eastAsia="Times New Roman"/>
                <w:color w:val="000000"/>
                <w:sz w:val="24"/>
                <w:szCs w:val="24"/>
              </w:rPr>
              <w:t xml:space="preserve">Mērķis, risinājums un projekta </w:t>
            </w:r>
            <w:r w:rsidR="0035658B">
              <w:rPr>
                <w:rFonts w:eastAsia="Times New Roman"/>
                <w:color w:val="000000"/>
                <w:sz w:val="24"/>
                <w:szCs w:val="24"/>
              </w:rPr>
              <w:t>s</w:t>
            </w:r>
            <w:r w:rsidRPr="002F6DC1">
              <w:rPr>
                <w:rFonts w:eastAsia="Times New Roman"/>
                <w:color w:val="000000"/>
                <w:sz w:val="24"/>
                <w:szCs w:val="24"/>
              </w:rPr>
              <w:t>pēkā stāšanās laiks</w:t>
            </w:r>
          </w:p>
        </w:tc>
        <w:tc>
          <w:tcPr>
            <w:tcW w:w="3045" w:type="pct"/>
            <w:tcBorders>
              <w:top w:val="outset" w:sz="6" w:space="0" w:color="414142"/>
              <w:left w:val="outset" w:sz="6" w:space="0" w:color="414142"/>
              <w:bottom w:val="outset" w:sz="6" w:space="0" w:color="414142"/>
              <w:right w:val="outset" w:sz="6" w:space="0" w:color="414142"/>
            </w:tcBorders>
            <w:shd w:val="clear" w:color="auto" w:fill="FFFFFF"/>
            <w:hideMark/>
          </w:tcPr>
          <w:p w:rsidR="00091BD0" w:rsidRPr="00966AB8" w:rsidRDefault="00671B23" w:rsidP="0035658B">
            <w:pPr>
              <w:pStyle w:val="naiskr"/>
              <w:spacing w:before="0" w:beforeAutospacing="0" w:after="0" w:afterAutospacing="0"/>
              <w:jc w:val="both"/>
            </w:pPr>
            <w:r>
              <w:t xml:space="preserve"> </w:t>
            </w:r>
            <w:r w:rsidR="00966AB8">
              <w:t xml:space="preserve">    </w:t>
            </w:r>
            <w:r w:rsidR="00710C81">
              <w:t>A</w:t>
            </w:r>
            <w:r w:rsidR="00710C81" w:rsidRPr="00B244F6">
              <w:t>tbilstoši Ministru kabineta 200</w:t>
            </w:r>
            <w:r w:rsidR="00710C81">
              <w:t>9.gada 15.decembra instrukcijas</w:t>
            </w:r>
            <w:r w:rsidR="00710C81" w:rsidRPr="00B244F6">
              <w:t xml:space="preserve"> N</w:t>
            </w:r>
            <w:r w:rsidR="00710C81">
              <w:t>r. 19 “</w:t>
            </w:r>
            <w:r w:rsidR="00710C81" w:rsidRPr="00B244F6">
              <w:t>Tiesību akta projekta sākotnējās ietekmes izvērtēšanas kārtība</w:t>
            </w:r>
            <w:r w:rsidR="00710C81">
              <w:t>”</w:t>
            </w:r>
            <w:r w:rsidR="00710C81" w:rsidRPr="00B244F6">
              <w:t>5.</w:t>
            </w:r>
            <w:r w:rsidR="00710C81" w:rsidRPr="00B244F6">
              <w:rPr>
                <w:vertAlign w:val="superscript"/>
              </w:rPr>
              <w:t xml:space="preserve">1 </w:t>
            </w:r>
            <w:r w:rsidR="00710C81" w:rsidRPr="00B244F6">
              <w:t>punktam</w:t>
            </w:r>
            <w:r w:rsidR="00710C81">
              <w:t xml:space="preserve"> nav jāaizpilda.</w:t>
            </w:r>
          </w:p>
        </w:tc>
      </w:tr>
      <w:tr w:rsidR="00FB77E7" w:rsidRPr="00C708B6" w:rsidTr="004124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5000" w:type="pct"/>
            <w:gridSpan w:val="3"/>
          </w:tcPr>
          <w:p w:rsidR="00FB77E7" w:rsidRPr="00C708B6" w:rsidRDefault="00FB77E7" w:rsidP="00F11636">
            <w:pPr>
              <w:pStyle w:val="Parastais1"/>
              <w:spacing w:before="100" w:beforeAutospacing="1" w:after="100" w:afterAutospacing="1"/>
              <w:jc w:val="center"/>
              <w:rPr>
                <w:b/>
                <w:bCs/>
              </w:rPr>
            </w:pPr>
            <w:r w:rsidRPr="00C708B6">
              <w:rPr>
                <w:b/>
                <w:bCs/>
              </w:rPr>
              <w:t>I. Tiesību akta projekta izstrādes nepieciešamība</w:t>
            </w:r>
          </w:p>
        </w:tc>
      </w:tr>
      <w:tr w:rsidR="00FB77E7" w:rsidRPr="00C708B6" w:rsidTr="004124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49" w:type="pct"/>
          </w:tcPr>
          <w:p w:rsidR="00FB77E7" w:rsidRPr="00C708B6" w:rsidRDefault="00FB77E7" w:rsidP="000C473E">
            <w:pPr>
              <w:pStyle w:val="Parastais1"/>
              <w:spacing w:before="100" w:beforeAutospacing="1" w:after="100" w:afterAutospacing="1"/>
              <w:jc w:val="both"/>
            </w:pPr>
            <w:r w:rsidRPr="00C708B6">
              <w:t>1.</w:t>
            </w:r>
          </w:p>
        </w:tc>
        <w:tc>
          <w:tcPr>
            <w:tcW w:w="1706" w:type="pct"/>
          </w:tcPr>
          <w:p w:rsidR="00FB77E7" w:rsidRPr="00C708B6" w:rsidRDefault="00FB77E7" w:rsidP="000C473E">
            <w:pPr>
              <w:pStyle w:val="Parastais1"/>
              <w:spacing w:before="100" w:beforeAutospacing="1" w:after="100" w:afterAutospacing="1"/>
              <w:jc w:val="both"/>
            </w:pPr>
            <w:r w:rsidRPr="00C708B6">
              <w:t>Pamatojums</w:t>
            </w:r>
          </w:p>
        </w:tc>
        <w:tc>
          <w:tcPr>
            <w:tcW w:w="3045" w:type="pct"/>
          </w:tcPr>
          <w:p w:rsidR="00FB77E7" w:rsidRPr="003F7CA0" w:rsidRDefault="003F7CA0" w:rsidP="003F7CA0">
            <w:pPr>
              <w:spacing w:line="240" w:lineRule="auto"/>
              <w:ind w:firstLine="0"/>
              <w:rPr>
                <w:color w:val="000000"/>
                <w:sz w:val="24"/>
                <w:szCs w:val="24"/>
                <w:lang w:eastAsia="lv-LV"/>
              </w:rPr>
            </w:pPr>
            <w:r w:rsidRPr="003F7CA0">
              <w:rPr>
                <w:sz w:val="24"/>
                <w:szCs w:val="24"/>
              </w:rPr>
              <w:t>Nepieciešam</w:t>
            </w:r>
            <w:r>
              <w:rPr>
                <w:sz w:val="24"/>
                <w:szCs w:val="24"/>
              </w:rPr>
              <w:t>s</w:t>
            </w:r>
            <w:r w:rsidRPr="003F7CA0">
              <w:rPr>
                <w:sz w:val="24"/>
                <w:szCs w:val="24"/>
              </w:rPr>
              <w:t xml:space="preserve"> savstarpēji saskaņot normatīvo aktu</w:t>
            </w:r>
            <w:r>
              <w:rPr>
                <w:sz w:val="24"/>
                <w:szCs w:val="24"/>
              </w:rPr>
              <w:t xml:space="preserve"> regulējumu</w:t>
            </w:r>
            <w:r w:rsidRPr="003F7CA0">
              <w:rPr>
                <w:sz w:val="24"/>
                <w:szCs w:val="24"/>
              </w:rPr>
              <w:t xml:space="preserve"> par transportlīdzekļu reģistrāciju un tirdzniecību ar Sauszemes transportlīdzekļu īpašnieku civiltiesiskās atbildības obligātās apdrošināšanas likumu par transportlīdzekļu tirdzniecības numuru izmantošanas kārtību.</w:t>
            </w:r>
          </w:p>
        </w:tc>
      </w:tr>
      <w:tr w:rsidR="00FB77E7" w:rsidRPr="00C708B6" w:rsidTr="004124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49" w:type="pct"/>
          </w:tcPr>
          <w:p w:rsidR="00FB77E7" w:rsidRPr="00C708B6" w:rsidRDefault="00FB77E7" w:rsidP="000C473E">
            <w:pPr>
              <w:pStyle w:val="Parastais1"/>
              <w:spacing w:before="100" w:beforeAutospacing="1" w:after="100" w:afterAutospacing="1"/>
              <w:jc w:val="both"/>
            </w:pPr>
            <w:r w:rsidRPr="00C708B6">
              <w:t>2.</w:t>
            </w:r>
          </w:p>
        </w:tc>
        <w:tc>
          <w:tcPr>
            <w:tcW w:w="1706" w:type="pct"/>
          </w:tcPr>
          <w:p w:rsidR="004124B5" w:rsidRDefault="00FB77E7" w:rsidP="0035658B">
            <w:pPr>
              <w:pStyle w:val="Parastais1"/>
              <w:spacing w:before="100" w:beforeAutospacing="1" w:after="100" w:afterAutospacing="1"/>
            </w:pPr>
            <w:r w:rsidRPr="00C708B6">
              <w:t>Pašreizējā situācija un problēmas, kuru risināšanai tiesību akta projekts izstrādāts, tiesiskā regulējuma mērķis un būtība</w:t>
            </w: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rPr>
                <w:lang w:eastAsia="lv-LV"/>
              </w:rPr>
            </w:pPr>
          </w:p>
          <w:p w:rsidR="004124B5" w:rsidRPr="004124B5" w:rsidRDefault="004124B5" w:rsidP="004124B5">
            <w:pPr>
              <w:tabs>
                <w:tab w:val="left" w:pos="1260"/>
              </w:tabs>
              <w:rPr>
                <w:lang w:eastAsia="lv-LV"/>
              </w:rPr>
            </w:pPr>
            <w:r>
              <w:rPr>
                <w:lang w:eastAsia="lv-LV"/>
              </w:rPr>
              <w:tab/>
            </w:r>
          </w:p>
          <w:p w:rsidR="00FB77E7" w:rsidRPr="004124B5" w:rsidRDefault="00FB77E7" w:rsidP="004124B5">
            <w:pPr>
              <w:rPr>
                <w:lang w:eastAsia="lv-LV"/>
              </w:rPr>
            </w:pPr>
          </w:p>
        </w:tc>
        <w:tc>
          <w:tcPr>
            <w:tcW w:w="3045" w:type="pct"/>
          </w:tcPr>
          <w:p w:rsidR="008275B5" w:rsidRPr="00EC26CA" w:rsidRDefault="008275B5" w:rsidP="008275B5">
            <w:pPr>
              <w:spacing w:line="240" w:lineRule="auto"/>
              <w:rPr>
                <w:color w:val="000000"/>
                <w:sz w:val="24"/>
                <w:szCs w:val="24"/>
                <w:lang w:eastAsia="lv-LV"/>
              </w:rPr>
            </w:pPr>
            <w:r w:rsidRPr="00EC26CA">
              <w:rPr>
                <w:color w:val="000000"/>
                <w:sz w:val="24"/>
                <w:szCs w:val="24"/>
                <w:lang w:eastAsia="lv-LV"/>
              </w:rPr>
              <w:t xml:space="preserve">Transportlīdzekļu tirdzniecības numuru izmantošanas kārtība ir noteikta Ministru kabineta </w:t>
            </w:r>
            <w:r w:rsidR="003F7CA0">
              <w:rPr>
                <w:color w:val="000000"/>
                <w:sz w:val="24"/>
                <w:szCs w:val="24"/>
                <w:lang w:eastAsia="lv-LV"/>
              </w:rPr>
              <w:t xml:space="preserve">2017.gada 18.decembra </w:t>
            </w:r>
            <w:r w:rsidRPr="00EC26CA">
              <w:rPr>
                <w:color w:val="000000"/>
                <w:sz w:val="24"/>
                <w:szCs w:val="24"/>
                <w:lang w:eastAsia="lv-LV"/>
              </w:rPr>
              <w:t>noteikumos Nr.876 “Transportlīdzekļu un to numurēto agregātu tirdzniecības noteikumi”.</w:t>
            </w:r>
          </w:p>
          <w:p w:rsidR="008275B5" w:rsidRPr="00EC26CA" w:rsidRDefault="008275B5" w:rsidP="008275B5">
            <w:pPr>
              <w:spacing w:line="240" w:lineRule="auto"/>
              <w:rPr>
                <w:color w:val="000000"/>
                <w:sz w:val="24"/>
                <w:szCs w:val="24"/>
                <w:lang w:eastAsia="lv-LV"/>
              </w:rPr>
            </w:pPr>
            <w:r w:rsidRPr="00EC26CA">
              <w:rPr>
                <w:color w:val="000000"/>
                <w:sz w:val="24"/>
                <w:szCs w:val="24"/>
                <w:lang w:eastAsia="lv-LV"/>
              </w:rPr>
              <w:t>Saskaņā ar minēto noteikumu 62.punktu tirdzniecības numura zīmes izsniedz un tām atbilstošas tirdzniecības numura kartes transportlīdzekļu un to vadītāju valsts reģistrā noformē Ceļu satiksmes drošības direkcija (turpmāk-CSDD) tirdzniecībai paredzētu transportlīdzekļu pārvietošanai uz tirdzniecības vai glabāšanas vietu vai izmēģinājuma braucieniem ar tirdzniecībā pieņemtiem transportlīdzekļiem.</w:t>
            </w:r>
          </w:p>
          <w:p w:rsidR="008275B5" w:rsidRPr="00EC26CA" w:rsidRDefault="008275B5" w:rsidP="008275B5">
            <w:pPr>
              <w:spacing w:line="240" w:lineRule="auto"/>
              <w:rPr>
                <w:color w:val="000000"/>
                <w:sz w:val="24"/>
                <w:szCs w:val="24"/>
                <w:lang w:eastAsia="lv-LV"/>
              </w:rPr>
            </w:pPr>
            <w:r w:rsidRPr="00EC26CA">
              <w:rPr>
                <w:color w:val="000000"/>
                <w:sz w:val="24"/>
                <w:szCs w:val="24"/>
                <w:lang w:eastAsia="lv-LV"/>
              </w:rPr>
              <w:t>No minētā izriet, ka tirdzniecības numura zīmes ir paredzētas izmēģinājuma braucieniem ar tirdzniecībā pieņemtiem transportlīdzekļiem bez citāda ierobežojuma.</w:t>
            </w:r>
          </w:p>
          <w:p w:rsidR="008275B5" w:rsidRPr="00EC26CA" w:rsidRDefault="008275B5" w:rsidP="008275B5">
            <w:pPr>
              <w:spacing w:line="240" w:lineRule="auto"/>
              <w:rPr>
                <w:color w:val="000000"/>
                <w:sz w:val="24"/>
                <w:szCs w:val="24"/>
                <w:lang w:eastAsia="lv-LV"/>
              </w:rPr>
            </w:pPr>
            <w:r w:rsidRPr="00EC26CA">
              <w:rPr>
                <w:color w:val="000000"/>
                <w:sz w:val="24"/>
                <w:szCs w:val="24"/>
                <w:lang w:eastAsia="lv-LV"/>
              </w:rPr>
              <w:t>Savukārt, Sauszemes transportlīdzekļu īpašnieku civiltiesiskās atbildības obligātās apdrošināšanas likuma (turpmāk-OCTA likums) 5.panta</w:t>
            </w:r>
            <w:r w:rsidR="003F7CA0">
              <w:rPr>
                <w:color w:val="000000"/>
                <w:sz w:val="24"/>
                <w:szCs w:val="24"/>
                <w:lang w:eastAsia="lv-LV"/>
              </w:rPr>
              <w:t xml:space="preserve"> pirmās daļas</w:t>
            </w:r>
            <w:r w:rsidRPr="00EC26CA">
              <w:rPr>
                <w:color w:val="000000"/>
                <w:sz w:val="24"/>
                <w:szCs w:val="24"/>
                <w:lang w:eastAsia="lv-LV"/>
              </w:rPr>
              <w:t xml:space="preserve"> 5.punktā noteikts, ka apdrošināšanas </w:t>
            </w:r>
            <w:proofErr w:type="spellStart"/>
            <w:r w:rsidRPr="00EC26CA">
              <w:rPr>
                <w:color w:val="000000"/>
                <w:sz w:val="24"/>
                <w:szCs w:val="24"/>
                <w:lang w:eastAsia="lv-LV"/>
              </w:rPr>
              <w:t>standartlīgumu</w:t>
            </w:r>
            <w:proofErr w:type="spellEnd"/>
            <w:r w:rsidRPr="00EC26CA">
              <w:rPr>
                <w:color w:val="000000"/>
                <w:sz w:val="24"/>
                <w:szCs w:val="24"/>
                <w:lang w:eastAsia="lv-LV"/>
              </w:rPr>
              <w:t xml:space="preserve"> noslēdz attiecībā uz </w:t>
            </w:r>
            <w:r w:rsidRPr="00F27354">
              <w:rPr>
                <w:color w:val="000000"/>
                <w:sz w:val="24"/>
                <w:szCs w:val="24"/>
                <w:lang w:eastAsia="lv-LV"/>
              </w:rPr>
              <w:t>Latvijas Republikā nereģistrētu</w:t>
            </w:r>
            <w:r w:rsidRPr="00EC26CA">
              <w:rPr>
                <w:color w:val="000000"/>
                <w:sz w:val="24"/>
                <w:szCs w:val="24"/>
                <w:lang w:eastAsia="lv-LV"/>
              </w:rPr>
              <w:t xml:space="preserve"> transportlīdzekli, kurš aprīkots ar speciālām CSDD vai Valsts tehniskās uzraudzības aģentūras izsniegtām tirdzniecības numura zīmēm tirdzniecībai paredzēta transportlīdzekļa pārvietošanai uz tirdzniecības vai glabāšanas vietu vai arī izmēģinājuma braucieniem ar šādu transportlīdzekli.</w:t>
            </w:r>
          </w:p>
          <w:p w:rsidR="008275B5" w:rsidRPr="00EC26CA" w:rsidRDefault="008275B5" w:rsidP="008275B5">
            <w:pPr>
              <w:spacing w:line="240" w:lineRule="auto"/>
              <w:rPr>
                <w:color w:val="000000"/>
                <w:sz w:val="24"/>
                <w:szCs w:val="24"/>
                <w:lang w:eastAsia="lv-LV"/>
              </w:rPr>
            </w:pPr>
            <w:r w:rsidRPr="00EC26CA">
              <w:rPr>
                <w:color w:val="000000"/>
                <w:sz w:val="24"/>
                <w:szCs w:val="24"/>
                <w:lang w:eastAsia="lv-LV"/>
              </w:rPr>
              <w:t>OCTA likums tā šobrīd spēkā esošajā redakcijā nenosaka</w:t>
            </w:r>
            <w:r w:rsidRPr="00EC26CA">
              <w:rPr>
                <w:b/>
                <w:color w:val="000000"/>
                <w:sz w:val="24"/>
                <w:szCs w:val="24"/>
                <w:lang w:eastAsia="lv-LV"/>
              </w:rPr>
              <w:t xml:space="preserve"> </w:t>
            </w:r>
            <w:r w:rsidRPr="00EC26CA">
              <w:rPr>
                <w:color w:val="000000"/>
                <w:sz w:val="24"/>
                <w:szCs w:val="24"/>
                <w:lang w:eastAsia="lv-LV"/>
              </w:rPr>
              <w:t xml:space="preserve">kam jāslēdz OCTA līgums attiecībā uz tirdzniecībai paredzētiem Latvijas Republikā reģistrētiem no uzskaites noņemtiem transportlīdzekļiem, kas nodoti tirdzniecībai transportlīdzekļu tirdzniecības uzņēmumā. Atbilstoši esošajam regulējumam tirdzniecības uzņēmums (komersants) ar šādiem transportlīdzekļiem drīkst piedalīties izmēģinājuma braucienos ar piešķirtajām </w:t>
            </w:r>
            <w:r w:rsidRPr="00EC26CA">
              <w:rPr>
                <w:color w:val="000000"/>
                <w:sz w:val="24"/>
                <w:szCs w:val="24"/>
                <w:lang w:eastAsia="lv-LV"/>
              </w:rPr>
              <w:lastRenderedPageBreak/>
              <w:t>transportlīdzekļu reģistrācijas numura zīmēm, ja transportlīdzeklim ir noformēta OCTA polise. Piemēram, lai potenciālais pircējs izmēģinātu transportlīdzekli, komersantam, pārstāvot īpašnieku, transportlīdzekli jāapdrošina uz minimālo termiņu, t.i. trīs mēnešiem.</w:t>
            </w:r>
          </w:p>
          <w:p w:rsidR="008275B5" w:rsidRPr="00EC26CA" w:rsidRDefault="008275B5" w:rsidP="008275B5">
            <w:pPr>
              <w:spacing w:line="240" w:lineRule="auto"/>
              <w:ind w:right="156"/>
              <w:rPr>
                <w:color w:val="000000"/>
                <w:sz w:val="24"/>
                <w:szCs w:val="24"/>
                <w:lang w:eastAsia="lv-LV"/>
              </w:rPr>
            </w:pPr>
            <w:r w:rsidRPr="00EC26CA">
              <w:rPr>
                <w:color w:val="000000"/>
                <w:sz w:val="24"/>
                <w:szCs w:val="24"/>
                <w:lang w:eastAsia="lv-LV"/>
              </w:rPr>
              <w:t xml:space="preserve"> Ar likumprojektu paredzēts OCTA likuma 5.panta </w:t>
            </w:r>
            <w:r w:rsidR="003F7CA0">
              <w:rPr>
                <w:color w:val="000000"/>
                <w:sz w:val="24"/>
                <w:szCs w:val="24"/>
                <w:lang w:eastAsia="lv-LV"/>
              </w:rPr>
              <w:t>pirmās daļas</w:t>
            </w:r>
            <w:r w:rsidRPr="00EC26CA">
              <w:rPr>
                <w:color w:val="000000"/>
                <w:sz w:val="24"/>
                <w:szCs w:val="24"/>
                <w:lang w:eastAsia="lv-LV"/>
              </w:rPr>
              <w:t xml:space="preserve"> 5.punktā veikt grozījumus, lai rastu iespēju komersantam izmēģinājuma braucieniem ar Latvijā reģistrētiem un tirdzniecībai pieņemtiem transportlīdzekļiem izmantot transportlīdzekļu tirdzniecības numura zīmes un tirdzniecības numuru izmantošanai paredzēto apdrošināšanas polisi.</w:t>
            </w:r>
          </w:p>
          <w:p w:rsidR="008275B5" w:rsidRPr="00EC26CA" w:rsidRDefault="008275B5" w:rsidP="008275B5">
            <w:pPr>
              <w:spacing w:line="240" w:lineRule="auto"/>
              <w:ind w:right="156"/>
              <w:rPr>
                <w:sz w:val="24"/>
                <w:szCs w:val="24"/>
                <w:lang w:eastAsia="lv-LV"/>
              </w:rPr>
            </w:pPr>
            <w:r w:rsidRPr="00EC26CA">
              <w:rPr>
                <w:color w:val="000000"/>
                <w:sz w:val="24"/>
                <w:szCs w:val="24"/>
                <w:lang w:eastAsia="lv-LV"/>
              </w:rPr>
              <w:t>Ar likumprojektu paredzēts OCTA likumā veikt grozījumus, lai noteiktu, ka  apdrošināšanas pienākuma nav transportlīdzekļa īpašniekam, ja tas transportlīdzekli nodevis transportlīdzekļu tirdzniecības uzņēmumam (3.panta</w:t>
            </w:r>
            <w:r w:rsidR="003F7CA0">
              <w:rPr>
                <w:color w:val="000000"/>
                <w:sz w:val="24"/>
                <w:szCs w:val="24"/>
                <w:lang w:eastAsia="lv-LV"/>
              </w:rPr>
              <w:t xml:space="preserve"> otrā</w:t>
            </w:r>
            <w:r w:rsidRPr="00EC26CA">
              <w:rPr>
                <w:color w:val="000000"/>
                <w:sz w:val="24"/>
                <w:szCs w:val="24"/>
                <w:lang w:eastAsia="lv-LV"/>
              </w:rPr>
              <w:t xml:space="preserve"> un</w:t>
            </w:r>
            <w:r w:rsidR="003F7CA0">
              <w:rPr>
                <w:color w:val="000000"/>
                <w:sz w:val="24"/>
                <w:szCs w:val="24"/>
                <w:lang w:eastAsia="lv-LV"/>
              </w:rPr>
              <w:t xml:space="preserve"> trešā</w:t>
            </w:r>
            <w:r w:rsidRPr="00EC26CA">
              <w:rPr>
                <w:color w:val="000000"/>
                <w:sz w:val="24"/>
                <w:szCs w:val="24"/>
                <w:lang w:eastAsia="lv-LV"/>
              </w:rPr>
              <w:t xml:space="preserve"> daļa).</w:t>
            </w:r>
            <w:r w:rsidRPr="00EC26CA">
              <w:rPr>
                <w:sz w:val="24"/>
                <w:szCs w:val="24"/>
                <w:lang w:eastAsia="lv-LV"/>
              </w:rPr>
              <w:t xml:space="preserve"> </w:t>
            </w:r>
          </w:p>
          <w:p w:rsidR="00C17C30" w:rsidRPr="00C708B6" w:rsidRDefault="008275B5" w:rsidP="008275B5">
            <w:pPr>
              <w:pStyle w:val="naiskr"/>
              <w:spacing w:before="0" w:beforeAutospacing="0" w:after="0" w:afterAutospacing="0"/>
              <w:jc w:val="both"/>
            </w:pPr>
            <w:r w:rsidRPr="00EC26CA">
              <w:rPr>
                <w:color w:val="000000"/>
              </w:rPr>
              <w:t>Ar likumprojektu precizēts OCTA likuma</w:t>
            </w:r>
            <w:r w:rsidRPr="00EC26CA">
              <w:rPr>
                <w:bCs/>
                <w:color w:val="000000"/>
              </w:rPr>
              <w:t xml:space="preserve"> 9.panta </w:t>
            </w:r>
            <w:r w:rsidR="003F7CA0">
              <w:rPr>
                <w:bCs/>
                <w:color w:val="000000"/>
              </w:rPr>
              <w:t xml:space="preserve">pirmās </w:t>
            </w:r>
            <w:r w:rsidRPr="00EC26CA">
              <w:rPr>
                <w:bCs/>
                <w:color w:val="000000"/>
              </w:rPr>
              <w:t xml:space="preserve">daļas 6.punkts, lai noteiktu, ka attiecībā uz </w:t>
            </w:r>
            <w:r w:rsidRPr="00EC26CA">
              <w:rPr>
                <w:color w:val="000000"/>
              </w:rPr>
              <w:t xml:space="preserve">tirdzniecībai paredzētiem </w:t>
            </w:r>
            <w:r w:rsidRPr="00EC26CA">
              <w:rPr>
                <w:bCs/>
                <w:color w:val="000000"/>
              </w:rPr>
              <w:t xml:space="preserve">transportlīdzekļiem, kurus tirdzniecības uzņēmums (komersants) </w:t>
            </w:r>
            <w:r w:rsidRPr="00EC26CA">
              <w:rPr>
                <w:color w:val="000000"/>
              </w:rPr>
              <w:t xml:space="preserve">aprīkojis ar tirdzniecības numura zīmēm, </w:t>
            </w:r>
            <w:proofErr w:type="spellStart"/>
            <w:r w:rsidRPr="00EC26CA">
              <w:rPr>
                <w:bCs/>
                <w:color w:val="000000"/>
              </w:rPr>
              <w:t>standartlīgums</w:t>
            </w:r>
            <w:proofErr w:type="spellEnd"/>
            <w:r w:rsidRPr="00EC26CA">
              <w:rPr>
                <w:bCs/>
                <w:color w:val="000000"/>
              </w:rPr>
              <w:t xml:space="preserve"> slēdzams</w:t>
            </w:r>
            <w:r w:rsidRPr="00EC26CA">
              <w:rPr>
                <w:color w:val="000000"/>
              </w:rPr>
              <w:t xml:space="preserve"> uz tirdzniecības numura derīguma termiņu, vai uz 12 mēnešiem Valsts tehniskās uzraudzības aģentūras izsniegtām tirdzniecības numura zīmēm tirdzniecībai paredzētajiem transportlīdzekļiem</w:t>
            </w:r>
            <w:r w:rsidRPr="00EC26CA">
              <w:rPr>
                <w:bCs/>
                <w:color w:val="000000"/>
              </w:rPr>
              <w:t xml:space="preserve">, kā arī vārdi „tirdzniecības numura karte” aizstāti ar vārdiem „tirdzniecības numura zīme”, ievērojot </w:t>
            </w:r>
            <w:r w:rsidR="003F7CA0">
              <w:rPr>
                <w:bCs/>
                <w:color w:val="000000"/>
              </w:rPr>
              <w:t xml:space="preserve">2015.gada 3.novembra </w:t>
            </w:r>
            <w:r w:rsidRPr="00EC26CA">
              <w:rPr>
                <w:bCs/>
                <w:color w:val="000000"/>
              </w:rPr>
              <w:t>grozījumus Ministru kabineta 2007. gada 18. decembra noteikumos Nr.876 "Transportlīdzekļu un to numurēto agregātu tirdzniecības noteikumi", no kuriem izriet, ka  t</w:t>
            </w:r>
            <w:r w:rsidRPr="00EC26CA">
              <w:rPr>
                <w:color w:val="000000"/>
                <w:shd w:val="clear" w:color="auto" w:fill="FFFFFF"/>
              </w:rPr>
              <w:t xml:space="preserve">irdzniecības numura zīmes izsniedz un tām atbilstošas tirdzniecības numura kartes transportlīdzekļu un to vadītāju valsts reģistrā noformē CSDD </w:t>
            </w:r>
            <w:r w:rsidRPr="00EC26CA">
              <w:rPr>
                <w:bCs/>
                <w:color w:val="000000"/>
              </w:rPr>
              <w:t>(</w:t>
            </w:r>
            <w:r w:rsidRPr="003F7CA0">
              <w:rPr>
                <w:bCs/>
                <w:color w:val="000000"/>
              </w:rPr>
              <w:t>spēkā esošo noteikumu 62.punkts</w:t>
            </w:r>
            <w:r w:rsidRPr="00EC26CA">
              <w:rPr>
                <w:bCs/>
                <w:color w:val="000000"/>
              </w:rPr>
              <w:t xml:space="preserve">). Līdz ar to atbilstoši spēkā esošajam regulējumam CSDD nevis izsniedz tirdzniecības numura kartes, bet  tās noformē transportlīdzekļu un to vadītāju valsts reģistrā (9.panta </w:t>
            </w:r>
            <w:r w:rsidR="003F7CA0">
              <w:rPr>
                <w:bCs/>
                <w:color w:val="000000"/>
              </w:rPr>
              <w:t xml:space="preserve">pirmās </w:t>
            </w:r>
            <w:r w:rsidRPr="00EC26CA">
              <w:rPr>
                <w:bCs/>
                <w:color w:val="000000"/>
              </w:rPr>
              <w:t xml:space="preserve">daļas 6.punkts un </w:t>
            </w:r>
            <w:r w:rsidRPr="00EC26CA">
              <w:rPr>
                <w:bCs/>
              </w:rPr>
              <w:t>9.</w:t>
            </w:r>
            <w:r w:rsidRPr="00EC26CA">
              <w:rPr>
                <w:bCs/>
                <w:vertAlign w:val="superscript"/>
              </w:rPr>
              <w:t>1 </w:t>
            </w:r>
            <w:r w:rsidRPr="00EC26CA">
              <w:rPr>
                <w:bCs/>
              </w:rPr>
              <w:t xml:space="preserve">panta </w:t>
            </w:r>
            <w:r w:rsidR="003F7CA0">
              <w:rPr>
                <w:bCs/>
              </w:rPr>
              <w:t xml:space="preserve">pirmās </w:t>
            </w:r>
            <w:r w:rsidRPr="00EC26CA">
              <w:rPr>
                <w:bCs/>
              </w:rPr>
              <w:t>daļas 2.punkta “e” apakšpunkts).</w:t>
            </w:r>
          </w:p>
        </w:tc>
      </w:tr>
      <w:tr w:rsidR="00FB77E7" w:rsidRPr="00C708B6" w:rsidTr="004124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49" w:type="pct"/>
          </w:tcPr>
          <w:p w:rsidR="00FB77E7" w:rsidRPr="00C708B6" w:rsidRDefault="00FB77E7" w:rsidP="000C473E">
            <w:pPr>
              <w:pStyle w:val="Parastais1"/>
              <w:spacing w:before="100" w:beforeAutospacing="1" w:after="100" w:afterAutospacing="1"/>
              <w:jc w:val="both"/>
            </w:pPr>
            <w:r w:rsidRPr="00C708B6">
              <w:lastRenderedPageBreak/>
              <w:t>3.</w:t>
            </w:r>
          </w:p>
        </w:tc>
        <w:tc>
          <w:tcPr>
            <w:tcW w:w="1706" w:type="pct"/>
          </w:tcPr>
          <w:p w:rsidR="00FB77E7" w:rsidRPr="00C708B6" w:rsidRDefault="00FB77E7" w:rsidP="0035658B">
            <w:pPr>
              <w:pStyle w:val="Parastais1"/>
              <w:spacing w:before="100" w:beforeAutospacing="1" w:after="100" w:afterAutospacing="1"/>
            </w:pPr>
            <w:r w:rsidRPr="00C708B6">
              <w:t>Projekta izstrādē iesaistītās institūcijas</w:t>
            </w:r>
            <w:r w:rsidR="00C708B2" w:rsidRPr="00C708B6">
              <w:t xml:space="preserve"> un publiskas personas kapitālsabiedrības</w:t>
            </w:r>
          </w:p>
        </w:tc>
        <w:tc>
          <w:tcPr>
            <w:tcW w:w="3045" w:type="pct"/>
          </w:tcPr>
          <w:p w:rsidR="00FB77E7" w:rsidRPr="00C708B6" w:rsidRDefault="003F7CA0" w:rsidP="008275B5">
            <w:pPr>
              <w:pStyle w:val="Parastais1"/>
              <w:spacing w:before="100" w:beforeAutospacing="1" w:after="100" w:afterAutospacing="1"/>
              <w:jc w:val="both"/>
            </w:pPr>
            <w:r w:rsidRPr="00966660">
              <w:rPr>
                <w:color w:val="000000" w:themeColor="text1"/>
              </w:rPr>
              <w:t>Satiksmes ministrija, Valsts akciju sabiedrība „Ceļu satiksmes drošības direkcija”.</w:t>
            </w:r>
          </w:p>
        </w:tc>
      </w:tr>
      <w:tr w:rsidR="00FB77E7" w:rsidRPr="00C708B6" w:rsidTr="004124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49" w:type="pct"/>
          </w:tcPr>
          <w:p w:rsidR="00FB77E7" w:rsidRPr="00C708B6" w:rsidRDefault="00FB77E7" w:rsidP="000C473E">
            <w:pPr>
              <w:pStyle w:val="Parastais1"/>
              <w:spacing w:before="100" w:beforeAutospacing="1" w:after="100" w:afterAutospacing="1"/>
              <w:jc w:val="both"/>
            </w:pPr>
            <w:r w:rsidRPr="00C708B6">
              <w:t>4.</w:t>
            </w:r>
          </w:p>
        </w:tc>
        <w:tc>
          <w:tcPr>
            <w:tcW w:w="1706" w:type="pct"/>
          </w:tcPr>
          <w:p w:rsidR="00FB77E7" w:rsidRPr="00C708B6" w:rsidRDefault="00FB77E7" w:rsidP="000C473E">
            <w:pPr>
              <w:pStyle w:val="Parastais1"/>
              <w:spacing w:before="100" w:beforeAutospacing="1" w:after="100" w:afterAutospacing="1"/>
              <w:jc w:val="both"/>
            </w:pPr>
            <w:r w:rsidRPr="00C708B6">
              <w:t>Cita informācija</w:t>
            </w:r>
          </w:p>
        </w:tc>
        <w:tc>
          <w:tcPr>
            <w:tcW w:w="3045" w:type="pct"/>
          </w:tcPr>
          <w:p w:rsidR="00FB77E7" w:rsidRPr="00C708B6" w:rsidRDefault="008275B5" w:rsidP="000C473E">
            <w:pPr>
              <w:pStyle w:val="Parastais1"/>
              <w:spacing w:before="100" w:beforeAutospacing="1" w:after="100" w:afterAutospacing="1"/>
              <w:jc w:val="both"/>
            </w:pPr>
            <w:r>
              <w:rPr>
                <w:bCs/>
                <w:color w:val="000000"/>
              </w:rPr>
              <w:t>Likumprojektā iestrādātās normas</w:t>
            </w:r>
            <w:r w:rsidRPr="00EC26CA">
              <w:rPr>
                <w:bCs/>
                <w:color w:val="000000"/>
              </w:rPr>
              <w:t xml:space="preserve"> iepriekš bija iekļaut</w:t>
            </w:r>
            <w:r>
              <w:rPr>
                <w:bCs/>
                <w:color w:val="000000"/>
              </w:rPr>
              <w:t>a</w:t>
            </w:r>
            <w:r w:rsidRPr="00EC26CA">
              <w:rPr>
                <w:bCs/>
                <w:color w:val="000000"/>
              </w:rPr>
              <w:t>s Finanšu ministrijas izstrādātajā likumprojektā Nr.1037/Lp12</w:t>
            </w:r>
            <w:r>
              <w:rPr>
                <w:bCs/>
                <w:color w:val="000000"/>
              </w:rPr>
              <w:t>, kurš bija izskatīts</w:t>
            </w:r>
            <w:r w:rsidRPr="00EC26CA">
              <w:rPr>
                <w:bCs/>
                <w:color w:val="000000"/>
              </w:rPr>
              <w:t xml:space="preserve"> Ministru kabinetā un nodots izskatīšanai Saeimā</w:t>
            </w:r>
            <w:r w:rsidR="00826FA3">
              <w:rPr>
                <w:bCs/>
                <w:color w:val="000000"/>
              </w:rPr>
              <w:t>, tomēr minētais likumprojekts tika noraidīts ar šajā likumprojektā esošo normu nesaistītu iemeslu dēļ.</w:t>
            </w:r>
          </w:p>
        </w:tc>
      </w:tr>
    </w:tbl>
    <w:p w:rsidR="00FB77E7" w:rsidRDefault="00FB77E7" w:rsidP="00FB77E7">
      <w:pPr>
        <w:pStyle w:val="Parastais1"/>
        <w:jc w:val="both"/>
      </w:pPr>
      <w:r w:rsidRPr="00C708B6">
        <w:t> </w:t>
      </w:r>
    </w:p>
    <w:p w:rsidR="003F7CA0" w:rsidRPr="00C708B6" w:rsidRDefault="003F7CA0" w:rsidP="00FB77E7">
      <w:pPr>
        <w:pStyle w:val="Parastais1"/>
        <w:jc w:val="both"/>
      </w:pPr>
    </w:p>
    <w:tbl>
      <w:tblPr>
        <w:tblW w:w="502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3"/>
        <w:gridCol w:w="3003"/>
        <w:gridCol w:w="5595"/>
      </w:tblGrid>
      <w:tr w:rsidR="00FB77E7" w:rsidRPr="00C708B6" w:rsidTr="004124B5">
        <w:tc>
          <w:tcPr>
            <w:tcW w:w="5000" w:type="pct"/>
            <w:gridSpan w:val="3"/>
          </w:tcPr>
          <w:p w:rsidR="00FB77E7" w:rsidRPr="00C708B6" w:rsidRDefault="00FB77E7" w:rsidP="000C473E">
            <w:pPr>
              <w:pStyle w:val="Parastais1"/>
              <w:spacing w:before="100" w:beforeAutospacing="1" w:after="100" w:afterAutospacing="1"/>
              <w:jc w:val="center"/>
              <w:rPr>
                <w:b/>
                <w:bCs/>
              </w:rPr>
            </w:pPr>
            <w:r w:rsidRPr="00C708B6">
              <w:rPr>
                <w:b/>
                <w:bCs/>
              </w:rPr>
              <w:t>II. Tiesību akta projekta ietekme uz sabiedrību, tautsaimniecības attīstību un administratīvo slogu</w:t>
            </w:r>
          </w:p>
        </w:tc>
      </w:tr>
      <w:tr w:rsidR="00FB77E7" w:rsidRPr="00C708B6" w:rsidTr="004124B5">
        <w:tc>
          <w:tcPr>
            <w:tcW w:w="276" w:type="pct"/>
          </w:tcPr>
          <w:p w:rsidR="00FB77E7" w:rsidRPr="00C708B6" w:rsidRDefault="00FB77E7" w:rsidP="000C473E">
            <w:pPr>
              <w:pStyle w:val="Parastais1"/>
              <w:spacing w:before="100" w:beforeAutospacing="1" w:after="100" w:afterAutospacing="1"/>
              <w:jc w:val="both"/>
            </w:pPr>
            <w:r w:rsidRPr="00C708B6">
              <w:t>1.</w:t>
            </w:r>
          </w:p>
        </w:tc>
        <w:tc>
          <w:tcPr>
            <w:tcW w:w="1650" w:type="pct"/>
          </w:tcPr>
          <w:p w:rsidR="00FB77E7" w:rsidRPr="00C708B6" w:rsidRDefault="00FB77E7" w:rsidP="000C473E">
            <w:pPr>
              <w:pStyle w:val="Parastais1"/>
              <w:spacing w:before="100" w:beforeAutospacing="1" w:after="100" w:afterAutospacing="1"/>
              <w:jc w:val="both"/>
            </w:pPr>
            <w:r w:rsidRPr="00C708B6">
              <w:t xml:space="preserve">Sabiedrības </w:t>
            </w:r>
            <w:proofErr w:type="spellStart"/>
            <w:r w:rsidRPr="00C708B6">
              <w:t>mērķgrupa</w:t>
            </w:r>
            <w:proofErr w:type="spellEnd"/>
            <w:r w:rsidRPr="00C708B6">
              <w:t>, kuras tiesiskais regulējums arī ietekmē vai varētu ietekmēt</w:t>
            </w:r>
          </w:p>
        </w:tc>
        <w:tc>
          <w:tcPr>
            <w:tcW w:w="3074" w:type="pct"/>
          </w:tcPr>
          <w:p w:rsidR="00FB77E7" w:rsidRPr="00C708B6" w:rsidRDefault="00D523FF" w:rsidP="003F7CA0">
            <w:pPr>
              <w:spacing w:line="240" w:lineRule="auto"/>
              <w:rPr>
                <w:rFonts w:eastAsia="Times New Roman"/>
                <w:sz w:val="24"/>
                <w:szCs w:val="24"/>
                <w:lang w:eastAsia="lv-LV"/>
              </w:rPr>
            </w:pPr>
            <w:r w:rsidRPr="00EC26CA">
              <w:rPr>
                <w:iCs/>
                <w:sz w:val="24"/>
                <w:szCs w:val="24"/>
              </w:rPr>
              <w:t>Likumprojek</w:t>
            </w:r>
            <w:r w:rsidR="003F7CA0">
              <w:rPr>
                <w:iCs/>
                <w:sz w:val="24"/>
                <w:szCs w:val="24"/>
              </w:rPr>
              <w:t>ts</w:t>
            </w:r>
            <w:r w:rsidRPr="00EC26CA">
              <w:rPr>
                <w:iCs/>
                <w:sz w:val="24"/>
                <w:szCs w:val="24"/>
              </w:rPr>
              <w:t xml:space="preserve"> attiecas uz </w:t>
            </w:r>
            <w:r w:rsidRPr="00EC26CA">
              <w:rPr>
                <w:rFonts w:eastAsia="Times New Roman"/>
                <w:iCs/>
                <w:sz w:val="24"/>
                <w:szCs w:val="24"/>
              </w:rPr>
              <w:t>transportlīdzekļa īpašniekiem</w:t>
            </w:r>
            <w:r w:rsidR="003F7CA0">
              <w:rPr>
                <w:rFonts w:eastAsia="Times New Roman"/>
                <w:iCs/>
                <w:sz w:val="24"/>
                <w:szCs w:val="24"/>
              </w:rPr>
              <w:t xml:space="preserve"> un </w:t>
            </w:r>
            <w:r w:rsidRPr="00EC26CA">
              <w:rPr>
                <w:rFonts w:eastAsia="Times New Roman"/>
                <w:sz w:val="24"/>
                <w:szCs w:val="24"/>
                <w:lang w:eastAsia="lv-LV"/>
              </w:rPr>
              <w:t>tirdzniecības uzņēmumiem (komersantiem), kas nodarbojas ar transportlīdzekļu tirdzniecību.</w:t>
            </w:r>
          </w:p>
        </w:tc>
      </w:tr>
      <w:tr w:rsidR="00FB77E7" w:rsidRPr="00C708B6" w:rsidTr="004124B5">
        <w:tc>
          <w:tcPr>
            <w:tcW w:w="276" w:type="pct"/>
          </w:tcPr>
          <w:p w:rsidR="00FB77E7" w:rsidRPr="00C708B6" w:rsidRDefault="00FB77E7" w:rsidP="000C473E">
            <w:pPr>
              <w:pStyle w:val="Parastais1"/>
              <w:spacing w:before="100" w:beforeAutospacing="1" w:after="100" w:afterAutospacing="1"/>
              <w:jc w:val="both"/>
            </w:pPr>
            <w:r w:rsidRPr="00C708B6">
              <w:t>2.</w:t>
            </w:r>
          </w:p>
        </w:tc>
        <w:tc>
          <w:tcPr>
            <w:tcW w:w="1650" w:type="pct"/>
          </w:tcPr>
          <w:p w:rsidR="00FB77E7" w:rsidRPr="00C708B6" w:rsidRDefault="00FB77E7" w:rsidP="000C473E">
            <w:pPr>
              <w:pStyle w:val="Parastais1"/>
              <w:spacing w:before="100" w:beforeAutospacing="1" w:after="100" w:afterAutospacing="1"/>
              <w:jc w:val="both"/>
            </w:pPr>
            <w:r w:rsidRPr="00C708B6">
              <w:t>Tiesiskā regulējuma ietekme uz tautsaimniecību un administratīvo slogu</w:t>
            </w:r>
          </w:p>
        </w:tc>
        <w:tc>
          <w:tcPr>
            <w:tcW w:w="3074" w:type="pct"/>
          </w:tcPr>
          <w:p w:rsidR="00FB77E7" w:rsidRPr="00C708B6" w:rsidRDefault="003F7CA0" w:rsidP="003F7CA0">
            <w:pPr>
              <w:spacing w:line="240" w:lineRule="auto"/>
              <w:ind w:firstLine="0"/>
            </w:pPr>
            <w:r w:rsidRPr="003F7CA0">
              <w:rPr>
                <w:rFonts w:eastAsia="Times New Roman"/>
                <w:color w:val="000000"/>
                <w:sz w:val="24"/>
                <w:szCs w:val="24"/>
                <w:lang w:eastAsia="lv-LV"/>
              </w:rPr>
              <w:t>Projekts šo jomu neskar.</w:t>
            </w:r>
          </w:p>
        </w:tc>
      </w:tr>
      <w:tr w:rsidR="00FB77E7" w:rsidRPr="00C708B6" w:rsidTr="004124B5">
        <w:tc>
          <w:tcPr>
            <w:tcW w:w="276" w:type="pct"/>
          </w:tcPr>
          <w:p w:rsidR="00FB77E7" w:rsidRPr="00C708B6" w:rsidRDefault="00FB77E7" w:rsidP="000C473E">
            <w:pPr>
              <w:pStyle w:val="Parastais1"/>
              <w:spacing w:before="100" w:beforeAutospacing="1" w:after="100" w:afterAutospacing="1"/>
              <w:jc w:val="both"/>
            </w:pPr>
            <w:r w:rsidRPr="00C708B6">
              <w:t>3.</w:t>
            </w:r>
          </w:p>
        </w:tc>
        <w:tc>
          <w:tcPr>
            <w:tcW w:w="1650" w:type="pct"/>
          </w:tcPr>
          <w:p w:rsidR="00FB77E7" w:rsidRPr="00C708B6" w:rsidRDefault="00FB77E7" w:rsidP="000C473E">
            <w:pPr>
              <w:pStyle w:val="Parastais1"/>
              <w:spacing w:before="100" w:beforeAutospacing="1" w:after="100" w:afterAutospacing="1"/>
              <w:jc w:val="both"/>
            </w:pPr>
            <w:r w:rsidRPr="00C708B6">
              <w:t>Administratīvo izmaksu monetārs novērtējums</w:t>
            </w:r>
          </w:p>
        </w:tc>
        <w:tc>
          <w:tcPr>
            <w:tcW w:w="3074" w:type="pct"/>
          </w:tcPr>
          <w:p w:rsidR="00FB77E7" w:rsidRPr="00C708B6" w:rsidRDefault="003F7CA0" w:rsidP="000C473E">
            <w:pPr>
              <w:pStyle w:val="Parastais1"/>
              <w:spacing w:before="100" w:beforeAutospacing="1" w:after="100" w:afterAutospacing="1"/>
              <w:jc w:val="both"/>
            </w:pPr>
            <w:r w:rsidRPr="003F7CA0">
              <w:t>Projekts šo jomu neskar.</w:t>
            </w:r>
          </w:p>
        </w:tc>
      </w:tr>
      <w:tr w:rsidR="000F0585" w:rsidRPr="002F6DC1" w:rsidTr="004124B5">
        <w:tc>
          <w:tcPr>
            <w:tcW w:w="276" w:type="pct"/>
          </w:tcPr>
          <w:p w:rsidR="000F0585" w:rsidRPr="002F6DC1" w:rsidRDefault="000F0585" w:rsidP="000C473E">
            <w:pPr>
              <w:pStyle w:val="Parastais1"/>
              <w:spacing w:before="100" w:beforeAutospacing="1" w:after="100" w:afterAutospacing="1"/>
              <w:jc w:val="both"/>
              <w:rPr>
                <w:color w:val="000000"/>
              </w:rPr>
            </w:pPr>
            <w:r w:rsidRPr="002F6DC1">
              <w:rPr>
                <w:color w:val="000000"/>
              </w:rPr>
              <w:t>4.</w:t>
            </w:r>
          </w:p>
        </w:tc>
        <w:tc>
          <w:tcPr>
            <w:tcW w:w="1650" w:type="pct"/>
          </w:tcPr>
          <w:p w:rsidR="000F0585" w:rsidRPr="002F6DC1" w:rsidRDefault="000F0585" w:rsidP="000F0585">
            <w:pPr>
              <w:pStyle w:val="Parastais1"/>
              <w:spacing w:before="100" w:beforeAutospacing="1" w:after="100" w:afterAutospacing="1"/>
              <w:jc w:val="both"/>
              <w:rPr>
                <w:color w:val="000000"/>
              </w:rPr>
            </w:pPr>
            <w:r w:rsidRPr="002F6DC1">
              <w:rPr>
                <w:color w:val="000000"/>
              </w:rPr>
              <w:t>Atbilstības izmaksu monetārs novērtējums</w:t>
            </w:r>
          </w:p>
        </w:tc>
        <w:tc>
          <w:tcPr>
            <w:tcW w:w="3074" w:type="pct"/>
          </w:tcPr>
          <w:p w:rsidR="000F0585" w:rsidRPr="002F6DC1" w:rsidRDefault="00E94EEB" w:rsidP="00671B23">
            <w:pPr>
              <w:pStyle w:val="Parastais1"/>
              <w:spacing w:before="100" w:beforeAutospacing="1" w:after="100" w:afterAutospacing="1"/>
              <w:jc w:val="both"/>
              <w:rPr>
                <w:iCs/>
                <w:color w:val="000000"/>
              </w:rPr>
            </w:pPr>
            <w:r w:rsidRPr="00C708B6">
              <w:rPr>
                <w:iCs/>
              </w:rPr>
              <w:t>Projekts šo jomu neskar</w:t>
            </w:r>
            <w:r w:rsidR="00340C1A">
              <w:rPr>
                <w:iCs/>
              </w:rPr>
              <w:t>.</w:t>
            </w:r>
          </w:p>
        </w:tc>
      </w:tr>
      <w:tr w:rsidR="00FB77E7" w:rsidRPr="00C708B6" w:rsidTr="004124B5">
        <w:tc>
          <w:tcPr>
            <w:tcW w:w="276" w:type="pct"/>
          </w:tcPr>
          <w:p w:rsidR="00FB77E7" w:rsidRPr="00C708B6" w:rsidRDefault="000F0585" w:rsidP="000C473E">
            <w:pPr>
              <w:pStyle w:val="Parastais1"/>
              <w:spacing w:before="100" w:beforeAutospacing="1" w:after="100" w:afterAutospacing="1"/>
              <w:jc w:val="both"/>
            </w:pPr>
            <w:r w:rsidRPr="00C708B6">
              <w:t>5</w:t>
            </w:r>
            <w:r w:rsidR="00FB77E7" w:rsidRPr="00C708B6">
              <w:t>.</w:t>
            </w:r>
          </w:p>
        </w:tc>
        <w:tc>
          <w:tcPr>
            <w:tcW w:w="1650" w:type="pct"/>
          </w:tcPr>
          <w:p w:rsidR="00FB77E7" w:rsidRPr="00C708B6" w:rsidRDefault="00FB77E7" w:rsidP="000C473E">
            <w:pPr>
              <w:pStyle w:val="Parastais1"/>
              <w:spacing w:before="100" w:beforeAutospacing="1" w:after="100" w:afterAutospacing="1"/>
              <w:jc w:val="both"/>
            </w:pPr>
            <w:r w:rsidRPr="00C708B6">
              <w:t>Cita informācija</w:t>
            </w:r>
          </w:p>
        </w:tc>
        <w:tc>
          <w:tcPr>
            <w:tcW w:w="3074" w:type="pct"/>
          </w:tcPr>
          <w:p w:rsidR="00FB77E7" w:rsidRPr="00C708B6" w:rsidRDefault="003E7BFA" w:rsidP="000C473E">
            <w:pPr>
              <w:pStyle w:val="Parastais1"/>
              <w:spacing w:before="100" w:beforeAutospacing="1" w:after="100" w:afterAutospacing="1"/>
              <w:jc w:val="both"/>
            </w:pPr>
            <w:r>
              <w:t>Nav</w:t>
            </w:r>
            <w:r w:rsidR="00340C1A">
              <w:t>.</w:t>
            </w:r>
          </w:p>
        </w:tc>
      </w:tr>
    </w:tbl>
    <w:p w:rsidR="00C708B6" w:rsidRPr="00C66FB8" w:rsidRDefault="00C708B6" w:rsidP="0049568D">
      <w:pPr>
        <w:spacing w:line="240" w:lineRule="auto"/>
        <w:ind w:firstLine="0"/>
        <w:jc w:val="left"/>
        <w:rPr>
          <w:color w:val="000000"/>
          <w:sz w:val="24"/>
          <w:szCs w:val="24"/>
        </w:rPr>
      </w:pPr>
    </w:p>
    <w:tbl>
      <w:tblPr>
        <w:tblW w:w="500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C737F4" w:rsidRPr="00966660" w:rsidTr="00C737F4">
        <w:tc>
          <w:tcPr>
            <w:tcW w:w="5000" w:type="pct"/>
            <w:tcBorders>
              <w:top w:val="outset" w:sz="6" w:space="0" w:color="414142"/>
              <w:left w:val="outset" w:sz="6" w:space="0" w:color="414142"/>
              <w:bottom w:val="outset" w:sz="6" w:space="0" w:color="414142"/>
              <w:right w:val="outset" w:sz="6" w:space="0" w:color="414142"/>
            </w:tcBorders>
            <w:vAlign w:val="center"/>
            <w:hideMark/>
          </w:tcPr>
          <w:p w:rsidR="00C737F4" w:rsidRPr="00966660" w:rsidRDefault="00C737F4" w:rsidP="00C812CB">
            <w:pPr>
              <w:spacing w:before="100" w:beforeAutospacing="1" w:after="100" w:afterAutospacing="1" w:line="293" w:lineRule="atLeast"/>
              <w:jc w:val="center"/>
              <w:rPr>
                <w:rFonts w:eastAsia="Times New Roman"/>
                <w:b/>
                <w:bCs/>
                <w:color w:val="000000" w:themeColor="text1"/>
                <w:sz w:val="24"/>
                <w:szCs w:val="24"/>
                <w:lang w:eastAsia="lv-LV"/>
              </w:rPr>
            </w:pPr>
            <w:r w:rsidRPr="00966660">
              <w:rPr>
                <w:rFonts w:eastAsia="Times New Roman"/>
                <w:b/>
                <w:bCs/>
                <w:color w:val="000000" w:themeColor="text1"/>
                <w:sz w:val="24"/>
                <w:szCs w:val="24"/>
                <w:lang w:eastAsia="lv-LV"/>
              </w:rPr>
              <w:t>III. Tiesību akta projekta ietekme uz valsts budžetu un pašvaldību budžetiem</w:t>
            </w:r>
          </w:p>
        </w:tc>
      </w:tr>
      <w:tr w:rsidR="00C737F4" w:rsidRPr="00966660" w:rsidTr="00C737F4">
        <w:tc>
          <w:tcPr>
            <w:tcW w:w="5000" w:type="pct"/>
            <w:tcBorders>
              <w:top w:val="outset" w:sz="6" w:space="0" w:color="414142"/>
              <w:left w:val="outset" w:sz="6" w:space="0" w:color="414142"/>
              <w:bottom w:val="outset" w:sz="6" w:space="0" w:color="414142"/>
              <w:right w:val="outset" w:sz="6" w:space="0" w:color="414142"/>
            </w:tcBorders>
            <w:hideMark/>
          </w:tcPr>
          <w:p w:rsidR="00C737F4" w:rsidRPr="00966660" w:rsidRDefault="00C737F4" w:rsidP="00C812CB">
            <w:pPr>
              <w:spacing w:line="240" w:lineRule="auto"/>
              <w:jc w:val="center"/>
              <w:rPr>
                <w:rFonts w:eastAsia="Times New Roman"/>
                <w:color w:val="000000" w:themeColor="text1"/>
                <w:sz w:val="24"/>
                <w:szCs w:val="24"/>
                <w:lang w:eastAsia="lv-LV"/>
              </w:rPr>
            </w:pPr>
            <w:r w:rsidRPr="00966660">
              <w:rPr>
                <w:rFonts w:eastAsia="Times New Roman"/>
                <w:color w:val="000000" w:themeColor="text1"/>
                <w:sz w:val="24"/>
                <w:szCs w:val="24"/>
                <w:lang w:eastAsia="lv-LV"/>
              </w:rPr>
              <w:t>Projekts šo jomu neskar.</w:t>
            </w:r>
          </w:p>
        </w:tc>
      </w:tr>
    </w:tbl>
    <w:p w:rsidR="00C737F4" w:rsidRPr="00C66FB8" w:rsidRDefault="00C737F4" w:rsidP="0049568D">
      <w:pPr>
        <w:spacing w:line="240" w:lineRule="auto"/>
        <w:ind w:firstLine="0"/>
        <w:jc w:val="left"/>
        <w:rPr>
          <w:color w:val="000000"/>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08B6" w:rsidRPr="00C66FB8" w:rsidTr="004124B5">
        <w:tc>
          <w:tcPr>
            <w:tcW w:w="9101" w:type="dxa"/>
            <w:shd w:val="clear" w:color="auto" w:fill="auto"/>
          </w:tcPr>
          <w:p w:rsidR="00C708B6" w:rsidRPr="00C66FB8" w:rsidRDefault="00C708B6" w:rsidP="00C737F4">
            <w:pPr>
              <w:spacing w:line="240" w:lineRule="auto"/>
              <w:ind w:firstLine="0"/>
              <w:jc w:val="center"/>
              <w:rPr>
                <w:b/>
                <w:bCs/>
                <w:color w:val="000000"/>
                <w:sz w:val="24"/>
                <w:szCs w:val="24"/>
                <w:shd w:val="clear" w:color="auto" w:fill="FFFFFF"/>
              </w:rPr>
            </w:pPr>
            <w:r w:rsidRPr="00C66FB8">
              <w:rPr>
                <w:b/>
                <w:bCs/>
                <w:color w:val="000000"/>
                <w:sz w:val="24"/>
                <w:szCs w:val="24"/>
                <w:shd w:val="clear" w:color="auto" w:fill="FFFFFF"/>
              </w:rPr>
              <w:t>IV. Tiesību akta projekta ietekme uz spēkā esošo tiesību normu sistēmu</w:t>
            </w:r>
          </w:p>
        </w:tc>
      </w:tr>
      <w:tr w:rsidR="00C708B6" w:rsidRPr="00C66FB8" w:rsidTr="004124B5">
        <w:tc>
          <w:tcPr>
            <w:tcW w:w="9101" w:type="dxa"/>
            <w:shd w:val="clear" w:color="auto" w:fill="auto"/>
          </w:tcPr>
          <w:p w:rsidR="00C708B6" w:rsidRPr="00C66FB8" w:rsidRDefault="00C708B6" w:rsidP="00C737F4">
            <w:pPr>
              <w:spacing w:line="240" w:lineRule="auto"/>
              <w:ind w:firstLine="0"/>
              <w:jc w:val="center"/>
              <w:rPr>
                <w:b/>
                <w:bCs/>
                <w:color w:val="000000"/>
                <w:sz w:val="24"/>
                <w:szCs w:val="24"/>
                <w:shd w:val="clear" w:color="auto" w:fill="FFFFFF"/>
              </w:rPr>
            </w:pPr>
            <w:r w:rsidRPr="00C66FB8">
              <w:rPr>
                <w:rFonts w:eastAsia="Times New Roman"/>
                <w:color w:val="000000"/>
                <w:sz w:val="24"/>
                <w:szCs w:val="24"/>
              </w:rPr>
              <w:t>Projekts šo jomu neskar</w:t>
            </w:r>
            <w:r w:rsidR="00340C1A">
              <w:rPr>
                <w:rFonts w:eastAsia="Times New Roman"/>
                <w:color w:val="000000"/>
                <w:sz w:val="24"/>
                <w:szCs w:val="24"/>
              </w:rPr>
              <w:t>.</w:t>
            </w:r>
          </w:p>
        </w:tc>
      </w:tr>
    </w:tbl>
    <w:p w:rsidR="00C708B6" w:rsidRPr="00C66FB8" w:rsidRDefault="00C708B6" w:rsidP="0049568D">
      <w:pPr>
        <w:spacing w:line="240" w:lineRule="auto"/>
        <w:ind w:firstLine="0"/>
        <w:jc w:val="left"/>
        <w:rPr>
          <w:b/>
          <w:bCs/>
          <w:color w:val="000000"/>
          <w:sz w:val="24"/>
          <w:szCs w:val="24"/>
          <w:shd w:val="clear" w:color="auto" w:fill="FFFFFF"/>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08B6" w:rsidRPr="00C66FB8" w:rsidTr="004124B5">
        <w:tc>
          <w:tcPr>
            <w:tcW w:w="9101" w:type="dxa"/>
            <w:shd w:val="clear" w:color="auto" w:fill="auto"/>
          </w:tcPr>
          <w:p w:rsidR="00C708B6" w:rsidRPr="00C66FB8" w:rsidRDefault="00C708B6" w:rsidP="00C737F4">
            <w:pPr>
              <w:spacing w:line="240" w:lineRule="auto"/>
              <w:ind w:firstLine="0"/>
              <w:jc w:val="center"/>
              <w:rPr>
                <w:b/>
                <w:bCs/>
                <w:color w:val="000000"/>
                <w:sz w:val="24"/>
                <w:szCs w:val="24"/>
                <w:shd w:val="clear" w:color="auto" w:fill="FFFFFF"/>
              </w:rPr>
            </w:pPr>
            <w:r w:rsidRPr="00C66FB8">
              <w:rPr>
                <w:b/>
                <w:color w:val="000000"/>
                <w:sz w:val="24"/>
                <w:szCs w:val="24"/>
              </w:rPr>
              <w:t>V. Tiesību akta projekta atbilstība Latvijas Republikas starptautiskajām saistībām</w:t>
            </w:r>
          </w:p>
        </w:tc>
      </w:tr>
      <w:tr w:rsidR="00C708B6" w:rsidRPr="00C66FB8" w:rsidTr="004124B5">
        <w:tc>
          <w:tcPr>
            <w:tcW w:w="9101" w:type="dxa"/>
            <w:shd w:val="clear" w:color="auto" w:fill="auto"/>
          </w:tcPr>
          <w:p w:rsidR="00C708B6" w:rsidRPr="00C66FB8" w:rsidRDefault="00C708B6" w:rsidP="00C737F4">
            <w:pPr>
              <w:spacing w:line="240" w:lineRule="auto"/>
              <w:ind w:firstLine="0"/>
              <w:jc w:val="center"/>
              <w:rPr>
                <w:b/>
                <w:bCs/>
                <w:color w:val="000000"/>
                <w:sz w:val="24"/>
                <w:szCs w:val="24"/>
                <w:shd w:val="clear" w:color="auto" w:fill="FFFFFF"/>
              </w:rPr>
            </w:pPr>
            <w:r w:rsidRPr="00C66FB8">
              <w:rPr>
                <w:rFonts w:eastAsia="Times New Roman"/>
                <w:color w:val="000000"/>
                <w:sz w:val="24"/>
                <w:szCs w:val="24"/>
              </w:rPr>
              <w:t>Projekts šo jomu neskar</w:t>
            </w:r>
            <w:r w:rsidR="00340C1A">
              <w:rPr>
                <w:rFonts w:eastAsia="Times New Roman"/>
                <w:color w:val="000000"/>
                <w:sz w:val="24"/>
                <w:szCs w:val="24"/>
              </w:rPr>
              <w:t>.</w:t>
            </w:r>
          </w:p>
        </w:tc>
      </w:tr>
    </w:tbl>
    <w:p w:rsidR="00C708B6" w:rsidRPr="00C708B6" w:rsidRDefault="00C708B6" w:rsidP="0049568D">
      <w:pPr>
        <w:spacing w:line="240" w:lineRule="auto"/>
        <w:ind w:firstLine="0"/>
        <w:jc w:val="left"/>
        <w:rPr>
          <w:b/>
          <w:bCs/>
          <w:color w:val="414142"/>
          <w:sz w:val="24"/>
          <w:szCs w:val="24"/>
          <w:shd w:val="clear" w:color="auto" w:fill="FFFFFF"/>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4"/>
        <w:gridCol w:w="5660"/>
      </w:tblGrid>
      <w:tr w:rsidR="001E4AFD" w:rsidRPr="00C708B6" w:rsidTr="004124B5">
        <w:trPr>
          <w:trHeight w:val="421"/>
        </w:trPr>
        <w:tc>
          <w:tcPr>
            <w:tcW w:w="9204" w:type="dxa"/>
            <w:gridSpan w:val="2"/>
            <w:vAlign w:val="center"/>
          </w:tcPr>
          <w:p w:rsidR="001E4AFD" w:rsidRPr="00C708B6" w:rsidRDefault="001E4AFD" w:rsidP="000C473E">
            <w:pPr>
              <w:pStyle w:val="naisnod"/>
              <w:spacing w:before="0" w:beforeAutospacing="0" w:after="0" w:afterAutospacing="0"/>
              <w:ind w:left="57" w:right="57"/>
              <w:jc w:val="center"/>
            </w:pPr>
            <w:r w:rsidRPr="00C708B6">
              <w:rPr>
                <w:b/>
              </w:rPr>
              <w:t>VI. Sabiedrības līdzdalība un komunikācijas aktivitātes</w:t>
            </w:r>
          </w:p>
        </w:tc>
      </w:tr>
      <w:tr w:rsidR="001E4AFD" w:rsidRPr="00C708B6" w:rsidTr="004124B5">
        <w:trPr>
          <w:trHeight w:val="553"/>
        </w:trPr>
        <w:tc>
          <w:tcPr>
            <w:tcW w:w="3544" w:type="dxa"/>
          </w:tcPr>
          <w:p w:rsidR="001E4AFD" w:rsidRPr="00C708B6" w:rsidRDefault="001E4AFD" w:rsidP="0035658B">
            <w:pPr>
              <w:tabs>
                <w:tab w:val="left" w:pos="170"/>
              </w:tabs>
              <w:spacing w:line="240" w:lineRule="auto"/>
              <w:ind w:left="57" w:right="57" w:firstLine="0"/>
              <w:jc w:val="left"/>
              <w:rPr>
                <w:sz w:val="24"/>
                <w:szCs w:val="24"/>
                <w:lang w:eastAsia="lv-LV"/>
              </w:rPr>
            </w:pPr>
            <w:r w:rsidRPr="00C708B6">
              <w:rPr>
                <w:sz w:val="24"/>
                <w:szCs w:val="24"/>
                <w:lang w:eastAsia="lv-LV"/>
              </w:rPr>
              <w:t>Plānotās sabiedrības līdzdalības un komunikācijas aktivitātes saistībā ar projektu</w:t>
            </w:r>
          </w:p>
        </w:tc>
        <w:tc>
          <w:tcPr>
            <w:tcW w:w="5660" w:type="dxa"/>
          </w:tcPr>
          <w:p w:rsidR="00C737F4" w:rsidRDefault="00C737F4" w:rsidP="00137BB2">
            <w:pPr>
              <w:shd w:val="clear" w:color="auto" w:fill="FFFFFF"/>
              <w:spacing w:line="240" w:lineRule="auto"/>
              <w:ind w:left="47" w:firstLine="0"/>
              <w:rPr>
                <w:sz w:val="24"/>
                <w:szCs w:val="24"/>
              </w:rPr>
            </w:pPr>
            <w:bookmarkStart w:id="1" w:name="p61"/>
            <w:bookmarkStart w:id="2" w:name="468650"/>
            <w:bookmarkEnd w:id="1"/>
            <w:bookmarkEnd w:id="2"/>
            <w:r w:rsidRPr="00C737F4">
              <w:rPr>
                <w:color w:val="000000"/>
                <w:sz w:val="24"/>
                <w:szCs w:val="24"/>
              </w:rPr>
              <w:t>Atbilstoši Ministru kabineta 2009.gada 25.augusta noteikumu Nr.970 „Sabiedrības līdzdalības kārtība attīstības plānošanas procesā” 7.4.</w:t>
            </w:r>
            <w:r w:rsidRPr="00C737F4">
              <w:rPr>
                <w:color w:val="000000"/>
                <w:sz w:val="24"/>
                <w:szCs w:val="24"/>
                <w:vertAlign w:val="superscript"/>
              </w:rPr>
              <w:t xml:space="preserve">1 </w:t>
            </w:r>
            <w:r w:rsidRPr="00C737F4">
              <w:rPr>
                <w:color w:val="000000"/>
                <w:sz w:val="24"/>
                <w:szCs w:val="24"/>
              </w:rPr>
              <w:t>apakšpunktam sabiedrībai tiek dota iespēja rakstiski sniegt viedokli par noteikumu projektu tā saskaņošanas stadijā.</w:t>
            </w:r>
          </w:p>
          <w:p w:rsidR="001E4AFD" w:rsidRPr="00C708B6" w:rsidRDefault="00137BB2" w:rsidP="00137BB2">
            <w:pPr>
              <w:shd w:val="clear" w:color="auto" w:fill="FFFFFF"/>
              <w:spacing w:line="240" w:lineRule="auto"/>
              <w:ind w:left="47" w:firstLine="0"/>
              <w:rPr>
                <w:sz w:val="24"/>
                <w:szCs w:val="24"/>
                <w:lang w:eastAsia="lv-LV"/>
              </w:rPr>
            </w:pPr>
            <w:r w:rsidRPr="00EC26CA">
              <w:rPr>
                <w:sz w:val="24"/>
                <w:szCs w:val="24"/>
              </w:rPr>
              <w:t xml:space="preserve">Likumprojekta izstrādes gaitā notikušas konsultācijas ar </w:t>
            </w:r>
            <w:r>
              <w:rPr>
                <w:sz w:val="24"/>
                <w:szCs w:val="24"/>
              </w:rPr>
              <w:t>biedrību “</w:t>
            </w:r>
            <w:r w:rsidRPr="00137BB2">
              <w:rPr>
                <w:rFonts w:eastAsia="Times New Roman"/>
                <w:bCs/>
                <w:color w:val="000000"/>
                <w:sz w:val="24"/>
                <w:szCs w:val="24"/>
              </w:rPr>
              <w:t>Latvijas Transportlīdzekļu apdrošinātāju birojs</w:t>
            </w:r>
            <w:r>
              <w:rPr>
                <w:rFonts w:eastAsia="Times New Roman"/>
                <w:bCs/>
                <w:color w:val="000000"/>
                <w:sz w:val="24"/>
                <w:szCs w:val="24"/>
              </w:rPr>
              <w:t>”</w:t>
            </w:r>
            <w:r w:rsidRPr="00EC26CA">
              <w:rPr>
                <w:sz w:val="24"/>
                <w:szCs w:val="24"/>
              </w:rPr>
              <w:t xml:space="preserve"> un biedrību “</w:t>
            </w:r>
            <w:r w:rsidRPr="00EC26CA">
              <w:rPr>
                <w:iCs/>
                <w:sz w:val="24"/>
                <w:szCs w:val="24"/>
              </w:rPr>
              <w:t>Auto Asociācija”</w:t>
            </w:r>
            <w:r w:rsidRPr="00EC26CA">
              <w:rPr>
                <w:rFonts w:eastAsia="Times New Roman"/>
                <w:bCs/>
                <w:color w:val="000000"/>
                <w:sz w:val="24"/>
                <w:szCs w:val="24"/>
              </w:rPr>
              <w:t>.</w:t>
            </w:r>
          </w:p>
        </w:tc>
      </w:tr>
      <w:tr w:rsidR="001E4AFD" w:rsidRPr="00C708B6" w:rsidTr="004124B5">
        <w:trPr>
          <w:trHeight w:val="339"/>
        </w:trPr>
        <w:tc>
          <w:tcPr>
            <w:tcW w:w="3544" w:type="dxa"/>
          </w:tcPr>
          <w:p w:rsidR="001E4AFD" w:rsidRPr="00C708B6" w:rsidRDefault="001E4AFD" w:rsidP="0035658B">
            <w:pPr>
              <w:spacing w:line="240" w:lineRule="auto"/>
              <w:ind w:left="57" w:right="57" w:firstLine="0"/>
              <w:jc w:val="left"/>
              <w:rPr>
                <w:sz w:val="24"/>
                <w:szCs w:val="24"/>
                <w:lang w:eastAsia="lv-LV"/>
              </w:rPr>
            </w:pPr>
            <w:r w:rsidRPr="00C708B6">
              <w:rPr>
                <w:sz w:val="24"/>
                <w:szCs w:val="24"/>
                <w:lang w:eastAsia="lv-LV"/>
              </w:rPr>
              <w:t>Sabiedrības līdzdalība projekta izstrādē</w:t>
            </w:r>
          </w:p>
        </w:tc>
        <w:tc>
          <w:tcPr>
            <w:tcW w:w="5660" w:type="dxa"/>
          </w:tcPr>
          <w:p w:rsidR="001E4AFD" w:rsidRPr="00C708B6" w:rsidRDefault="00C737F4" w:rsidP="00137BB2">
            <w:pPr>
              <w:shd w:val="clear" w:color="auto" w:fill="FFFFFF"/>
              <w:spacing w:line="240" w:lineRule="auto"/>
              <w:ind w:left="47" w:firstLine="0"/>
              <w:rPr>
                <w:sz w:val="24"/>
                <w:szCs w:val="24"/>
                <w:lang w:eastAsia="lv-LV"/>
              </w:rPr>
            </w:pPr>
            <w:bookmarkStart w:id="3" w:name="p62"/>
            <w:bookmarkEnd w:id="3"/>
            <w:r w:rsidRPr="00C737F4">
              <w:rPr>
                <w:bCs/>
                <w:color w:val="000000"/>
                <w:sz w:val="24"/>
                <w:szCs w:val="24"/>
              </w:rPr>
              <w:t>Paziņojums par līdzdalības iespējām tiesību akta saskaņošanas procesā ievietots Satiksmes ministrijas tīmekļa vietnē 2018.gada 5.februārī</w:t>
            </w:r>
            <w:r w:rsidRPr="00C737F4">
              <w:rPr>
                <w:rFonts w:ascii="Calibri" w:hAnsi="Calibri" w:cs="Arial"/>
                <w:color w:val="000000"/>
                <w:sz w:val="22"/>
              </w:rPr>
              <w:t xml:space="preserve"> </w:t>
            </w:r>
            <w:hyperlink r:id="rId8" w:history="1">
              <w:r w:rsidRPr="00C737F4">
                <w:rPr>
                  <w:bCs/>
                  <w:color w:val="000000"/>
                  <w:sz w:val="24"/>
                  <w:szCs w:val="24"/>
                  <w:u w:val="single"/>
                </w:rPr>
                <w:t>http://www.sam.gov.lv/sm/content/?cat=553</w:t>
              </w:r>
            </w:hyperlink>
          </w:p>
        </w:tc>
      </w:tr>
      <w:tr w:rsidR="001E4AFD" w:rsidRPr="00C708B6" w:rsidTr="004124B5">
        <w:trPr>
          <w:trHeight w:val="476"/>
        </w:trPr>
        <w:tc>
          <w:tcPr>
            <w:tcW w:w="3544" w:type="dxa"/>
          </w:tcPr>
          <w:p w:rsidR="001E4AFD" w:rsidRPr="00C708B6" w:rsidRDefault="001E4AFD" w:rsidP="001E4AFD">
            <w:pPr>
              <w:spacing w:line="240" w:lineRule="auto"/>
              <w:ind w:left="57" w:right="57" w:firstLine="46"/>
              <w:rPr>
                <w:sz w:val="24"/>
                <w:szCs w:val="24"/>
                <w:lang w:eastAsia="lv-LV"/>
              </w:rPr>
            </w:pPr>
            <w:r w:rsidRPr="00C708B6">
              <w:rPr>
                <w:sz w:val="24"/>
                <w:szCs w:val="24"/>
                <w:lang w:eastAsia="lv-LV"/>
              </w:rPr>
              <w:t>Sabiedrības līdzdalības rezultāti</w:t>
            </w:r>
          </w:p>
        </w:tc>
        <w:tc>
          <w:tcPr>
            <w:tcW w:w="5660" w:type="dxa"/>
          </w:tcPr>
          <w:p w:rsidR="001E4AFD" w:rsidRPr="00C737F4" w:rsidRDefault="00137BB2" w:rsidP="00137BB2">
            <w:pPr>
              <w:shd w:val="clear" w:color="auto" w:fill="FFFFFF"/>
              <w:spacing w:line="240" w:lineRule="auto"/>
              <w:ind w:left="47" w:firstLine="0"/>
              <w:rPr>
                <w:iCs/>
                <w:sz w:val="24"/>
                <w:szCs w:val="24"/>
              </w:rPr>
            </w:pPr>
            <w:r w:rsidRPr="00EC26CA">
              <w:rPr>
                <w:sz w:val="24"/>
                <w:szCs w:val="24"/>
              </w:rPr>
              <w:t xml:space="preserve">Biedrība </w:t>
            </w:r>
            <w:r>
              <w:rPr>
                <w:sz w:val="24"/>
                <w:szCs w:val="24"/>
              </w:rPr>
              <w:t>“</w:t>
            </w:r>
            <w:r w:rsidRPr="00137BB2">
              <w:rPr>
                <w:rFonts w:eastAsia="Times New Roman"/>
                <w:bCs/>
                <w:color w:val="000000"/>
                <w:sz w:val="24"/>
                <w:szCs w:val="24"/>
              </w:rPr>
              <w:t>Latvijas Transportlīdzekļu apdrošinātāju birojs</w:t>
            </w:r>
            <w:r>
              <w:rPr>
                <w:rFonts w:eastAsia="Times New Roman"/>
                <w:bCs/>
                <w:color w:val="000000"/>
                <w:sz w:val="24"/>
                <w:szCs w:val="24"/>
              </w:rPr>
              <w:t>”</w:t>
            </w:r>
            <w:r w:rsidRPr="00EC26CA">
              <w:rPr>
                <w:sz w:val="24"/>
                <w:szCs w:val="24"/>
              </w:rPr>
              <w:t xml:space="preserve"> un biedrīb</w:t>
            </w:r>
            <w:r>
              <w:rPr>
                <w:sz w:val="24"/>
                <w:szCs w:val="24"/>
              </w:rPr>
              <w:t>a</w:t>
            </w:r>
            <w:r w:rsidRPr="00EC26CA">
              <w:rPr>
                <w:sz w:val="24"/>
                <w:szCs w:val="24"/>
              </w:rPr>
              <w:t xml:space="preserve"> “</w:t>
            </w:r>
            <w:r w:rsidRPr="00EC26CA">
              <w:rPr>
                <w:iCs/>
                <w:sz w:val="24"/>
                <w:szCs w:val="24"/>
              </w:rPr>
              <w:t>Auto Asociācija”</w:t>
            </w:r>
            <w:r w:rsidRPr="00EC26CA">
              <w:rPr>
                <w:sz w:val="24"/>
                <w:szCs w:val="24"/>
              </w:rPr>
              <w:t xml:space="preserve"> </w:t>
            </w:r>
            <w:r w:rsidRPr="00EC26CA">
              <w:rPr>
                <w:iCs/>
                <w:sz w:val="24"/>
                <w:szCs w:val="24"/>
              </w:rPr>
              <w:t>atbalsta grozījumus likumā</w:t>
            </w:r>
            <w:r w:rsidRPr="00EC26CA">
              <w:rPr>
                <w:sz w:val="24"/>
                <w:szCs w:val="24"/>
              </w:rPr>
              <w:t>.</w:t>
            </w:r>
            <w:r w:rsidR="00C737F4">
              <w:t xml:space="preserve"> </w:t>
            </w:r>
            <w:r w:rsidR="00C737F4" w:rsidRPr="00C737F4">
              <w:rPr>
                <w:sz w:val="24"/>
                <w:szCs w:val="24"/>
              </w:rPr>
              <w:t>Citi iebildumi un priekšlikumi netika saņemti.</w:t>
            </w:r>
          </w:p>
        </w:tc>
      </w:tr>
      <w:tr w:rsidR="001E4AFD" w:rsidRPr="00C708B6" w:rsidTr="004124B5">
        <w:trPr>
          <w:trHeight w:val="476"/>
        </w:trPr>
        <w:tc>
          <w:tcPr>
            <w:tcW w:w="3544" w:type="dxa"/>
          </w:tcPr>
          <w:p w:rsidR="001E4AFD" w:rsidRPr="00C708B6" w:rsidRDefault="001E4AFD" w:rsidP="001E4AFD">
            <w:pPr>
              <w:spacing w:line="240" w:lineRule="auto"/>
              <w:ind w:left="57" w:right="57" w:firstLine="46"/>
              <w:rPr>
                <w:sz w:val="24"/>
                <w:szCs w:val="24"/>
                <w:lang w:eastAsia="lv-LV"/>
              </w:rPr>
            </w:pPr>
            <w:r w:rsidRPr="00C708B6">
              <w:rPr>
                <w:sz w:val="24"/>
                <w:szCs w:val="24"/>
                <w:lang w:eastAsia="lv-LV"/>
              </w:rPr>
              <w:t>Cita informācija</w:t>
            </w:r>
          </w:p>
        </w:tc>
        <w:tc>
          <w:tcPr>
            <w:tcW w:w="5660" w:type="dxa"/>
          </w:tcPr>
          <w:p w:rsidR="001E4AFD" w:rsidRPr="00C708B6" w:rsidRDefault="003E7BFA" w:rsidP="00EE2AC7">
            <w:pPr>
              <w:spacing w:line="240" w:lineRule="auto"/>
              <w:ind w:left="47" w:right="57" w:firstLine="0"/>
              <w:rPr>
                <w:sz w:val="24"/>
                <w:szCs w:val="24"/>
                <w:lang w:eastAsia="lv-LV"/>
              </w:rPr>
            </w:pPr>
            <w:r>
              <w:rPr>
                <w:sz w:val="24"/>
                <w:szCs w:val="24"/>
              </w:rPr>
              <w:t>Nav</w:t>
            </w:r>
            <w:r w:rsidR="00340C1A">
              <w:rPr>
                <w:sz w:val="24"/>
                <w:szCs w:val="24"/>
              </w:rPr>
              <w:t>.</w:t>
            </w:r>
          </w:p>
        </w:tc>
      </w:tr>
    </w:tbl>
    <w:p w:rsidR="00340C1A" w:rsidRPr="00C708B6" w:rsidRDefault="00340C1A" w:rsidP="00FB77E7">
      <w:pPr>
        <w:pStyle w:val="Parastais1"/>
        <w:jc w:val="both"/>
      </w:pPr>
    </w:p>
    <w:tbl>
      <w:tblPr>
        <w:tblpPr w:leftFromText="180" w:rightFromText="180" w:vertAnchor="text" w:horzAnchor="margin" w:tblpX="75" w:tblpY="113"/>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06"/>
        <w:gridCol w:w="3072"/>
        <w:gridCol w:w="5588"/>
      </w:tblGrid>
      <w:tr w:rsidR="00FB77E7" w:rsidRPr="00C708B6" w:rsidTr="004124B5">
        <w:tc>
          <w:tcPr>
            <w:tcW w:w="5000" w:type="pct"/>
            <w:gridSpan w:val="3"/>
          </w:tcPr>
          <w:p w:rsidR="00FB77E7" w:rsidRPr="00C708B6" w:rsidRDefault="00FB77E7" w:rsidP="000C473E">
            <w:pPr>
              <w:pStyle w:val="Parastais1"/>
              <w:spacing w:before="100" w:beforeAutospacing="1" w:after="100" w:afterAutospacing="1"/>
              <w:jc w:val="center"/>
              <w:rPr>
                <w:b/>
                <w:bCs/>
              </w:rPr>
            </w:pPr>
            <w:r w:rsidRPr="00C708B6">
              <w:rPr>
                <w:b/>
                <w:bCs/>
              </w:rPr>
              <w:t>VII. Tiesību akta projekta izpildes nodrošināšana un tās ietekme uz institūcijām</w:t>
            </w:r>
          </w:p>
        </w:tc>
      </w:tr>
      <w:tr w:rsidR="00DD020E" w:rsidRPr="00C708B6" w:rsidTr="004124B5">
        <w:tc>
          <w:tcPr>
            <w:tcW w:w="224" w:type="pct"/>
          </w:tcPr>
          <w:p w:rsidR="00DD020E" w:rsidRPr="00C708B6" w:rsidRDefault="00DD020E" w:rsidP="000C473E">
            <w:pPr>
              <w:pStyle w:val="Parastais1"/>
              <w:spacing w:before="100" w:beforeAutospacing="1" w:after="100" w:afterAutospacing="1"/>
            </w:pPr>
            <w:r w:rsidRPr="00C708B6">
              <w:t>1.</w:t>
            </w:r>
          </w:p>
        </w:tc>
        <w:tc>
          <w:tcPr>
            <w:tcW w:w="1694" w:type="pct"/>
          </w:tcPr>
          <w:p w:rsidR="00DD020E" w:rsidRPr="00C708B6" w:rsidRDefault="00DD020E" w:rsidP="000C473E">
            <w:pPr>
              <w:pStyle w:val="Parastais1"/>
              <w:spacing w:before="100" w:beforeAutospacing="1" w:after="100" w:afterAutospacing="1"/>
            </w:pPr>
            <w:r w:rsidRPr="00C708B6">
              <w:t>Projekta izpildē iesaistītās institūcijas</w:t>
            </w:r>
          </w:p>
        </w:tc>
        <w:tc>
          <w:tcPr>
            <w:tcW w:w="3082" w:type="pct"/>
          </w:tcPr>
          <w:p w:rsidR="00DD020E" w:rsidRPr="00C708B6" w:rsidRDefault="00C737F4" w:rsidP="008A37C7">
            <w:pPr>
              <w:spacing w:after="120" w:line="240" w:lineRule="auto"/>
              <w:ind w:firstLine="0"/>
              <w:rPr>
                <w:rFonts w:eastAsia="Times New Roman"/>
                <w:sz w:val="24"/>
                <w:szCs w:val="24"/>
                <w:highlight w:val="yellow"/>
                <w:lang w:eastAsia="lv-LV"/>
              </w:rPr>
            </w:pPr>
            <w:r w:rsidRPr="00C737F4">
              <w:rPr>
                <w:rFonts w:eastAsia="Times New Roman"/>
                <w:color w:val="000000"/>
                <w:sz w:val="24"/>
                <w:szCs w:val="24"/>
                <w:lang w:eastAsia="lv-LV"/>
              </w:rPr>
              <w:t>Valsts akciju sabiedrība „Ceļu satiksmes drošības direkcija”.</w:t>
            </w:r>
          </w:p>
        </w:tc>
      </w:tr>
      <w:tr w:rsidR="00DD020E" w:rsidRPr="00C708B6" w:rsidTr="004124B5">
        <w:tc>
          <w:tcPr>
            <w:tcW w:w="224" w:type="pct"/>
          </w:tcPr>
          <w:p w:rsidR="00DD020E" w:rsidRPr="00C708B6" w:rsidRDefault="00DD020E" w:rsidP="000C473E">
            <w:pPr>
              <w:pStyle w:val="Parastais1"/>
              <w:spacing w:before="100" w:beforeAutospacing="1" w:after="100" w:afterAutospacing="1"/>
            </w:pPr>
            <w:r w:rsidRPr="00C708B6">
              <w:lastRenderedPageBreak/>
              <w:t>2.</w:t>
            </w:r>
          </w:p>
        </w:tc>
        <w:tc>
          <w:tcPr>
            <w:tcW w:w="1694" w:type="pct"/>
          </w:tcPr>
          <w:p w:rsidR="00DD020E" w:rsidRPr="00C708B6" w:rsidRDefault="00DD020E" w:rsidP="000C473E">
            <w:pPr>
              <w:pStyle w:val="Parastais1"/>
              <w:spacing w:before="100" w:beforeAutospacing="1" w:after="100" w:afterAutospacing="1"/>
            </w:pPr>
            <w:r w:rsidRPr="00C708B6">
              <w:t xml:space="preserve">Projekta izpildes ietekme uz pārvaldes funkcijām un institucionālo struktūru. </w:t>
            </w:r>
          </w:p>
          <w:p w:rsidR="00DD020E" w:rsidRPr="00C708B6" w:rsidRDefault="00413347" w:rsidP="000C473E">
            <w:pPr>
              <w:pStyle w:val="Parastais1"/>
              <w:spacing w:before="100" w:beforeAutospacing="1" w:after="100" w:afterAutospacing="1"/>
            </w:pPr>
            <w:r w:rsidRPr="00C708B6">
              <w:t>Jaunu institūciju izveide, esošu institūciju likvidācija vai reorganizācija, to ietekme uz institūcijas cilvēkresursiem.</w:t>
            </w:r>
          </w:p>
        </w:tc>
        <w:tc>
          <w:tcPr>
            <w:tcW w:w="3082" w:type="pct"/>
          </w:tcPr>
          <w:p w:rsidR="00DD020E" w:rsidRPr="00C708B6" w:rsidRDefault="00C737F4" w:rsidP="000D342D">
            <w:pPr>
              <w:spacing w:after="120" w:line="240" w:lineRule="auto"/>
              <w:ind w:firstLine="0"/>
              <w:rPr>
                <w:rFonts w:eastAsia="Times New Roman"/>
                <w:color w:val="000000"/>
                <w:sz w:val="24"/>
                <w:szCs w:val="24"/>
                <w:lang w:eastAsia="lv-LV"/>
              </w:rPr>
            </w:pPr>
            <w:r w:rsidRPr="00C737F4">
              <w:rPr>
                <w:rFonts w:eastAsia="Times New Roman"/>
                <w:color w:val="000000"/>
                <w:sz w:val="24"/>
                <w:szCs w:val="24"/>
                <w:lang w:eastAsia="lv-LV"/>
              </w:rPr>
              <w:t xml:space="preserve">Noteikumu projekta izpilde tiks nodrošināta anotācijas </w:t>
            </w:r>
            <w:r w:rsidRPr="00C737F4">
              <w:rPr>
                <w:rFonts w:eastAsia="Times New Roman"/>
                <w:bCs/>
                <w:color w:val="000000"/>
                <w:sz w:val="24"/>
                <w:szCs w:val="24"/>
                <w:lang w:eastAsia="lv-LV"/>
              </w:rPr>
              <w:t>VII sadaļas 1.punktā minēto institūciju līdzšinējo funkciju ietvaros un institūciju cilvēkresursus neietekmēs.</w:t>
            </w:r>
          </w:p>
        </w:tc>
      </w:tr>
      <w:tr w:rsidR="00FB77E7" w:rsidRPr="00C708B6" w:rsidTr="004124B5">
        <w:tc>
          <w:tcPr>
            <w:tcW w:w="224" w:type="pct"/>
          </w:tcPr>
          <w:p w:rsidR="00FB77E7" w:rsidRPr="00C708B6" w:rsidRDefault="00FB77E7" w:rsidP="000C473E">
            <w:pPr>
              <w:pStyle w:val="Parastais1"/>
              <w:spacing w:before="100" w:beforeAutospacing="1" w:after="100" w:afterAutospacing="1"/>
              <w:jc w:val="both"/>
            </w:pPr>
            <w:r w:rsidRPr="00C708B6">
              <w:t>3.</w:t>
            </w:r>
          </w:p>
        </w:tc>
        <w:tc>
          <w:tcPr>
            <w:tcW w:w="1694" w:type="pct"/>
          </w:tcPr>
          <w:p w:rsidR="00FB77E7" w:rsidRPr="00C708B6" w:rsidRDefault="00FB77E7" w:rsidP="000C473E">
            <w:pPr>
              <w:pStyle w:val="Parastais1"/>
              <w:spacing w:before="100" w:beforeAutospacing="1" w:after="100" w:afterAutospacing="1"/>
              <w:jc w:val="both"/>
            </w:pPr>
            <w:r w:rsidRPr="00C708B6">
              <w:t>Cita informācija</w:t>
            </w:r>
          </w:p>
        </w:tc>
        <w:tc>
          <w:tcPr>
            <w:tcW w:w="3082" w:type="pct"/>
          </w:tcPr>
          <w:p w:rsidR="00FB77E7" w:rsidRPr="00C708B6" w:rsidRDefault="00FB77E7" w:rsidP="000C473E">
            <w:pPr>
              <w:pStyle w:val="Parastais1"/>
              <w:spacing w:before="100" w:beforeAutospacing="1" w:after="100" w:afterAutospacing="1"/>
              <w:jc w:val="both"/>
            </w:pPr>
            <w:r w:rsidRPr="00C708B6">
              <w:t>Nav</w:t>
            </w:r>
            <w:r w:rsidR="00340C1A">
              <w:t>.</w:t>
            </w:r>
          </w:p>
        </w:tc>
      </w:tr>
    </w:tbl>
    <w:p w:rsidR="00FB77E7" w:rsidRPr="00C708B6" w:rsidRDefault="00FB77E7" w:rsidP="00FB77E7">
      <w:pPr>
        <w:spacing w:line="240" w:lineRule="auto"/>
        <w:ind w:firstLine="0"/>
        <w:jc w:val="left"/>
        <w:rPr>
          <w:rFonts w:eastAsia="Times New Roman"/>
          <w:sz w:val="24"/>
          <w:szCs w:val="24"/>
          <w:lang w:eastAsia="lv-LV"/>
        </w:rPr>
      </w:pPr>
    </w:p>
    <w:p w:rsidR="00FB77E7" w:rsidRPr="00C708B6" w:rsidRDefault="00FB77E7" w:rsidP="00FB77E7">
      <w:pPr>
        <w:spacing w:before="58" w:after="58"/>
        <w:ind w:right="-341" w:firstLine="709"/>
        <w:rPr>
          <w:szCs w:val="28"/>
        </w:rPr>
      </w:pPr>
    </w:p>
    <w:p w:rsidR="003E7BFA" w:rsidRPr="004124B5" w:rsidRDefault="003E7BFA" w:rsidP="003E7BFA">
      <w:pPr>
        <w:spacing w:line="240" w:lineRule="auto"/>
        <w:ind w:right="-341" w:firstLine="0"/>
        <w:rPr>
          <w:sz w:val="24"/>
          <w:szCs w:val="24"/>
        </w:rPr>
      </w:pPr>
      <w:r w:rsidRPr="004124B5">
        <w:rPr>
          <w:sz w:val="24"/>
          <w:szCs w:val="24"/>
        </w:rPr>
        <w:t>Satiksmes ministrs</w:t>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proofErr w:type="spellStart"/>
      <w:r w:rsidRPr="004124B5">
        <w:rPr>
          <w:sz w:val="24"/>
          <w:szCs w:val="24"/>
        </w:rPr>
        <w:t>U.Augulis</w:t>
      </w:r>
      <w:proofErr w:type="spellEnd"/>
    </w:p>
    <w:p w:rsidR="003E7BFA" w:rsidRPr="004124B5" w:rsidRDefault="003E7BFA" w:rsidP="003E7BFA">
      <w:pPr>
        <w:spacing w:line="240" w:lineRule="auto"/>
        <w:ind w:right="-341" w:firstLine="709"/>
        <w:rPr>
          <w:sz w:val="24"/>
          <w:szCs w:val="24"/>
        </w:rPr>
      </w:pPr>
    </w:p>
    <w:p w:rsidR="003E7BFA" w:rsidRDefault="003E7BFA" w:rsidP="003E7BFA">
      <w:pPr>
        <w:spacing w:line="240" w:lineRule="auto"/>
        <w:ind w:right="-341" w:firstLine="709"/>
        <w:rPr>
          <w:sz w:val="24"/>
          <w:szCs w:val="24"/>
        </w:rPr>
      </w:pPr>
    </w:p>
    <w:p w:rsidR="00C737F4" w:rsidRPr="004124B5" w:rsidRDefault="00C737F4" w:rsidP="003E7BFA">
      <w:pPr>
        <w:spacing w:line="240" w:lineRule="auto"/>
        <w:ind w:right="-341" w:firstLine="709"/>
        <w:rPr>
          <w:sz w:val="24"/>
          <w:szCs w:val="24"/>
        </w:rPr>
      </w:pPr>
    </w:p>
    <w:p w:rsidR="003E7BFA" w:rsidRPr="004124B5" w:rsidRDefault="003E7BFA" w:rsidP="004124B5">
      <w:pPr>
        <w:spacing w:line="240" w:lineRule="auto"/>
        <w:ind w:right="-1" w:firstLine="0"/>
        <w:rPr>
          <w:sz w:val="24"/>
          <w:szCs w:val="24"/>
        </w:rPr>
      </w:pPr>
      <w:r w:rsidRPr="004124B5">
        <w:rPr>
          <w:sz w:val="24"/>
          <w:szCs w:val="24"/>
        </w:rPr>
        <w:t>Vīza: Valsts sekretārs</w:t>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r w:rsidRPr="004124B5">
        <w:rPr>
          <w:sz w:val="24"/>
          <w:szCs w:val="24"/>
        </w:rPr>
        <w:tab/>
      </w:r>
      <w:r w:rsidR="004124B5">
        <w:rPr>
          <w:sz w:val="24"/>
          <w:szCs w:val="24"/>
        </w:rPr>
        <w:tab/>
      </w:r>
      <w:proofErr w:type="spellStart"/>
      <w:r w:rsidRPr="004124B5">
        <w:rPr>
          <w:sz w:val="24"/>
          <w:szCs w:val="24"/>
        </w:rPr>
        <w:t>K.Ozoliņš</w:t>
      </w:r>
      <w:proofErr w:type="spellEnd"/>
    </w:p>
    <w:p w:rsidR="00C737F4" w:rsidRDefault="00C737F4" w:rsidP="00C737F4">
      <w:pPr>
        <w:spacing w:line="240" w:lineRule="auto"/>
        <w:ind w:right="-341"/>
        <w:rPr>
          <w:szCs w:val="28"/>
        </w:rPr>
      </w:pPr>
    </w:p>
    <w:p w:rsidR="004124B5" w:rsidRPr="004124B5" w:rsidRDefault="00FB77E7" w:rsidP="00C737F4">
      <w:pPr>
        <w:spacing w:line="240" w:lineRule="auto"/>
        <w:ind w:right="-341"/>
        <w:rPr>
          <w:szCs w:val="28"/>
        </w:rPr>
      </w:pPr>
      <w:r w:rsidRPr="00C708B6">
        <w:rPr>
          <w:szCs w:val="28"/>
        </w:rPr>
        <w:tab/>
        <w:t xml:space="preserve">  </w:t>
      </w:r>
      <w:r w:rsidRPr="00C708B6">
        <w:rPr>
          <w:szCs w:val="28"/>
        </w:rPr>
        <w:tab/>
        <w:t xml:space="preserve">      </w:t>
      </w:r>
      <w:r w:rsidRPr="00C708B6">
        <w:rPr>
          <w:szCs w:val="28"/>
        </w:rPr>
        <w:tab/>
        <w:t xml:space="preserve">        </w:t>
      </w:r>
    </w:p>
    <w:p w:rsidR="004124B5" w:rsidRPr="004124B5" w:rsidRDefault="004124B5" w:rsidP="004124B5">
      <w:pPr>
        <w:spacing w:line="240" w:lineRule="auto"/>
        <w:ind w:firstLine="0"/>
        <w:rPr>
          <w:color w:val="000000" w:themeColor="text1"/>
          <w:sz w:val="18"/>
          <w:szCs w:val="18"/>
        </w:rPr>
      </w:pPr>
      <w:r w:rsidRPr="004124B5">
        <w:rPr>
          <w:color w:val="000000" w:themeColor="text1"/>
          <w:sz w:val="18"/>
          <w:szCs w:val="18"/>
        </w:rPr>
        <w:t>1</w:t>
      </w:r>
      <w:r w:rsidR="00826FA3">
        <w:rPr>
          <w:color w:val="000000" w:themeColor="text1"/>
          <w:sz w:val="18"/>
          <w:szCs w:val="18"/>
        </w:rPr>
        <w:t>9</w:t>
      </w:r>
      <w:r w:rsidRPr="004124B5">
        <w:rPr>
          <w:color w:val="000000" w:themeColor="text1"/>
          <w:sz w:val="18"/>
          <w:szCs w:val="18"/>
        </w:rPr>
        <w:t>.04.2018. 11:20</w:t>
      </w:r>
    </w:p>
    <w:p w:rsidR="004124B5" w:rsidRPr="004124B5" w:rsidRDefault="00C737F4" w:rsidP="004124B5">
      <w:pPr>
        <w:spacing w:line="240" w:lineRule="auto"/>
        <w:ind w:firstLine="0"/>
        <w:rPr>
          <w:color w:val="000000" w:themeColor="text1"/>
          <w:sz w:val="18"/>
          <w:szCs w:val="18"/>
        </w:rPr>
      </w:pPr>
      <w:r>
        <w:rPr>
          <w:color w:val="000000" w:themeColor="text1"/>
          <w:sz w:val="18"/>
          <w:szCs w:val="18"/>
        </w:rPr>
        <w:t>8</w:t>
      </w:r>
      <w:r w:rsidR="00826FA3">
        <w:rPr>
          <w:color w:val="000000" w:themeColor="text1"/>
          <w:sz w:val="18"/>
          <w:szCs w:val="18"/>
        </w:rPr>
        <w:t>58</w:t>
      </w:r>
    </w:p>
    <w:p w:rsidR="004124B5" w:rsidRPr="004124B5" w:rsidRDefault="004124B5" w:rsidP="004124B5">
      <w:pPr>
        <w:spacing w:line="240" w:lineRule="auto"/>
        <w:ind w:firstLine="0"/>
        <w:rPr>
          <w:color w:val="000000" w:themeColor="text1"/>
          <w:sz w:val="18"/>
          <w:szCs w:val="18"/>
        </w:rPr>
      </w:pPr>
      <w:r w:rsidRPr="004124B5">
        <w:rPr>
          <w:color w:val="000000" w:themeColor="text1"/>
          <w:sz w:val="18"/>
          <w:szCs w:val="18"/>
        </w:rPr>
        <w:t>Lauris Miķelsons</w:t>
      </w:r>
    </w:p>
    <w:p w:rsidR="004124B5" w:rsidRPr="004124B5" w:rsidRDefault="004124B5" w:rsidP="004124B5">
      <w:pPr>
        <w:spacing w:line="240" w:lineRule="auto"/>
        <w:ind w:firstLine="0"/>
        <w:rPr>
          <w:color w:val="000000" w:themeColor="text1"/>
          <w:sz w:val="18"/>
          <w:szCs w:val="18"/>
        </w:rPr>
      </w:pPr>
      <w:r w:rsidRPr="004124B5">
        <w:rPr>
          <w:color w:val="000000" w:themeColor="text1"/>
          <w:sz w:val="18"/>
          <w:szCs w:val="18"/>
        </w:rPr>
        <w:t>67028323</w:t>
      </w:r>
    </w:p>
    <w:p w:rsidR="004124B5" w:rsidRPr="004124B5" w:rsidRDefault="004124B5" w:rsidP="004124B5">
      <w:pPr>
        <w:spacing w:line="240" w:lineRule="auto"/>
        <w:ind w:firstLine="0"/>
        <w:rPr>
          <w:color w:val="000000" w:themeColor="text1"/>
          <w:sz w:val="18"/>
          <w:szCs w:val="18"/>
        </w:rPr>
      </w:pPr>
      <w:r w:rsidRPr="004124B5">
        <w:rPr>
          <w:color w:val="000000" w:themeColor="text1"/>
          <w:sz w:val="18"/>
          <w:szCs w:val="18"/>
        </w:rPr>
        <w:t>Lauris.Mikelsons@sam.gov.lv</w:t>
      </w:r>
    </w:p>
    <w:p w:rsidR="00C44EA2" w:rsidRPr="00C708B6" w:rsidRDefault="00C44EA2" w:rsidP="004124B5">
      <w:pPr>
        <w:pStyle w:val="Header"/>
        <w:tabs>
          <w:tab w:val="clear" w:pos="4153"/>
          <w:tab w:val="clear" w:pos="8306"/>
        </w:tabs>
        <w:ind w:firstLine="0"/>
        <w:rPr>
          <w:sz w:val="22"/>
          <w:lang w:val="lv-LV"/>
        </w:rPr>
      </w:pPr>
      <w:bookmarkStart w:id="4" w:name="_GoBack"/>
      <w:bookmarkEnd w:id="4"/>
    </w:p>
    <w:sectPr w:rsidR="00C44EA2" w:rsidRPr="00C708B6" w:rsidSect="004124B5">
      <w:headerReference w:type="default" r:id="rId9"/>
      <w:footerReference w:type="default" r:id="rId10"/>
      <w:footerReference w:type="first" r:id="rId11"/>
      <w:pgSz w:w="11906" w:h="16838"/>
      <w:pgMar w:top="1134" w:right="1134" w:bottom="1134" w:left="1701" w:header="709"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7C" w:rsidRDefault="00A5767C" w:rsidP="00E65F54">
      <w:pPr>
        <w:spacing w:line="240" w:lineRule="auto"/>
      </w:pPr>
      <w:r>
        <w:separator/>
      </w:r>
    </w:p>
  </w:endnote>
  <w:endnote w:type="continuationSeparator" w:id="0">
    <w:p w:rsidR="00A5767C" w:rsidRDefault="00A5767C"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B5" w:rsidRPr="004124B5" w:rsidRDefault="004124B5" w:rsidP="004124B5">
    <w:pPr>
      <w:pStyle w:val="Footer"/>
      <w:spacing w:line="240" w:lineRule="auto"/>
      <w:ind w:firstLine="0"/>
      <w:jc w:val="left"/>
      <w:rPr>
        <w:sz w:val="20"/>
        <w:szCs w:val="20"/>
      </w:rPr>
    </w:pPr>
    <w:r w:rsidRPr="004124B5">
      <w:rPr>
        <w:sz w:val="20"/>
        <w:szCs w:val="20"/>
      </w:rPr>
      <w:t>SMAnot_1</w:t>
    </w:r>
    <w:r w:rsidR="00826FA3">
      <w:rPr>
        <w:sz w:val="20"/>
        <w:szCs w:val="20"/>
        <w:lang w:val="lv-LV"/>
      </w:rPr>
      <w:t>9</w:t>
    </w:r>
    <w:r w:rsidRPr="004124B5">
      <w:rPr>
        <w:sz w:val="20"/>
        <w:szCs w:val="20"/>
      </w:rPr>
      <w:t>0418_octa</w:t>
    </w:r>
  </w:p>
  <w:p w:rsidR="00A812E8" w:rsidRPr="00706EE0" w:rsidRDefault="00A812E8" w:rsidP="00A812E8">
    <w:pPr>
      <w:pStyle w:val="Footer"/>
      <w:spacing w:line="240" w:lineRule="auto"/>
      <w:ind w:firstLine="0"/>
    </w:pPr>
  </w:p>
  <w:p w:rsidR="00F20B9C" w:rsidRPr="00091BD0" w:rsidRDefault="00F20B9C" w:rsidP="00091BD0">
    <w:pPr>
      <w:pStyle w:val="Footer"/>
      <w:spacing w:line="240" w:lineRule="auto"/>
      <w:ind w:firstLine="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B5" w:rsidRPr="004124B5" w:rsidRDefault="004124B5" w:rsidP="004124B5">
    <w:pPr>
      <w:pStyle w:val="Footer"/>
      <w:spacing w:line="240" w:lineRule="auto"/>
      <w:ind w:firstLine="0"/>
      <w:jc w:val="left"/>
      <w:rPr>
        <w:sz w:val="20"/>
        <w:szCs w:val="20"/>
      </w:rPr>
    </w:pPr>
    <w:r w:rsidRPr="004124B5">
      <w:rPr>
        <w:sz w:val="20"/>
        <w:szCs w:val="20"/>
      </w:rPr>
      <w:t>SMAnot_1</w:t>
    </w:r>
    <w:r w:rsidR="00826FA3">
      <w:rPr>
        <w:sz w:val="20"/>
        <w:szCs w:val="20"/>
        <w:lang w:val="lv-LV"/>
      </w:rPr>
      <w:t>9</w:t>
    </w:r>
    <w:r w:rsidRPr="004124B5">
      <w:rPr>
        <w:sz w:val="20"/>
        <w:szCs w:val="20"/>
      </w:rPr>
      <w:t>0418_octa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7C" w:rsidRDefault="00A5767C" w:rsidP="00E65F54">
      <w:pPr>
        <w:spacing w:line="240" w:lineRule="auto"/>
      </w:pPr>
      <w:r>
        <w:separator/>
      </w:r>
    </w:p>
  </w:footnote>
  <w:footnote w:type="continuationSeparator" w:id="0">
    <w:p w:rsidR="00A5767C" w:rsidRDefault="00A5767C"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9C" w:rsidRDefault="00F20B9C" w:rsidP="0047322B">
    <w:pPr>
      <w:pStyle w:val="Header"/>
      <w:ind w:firstLine="0"/>
      <w:jc w:val="center"/>
    </w:pPr>
    <w:r>
      <w:fldChar w:fldCharType="begin"/>
    </w:r>
    <w:r>
      <w:instrText xml:space="preserve"> PAGE   \* MERGEFORMAT </w:instrText>
    </w:r>
    <w:r>
      <w:fldChar w:fldCharType="separate"/>
    </w:r>
    <w:r w:rsidR="00B95BC1">
      <w:rPr>
        <w:noProof/>
      </w:rPr>
      <w:t>4</w:t>
    </w:r>
    <w:r>
      <w:fldChar w:fldCharType="end"/>
    </w:r>
  </w:p>
  <w:p w:rsidR="00F20B9C" w:rsidRDefault="00F2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A076AE"/>
    <w:multiLevelType w:val="hybridMultilevel"/>
    <w:tmpl w:val="34422AB6"/>
    <w:lvl w:ilvl="0" w:tplc="A538CE5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6"/>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9F"/>
    <w:rsid w:val="000033BD"/>
    <w:rsid w:val="00003B5C"/>
    <w:rsid w:val="00004BF5"/>
    <w:rsid w:val="000069D4"/>
    <w:rsid w:val="00006C7A"/>
    <w:rsid w:val="00014265"/>
    <w:rsid w:val="00015C0B"/>
    <w:rsid w:val="000178BB"/>
    <w:rsid w:val="00027DD1"/>
    <w:rsid w:val="00033EC3"/>
    <w:rsid w:val="00036124"/>
    <w:rsid w:val="0004524B"/>
    <w:rsid w:val="000458EF"/>
    <w:rsid w:val="00047D4B"/>
    <w:rsid w:val="00047F63"/>
    <w:rsid w:val="00047F96"/>
    <w:rsid w:val="000521E1"/>
    <w:rsid w:val="000615D7"/>
    <w:rsid w:val="00065F70"/>
    <w:rsid w:val="000705F9"/>
    <w:rsid w:val="000707F9"/>
    <w:rsid w:val="0007484E"/>
    <w:rsid w:val="000750A1"/>
    <w:rsid w:val="00075A09"/>
    <w:rsid w:val="000811EA"/>
    <w:rsid w:val="00087CAD"/>
    <w:rsid w:val="00090E1C"/>
    <w:rsid w:val="00091BD0"/>
    <w:rsid w:val="00091C3F"/>
    <w:rsid w:val="000939DC"/>
    <w:rsid w:val="00094458"/>
    <w:rsid w:val="000A4924"/>
    <w:rsid w:val="000A686F"/>
    <w:rsid w:val="000B1A80"/>
    <w:rsid w:val="000B4549"/>
    <w:rsid w:val="000B668F"/>
    <w:rsid w:val="000B7137"/>
    <w:rsid w:val="000B72A9"/>
    <w:rsid w:val="000C2562"/>
    <w:rsid w:val="000C473E"/>
    <w:rsid w:val="000C7472"/>
    <w:rsid w:val="000D2A0E"/>
    <w:rsid w:val="000D342D"/>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4861"/>
    <w:rsid w:val="00137BB2"/>
    <w:rsid w:val="001434C4"/>
    <w:rsid w:val="00167D64"/>
    <w:rsid w:val="001705E9"/>
    <w:rsid w:val="00176309"/>
    <w:rsid w:val="0017730B"/>
    <w:rsid w:val="001807CC"/>
    <w:rsid w:val="001844CC"/>
    <w:rsid w:val="00184941"/>
    <w:rsid w:val="00190DD9"/>
    <w:rsid w:val="001917FF"/>
    <w:rsid w:val="00194040"/>
    <w:rsid w:val="001B1840"/>
    <w:rsid w:val="001B184E"/>
    <w:rsid w:val="001B2B88"/>
    <w:rsid w:val="001B46BB"/>
    <w:rsid w:val="001B7485"/>
    <w:rsid w:val="001B75EE"/>
    <w:rsid w:val="001C0C97"/>
    <w:rsid w:val="001C0D5F"/>
    <w:rsid w:val="001C4553"/>
    <w:rsid w:val="001C78F1"/>
    <w:rsid w:val="001D017B"/>
    <w:rsid w:val="001D231F"/>
    <w:rsid w:val="001D35B7"/>
    <w:rsid w:val="001D462C"/>
    <w:rsid w:val="001E02DC"/>
    <w:rsid w:val="001E4AFD"/>
    <w:rsid w:val="001E685A"/>
    <w:rsid w:val="001E6C25"/>
    <w:rsid w:val="001E6D57"/>
    <w:rsid w:val="001F0571"/>
    <w:rsid w:val="001F05A3"/>
    <w:rsid w:val="001F22F5"/>
    <w:rsid w:val="001F684F"/>
    <w:rsid w:val="001F701C"/>
    <w:rsid w:val="00200D00"/>
    <w:rsid w:val="00202187"/>
    <w:rsid w:val="00202EEF"/>
    <w:rsid w:val="002040FE"/>
    <w:rsid w:val="0020589F"/>
    <w:rsid w:val="002059D4"/>
    <w:rsid w:val="00206DCB"/>
    <w:rsid w:val="00207AE0"/>
    <w:rsid w:val="002159EC"/>
    <w:rsid w:val="0021689D"/>
    <w:rsid w:val="002172E0"/>
    <w:rsid w:val="00221504"/>
    <w:rsid w:val="00222114"/>
    <w:rsid w:val="002242B0"/>
    <w:rsid w:val="002267D1"/>
    <w:rsid w:val="00227D24"/>
    <w:rsid w:val="002308E6"/>
    <w:rsid w:val="0023282D"/>
    <w:rsid w:val="002333FB"/>
    <w:rsid w:val="002338F3"/>
    <w:rsid w:val="002431F8"/>
    <w:rsid w:val="00245706"/>
    <w:rsid w:val="00247149"/>
    <w:rsid w:val="00251678"/>
    <w:rsid w:val="00254AAA"/>
    <w:rsid w:val="00254E6C"/>
    <w:rsid w:val="002630E5"/>
    <w:rsid w:val="0027189F"/>
    <w:rsid w:val="00272828"/>
    <w:rsid w:val="002747E2"/>
    <w:rsid w:val="00276887"/>
    <w:rsid w:val="00286873"/>
    <w:rsid w:val="00287F35"/>
    <w:rsid w:val="00290476"/>
    <w:rsid w:val="00290E22"/>
    <w:rsid w:val="0029649F"/>
    <w:rsid w:val="00297E6D"/>
    <w:rsid w:val="002A2DD8"/>
    <w:rsid w:val="002A469E"/>
    <w:rsid w:val="002B2DA9"/>
    <w:rsid w:val="002B3CE7"/>
    <w:rsid w:val="002C009C"/>
    <w:rsid w:val="002C04A6"/>
    <w:rsid w:val="002C5EB8"/>
    <w:rsid w:val="002D0708"/>
    <w:rsid w:val="002D680D"/>
    <w:rsid w:val="002D728B"/>
    <w:rsid w:val="002E034E"/>
    <w:rsid w:val="002E251E"/>
    <w:rsid w:val="002E61AA"/>
    <w:rsid w:val="002F07D2"/>
    <w:rsid w:val="002F6DC1"/>
    <w:rsid w:val="00304890"/>
    <w:rsid w:val="00311820"/>
    <w:rsid w:val="00313E47"/>
    <w:rsid w:val="003143C8"/>
    <w:rsid w:val="00315420"/>
    <w:rsid w:val="0031675F"/>
    <w:rsid w:val="0032500C"/>
    <w:rsid w:val="00332EBB"/>
    <w:rsid w:val="00334E1B"/>
    <w:rsid w:val="00335A71"/>
    <w:rsid w:val="00340C1A"/>
    <w:rsid w:val="00344E79"/>
    <w:rsid w:val="0034658D"/>
    <w:rsid w:val="00346FC0"/>
    <w:rsid w:val="00347B28"/>
    <w:rsid w:val="003524F4"/>
    <w:rsid w:val="00352B8E"/>
    <w:rsid w:val="00354129"/>
    <w:rsid w:val="0035418E"/>
    <w:rsid w:val="0035438C"/>
    <w:rsid w:val="0035658B"/>
    <w:rsid w:val="00360490"/>
    <w:rsid w:val="00362CAF"/>
    <w:rsid w:val="003651B8"/>
    <w:rsid w:val="00366581"/>
    <w:rsid w:val="00370CD2"/>
    <w:rsid w:val="00375D6A"/>
    <w:rsid w:val="003762F4"/>
    <w:rsid w:val="003777D2"/>
    <w:rsid w:val="00380395"/>
    <w:rsid w:val="0038326D"/>
    <w:rsid w:val="00384ADD"/>
    <w:rsid w:val="00390811"/>
    <w:rsid w:val="00391F18"/>
    <w:rsid w:val="003A031D"/>
    <w:rsid w:val="003A10AD"/>
    <w:rsid w:val="003A2702"/>
    <w:rsid w:val="003A42E9"/>
    <w:rsid w:val="003B1EA8"/>
    <w:rsid w:val="003B3844"/>
    <w:rsid w:val="003B4E2E"/>
    <w:rsid w:val="003C0252"/>
    <w:rsid w:val="003C5652"/>
    <w:rsid w:val="003D3377"/>
    <w:rsid w:val="003D4FBF"/>
    <w:rsid w:val="003D50B2"/>
    <w:rsid w:val="003D68DA"/>
    <w:rsid w:val="003E2465"/>
    <w:rsid w:val="003E76D4"/>
    <w:rsid w:val="003E7BFA"/>
    <w:rsid w:val="003F2393"/>
    <w:rsid w:val="003F3E49"/>
    <w:rsid w:val="003F75EC"/>
    <w:rsid w:val="003F7CA0"/>
    <w:rsid w:val="00400DBA"/>
    <w:rsid w:val="00404514"/>
    <w:rsid w:val="0040553D"/>
    <w:rsid w:val="0040631E"/>
    <w:rsid w:val="00410D4D"/>
    <w:rsid w:val="004124B5"/>
    <w:rsid w:val="00413347"/>
    <w:rsid w:val="004144BE"/>
    <w:rsid w:val="00415BF6"/>
    <w:rsid w:val="00416B05"/>
    <w:rsid w:val="00421A23"/>
    <w:rsid w:val="0042256C"/>
    <w:rsid w:val="0042467D"/>
    <w:rsid w:val="00424ED2"/>
    <w:rsid w:val="00426BBB"/>
    <w:rsid w:val="00430129"/>
    <w:rsid w:val="00431630"/>
    <w:rsid w:val="00433D54"/>
    <w:rsid w:val="00440491"/>
    <w:rsid w:val="00442423"/>
    <w:rsid w:val="0044507A"/>
    <w:rsid w:val="00447361"/>
    <w:rsid w:val="00451BFE"/>
    <w:rsid w:val="00452513"/>
    <w:rsid w:val="00454938"/>
    <w:rsid w:val="0045570C"/>
    <w:rsid w:val="00464E27"/>
    <w:rsid w:val="00465D7F"/>
    <w:rsid w:val="00467608"/>
    <w:rsid w:val="004704DD"/>
    <w:rsid w:val="004724FD"/>
    <w:rsid w:val="0047322B"/>
    <w:rsid w:val="00475E21"/>
    <w:rsid w:val="00477B7E"/>
    <w:rsid w:val="00486A39"/>
    <w:rsid w:val="00486D56"/>
    <w:rsid w:val="004871FD"/>
    <w:rsid w:val="00493D25"/>
    <w:rsid w:val="0049568D"/>
    <w:rsid w:val="00496281"/>
    <w:rsid w:val="00496BA6"/>
    <w:rsid w:val="00497897"/>
    <w:rsid w:val="004A2D39"/>
    <w:rsid w:val="004A4ADE"/>
    <w:rsid w:val="004A60C5"/>
    <w:rsid w:val="004A6684"/>
    <w:rsid w:val="004B14CA"/>
    <w:rsid w:val="004B1F09"/>
    <w:rsid w:val="004B64A6"/>
    <w:rsid w:val="004C1FE2"/>
    <w:rsid w:val="004C2278"/>
    <w:rsid w:val="004C72EE"/>
    <w:rsid w:val="004D7D18"/>
    <w:rsid w:val="004E3CA3"/>
    <w:rsid w:val="004F148E"/>
    <w:rsid w:val="004F2418"/>
    <w:rsid w:val="004F4EAC"/>
    <w:rsid w:val="004F6EC1"/>
    <w:rsid w:val="00500C6B"/>
    <w:rsid w:val="0051000B"/>
    <w:rsid w:val="00516425"/>
    <w:rsid w:val="00517927"/>
    <w:rsid w:val="005179DF"/>
    <w:rsid w:val="00522578"/>
    <w:rsid w:val="005246F5"/>
    <w:rsid w:val="0053287F"/>
    <w:rsid w:val="005355F6"/>
    <w:rsid w:val="00536A82"/>
    <w:rsid w:val="00536DFD"/>
    <w:rsid w:val="0054212E"/>
    <w:rsid w:val="00543032"/>
    <w:rsid w:val="005448D6"/>
    <w:rsid w:val="00545FE7"/>
    <w:rsid w:val="005553BE"/>
    <w:rsid w:val="00556218"/>
    <w:rsid w:val="00562D17"/>
    <w:rsid w:val="00566322"/>
    <w:rsid w:val="005666E0"/>
    <w:rsid w:val="00567A26"/>
    <w:rsid w:val="00570C68"/>
    <w:rsid w:val="00570E53"/>
    <w:rsid w:val="005747F4"/>
    <w:rsid w:val="00575A95"/>
    <w:rsid w:val="00577AFF"/>
    <w:rsid w:val="00577BF7"/>
    <w:rsid w:val="005832C8"/>
    <w:rsid w:val="00585852"/>
    <w:rsid w:val="005957A9"/>
    <w:rsid w:val="005A0159"/>
    <w:rsid w:val="005A0227"/>
    <w:rsid w:val="005A1E99"/>
    <w:rsid w:val="005A2565"/>
    <w:rsid w:val="005A32C9"/>
    <w:rsid w:val="005B5168"/>
    <w:rsid w:val="005C17BB"/>
    <w:rsid w:val="005D31D6"/>
    <w:rsid w:val="005D55CF"/>
    <w:rsid w:val="005E4BEA"/>
    <w:rsid w:val="005F09D3"/>
    <w:rsid w:val="005F1738"/>
    <w:rsid w:val="00600B25"/>
    <w:rsid w:val="0060264C"/>
    <w:rsid w:val="00606ADF"/>
    <w:rsid w:val="0060734C"/>
    <w:rsid w:val="00611C7E"/>
    <w:rsid w:val="006216E3"/>
    <w:rsid w:val="0062482A"/>
    <w:rsid w:val="00651E10"/>
    <w:rsid w:val="00654B07"/>
    <w:rsid w:val="00655093"/>
    <w:rsid w:val="00655313"/>
    <w:rsid w:val="0065770B"/>
    <w:rsid w:val="00662479"/>
    <w:rsid w:val="00662E24"/>
    <w:rsid w:val="0066319E"/>
    <w:rsid w:val="00664B97"/>
    <w:rsid w:val="00664D98"/>
    <w:rsid w:val="00665AB8"/>
    <w:rsid w:val="00671A60"/>
    <w:rsid w:val="00671B23"/>
    <w:rsid w:val="00677CA0"/>
    <w:rsid w:val="00680403"/>
    <w:rsid w:val="006807AF"/>
    <w:rsid w:val="00681A6F"/>
    <w:rsid w:val="00684EA3"/>
    <w:rsid w:val="00690C83"/>
    <w:rsid w:val="00691740"/>
    <w:rsid w:val="006917EE"/>
    <w:rsid w:val="0069642A"/>
    <w:rsid w:val="006A3049"/>
    <w:rsid w:val="006B70C5"/>
    <w:rsid w:val="006D092F"/>
    <w:rsid w:val="006D0F04"/>
    <w:rsid w:val="006D14C2"/>
    <w:rsid w:val="006D1F11"/>
    <w:rsid w:val="006D210F"/>
    <w:rsid w:val="006D731E"/>
    <w:rsid w:val="006E0766"/>
    <w:rsid w:val="006E4D7A"/>
    <w:rsid w:val="006F0C91"/>
    <w:rsid w:val="006F2FEB"/>
    <w:rsid w:val="006F6E32"/>
    <w:rsid w:val="0070004F"/>
    <w:rsid w:val="00701A8D"/>
    <w:rsid w:val="00705120"/>
    <w:rsid w:val="00706EE0"/>
    <w:rsid w:val="00710A4F"/>
    <w:rsid w:val="00710C81"/>
    <w:rsid w:val="00716594"/>
    <w:rsid w:val="00721B24"/>
    <w:rsid w:val="00722A32"/>
    <w:rsid w:val="00723B5B"/>
    <w:rsid w:val="00725837"/>
    <w:rsid w:val="00730C8D"/>
    <w:rsid w:val="00730FCA"/>
    <w:rsid w:val="0073167E"/>
    <w:rsid w:val="007323E8"/>
    <w:rsid w:val="0074626F"/>
    <w:rsid w:val="00752546"/>
    <w:rsid w:val="00754707"/>
    <w:rsid w:val="00755EFB"/>
    <w:rsid w:val="00756087"/>
    <w:rsid w:val="00757000"/>
    <w:rsid w:val="0076092C"/>
    <w:rsid w:val="00761BBB"/>
    <w:rsid w:val="00767A00"/>
    <w:rsid w:val="00771C21"/>
    <w:rsid w:val="0077223A"/>
    <w:rsid w:val="007749B3"/>
    <w:rsid w:val="00776A44"/>
    <w:rsid w:val="00783C86"/>
    <w:rsid w:val="00785522"/>
    <w:rsid w:val="00787BB0"/>
    <w:rsid w:val="00790A91"/>
    <w:rsid w:val="00797412"/>
    <w:rsid w:val="007A3A6B"/>
    <w:rsid w:val="007A5416"/>
    <w:rsid w:val="007A5EC4"/>
    <w:rsid w:val="007A6F87"/>
    <w:rsid w:val="007A704E"/>
    <w:rsid w:val="007C60A2"/>
    <w:rsid w:val="007D6C45"/>
    <w:rsid w:val="007E1A03"/>
    <w:rsid w:val="007E2069"/>
    <w:rsid w:val="007E2E5A"/>
    <w:rsid w:val="007E31F4"/>
    <w:rsid w:val="007E4B38"/>
    <w:rsid w:val="007F0326"/>
    <w:rsid w:val="007F7F96"/>
    <w:rsid w:val="0080047B"/>
    <w:rsid w:val="008008F9"/>
    <w:rsid w:val="00803F2C"/>
    <w:rsid w:val="008057EB"/>
    <w:rsid w:val="008162B2"/>
    <w:rsid w:val="00822BAE"/>
    <w:rsid w:val="00826FA3"/>
    <w:rsid w:val="008275B5"/>
    <w:rsid w:val="00832881"/>
    <w:rsid w:val="00832F43"/>
    <w:rsid w:val="00833364"/>
    <w:rsid w:val="00852D5C"/>
    <w:rsid w:val="00856A4F"/>
    <w:rsid w:val="00857AE8"/>
    <w:rsid w:val="00857CFC"/>
    <w:rsid w:val="0086408A"/>
    <w:rsid w:val="008655A1"/>
    <w:rsid w:val="00867877"/>
    <w:rsid w:val="00871E90"/>
    <w:rsid w:val="00872C34"/>
    <w:rsid w:val="00874033"/>
    <w:rsid w:val="00877DE9"/>
    <w:rsid w:val="00881A46"/>
    <w:rsid w:val="008826E0"/>
    <w:rsid w:val="0089232A"/>
    <w:rsid w:val="008A0923"/>
    <w:rsid w:val="008A2C45"/>
    <w:rsid w:val="008A37C7"/>
    <w:rsid w:val="008A4766"/>
    <w:rsid w:val="008A7B16"/>
    <w:rsid w:val="008B0183"/>
    <w:rsid w:val="008B2650"/>
    <w:rsid w:val="008B455A"/>
    <w:rsid w:val="008C2DF1"/>
    <w:rsid w:val="008D53C4"/>
    <w:rsid w:val="008D5646"/>
    <w:rsid w:val="008D6D3A"/>
    <w:rsid w:val="008E4149"/>
    <w:rsid w:val="008E4E9E"/>
    <w:rsid w:val="008F1CA5"/>
    <w:rsid w:val="008F6254"/>
    <w:rsid w:val="0090061C"/>
    <w:rsid w:val="0090093A"/>
    <w:rsid w:val="00900E23"/>
    <w:rsid w:val="00902794"/>
    <w:rsid w:val="00903C74"/>
    <w:rsid w:val="00904CBE"/>
    <w:rsid w:val="009063E2"/>
    <w:rsid w:val="00906DB5"/>
    <w:rsid w:val="009106B5"/>
    <w:rsid w:val="00911819"/>
    <w:rsid w:val="00914C88"/>
    <w:rsid w:val="009212E4"/>
    <w:rsid w:val="00921A00"/>
    <w:rsid w:val="0092380E"/>
    <w:rsid w:val="00923A82"/>
    <w:rsid w:val="00924E34"/>
    <w:rsid w:val="00930B12"/>
    <w:rsid w:val="009334C4"/>
    <w:rsid w:val="00936949"/>
    <w:rsid w:val="00937C0D"/>
    <w:rsid w:val="00942F97"/>
    <w:rsid w:val="0094393A"/>
    <w:rsid w:val="00944B13"/>
    <w:rsid w:val="009465F2"/>
    <w:rsid w:val="00953250"/>
    <w:rsid w:val="00953587"/>
    <w:rsid w:val="009539F9"/>
    <w:rsid w:val="009604F5"/>
    <w:rsid w:val="00963D59"/>
    <w:rsid w:val="00966AB8"/>
    <w:rsid w:val="00971051"/>
    <w:rsid w:val="00974550"/>
    <w:rsid w:val="009747E7"/>
    <w:rsid w:val="00981286"/>
    <w:rsid w:val="00982781"/>
    <w:rsid w:val="009828AE"/>
    <w:rsid w:val="00986FAE"/>
    <w:rsid w:val="009919ED"/>
    <w:rsid w:val="0099573D"/>
    <w:rsid w:val="00997F93"/>
    <w:rsid w:val="009A1AF6"/>
    <w:rsid w:val="009A1F1E"/>
    <w:rsid w:val="009A2AF6"/>
    <w:rsid w:val="009A4A0B"/>
    <w:rsid w:val="009A4FF7"/>
    <w:rsid w:val="009A778F"/>
    <w:rsid w:val="009B049A"/>
    <w:rsid w:val="009B07C6"/>
    <w:rsid w:val="009B1318"/>
    <w:rsid w:val="009B5CA1"/>
    <w:rsid w:val="009B67BC"/>
    <w:rsid w:val="009C7AE2"/>
    <w:rsid w:val="009D3984"/>
    <w:rsid w:val="009D46CC"/>
    <w:rsid w:val="009D5C19"/>
    <w:rsid w:val="009D6F45"/>
    <w:rsid w:val="009E1629"/>
    <w:rsid w:val="009E3D75"/>
    <w:rsid w:val="009F51C1"/>
    <w:rsid w:val="00A025FD"/>
    <w:rsid w:val="00A05F81"/>
    <w:rsid w:val="00A12D47"/>
    <w:rsid w:val="00A136AC"/>
    <w:rsid w:val="00A138AD"/>
    <w:rsid w:val="00A13E82"/>
    <w:rsid w:val="00A141DE"/>
    <w:rsid w:val="00A166AC"/>
    <w:rsid w:val="00A1688E"/>
    <w:rsid w:val="00A16CB8"/>
    <w:rsid w:val="00A16DFE"/>
    <w:rsid w:val="00A20525"/>
    <w:rsid w:val="00A2114A"/>
    <w:rsid w:val="00A24F5C"/>
    <w:rsid w:val="00A27612"/>
    <w:rsid w:val="00A35A4E"/>
    <w:rsid w:val="00A35BA5"/>
    <w:rsid w:val="00A42A7F"/>
    <w:rsid w:val="00A46416"/>
    <w:rsid w:val="00A46EBC"/>
    <w:rsid w:val="00A52ACA"/>
    <w:rsid w:val="00A548DE"/>
    <w:rsid w:val="00A55632"/>
    <w:rsid w:val="00A55E62"/>
    <w:rsid w:val="00A5767C"/>
    <w:rsid w:val="00A608D8"/>
    <w:rsid w:val="00A61B9E"/>
    <w:rsid w:val="00A624ED"/>
    <w:rsid w:val="00A63D0B"/>
    <w:rsid w:val="00A65B62"/>
    <w:rsid w:val="00A71848"/>
    <w:rsid w:val="00A71C25"/>
    <w:rsid w:val="00A7750F"/>
    <w:rsid w:val="00A812E8"/>
    <w:rsid w:val="00A8322B"/>
    <w:rsid w:val="00AA1647"/>
    <w:rsid w:val="00AA2CB5"/>
    <w:rsid w:val="00AA7A95"/>
    <w:rsid w:val="00AB2C6F"/>
    <w:rsid w:val="00AB40A7"/>
    <w:rsid w:val="00AB7DD4"/>
    <w:rsid w:val="00AC2EB8"/>
    <w:rsid w:val="00AC657E"/>
    <w:rsid w:val="00AC6969"/>
    <w:rsid w:val="00AC7895"/>
    <w:rsid w:val="00AD0620"/>
    <w:rsid w:val="00AD7DA8"/>
    <w:rsid w:val="00AE2FE2"/>
    <w:rsid w:val="00AE3BC9"/>
    <w:rsid w:val="00AE568A"/>
    <w:rsid w:val="00AF1A3A"/>
    <w:rsid w:val="00AF3B4F"/>
    <w:rsid w:val="00B035C8"/>
    <w:rsid w:val="00B065D0"/>
    <w:rsid w:val="00B24296"/>
    <w:rsid w:val="00B25883"/>
    <w:rsid w:val="00B26571"/>
    <w:rsid w:val="00B307B7"/>
    <w:rsid w:val="00B30FC5"/>
    <w:rsid w:val="00B310CA"/>
    <w:rsid w:val="00B364FF"/>
    <w:rsid w:val="00B416B4"/>
    <w:rsid w:val="00B44D57"/>
    <w:rsid w:val="00B52C02"/>
    <w:rsid w:val="00B53001"/>
    <w:rsid w:val="00B57A7B"/>
    <w:rsid w:val="00B6124A"/>
    <w:rsid w:val="00B62739"/>
    <w:rsid w:val="00B67BE9"/>
    <w:rsid w:val="00B716E4"/>
    <w:rsid w:val="00B71C57"/>
    <w:rsid w:val="00B7345C"/>
    <w:rsid w:val="00B73C21"/>
    <w:rsid w:val="00B80797"/>
    <w:rsid w:val="00B81219"/>
    <w:rsid w:val="00B8170D"/>
    <w:rsid w:val="00B8240C"/>
    <w:rsid w:val="00B83531"/>
    <w:rsid w:val="00B91243"/>
    <w:rsid w:val="00B94DED"/>
    <w:rsid w:val="00B95BC1"/>
    <w:rsid w:val="00B96C9D"/>
    <w:rsid w:val="00BA136F"/>
    <w:rsid w:val="00BB2E27"/>
    <w:rsid w:val="00BB634E"/>
    <w:rsid w:val="00BB643E"/>
    <w:rsid w:val="00BD0E49"/>
    <w:rsid w:val="00BD0FE7"/>
    <w:rsid w:val="00BD22BE"/>
    <w:rsid w:val="00BD4495"/>
    <w:rsid w:val="00BD615C"/>
    <w:rsid w:val="00BD6A59"/>
    <w:rsid w:val="00BE0F1F"/>
    <w:rsid w:val="00BF1B88"/>
    <w:rsid w:val="00BF290B"/>
    <w:rsid w:val="00BF6EB8"/>
    <w:rsid w:val="00BF7600"/>
    <w:rsid w:val="00BF7837"/>
    <w:rsid w:val="00C00E5B"/>
    <w:rsid w:val="00C01904"/>
    <w:rsid w:val="00C04136"/>
    <w:rsid w:val="00C10AE8"/>
    <w:rsid w:val="00C1785E"/>
    <w:rsid w:val="00C17C30"/>
    <w:rsid w:val="00C17EEB"/>
    <w:rsid w:val="00C21B53"/>
    <w:rsid w:val="00C23DE7"/>
    <w:rsid w:val="00C25EDD"/>
    <w:rsid w:val="00C26A3B"/>
    <w:rsid w:val="00C371A7"/>
    <w:rsid w:val="00C432D3"/>
    <w:rsid w:val="00C44EA2"/>
    <w:rsid w:val="00C4543C"/>
    <w:rsid w:val="00C455BA"/>
    <w:rsid w:val="00C53107"/>
    <w:rsid w:val="00C577FD"/>
    <w:rsid w:val="00C610A5"/>
    <w:rsid w:val="00C616EC"/>
    <w:rsid w:val="00C61A76"/>
    <w:rsid w:val="00C637DF"/>
    <w:rsid w:val="00C66FB8"/>
    <w:rsid w:val="00C70895"/>
    <w:rsid w:val="00C708B2"/>
    <w:rsid w:val="00C708B6"/>
    <w:rsid w:val="00C737F4"/>
    <w:rsid w:val="00C7402F"/>
    <w:rsid w:val="00C74117"/>
    <w:rsid w:val="00C81E24"/>
    <w:rsid w:val="00C8224A"/>
    <w:rsid w:val="00C84CA4"/>
    <w:rsid w:val="00C90C6B"/>
    <w:rsid w:val="00C9202C"/>
    <w:rsid w:val="00C93324"/>
    <w:rsid w:val="00C9413E"/>
    <w:rsid w:val="00C96A7D"/>
    <w:rsid w:val="00CA04F7"/>
    <w:rsid w:val="00CA1E38"/>
    <w:rsid w:val="00CA5204"/>
    <w:rsid w:val="00CB145B"/>
    <w:rsid w:val="00CB4DED"/>
    <w:rsid w:val="00CB6C5D"/>
    <w:rsid w:val="00CC171D"/>
    <w:rsid w:val="00CC1A72"/>
    <w:rsid w:val="00CC2A9F"/>
    <w:rsid w:val="00CC49CE"/>
    <w:rsid w:val="00CD2C0F"/>
    <w:rsid w:val="00CD566D"/>
    <w:rsid w:val="00CD6B26"/>
    <w:rsid w:val="00CE3764"/>
    <w:rsid w:val="00CE625E"/>
    <w:rsid w:val="00CF40A0"/>
    <w:rsid w:val="00CF40D0"/>
    <w:rsid w:val="00CF4CCF"/>
    <w:rsid w:val="00CF56A5"/>
    <w:rsid w:val="00CF721C"/>
    <w:rsid w:val="00D050D2"/>
    <w:rsid w:val="00D1195B"/>
    <w:rsid w:val="00D12520"/>
    <w:rsid w:val="00D1579B"/>
    <w:rsid w:val="00D16216"/>
    <w:rsid w:val="00D2096A"/>
    <w:rsid w:val="00D2107D"/>
    <w:rsid w:val="00D21956"/>
    <w:rsid w:val="00D24A2F"/>
    <w:rsid w:val="00D253C0"/>
    <w:rsid w:val="00D253CC"/>
    <w:rsid w:val="00D25B68"/>
    <w:rsid w:val="00D332B2"/>
    <w:rsid w:val="00D33E56"/>
    <w:rsid w:val="00D34C98"/>
    <w:rsid w:val="00D35056"/>
    <w:rsid w:val="00D3546C"/>
    <w:rsid w:val="00D45813"/>
    <w:rsid w:val="00D47490"/>
    <w:rsid w:val="00D523FF"/>
    <w:rsid w:val="00D529C4"/>
    <w:rsid w:val="00D56FCA"/>
    <w:rsid w:val="00D60A7A"/>
    <w:rsid w:val="00D66415"/>
    <w:rsid w:val="00D7739C"/>
    <w:rsid w:val="00D77607"/>
    <w:rsid w:val="00D83664"/>
    <w:rsid w:val="00D8445B"/>
    <w:rsid w:val="00D87160"/>
    <w:rsid w:val="00D92789"/>
    <w:rsid w:val="00DA3EEC"/>
    <w:rsid w:val="00DA4EF5"/>
    <w:rsid w:val="00DB0110"/>
    <w:rsid w:val="00DB2C90"/>
    <w:rsid w:val="00DB4847"/>
    <w:rsid w:val="00DC0BAA"/>
    <w:rsid w:val="00DC2F9A"/>
    <w:rsid w:val="00DD020E"/>
    <w:rsid w:val="00DD188E"/>
    <w:rsid w:val="00DD34A1"/>
    <w:rsid w:val="00DD7816"/>
    <w:rsid w:val="00DE2752"/>
    <w:rsid w:val="00DE471B"/>
    <w:rsid w:val="00DE4A48"/>
    <w:rsid w:val="00DE4DF2"/>
    <w:rsid w:val="00DE6125"/>
    <w:rsid w:val="00DF2AF5"/>
    <w:rsid w:val="00DF5296"/>
    <w:rsid w:val="00DF78FD"/>
    <w:rsid w:val="00E03081"/>
    <w:rsid w:val="00E05842"/>
    <w:rsid w:val="00E1118B"/>
    <w:rsid w:val="00E11543"/>
    <w:rsid w:val="00E135D7"/>
    <w:rsid w:val="00E213EF"/>
    <w:rsid w:val="00E272EC"/>
    <w:rsid w:val="00E27B3D"/>
    <w:rsid w:val="00E30F17"/>
    <w:rsid w:val="00E3286D"/>
    <w:rsid w:val="00E3446E"/>
    <w:rsid w:val="00E35600"/>
    <w:rsid w:val="00E36F44"/>
    <w:rsid w:val="00E40C6E"/>
    <w:rsid w:val="00E444BF"/>
    <w:rsid w:val="00E46E8B"/>
    <w:rsid w:val="00E56240"/>
    <w:rsid w:val="00E570CE"/>
    <w:rsid w:val="00E603C2"/>
    <w:rsid w:val="00E639B0"/>
    <w:rsid w:val="00E658B7"/>
    <w:rsid w:val="00E65F54"/>
    <w:rsid w:val="00E6644A"/>
    <w:rsid w:val="00E70B99"/>
    <w:rsid w:val="00E72B1D"/>
    <w:rsid w:val="00E76369"/>
    <w:rsid w:val="00E9219C"/>
    <w:rsid w:val="00E92647"/>
    <w:rsid w:val="00E93554"/>
    <w:rsid w:val="00E94EEB"/>
    <w:rsid w:val="00EA22F3"/>
    <w:rsid w:val="00EA65AF"/>
    <w:rsid w:val="00EB0C72"/>
    <w:rsid w:val="00EC1C76"/>
    <w:rsid w:val="00EC20CA"/>
    <w:rsid w:val="00EC593D"/>
    <w:rsid w:val="00EC7C72"/>
    <w:rsid w:val="00ED79FA"/>
    <w:rsid w:val="00ED7F9B"/>
    <w:rsid w:val="00EE0845"/>
    <w:rsid w:val="00EE0D7C"/>
    <w:rsid w:val="00EE2AC7"/>
    <w:rsid w:val="00EE7A03"/>
    <w:rsid w:val="00EF08C4"/>
    <w:rsid w:val="00EF0AF7"/>
    <w:rsid w:val="00EF1B68"/>
    <w:rsid w:val="00EF2AD8"/>
    <w:rsid w:val="00EF55C2"/>
    <w:rsid w:val="00EF7A31"/>
    <w:rsid w:val="00F0219F"/>
    <w:rsid w:val="00F0477A"/>
    <w:rsid w:val="00F06D1E"/>
    <w:rsid w:val="00F11636"/>
    <w:rsid w:val="00F13C1C"/>
    <w:rsid w:val="00F1660A"/>
    <w:rsid w:val="00F166F2"/>
    <w:rsid w:val="00F20B9C"/>
    <w:rsid w:val="00F26999"/>
    <w:rsid w:val="00F40ECD"/>
    <w:rsid w:val="00F45BE8"/>
    <w:rsid w:val="00F50F1E"/>
    <w:rsid w:val="00F51F60"/>
    <w:rsid w:val="00F570A2"/>
    <w:rsid w:val="00F75D66"/>
    <w:rsid w:val="00F77785"/>
    <w:rsid w:val="00F8209A"/>
    <w:rsid w:val="00FA09F1"/>
    <w:rsid w:val="00FA42A5"/>
    <w:rsid w:val="00FA5938"/>
    <w:rsid w:val="00FA5BB3"/>
    <w:rsid w:val="00FB719A"/>
    <w:rsid w:val="00FB77E7"/>
    <w:rsid w:val="00FC2928"/>
    <w:rsid w:val="00FC387F"/>
    <w:rsid w:val="00FC39E5"/>
    <w:rsid w:val="00FC58C2"/>
    <w:rsid w:val="00FD0165"/>
    <w:rsid w:val="00FD02AC"/>
    <w:rsid w:val="00FD0D3B"/>
    <w:rsid w:val="00FD0F89"/>
    <w:rsid w:val="00FD5892"/>
    <w:rsid w:val="00FE7D9F"/>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356195B"/>
  <w15:chartTrackingRefBased/>
  <w15:docId w15:val="{946A4248-99C9-41DA-8F9D-94596DF1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8275B5"/>
    <w:pPr>
      <w:spacing w:line="240" w:lineRule="auto"/>
      <w:ind w:firstLine="0"/>
      <w:jc w:val="left"/>
    </w:pPr>
    <w:rPr>
      <w:rFonts w:ascii="Calibri" w:hAnsi="Calibri"/>
      <w:sz w:val="20"/>
      <w:szCs w:val="20"/>
      <w:lang w:eastAsia="lv-LV"/>
    </w:rPr>
  </w:style>
  <w:style w:type="character" w:customStyle="1" w:styleId="FootnoteTextChar">
    <w:name w:val="Footnote Text Char"/>
    <w:link w:val="FootnoteText1"/>
    <w:uiPriority w:val="99"/>
    <w:semiHidden/>
    <w:rsid w:val="008275B5"/>
    <w:rPr>
      <w:rFonts w:ascii="Calibri" w:hAnsi="Calibri"/>
    </w:rPr>
  </w:style>
  <w:style w:type="paragraph" w:styleId="FootnoteText">
    <w:name w:val="footnote text"/>
    <w:basedOn w:val="Normal"/>
    <w:link w:val="FootnoteTextChar1"/>
    <w:uiPriority w:val="99"/>
    <w:semiHidden/>
    <w:unhideWhenUsed/>
    <w:rsid w:val="008275B5"/>
    <w:rPr>
      <w:sz w:val="20"/>
      <w:szCs w:val="20"/>
    </w:rPr>
  </w:style>
  <w:style w:type="character" w:customStyle="1" w:styleId="FootnoteTextChar1">
    <w:name w:val="Footnote Text Char1"/>
    <w:basedOn w:val="DefaultParagraphFont"/>
    <w:link w:val="FootnoteText"/>
    <w:uiPriority w:val="99"/>
    <w:semiHidden/>
    <w:rsid w:val="008275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A20E-5A8A-4D6D-8AC4-FADE7D6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5009</Words>
  <Characters>2856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obligātās apdrošināšanas likumā” sākotnējās ietekmes novērtējuma ziņojums (anotācija)</vt:lpstr>
    </vt:vector>
  </TitlesOfParts>
  <Company>Satiksmes ministrija</Company>
  <LinksUpToDate>false</LinksUpToDate>
  <CharactersWithSpaces>7850</CharactersWithSpaces>
  <SharedDoc>false</SharedDoc>
  <HLinks>
    <vt:vector size="6" baseType="variant">
      <vt:variant>
        <vt:i4>6684737</vt:i4>
      </vt:variant>
      <vt:variant>
        <vt:i4>0</vt:i4>
      </vt:variant>
      <vt:variant>
        <vt:i4>0</vt:i4>
      </vt:variant>
      <vt:variant>
        <vt:i4>5</vt:i4>
      </vt:variant>
      <vt:variant>
        <vt:lpwstr>mailto:juris.dreimanis@csdd.gov.lv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obligātās apdrošināšanas likumā” sākotnējās ietekmes novērtējuma ziņojums (anotācija)</dc:title>
  <dc:subject>anotācija</dc:subject>
  <dc:creator>Lauris.Mikelsons@sam.gov.lv</dc:creator>
  <cp:keywords/>
  <dc:description>juris.dreimanis@csdd.gov.lv
67025735</dc:description>
  <cp:lastModifiedBy>Lauris Miķelsons</cp:lastModifiedBy>
  <cp:revision>6</cp:revision>
  <cp:lastPrinted>2014-12-16T08:25:00Z</cp:lastPrinted>
  <dcterms:created xsi:type="dcterms:W3CDTF">2018-02-12T13:25:00Z</dcterms:created>
  <dcterms:modified xsi:type="dcterms:W3CDTF">2018-04-19T12:16:00Z</dcterms:modified>
</cp:coreProperties>
</file>