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94FC" w14:textId="77777777" w:rsidR="003A60FC" w:rsidRPr="000F68FF" w:rsidRDefault="003A60FC" w:rsidP="000576E5">
      <w:pPr>
        <w:shd w:val="clear" w:color="auto" w:fill="FFFFFF"/>
        <w:spacing w:after="0" w:line="240" w:lineRule="auto"/>
        <w:jc w:val="right"/>
        <w:rPr>
          <w:rFonts w:ascii="Times New Roman"/>
          <w:bCs/>
          <w:sz w:val="24"/>
          <w:szCs w:val="28"/>
        </w:rPr>
      </w:pPr>
    </w:p>
    <w:p w14:paraId="4BBC03FC" w14:textId="77777777" w:rsidR="00BF18C0" w:rsidRPr="000F68FF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00D8D4B2" w14:textId="77777777" w:rsidR="00BF18C0" w:rsidRPr="000F68FF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388E2B58" w14:textId="77777777" w:rsidR="00BF18C0" w:rsidRPr="000F68FF" w:rsidRDefault="00BF18C0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3A7BDF30" w14:textId="0788EF40" w:rsidR="00A47BD3" w:rsidRPr="000F68FF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 xml:space="preserve">2018. gada </w:t>
      </w:r>
      <w:r w:rsidR="00CD6943">
        <w:rPr>
          <w:rFonts w:ascii="Times New Roman"/>
          <w:sz w:val="28"/>
          <w:szCs w:val="28"/>
        </w:rPr>
        <w:t>24. aprīlī</w:t>
      </w:r>
      <w:r w:rsidRPr="000F68FF">
        <w:rPr>
          <w:rFonts w:ascii="Times New Roman"/>
          <w:sz w:val="28"/>
          <w:szCs w:val="28"/>
        </w:rPr>
        <w:tab/>
        <w:t>Noteikumi Nr.</w:t>
      </w:r>
      <w:r w:rsidR="00CD6943">
        <w:rPr>
          <w:rFonts w:ascii="Times New Roman"/>
          <w:sz w:val="28"/>
          <w:szCs w:val="28"/>
        </w:rPr>
        <w:t> 235</w:t>
      </w:r>
    </w:p>
    <w:p w14:paraId="3D2E1013" w14:textId="6C9F6CF6" w:rsidR="00A47BD3" w:rsidRPr="000F68FF" w:rsidRDefault="00A47BD3" w:rsidP="00A47BD3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>Rīgā</w:t>
      </w:r>
      <w:r w:rsidRPr="000F68FF">
        <w:rPr>
          <w:rFonts w:ascii="Times New Roman"/>
          <w:sz w:val="28"/>
          <w:szCs w:val="28"/>
        </w:rPr>
        <w:tab/>
        <w:t>(prot. Nr. </w:t>
      </w:r>
      <w:r w:rsidR="00CD6943">
        <w:rPr>
          <w:rFonts w:ascii="Times New Roman"/>
          <w:sz w:val="28"/>
          <w:szCs w:val="28"/>
        </w:rPr>
        <w:t>21</w:t>
      </w:r>
      <w:r w:rsidRPr="000F68FF">
        <w:rPr>
          <w:rFonts w:ascii="Times New Roman"/>
          <w:sz w:val="28"/>
          <w:szCs w:val="28"/>
        </w:rPr>
        <w:t> </w:t>
      </w:r>
      <w:r w:rsidR="00CD6943">
        <w:rPr>
          <w:rFonts w:ascii="Times New Roman"/>
          <w:sz w:val="28"/>
          <w:szCs w:val="28"/>
        </w:rPr>
        <w:t>22</w:t>
      </w:r>
      <w:bookmarkStart w:id="0" w:name="_GoBack"/>
      <w:bookmarkEnd w:id="0"/>
      <w:r w:rsidRPr="000F68FF">
        <w:rPr>
          <w:rFonts w:ascii="Times New Roman"/>
          <w:sz w:val="28"/>
          <w:szCs w:val="28"/>
        </w:rPr>
        <w:t>. §)</w:t>
      </w:r>
    </w:p>
    <w:p w14:paraId="33EB6BF7" w14:textId="3FE11F55" w:rsidR="003A60FC" w:rsidRPr="000F68FF" w:rsidRDefault="003A60FC" w:rsidP="00A47BD3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8"/>
          <w:szCs w:val="28"/>
        </w:rPr>
      </w:pPr>
    </w:p>
    <w:p w14:paraId="3792CFD0" w14:textId="04797C55" w:rsidR="002D77B8" w:rsidRPr="000F68FF" w:rsidRDefault="002D77B8" w:rsidP="00A47BD3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0F68FF">
        <w:rPr>
          <w:rFonts w:ascii="Times New Roman"/>
          <w:b/>
          <w:bCs/>
          <w:sz w:val="28"/>
          <w:szCs w:val="28"/>
        </w:rPr>
        <w:t>Grozījums Ministru kabineta 2003. gada 29. aprīļa noteikumos Nr. 242</w:t>
      </w:r>
      <w:r w:rsidR="00A47BD3" w:rsidRPr="000F68FF">
        <w:rPr>
          <w:rFonts w:ascii="Times New Roman"/>
          <w:b/>
          <w:bCs/>
          <w:sz w:val="28"/>
          <w:szCs w:val="28"/>
        </w:rPr>
        <w:t xml:space="preserve"> "</w:t>
      </w:r>
      <w:r w:rsidRPr="000F68FF">
        <w:rPr>
          <w:rFonts w:ascii="Times New Roman"/>
          <w:b/>
          <w:bCs/>
          <w:sz w:val="28"/>
          <w:szCs w:val="28"/>
        </w:rPr>
        <w:t>Satiksmes ministrijas nolikums</w:t>
      </w:r>
      <w:r w:rsidR="00A47BD3" w:rsidRPr="000F68FF">
        <w:rPr>
          <w:rFonts w:ascii="Times New Roman"/>
          <w:b/>
          <w:bCs/>
          <w:sz w:val="28"/>
          <w:szCs w:val="28"/>
        </w:rPr>
        <w:t>"</w:t>
      </w:r>
    </w:p>
    <w:p w14:paraId="01251BE8" w14:textId="77777777" w:rsidR="00080DEA" w:rsidRPr="000F68FF" w:rsidRDefault="00080DEA" w:rsidP="00A47BD3">
      <w:pPr>
        <w:shd w:val="clear" w:color="auto" w:fill="FFFFFF"/>
        <w:spacing w:after="0" w:line="240" w:lineRule="auto"/>
        <w:jc w:val="right"/>
        <w:rPr>
          <w:rFonts w:ascii="Times New Roman"/>
          <w:i/>
          <w:iCs/>
          <w:sz w:val="28"/>
          <w:szCs w:val="28"/>
        </w:rPr>
      </w:pPr>
    </w:p>
    <w:p w14:paraId="149C79A7" w14:textId="0ECF6369" w:rsidR="003A60FC" w:rsidRPr="000F68FF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0F68FF">
        <w:rPr>
          <w:rFonts w:ascii="Times New Roman"/>
          <w:iCs/>
          <w:sz w:val="28"/>
          <w:szCs w:val="28"/>
        </w:rPr>
        <w:t xml:space="preserve">Izdoti </w:t>
      </w:r>
      <w:r w:rsidR="0094251A" w:rsidRPr="000F68FF">
        <w:rPr>
          <w:rFonts w:ascii="Times New Roman"/>
          <w:iCs/>
          <w:sz w:val="28"/>
          <w:szCs w:val="28"/>
        </w:rPr>
        <w:t>saskaņā ar</w:t>
      </w:r>
    </w:p>
    <w:p w14:paraId="07AC4616" w14:textId="2D7E173D" w:rsidR="0094251A" w:rsidRPr="000F68FF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 xml:space="preserve">Valsts </w:t>
      </w:r>
      <w:r w:rsidR="00C260FC" w:rsidRPr="000F68FF">
        <w:rPr>
          <w:rFonts w:ascii="Times New Roman"/>
          <w:sz w:val="28"/>
          <w:szCs w:val="28"/>
        </w:rPr>
        <w:t>pārvaldes iekārtas</w:t>
      </w:r>
      <w:r w:rsidR="00BF18C0" w:rsidRPr="000F68FF">
        <w:rPr>
          <w:rFonts w:ascii="Times New Roman"/>
          <w:sz w:val="28"/>
          <w:szCs w:val="28"/>
        </w:rPr>
        <w:t xml:space="preserve"> likuma</w:t>
      </w:r>
    </w:p>
    <w:p w14:paraId="38BD0C76" w14:textId="2D20CD87" w:rsidR="00D97F9D" w:rsidRPr="000F68FF" w:rsidRDefault="00D97F9D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>16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p</w:t>
      </w:r>
      <w:r w:rsidRPr="000F68FF">
        <w:rPr>
          <w:rFonts w:ascii="Times New Roman"/>
          <w:sz w:val="28"/>
          <w:szCs w:val="28"/>
        </w:rPr>
        <w:t xml:space="preserve">anta pirmo </w:t>
      </w:r>
      <w:r w:rsidR="00C260FC" w:rsidRPr="000F68FF">
        <w:rPr>
          <w:rFonts w:ascii="Times New Roman"/>
          <w:sz w:val="28"/>
          <w:szCs w:val="28"/>
        </w:rPr>
        <w:t>daļu</w:t>
      </w:r>
    </w:p>
    <w:p w14:paraId="628FFCB9" w14:textId="7ED96AE7" w:rsidR="003A60FC" w:rsidRPr="000F68FF" w:rsidRDefault="003A60FC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</w:p>
    <w:p w14:paraId="32755034" w14:textId="213EC21E" w:rsidR="00E23F05" w:rsidRPr="000F68FF" w:rsidRDefault="00E23F05" w:rsidP="00A47BD3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 xml:space="preserve">Izdarīt Ministru kabineta 2003. gada 29. aprīļa noteikumos Nr. 242 </w:t>
      </w:r>
      <w:r w:rsidR="00A47BD3" w:rsidRPr="000F68FF">
        <w:rPr>
          <w:rFonts w:ascii="Times New Roman"/>
          <w:sz w:val="28"/>
          <w:szCs w:val="28"/>
        </w:rPr>
        <w:t>"</w:t>
      </w:r>
      <w:r w:rsidRPr="000F68FF">
        <w:rPr>
          <w:rFonts w:ascii="Times New Roman"/>
          <w:sz w:val="28"/>
          <w:szCs w:val="28"/>
        </w:rPr>
        <w:t>Satiksmes ministrijas nolikums</w:t>
      </w:r>
      <w:r w:rsidR="00A47BD3" w:rsidRPr="000F68FF">
        <w:rPr>
          <w:rFonts w:ascii="Times New Roman"/>
          <w:sz w:val="28"/>
          <w:szCs w:val="28"/>
        </w:rPr>
        <w:t>"</w:t>
      </w:r>
      <w:r w:rsidRPr="000F68FF">
        <w:rPr>
          <w:rFonts w:ascii="Times New Roman"/>
          <w:sz w:val="28"/>
          <w:szCs w:val="28"/>
        </w:rPr>
        <w:t xml:space="preserve"> </w:t>
      </w:r>
      <w:proofErr w:type="gramStart"/>
      <w:r w:rsidRPr="000F68FF">
        <w:rPr>
          <w:rFonts w:ascii="Times New Roman"/>
          <w:sz w:val="28"/>
          <w:szCs w:val="28"/>
        </w:rPr>
        <w:t>(</w:t>
      </w:r>
      <w:proofErr w:type="gramEnd"/>
      <w:r w:rsidRPr="000F68FF">
        <w:rPr>
          <w:rFonts w:ascii="Times New Roman"/>
          <w:sz w:val="28"/>
          <w:szCs w:val="28"/>
        </w:rPr>
        <w:t>Latvijas Vēstnesis, 2003, 70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2005, 10., 152., 206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2006, 153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2007, 103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2009, 49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2010, 128., 150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2012, 169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2013, 233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r.; 2015, 147., 220</w:t>
      </w:r>
      <w:r w:rsidR="00A47BD3" w:rsidRPr="000F68FF">
        <w:rPr>
          <w:rFonts w:ascii="Times New Roman"/>
          <w:sz w:val="28"/>
          <w:szCs w:val="28"/>
        </w:rPr>
        <w:t>.</w:t>
      </w:r>
      <w:r w:rsidR="00BF18C0" w:rsidRPr="000F68FF">
        <w:rPr>
          <w:rFonts w:ascii="Times New Roman"/>
          <w:sz w:val="28"/>
          <w:szCs w:val="28"/>
        </w:rPr>
        <w:t> </w:t>
      </w:r>
      <w:r w:rsidR="00A47BD3" w:rsidRPr="000F68FF">
        <w:rPr>
          <w:rFonts w:ascii="Times New Roman"/>
          <w:sz w:val="28"/>
          <w:szCs w:val="28"/>
        </w:rPr>
        <w:t>n</w:t>
      </w:r>
      <w:r w:rsidRPr="000F68FF">
        <w:rPr>
          <w:rFonts w:ascii="Times New Roman"/>
          <w:sz w:val="28"/>
          <w:szCs w:val="28"/>
        </w:rPr>
        <w:t>r.) grozījumu</w:t>
      </w:r>
      <w:r w:rsidR="00BF18C0" w:rsidRPr="000F68FF">
        <w:rPr>
          <w:rFonts w:ascii="Times New Roman"/>
          <w:sz w:val="28"/>
          <w:szCs w:val="28"/>
        </w:rPr>
        <w:t xml:space="preserve"> un </w:t>
      </w:r>
      <w:r w:rsidR="00BF18C0" w:rsidRPr="000F68FF">
        <w:rPr>
          <w:rFonts w:ascii="Times New Roman"/>
          <w:bCs/>
          <w:sz w:val="28"/>
          <w:szCs w:val="28"/>
        </w:rPr>
        <w:t>izteikt 5.25. apakšpunktu šādā redakcijā</w:t>
      </w:r>
      <w:r w:rsidRPr="000F68FF">
        <w:rPr>
          <w:rFonts w:ascii="Times New Roman"/>
          <w:sz w:val="28"/>
          <w:szCs w:val="28"/>
        </w:rPr>
        <w:t>:</w:t>
      </w:r>
    </w:p>
    <w:p w14:paraId="2C8D02BE" w14:textId="77777777" w:rsidR="00E23F05" w:rsidRPr="000F68FF" w:rsidRDefault="00E23F05" w:rsidP="00A47BD3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</w:p>
    <w:p w14:paraId="04E87C4C" w14:textId="272EB062" w:rsidR="00E23F05" w:rsidRPr="000F68FF" w:rsidRDefault="00A47BD3" w:rsidP="00A47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bookmarkStart w:id="1" w:name="n1"/>
      <w:bookmarkEnd w:id="1"/>
      <w:r w:rsidRPr="000F68FF">
        <w:rPr>
          <w:rFonts w:ascii="Times New Roman"/>
          <w:sz w:val="28"/>
          <w:szCs w:val="28"/>
        </w:rPr>
        <w:t>"</w:t>
      </w:r>
      <w:r w:rsidR="00E23F05" w:rsidRPr="000F68FF">
        <w:rPr>
          <w:rFonts w:ascii="Times New Roman"/>
          <w:sz w:val="28"/>
          <w:szCs w:val="28"/>
        </w:rPr>
        <w:t>5.25.</w:t>
      </w:r>
      <w:r w:rsidR="00BF18C0" w:rsidRPr="000F68FF">
        <w:rPr>
          <w:rFonts w:ascii="Times New Roman"/>
          <w:sz w:val="28"/>
          <w:szCs w:val="28"/>
        </w:rPr>
        <w:t> </w:t>
      </w:r>
      <w:r w:rsidR="00E23F05" w:rsidRPr="000F68FF">
        <w:rPr>
          <w:rFonts w:ascii="Times New Roman"/>
          <w:sz w:val="28"/>
          <w:szCs w:val="28"/>
        </w:rPr>
        <w:t xml:space="preserve">koordinē </w:t>
      </w:r>
      <w:proofErr w:type="spellStart"/>
      <w:r w:rsidR="00E23F05" w:rsidRPr="000F68FF">
        <w:rPr>
          <w:rFonts w:ascii="Times New Roman"/>
          <w:i/>
          <w:sz w:val="28"/>
          <w:szCs w:val="28"/>
        </w:rPr>
        <w:t>Rail</w:t>
      </w:r>
      <w:proofErr w:type="spellEnd"/>
      <w:r w:rsidR="00E23F05" w:rsidRPr="000F68FF">
        <w:rPr>
          <w:rFonts w:ascii="Times New Roman"/>
          <w:i/>
          <w:sz w:val="28"/>
          <w:szCs w:val="28"/>
        </w:rPr>
        <w:t xml:space="preserve"> Baltica</w:t>
      </w:r>
      <w:r w:rsidR="00E23F05" w:rsidRPr="000F68FF">
        <w:rPr>
          <w:rFonts w:ascii="Times New Roman"/>
          <w:sz w:val="28"/>
          <w:szCs w:val="28"/>
        </w:rPr>
        <w:t xml:space="preserve"> valsts publiskās lietošanas dzelzceļa infrastruktūras projekta īstenošanu līdz </w:t>
      </w:r>
      <w:r w:rsidR="00235CC5" w:rsidRPr="000F68FF">
        <w:rPr>
          <w:rFonts w:ascii="Times New Roman"/>
          <w:sz w:val="28"/>
          <w:szCs w:val="28"/>
        </w:rPr>
        <w:t>projekta realizācijai</w:t>
      </w:r>
      <w:r w:rsidR="00E23F05" w:rsidRPr="000F68FF">
        <w:rPr>
          <w:rFonts w:ascii="Times New Roman"/>
          <w:sz w:val="28"/>
          <w:szCs w:val="28"/>
        </w:rPr>
        <w:t xml:space="preserve"> un</w:t>
      </w:r>
      <w:r w:rsidR="00551D06">
        <w:rPr>
          <w:rFonts w:ascii="Times New Roman"/>
          <w:sz w:val="28"/>
          <w:szCs w:val="28"/>
        </w:rPr>
        <w:t>,</w:t>
      </w:r>
      <w:r w:rsidR="00E23F05" w:rsidRPr="000F68FF">
        <w:rPr>
          <w:rFonts w:ascii="Times New Roman"/>
          <w:sz w:val="28"/>
          <w:szCs w:val="28"/>
        </w:rPr>
        <w:t xml:space="preserve"> </w:t>
      </w:r>
      <w:r w:rsidR="00551D06" w:rsidRPr="000F68FF">
        <w:rPr>
          <w:rFonts w:ascii="Times New Roman"/>
          <w:sz w:val="28"/>
          <w:szCs w:val="28"/>
        </w:rPr>
        <w:t>noslēdzot deleģēšanas līgumus</w:t>
      </w:r>
      <w:r w:rsidR="00755C60">
        <w:rPr>
          <w:rFonts w:ascii="Times New Roman"/>
          <w:sz w:val="28"/>
          <w:szCs w:val="28"/>
        </w:rPr>
        <w:t xml:space="preserve"> ar</w:t>
      </w:r>
      <w:r w:rsidR="00551D06" w:rsidRPr="000F68FF">
        <w:rPr>
          <w:rFonts w:ascii="Times New Roman"/>
          <w:sz w:val="28"/>
          <w:szCs w:val="28"/>
        </w:rPr>
        <w:t xml:space="preserve"> </w:t>
      </w:r>
      <w:r w:rsidR="00E23F05" w:rsidRPr="000F68FF">
        <w:rPr>
          <w:rFonts w:ascii="Times New Roman"/>
          <w:sz w:val="28"/>
          <w:szCs w:val="28"/>
        </w:rPr>
        <w:t>sabiedrīb</w:t>
      </w:r>
      <w:r w:rsidR="00755C60">
        <w:rPr>
          <w:rFonts w:ascii="Times New Roman"/>
          <w:sz w:val="28"/>
          <w:szCs w:val="28"/>
        </w:rPr>
        <w:t>u</w:t>
      </w:r>
      <w:r w:rsidR="00E23F05" w:rsidRPr="000F68FF">
        <w:rPr>
          <w:rFonts w:ascii="Times New Roman"/>
          <w:sz w:val="28"/>
          <w:szCs w:val="28"/>
        </w:rPr>
        <w:t xml:space="preserve"> ar ierobežotu atbildību </w:t>
      </w:r>
      <w:r w:rsidRPr="000F68FF">
        <w:rPr>
          <w:rFonts w:ascii="Times New Roman"/>
          <w:sz w:val="28"/>
          <w:szCs w:val="28"/>
        </w:rPr>
        <w:t>"</w:t>
      </w:r>
      <w:r w:rsidR="00E23F05" w:rsidRPr="000F68FF">
        <w:rPr>
          <w:rFonts w:ascii="Times New Roman"/>
          <w:sz w:val="28"/>
          <w:szCs w:val="28"/>
        </w:rPr>
        <w:t>Eiropas dzelzceļa līnijas</w:t>
      </w:r>
      <w:r w:rsidRPr="000F68FF">
        <w:rPr>
          <w:rFonts w:ascii="Times New Roman"/>
          <w:sz w:val="28"/>
          <w:szCs w:val="28"/>
        </w:rPr>
        <w:t>"</w:t>
      </w:r>
      <w:r w:rsidR="00235CC5" w:rsidRPr="000F68FF">
        <w:rPr>
          <w:rFonts w:ascii="Times New Roman"/>
          <w:sz w:val="28"/>
          <w:szCs w:val="28"/>
        </w:rPr>
        <w:t xml:space="preserve"> un </w:t>
      </w:r>
      <w:r w:rsidR="00D97F9D" w:rsidRPr="000F68FF">
        <w:rPr>
          <w:rFonts w:ascii="Times New Roman"/>
          <w:sz w:val="28"/>
          <w:szCs w:val="28"/>
        </w:rPr>
        <w:t>akciju sabiedrīb</w:t>
      </w:r>
      <w:r w:rsidR="00755C60">
        <w:rPr>
          <w:rFonts w:ascii="Times New Roman"/>
          <w:sz w:val="28"/>
          <w:szCs w:val="28"/>
        </w:rPr>
        <w:t>u</w:t>
      </w:r>
      <w:r w:rsidR="00D97F9D" w:rsidRPr="000F68FF">
        <w:rPr>
          <w:rFonts w:ascii="Times New Roman"/>
          <w:sz w:val="28"/>
          <w:szCs w:val="28"/>
        </w:rPr>
        <w:t xml:space="preserve"> </w:t>
      </w:r>
      <w:r w:rsidRPr="000F68FF">
        <w:rPr>
          <w:rFonts w:ascii="Times New Roman"/>
          <w:sz w:val="28"/>
          <w:szCs w:val="28"/>
        </w:rPr>
        <w:t>"</w:t>
      </w:r>
      <w:r w:rsidR="00235CC5" w:rsidRPr="000F68FF">
        <w:rPr>
          <w:rFonts w:ascii="Times New Roman"/>
          <w:sz w:val="28"/>
          <w:szCs w:val="28"/>
        </w:rPr>
        <w:t xml:space="preserve">RB </w:t>
      </w:r>
      <w:proofErr w:type="spellStart"/>
      <w:r w:rsidR="00235CC5" w:rsidRPr="000F68FF">
        <w:rPr>
          <w:rFonts w:ascii="Times New Roman"/>
          <w:sz w:val="28"/>
          <w:szCs w:val="28"/>
        </w:rPr>
        <w:t>Rail</w:t>
      </w:r>
      <w:proofErr w:type="spellEnd"/>
      <w:r w:rsidRPr="000F68FF">
        <w:rPr>
          <w:rFonts w:ascii="Times New Roman"/>
          <w:sz w:val="28"/>
          <w:szCs w:val="28"/>
        </w:rPr>
        <w:t>"</w:t>
      </w:r>
      <w:r w:rsidR="00755C60">
        <w:rPr>
          <w:rFonts w:ascii="Times New Roman"/>
          <w:sz w:val="28"/>
          <w:szCs w:val="28"/>
        </w:rPr>
        <w:t>,</w:t>
      </w:r>
      <w:r w:rsidR="00E23F05" w:rsidRPr="000F68FF">
        <w:rPr>
          <w:rFonts w:ascii="Times New Roman"/>
          <w:sz w:val="28"/>
          <w:szCs w:val="28"/>
        </w:rPr>
        <w:t xml:space="preserve"> </w:t>
      </w:r>
      <w:r w:rsidR="00551D06" w:rsidRPr="000F68FF">
        <w:rPr>
          <w:rFonts w:ascii="Times New Roman"/>
          <w:sz w:val="28"/>
          <w:szCs w:val="28"/>
        </w:rPr>
        <w:t>deleģē</w:t>
      </w:r>
      <w:r w:rsidR="00755C60">
        <w:rPr>
          <w:rFonts w:ascii="Times New Roman"/>
          <w:sz w:val="28"/>
          <w:szCs w:val="28"/>
        </w:rPr>
        <w:t xml:space="preserve"> tām</w:t>
      </w:r>
      <w:r w:rsidR="00551D06" w:rsidRPr="000F68FF">
        <w:rPr>
          <w:rFonts w:ascii="Times New Roman"/>
          <w:sz w:val="28"/>
          <w:szCs w:val="28"/>
        </w:rPr>
        <w:t xml:space="preserve"> </w:t>
      </w:r>
      <w:r w:rsidR="00E23F05" w:rsidRPr="000F68FF">
        <w:rPr>
          <w:rFonts w:ascii="Times New Roman"/>
          <w:sz w:val="28"/>
          <w:szCs w:val="28"/>
        </w:rPr>
        <w:t>organizēt infrastruktūras objekta izveidi.</w:t>
      </w:r>
      <w:r w:rsidRPr="000F68FF">
        <w:rPr>
          <w:rFonts w:ascii="Times New Roman"/>
          <w:sz w:val="28"/>
          <w:szCs w:val="28"/>
        </w:rPr>
        <w:t>"</w:t>
      </w:r>
    </w:p>
    <w:p w14:paraId="47E9BE42" w14:textId="77777777" w:rsidR="00A47BD3" w:rsidRPr="000F68FF" w:rsidRDefault="00A47BD3" w:rsidP="00A47BD3">
      <w:pPr>
        <w:pStyle w:val="StyleRight"/>
        <w:spacing w:after="0"/>
        <w:ind w:firstLine="0"/>
        <w:jc w:val="both"/>
      </w:pPr>
    </w:p>
    <w:p w14:paraId="6D34D366" w14:textId="77777777" w:rsidR="00A47BD3" w:rsidRPr="000F68FF" w:rsidRDefault="00A47BD3" w:rsidP="00A47BD3">
      <w:pPr>
        <w:pStyle w:val="StyleRight"/>
        <w:spacing w:after="0"/>
        <w:ind w:firstLine="0"/>
        <w:jc w:val="both"/>
      </w:pPr>
    </w:p>
    <w:p w14:paraId="1E9EDFB3" w14:textId="77777777" w:rsidR="00A47BD3" w:rsidRPr="000F68FF" w:rsidRDefault="00A47BD3" w:rsidP="00A47BD3">
      <w:pPr>
        <w:spacing w:after="0" w:line="240" w:lineRule="auto"/>
        <w:contextualSpacing/>
        <w:jc w:val="both"/>
        <w:rPr>
          <w:rFonts w:ascii="Times New Roman"/>
          <w:sz w:val="28"/>
          <w:szCs w:val="28"/>
        </w:rPr>
      </w:pPr>
    </w:p>
    <w:p w14:paraId="3D0D13DC" w14:textId="1CF77B1F" w:rsidR="00A47BD3" w:rsidRPr="000F68FF" w:rsidRDefault="00A47BD3" w:rsidP="00312C2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68FF">
        <w:rPr>
          <w:sz w:val="28"/>
          <w:szCs w:val="28"/>
        </w:rPr>
        <w:t>Ministru prezidents</w:t>
      </w:r>
      <w:r w:rsidRPr="000F68FF">
        <w:rPr>
          <w:sz w:val="28"/>
          <w:szCs w:val="28"/>
        </w:rPr>
        <w:tab/>
        <w:t xml:space="preserve">Māris Kučinskis </w:t>
      </w:r>
    </w:p>
    <w:p w14:paraId="39BFB670" w14:textId="77777777" w:rsidR="00A47BD3" w:rsidRPr="000F68FF" w:rsidRDefault="00A47BD3" w:rsidP="00BF18C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14:paraId="0AC6C686" w14:textId="77777777" w:rsidR="00A47BD3" w:rsidRPr="000F68FF" w:rsidRDefault="00A47BD3" w:rsidP="00BF18C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14:paraId="06BAC25F" w14:textId="77777777" w:rsidR="00A47BD3" w:rsidRPr="000F68FF" w:rsidRDefault="00A47BD3" w:rsidP="00BF18C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14:paraId="45BF791F" w14:textId="77777777" w:rsidR="00A47BD3" w:rsidRPr="000F68FF" w:rsidRDefault="00A47BD3" w:rsidP="00312C2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/>
          <w:bCs/>
          <w:sz w:val="28"/>
          <w:szCs w:val="28"/>
        </w:rPr>
      </w:pPr>
      <w:r w:rsidRPr="000F68FF">
        <w:rPr>
          <w:rFonts w:ascii="Times New Roman"/>
          <w:sz w:val="28"/>
          <w:szCs w:val="28"/>
        </w:rPr>
        <w:t>Satiksmes ministrs</w:t>
      </w:r>
      <w:r w:rsidRPr="000F68FF">
        <w:rPr>
          <w:rFonts w:ascii="Times New Roman"/>
          <w:sz w:val="28"/>
          <w:szCs w:val="28"/>
        </w:rPr>
        <w:tab/>
        <w:t>Uldis Augulis</w:t>
      </w:r>
    </w:p>
    <w:sectPr w:rsidR="00A47BD3" w:rsidRPr="000F68FF" w:rsidSect="00A47BD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D629" w14:textId="77777777" w:rsidR="00B3160E" w:rsidRDefault="00B3160E" w:rsidP="00C47379">
      <w:pPr>
        <w:spacing w:after="0" w:line="240" w:lineRule="auto"/>
      </w:pPr>
      <w:r>
        <w:separator/>
      </w:r>
    </w:p>
  </w:endnote>
  <w:endnote w:type="continuationSeparator" w:id="0">
    <w:p w14:paraId="036CC323" w14:textId="77777777" w:rsidR="00B3160E" w:rsidRDefault="00B3160E" w:rsidP="00C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D078" w14:textId="522026CC" w:rsidR="00E23F05" w:rsidRPr="00A47BD3" w:rsidRDefault="00A47BD3" w:rsidP="00A64B95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N0202_7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1955" w14:textId="77777777" w:rsidR="00B3160E" w:rsidRDefault="00B3160E" w:rsidP="00C47379">
      <w:pPr>
        <w:spacing w:after="0" w:line="240" w:lineRule="auto"/>
      </w:pPr>
      <w:r>
        <w:separator/>
      </w:r>
    </w:p>
  </w:footnote>
  <w:footnote w:type="continuationSeparator" w:id="0">
    <w:p w14:paraId="212657F4" w14:textId="77777777" w:rsidR="00B3160E" w:rsidRDefault="00B3160E" w:rsidP="00C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5650" w14:textId="0ED442AD" w:rsidR="00A47BD3" w:rsidRDefault="00A47BD3">
    <w:pPr>
      <w:pStyle w:val="Header"/>
      <w:rPr>
        <w:rFonts w:ascii="Times New Roman"/>
        <w:sz w:val="24"/>
        <w:szCs w:val="24"/>
      </w:rPr>
    </w:pPr>
  </w:p>
  <w:p w14:paraId="5C1E2A21" w14:textId="7DC03EC1" w:rsidR="00A47BD3" w:rsidRPr="00A142D0" w:rsidRDefault="00A47BD3" w:rsidP="00501350">
    <w:pPr>
      <w:pStyle w:val="Header"/>
    </w:pPr>
    <w:r>
      <w:rPr>
        <w:noProof/>
      </w:rPr>
      <w:drawing>
        <wp:inline distT="0" distB="0" distL="0" distR="0" wp14:anchorId="373089AB" wp14:editId="3770CEF4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1A"/>
    <w:rsid w:val="00007DE3"/>
    <w:rsid w:val="0002309A"/>
    <w:rsid w:val="000576E5"/>
    <w:rsid w:val="00057CB4"/>
    <w:rsid w:val="00064E58"/>
    <w:rsid w:val="00080DEA"/>
    <w:rsid w:val="000A26DD"/>
    <w:rsid w:val="000B284D"/>
    <w:rsid w:val="000C05A4"/>
    <w:rsid w:val="000C387A"/>
    <w:rsid w:val="000F52F1"/>
    <w:rsid w:val="000F68FF"/>
    <w:rsid w:val="001019C8"/>
    <w:rsid w:val="001075D7"/>
    <w:rsid w:val="00120583"/>
    <w:rsid w:val="00131315"/>
    <w:rsid w:val="001747C7"/>
    <w:rsid w:val="001A7747"/>
    <w:rsid w:val="001F437F"/>
    <w:rsid w:val="001F5500"/>
    <w:rsid w:val="00204538"/>
    <w:rsid w:val="002203F5"/>
    <w:rsid w:val="0022301F"/>
    <w:rsid w:val="00235CC5"/>
    <w:rsid w:val="002676B3"/>
    <w:rsid w:val="00277797"/>
    <w:rsid w:val="002D5DCA"/>
    <w:rsid w:val="002D77B8"/>
    <w:rsid w:val="00303EAF"/>
    <w:rsid w:val="00312C22"/>
    <w:rsid w:val="00323441"/>
    <w:rsid w:val="003348DF"/>
    <w:rsid w:val="003462AA"/>
    <w:rsid w:val="00360990"/>
    <w:rsid w:val="00362DFC"/>
    <w:rsid w:val="00364363"/>
    <w:rsid w:val="00365CA2"/>
    <w:rsid w:val="0037451A"/>
    <w:rsid w:val="003855DA"/>
    <w:rsid w:val="003A60FC"/>
    <w:rsid w:val="003B2B6A"/>
    <w:rsid w:val="003B2F1F"/>
    <w:rsid w:val="0040641A"/>
    <w:rsid w:val="00423DD3"/>
    <w:rsid w:val="004242D4"/>
    <w:rsid w:val="0043457D"/>
    <w:rsid w:val="00471526"/>
    <w:rsid w:val="00487083"/>
    <w:rsid w:val="004A7C6A"/>
    <w:rsid w:val="004D38E5"/>
    <w:rsid w:val="00513D83"/>
    <w:rsid w:val="00516408"/>
    <w:rsid w:val="00551D06"/>
    <w:rsid w:val="00553CC3"/>
    <w:rsid w:val="00571326"/>
    <w:rsid w:val="005757DE"/>
    <w:rsid w:val="005E043C"/>
    <w:rsid w:val="005F0963"/>
    <w:rsid w:val="005F420D"/>
    <w:rsid w:val="00611D1F"/>
    <w:rsid w:val="006341A8"/>
    <w:rsid w:val="006663E2"/>
    <w:rsid w:val="006921F6"/>
    <w:rsid w:val="006F732E"/>
    <w:rsid w:val="0070215C"/>
    <w:rsid w:val="0071365A"/>
    <w:rsid w:val="0073567E"/>
    <w:rsid w:val="00755C60"/>
    <w:rsid w:val="00766248"/>
    <w:rsid w:val="00772EB5"/>
    <w:rsid w:val="00776ABC"/>
    <w:rsid w:val="007D0E8A"/>
    <w:rsid w:val="007D47F5"/>
    <w:rsid w:val="007E14A0"/>
    <w:rsid w:val="007E7C00"/>
    <w:rsid w:val="00854EC4"/>
    <w:rsid w:val="00867A42"/>
    <w:rsid w:val="008B3B65"/>
    <w:rsid w:val="008B5C9C"/>
    <w:rsid w:val="008D4424"/>
    <w:rsid w:val="008D493F"/>
    <w:rsid w:val="00900714"/>
    <w:rsid w:val="0094251A"/>
    <w:rsid w:val="0098696A"/>
    <w:rsid w:val="009A196A"/>
    <w:rsid w:val="009A7297"/>
    <w:rsid w:val="009B1ECE"/>
    <w:rsid w:val="00A42698"/>
    <w:rsid w:val="00A4584F"/>
    <w:rsid w:val="00A47BD3"/>
    <w:rsid w:val="00A64B95"/>
    <w:rsid w:val="00A655EC"/>
    <w:rsid w:val="00A70A0C"/>
    <w:rsid w:val="00AB6319"/>
    <w:rsid w:val="00AB6C26"/>
    <w:rsid w:val="00AD0BC8"/>
    <w:rsid w:val="00AD1D6C"/>
    <w:rsid w:val="00AD7D94"/>
    <w:rsid w:val="00B16286"/>
    <w:rsid w:val="00B20A16"/>
    <w:rsid w:val="00B22033"/>
    <w:rsid w:val="00B24777"/>
    <w:rsid w:val="00B3160E"/>
    <w:rsid w:val="00B50B9B"/>
    <w:rsid w:val="00B846AD"/>
    <w:rsid w:val="00B84D64"/>
    <w:rsid w:val="00BA23A9"/>
    <w:rsid w:val="00BB3243"/>
    <w:rsid w:val="00BD7D67"/>
    <w:rsid w:val="00BE5EDF"/>
    <w:rsid w:val="00BF18C0"/>
    <w:rsid w:val="00C03ED0"/>
    <w:rsid w:val="00C10421"/>
    <w:rsid w:val="00C24ECB"/>
    <w:rsid w:val="00C260FC"/>
    <w:rsid w:val="00C2733D"/>
    <w:rsid w:val="00C32A53"/>
    <w:rsid w:val="00C34C32"/>
    <w:rsid w:val="00C457DA"/>
    <w:rsid w:val="00C47379"/>
    <w:rsid w:val="00C85B59"/>
    <w:rsid w:val="00CB0564"/>
    <w:rsid w:val="00CB471C"/>
    <w:rsid w:val="00CB4DC9"/>
    <w:rsid w:val="00CD6943"/>
    <w:rsid w:val="00CE6712"/>
    <w:rsid w:val="00CE712C"/>
    <w:rsid w:val="00D14271"/>
    <w:rsid w:val="00D97F9D"/>
    <w:rsid w:val="00DA1387"/>
    <w:rsid w:val="00DD77AA"/>
    <w:rsid w:val="00DF14AB"/>
    <w:rsid w:val="00DF50D0"/>
    <w:rsid w:val="00E225BF"/>
    <w:rsid w:val="00E23F05"/>
    <w:rsid w:val="00E26123"/>
    <w:rsid w:val="00E62282"/>
    <w:rsid w:val="00E71F80"/>
    <w:rsid w:val="00EB44E3"/>
    <w:rsid w:val="00ED2E8E"/>
    <w:rsid w:val="00ED4146"/>
    <w:rsid w:val="00EE3FCF"/>
    <w:rsid w:val="00F13F75"/>
    <w:rsid w:val="00F24AD0"/>
    <w:rsid w:val="00F25FD5"/>
    <w:rsid w:val="00F66132"/>
    <w:rsid w:val="00F821DE"/>
    <w:rsid w:val="00F872E7"/>
    <w:rsid w:val="00F9040D"/>
    <w:rsid w:val="00FA253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01878"/>
  <w15:docId w15:val="{3FD6BB05-13C4-4C97-B5D4-2F550E7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iPriority w:val="99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  <w:style w:type="paragraph" w:styleId="NoSpacing">
    <w:name w:val="No Spacing"/>
    <w:uiPriority w:val="1"/>
    <w:qFormat/>
    <w:rsid w:val="00E23F05"/>
    <w:pPr>
      <w:spacing w:after="0" w:line="240" w:lineRule="auto"/>
    </w:pPr>
    <w:rPr>
      <w:rFonts w:ascii="Times New Roman" w:eastAsiaTheme="minorHAnsi" w:cstheme="minorBidi"/>
      <w:sz w:val="28"/>
      <w:lang w:eastAsia="en-US"/>
    </w:rPr>
  </w:style>
  <w:style w:type="paragraph" w:customStyle="1" w:styleId="naisf">
    <w:name w:val="naisf"/>
    <w:basedOn w:val="Normal"/>
    <w:rsid w:val="00A47BD3"/>
    <w:pPr>
      <w:spacing w:before="75" w:after="75" w:line="240" w:lineRule="auto"/>
      <w:ind w:firstLine="375"/>
      <w:jc w:val="both"/>
    </w:pPr>
    <w:rPr>
      <w:rFonts w:ascii="Times New Roman"/>
      <w:sz w:val="24"/>
      <w:szCs w:val="24"/>
    </w:rPr>
  </w:style>
  <w:style w:type="paragraph" w:customStyle="1" w:styleId="StyleRight">
    <w:name w:val="Style Right"/>
    <w:basedOn w:val="Normal"/>
    <w:rsid w:val="00A47BD3"/>
    <w:pPr>
      <w:spacing w:after="120" w:line="240" w:lineRule="auto"/>
      <w:ind w:firstLine="720"/>
      <w:jc w:val="right"/>
    </w:pPr>
    <w:rPr>
      <w:rFonts w:asci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2EB-CEBD-4EBE-8E65-05A6B5A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 gada 29. aprīļa noteikumos Nr. 242 „Satiksmes ministrijas nolikums”</vt:lpstr>
      <vt:lpstr>Ilgtspējīgas attīstības konsultatīvās koordinācijas padomes Rail Baltica projekta sniegto papildus iespēju realizēšanai Rīgā nolikums</vt:lpstr>
    </vt:vector>
  </TitlesOfParts>
  <Company>Satiksmes ministrija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 gada 29. aprīļa noteikumos Nr. 242 „Satiksmes ministrijas nolikums”</dc:title>
  <dc:subject>Noteikumu projekts</dc:subject>
  <dc:creator/>
  <dc:description/>
  <cp:lastModifiedBy>Leontine Babkina</cp:lastModifiedBy>
  <cp:revision>16</cp:revision>
  <cp:lastPrinted>2018-04-23T07:16:00Z</cp:lastPrinted>
  <dcterms:created xsi:type="dcterms:W3CDTF">2017-12-19T08:14:00Z</dcterms:created>
  <dcterms:modified xsi:type="dcterms:W3CDTF">2018-04-25T08:37:00Z</dcterms:modified>
</cp:coreProperties>
</file>