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DF185" w14:textId="77777777" w:rsidR="00DC5E2E" w:rsidRPr="00483C43" w:rsidRDefault="00DC5E2E" w:rsidP="00DD0B78">
      <w:pPr>
        <w:spacing w:after="0" w:line="240" w:lineRule="auto"/>
        <w:ind w:left="9072" w:hanging="45"/>
        <w:jc w:val="right"/>
        <w:outlineLvl w:val="0"/>
        <w:rPr>
          <w:rFonts w:ascii="Times New Roman" w:eastAsia="Times New Roman" w:hAnsi="Times New Roman" w:cs="Times New Roman"/>
          <w:bCs/>
          <w:color w:val="000000"/>
          <w:sz w:val="24"/>
          <w:szCs w:val="24"/>
          <w:lang w:bidi="ml-IN"/>
        </w:rPr>
      </w:pPr>
      <w:bookmarkStart w:id="0" w:name="_Hlk507572336"/>
      <w:bookmarkStart w:id="1" w:name="_GoBack"/>
      <w:bookmarkEnd w:id="1"/>
    </w:p>
    <w:p w14:paraId="68A759E0" w14:textId="0F0CEDB7" w:rsidR="005740BF" w:rsidRPr="00DD0B78" w:rsidRDefault="006D7EAC" w:rsidP="00DD0B78">
      <w:pPr>
        <w:spacing w:after="0" w:line="240" w:lineRule="auto"/>
        <w:ind w:left="9072"/>
        <w:jc w:val="right"/>
        <w:outlineLvl w:val="0"/>
        <w:rPr>
          <w:rFonts w:ascii="Times New Roman" w:eastAsia="Times New Roman" w:hAnsi="Times New Roman" w:cs="Times New Roman"/>
          <w:bCs/>
          <w:color w:val="000000"/>
          <w:sz w:val="24"/>
          <w:szCs w:val="24"/>
          <w:lang w:bidi="ml-IN"/>
        </w:rPr>
      </w:pPr>
      <w:r w:rsidRPr="00DD0B78">
        <w:rPr>
          <w:rFonts w:ascii="Times New Roman" w:eastAsia="Times New Roman" w:hAnsi="Times New Roman" w:cs="Times New Roman"/>
          <w:bCs/>
          <w:color w:val="000000"/>
          <w:sz w:val="24"/>
          <w:szCs w:val="24"/>
          <w:lang w:bidi="ml-IN"/>
        </w:rPr>
        <w:t xml:space="preserve">1. pielikums informatīvajam ziņojumam </w:t>
      </w:r>
      <w:bookmarkStart w:id="2" w:name="_Hlk499652677"/>
      <w:r w:rsidRPr="00DD0B78">
        <w:rPr>
          <w:rFonts w:ascii="Times New Roman" w:eastAsia="Times New Roman" w:hAnsi="Times New Roman" w:cs="Times New Roman"/>
          <w:bCs/>
          <w:sz w:val="24"/>
          <w:szCs w:val="24"/>
        </w:rPr>
        <w:t>"Par Ekonomiskās sadarbības un attīstības organizācijas Kukuļošanas apkarošanas starptautiskajos biznesa darījumos darba grupas 2.</w:t>
      </w:r>
      <w:r w:rsidRPr="00DD0B78">
        <w:t> </w:t>
      </w:r>
      <w:r w:rsidRPr="00DD0B78">
        <w:rPr>
          <w:rFonts w:ascii="Times New Roman" w:eastAsia="Times New Roman" w:hAnsi="Times New Roman" w:cs="Times New Roman"/>
          <w:bCs/>
          <w:sz w:val="24"/>
          <w:szCs w:val="24"/>
        </w:rPr>
        <w:t>fāzes Latvijas novērtējuma ziņojumā izteikto rekomendāciju izpildes novērtējumu</w:t>
      </w:r>
      <w:bookmarkEnd w:id="2"/>
      <w:r w:rsidRPr="00DD0B78">
        <w:rPr>
          <w:rFonts w:ascii="Times New Roman" w:eastAsia="Times New Roman" w:hAnsi="Times New Roman" w:cs="Times New Roman"/>
          <w:bCs/>
          <w:sz w:val="24"/>
          <w:szCs w:val="24"/>
        </w:rPr>
        <w:t>"</w:t>
      </w:r>
    </w:p>
    <w:p w14:paraId="772FC90D" w14:textId="77777777" w:rsidR="005740BF" w:rsidRDefault="005740BF" w:rsidP="005740BF">
      <w:pPr>
        <w:spacing w:after="0" w:line="240" w:lineRule="auto"/>
        <w:ind w:left="2880" w:hanging="45"/>
        <w:jc w:val="right"/>
        <w:outlineLvl w:val="0"/>
        <w:rPr>
          <w:rFonts w:ascii="Times New Roman" w:eastAsia="Times New Roman" w:hAnsi="Times New Roman" w:cs="Times New Roman"/>
          <w:bCs/>
          <w:color w:val="000000"/>
          <w:sz w:val="24"/>
          <w:szCs w:val="24"/>
          <w:lang w:bidi="ml-IN"/>
        </w:rPr>
      </w:pPr>
    </w:p>
    <w:bookmarkEnd w:id="0"/>
    <w:p w14:paraId="7F410063" w14:textId="77777777" w:rsidR="00DC5E2E" w:rsidRDefault="00DC5E2E" w:rsidP="008A63C7">
      <w:pPr>
        <w:jc w:val="center"/>
        <w:rPr>
          <w:rFonts w:ascii="Times New Roman" w:hAnsi="Times New Roman" w:cs="Times New Roman"/>
          <w:b/>
          <w:sz w:val="24"/>
          <w:szCs w:val="24"/>
          <w:u w:val="single"/>
        </w:rPr>
      </w:pPr>
    </w:p>
    <w:p w14:paraId="7BB8E227" w14:textId="77777777" w:rsidR="00346929" w:rsidRDefault="00662EE1" w:rsidP="008A63C7">
      <w:pPr>
        <w:jc w:val="center"/>
        <w:rPr>
          <w:rFonts w:ascii="Times New Roman" w:hAnsi="Times New Roman" w:cs="Times New Roman"/>
          <w:b/>
          <w:sz w:val="24"/>
          <w:szCs w:val="24"/>
          <w:u w:val="single"/>
        </w:rPr>
      </w:pPr>
      <w:r w:rsidRPr="00682365">
        <w:rPr>
          <w:rFonts w:ascii="Times New Roman" w:hAnsi="Times New Roman" w:cs="Times New Roman"/>
          <w:b/>
          <w:sz w:val="24"/>
          <w:szCs w:val="24"/>
          <w:u w:val="single"/>
        </w:rPr>
        <w:t>Pasākumu</w:t>
      </w:r>
      <w:r w:rsidR="00A11490" w:rsidRPr="00682365">
        <w:rPr>
          <w:rFonts w:ascii="Times New Roman" w:hAnsi="Times New Roman" w:cs="Times New Roman"/>
          <w:b/>
          <w:sz w:val="24"/>
          <w:szCs w:val="24"/>
          <w:u w:val="single"/>
        </w:rPr>
        <w:t xml:space="preserve"> un uzdevumu</w:t>
      </w:r>
      <w:r w:rsidRPr="00682365">
        <w:rPr>
          <w:rFonts w:ascii="Times New Roman" w:hAnsi="Times New Roman" w:cs="Times New Roman"/>
          <w:b/>
          <w:sz w:val="24"/>
          <w:szCs w:val="24"/>
          <w:u w:val="single"/>
        </w:rPr>
        <w:t xml:space="preserve"> plāns</w:t>
      </w:r>
      <w:r w:rsidR="008A63C7" w:rsidRPr="00682365">
        <w:rPr>
          <w:rFonts w:ascii="Times New Roman" w:hAnsi="Times New Roman" w:cs="Times New Roman"/>
          <w:b/>
          <w:sz w:val="24"/>
          <w:szCs w:val="24"/>
          <w:u w:val="single"/>
        </w:rPr>
        <w:t xml:space="preserve"> </w:t>
      </w:r>
      <w:r w:rsidR="00E76210">
        <w:rPr>
          <w:rFonts w:ascii="Times New Roman" w:hAnsi="Times New Roman" w:cs="Times New Roman"/>
          <w:b/>
          <w:sz w:val="24"/>
          <w:szCs w:val="24"/>
          <w:u w:val="single"/>
        </w:rPr>
        <w:t xml:space="preserve">daļēji izpildīto un neizpildīto </w:t>
      </w:r>
      <w:r w:rsidR="008A63C7" w:rsidRPr="00682365">
        <w:rPr>
          <w:rFonts w:ascii="Times New Roman" w:hAnsi="Times New Roman" w:cs="Times New Roman"/>
          <w:b/>
          <w:sz w:val="24"/>
          <w:szCs w:val="24"/>
          <w:u w:val="single"/>
        </w:rPr>
        <w:t>OECD WGB 2.</w:t>
      </w:r>
      <w:r w:rsidR="00721F81">
        <w:rPr>
          <w:rFonts w:ascii="Times New Roman" w:hAnsi="Times New Roman" w:cs="Times New Roman"/>
          <w:b/>
          <w:sz w:val="24"/>
          <w:szCs w:val="24"/>
          <w:u w:val="single"/>
        </w:rPr>
        <w:t> </w:t>
      </w:r>
      <w:r w:rsidR="008A63C7" w:rsidRPr="00682365">
        <w:rPr>
          <w:rFonts w:ascii="Times New Roman" w:hAnsi="Times New Roman" w:cs="Times New Roman"/>
          <w:b/>
          <w:sz w:val="24"/>
          <w:szCs w:val="24"/>
          <w:u w:val="single"/>
        </w:rPr>
        <w:t xml:space="preserve">fāzes rekomendāciju izpildei </w:t>
      </w:r>
    </w:p>
    <w:p w14:paraId="7EC8ECAC" w14:textId="77777777" w:rsidR="00003797" w:rsidRPr="00A902D2" w:rsidRDefault="00003797" w:rsidP="00003797">
      <w:pPr>
        <w:spacing w:after="0" w:line="240" w:lineRule="auto"/>
        <w:rPr>
          <w:rFonts w:ascii="Times New Roman" w:eastAsia="Times New Roman" w:hAnsi="Times New Roman" w:cs="Times New Roman"/>
          <w:b/>
          <w:sz w:val="24"/>
          <w:szCs w:val="24"/>
          <w:lang w:eastAsia="lv-LV"/>
        </w:rPr>
      </w:pPr>
      <w:r w:rsidRPr="00A902D2">
        <w:rPr>
          <w:rFonts w:ascii="Times New Roman" w:eastAsia="Times New Roman" w:hAnsi="Times New Roman" w:cs="Times New Roman"/>
          <w:b/>
          <w:sz w:val="24"/>
          <w:szCs w:val="24"/>
          <w:lang w:eastAsia="lv-LV"/>
        </w:rPr>
        <w:t>Plānā lietotie saīsinājumi</w:t>
      </w:r>
    </w:p>
    <w:p w14:paraId="7D2C8215" w14:textId="77777777" w:rsidR="00003797" w:rsidRPr="00A902D2" w:rsidRDefault="00003797" w:rsidP="00003797">
      <w:pPr>
        <w:spacing w:after="0" w:line="240" w:lineRule="auto"/>
        <w:rPr>
          <w:rFonts w:ascii="Times New Roman" w:eastAsia="Times New Roman" w:hAnsi="Times New Roman" w:cs="Times New Roman"/>
          <w:sz w:val="24"/>
          <w:szCs w:val="24"/>
          <w:lang w:eastAsia="lv-LV"/>
        </w:rPr>
      </w:pPr>
    </w:p>
    <w:p w14:paraId="2F876CB8" w14:textId="77777777" w:rsidR="003D3C6D" w:rsidRDefault="003D3C6D" w:rsidP="003D3C6D">
      <w:pPr>
        <w:spacing w:after="0" w:line="240" w:lineRule="auto"/>
        <w:rPr>
          <w:rFonts w:ascii="Times New Roman" w:eastAsia="Times New Roman" w:hAnsi="Times New Roman" w:cs="Times New Roman"/>
          <w:sz w:val="24"/>
          <w:szCs w:val="24"/>
          <w:lang w:eastAsia="lv-LV"/>
        </w:rPr>
      </w:pPr>
      <w:proofErr w:type="gramStart"/>
      <w:r w:rsidRPr="003D3C6D">
        <w:rPr>
          <w:rFonts w:ascii="Times New Roman" w:eastAsia="Times New Roman" w:hAnsi="Times New Roman" w:cs="Times New Roman"/>
          <w:sz w:val="24"/>
          <w:szCs w:val="24"/>
          <w:lang w:eastAsia="lv-LV"/>
        </w:rPr>
        <w:t>2009.gada</w:t>
      </w:r>
      <w:proofErr w:type="gramEnd"/>
      <w:r w:rsidRPr="003D3C6D">
        <w:rPr>
          <w:rFonts w:ascii="Times New Roman" w:eastAsia="Times New Roman" w:hAnsi="Times New Roman" w:cs="Times New Roman"/>
          <w:sz w:val="24"/>
          <w:szCs w:val="24"/>
          <w:lang w:eastAsia="lv-LV"/>
        </w:rPr>
        <w:t xml:space="preserve"> Nodokļu rekomendācija</w:t>
      </w:r>
      <w:r>
        <w:rPr>
          <w:rFonts w:ascii="Times New Roman" w:eastAsia="Times New Roman" w:hAnsi="Times New Roman" w:cs="Times New Roman"/>
          <w:sz w:val="24"/>
          <w:szCs w:val="24"/>
          <w:lang w:eastAsia="lv-LV"/>
        </w:rPr>
        <w:t xml:space="preserve"> </w:t>
      </w:r>
      <w:r w:rsidR="00C00F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Style w:val="FontStyle48"/>
          <w:sz w:val="24"/>
          <w:szCs w:val="24"/>
        </w:rPr>
        <w:t>2009.</w:t>
      </w:r>
      <w:r w:rsidRPr="00AF7E19">
        <w:rPr>
          <w:rStyle w:val="FontStyle48"/>
          <w:sz w:val="24"/>
          <w:szCs w:val="24"/>
        </w:rPr>
        <w:t xml:space="preserve">gada </w:t>
      </w:r>
      <w:r>
        <w:rPr>
          <w:rStyle w:val="FontStyle48"/>
          <w:sz w:val="24"/>
          <w:szCs w:val="24"/>
        </w:rPr>
        <w:t>R</w:t>
      </w:r>
      <w:r w:rsidRPr="00AF7E19">
        <w:rPr>
          <w:rStyle w:val="FontStyle48"/>
          <w:sz w:val="24"/>
          <w:szCs w:val="24"/>
        </w:rPr>
        <w:t>ekomendāc</w:t>
      </w:r>
      <w:r>
        <w:rPr>
          <w:rStyle w:val="FontStyle48"/>
          <w:sz w:val="24"/>
          <w:szCs w:val="24"/>
        </w:rPr>
        <w:t>ijas</w:t>
      </w:r>
      <w:r w:rsidRPr="00AF7E19">
        <w:rPr>
          <w:rStyle w:val="FontStyle48"/>
          <w:sz w:val="24"/>
          <w:szCs w:val="24"/>
        </w:rPr>
        <w:t xml:space="preserve"> par nodokļu pasākumiem turpmākai ārvalstu amatpersonu kukuļošanas apkarošanai </w:t>
      </w:r>
      <w:r w:rsidRPr="00DF0073">
        <w:rPr>
          <w:rStyle w:val="FontStyle48"/>
          <w:sz w:val="24"/>
          <w:szCs w:val="24"/>
        </w:rPr>
        <w:t>starptautiskajos biznesa darījumos</w:t>
      </w:r>
    </w:p>
    <w:p w14:paraId="7962A9E1" w14:textId="77777777" w:rsidR="003D3C6D" w:rsidRDefault="003D3C6D" w:rsidP="00003797">
      <w:pPr>
        <w:spacing w:after="0" w:line="240" w:lineRule="auto"/>
        <w:rPr>
          <w:rFonts w:ascii="Times New Roman" w:eastAsia="Times New Roman" w:hAnsi="Times New Roman" w:cs="Times New Roman"/>
          <w:sz w:val="24"/>
          <w:szCs w:val="24"/>
        </w:rPr>
      </w:pPr>
      <w:proofErr w:type="gramStart"/>
      <w:r w:rsidRPr="003D3C6D">
        <w:rPr>
          <w:rFonts w:ascii="Times New Roman" w:eastAsia="Times New Roman" w:hAnsi="Times New Roman" w:cs="Times New Roman"/>
          <w:sz w:val="24"/>
          <w:szCs w:val="24"/>
          <w:lang w:eastAsia="lv-LV"/>
        </w:rPr>
        <w:t>2009.gada</w:t>
      </w:r>
      <w:proofErr w:type="gramEnd"/>
      <w:r w:rsidRPr="003D3C6D">
        <w:rPr>
          <w:rFonts w:ascii="Times New Roman" w:eastAsia="Times New Roman" w:hAnsi="Times New Roman" w:cs="Times New Roman"/>
          <w:sz w:val="24"/>
          <w:szCs w:val="24"/>
          <w:lang w:eastAsia="lv-LV"/>
        </w:rPr>
        <w:t xml:space="preserve"> Rekomendācija</w:t>
      </w:r>
      <w:r>
        <w:rPr>
          <w:rFonts w:ascii="Times New Roman" w:eastAsia="Times New Roman" w:hAnsi="Times New Roman" w:cs="Times New Roman"/>
          <w:sz w:val="24"/>
          <w:szCs w:val="24"/>
          <w:lang w:eastAsia="lv-LV"/>
        </w:rPr>
        <w:t xml:space="preserve"> </w:t>
      </w:r>
      <w:r w:rsidR="00C00F56">
        <w:rPr>
          <w:rFonts w:ascii="Times New Roman" w:eastAsia="Times New Roman" w:hAnsi="Times New Roman" w:cs="Times New Roman"/>
          <w:sz w:val="24"/>
          <w:szCs w:val="24"/>
          <w:lang w:eastAsia="lv-LV"/>
        </w:rPr>
        <w:softHyphen/>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rPr>
        <w:t>2009.gada OECD Rekomendācijas par turpmāku ārvalstu amatpersonas kukuļošanas apkarošanu starptautiskajos biznesa darījumos</w:t>
      </w:r>
    </w:p>
    <w:p w14:paraId="591C112D" w14:textId="77777777" w:rsidR="0014327E" w:rsidRDefault="0014327E"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AKD - </w:t>
      </w:r>
      <w:r w:rsidRPr="0014327E">
        <w:rPr>
          <w:rFonts w:ascii="Times New Roman" w:eastAsia="Times New Roman" w:hAnsi="Times New Roman" w:cs="Times New Roman"/>
          <w:sz w:val="24"/>
          <w:szCs w:val="24"/>
          <w:lang w:eastAsia="lv-LV"/>
        </w:rPr>
        <w:t>Finanšu un kapitāla tirgus komisija</w:t>
      </w:r>
      <w:r>
        <w:rPr>
          <w:rFonts w:ascii="Times New Roman" w:eastAsia="Times New Roman" w:hAnsi="Times New Roman" w:cs="Times New Roman"/>
          <w:sz w:val="24"/>
          <w:szCs w:val="24"/>
          <w:lang w:eastAsia="lv-LV"/>
        </w:rPr>
        <w:t>s</w:t>
      </w:r>
      <w:r w:rsidRPr="0014327E">
        <w:rPr>
          <w:rFonts w:ascii="Times New Roman" w:eastAsia="Times New Roman" w:hAnsi="Times New Roman" w:cs="Times New Roman"/>
          <w:sz w:val="24"/>
          <w:szCs w:val="24"/>
          <w:lang w:eastAsia="lv-LV"/>
        </w:rPr>
        <w:t xml:space="preserve"> Atbilstības kontroles departament</w:t>
      </w:r>
      <w:r>
        <w:rPr>
          <w:rFonts w:ascii="Times New Roman" w:eastAsia="Times New Roman" w:hAnsi="Times New Roman" w:cs="Times New Roman"/>
          <w:sz w:val="24"/>
          <w:szCs w:val="24"/>
          <w:lang w:eastAsia="lv-LV"/>
        </w:rPr>
        <w:t>s</w:t>
      </w:r>
    </w:p>
    <w:p w14:paraId="24CBCFAE" w14:textId="77777777" w:rsidR="00003797" w:rsidRPr="00A902D2" w:rsidRDefault="00003797" w:rsidP="00003797">
      <w:pPr>
        <w:spacing w:after="0" w:line="240" w:lineRule="auto"/>
        <w:rPr>
          <w:rFonts w:ascii="Times New Roman" w:eastAsia="Times New Roman" w:hAnsi="Times New Roman" w:cs="Times New Roman"/>
          <w:sz w:val="24"/>
          <w:szCs w:val="24"/>
          <w:lang w:eastAsia="lv-LV"/>
        </w:rPr>
      </w:pPr>
      <w:proofErr w:type="spellStart"/>
      <w:r w:rsidRPr="00A902D2">
        <w:rPr>
          <w:rFonts w:ascii="Times New Roman" w:eastAsia="Times New Roman" w:hAnsi="Times New Roman" w:cs="Times New Roman"/>
          <w:sz w:val="24"/>
          <w:szCs w:val="24"/>
          <w:lang w:eastAsia="lv-LV"/>
        </w:rPr>
        <w:t>Altum</w:t>
      </w:r>
      <w:proofErr w:type="spellEnd"/>
      <w:r w:rsidRPr="00A902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 </w:t>
      </w:r>
      <w:r w:rsidR="003D3C6D">
        <w:rPr>
          <w:rFonts w:ascii="Times New Roman" w:eastAsia="Times New Roman" w:hAnsi="Times New Roman" w:cs="Times New Roman"/>
          <w:sz w:val="24"/>
          <w:szCs w:val="24"/>
          <w:lang w:eastAsia="lv-LV"/>
        </w:rPr>
        <w:t>akciju sabiedrība</w:t>
      </w:r>
      <w:r w:rsidRPr="00A902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A902D2">
        <w:rPr>
          <w:rFonts w:ascii="Times New Roman" w:eastAsia="Times New Roman" w:hAnsi="Times New Roman" w:cs="Times New Roman"/>
          <w:sz w:val="24"/>
          <w:szCs w:val="24"/>
          <w:lang w:eastAsia="lv-LV"/>
        </w:rPr>
        <w:t xml:space="preserve">Attīstības finanšu institūcija </w:t>
      </w:r>
      <w:proofErr w:type="spellStart"/>
      <w:r w:rsidRPr="00A902D2">
        <w:rPr>
          <w:rFonts w:ascii="Times New Roman" w:eastAsia="Times New Roman" w:hAnsi="Times New Roman" w:cs="Times New Roman"/>
          <w:sz w:val="24"/>
          <w:szCs w:val="24"/>
          <w:lang w:eastAsia="lv-LV"/>
        </w:rPr>
        <w:t>Altum</w:t>
      </w:r>
      <w:proofErr w:type="spellEnd"/>
      <w:r w:rsidRPr="00A902D2">
        <w:rPr>
          <w:rFonts w:ascii="Times New Roman" w:eastAsia="Times New Roman" w:hAnsi="Times New Roman" w:cs="Times New Roman"/>
          <w:sz w:val="24"/>
          <w:szCs w:val="24"/>
          <w:lang w:eastAsia="lv-LV"/>
        </w:rPr>
        <w:t>”</w:t>
      </w:r>
    </w:p>
    <w:p w14:paraId="39EB0201" w14:textId="77777777"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ĀM – Ārlietu ministrija</w:t>
      </w:r>
    </w:p>
    <w:p w14:paraId="07B8B842" w14:textId="77777777" w:rsidR="00D11ED1" w:rsidRDefault="00D11ED1"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ES</w:t>
      </w:r>
      <w:r w:rsidR="00F94CB3">
        <w:rPr>
          <w:rFonts w:ascii="Times New Roman" w:eastAsia="Times New Roman" w:hAnsi="Times New Roman" w:cs="Times New Roman"/>
          <w:sz w:val="24"/>
          <w:szCs w:val="24"/>
          <w:lang w:eastAsia="lv-LV"/>
        </w:rPr>
        <w:t xml:space="preserve"> </w:t>
      </w:r>
      <w:r w:rsidR="00C00F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Eiropas Savienība</w:t>
      </w:r>
    </w:p>
    <w:p w14:paraId="548171ED" w14:textId="77777777" w:rsidR="00196638" w:rsidRPr="00A902D2" w:rsidRDefault="00196638"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FIU – Finanšu izlūkošanas dienests</w:t>
      </w:r>
    </w:p>
    <w:p w14:paraId="04FC628C" w14:textId="77777777"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FKTK – Finanšu un kapitāla tirgus komisija</w:t>
      </w:r>
    </w:p>
    <w:p w14:paraId="615D5958" w14:textId="77777777"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FM – Finanšu ministrija</w:t>
      </w:r>
    </w:p>
    <w:p w14:paraId="55395F8E" w14:textId="77777777"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ĢP – Ģenerālprokuratūra</w:t>
      </w:r>
    </w:p>
    <w:p w14:paraId="1513BB95" w14:textId="77777777"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KD – Noziedzīgi iegūtu līdzekļu legalizācijas novēršanas dienests</w:t>
      </w:r>
    </w:p>
    <w:p w14:paraId="310FF34F" w14:textId="77777777" w:rsidR="00003797"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KNAB – Korupcijas novēršanas un apkarošanas birojs</w:t>
      </w:r>
    </w:p>
    <w:p w14:paraId="4BF5EFAC" w14:textId="77777777" w:rsidR="003D3C6D" w:rsidRPr="00A902D2" w:rsidRDefault="003D3C6D" w:rsidP="000037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Konvencija </w:t>
      </w:r>
      <w:r w:rsidR="00C00F5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714EF8">
        <w:rPr>
          <w:rFonts w:ascii="Times New Roman" w:eastAsia="Times New Roman" w:hAnsi="Times New Roman" w:cs="Times New Roman"/>
          <w:sz w:val="24"/>
          <w:szCs w:val="24"/>
        </w:rPr>
        <w:t xml:space="preserve">OECD </w:t>
      </w:r>
      <w:proofErr w:type="gramStart"/>
      <w:r w:rsidRPr="00714EF8">
        <w:rPr>
          <w:rFonts w:ascii="Times New Roman" w:eastAsia="Times New Roman" w:hAnsi="Times New Roman" w:cs="Times New Roman"/>
          <w:sz w:val="24"/>
          <w:szCs w:val="24"/>
        </w:rPr>
        <w:t>1</w:t>
      </w:r>
      <w:r>
        <w:rPr>
          <w:rFonts w:ascii="Times New Roman" w:eastAsia="Times New Roman" w:hAnsi="Times New Roman" w:cs="Times New Roman"/>
          <w:sz w:val="24"/>
          <w:szCs w:val="24"/>
        </w:rPr>
        <w:t>997.gada</w:t>
      </w:r>
      <w:proofErr w:type="gramEnd"/>
      <w:r>
        <w:rPr>
          <w:rFonts w:ascii="Times New Roman" w:eastAsia="Times New Roman" w:hAnsi="Times New Roman" w:cs="Times New Roman"/>
          <w:sz w:val="24"/>
          <w:szCs w:val="24"/>
        </w:rPr>
        <w:t xml:space="preserve"> 21.novembra Konvencijai</w:t>
      </w:r>
      <w:r w:rsidRPr="00714EF8">
        <w:rPr>
          <w:rFonts w:ascii="Times New Roman" w:eastAsia="Times New Roman" w:hAnsi="Times New Roman" w:cs="Times New Roman"/>
          <w:sz w:val="24"/>
          <w:szCs w:val="24"/>
        </w:rPr>
        <w:t xml:space="preserve"> par ārvalstu amatpersonu kukuļošanas apkarošanu starptautiskajos biznesa d</w:t>
      </w:r>
      <w:r>
        <w:rPr>
          <w:rFonts w:ascii="Times New Roman" w:eastAsia="Times New Roman" w:hAnsi="Times New Roman" w:cs="Times New Roman"/>
          <w:sz w:val="24"/>
          <w:szCs w:val="24"/>
        </w:rPr>
        <w:t>arījumos</w:t>
      </w:r>
    </w:p>
    <w:p w14:paraId="34F86863" w14:textId="77777777"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NILLTF</w:t>
      </w:r>
      <w:r w:rsidR="00311C35">
        <w:rPr>
          <w:rFonts w:ascii="Times New Roman" w:eastAsia="Times New Roman" w:hAnsi="Times New Roman" w:cs="Times New Roman"/>
          <w:sz w:val="24"/>
          <w:szCs w:val="24"/>
          <w:lang w:eastAsia="lv-LV"/>
        </w:rPr>
        <w:t>L</w:t>
      </w:r>
      <w:r w:rsidRPr="00A902D2">
        <w:rPr>
          <w:rFonts w:ascii="Times New Roman" w:eastAsia="Times New Roman" w:hAnsi="Times New Roman" w:cs="Times New Roman"/>
          <w:sz w:val="24"/>
          <w:szCs w:val="24"/>
          <w:lang w:eastAsia="lv-LV"/>
        </w:rPr>
        <w:t xml:space="preserve"> – </w:t>
      </w:r>
      <w:r w:rsidR="00311C35">
        <w:rPr>
          <w:rFonts w:ascii="Times New Roman" w:eastAsia="Times New Roman" w:hAnsi="Times New Roman" w:cs="Times New Roman"/>
          <w:sz w:val="24"/>
          <w:szCs w:val="24"/>
          <w:lang w:eastAsia="lv-LV"/>
        </w:rPr>
        <w:t>N</w:t>
      </w:r>
      <w:r w:rsidRPr="00A902D2">
        <w:rPr>
          <w:rFonts w:ascii="Times New Roman" w:eastAsia="Times New Roman" w:hAnsi="Times New Roman" w:cs="Times New Roman"/>
          <w:sz w:val="24"/>
          <w:szCs w:val="24"/>
          <w:lang w:eastAsia="lv-LV"/>
        </w:rPr>
        <w:t>oziedzīgi iegūtu līdzekļu legalizācijas un terorisma finansēšanas novēršana</w:t>
      </w:r>
      <w:r w:rsidR="00311C35">
        <w:rPr>
          <w:rFonts w:ascii="Times New Roman" w:eastAsia="Times New Roman" w:hAnsi="Times New Roman" w:cs="Times New Roman"/>
          <w:sz w:val="24"/>
          <w:szCs w:val="24"/>
          <w:lang w:eastAsia="lv-LV"/>
        </w:rPr>
        <w:t>s likums</w:t>
      </w:r>
    </w:p>
    <w:p w14:paraId="38C95BB5" w14:textId="77777777" w:rsidR="00003797" w:rsidRPr="00A902D2"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OECD – Ekonomiskās sadarbības un attīstības organizācija</w:t>
      </w:r>
    </w:p>
    <w:p w14:paraId="1FCFFC02" w14:textId="77777777" w:rsidR="00003797" w:rsidRDefault="00003797" w:rsidP="00003797">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 xml:space="preserve">PKC – </w:t>
      </w:r>
      <w:proofErr w:type="spellStart"/>
      <w:r w:rsidRPr="00A902D2">
        <w:rPr>
          <w:rFonts w:ascii="Times New Roman" w:eastAsia="Times New Roman" w:hAnsi="Times New Roman" w:cs="Times New Roman"/>
          <w:sz w:val="24"/>
          <w:szCs w:val="24"/>
          <w:lang w:eastAsia="lv-LV"/>
        </w:rPr>
        <w:t>Pārresoru</w:t>
      </w:r>
      <w:proofErr w:type="spellEnd"/>
      <w:r w:rsidRPr="00A902D2">
        <w:rPr>
          <w:rFonts w:ascii="Times New Roman" w:eastAsia="Times New Roman" w:hAnsi="Times New Roman" w:cs="Times New Roman"/>
          <w:sz w:val="24"/>
          <w:szCs w:val="24"/>
          <w:lang w:eastAsia="lv-LV"/>
        </w:rPr>
        <w:t xml:space="preserve"> koordinācijas centrs</w:t>
      </w:r>
    </w:p>
    <w:p w14:paraId="0903969F" w14:textId="77777777" w:rsidR="00932915" w:rsidRPr="00A902D2" w:rsidRDefault="00932915" w:rsidP="00932915">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TA</w:t>
      </w:r>
      <w:r>
        <w:rPr>
          <w:rFonts w:ascii="Times New Roman" w:eastAsia="Times New Roman" w:hAnsi="Times New Roman" w:cs="Times New Roman"/>
          <w:sz w:val="24"/>
          <w:szCs w:val="24"/>
          <w:lang w:eastAsia="lv-LV"/>
        </w:rPr>
        <w:t xml:space="preserve"> –</w:t>
      </w:r>
      <w:r w:rsidRPr="00A902D2">
        <w:rPr>
          <w:rFonts w:ascii="Times New Roman" w:eastAsia="Times New Roman" w:hAnsi="Times New Roman" w:cs="Times New Roman"/>
          <w:sz w:val="24"/>
          <w:szCs w:val="24"/>
          <w:lang w:eastAsia="lv-LV"/>
        </w:rPr>
        <w:t xml:space="preserve"> Tiesu administrācija</w:t>
      </w:r>
    </w:p>
    <w:p w14:paraId="69B60695" w14:textId="77777777" w:rsidR="00932915" w:rsidRPr="00A902D2" w:rsidRDefault="00932915" w:rsidP="00932915">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TM – Tieslietu ministrija</w:t>
      </w:r>
    </w:p>
    <w:p w14:paraId="07278482" w14:textId="77777777" w:rsidR="00932915" w:rsidRPr="00A902D2" w:rsidRDefault="00932915" w:rsidP="00932915">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lastRenderedPageBreak/>
        <w:t>VAS – Valsts administrācijas skola</w:t>
      </w:r>
    </w:p>
    <w:p w14:paraId="121324CE" w14:textId="77777777" w:rsidR="00932915" w:rsidRDefault="00932915" w:rsidP="00932915">
      <w:pPr>
        <w:spacing w:after="0" w:line="240" w:lineRule="auto"/>
        <w:rPr>
          <w:rFonts w:ascii="Times New Roman" w:eastAsia="Times New Roman" w:hAnsi="Times New Roman" w:cs="Times New Roman"/>
          <w:sz w:val="24"/>
          <w:szCs w:val="24"/>
          <w:lang w:eastAsia="lv-LV"/>
        </w:rPr>
      </w:pPr>
      <w:r w:rsidRPr="00A902D2">
        <w:rPr>
          <w:rFonts w:ascii="Times New Roman" w:eastAsia="Times New Roman" w:hAnsi="Times New Roman" w:cs="Times New Roman"/>
          <w:sz w:val="24"/>
          <w:szCs w:val="24"/>
          <w:lang w:eastAsia="lv-LV"/>
        </w:rPr>
        <w:t>VID – Valsts ieņēmumu dienests</w:t>
      </w:r>
    </w:p>
    <w:p w14:paraId="0377A172" w14:textId="77777777" w:rsidR="00C7088C" w:rsidRDefault="00C7088C" w:rsidP="009329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VK </w:t>
      </w:r>
      <w:r w:rsidR="00E70E04" w:rsidRPr="00E70E04">
        <w:rPr>
          <w:rFonts w:ascii="Times New Roman" w:eastAsia="Times New Roman" w:hAnsi="Times New Roman" w:cs="Times New Roman"/>
          <w:sz w:val="24"/>
          <w:szCs w:val="24"/>
          <w:lang w:eastAsia="lv-LV"/>
        </w:rPr>
        <w:t>–</w:t>
      </w:r>
      <w:r w:rsidR="00E70E04">
        <w:rPr>
          <w:rFonts w:ascii="Times New Roman" w:eastAsia="Times New Roman" w:hAnsi="Times New Roman" w:cs="Times New Roman"/>
          <w:sz w:val="24"/>
          <w:szCs w:val="24"/>
          <w:lang w:eastAsia="lv-LV"/>
        </w:rPr>
        <w:t xml:space="preserve"> Valsts kanceleja</w:t>
      </w:r>
    </w:p>
    <w:p w14:paraId="1F794525" w14:textId="77777777" w:rsidR="00932915" w:rsidRDefault="00932915" w:rsidP="009329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VP – Valsts policija</w:t>
      </w:r>
    </w:p>
    <w:p w14:paraId="0A5E4ECC" w14:textId="77777777" w:rsidR="006464CC" w:rsidRDefault="00932915" w:rsidP="00BC54C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4"/>
          <w:szCs w:val="24"/>
          <w:lang w:eastAsia="lv-LV"/>
        </w:rPr>
        <w:t xml:space="preserve">WGB – Kukuļošanas apkarošanas </w:t>
      </w:r>
      <w:r w:rsidRPr="005740BF">
        <w:rPr>
          <w:rFonts w:ascii="Times New Roman" w:eastAsia="Times New Roman" w:hAnsi="Times New Roman" w:cs="Times New Roman"/>
          <w:bCs/>
          <w:color w:val="000000"/>
          <w:sz w:val="24"/>
          <w:szCs w:val="24"/>
          <w:lang w:bidi="ml-IN"/>
        </w:rPr>
        <w:t>starptautiskajo</w:t>
      </w:r>
      <w:r>
        <w:rPr>
          <w:rFonts w:ascii="Times New Roman" w:eastAsia="Times New Roman" w:hAnsi="Times New Roman" w:cs="Times New Roman"/>
          <w:bCs/>
          <w:color w:val="000000"/>
          <w:sz w:val="24"/>
          <w:szCs w:val="24"/>
          <w:lang w:bidi="ml-IN"/>
        </w:rPr>
        <w:t>s biznesa darījumos darba grupa</w:t>
      </w:r>
    </w:p>
    <w:tbl>
      <w:tblPr>
        <w:tblStyle w:val="Reatabula"/>
        <w:tblpPr w:leftFromText="181" w:rightFromText="181" w:topFromText="567" w:bottomFromText="567" w:horzAnchor="margin" w:tblpXSpec="center" w:tblpYSpec="center"/>
        <w:tblOverlap w:val="never"/>
        <w:tblW w:w="14175" w:type="dxa"/>
        <w:shd w:val="clear" w:color="auto" w:fill="FFFFFF" w:themeFill="background1"/>
        <w:tblLayout w:type="fixed"/>
        <w:tblLook w:val="04A0" w:firstRow="1" w:lastRow="0" w:firstColumn="1" w:lastColumn="0" w:noHBand="0" w:noVBand="1"/>
      </w:tblPr>
      <w:tblGrid>
        <w:gridCol w:w="3456"/>
        <w:gridCol w:w="8315"/>
        <w:gridCol w:w="1216"/>
        <w:gridCol w:w="1188"/>
      </w:tblGrid>
      <w:tr w:rsidR="00BC54C8" w:rsidRPr="00501B3A" w14:paraId="781899F7" w14:textId="77777777" w:rsidTr="00DD0B78">
        <w:tc>
          <w:tcPr>
            <w:tcW w:w="3064" w:type="dxa"/>
            <w:shd w:val="clear" w:color="auto" w:fill="FFFFFF" w:themeFill="background1"/>
          </w:tcPr>
          <w:p w14:paraId="5F019DFB" w14:textId="77777777" w:rsidR="00BC54C8" w:rsidRPr="00501B3A" w:rsidRDefault="00BC54C8" w:rsidP="00721F81">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lastRenderedPageBreak/>
              <w:t>Rekomendācija</w:t>
            </w:r>
          </w:p>
        </w:tc>
        <w:tc>
          <w:tcPr>
            <w:tcW w:w="7371" w:type="dxa"/>
            <w:shd w:val="clear" w:color="auto" w:fill="FFFFFF" w:themeFill="background1"/>
          </w:tcPr>
          <w:p w14:paraId="5C169706" w14:textId="77777777" w:rsidR="00BC54C8" w:rsidRPr="00501B3A" w:rsidRDefault="00BC54C8" w:rsidP="00721F81">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Pasākums vai uzdevums</w:t>
            </w:r>
          </w:p>
        </w:tc>
        <w:tc>
          <w:tcPr>
            <w:tcW w:w="1078" w:type="dxa"/>
            <w:shd w:val="clear" w:color="auto" w:fill="FFFFFF" w:themeFill="background1"/>
          </w:tcPr>
          <w:p w14:paraId="69ACB025" w14:textId="77777777" w:rsidR="00BC54C8" w:rsidRPr="00501B3A" w:rsidRDefault="00BC54C8" w:rsidP="00721F81">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Atbildīgā institūcija</w:t>
            </w:r>
          </w:p>
        </w:tc>
        <w:tc>
          <w:tcPr>
            <w:tcW w:w="1053" w:type="dxa"/>
            <w:shd w:val="clear" w:color="auto" w:fill="FFFFFF" w:themeFill="background1"/>
          </w:tcPr>
          <w:p w14:paraId="20EE7C05" w14:textId="77777777" w:rsidR="00BC54C8" w:rsidRPr="00501B3A" w:rsidRDefault="00BC54C8" w:rsidP="00721F81">
            <w:pPr>
              <w:autoSpaceDE w:val="0"/>
              <w:autoSpaceDN w:val="0"/>
              <w:adjustRightInd w:val="0"/>
              <w:jc w:val="center"/>
              <w:rPr>
                <w:rFonts w:ascii="Times New Roman" w:hAnsi="Times New Roman" w:cs="Times New Roman"/>
                <w:b/>
                <w:sz w:val="20"/>
                <w:szCs w:val="20"/>
              </w:rPr>
            </w:pPr>
            <w:r w:rsidRPr="00501B3A">
              <w:rPr>
                <w:rFonts w:ascii="Times New Roman" w:hAnsi="Times New Roman" w:cs="Times New Roman"/>
                <w:b/>
                <w:sz w:val="20"/>
                <w:szCs w:val="20"/>
              </w:rPr>
              <w:t>Termiņš</w:t>
            </w:r>
          </w:p>
        </w:tc>
      </w:tr>
      <w:tr w:rsidR="00BC54C8" w:rsidRPr="00501B3A" w14:paraId="00EB1EFE" w14:textId="77777777" w:rsidTr="00DD0B78">
        <w:tc>
          <w:tcPr>
            <w:tcW w:w="7371" w:type="dxa"/>
            <w:gridSpan w:val="4"/>
            <w:shd w:val="clear" w:color="auto" w:fill="FFFFFF" w:themeFill="background1"/>
          </w:tcPr>
          <w:p w14:paraId="62D783E0" w14:textId="77777777" w:rsidR="00BC54C8" w:rsidRPr="00501B3A" w:rsidRDefault="00BC54C8" w:rsidP="00721F81">
            <w:pPr>
              <w:autoSpaceDE w:val="0"/>
              <w:autoSpaceDN w:val="0"/>
              <w:adjustRightInd w:val="0"/>
              <w:jc w:val="center"/>
              <w:rPr>
                <w:rFonts w:ascii="Times New Roman" w:hAnsi="Times New Roman" w:cs="Times New Roman"/>
                <w:b/>
                <w:i/>
                <w:sz w:val="20"/>
                <w:szCs w:val="20"/>
              </w:rPr>
            </w:pPr>
            <w:r>
              <w:rPr>
                <w:rFonts w:ascii="Times New Roman" w:hAnsi="Times New Roman" w:cs="Times New Roman"/>
                <w:b/>
                <w:i/>
                <w:sz w:val="20"/>
                <w:szCs w:val="20"/>
              </w:rPr>
              <w:t>Daļēji izpildītās rekomendācijas</w:t>
            </w:r>
          </w:p>
        </w:tc>
      </w:tr>
      <w:tr w:rsidR="00BC54C8" w:rsidRPr="000B1F6D" w14:paraId="21D0FB4E" w14:textId="77777777" w:rsidTr="00DD0B78">
        <w:tc>
          <w:tcPr>
            <w:tcW w:w="3064" w:type="dxa"/>
            <w:shd w:val="clear" w:color="auto" w:fill="FFFFFF" w:themeFill="background1"/>
          </w:tcPr>
          <w:p w14:paraId="571097FD"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3.</w:t>
            </w:r>
            <w:r w:rsidRPr="001A345A">
              <w:rPr>
                <w:rFonts w:ascii="Times New Roman" w:hAnsi="Times New Roman" w:cs="Times New Roman"/>
                <w:sz w:val="20"/>
                <w:szCs w:val="20"/>
              </w:rPr>
              <w:tab/>
              <w:t xml:space="preserve">Attiecībā uz trauksmes celšanu WGB rekomendē, lai Latvija: </w:t>
            </w:r>
          </w:p>
          <w:p w14:paraId="32A3BB13" w14:textId="77777777" w:rsidR="00BC54C8" w:rsidRPr="000B1F6D" w:rsidRDefault="00BC54C8" w:rsidP="00721F81">
            <w:pPr>
              <w:autoSpaceDE w:val="0"/>
              <w:autoSpaceDN w:val="0"/>
              <w:adjustRightInd w:val="0"/>
              <w:jc w:val="both"/>
              <w:rPr>
                <w:rFonts w:ascii="Times New Roman" w:hAnsi="Times New Roman" w:cs="Times New Roman"/>
                <w:sz w:val="20"/>
                <w:szCs w:val="20"/>
              </w:rPr>
            </w:pPr>
            <w:r w:rsidRPr="000B1F6D">
              <w:rPr>
                <w:rFonts w:ascii="Times New Roman" w:hAnsi="Times New Roman" w:cs="Times New Roman"/>
                <w:sz w:val="20"/>
                <w:szCs w:val="20"/>
              </w:rPr>
              <w:t xml:space="preserve"> (b)</w:t>
            </w:r>
            <w:r w:rsidRPr="000B1F6D">
              <w:rPr>
                <w:rFonts w:ascii="Times New Roman" w:hAnsi="Times New Roman" w:cs="Times New Roman"/>
                <w:sz w:val="20"/>
                <w:szCs w:val="20"/>
              </w:rPr>
              <w:tab/>
              <w:t>veic pasākumus, iedrošinot trauksmes celšanu, tai skaitā informējot par labā ticībā (</w:t>
            </w:r>
            <w:r w:rsidRPr="000B1F6D">
              <w:rPr>
                <w:rFonts w:ascii="Times New Roman" w:hAnsi="Times New Roman" w:cs="Times New Roman"/>
                <w:i/>
                <w:sz w:val="20"/>
                <w:szCs w:val="20"/>
              </w:rPr>
              <w:t xml:space="preserve">bona </w:t>
            </w:r>
            <w:proofErr w:type="spellStart"/>
            <w:r w:rsidRPr="000B1F6D">
              <w:rPr>
                <w:rFonts w:ascii="Times New Roman" w:hAnsi="Times New Roman" w:cs="Times New Roman"/>
                <w:i/>
                <w:sz w:val="20"/>
                <w:szCs w:val="20"/>
              </w:rPr>
              <w:t>fide</w:t>
            </w:r>
            <w:proofErr w:type="spellEnd"/>
            <w:r w:rsidRPr="000B1F6D">
              <w:rPr>
                <w:rFonts w:ascii="Times New Roman" w:hAnsi="Times New Roman" w:cs="Times New Roman"/>
                <w:sz w:val="20"/>
                <w:szCs w:val="20"/>
              </w:rPr>
              <w:t>) veiktās trauksmes celšanas, kā publiskās un privātās godprātības sistēmas sastāvdaļas, svarīgumu un paaugstinot informētību par pieejamo aizsardzību privātā sektorā strādājošiem trauksmes cēlējiem, nodrošinot trauksmes cēlējiem viegli pieejamus ziņošanas kanālus (2009.gada Rekomendācija III un IX(i), (iii)).</w:t>
            </w:r>
          </w:p>
        </w:tc>
        <w:tc>
          <w:tcPr>
            <w:tcW w:w="7371" w:type="dxa"/>
            <w:tcBorders>
              <w:bottom w:val="single" w:sz="4" w:space="0" w:color="auto"/>
            </w:tcBorders>
            <w:shd w:val="clear" w:color="auto" w:fill="FFFFFF" w:themeFill="background1"/>
          </w:tcPr>
          <w:p w14:paraId="4E4C9800" w14:textId="77777777" w:rsidR="00BC54C8" w:rsidRPr="00B90239" w:rsidRDefault="00BC54C8" w:rsidP="00721F81">
            <w:pPr>
              <w:autoSpaceDE w:val="0"/>
              <w:autoSpaceDN w:val="0"/>
              <w:adjustRightInd w:val="0"/>
              <w:jc w:val="both"/>
              <w:rPr>
                <w:rFonts w:ascii="Times New Roman" w:hAnsi="Times New Roman" w:cs="Times New Roman"/>
                <w:sz w:val="20"/>
                <w:szCs w:val="20"/>
              </w:rPr>
            </w:pPr>
            <w:r w:rsidRPr="00B90239">
              <w:rPr>
                <w:rFonts w:ascii="Times New Roman" w:hAnsi="Times New Roman" w:cs="Times New Roman"/>
                <w:sz w:val="20"/>
                <w:szCs w:val="20"/>
              </w:rPr>
              <w:t>Turpināt informatīvus, izglītojošus un citus pasākumus ar mērķi veicināt izpratni par trauksmes celšanu un trauksmes cēlēju aizsardzību. Veicināt izpratni par trauksmes celšanu kā rīcību, kas atbilst valsts pārvaldes vērtībām un ētiskas rīcības principiem.</w:t>
            </w:r>
          </w:p>
          <w:p w14:paraId="6B701881" w14:textId="77777777" w:rsidR="00BC54C8" w:rsidRDefault="00BC54C8" w:rsidP="00721F81">
            <w:pPr>
              <w:autoSpaceDE w:val="0"/>
              <w:autoSpaceDN w:val="0"/>
              <w:adjustRightInd w:val="0"/>
              <w:jc w:val="both"/>
              <w:rPr>
                <w:rFonts w:ascii="Times New Roman" w:hAnsi="Times New Roman" w:cs="Times New Roman"/>
                <w:sz w:val="20"/>
                <w:szCs w:val="20"/>
              </w:rPr>
            </w:pPr>
          </w:p>
          <w:p w14:paraId="46690B44" w14:textId="77777777" w:rsidR="00BC54C8" w:rsidRPr="00B90239"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VK turpina darbu p</w:t>
            </w:r>
            <w:r w:rsidRPr="00B90239">
              <w:rPr>
                <w:rFonts w:ascii="Times New Roman" w:hAnsi="Times New Roman" w:cs="Times New Roman"/>
                <w:sz w:val="20"/>
                <w:szCs w:val="20"/>
              </w:rPr>
              <w:t xml:space="preserve">ie vienotām valsts pārvaldes vērtībām un ētikas principiem. Tajā kā viena no vērtībām ir godprātīgums, kurā savukārt ir ietverta trauksmes celšana. Šī vienotā ietvara informatīvo pasākumu ietvaros </w:t>
            </w:r>
            <w:r>
              <w:rPr>
                <w:rFonts w:ascii="Times New Roman" w:hAnsi="Times New Roman" w:cs="Times New Roman"/>
                <w:sz w:val="20"/>
                <w:szCs w:val="20"/>
              </w:rPr>
              <w:t xml:space="preserve">pēc iespējas tiks </w:t>
            </w:r>
            <w:r w:rsidRPr="00B90239">
              <w:rPr>
                <w:rFonts w:ascii="Times New Roman" w:hAnsi="Times New Roman" w:cs="Times New Roman"/>
                <w:sz w:val="20"/>
                <w:szCs w:val="20"/>
              </w:rPr>
              <w:t>izcelt</w:t>
            </w:r>
            <w:r>
              <w:rPr>
                <w:rFonts w:ascii="Times New Roman" w:hAnsi="Times New Roman" w:cs="Times New Roman"/>
                <w:sz w:val="20"/>
                <w:szCs w:val="20"/>
              </w:rPr>
              <w:t>s</w:t>
            </w:r>
            <w:r w:rsidRPr="00B90239">
              <w:rPr>
                <w:rFonts w:ascii="Times New Roman" w:hAnsi="Times New Roman" w:cs="Times New Roman"/>
                <w:sz w:val="20"/>
                <w:szCs w:val="20"/>
              </w:rPr>
              <w:t xml:space="preserve"> trauksmes celšan</w:t>
            </w:r>
            <w:r>
              <w:rPr>
                <w:rFonts w:ascii="Times New Roman" w:hAnsi="Times New Roman" w:cs="Times New Roman"/>
                <w:sz w:val="20"/>
                <w:szCs w:val="20"/>
              </w:rPr>
              <w:t>as nozīmīgums</w:t>
            </w:r>
            <w:r w:rsidRPr="00B90239">
              <w:rPr>
                <w:rFonts w:ascii="Times New Roman" w:hAnsi="Times New Roman" w:cs="Times New Roman"/>
                <w:sz w:val="20"/>
                <w:szCs w:val="20"/>
              </w:rPr>
              <w:t>.</w:t>
            </w:r>
          </w:p>
          <w:p w14:paraId="46E21A07" w14:textId="77777777" w:rsidR="00BC54C8" w:rsidRPr="00B90239" w:rsidRDefault="00BC54C8" w:rsidP="00721F81">
            <w:pPr>
              <w:autoSpaceDE w:val="0"/>
              <w:autoSpaceDN w:val="0"/>
              <w:adjustRightInd w:val="0"/>
              <w:jc w:val="both"/>
              <w:rPr>
                <w:rFonts w:ascii="Times New Roman" w:hAnsi="Times New Roman" w:cs="Times New Roman"/>
                <w:sz w:val="20"/>
                <w:szCs w:val="20"/>
              </w:rPr>
            </w:pPr>
            <w:r w:rsidRPr="00B90239">
              <w:rPr>
                <w:rFonts w:ascii="Times New Roman" w:hAnsi="Times New Roman" w:cs="Times New Roman"/>
                <w:sz w:val="20"/>
                <w:szCs w:val="20"/>
              </w:rPr>
              <w:t>Informēšana par koruptīvām darbībām (trauksmes celšanas iedrošināšana)</w:t>
            </w:r>
            <w:proofErr w:type="gramStart"/>
            <w:r w:rsidRPr="00B90239">
              <w:rPr>
                <w:rFonts w:ascii="Times New Roman" w:hAnsi="Times New Roman" w:cs="Times New Roman"/>
                <w:sz w:val="20"/>
                <w:szCs w:val="20"/>
              </w:rPr>
              <w:t xml:space="preserve">  </w:t>
            </w:r>
            <w:proofErr w:type="gramEnd"/>
            <w:r w:rsidRPr="00B90239">
              <w:rPr>
                <w:rFonts w:ascii="Times New Roman" w:hAnsi="Times New Roman" w:cs="Times New Roman"/>
                <w:sz w:val="20"/>
                <w:szCs w:val="20"/>
              </w:rPr>
              <w:t>ir viens no jautājumiem VAS projekta Nr.3.4.2.0/15/I/002 “Valsts pārvaldes cilvēkresursu profesionālā pilnveide korupcijas novēršanas un ēnu ekonomikas mazināšanas jomā” mācībās, piemēra</w:t>
            </w:r>
            <w:r>
              <w:rPr>
                <w:rFonts w:ascii="Times New Roman" w:hAnsi="Times New Roman" w:cs="Times New Roman"/>
                <w:sz w:val="20"/>
                <w:szCs w:val="20"/>
              </w:rPr>
              <w:t xml:space="preserve">m, </w:t>
            </w:r>
            <w:proofErr w:type="spellStart"/>
            <w:r>
              <w:rPr>
                <w:rFonts w:ascii="Times New Roman" w:hAnsi="Times New Roman" w:cs="Times New Roman"/>
                <w:sz w:val="20"/>
                <w:szCs w:val="20"/>
              </w:rPr>
              <w:t>pamatmodulī</w:t>
            </w:r>
            <w:proofErr w:type="spellEnd"/>
            <w:r w:rsidRPr="00B90239">
              <w:rPr>
                <w:rFonts w:ascii="Times New Roman" w:hAnsi="Times New Roman" w:cs="Times New Roman"/>
                <w:sz w:val="20"/>
                <w:szCs w:val="20"/>
              </w:rPr>
              <w:t xml:space="preserve"> "Valsts pārvaldes darbība tiesiskā valstī"</w:t>
            </w:r>
          </w:p>
          <w:p w14:paraId="6B0D4EB7" w14:textId="77777777" w:rsidR="00BC54C8" w:rsidRDefault="00BC54C8" w:rsidP="00721F81">
            <w:pPr>
              <w:autoSpaceDE w:val="0"/>
              <w:autoSpaceDN w:val="0"/>
              <w:adjustRightInd w:val="0"/>
              <w:jc w:val="both"/>
              <w:rPr>
                <w:rFonts w:ascii="Times New Roman" w:hAnsi="Times New Roman" w:cs="Times New Roman"/>
                <w:sz w:val="20"/>
                <w:szCs w:val="20"/>
              </w:rPr>
            </w:pPr>
          </w:p>
        </w:tc>
        <w:tc>
          <w:tcPr>
            <w:tcW w:w="1078" w:type="dxa"/>
            <w:tcBorders>
              <w:bottom w:val="single" w:sz="4" w:space="0" w:color="auto"/>
            </w:tcBorders>
            <w:shd w:val="clear" w:color="auto" w:fill="FFFFFF" w:themeFill="background1"/>
          </w:tcPr>
          <w:p w14:paraId="7891A9F4" w14:textId="77777777" w:rsidR="00BC54C8" w:rsidRPr="000B1F6D"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VK, VAS, KNAB</w:t>
            </w:r>
          </w:p>
        </w:tc>
        <w:tc>
          <w:tcPr>
            <w:tcW w:w="1053" w:type="dxa"/>
            <w:tcBorders>
              <w:bottom w:val="single" w:sz="4" w:space="0" w:color="auto"/>
            </w:tcBorders>
            <w:shd w:val="clear" w:color="auto" w:fill="FFFFFF" w:themeFill="background1"/>
          </w:tcPr>
          <w:p w14:paraId="0731F001" w14:textId="77777777" w:rsidR="00BC54C8" w:rsidRPr="000B1F6D" w:rsidRDefault="00BC54C8" w:rsidP="00721F81">
            <w:pPr>
              <w:autoSpaceDE w:val="0"/>
              <w:autoSpaceDN w:val="0"/>
              <w:adjustRightInd w:val="0"/>
              <w:jc w:val="both"/>
              <w:rPr>
                <w:rFonts w:ascii="Times New Roman" w:hAnsi="Times New Roman" w:cs="Times New Roman"/>
                <w:sz w:val="20"/>
                <w:szCs w:val="20"/>
              </w:rPr>
            </w:pPr>
            <w:proofErr w:type="gramStart"/>
            <w:r w:rsidRPr="001A345A">
              <w:rPr>
                <w:rFonts w:ascii="Times New Roman" w:hAnsi="Times New Roman" w:cs="Times New Roman"/>
                <w:sz w:val="20"/>
                <w:szCs w:val="20"/>
              </w:rPr>
              <w:t>2018.gada</w:t>
            </w:r>
            <w:proofErr w:type="gramEnd"/>
            <w:r w:rsidRPr="001A345A">
              <w:rPr>
                <w:rFonts w:ascii="Times New Roman" w:hAnsi="Times New Roman" w:cs="Times New Roman"/>
                <w:sz w:val="20"/>
                <w:szCs w:val="20"/>
              </w:rPr>
              <w:t xml:space="preserve"> 1.oktobris</w:t>
            </w:r>
          </w:p>
        </w:tc>
      </w:tr>
      <w:tr w:rsidR="00BC54C8" w:rsidRPr="0000631C" w14:paraId="3CC681DC" w14:textId="77777777" w:rsidTr="00DD0B78">
        <w:tc>
          <w:tcPr>
            <w:tcW w:w="3064" w:type="dxa"/>
            <w:shd w:val="clear" w:color="auto" w:fill="auto"/>
          </w:tcPr>
          <w:p w14:paraId="6945A7DD" w14:textId="77777777" w:rsidR="00BC54C8" w:rsidRPr="0000631C" w:rsidRDefault="00BC54C8" w:rsidP="00721F81">
            <w:pPr>
              <w:autoSpaceDE w:val="0"/>
              <w:autoSpaceDN w:val="0"/>
              <w:adjustRightInd w:val="0"/>
              <w:jc w:val="both"/>
              <w:rPr>
                <w:rFonts w:ascii="Times New Roman" w:hAnsi="Times New Roman" w:cs="Times New Roman"/>
                <w:sz w:val="20"/>
                <w:szCs w:val="20"/>
              </w:rPr>
            </w:pPr>
            <w:r w:rsidRPr="0000631C">
              <w:rPr>
                <w:rFonts w:ascii="Times New Roman" w:hAnsi="Times New Roman" w:cs="Times New Roman"/>
                <w:sz w:val="20"/>
                <w:szCs w:val="20"/>
              </w:rPr>
              <w:t xml:space="preserve">4.  Attiecībā uz oficiāli atbalstītiem eksporta kredītiem WGB rekomendē, lai Latvija: </w:t>
            </w:r>
          </w:p>
          <w:p w14:paraId="3045C2E5" w14:textId="77777777" w:rsidR="00BC54C8" w:rsidRPr="0000631C" w:rsidRDefault="00BC54C8" w:rsidP="00721F81">
            <w:pPr>
              <w:autoSpaceDE w:val="0"/>
              <w:autoSpaceDN w:val="0"/>
              <w:adjustRightInd w:val="0"/>
              <w:jc w:val="both"/>
              <w:rPr>
                <w:rFonts w:ascii="Times New Roman" w:hAnsi="Times New Roman" w:cs="Times New Roman"/>
                <w:sz w:val="20"/>
                <w:szCs w:val="20"/>
              </w:rPr>
            </w:pPr>
            <w:r w:rsidRPr="0000631C">
              <w:rPr>
                <w:rFonts w:ascii="Times New Roman" w:hAnsi="Times New Roman" w:cs="Times New Roman"/>
                <w:sz w:val="20"/>
                <w:szCs w:val="20"/>
              </w:rPr>
              <w:t xml:space="preserve"> (b) nodrošina, ka </w:t>
            </w:r>
            <w:proofErr w:type="spellStart"/>
            <w:r w:rsidRPr="0000631C">
              <w:rPr>
                <w:rFonts w:ascii="Times New Roman" w:hAnsi="Times New Roman" w:cs="Times New Roman"/>
                <w:sz w:val="20"/>
                <w:szCs w:val="20"/>
              </w:rPr>
              <w:t>Altum</w:t>
            </w:r>
            <w:proofErr w:type="spellEnd"/>
            <w:r w:rsidRPr="0000631C">
              <w:rPr>
                <w:rFonts w:ascii="Times New Roman" w:hAnsi="Times New Roman" w:cs="Times New Roman"/>
                <w:sz w:val="20"/>
                <w:szCs w:val="20"/>
              </w:rPr>
              <w:t xml:space="preserve"> kukuļošanas novēršanas politika un prakse atbilst </w:t>
            </w:r>
            <w:proofErr w:type="gramStart"/>
            <w:r w:rsidRPr="0000631C">
              <w:rPr>
                <w:rFonts w:ascii="Times New Roman" w:hAnsi="Times New Roman" w:cs="Times New Roman"/>
                <w:sz w:val="20"/>
                <w:szCs w:val="20"/>
              </w:rPr>
              <w:t>2006.gada</w:t>
            </w:r>
            <w:proofErr w:type="gramEnd"/>
            <w:r w:rsidRPr="0000631C">
              <w:rPr>
                <w:rFonts w:ascii="Times New Roman" w:hAnsi="Times New Roman" w:cs="Times New Roman"/>
                <w:sz w:val="20"/>
                <w:szCs w:val="20"/>
              </w:rPr>
              <w:t xml:space="preserve"> Rekomendācijai</w:t>
            </w:r>
          </w:p>
        </w:tc>
        <w:tc>
          <w:tcPr>
            <w:tcW w:w="7371" w:type="dxa"/>
            <w:tcBorders>
              <w:bottom w:val="single" w:sz="4" w:space="0" w:color="auto"/>
            </w:tcBorders>
            <w:shd w:val="clear" w:color="auto" w:fill="auto"/>
          </w:tcPr>
          <w:p w14:paraId="7F529D76" w14:textId="77777777" w:rsidR="00BC54C8" w:rsidRPr="0000631C" w:rsidRDefault="00BC54C8" w:rsidP="00DD0B78">
            <w:pPr>
              <w:tabs>
                <w:tab w:val="center" w:pos="276"/>
              </w:tabs>
              <w:autoSpaceDE w:val="0"/>
              <w:autoSpaceDN w:val="0"/>
              <w:adjustRightInd w:val="0"/>
              <w:rPr>
                <w:rFonts w:ascii="Times New Roman" w:hAnsi="Times New Roman" w:cs="Times New Roman"/>
                <w:sz w:val="20"/>
                <w:szCs w:val="20"/>
              </w:rPr>
            </w:pPr>
            <w:r w:rsidRPr="0000631C">
              <w:rPr>
                <w:rFonts w:ascii="Times New Roman" w:hAnsi="Times New Roman" w:cs="Times New Roman"/>
                <w:sz w:val="20"/>
                <w:szCs w:val="20"/>
              </w:rPr>
              <w:t>1)</w:t>
            </w:r>
            <w:r w:rsidRPr="0000631C">
              <w:rPr>
                <w:rFonts w:ascii="Times New Roman" w:hAnsi="Times New Roman" w:cs="Times New Roman"/>
                <w:sz w:val="20"/>
                <w:szCs w:val="20"/>
              </w:rPr>
              <w:tab/>
            </w:r>
            <w:r>
              <w:rPr>
                <w:rFonts w:ascii="Times New Roman" w:hAnsi="Times New Roman" w:cs="Times New Roman"/>
                <w:sz w:val="20"/>
                <w:szCs w:val="20"/>
              </w:rPr>
              <w:t xml:space="preserve"> </w:t>
            </w:r>
            <w:proofErr w:type="spellStart"/>
            <w:r w:rsidRPr="0000631C">
              <w:rPr>
                <w:rFonts w:ascii="Times New Roman" w:hAnsi="Times New Roman" w:cs="Times New Roman"/>
                <w:sz w:val="20"/>
                <w:szCs w:val="20"/>
              </w:rPr>
              <w:t>Altum</w:t>
            </w:r>
            <w:proofErr w:type="spellEnd"/>
            <w:r w:rsidRPr="0000631C">
              <w:rPr>
                <w:rFonts w:ascii="Times New Roman" w:hAnsi="Times New Roman" w:cs="Times New Roman"/>
                <w:sz w:val="20"/>
                <w:szCs w:val="20"/>
              </w:rPr>
              <w:t xml:space="preserve"> atturas no sadarbības, ja:</w:t>
            </w:r>
          </w:p>
          <w:p w14:paraId="1F6FA2A4" w14:textId="77777777" w:rsidR="00BC54C8" w:rsidRPr="0000631C" w:rsidRDefault="00BC54C8" w:rsidP="00DD0B78">
            <w:pPr>
              <w:autoSpaceDE w:val="0"/>
              <w:autoSpaceDN w:val="0"/>
              <w:adjustRightInd w:val="0"/>
              <w:ind w:left="372" w:hanging="142"/>
              <w:rPr>
                <w:rFonts w:ascii="Times New Roman" w:hAnsi="Times New Roman" w:cs="Times New Roman"/>
                <w:sz w:val="20"/>
                <w:szCs w:val="20"/>
              </w:rPr>
            </w:pPr>
            <w:r w:rsidRPr="0000631C">
              <w:rPr>
                <w:rFonts w:ascii="Times New Roman" w:hAnsi="Times New Roman" w:cs="Times New Roman"/>
                <w:sz w:val="20"/>
                <w:szCs w:val="20"/>
              </w:rPr>
              <w:t>-</w:t>
            </w:r>
            <w:r w:rsidRPr="0000631C">
              <w:rPr>
                <w:rFonts w:ascii="Times New Roman" w:hAnsi="Times New Roman" w:cs="Times New Roman"/>
                <w:sz w:val="20"/>
                <w:szCs w:val="20"/>
              </w:rPr>
              <w:tab/>
              <w:t>kāda no darījuma pusēm ir iekļauta Publiski pieejamos izslēgšanas sarakstos (</w:t>
            </w:r>
            <w:proofErr w:type="spellStart"/>
            <w:r w:rsidRPr="0000631C">
              <w:rPr>
                <w:rFonts w:ascii="Times New Roman" w:hAnsi="Times New Roman" w:cs="Times New Roman"/>
                <w:sz w:val="20"/>
                <w:szCs w:val="20"/>
              </w:rPr>
              <w:t>debarment</w:t>
            </w:r>
            <w:proofErr w:type="spellEnd"/>
            <w:r w:rsidRPr="0000631C">
              <w:rPr>
                <w:rFonts w:ascii="Times New Roman" w:hAnsi="Times New Roman" w:cs="Times New Roman"/>
                <w:sz w:val="20"/>
                <w:szCs w:val="20"/>
              </w:rPr>
              <w:t xml:space="preserve"> </w:t>
            </w:r>
            <w:proofErr w:type="spellStart"/>
            <w:r w:rsidRPr="0000631C">
              <w:rPr>
                <w:rFonts w:ascii="Times New Roman" w:hAnsi="Times New Roman" w:cs="Times New Roman"/>
                <w:sz w:val="20"/>
                <w:szCs w:val="20"/>
              </w:rPr>
              <w:t>list</w:t>
            </w:r>
            <w:proofErr w:type="spellEnd"/>
            <w:r w:rsidRPr="0000631C">
              <w:rPr>
                <w:rFonts w:ascii="Times New Roman" w:hAnsi="Times New Roman" w:cs="Times New Roman"/>
                <w:sz w:val="20"/>
                <w:szCs w:val="20"/>
              </w:rPr>
              <w:t>),</w:t>
            </w:r>
          </w:p>
          <w:p w14:paraId="18BF4147" w14:textId="77777777" w:rsidR="00BC54C8" w:rsidRPr="0000631C" w:rsidRDefault="00BC54C8" w:rsidP="00DD0B78">
            <w:pPr>
              <w:autoSpaceDE w:val="0"/>
              <w:autoSpaceDN w:val="0"/>
              <w:adjustRightInd w:val="0"/>
              <w:ind w:left="372" w:hanging="142"/>
              <w:rPr>
                <w:rFonts w:ascii="Times New Roman" w:hAnsi="Times New Roman" w:cs="Times New Roman"/>
                <w:sz w:val="20"/>
                <w:szCs w:val="20"/>
              </w:rPr>
            </w:pPr>
            <w:r w:rsidRPr="0000631C">
              <w:rPr>
                <w:rFonts w:ascii="Times New Roman" w:hAnsi="Times New Roman" w:cs="Times New Roman"/>
                <w:sz w:val="20"/>
                <w:szCs w:val="20"/>
              </w:rPr>
              <w:t xml:space="preserve"> vai</w:t>
            </w:r>
          </w:p>
          <w:p w14:paraId="7C37F025" w14:textId="77777777" w:rsidR="00BC54C8" w:rsidRPr="0000631C" w:rsidRDefault="00BC54C8" w:rsidP="00DD0B78">
            <w:pPr>
              <w:autoSpaceDE w:val="0"/>
              <w:autoSpaceDN w:val="0"/>
              <w:adjustRightInd w:val="0"/>
              <w:ind w:left="372" w:hanging="142"/>
              <w:rPr>
                <w:rFonts w:ascii="Times New Roman" w:hAnsi="Times New Roman" w:cs="Times New Roman"/>
                <w:sz w:val="20"/>
                <w:szCs w:val="20"/>
              </w:rPr>
            </w:pPr>
            <w:r w:rsidRPr="0000631C">
              <w:rPr>
                <w:rFonts w:ascii="Times New Roman" w:hAnsi="Times New Roman" w:cs="Times New Roman"/>
                <w:sz w:val="20"/>
                <w:szCs w:val="20"/>
              </w:rPr>
              <w:t>-</w:t>
            </w:r>
            <w:r w:rsidRPr="0000631C">
              <w:rPr>
                <w:rFonts w:ascii="Times New Roman" w:hAnsi="Times New Roman" w:cs="Times New Roman"/>
                <w:sz w:val="20"/>
                <w:szCs w:val="20"/>
              </w:rPr>
              <w:tab/>
            </w:r>
            <w:r>
              <w:rPr>
                <w:rFonts w:ascii="Times New Roman" w:hAnsi="Times New Roman" w:cs="Times New Roman"/>
                <w:sz w:val="20"/>
                <w:szCs w:val="20"/>
              </w:rPr>
              <w:t>e</w:t>
            </w:r>
            <w:r w:rsidRPr="0000631C">
              <w:rPr>
                <w:rFonts w:ascii="Times New Roman" w:hAnsi="Times New Roman" w:cs="Times New Roman"/>
                <w:sz w:val="20"/>
                <w:szCs w:val="20"/>
              </w:rPr>
              <w:t>ksportētājs, pircējs vai eksportējamās preces ir pakļautas sankciju ierobežojumam;</w:t>
            </w:r>
          </w:p>
          <w:p w14:paraId="0904B3DB" w14:textId="77777777" w:rsidR="00BC54C8" w:rsidRPr="0000631C" w:rsidRDefault="00BC54C8" w:rsidP="00DD0B78">
            <w:pPr>
              <w:autoSpaceDE w:val="0"/>
              <w:autoSpaceDN w:val="0"/>
              <w:adjustRightInd w:val="0"/>
              <w:ind w:left="372" w:hanging="142"/>
              <w:rPr>
                <w:rFonts w:ascii="Times New Roman" w:hAnsi="Times New Roman" w:cs="Times New Roman"/>
                <w:sz w:val="20"/>
                <w:szCs w:val="20"/>
              </w:rPr>
            </w:pPr>
            <w:r w:rsidRPr="0000631C">
              <w:rPr>
                <w:rFonts w:ascii="Times New Roman" w:hAnsi="Times New Roman" w:cs="Times New Roman"/>
                <w:sz w:val="20"/>
                <w:szCs w:val="20"/>
              </w:rPr>
              <w:t>vai</w:t>
            </w:r>
          </w:p>
          <w:p w14:paraId="14748824" w14:textId="77777777" w:rsidR="00BC54C8" w:rsidRPr="0000631C" w:rsidRDefault="00BC54C8" w:rsidP="00DD0B78">
            <w:pPr>
              <w:autoSpaceDE w:val="0"/>
              <w:autoSpaceDN w:val="0"/>
              <w:adjustRightInd w:val="0"/>
              <w:ind w:left="372" w:hanging="142"/>
              <w:rPr>
                <w:rFonts w:ascii="Times New Roman" w:hAnsi="Times New Roman" w:cs="Times New Roman"/>
                <w:sz w:val="20"/>
                <w:szCs w:val="20"/>
              </w:rPr>
            </w:pPr>
            <w:r w:rsidRPr="0000631C">
              <w:rPr>
                <w:rFonts w:ascii="Times New Roman" w:hAnsi="Times New Roman" w:cs="Times New Roman"/>
                <w:sz w:val="20"/>
                <w:szCs w:val="20"/>
              </w:rPr>
              <w:t>-</w:t>
            </w:r>
            <w:r w:rsidRPr="0000631C">
              <w:rPr>
                <w:rFonts w:ascii="Times New Roman" w:hAnsi="Times New Roman" w:cs="Times New Roman"/>
                <w:sz w:val="20"/>
                <w:szCs w:val="20"/>
              </w:rPr>
              <w:tab/>
              <w:t>par kādu no darījuma pusēm ir pamatotas aizdomas par kukuļošanu.</w:t>
            </w:r>
          </w:p>
          <w:p w14:paraId="55978DAA" w14:textId="77777777" w:rsidR="00BC54C8" w:rsidRPr="0000631C" w:rsidRDefault="00BC54C8" w:rsidP="00DD0B78">
            <w:pPr>
              <w:tabs>
                <w:tab w:val="center" w:pos="276"/>
              </w:tabs>
              <w:autoSpaceDE w:val="0"/>
              <w:autoSpaceDN w:val="0"/>
              <w:adjustRightInd w:val="0"/>
              <w:rPr>
                <w:rFonts w:ascii="Times New Roman" w:hAnsi="Times New Roman" w:cs="Times New Roman"/>
                <w:sz w:val="20"/>
                <w:szCs w:val="20"/>
              </w:rPr>
            </w:pPr>
            <w:r w:rsidRPr="0000631C">
              <w:rPr>
                <w:rFonts w:ascii="Times New Roman" w:hAnsi="Times New Roman" w:cs="Times New Roman"/>
                <w:sz w:val="20"/>
                <w:szCs w:val="20"/>
              </w:rPr>
              <w:t>2)</w:t>
            </w:r>
            <w:r w:rsidRPr="0000631C">
              <w:rPr>
                <w:rFonts w:ascii="Times New Roman" w:hAnsi="Times New Roman" w:cs="Times New Roman"/>
                <w:sz w:val="20"/>
                <w:szCs w:val="20"/>
              </w:rPr>
              <w:tab/>
            </w:r>
            <w:r>
              <w:rPr>
                <w:rFonts w:ascii="Times New Roman" w:hAnsi="Times New Roman" w:cs="Times New Roman"/>
                <w:sz w:val="20"/>
                <w:szCs w:val="20"/>
              </w:rPr>
              <w:t xml:space="preserve"> </w:t>
            </w:r>
            <w:proofErr w:type="spellStart"/>
            <w:r w:rsidRPr="0000631C">
              <w:rPr>
                <w:rFonts w:ascii="Times New Roman" w:hAnsi="Times New Roman" w:cs="Times New Roman"/>
                <w:sz w:val="20"/>
                <w:szCs w:val="20"/>
              </w:rPr>
              <w:t>Altum</w:t>
            </w:r>
            <w:proofErr w:type="spellEnd"/>
            <w:r w:rsidRPr="0000631C">
              <w:rPr>
                <w:rFonts w:ascii="Times New Roman" w:hAnsi="Times New Roman" w:cs="Times New Roman"/>
                <w:sz w:val="20"/>
                <w:szCs w:val="20"/>
              </w:rPr>
              <w:t xml:space="preserve"> darbiniekiem ziņošanas pienākums ir noteikts Procedūrā par operacionālā un darbības atbilstības riska identificēšanas un pārvaldības pasākumu veikšanas kārtību, kas atkārtoti tika izskatīta </w:t>
            </w:r>
            <w:proofErr w:type="spellStart"/>
            <w:r w:rsidRPr="0000631C">
              <w:rPr>
                <w:rFonts w:ascii="Times New Roman" w:hAnsi="Times New Roman" w:cs="Times New Roman"/>
                <w:sz w:val="20"/>
                <w:szCs w:val="20"/>
              </w:rPr>
              <w:t>Altum</w:t>
            </w:r>
            <w:proofErr w:type="spellEnd"/>
            <w:r w:rsidRPr="0000631C">
              <w:rPr>
                <w:rFonts w:ascii="Times New Roman" w:hAnsi="Times New Roman" w:cs="Times New Roman"/>
                <w:sz w:val="20"/>
                <w:szCs w:val="20"/>
              </w:rPr>
              <w:t xml:space="preserve"> Valdē </w:t>
            </w:r>
            <w:proofErr w:type="gramStart"/>
            <w:r w:rsidRPr="0000631C">
              <w:rPr>
                <w:rFonts w:ascii="Times New Roman" w:hAnsi="Times New Roman" w:cs="Times New Roman"/>
                <w:sz w:val="20"/>
                <w:szCs w:val="20"/>
              </w:rPr>
              <w:t>06.12.2017,</w:t>
            </w:r>
            <w:proofErr w:type="gramEnd"/>
            <w:r w:rsidRPr="0000631C">
              <w:rPr>
                <w:rFonts w:ascii="Times New Roman" w:hAnsi="Times New Roman" w:cs="Times New Roman"/>
                <w:sz w:val="20"/>
                <w:szCs w:val="20"/>
              </w:rPr>
              <w:t xml:space="preserve"> kurā tostarp, tiek atrunāta kārtība kādā </w:t>
            </w:r>
            <w:proofErr w:type="spellStart"/>
            <w:r w:rsidRPr="0000631C">
              <w:rPr>
                <w:rFonts w:ascii="Times New Roman" w:hAnsi="Times New Roman" w:cs="Times New Roman"/>
                <w:sz w:val="20"/>
                <w:szCs w:val="20"/>
              </w:rPr>
              <w:t>Altum</w:t>
            </w:r>
            <w:proofErr w:type="spellEnd"/>
            <w:r w:rsidRPr="0000631C">
              <w:rPr>
                <w:rFonts w:ascii="Times New Roman" w:hAnsi="Times New Roman" w:cs="Times New Roman"/>
                <w:sz w:val="20"/>
                <w:szCs w:val="20"/>
              </w:rPr>
              <w:t xml:space="preserve"> darbinieki ziņo par iespējamiem korupcijas riskiem tiesībsargājošām iestādēm.</w:t>
            </w:r>
          </w:p>
        </w:tc>
        <w:tc>
          <w:tcPr>
            <w:tcW w:w="1078" w:type="dxa"/>
            <w:tcBorders>
              <w:bottom w:val="single" w:sz="4" w:space="0" w:color="auto"/>
            </w:tcBorders>
            <w:shd w:val="clear" w:color="auto" w:fill="auto"/>
          </w:tcPr>
          <w:p w14:paraId="3222A2A0" w14:textId="77777777" w:rsidR="00BC54C8" w:rsidRPr="0000631C" w:rsidRDefault="00BC54C8" w:rsidP="00721F81">
            <w:pPr>
              <w:autoSpaceDE w:val="0"/>
              <w:autoSpaceDN w:val="0"/>
              <w:adjustRightInd w:val="0"/>
              <w:jc w:val="both"/>
              <w:rPr>
                <w:rFonts w:ascii="Times New Roman" w:hAnsi="Times New Roman" w:cs="Times New Roman"/>
                <w:sz w:val="20"/>
                <w:szCs w:val="20"/>
              </w:rPr>
            </w:pPr>
            <w:proofErr w:type="spellStart"/>
            <w:r w:rsidRPr="0000631C">
              <w:rPr>
                <w:rFonts w:ascii="Times New Roman" w:hAnsi="Times New Roman" w:cs="Times New Roman"/>
                <w:sz w:val="20"/>
                <w:szCs w:val="20"/>
              </w:rPr>
              <w:t>Altum</w:t>
            </w:r>
            <w:proofErr w:type="spellEnd"/>
          </w:p>
        </w:tc>
        <w:tc>
          <w:tcPr>
            <w:tcW w:w="1053" w:type="dxa"/>
            <w:tcBorders>
              <w:bottom w:val="single" w:sz="4" w:space="0" w:color="auto"/>
            </w:tcBorders>
            <w:shd w:val="clear" w:color="auto" w:fill="auto"/>
          </w:tcPr>
          <w:p w14:paraId="75C5B53B" w14:textId="77777777" w:rsidR="00BC54C8" w:rsidRPr="0000631C" w:rsidRDefault="00BC54C8" w:rsidP="00721F81">
            <w:pPr>
              <w:autoSpaceDE w:val="0"/>
              <w:autoSpaceDN w:val="0"/>
              <w:adjustRightInd w:val="0"/>
              <w:jc w:val="both"/>
              <w:rPr>
                <w:rFonts w:ascii="Times New Roman" w:hAnsi="Times New Roman" w:cs="Times New Roman"/>
                <w:sz w:val="20"/>
                <w:szCs w:val="20"/>
              </w:rPr>
            </w:pPr>
            <w:proofErr w:type="gramStart"/>
            <w:r w:rsidRPr="0000631C">
              <w:rPr>
                <w:rFonts w:ascii="Times New Roman" w:hAnsi="Times New Roman" w:cs="Times New Roman"/>
                <w:sz w:val="20"/>
                <w:szCs w:val="20"/>
              </w:rPr>
              <w:t>2019.gada</w:t>
            </w:r>
            <w:proofErr w:type="gramEnd"/>
            <w:r w:rsidRPr="0000631C">
              <w:rPr>
                <w:rFonts w:ascii="Times New Roman" w:hAnsi="Times New Roman" w:cs="Times New Roman"/>
                <w:sz w:val="20"/>
                <w:szCs w:val="20"/>
              </w:rPr>
              <w:t xml:space="preserve"> 1.janvāris</w:t>
            </w:r>
          </w:p>
        </w:tc>
      </w:tr>
      <w:tr w:rsidR="00BC54C8" w:rsidRPr="001A345A" w14:paraId="209F09BE" w14:textId="77777777" w:rsidTr="00DD0B78">
        <w:tc>
          <w:tcPr>
            <w:tcW w:w="3064" w:type="dxa"/>
            <w:shd w:val="clear" w:color="auto" w:fill="FFFFFF" w:themeFill="background1"/>
          </w:tcPr>
          <w:p w14:paraId="26709E47" w14:textId="77777777" w:rsidR="00BC54C8"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5.</w:t>
            </w:r>
            <w:r w:rsidRPr="001A345A">
              <w:rPr>
                <w:rFonts w:ascii="Times New Roman" w:hAnsi="Times New Roman" w:cs="Times New Roman"/>
                <w:sz w:val="20"/>
                <w:szCs w:val="20"/>
              </w:rPr>
              <w:tab/>
              <w:t xml:space="preserve">Attiecībā uz oficiālo attīstības palīdzību (OAP) WGB rekomendē, lai Latvija veic atbilstošus pasākumus ārvalstu amatpersonu kukuļošanas novēršanai, atklāšanai un ziņošanai par to un apsver iespēju izslēgt no OAP projektiem šajā noziedzīgā nodarījumā notiesātus uzņēmumus, ja Latvijas privātā sektora pārstāvji nākotnē iesaistīsies OAP finansētos projektos </w:t>
            </w:r>
            <w:proofErr w:type="gramStart"/>
            <w:r w:rsidRPr="001A345A">
              <w:rPr>
                <w:rFonts w:ascii="Times New Roman" w:hAnsi="Times New Roman" w:cs="Times New Roman"/>
                <w:sz w:val="20"/>
                <w:szCs w:val="20"/>
              </w:rPr>
              <w:t>(</w:t>
            </w:r>
            <w:proofErr w:type="gramEnd"/>
            <w:r w:rsidRPr="001A345A">
              <w:rPr>
                <w:rFonts w:ascii="Times New Roman" w:hAnsi="Times New Roman" w:cs="Times New Roman"/>
                <w:sz w:val="20"/>
                <w:szCs w:val="20"/>
              </w:rPr>
              <w:t>2009.gada Rekomendācija XI).</w:t>
            </w:r>
          </w:p>
        </w:tc>
        <w:tc>
          <w:tcPr>
            <w:tcW w:w="7371" w:type="dxa"/>
            <w:tcBorders>
              <w:bottom w:val="single" w:sz="4" w:space="0" w:color="auto"/>
            </w:tcBorders>
            <w:shd w:val="clear" w:color="auto" w:fill="FFFFFF" w:themeFill="background1"/>
          </w:tcPr>
          <w:p w14:paraId="4974DCF7" w14:textId="77777777" w:rsidR="00BC54C8" w:rsidRPr="00B90239" w:rsidRDefault="00BC54C8" w:rsidP="00DD0B78">
            <w:pPr>
              <w:autoSpaceDE w:val="0"/>
              <w:autoSpaceDN w:val="0"/>
              <w:adjustRightInd w:val="0"/>
              <w:ind w:firstLine="372"/>
              <w:jc w:val="both"/>
              <w:rPr>
                <w:rFonts w:ascii="Times New Roman" w:hAnsi="Times New Roman" w:cs="Times New Roman"/>
                <w:sz w:val="20"/>
                <w:szCs w:val="20"/>
              </w:rPr>
            </w:pPr>
            <w:r w:rsidRPr="00B90239">
              <w:rPr>
                <w:rFonts w:ascii="Times New Roman" w:hAnsi="Times New Roman" w:cs="Times New Roman"/>
                <w:sz w:val="20"/>
                <w:szCs w:val="20"/>
              </w:rPr>
              <w:t>Saskaņā ar Attīstības sadarbības politikas pamatnostādnēm 2016. -2020. gadam konkrēti pasākumi ārvalstu amatpersonu kukuļošanas novēršanai, atklāšanai un ziņošanai ir noteikti “Attīstības sadarbības granta projektu konkursa nolikumos”. Jau šobrīd tiek un arī turpmāk tiks paredzēti sekojoši nosacījumi:</w:t>
            </w:r>
          </w:p>
          <w:p w14:paraId="234DBB09" w14:textId="77777777" w:rsidR="00BC54C8" w:rsidRPr="00B90239" w:rsidRDefault="00BC54C8" w:rsidP="00DD0B78">
            <w:pPr>
              <w:tabs>
                <w:tab w:val="center" w:pos="672"/>
              </w:tabs>
              <w:autoSpaceDE w:val="0"/>
              <w:autoSpaceDN w:val="0"/>
              <w:adjustRightInd w:val="0"/>
              <w:ind w:firstLine="372"/>
              <w:jc w:val="both"/>
              <w:rPr>
                <w:rFonts w:ascii="Times New Roman" w:hAnsi="Times New Roman" w:cs="Times New Roman"/>
                <w:sz w:val="20"/>
                <w:szCs w:val="20"/>
              </w:rPr>
            </w:pPr>
            <w:r w:rsidRPr="00B90239">
              <w:rPr>
                <w:rFonts w:ascii="Times New Roman" w:hAnsi="Times New Roman" w:cs="Times New Roman"/>
                <w:sz w:val="20"/>
                <w:szCs w:val="20"/>
              </w:rPr>
              <w:t>-</w:t>
            </w:r>
            <w:r w:rsidR="00633E54">
              <w:rPr>
                <w:rFonts w:ascii="Times New Roman" w:hAnsi="Times New Roman" w:cs="Times New Roman"/>
                <w:sz w:val="20"/>
                <w:szCs w:val="20"/>
              </w:rPr>
              <w:t xml:space="preserve"> </w:t>
            </w:r>
            <w:r w:rsidRPr="00B90239">
              <w:rPr>
                <w:rFonts w:ascii="Times New Roman" w:hAnsi="Times New Roman" w:cs="Times New Roman"/>
                <w:sz w:val="20"/>
                <w:szCs w:val="20"/>
              </w:rPr>
              <w:tab/>
              <w:t>Sekretariāts noraidīs un tālāk nevērtēs projektus gadījumos, kad projekta īstenošanā ir iesaistītas fiziskās personas, kas ir bijušas notiesātas par kukuļdošanu un kurām sodāmība nav dzēsta, kā arī juridiskās personas, kurām ir piemēroti piespiedu ietekmēšanas līdzekļi par kukuļdošanu;</w:t>
            </w:r>
          </w:p>
          <w:p w14:paraId="780D10CC" w14:textId="77777777" w:rsidR="00BC54C8" w:rsidRPr="00B90239" w:rsidRDefault="00BC54C8" w:rsidP="00DD0B78">
            <w:pPr>
              <w:tabs>
                <w:tab w:val="center" w:pos="672"/>
              </w:tabs>
              <w:autoSpaceDE w:val="0"/>
              <w:autoSpaceDN w:val="0"/>
              <w:adjustRightInd w:val="0"/>
              <w:ind w:firstLine="372"/>
              <w:jc w:val="both"/>
              <w:rPr>
                <w:rFonts w:ascii="Times New Roman" w:hAnsi="Times New Roman" w:cs="Times New Roman"/>
                <w:sz w:val="20"/>
                <w:szCs w:val="20"/>
              </w:rPr>
            </w:pPr>
            <w:r w:rsidRPr="00B90239">
              <w:rPr>
                <w:rFonts w:ascii="Times New Roman" w:hAnsi="Times New Roman" w:cs="Times New Roman"/>
                <w:sz w:val="20"/>
                <w:szCs w:val="20"/>
              </w:rPr>
              <w:t>-</w:t>
            </w:r>
            <w:r w:rsidRPr="00B90239">
              <w:rPr>
                <w:rFonts w:ascii="Times New Roman" w:hAnsi="Times New Roman" w:cs="Times New Roman"/>
                <w:sz w:val="20"/>
                <w:szCs w:val="20"/>
              </w:rPr>
              <w:tab/>
            </w:r>
            <w:r w:rsidR="00633E54">
              <w:rPr>
                <w:rFonts w:ascii="Times New Roman" w:hAnsi="Times New Roman" w:cs="Times New Roman"/>
                <w:sz w:val="20"/>
                <w:szCs w:val="20"/>
              </w:rPr>
              <w:t xml:space="preserve"> </w:t>
            </w:r>
            <w:r w:rsidRPr="00B90239">
              <w:rPr>
                <w:rFonts w:ascii="Times New Roman" w:hAnsi="Times New Roman" w:cs="Times New Roman"/>
                <w:sz w:val="20"/>
                <w:szCs w:val="20"/>
              </w:rPr>
              <w:t>Projekta iesniedzējs paraksta apliecinājumu par to, ka projekta īstenošanā nav/netiks iesaistītas fiziskās personas, kas bijušas notiesātas par kukuļdošanu un kurām sodāmība nav dzēsta, kā arī juridiskās personas, kurām ir piemēroti piespiedu ietekmēšanas līdzekļi par kukuļdošanu;”</w:t>
            </w:r>
          </w:p>
          <w:p w14:paraId="284A5BB8" w14:textId="77777777" w:rsidR="00BC54C8" w:rsidRPr="001A345A" w:rsidRDefault="00BC54C8" w:rsidP="00DD0B78">
            <w:pPr>
              <w:autoSpaceDE w:val="0"/>
              <w:autoSpaceDN w:val="0"/>
              <w:adjustRightInd w:val="0"/>
              <w:ind w:firstLine="372"/>
              <w:jc w:val="both"/>
              <w:rPr>
                <w:rFonts w:ascii="Times New Roman" w:hAnsi="Times New Roman" w:cs="Times New Roman"/>
                <w:sz w:val="20"/>
                <w:szCs w:val="20"/>
              </w:rPr>
            </w:pPr>
            <w:r w:rsidRPr="00B90239">
              <w:rPr>
                <w:rFonts w:ascii="Times New Roman" w:hAnsi="Times New Roman" w:cs="Times New Roman"/>
                <w:sz w:val="20"/>
                <w:szCs w:val="20"/>
              </w:rPr>
              <w:t xml:space="preserve">Ārlietu ministrija, pārbaudot noslēguma ziņojumus (atskaites), pieprasa dokumentus par gala </w:t>
            </w:r>
            <w:r w:rsidRPr="00B90239">
              <w:rPr>
                <w:rFonts w:ascii="Times New Roman" w:hAnsi="Times New Roman" w:cs="Times New Roman"/>
                <w:sz w:val="20"/>
                <w:szCs w:val="20"/>
              </w:rPr>
              <w:lastRenderedPageBreak/>
              <w:t xml:space="preserve">saņēmēju (ne tikai personu, kas veic norēķinus). Piemēram, ja ir bijis komandējums, tad lūdzam ne tikai komandējuma rīkojumu, kurā ir norādītas personas, kas dodas komandējumā, bet arī komandējuma atskaites dokumentus, t.i., kur līdzekļi tika izlietoti komandējuma laikā (maksājumi par viesnīcu, apdrošināšanu, ēdināšanu utt.).  </w:t>
            </w:r>
          </w:p>
          <w:p w14:paraId="47AD7431" w14:textId="77777777" w:rsidR="00BC54C8" w:rsidRPr="005A38D2" w:rsidRDefault="00BC54C8" w:rsidP="00721F81">
            <w:pPr>
              <w:autoSpaceDE w:val="0"/>
              <w:autoSpaceDN w:val="0"/>
              <w:adjustRightInd w:val="0"/>
              <w:jc w:val="both"/>
              <w:rPr>
                <w:rFonts w:ascii="Times New Roman" w:hAnsi="Times New Roman" w:cs="Times New Roman"/>
                <w:sz w:val="20"/>
                <w:szCs w:val="20"/>
              </w:rPr>
            </w:pPr>
          </w:p>
        </w:tc>
        <w:tc>
          <w:tcPr>
            <w:tcW w:w="1078" w:type="dxa"/>
            <w:tcBorders>
              <w:bottom w:val="single" w:sz="4" w:space="0" w:color="auto"/>
            </w:tcBorders>
            <w:shd w:val="clear" w:color="auto" w:fill="FFFFFF" w:themeFill="background1"/>
          </w:tcPr>
          <w:p w14:paraId="644F472D" w14:textId="77777777" w:rsidR="00BC54C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ĀM</w:t>
            </w:r>
          </w:p>
        </w:tc>
        <w:tc>
          <w:tcPr>
            <w:tcW w:w="1053" w:type="dxa"/>
            <w:tcBorders>
              <w:bottom w:val="single" w:sz="4" w:space="0" w:color="auto"/>
            </w:tcBorders>
            <w:shd w:val="clear" w:color="auto" w:fill="FFFFFF" w:themeFill="background1"/>
          </w:tcPr>
          <w:p w14:paraId="506A7F36" w14:textId="77777777" w:rsidR="00BC54C8" w:rsidRPr="001A345A" w:rsidRDefault="00BC54C8" w:rsidP="00721F81">
            <w:pPr>
              <w:autoSpaceDE w:val="0"/>
              <w:autoSpaceDN w:val="0"/>
              <w:adjustRightInd w:val="0"/>
              <w:jc w:val="both"/>
              <w:rPr>
                <w:rFonts w:ascii="Times New Roman" w:hAnsi="Times New Roman" w:cs="Times New Roman"/>
                <w:sz w:val="20"/>
                <w:szCs w:val="20"/>
              </w:rPr>
            </w:pPr>
            <w:proofErr w:type="gramStart"/>
            <w:r w:rsidRPr="005046AA">
              <w:rPr>
                <w:rFonts w:ascii="Times New Roman" w:hAnsi="Times New Roman" w:cs="Times New Roman"/>
                <w:sz w:val="20"/>
                <w:szCs w:val="20"/>
              </w:rPr>
              <w:t>2019.gada</w:t>
            </w:r>
            <w:proofErr w:type="gramEnd"/>
            <w:r w:rsidRPr="005046AA">
              <w:rPr>
                <w:rFonts w:ascii="Times New Roman" w:hAnsi="Times New Roman" w:cs="Times New Roman"/>
                <w:sz w:val="20"/>
                <w:szCs w:val="20"/>
              </w:rPr>
              <w:t xml:space="preserve"> 1.janvāris</w:t>
            </w:r>
          </w:p>
        </w:tc>
      </w:tr>
      <w:tr w:rsidR="00BC54C8" w:rsidRPr="005046AA" w14:paraId="4C8D6E4B" w14:textId="77777777" w:rsidTr="00DD0B78">
        <w:tc>
          <w:tcPr>
            <w:tcW w:w="3064" w:type="dxa"/>
            <w:shd w:val="clear" w:color="auto" w:fill="FFFFFF" w:themeFill="background1"/>
          </w:tcPr>
          <w:p w14:paraId="104590AC"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6.</w:t>
            </w:r>
            <w:r w:rsidRPr="001A345A">
              <w:rPr>
                <w:rFonts w:ascii="Times New Roman" w:hAnsi="Times New Roman" w:cs="Times New Roman"/>
                <w:sz w:val="20"/>
                <w:szCs w:val="20"/>
              </w:rPr>
              <w:tab/>
              <w:t>Attiecībā uz aplikšanu ar nodokļiem WGB rekomendē, lai Latvija:</w:t>
            </w:r>
          </w:p>
          <w:p w14:paraId="57CBD75F"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(a)</w:t>
            </w:r>
            <w:r w:rsidRPr="001A345A">
              <w:rPr>
                <w:rFonts w:ascii="Times New Roman" w:hAnsi="Times New Roman" w:cs="Times New Roman"/>
                <w:sz w:val="20"/>
                <w:szCs w:val="20"/>
              </w:rPr>
              <w:tab/>
              <w:t xml:space="preserve">uzlabo kukuļošanas atklāšanu, </w:t>
            </w:r>
          </w:p>
          <w:p w14:paraId="42123CE4"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 xml:space="preserve">(i) grozot VID Iekšējos noteikumus Nr.38, lai nodrošinātu, ka tie ietver ārvalstu amatpersonu kukuļošanu, kā definēts Krimināllikuma (KL) 323.pantā, </w:t>
            </w:r>
          </w:p>
          <w:p w14:paraId="50B6C773"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 xml:space="preserve">(ii) </w:t>
            </w:r>
            <w:proofErr w:type="gramStart"/>
            <w:r w:rsidRPr="001A345A">
              <w:rPr>
                <w:rFonts w:ascii="Times New Roman" w:hAnsi="Times New Roman" w:cs="Times New Roman"/>
                <w:sz w:val="20"/>
                <w:szCs w:val="20"/>
              </w:rPr>
              <w:t>apsverot iespēju iestrādāt Noteikumos</w:t>
            </w:r>
            <w:proofErr w:type="gramEnd"/>
            <w:r w:rsidRPr="001A345A">
              <w:rPr>
                <w:rFonts w:ascii="Times New Roman" w:hAnsi="Times New Roman" w:cs="Times New Roman"/>
                <w:sz w:val="20"/>
                <w:szCs w:val="20"/>
              </w:rPr>
              <w:t xml:space="preserve"> papildu materiālus no Ekonomiskās sadarbības un attīstības organizācijas (OECD) Informētības par kukuļošanu rokasgrāmatas nodokļu inspektoriem, </w:t>
            </w:r>
          </w:p>
          <w:p w14:paraId="0F0E71B4" w14:textId="77777777" w:rsidR="00BC54C8" w:rsidRPr="00BE287B" w:rsidRDefault="00BC54C8" w:rsidP="00721F81">
            <w:pPr>
              <w:jc w:val="both"/>
              <w:rPr>
                <w:rFonts w:ascii="Times New Roman" w:hAnsi="Times New Roman" w:cs="Times New Roman"/>
                <w:sz w:val="20"/>
                <w:szCs w:val="20"/>
              </w:rPr>
            </w:pPr>
            <w:r w:rsidRPr="00BE287B">
              <w:rPr>
                <w:rFonts w:ascii="Times New Roman" w:hAnsi="Times New Roman" w:cs="Times New Roman"/>
                <w:sz w:val="20"/>
                <w:szCs w:val="20"/>
              </w:rPr>
              <w:t>(iii) veicot pasākumus, lai nodrošinātu, ka nodokļu maksātāji ar ārvalstu amatpersonu kukuļošanas risku, tiktu pak</w:t>
            </w:r>
            <w:r>
              <w:rPr>
                <w:rFonts w:ascii="Times New Roman" w:hAnsi="Times New Roman" w:cs="Times New Roman"/>
                <w:sz w:val="20"/>
                <w:szCs w:val="20"/>
              </w:rPr>
              <w:t>ļauti kontroles pasākumiem, un</w:t>
            </w:r>
          </w:p>
          <w:p w14:paraId="382CC196"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 xml:space="preserve">(iv) izvērtējot, vai nodokļu iestādes efektīvi atklāj kukuļošanu saskaņā ar </w:t>
            </w:r>
            <w:proofErr w:type="gramStart"/>
            <w:r w:rsidRPr="001A345A">
              <w:rPr>
                <w:rFonts w:ascii="Times New Roman" w:hAnsi="Times New Roman" w:cs="Times New Roman"/>
                <w:sz w:val="20"/>
                <w:szCs w:val="20"/>
              </w:rPr>
              <w:t>2009.gada</w:t>
            </w:r>
            <w:proofErr w:type="gramEnd"/>
            <w:r w:rsidRPr="001A345A">
              <w:rPr>
                <w:rFonts w:ascii="Times New Roman" w:hAnsi="Times New Roman" w:cs="Times New Roman"/>
                <w:sz w:val="20"/>
                <w:szCs w:val="20"/>
              </w:rPr>
              <w:t xml:space="preserve"> Nodokļu rekomendāciju I(ii) (2009.gada Rekomendācija VIII un 2009.gada Nodokļu rekomendācija I(ii));</w:t>
            </w:r>
          </w:p>
          <w:p w14:paraId="280B5E00" w14:textId="77777777" w:rsidR="00BC54C8" w:rsidRPr="001A345A" w:rsidRDefault="00BC54C8" w:rsidP="00721F81">
            <w:pPr>
              <w:autoSpaceDE w:val="0"/>
              <w:autoSpaceDN w:val="0"/>
              <w:adjustRightInd w:val="0"/>
              <w:jc w:val="both"/>
              <w:rPr>
                <w:rFonts w:ascii="Times New Roman" w:hAnsi="Times New Roman" w:cs="Times New Roman"/>
                <w:sz w:val="20"/>
                <w:szCs w:val="20"/>
              </w:rPr>
            </w:pPr>
          </w:p>
        </w:tc>
        <w:tc>
          <w:tcPr>
            <w:tcW w:w="7371" w:type="dxa"/>
            <w:tcBorders>
              <w:bottom w:val="single" w:sz="4" w:space="0" w:color="auto"/>
            </w:tcBorders>
            <w:shd w:val="clear" w:color="auto" w:fill="FFFFFF" w:themeFill="background1"/>
          </w:tcPr>
          <w:p w14:paraId="5721FCEA"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 xml:space="preserve">Jāveic pasākumi, lai identificētu arī tos nodokļu maksātājus, kas pakļauti kukuļošanas riskiem ārpus ES un tie tiktu identificēti </w:t>
            </w:r>
            <w:r>
              <w:rPr>
                <w:rFonts w:ascii="Times New Roman" w:hAnsi="Times New Roman" w:cs="Times New Roman"/>
                <w:sz w:val="20"/>
                <w:szCs w:val="20"/>
              </w:rPr>
              <w:t>kontroles pasākumu</w:t>
            </w:r>
            <w:r w:rsidRPr="001A345A">
              <w:rPr>
                <w:rFonts w:ascii="Times New Roman" w:hAnsi="Times New Roman" w:cs="Times New Roman"/>
                <w:sz w:val="20"/>
                <w:szCs w:val="20"/>
              </w:rPr>
              <w:t xml:space="preserve"> veikšanai.</w:t>
            </w:r>
          </w:p>
          <w:p w14:paraId="4DF091D2" w14:textId="77777777" w:rsidR="00BC54C8" w:rsidRPr="001A345A" w:rsidRDefault="00BC54C8" w:rsidP="00721F81">
            <w:pPr>
              <w:autoSpaceDE w:val="0"/>
              <w:autoSpaceDN w:val="0"/>
              <w:adjustRightInd w:val="0"/>
              <w:jc w:val="both"/>
              <w:rPr>
                <w:rFonts w:ascii="Times New Roman" w:hAnsi="Times New Roman" w:cs="Times New Roman"/>
                <w:sz w:val="20"/>
                <w:szCs w:val="20"/>
              </w:rPr>
            </w:pPr>
          </w:p>
          <w:p w14:paraId="211705F3"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 xml:space="preserve">Nodrošināt, ka 28.12.2016 Iekšējā audita daļa iesniegtā VID ģenerāldirektoram ziņojumā par sniegto konsultāciju ar ieteikumiem ietvertais pasākums par operacionālo risku papildināšanu ar riskiem, kas specifiski attiecas uz ārvalstu amatpersonu kukuļošanu starptautiskajos biznesa darījumos ir izpildīts. </w:t>
            </w:r>
          </w:p>
          <w:p w14:paraId="0B4BFAE5" w14:textId="77777777" w:rsidR="00BC54C8" w:rsidRPr="001A345A" w:rsidRDefault="00BC54C8" w:rsidP="00721F81">
            <w:pPr>
              <w:autoSpaceDE w:val="0"/>
              <w:autoSpaceDN w:val="0"/>
              <w:adjustRightInd w:val="0"/>
              <w:jc w:val="both"/>
              <w:rPr>
                <w:rFonts w:ascii="Times New Roman" w:hAnsi="Times New Roman" w:cs="Times New Roman"/>
                <w:sz w:val="20"/>
                <w:szCs w:val="20"/>
              </w:rPr>
            </w:pPr>
          </w:p>
        </w:tc>
        <w:tc>
          <w:tcPr>
            <w:tcW w:w="1078" w:type="dxa"/>
            <w:tcBorders>
              <w:bottom w:val="single" w:sz="4" w:space="0" w:color="auto"/>
            </w:tcBorders>
            <w:shd w:val="clear" w:color="auto" w:fill="FFFFFF" w:themeFill="background1"/>
          </w:tcPr>
          <w:p w14:paraId="7CE4DED5" w14:textId="77777777" w:rsidR="00BC54C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FM, VID</w:t>
            </w:r>
          </w:p>
        </w:tc>
        <w:tc>
          <w:tcPr>
            <w:tcW w:w="1053" w:type="dxa"/>
            <w:tcBorders>
              <w:bottom w:val="single" w:sz="4" w:space="0" w:color="auto"/>
            </w:tcBorders>
            <w:shd w:val="clear" w:color="auto" w:fill="FFFFFF" w:themeFill="background1"/>
          </w:tcPr>
          <w:p w14:paraId="734581B2" w14:textId="77777777" w:rsidR="00BC54C8" w:rsidRPr="005046AA" w:rsidRDefault="00BC54C8" w:rsidP="00721F81">
            <w:pPr>
              <w:autoSpaceDE w:val="0"/>
              <w:autoSpaceDN w:val="0"/>
              <w:adjustRightInd w:val="0"/>
              <w:jc w:val="both"/>
              <w:rPr>
                <w:rFonts w:ascii="Times New Roman" w:hAnsi="Times New Roman" w:cs="Times New Roman"/>
                <w:sz w:val="20"/>
                <w:szCs w:val="20"/>
              </w:rPr>
            </w:pPr>
            <w:proofErr w:type="gramStart"/>
            <w:r w:rsidRPr="001A345A">
              <w:rPr>
                <w:rFonts w:ascii="Times New Roman" w:hAnsi="Times New Roman" w:cs="Times New Roman"/>
                <w:sz w:val="20"/>
                <w:szCs w:val="20"/>
              </w:rPr>
              <w:t>2019.gada</w:t>
            </w:r>
            <w:proofErr w:type="gramEnd"/>
            <w:r w:rsidRPr="001A345A">
              <w:rPr>
                <w:rFonts w:ascii="Times New Roman" w:hAnsi="Times New Roman" w:cs="Times New Roman"/>
                <w:sz w:val="20"/>
                <w:szCs w:val="20"/>
              </w:rPr>
              <w:t xml:space="preserve"> 1.janvāris</w:t>
            </w:r>
          </w:p>
        </w:tc>
      </w:tr>
      <w:tr w:rsidR="00BC54C8" w:rsidRPr="001A345A" w14:paraId="1515205E" w14:textId="77777777" w:rsidTr="00DD0B78">
        <w:tc>
          <w:tcPr>
            <w:tcW w:w="3064" w:type="dxa"/>
            <w:shd w:val="clear" w:color="auto" w:fill="FFFFFF" w:themeFill="background1"/>
          </w:tcPr>
          <w:p w14:paraId="68CD0AFC" w14:textId="77777777" w:rsidR="00BC54C8" w:rsidRDefault="00BC54C8" w:rsidP="00721F81">
            <w:pPr>
              <w:jc w:val="both"/>
              <w:rPr>
                <w:rFonts w:ascii="Times New Roman" w:hAnsi="Times New Roman" w:cs="Times New Roman"/>
                <w:sz w:val="20"/>
                <w:szCs w:val="20"/>
              </w:rPr>
            </w:pPr>
            <w:r w:rsidRPr="002B21F7">
              <w:rPr>
                <w:rFonts w:ascii="Times New Roman" w:hAnsi="Times New Roman" w:cs="Times New Roman"/>
                <w:sz w:val="20"/>
                <w:szCs w:val="20"/>
              </w:rPr>
              <w:t>7.</w:t>
            </w:r>
            <w:r w:rsidRPr="002B21F7">
              <w:rPr>
                <w:rFonts w:ascii="Times New Roman" w:hAnsi="Times New Roman" w:cs="Times New Roman"/>
                <w:sz w:val="20"/>
                <w:szCs w:val="20"/>
              </w:rPr>
              <w:tab/>
              <w:t>Attiecībā uz uzskaites prasībām, ārējo un iekšējo uzņēmuma kontroli WGB rekomendē, lai Latvija:</w:t>
            </w:r>
          </w:p>
          <w:p w14:paraId="1D2B5A4A" w14:textId="77777777" w:rsidR="00BC54C8" w:rsidRPr="002B21F7" w:rsidRDefault="00BC54C8" w:rsidP="00721F81">
            <w:pPr>
              <w:jc w:val="both"/>
              <w:rPr>
                <w:rFonts w:ascii="Times New Roman" w:hAnsi="Times New Roman" w:cs="Times New Roman"/>
                <w:sz w:val="20"/>
                <w:szCs w:val="20"/>
              </w:rPr>
            </w:pPr>
            <w:r w:rsidRPr="002B21F7">
              <w:rPr>
                <w:rFonts w:ascii="Times New Roman" w:hAnsi="Times New Roman" w:cs="Times New Roman"/>
                <w:sz w:val="20"/>
                <w:szCs w:val="20"/>
              </w:rPr>
              <w:t>(d)</w:t>
            </w:r>
            <w:r>
              <w:rPr>
                <w:rFonts w:ascii="Times New Roman" w:hAnsi="Times New Roman" w:cs="Times New Roman"/>
                <w:sz w:val="20"/>
                <w:szCs w:val="20"/>
              </w:rPr>
              <w:t xml:space="preserve"> </w:t>
            </w:r>
            <w:r w:rsidRPr="002B21F7">
              <w:rPr>
                <w:rFonts w:ascii="Times New Roman" w:hAnsi="Times New Roman" w:cs="Times New Roman"/>
                <w:sz w:val="20"/>
                <w:szCs w:val="20"/>
              </w:rPr>
              <w:t xml:space="preserve">veic efektīvus pasākumus, mudinot uzņēmumus, kas saņem ziņojumus no ārējā revidenta par aizdomīgiem ārvalstu amatpersonu kukuļošanas gadījumiem, aktīvi un efektīvi reaģēt uz </w:t>
            </w:r>
            <w:r w:rsidRPr="002B21F7">
              <w:rPr>
                <w:rFonts w:ascii="Times New Roman" w:hAnsi="Times New Roman" w:cs="Times New Roman"/>
                <w:sz w:val="20"/>
                <w:szCs w:val="20"/>
              </w:rPr>
              <w:lastRenderedPageBreak/>
              <w:t>šādiem ziņojumiem (</w:t>
            </w:r>
            <w:proofErr w:type="gramStart"/>
            <w:r w:rsidRPr="002B21F7">
              <w:rPr>
                <w:rFonts w:ascii="Times New Roman" w:hAnsi="Times New Roman" w:cs="Times New Roman"/>
                <w:sz w:val="20"/>
                <w:szCs w:val="20"/>
              </w:rPr>
              <w:t>2009.gada</w:t>
            </w:r>
            <w:proofErr w:type="gramEnd"/>
            <w:r w:rsidRPr="002B21F7">
              <w:rPr>
                <w:rFonts w:ascii="Times New Roman" w:hAnsi="Times New Roman" w:cs="Times New Roman"/>
                <w:sz w:val="20"/>
                <w:szCs w:val="20"/>
              </w:rPr>
              <w:t xml:space="preserve"> Rekomendācija  III(iv) un X B(iv));</w:t>
            </w:r>
          </w:p>
          <w:p w14:paraId="23337C36" w14:textId="77777777" w:rsidR="00BC54C8" w:rsidRDefault="00BC54C8" w:rsidP="00721F81">
            <w:pPr>
              <w:autoSpaceDE w:val="0"/>
              <w:autoSpaceDN w:val="0"/>
              <w:adjustRightInd w:val="0"/>
              <w:jc w:val="both"/>
              <w:rPr>
                <w:rFonts w:ascii="Times New Roman" w:hAnsi="Times New Roman" w:cs="Times New Roman"/>
                <w:sz w:val="20"/>
                <w:szCs w:val="20"/>
              </w:rPr>
            </w:pPr>
          </w:p>
          <w:p w14:paraId="0930E75B" w14:textId="77777777" w:rsidR="00721F81" w:rsidRPr="001A345A" w:rsidRDefault="00721F81" w:rsidP="00721F81">
            <w:pPr>
              <w:autoSpaceDE w:val="0"/>
              <w:autoSpaceDN w:val="0"/>
              <w:adjustRightInd w:val="0"/>
              <w:jc w:val="both"/>
              <w:rPr>
                <w:rFonts w:ascii="Times New Roman" w:hAnsi="Times New Roman" w:cs="Times New Roman"/>
                <w:sz w:val="20"/>
                <w:szCs w:val="20"/>
              </w:rPr>
            </w:pPr>
          </w:p>
        </w:tc>
        <w:tc>
          <w:tcPr>
            <w:tcW w:w="7371" w:type="dxa"/>
            <w:tcBorders>
              <w:bottom w:val="single" w:sz="4" w:space="0" w:color="auto"/>
            </w:tcBorders>
            <w:shd w:val="clear" w:color="auto" w:fill="FFFFFF" w:themeFill="background1"/>
          </w:tcPr>
          <w:p w14:paraId="34284954"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Organizēt un piedalīties informatīvos pasākumos (semināri, konferences, utt.), </w:t>
            </w:r>
            <w:r w:rsidRPr="00B90239">
              <w:rPr>
                <w:rFonts w:ascii="Times New Roman" w:hAnsi="Times New Roman" w:cs="Times New Roman"/>
                <w:sz w:val="20"/>
                <w:szCs w:val="20"/>
              </w:rPr>
              <w:t xml:space="preserve">mudinot uzņēmumus, kas saņem ziņojumus no </w:t>
            </w:r>
            <w:r>
              <w:rPr>
                <w:rFonts w:ascii="Times New Roman" w:hAnsi="Times New Roman" w:cs="Times New Roman"/>
                <w:sz w:val="20"/>
                <w:szCs w:val="20"/>
              </w:rPr>
              <w:t>zvērināta</w:t>
            </w:r>
            <w:r w:rsidRPr="00B90239">
              <w:rPr>
                <w:rFonts w:ascii="Times New Roman" w:hAnsi="Times New Roman" w:cs="Times New Roman"/>
                <w:sz w:val="20"/>
                <w:szCs w:val="20"/>
              </w:rPr>
              <w:t xml:space="preserve"> revidenta par aizdomīgiem ārvalstu amatpersonu kukuļošanas gadījumiem, aktīvi un efektīvi reaģēt uz šādiem ziņojumiem</w:t>
            </w:r>
            <w:r>
              <w:rPr>
                <w:rFonts w:ascii="Times New Roman" w:hAnsi="Times New Roman" w:cs="Times New Roman"/>
                <w:sz w:val="20"/>
                <w:szCs w:val="20"/>
              </w:rPr>
              <w:t>.</w:t>
            </w:r>
          </w:p>
        </w:tc>
        <w:tc>
          <w:tcPr>
            <w:tcW w:w="1078" w:type="dxa"/>
            <w:tcBorders>
              <w:bottom w:val="single" w:sz="4" w:space="0" w:color="auto"/>
            </w:tcBorders>
            <w:shd w:val="clear" w:color="auto" w:fill="FFFFFF" w:themeFill="background1"/>
          </w:tcPr>
          <w:p w14:paraId="0891E8FF" w14:textId="77777777" w:rsidR="00BC54C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TM, KNAB, FM</w:t>
            </w:r>
          </w:p>
        </w:tc>
        <w:tc>
          <w:tcPr>
            <w:tcW w:w="1053" w:type="dxa"/>
            <w:tcBorders>
              <w:bottom w:val="single" w:sz="4" w:space="0" w:color="auto"/>
            </w:tcBorders>
            <w:shd w:val="clear" w:color="auto" w:fill="FFFFFF" w:themeFill="background1"/>
          </w:tcPr>
          <w:p w14:paraId="60A42B11" w14:textId="77777777" w:rsidR="00BC54C8" w:rsidRPr="001A345A" w:rsidRDefault="00BC54C8" w:rsidP="00721F81">
            <w:pPr>
              <w:autoSpaceDE w:val="0"/>
              <w:autoSpaceDN w:val="0"/>
              <w:adjustRightInd w:val="0"/>
              <w:jc w:val="both"/>
              <w:rPr>
                <w:rFonts w:ascii="Times New Roman" w:hAnsi="Times New Roman" w:cs="Times New Roman"/>
                <w:sz w:val="20"/>
                <w:szCs w:val="20"/>
              </w:rPr>
            </w:pPr>
            <w:proofErr w:type="gramStart"/>
            <w:r w:rsidRPr="00770018">
              <w:rPr>
                <w:rFonts w:ascii="Times New Roman" w:hAnsi="Times New Roman" w:cs="Times New Roman"/>
                <w:sz w:val="20"/>
                <w:szCs w:val="20"/>
              </w:rPr>
              <w:t>2019.gada</w:t>
            </w:r>
            <w:proofErr w:type="gramEnd"/>
            <w:r w:rsidRPr="00770018">
              <w:rPr>
                <w:rFonts w:ascii="Times New Roman" w:hAnsi="Times New Roman" w:cs="Times New Roman"/>
                <w:sz w:val="20"/>
                <w:szCs w:val="20"/>
              </w:rPr>
              <w:t xml:space="preserve"> 1.janvāris</w:t>
            </w:r>
          </w:p>
        </w:tc>
      </w:tr>
      <w:tr w:rsidR="00BC54C8" w:rsidRPr="001A345A" w14:paraId="04E427E8" w14:textId="77777777" w:rsidTr="00DD0B78">
        <w:tc>
          <w:tcPr>
            <w:tcW w:w="3064" w:type="dxa"/>
            <w:shd w:val="clear" w:color="auto" w:fill="FFFFFF" w:themeFill="background1"/>
          </w:tcPr>
          <w:p w14:paraId="66876CEB" w14:textId="77777777" w:rsidR="00BC54C8" w:rsidRDefault="00BC54C8" w:rsidP="00721F81">
            <w:pPr>
              <w:autoSpaceDE w:val="0"/>
              <w:autoSpaceDN w:val="0"/>
              <w:adjustRightInd w:val="0"/>
              <w:jc w:val="both"/>
              <w:rPr>
                <w:rFonts w:ascii="Times New Roman" w:hAnsi="Times New Roman" w:cs="Times New Roman"/>
                <w:sz w:val="20"/>
                <w:szCs w:val="20"/>
              </w:rPr>
            </w:pPr>
            <w:r w:rsidRPr="002B21F7">
              <w:rPr>
                <w:rFonts w:ascii="Times New Roman" w:hAnsi="Times New Roman" w:cs="Times New Roman"/>
                <w:sz w:val="20"/>
                <w:szCs w:val="20"/>
              </w:rPr>
              <w:t>7.</w:t>
            </w:r>
            <w:r w:rsidRPr="002B21F7">
              <w:rPr>
                <w:rFonts w:ascii="Times New Roman" w:hAnsi="Times New Roman" w:cs="Times New Roman"/>
                <w:sz w:val="20"/>
                <w:szCs w:val="20"/>
              </w:rPr>
              <w:tab/>
              <w:t>Attiecībā uz uzskaites prasībām, ārējo un iekšējo uzņēmuma kontroli WGB rekomendē, lai Latvija:</w:t>
            </w:r>
          </w:p>
          <w:p w14:paraId="746A6B1B"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5046AA">
              <w:rPr>
                <w:rFonts w:ascii="Times New Roman" w:hAnsi="Times New Roman" w:cs="Times New Roman"/>
                <w:sz w:val="20"/>
                <w:szCs w:val="20"/>
              </w:rPr>
              <w:t>(e)</w:t>
            </w:r>
            <w:r w:rsidRPr="005046AA">
              <w:rPr>
                <w:rFonts w:ascii="Times New Roman" w:hAnsi="Times New Roman" w:cs="Times New Roman"/>
                <w:sz w:val="20"/>
                <w:szCs w:val="20"/>
              </w:rPr>
              <w:tab/>
              <w:t>veic grozījumus tiesību aktos, nosakot pienākumu ārējiem revidentiem ziņot kompetentām institūcijām par ārvalstu amatpersonu kukuļošanu pēc iespējas ātrāk; un arī veikt turpmākos grozījumus tiesību aktos, precizējot, ka tiesas, prokurori un izmeklētāji drīkst pieprasīt revidentam sniegt informāciju izmantošanai, kad tiek izmeklēta ārvalstu amatpersonu kukuļošana (2009.gada Rekomendācija III(iv) un X B(v)).</w:t>
            </w:r>
          </w:p>
        </w:tc>
        <w:tc>
          <w:tcPr>
            <w:tcW w:w="7371" w:type="dxa"/>
            <w:tcBorders>
              <w:bottom w:val="single" w:sz="4" w:space="0" w:color="auto"/>
            </w:tcBorders>
            <w:shd w:val="clear" w:color="auto" w:fill="FFFFFF" w:themeFill="background1"/>
          </w:tcPr>
          <w:p w14:paraId="319BCEB0"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2B21F7">
              <w:rPr>
                <w:rFonts w:ascii="Times New Roman" w:hAnsi="Times New Roman" w:cs="Times New Roman"/>
                <w:sz w:val="20"/>
                <w:szCs w:val="20"/>
              </w:rPr>
              <w:t>Veikt nepieciešamos grozījumus Revīzijas pakalpojumu likumā, nodrošinot,</w:t>
            </w:r>
            <w:proofErr w:type="gramStart"/>
            <w:r w:rsidRPr="002B21F7">
              <w:rPr>
                <w:rFonts w:ascii="Times New Roman" w:hAnsi="Times New Roman" w:cs="Times New Roman"/>
                <w:sz w:val="20"/>
                <w:szCs w:val="20"/>
              </w:rPr>
              <w:t xml:space="preserve">  </w:t>
            </w:r>
            <w:proofErr w:type="gramEnd"/>
            <w:r w:rsidRPr="002B21F7">
              <w:rPr>
                <w:rFonts w:ascii="Times New Roman" w:hAnsi="Times New Roman" w:cs="Times New Roman"/>
                <w:sz w:val="20"/>
                <w:szCs w:val="20"/>
              </w:rPr>
              <w:t>ka tiesas, prokurori un izmeklētāji drīkst pieprasīt revidentam sniegt informāciju izmantošanai, kad tiek izmeklēta ārvalstu amatpersonu kukuļošana.</w:t>
            </w:r>
          </w:p>
        </w:tc>
        <w:tc>
          <w:tcPr>
            <w:tcW w:w="1078" w:type="dxa"/>
            <w:tcBorders>
              <w:bottom w:val="single" w:sz="4" w:space="0" w:color="auto"/>
            </w:tcBorders>
            <w:shd w:val="clear" w:color="auto" w:fill="FFFFFF" w:themeFill="background1"/>
          </w:tcPr>
          <w:p w14:paraId="415514B9" w14:textId="77777777" w:rsidR="00BC54C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FM</w:t>
            </w:r>
          </w:p>
        </w:tc>
        <w:tc>
          <w:tcPr>
            <w:tcW w:w="1053" w:type="dxa"/>
            <w:tcBorders>
              <w:bottom w:val="single" w:sz="4" w:space="0" w:color="auto"/>
            </w:tcBorders>
            <w:shd w:val="clear" w:color="auto" w:fill="FFFFFF" w:themeFill="background1"/>
          </w:tcPr>
          <w:p w14:paraId="7808CE6D" w14:textId="77777777" w:rsidR="00BC54C8" w:rsidRPr="001A345A" w:rsidRDefault="00BC54C8" w:rsidP="00721F81">
            <w:pPr>
              <w:autoSpaceDE w:val="0"/>
              <w:autoSpaceDN w:val="0"/>
              <w:adjustRightInd w:val="0"/>
              <w:jc w:val="both"/>
              <w:rPr>
                <w:rFonts w:ascii="Times New Roman" w:hAnsi="Times New Roman" w:cs="Times New Roman"/>
                <w:sz w:val="20"/>
                <w:szCs w:val="20"/>
              </w:rPr>
            </w:pPr>
            <w:proofErr w:type="gramStart"/>
            <w:r w:rsidRPr="002B21F7">
              <w:rPr>
                <w:rFonts w:ascii="Times New Roman" w:hAnsi="Times New Roman" w:cs="Times New Roman"/>
                <w:sz w:val="20"/>
                <w:szCs w:val="20"/>
              </w:rPr>
              <w:t>2019.gada</w:t>
            </w:r>
            <w:proofErr w:type="gramEnd"/>
            <w:r w:rsidRPr="002B21F7">
              <w:rPr>
                <w:rFonts w:ascii="Times New Roman" w:hAnsi="Times New Roman" w:cs="Times New Roman"/>
                <w:sz w:val="20"/>
                <w:szCs w:val="20"/>
              </w:rPr>
              <w:t xml:space="preserve"> 1.janvāris</w:t>
            </w:r>
          </w:p>
        </w:tc>
      </w:tr>
      <w:tr w:rsidR="00BC54C8" w:rsidRPr="002B21F7" w14:paraId="6055A843" w14:textId="77777777" w:rsidTr="00DD0B78">
        <w:tc>
          <w:tcPr>
            <w:tcW w:w="3064" w:type="dxa"/>
            <w:shd w:val="clear" w:color="auto" w:fill="FFFFFF" w:themeFill="background1"/>
          </w:tcPr>
          <w:p w14:paraId="3FDBAFF2" w14:textId="77777777" w:rsidR="00BC54C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8. Attiecībā uz noziedzīgi iegūtu līdzekļu legalizāciju WGB rekomendē, lai Latvija:</w:t>
            </w:r>
            <w:r>
              <w:rPr>
                <w:rFonts w:ascii="Times New Roman" w:hAnsi="Times New Roman" w:cs="Times New Roman"/>
                <w:sz w:val="20"/>
                <w:szCs w:val="20"/>
              </w:rPr>
              <w:t xml:space="preserve"> </w:t>
            </w:r>
          </w:p>
          <w:p w14:paraId="69F9A763"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(c)</w:t>
            </w:r>
            <w:r w:rsidRPr="00770018">
              <w:rPr>
                <w:rFonts w:ascii="Times New Roman" w:hAnsi="Times New Roman" w:cs="Times New Roman"/>
                <w:sz w:val="20"/>
                <w:szCs w:val="20"/>
              </w:rPr>
              <w:tab/>
              <w:t xml:space="preserve">uzlabo noziedzīgi iegūtu līdzekļu legalizācijas atklāšanu </w:t>
            </w:r>
          </w:p>
          <w:p w14:paraId="29975DF4"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 xml:space="preserve">(i) nodrošinot, ka FIU ir pietiekami resursi, lai analizētu visus aizdomīgu darījumu ziņojumus (ADZ) un neparastu darījumu ziņojumus (NDZ) un pārsūtītu ar ārvalstu amatpersonu kukuļošanu saistīto informāciju KNAB, un </w:t>
            </w:r>
          </w:p>
          <w:p w14:paraId="2EFC1D14"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 xml:space="preserve">(ii) nodrošinot papildu vadlīnijas, tipoloģiju un apmācību komersantiem, kuru akcijas ir iekļautas regulētā tirgū, īpaši pievēršoties ziņošanai par noziedzīgi iegūtu līdzekļu legalizāciju saistībā ar korupciju un ārvalstu amatpersonu kukuļošanu, it īpaši - noziedzīgi iegūtu līdzekļu legalizāciju, </w:t>
            </w:r>
            <w:r w:rsidRPr="00770018">
              <w:rPr>
                <w:rFonts w:ascii="Times New Roman" w:hAnsi="Times New Roman" w:cs="Times New Roman"/>
                <w:sz w:val="20"/>
                <w:szCs w:val="20"/>
              </w:rPr>
              <w:lastRenderedPageBreak/>
              <w:t xml:space="preserve">ko veic banku klienti nerezidenti (Konvencijas </w:t>
            </w:r>
            <w:proofErr w:type="gramStart"/>
            <w:r w:rsidRPr="00770018">
              <w:rPr>
                <w:rFonts w:ascii="Times New Roman" w:hAnsi="Times New Roman" w:cs="Times New Roman"/>
                <w:sz w:val="20"/>
                <w:szCs w:val="20"/>
              </w:rPr>
              <w:t>7.pants</w:t>
            </w:r>
            <w:proofErr w:type="gramEnd"/>
            <w:r w:rsidRPr="00770018">
              <w:rPr>
                <w:rFonts w:ascii="Times New Roman" w:hAnsi="Times New Roman" w:cs="Times New Roman"/>
                <w:sz w:val="20"/>
                <w:szCs w:val="20"/>
              </w:rPr>
              <w:t>; 2009.gada Rekomendācija III(i));</w:t>
            </w:r>
          </w:p>
          <w:p w14:paraId="18F44E07" w14:textId="77777777" w:rsidR="00BC54C8" w:rsidRPr="002B21F7" w:rsidRDefault="00BC54C8" w:rsidP="00721F81">
            <w:pPr>
              <w:autoSpaceDE w:val="0"/>
              <w:autoSpaceDN w:val="0"/>
              <w:adjustRightInd w:val="0"/>
              <w:jc w:val="both"/>
              <w:rPr>
                <w:rFonts w:ascii="Times New Roman" w:hAnsi="Times New Roman" w:cs="Times New Roman"/>
                <w:sz w:val="20"/>
                <w:szCs w:val="20"/>
              </w:rPr>
            </w:pPr>
          </w:p>
        </w:tc>
        <w:tc>
          <w:tcPr>
            <w:tcW w:w="7371" w:type="dxa"/>
            <w:tcBorders>
              <w:bottom w:val="single" w:sz="4" w:space="0" w:color="auto"/>
            </w:tcBorders>
            <w:shd w:val="clear" w:color="auto" w:fill="FFFFFF" w:themeFill="background1"/>
          </w:tcPr>
          <w:p w14:paraId="6F621A23"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lastRenderedPageBreak/>
              <w:t xml:space="preserve">Aizpildīt vakantās štata vietas, kā tiek plānots </w:t>
            </w:r>
            <w:proofErr w:type="gramStart"/>
            <w:r w:rsidRPr="00770018">
              <w:rPr>
                <w:rFonts w:ascii="Times New Roman" w:hAnsi="Times New Roman" w:cs="Times New Roman"/>
                <w:sz w:val="20"/>
                <w:szCs w:val="20"/>
              </w:rPr>
              <w:t>2018.gadā</w:t>
            </w:r>
            <w:proofErr w:type="gramEnd"/>
            <w:r w:rsidRPr="00770018">
              <w:rPr>
                <w:rFonts w:ascii="Times New Roman" w:hAnsi="Times New Roman" w:cs="Times New Roman"/>
                <w:sz w:val="20"/>
                <w:szCs w:val="20"/>
              </w:rPr>
              <w:t>.</w:t>
            </w:r>
          </w:p>
          <w:p w14:paraId="2191A861" w14:textId="77777777" w:rsidR="00BC54C8" w:rsidRPr="00770018" w:rsidRDefault="00BC54C8" w:rsidP="00721F81">
            <w:pPr>
              <w:autoSpaceDE w:val="0"/>
              <w:autoSpaceDN w:val="0"/>
              <w:adjustRightInd w:val="0"/>
              <w:jc w:val="both"/>
              <w:rPr>
                <w:rFonts w:ascii="Times New Roman" w:hAnsi="Times New Roman" w:cs="Times New Roman"/>
                <w:sz w:val="20"/>
                <w:szCs w:val="20"/>
              </w:rPr>
            </w:pPr>
          </w:p>
          <w:p w14:paraId="6BF547DC"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 xml:space="preserve">Nodrošināt, ka metodoloģijas materiālos un tipoloģijas apmācībās ir pietiekošs uzsvars uz noziedzīgi iegūtu līdzekļu legalizēšanu, kas saistās ar korupciju un ārvalstu amatpersonu kukuļošanu, īpaši uzsverot nerezidentus.   </w:t>
            </w:r>
          </w:p>
          <w:p w14:paraId="3BD2ACB9" w14:textId="77777777" w:rsidR="00BC54C8" w:rsidRPr="00770018" w:rsidRDefault="00BC54C8" w:rsidP="00721F81">
            <w:pPr>
              <w:autoSpaceDE w:val="0"/>
              <w:autoSpaceDN w:val="0"/>
              <w:adjustRightInd w:val="0"/>
              <w:jc w:val="both"/>
              <w:rPr>
                <w:rFonts w:ascii="Times New Roman" w:hAnsi="Times New Roman" w:cs="Times New Roman"/>
                <w:sz w:val="20"/>
                <w:szCs w:val="20"/>
              </w:rPr>
            </w:pPr>
          </w:p>
          <w:p w14:paraId="1C38FAF8"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 xml:space="preserve">Nodrošināt 2017. gada 14. novembra Ministru kabineta noteikumiem Nr. 674 “Noteikumi par neparasta darījuma pazīmju sarakstu un kārtību, kādā sniedzami ziņojumi par neparastiem vai aizdomīgiem darījumiem” skaidrojošas vadlīnijas attiecībā uz aizdomīgu darījumu pazīmēm, kā arī veikt atbilstošas apmācības, lai nodrošinātu efektīvu ziņošanu par aizdomīgajiem darījumiem. </w:t>
            </w:r>
          </w:p>
          <w:p w14:paraId="5100B3B1" w14:textId="77777777" w:rsidR="00BC54C8" w:rsidRPr="00770018" w:rsidRDefault="00BC54C8" w:rsidP="00721F81">
            <w:pPr>
              <w:autoSpaceDE w:val="0"/>
              <w:autoSpaceDN w:val="0"/>
              <w:adjustRightInd w:val="0"/>
              <w:jc w:val="both"/>
              <w:rPr>
                <w:rFonts w:ascii="Times New Roman" w:hAnsi="Times New Roman" w:cs="Times New Roman"/>
                <w:sz w:val="20"/>
                <w:szCs w:val="20"/>
              </w:rPr>
            </w:pPr>
          </w:p>
          <w:p w14:paraId="22FA5E9A" w14:textId="77777777" w:rsidR="00BC54C8" w:rsidRPr="002B21F7" w:rsidRDefault="00BC54C8" w:rsidP="00721F81">
            <w:pPr>
              <w:autoSpaceDE w:val="0"/>
              <w:autoSpaceDN w:val="0"/>
              <w:adjustRightInd w:val="0"/>
              <w:jc w:val="both"/>
              <w:rPr>
                <w:rFonts w:ascii="Times New Roman" w:hAnsi="Times New Roman" w:cs="Times New Roman"/>
                <w:sz w:val="20"/>
                <w:szCs w:val="20"/>
              </w:rPr>
            </w:pPr>
          </w:p>
        </w:tc>
        <w:tc>
          <w:tcPr>
            <w:tcW w:w="1078" w:type="dxa"/>
            <w:tcBorders>
              <w:bottom w:val="single" w:sz="4" w:space="0" w:color="auto"/>
            </w:tcBorders>
            <w:shd w:val="clear" w:color="auto" w:fill="FFFFFF" w:themeFill="background1"/>
          </w:tcPr>
          <w:p w14:paraId="7A0BF07D" w14:textId="77777777" w:rsidR="00BC54C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KD</w:t>
            </w:r>
          </w:p>
        </w:tc>
        <w:tc>
          <w:tcPr>
            <w:tcW w:w="1053" w:type="dxa"/>
            <w:tcBorders>
              <w:bottom w:val="single" w:sz="4" w:space="0" w:color="auto"/>
            </w:tcBorders>
            <w:shd w:val="clear" w:color="auto" w:fill="FFFFFF" w:themeFill="background1"/>
          </w:tcPr>
          <w:p w14:paraId="3715F49B" w14:textId="77777777" w:rsidR="00BC54C8" w:rsidRPr="002B21F7" w:rsidRDefault="00BC54C8" w:rsidP="00721F81">
            <w:pPr>
              <w:autoSpaceDE w:val="0"/>
              <w:autoSpaceDN w:val="0"/>
              <w:adjustRightInd w:val="0"/>
              <w:jc w:val="both"/>
              <w:rPr>
                <w:rFonts w:ascii="Times New Roman" w:hAnsi="Times New Roman" w:cs="Times New Roman"/>
                <w:sz w:val="20"/>
                <w:szCs w:val="20"/>
              </w:rPr>
            </w:pPr>
            <w:proofErr w:type="gramStart"/>
            <w:r w:rsidRPr="00770018">
              <w:rPr>
                <w:rFonts w:ascii="Times New Roman" w:hAnsi="Times New Roman" w:cs="Times New Roman"/>
                <w:sz w:val="20"/>
                <w:szCs w:val="20"/>
              </w:rPr>
              <w:t>2018.gada</w:t>
            </w:r>
            <w:proofErr w:type="gramEnd"/>
            <w:r w:rsidRPr="00770018">
              <w:rPr>
                <w:rFonts w:ascii="Times New Roman" w:hAnsi="Times New Roman" w:cs="Times New Roman"/>
                <w:sz w:val="20"/>
                <w:szCs w:val="20"/>
              </w:rPr>
              <w:t xml:space="preserve"> 1.oktobris</w:t>
            </w:r>
          </w:p>
        </w:tc>
      </w:tr>
      <w:tr w:rsidR="00BC54C8" w:rsidRPr="001A345A" w14:paraId="12459143" w14:textId="77777777" w:rsidTr="00DD0B78">
        <w:trPr>
          <w:trHeight w:val="11729"/>
        </w:trPr>
        <w:tc>
          <w:tcPr>
            <w:tcW w:w="3064" w:type="dxa"/>
            <w:shd w:val="clear" w:color="auto" w:fill="FFFFFF" w:themeFill="background1"/>
          </w:tcPr>
          <w:p w14:paraId="5124F6E5" w14:textId="77777777" w:rsidR="00BC54C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8. </w:t>
            </w:r>
            <w:r w:rsidRPr="0009432A">
              <w:rPr>
                <w:rFonts w:ascii="Times New Roman" w:hAnsi="Times New Roman" w:cs="Times New Roman"/>
                <w:sz w:val="20"/>
                <w:szCs w:val="20"/>
              </w:rPr>
              <w:t>Attiecībā uz noziedzīgi iegūtu līdzekļu legalizāciju WGB rekomendē, lai Latvija:</w:t>
            </w:r>
          </w:p>
          <w:p w14:paraId="12207FE4"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(d)</w:t>
            </w:r>
            <w:r>
              <w:rPr>
                <w:rFonts w:ascii="Times New Roman" w:hAnsi="Times New Roman" w:cs="Times New Roman"/>
                <w:sz w:val="20"/>
                <w:szCs w:val="20"/>
              </w:rPr>
              <w:t xml:space="preserve"> </w:t>
            </w:r>
            <w:r w:rsidRPr="001A345A">
              <w:rPr>
                <w:rFonts w:ascii="Times New Roman" w:hAnsi="Times New Roman" w:cs="Times New Roman"/>
                <w:sz w:val="20"/>
                <w:szCs w:val="20"/>
              </w:rPr>
              <w:t>veic pasākumus, nodrošinot atbilstību NILLTFNL</w:t>
            </w:r>
          </w:p>
          <w:p w14:paraId="03D7195C"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 xml:space="preserve"> (i) palielinot FKTK resursus; </w:t>
            </w:r>
          </w:p>
          <w:p w14:paraId="6DF4957E"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 xml:space="preserve">(ii) nodrošinot, ka komersantu, kuru akcijas ir iekļautas regulētā tirgū, pārbaudes, ieskaitot to pārstāvniecībās, biežums atbilst riskam, ko var radīt konkrētā juridiskā persona, palīdzot legalizēt vai veicinot noziedzīgi iegūtu līdzekļu legalizāciju; </w:t>
            </w:r>
          </w:p>
          <w:p w14:paraId="5B17F004"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 xml:space="preserve">(iii) piešķirot lielāku prioritāti to banku pārbaudēm, kas specializējas nerezidentu depozītos; </w:t>
            </w:r>
          </w:p>
          <w:p w14:paraId="405FC35D"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 xml:space="preserve">(iv) izpētot, kāpēc FKTK un/vai ziņojošie subjekti nespēja atklāt tos gadījumus, par kuriem tika ziņots plašsaziņas līdzekļos un attiecīgi veikt nepieciešamos pasākumus; un </w:t>
            </w:r>
          </w:p>
          <w:p w14:paraId="34D68E91"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 xml:space="preserve">(v) uzsākot procesu pret attiecīgām fiziskām un juridiskām personām, kad atklāts, ka iepriekšminētās pārkāpušas NILLTFNL (Konvencijas </w:t>
            </w:r>
            <w:proofErr w:type="gramStart"/>
            <w:r w:rsidRPr="001A345A">
              <w:rPr>
                <w:rFonts w:ascii="Times New Roman" w:hAnsi="Times New Roman" w:cs="Times New Roman"/>
                <w:sz w:val="20"/>
                <w:szCs w:val="20"/>
              </w:rPr>
              <w:t>7.pants</w:t>
            </w:r>
            <w:proofErr w:type="gramEnd"/>
            <w:r w:rsidRPr="001A345A">
              <w:rPr>
                <w:rFonts w:ascii="Times New Roman" w:hAnsi="Times New Roman" w:cs="Times New Roman"/>
                <w:sz w:val="20"/>
                <w:szCs w:val="20"/>
              </w:rPr>
              <w:t>; 2009.gada Rekomendācija II);</w:t>
            </w:r>
          </w:p>
        </w:tc>
        <w:tc>
          <w:tcPr>
            <w:tcW w:w="7371" w:type="dxa"/>
            <w:shd w:val="clear" w:color="auto" w:fill="FFFFFF" w:themeFill="background1"/>
          </w:tcPr>
          <w:p w14:paraId="26282AF7" w14:textId="77777777" w:rsidR="00BC54C8" w:rsidRDefault="00BC54C8" w:rsidP="00721F81">
            <w:pPr>
              <w:autoSpaceDE w:val="0"/>
              <w:autoSpaceDN w:val="0"/>
              <w:adjustRightInd w:val="0"/>
              <w:jc w:val="both"/>
              <w:rPr>
                <w:rFonts w:ascii="Times New Roman" w:hAnsi="Times New Roman" w:cs="Times New Roman"/>
                <w:sz w:val="20"/>
                <w:szCs w:val="20"/>
              </w:rPr>
            </w:pPr>
          </w:p>
          <w:p w14:paraId="6E051AD9" w14:textId="77777777" w:rsidR="00BC54C8" w:rsidRPr="0014327E" w:rsidRDefault="00BC54C8" w:rsidP="00721F81">
            <w:pPr>
              <w:autoSpaceDE w:val="0"/>
              <w:autoSpaceDN w:val="0"/>
              <w:adjustRightInd w:val="0"/>
              <w:jc w:val="both"/>
              <w:rPr>
                <w:rFonts w:ascii="Times New Roman" w:hAnsi="Times New Roman" w:cs="Times New Roman"/>
                <w:sz w:val="20"/>
                <w:szCs w:val="20"/>
              </w:rPr>
            </w:pPr>
            <w:r w:rsidRPr="0014327E">
              <w:rPr>
                <w:rFonts w:ascii="Times New Roman" w:hAnsi="Times New Roman" w:cs="Times New Roman"/>
                <w:sz w:val="20"/>
                <w:szCs w:val="20"/>
              </w:rPr>
              <w:t xml:space="preserve">Iesniegt OECD </w:t>
            </w:r>
            <w:r>
              <w:rPr>
                <w:rFonts w:ascii="Times New Roman" w:hAnsi="Times New Roman" w:cs="Times New Roman"/>
                <w:sz w:val="20"/>
                <w:szCs w:val="20"/>
              </w:rPr>
              <w:t>WGB</w:t>
            </w:r>
            <w:r w:rsidRPr="0014327E">
              <w:rPr>
                <w:rFonts w:ascii="Times New Roman" w:hAnsi="Times New Roman" w:cs="Times New Roman"/>
                <w:sz w:val="20"/>
                <w:szCs w:val="20"/>
              </w:rPr>
              <w:t xml:space="preserve"> aktuālo informāciju par rekomendācijas 8 d) katra apakšpunktā minētā pasākuma izpildi, sniedzot sekojošas atbildes un papildus informāciju uz OECD ziņojumā minētajiem apsvērumiem, pamatojoties uz kuriem rekomendācijas 8d) izpilde novērtēta kā “daļēja”, paredzot </w:t>
            </w:r>
            <w:r>
              <w:rPr>
                <w:rFonts w:ascii="Times New Roman" w:hAnsi="Times New Roman" w:cs="Times New Roman"/>
                <w:sz w:val="20"/>
                <w:szCs w:val="20"/>
              </w:rPr>
              <w:t>Latvijas papildu ziņojumu par tās</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izpildi</w:t>
            </w:r>
            <w:r w:rsidRPr="0014327E">
              <w:rPr>
                <w:rFonts w:ascii="Times New Roman" w:hAnsi="Times New Roman" w:cs="Times New Roman"/>
                <w:sz w:val="20"/>
                <w:szCs w:val="20"/>
              </w:rPr>
              <w:t>:</w:t>
            </w:r>
          </w:p>
          <w:p w14:paraId="54E3DDDC" w14:textId="77777777" w:rsidR="00BC54C8" w:rsidRPr="0014327E" w:rsidRDefault="00BC54C8" w:rsidP="00721F81">
            <w:pPr>
              <w:autoSpaceDE w:val="0"/>
              <w:autoSpaceDN w:val="0"/>
              <w:adjustRightInd w:val="0"/>
              <w:jc w:val="both"/>
              <w:rPr>
                <w:rFonts w:ascii="Times New Roman" w:hAnsi="Times New Roman" w:cs="Times New Roman"/>
                <w:sz w:val="20"/>
                <w:szCs w:val="20"/>
              </w:rPr>
            </w:pPr>
            <w:r w:rsidRPr="0014327E">
              <w:rPr>
                <w:rFonts w:ascii="Times New Roman" w:hAnsi="Times New Roman" w:cs="Times New Roman"/>
                <w:sz w:val="20"/>
                <w:szCs w:val="20"/>
              </w:rPr>
              <w:t>1.</w:t>
            </w:r>
            <w:r w:rsidRPr="0014327E">
              <w:rPr>
                <w:rFonts w:ascii="Times New Roman" w:hAnsi="Times New Roman" w:cs="Times New Roman"/>
                <w:sz w:val="20"/>
                <w:szCs w:val="20"/>
              </w:rPr>
              <w:tab/>
              <w:t>W</w:t>
            </w:r>
            <w:r>
              <w:rPr>
                <w:rFonts w:ascii="Times New Roman" w:hAnsi="Times New Roman" w:cs="Times New Roman"/>
                <w:sz w:val="20"/>
                <w:szCs w:val="20"/>
              </w:rPr>
              <w:t>GB</w:t>
            </w:r>
            <w:r w:rsidRPr="0014327E">
              <w:rPr>
                <w:rFonts w:ascii="Times New Roman" w:hAnsi="Times New Roman" w:cs="Times New Roman"/>
                <w:sz w:val="20"/>
                <w:szCs w:val="20"/>
              </w:rPr>
              <w:t xml:space="preserve"> izteikusi vēlmi saņemt precizējošu informāciju par AKD to darbinieku skaits, kuru funkcijās ietilpst NILLTFN atbilstības uzraudzība. FKTK sniegs atbildi, norādot, ka visu 18 AKD darbinieku funkcijās ietilpst NILLTFN atbilstības uzraudzība, bet 3 AKD darbinieki uzrauga tikai nebanku sektora NILLTFN atbilstību..</w:t>
            </w:r>
          </w:p>
          <w:p w14:paraId="44C31178" w14:textId="77777777" w:rsidR="00BC54C8" w:rsidRPr="0014327E" w:rsidRDefault="00BC54C8" w:rsidP="00721F81">
            <w:pPr>
              <w:autoSpaceDE w:val="0"/>
              <w:autoSpaceDN w:val="0"/>
              <w:adjustRightInd w:val="0"/>
              <w:jc w:val="both"/>
              <w:rPr>
                <w:rFonts w:ascii="Times New Roman" w:hAnsi="Times New Roman" w:cs="Times New Roman"/>
                <w:sz w:val="20"/>
                <w:szCs w:val="20"/>
              </w:rPr>
            </w:pPr>
            <w:r w:rsidRPr="0014327E">
              <w:rPr>
                <w:rFonts w:ascii="Times New Roman" w:hAnsi="Times New Roman" w:cs="Times New Roman"/>
                <w:sz w:val="20"/>
                <w:szCs w:val="20"/>
              </w:rPr>
              <w:t>2.</w:t>
            </w:r>
            <w:r w:rsidRPr="0014327E">
              <w:rPr>
                <w:rFonts w:ascii="Times New Roman" w:hAnsi="Times New Roman" w:cs="Times New Roman"/>
                <w:sz w:val="20"/>
                <w:szCs w:val="20"/>
              </w:rPr>
              <w:tab/>
              <w:t>W</w:t>
            </w:r>
            <w:r>
              <w:rPr>
                <w:rFonts w:ascii="Times New Roman" w:hAnsi="Times New Roman" w:cs="Times New Roman"/>
                <w:sz w:val="20"/>
                <w:szCs w:val="20"/>
              </w:rPr>
              <w:t>GB</w:t>
            </w:r>
            <w:r w:rsidRPr="0014327E">
              <w:rPr>
                <w:rFonts w:ascii="Times New Roman" w:hAnsi="Times New Roman" w:cs="Times New Roman"/>
                <w:sz w:val="20"/>
                <w:szCs w:val="20"/>
              </w:rPr>
              <w:t xml:space="preserve"> izteikusi vēlmi saņemt skaidrojumu par klientu padziļinātās izpētes prasību praktisko pielietojumu bankās, kas koncentrējušās uz finanšu pakalpojumiem klientiem – nerezidentiem. FKTK sniegs atbildi, norādot, ka AKD veic NILLTFN atbilstības uzraudzību</w:t>
            </w:r>
            <w:proofErr w:type="gramStart"/>
            <w:r w:rsidRPr="0014327E">
              <w:rPr>
                <w:rFonts w:ascii="Times New Roman" w:hAnsi="Times New Roman" w:cs="Times New Roman"/>
                <w:sz w:val="20"/>
                <w:szCs w:val="20"/>
              </w:rPr>
              <w:t xml:space="preserve"> pamatojoties uz risku bāzētas pieejas</w:t>
            </w:r>
            <w:proofErr w:type="gramEnd"/>
            <w:r w:rsidRPr="0014327E">
              <w:rPr>
                <w:rFonts w:ascii="Times New Roman" w:hAnsi="Times New Roman" w:cs="Times New Roman"/>
                <w:sz w:val="20"/>
                <w:szCs w:val="20"/>
              </w:rPr>
              <w:t xml:space="preserve"> (</w:t>
            </w:r>
            <w:proofErr w:type="spellStart"/>
            <w:r w:rsidRPr="0014327E">
              <w:rPr>
                <w:rFonts w:ascii="Times New Roman" w:hAnsi="Times New Roman" w:cs="Times New Roman"/>
                <w:sz w:val="20"/>
                <w:szCs w:val="20"/>
              </w:rPr>
              <w:t>risk</w:t>
            </w:r>
            <w:proofErr w:type="spellEnd"/>
            <w:r w:rsidRPr="0014327E">
              <w:rPr>
                <w:rFonts w:ascii="Times New Roman" w:hAnsi="Times New Roman" w:cs="Times New Roman"/>
                <w:sz w:val="20"/>
                <w:szCs w:val="20"/>
              </w:rPr>
              <w:t xml:space="preserve"> – </w:t>
            </w:r>
            <w:proofErr w:type="spellStart"/>
            <w:r w:rsidRPr="0014327E">
              <w:rPr>
                <w:rFonts w:ascii="Times New Roman" w:hAnsi="Times New Roman" w:cs="Times New Roman"/>
                <w:sz w:val="20"/>
                <w:szCs w:val="20"/>
              </w:rPr>
              <w:t>based</w:t>
            </w:r>
            <w:proofErr w:type="spellEnd"/>
            <w:r w:rsidRPr="0014327E">
              <w:rPr>
                <w:rFonts w:ascii="Times New Roman" w:hAnsi="Times New Roman" w:cs="Times New Roman"/>
                <w:sz w:val="20"/>
                <w:szCs w:val="20"/>
              </w:rPr>
              <w:t xml:space="preserve"> - </w:t>
            </w:r>
            <w:proofErr w:type="spellStart"/>
            <w:r w:rsidRPr="0014327E">
              <w:rPr>
                <w:rFonts w:ascii="Times New Roman" w:hAnsi="Times New Roman" w:cs="Times New Roman"/>
                <w:sz w:val="20"/>
                <w:szCs w:val="20"/>
              </w:rPr>
              <w:t>approach</w:t>
            </w:r>
            <w:proofErr w:type="spellEnd"/>
            <w:r w:rsidRPr="0014327E">
              <w:rPr>
                <w:rFonts w:ascii="Times New Roman" w:hAnsi="Times New Roman" w:cs="Times New Roman"/>
                <w:sz w:val="20"/>
                <w:szCs w:val="20"/>
              </w:rPr>
              <w:t xml:space="preserve">) metodiku, atbilstoši kurai nerezidentu bankas, tiek pārbaudītas apmēram 5 reizes biežāk, nekā bankas, kas apkalpo klientus rezidentus. Pārbaudēs galvenā vērība tiek veltīta tieši klientu padziļinātās izpētes prasību praktiskai izpildei gan pirms sadarbības uzsākšanas ar klientu, gan sadarbības laikā. Konstatēto pārkāpumu ievērojamais apjoms ir pamatojums būtiskajām monetārajām soda sankcijām, kas uzliktas bankām 2016 un 2017 gados. </w:t>
            </w:r>
          </w:p>
          <w:p w14:paraId="0A820C8D" w14:textId="77777777" w:rsidR="00BC54C8" w:rsidRPr="0014327E" w:rsidRDefault="00BC54C8" w:rsidP="00721F81">
            <w:pPr>
              <w:autoSpaceDE w:val="0"/>
              <w:autoSpaceDN w:val="0"/>
              <w:adjustRightInd w:val="0"/>
              <w:jc w:val="both"/>
              <w:rPr>
                <w:rFonts w:ascii="Times New Roman" w:hAnsi="Times New Roman" w:cs="Times New Roman"/>
                <w:sz w:val="20"/>
                <w:szCs w:val="20"/>
              </w:rPr>
            </w:pPr>
            <w:r w:rsidRPr="0014327E">
              <w:rPr>
                <w:rFonts w:ascii="Times New Roman" w:hAnsi="Times New Roman" w:cs="Times New Roman"/>
                <w:sz w:val="20"/>
                <w:szCs w:val="20"/>
              </w:rPr>
              <w:t>3.</w:t>
            </w:r>
            <w:r w:rsidRPr="0014327E">
              <w:rPr>
                <w:rFonts w:ascii="Times New Roman" w:hAnsi="Times New Roman" w:cs="Times New Roman"/>
                <w:sz w:val="20"/>
                <w:szCs w:val="20"/>
              </w:rPr>
              <w:tab/>
              <w:t>W</w:t>
            </w:r>
            <w:r>
              <w:rPr>
                <w:rFonts w:ascii="Times New Roman" w:hAnsi="Times New Roman" w:cs="Times New Roman"/>
                <w:sz w:val="20"/>
                <w:szCs w:val="20"/>
              </w:rPr>
              <w:t>GB</w:t>
            </w:r>
            <w:r w:rsidRPr="0014327E">
              <w:rPr>
                <w:rFonts w:ascii="Times New Roman" w:hAnsi="Times New Roman" w:cs="Times New Roman"/>
                <w:sz w:val="20"/>
                <w:szCs w:val="20"/>
              </w:rPr>
              <w:t xml:space="preserve"> izteikusi vēlmi saņemt statistiku par kopējo NILLTFN atbilstības pārbaužu skaitu bankās, kas koncentrējušās uz klientu – nerezidentu apkalpošanu, ietverot visus AKD pārbaužu veidus, ne tikai sākotnēji pieprasītās klātienes pārbaudes. FKTK sniegs statistiskos datus pa pārbaužu veidiem, atbilstoši EBA pārbaužu veidu klasifikācijai. Aktuālie dati pievienoti pielikumā. Papildus pārbaudes, ko nerezidentu banku NILLTFN atbilstības vērtējumam veica ASV NILLTFN konsultāciju kompānijas veiktas 12, no 13 nerezidentu bankām un patreiz bankās tiek pabeigti darbi saņemto rekomendāciju izpildē. Šo procesu uzrauga AKD, izmantojot tematiskās normatīvās atbilstības pārbaudes, gan regulārās atskaites, gan informācijas saņemšanu pēc pieprasījuma.</w:t>
            </w:r>
          </w:p>
          <w:p w14:paraId="3A283C8A" w14:textId="77777777" w:rsidR="00BC54C8" w:rsidRPr="0014327E" w:rsidRDefault="00BC54C8" w:rsidP="00721F81">
            <w:pPr>
              <w:autoSpaceDE w:val="0"/>
              <w:autoSpaceDN w:val="0"/>
              <w:adjustRightInd w:val="0"/>
              <w:jc w:val="both"/>
              <w:rPr>
                <w:rFonts w:ascii="Times New Roman" w:hAnsi="Times New Roman" w:cs="Times New Roman"/>
                <w:sz w:val="20"/>
                <w:szCs w:val="20"/>
              </w:rPr>
            </w:pPr>
            <w:r w:rsidRPr="0014327E">
              <w:rPr>
                <w:rFonts w:ascii="Times New Roman" w:hAnsi="Times New Roman" w:cs="Times New Roman"/>
                <w:sz w:val="20"/>
                <w:szCs w:val="20"/>
              </w:rPr>
              <w:t>4.</w:t>
            </w:r>
            <w:r w:rsidRPr="0014327E">
              <w:rPr>
                <w:rFonts w:ascii="Times New Roman" w:hAnsi="Times New Roman" w:cs="Times New Roman"/>
                <w:sz w:val="20"/>
                <w:szCs w:val="20"/>
              </w:rPr>
              <w:tab/>
              <w:t>W</w:t>
            </w:r>
            <w:r>
              <w:rPr>
                <w:rFonts w:ascii="Times New Roman" w:hAnsi="Times New Roman" w:cs="Times New Roman"/>
                <w:sz w:val="20"/>
                <w:szCs w:val="20"/>
              </w:rPr>
              <w:t>GB</w:t>
            </w:r>
            <w:r w:rsidRPr="0014327E">
              <w:rPr>
                <w:rFonts w:ascii="Times New Roman" w:hAnsi="Times New Roman" w:cs="Times New Roman"/>
                <w:sz w:val="20"/>
                <w:szCs w:val="20"/>
              </w:rPr>
              <w:t xml:space="preserve"> izteikusi vēlmi saņemt statistiku par bankām uzlikto soda sankciju apjomu, sakarā ar konstatēto NILLTFN neatbilstību. FKTK sniegs statistiskos datus pārskata periodā bankām uzliktajām monetārajām sankcijām par NILLTFN neatbilstību, kas kopsummā pārsniedza EUR 10.4 miljonus.</w:t>
            </w:r>
          </w:p>
          <w:p w14:paraId="34A74044" w14:textId="77777777" w:rsidR="00BC54C8" w:rsidRPr="0014327E" w:rsidRDefault="00BC54C8" w:rsidP="00721F81">
            <w:pPr>
              <w:autoSpaceDE w:val="0"/>
              <w:autoSpaceDN w:val="0"/>
              <w:adjustRightInd w:val="0"/>
              <w:jc w:val="both"/>
              <w:rPr>
                <w:rFonts w:ascii="Times New Roman" w:hAnsi="Times New Roman" w:cs="Times New Roman"/>
                <w:sz w:val="20"/>
                <w:szCs w:val="20"/>
              </w:rPr>
            </w:pPr>
            <w:r w:rsidRPr="0014327E">
              <w:rPr>
                <w:rFonts w:ascii="Times New Roman" w:hAnsi="Times New Roman" w:cs="Times New Roman"/>
                <w:sz w:val="20"/>
                <w:szCs w:val="20"/>
              </w:rPr>
              <w:t>5.</w:t>
            </w:r>
            <w:r w:rsidRPr="0014327E">
              <w:rPr>
                <w:rFonts w:ascii="Times New Roman" w:hAnsi="Times New Roman" w:cs="Times New Roman"/>
                <w:sz w:val="20"/>
                <w:szCs w:val="20"/>
              </w:rPr>
              <w:tab/>
              <w:t>W</w:t>
            </w:r>
            <w:r>
              <w:rPr>
                <w:rFonts w:ascii="Times New Roman" w:hAnsi="Times New Roman" w:cs="Times New Roman"/>
                <w:sz w:val="20"/>
                <w:szCs w:val="20"/>
              </w:rPr>
              <w:t>GB</w:t>
            </w:r>
            <w:r w:rsidRPr="0014327E">
              <w:rPr>
                <w:rFonts w:ascii="Times New Roman" w:hAnsi="Times New Roman" w:cs="Times New Roman"/>
                <w:sz w:val="20"/>
                <w:szCs w:val="20"/>
              </w:rPr>
              <w:t xml:space="preserve"> izteikusi vēlmi saņemt informāciju par bankām, kas NILLTFN neatbilstības dēļ zaudējušas licenci. FKTK sniegs atbildi norādot, ka kredītiestādes darbībai nepieciešamo licenci ir zaudējusi AS Trasta Komercbanka, jo tās pieļautie trūkumi NILLTFN atbilstības nodrošinājumā, radīja normatīvo (</w:t>
            </w:r>
            <w:proofErr w:type="spellStart"/>
            <w:r w:rsidRPr="0014327E">
              <w:rPr>
                <w:rFonts w:ascii="Times New Roman" w:hAnsi="Times New Roman" w:cs="Times New Roman"/>
                <w:sz w:val="20"/>
                <w:szCs w:val="20"/>
              </w:rPr>
              <w:t>prudenciālo</w:t>
            </w:r>
            <w:proofErr w:type="spellEnd"/>
            <w:r w:rsidRPr="0014327E">
              <w:rPr>
                <w:rFonts w:ascii="Times New Roman" w:hAnsi="Times New Roman" w:cs="Times New Roman"/>
                <w:sz w:val="20"/>
                <w:szCs w:val="20"/>
              </w:rPr>
              <w:t>) prasību neizpildi.</w:t>
            </w:r>
          </w:p>
          <w:p w14:paraId="0F594B25" w14:textId="77777777" w:rsidR="00BC54C8" w:rsidRPr="0014327E" w:rsidRDefault="00BC54C8" w:rsidP="00721F81">
            <w:pPr>
              <w:autoSpaceDE w:val="0"/>
              <w:autoSpaceDN w:val="0"/>
              <w:adjustRightInd w:val="0"/>
              <w:jc w:val="both"/>
              <w:rPr>
                <w:rFonts w:ascii="Times New Roman" w:hAnsi="Times New Roman" w:cs="Times New Roman"/>
                <w:sz w:val="20"/>
                <w:szCs w:val="20"/>
              </w:rPr>
            </w:pPr>
            <w:r w:rsidRPr="0014327E">
              <w:rPr>
                <w:rFonts w:ascii="Times New Roman" w:hAnsi="Times New Roman" w:cs="Times New Roman"/>
                <w:sz w:val="20"/>
                <w:szCs w:val="20"/>
              </w:rPr>
              <w:t>6.</w:t>
            </w:r>
            <w:r w:rsidRPr="0014327E">
              <w:rPr>
                <w:rFonts w:ascii="Times New Roman" w:hAnsi="Times New Roman" w:cs="Times New Roman"/>
                <w:sz w:val="20"/>
                <w:szCs w:val="20"/>
              </w:rPr>
              <w:tab/>
              <w:t>W</w:t>
            </w:r>
            <w:r>
              <w:rPr>
                <w:rFonts w:ascii="Times New Roman" w:hAnsi="Times New Roman" w:cs="Times New Roman"/>
                <w:sz w:val="20"/>
                <w:szCs w:val="20"/>
              </w:rPr>
              <w:t>GB</w:t>
            </w:r>
            <w:r w:rsidRPr="0014327E">
              <w:rPr>
                <w:rFonts w:ascii="Times New Roman" w:hAnsi="Times New Roman" w:cs="Times New Roman"/>
                <w:sz w:val="20"/>
                <w:szCs w:val="20"/>
              </w:rPr>
              <w:t xml:space="preserve"> vēlas saņemt skaidrojumu par iemesliem, kāpēc ne Latvijas komercbankas, ne regulators nebija spējis</w:t>
            </w:r>
            <w:proofErr w:type="gramStart"/>
            <w:r w:rsidRPr="0014327E">
              <w:rPr>
                <w:rFonts w:ascii="Times New Roman" w:hAnsi="Times New Roman" w:cs="Times New Roman"/>
                <w:sz w:val="20"/>
                <w:szCs w:val="20"/>
              </w:rPr>
              <w:t xml:space="preserve">  </w:t>
            </w:r>
            <w:proofErr w:type="gramEnd"/>
            <w:r w:rsidRPr="0014327E">
              <w:rPr>
                <w:rFonts w:ascii="Times New Roman" w:hAnsi="Times New Roman" w:cs="Times New Roman"/>
                <w:sz w:val="20"/>
                <w:szCs w:val="20"/>
              </w:rPr>
              <w:t>(pēc stāvokļa uz 2015. gada beigām) identificēt lielas noziedzīgo darījumu shēmas, kas veiktas caur Latvijas finanšu sistēmu. FKTK sniegs atbildi norādot, ka līdz AKD izveidošanai 01.04.2016.,</w:t>
            </w:r>
            <w:proofErr w:type="gramStart"/>
            <w:r w:rsidRPr="0014327E">
              <w:rPr>
                <w:rFonts w:ascii="Times New Roman" w:hAnsi="Times New Roman" w:cs="Times New Roman"/>
                <w:sz w:val="20"/>
                <w:szCs w:val="20"/>
              </w:rPr>
              <w:t xml:space="preserve">  </w:t>
            </w:r>
            <w:proofErr w:type="gramEnd"/>
            <w:r w:rsidRPr="0014327E">
              <w:rPr>
                <w:rFonts w:ascii="Times New Roman" w:hAnsi="Times New Roman" w:cs="Times New Roman"/>
                <w:sz w:val="20"/>
                <w:szCs w:val="20"/>
              </w:rPr>
              <w:t>FKTK rīcībā nebija pietiekamu resursu, lai sekmīgi uzraudzītu paaugstināto NILLTF risku, ko bija uzņēmušās L</w:t>
            </w:r>
            <w:r>
              <w:rPr>
                <w:rFonts w:ascii="Times New Roman" w:hAnsi="Times New Roman" w:cs="Times New Roman"/>
                <w:sz w:val="20"/>
                <w:szCs w:val="20"/>
              </w:rPr>
              <w:t>atvijas</w:t>
            </w:r>
            <w:r w:rsidRPr="0014327E">
              <w:rPr>
                <w:rFonts w:ascii="Times New Roman" w:hAnsi="Times New Roman" w:cs="Times New Roman"/>
                <w:sz w:val="20"/>
                <w:szCs w:val="20"/>
              </w:rPr>
              <w:t xml:space="preserve"> komercbankās, kuru iekšējās kontroles sistēmas nebija atbilstošas paaugstināta NILLTF riska pārvaldībai, tostarp aizdomīgo darījumu savlaicīgai identifikācijai.</w:t>
            </w:r>
          </w:p>
          <w:p w14:paraId="741BCA02" w14:textId="1E46EC1E" w:rsidR="00BC54C8" w:rsidRPr="00721F81" w:rsidRDefault="00BC54C8" w:rsidP="00721F81">
            <w:pPr>
              <w:autoSpaceDE w:val="0"/>
              <w:autoSpaceDN w:val="0"/>
              <w:adjustRightInd w:val="0"/>
              <w:jc w:val="both"/>
              <w:rPr>
                <w:rFonts w:ascii="Times New Roman" w:hAnsi="Times New Roman" w:cs="Times New Roman"/>
                <w:sz w:val="20"/>
                <w:szCs w:val="20"/>
              </w:rPr>
            </w:pPr>
            <w:r w:rsidRPr="0014327E">
              <w:rPr>
                <w:rFonts w:ascii="Times New Roman" w:hAnsi="Times New Roman" w:cs="Times New Roman"/>
                <w:sz w:val="20"/>
                <w:szCs w:val="20"/>
              </w:rPr>
              <w:t>7.</w:t>
            </w:r>
            <w:r w:rsidRPr="0014327E">
              <w:rPr>
                <w:rFonts w:ascii="Times New Roman" w:hAnsi="Times New Roman" w:cs="Times New Roman"/>
                <w:sz w:val="20"/>
                <w:szCs w:val="20"/>
              </w:rPr>
              <w:tab/>
              <w:t xml:space="preserve">Attiecībā uz rekomendāciju 8 d) (v), FKTK </w:t>
            </w:r>
            <w:proofErr w:type="gramStart"/>
            <w:r w:rsidRPr="0014327E">
              <w:rPr>
                <w:rFonts w:ascii="Times New Roman" w:hAnsi="Times New Roman" w:cs="Times New Roman"/>
                <w:sz w:val="20"/>
                <w:szCs w:val="20"/>
              </w:rPr>
              <w:t>augstāk minēto</w:t>
            </w:r>
            <w:proofErr w:type="gramEnd"/>
            <w:r w:rsidRPr="0014327E">
              <w:rPr>
                <w:rFonts w:ascii="Times New Roman" w:hAnsi="Times New Roman" w:cs="Times New Roman"/>
                <w:sz w:val="20"/>
                <w:szCs w:val="20"/>
              </w:rPr>
              <w:t xml:space="preserve"> pasākumu ietvaros ir veikusi tās kompetencē esošās darbības, sodot gan kredītiestādes, gan atsevišķos gadījumos arī to vadības pārstāvjus, kas pieļāvuši NILLTFN likuma prasības.</w:t>
            </w:r>
            <w:r w:rsidR="00721F81" w:rsidRPr="0014327E" w:rsidDel="00721F81">
              <w:rPr>
                <w:rFonts w:ascii="Times New Roman" w:hAnsi="Times New Roman" w:cs="Times New Roman"/>
                <w:sz w:val="20"/>
                <w:szCs w:val="20"/>
              </w:rPr>
              <w:t xml:space="preserve"> </w:t>
            </w:r>
          </w:p>
        </w:tc>
        <w:tc>
          <w:tcPr>
            <w:tcW w:w="1078" w:type="dxa"/>
            <w:shd w:val="clear" w:color="auto" w:fill="FFFFFF" w:themeFill="background1"/>
          </w:tcPr>
          <w:p w14:paraId="6921B200" w14:textId="77777777" w:rsidR="00BC54C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FKTK</w:t>
            </w:r>
          </w:p>
        </w:tc>
        <w:tc>
          <w:tcPr>
            <w:tcW w:w="1053" w:type="dxa"/>
            <w:shd w:val="clear" w:color="auto" w:fill="FFFFFF" w:themeFill="background1"/>
          </w:tcPr>
          <w:p w14:paraId="4CB68CD4" w14:textId="77777777" w:rsidR="00BC54C8" w:rsidRPr="001A345A" w:rsidRDefault="00BC54C8" w:rsidP="00721F81">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2018.gada</w:t>
            </w:r>
            <w:proofErr w:type="gramEnd"/>
            <w:r>
              <w:rPr>
                <w:rFonts w:ascii="Times New Roman" w:hAnsi="Times New Roman" w:cs="Times New Roman"/>
                <w:sz w:val="20"/>
                <w:szCs w:val="20"/>
              </w:rPr>
              <w:t xml:space="preserve"> 1.oktobris</w:t>
            </w:r>
          </w:p>
        </w:tc>
      </w:tr>
      <w:tr w:rsidR="00BC54C8" w14:paraId="765BCE60" w14:textId="77777777" w:rsidTr="00DD0B78">
        <w:tc>
          <w:tcPr>
            <w:tcW w:w="3064" w:type="dxa"/>
            <w:shd w:val="clear" w:color="auto" w:fill="FFFFFF" w:themeFill="background1"/>
          </w:tcPr>
          <w:p w14:paraId="11E26E91" w14:textId="77777777" w:rsidR="00BC54C8" w:rsidRDefault="00BC54C8" w:rsidP="00721F81">
            <w:pPr>
              <w:autoSpaceDE w:val="0"/>
              <w:autoSpaceDN w:val="0"/>
              <w:adjustRightInd w:val="0"/>
              <w:jc w:val="both"/>
              <w:rPr>
                <w:rFonts w:ascii="Times New Roman" w:hAnsi="Times New Roman" w:cs="Times New Roman"/>
                <w:sz w:val="20"/>
                <w:szCs w:val="20"/>
              </w:rPr>
            </w:pPr>
            <w:r w:rsidRPr="00311C35">
              <w:rPr>
                <w:rFonts w:ascii="Times New Roman" w:hAnsi="Times New Roman" w:cs="Times New Roman"/>
                <w:sz w:val="20"/>
                <w:szCs w:val="20"/>
              </w:rPr>
              <w:lastRenderedPageBreak/>
              <w:t xml:space="preserve">8. Attiecībā uz noziedzīgi iegūtu līdzekļu legalizāciju WGB rekomendē, lai Latvija: </w:t>
            </w:r>
          </w:p>
          <w:p w14:paraId="36B85F22" w14:textId="77777777" w:rsidR="00BC54C8" w:rsidRDefault="00BC54C8" w:rsidP="00721F81">
            <w:pPr>
              <w:autoSpaceDE w:val="0"/>
              <w:autoSpaceDN w:val="0"/>
              <w:adjustRightInd w:val="0"/>
              <w:jc w:val="both"/>
              <w:rPr>
                <w:rFonts w:ascii="Times New Roman" w:hAnsi="Times New Roman" w:cs="Times New Roman"/>
                <w:sz w:val="20"/>
                <w:szCs w:val="20"/>
              </w:rPr>
            </w:pPr>
            <w:r w:rsidRPr="0009432A">
              <w:rPr>
                <w:rFonts w:ascii="Times New Roman" w:hAnsi="Times New Roman" w:cs="Times New Roman"/>
                <w:sz w:val="20"/>
                <w:szCs w:val="20"/>
              </w:rPr>
              <w:t>(e)</w:t>
            </w:r>
            <w:r w:rsidRPr="0009432A">
              <w:rPr>
                <w:rFonts w:ascii="Times New Roman" w:hAnsi="Times New Roman" w:cs="Times New Roman"/>
                <w:sz w:val="20"/>
                <w:szCs w:val="20"/>
              </w:rPr>
              <w:tab/>
              <w:t xml:space="preserve">veic neatliekamus pasākumus, lai veicinātu saukšanu pie atbildības par noziedzīgi iegūtu līdzekļu legalizāciju (Konvencijas </w:t>
            </w:r>
            <w:proofErr w:type="gramStart"/>
            <w:r w:rsidRPr="0009432A">
              <w:rPr>
                <w:rFonts w:ascii="Times New Roman" w:hAnsi="Times New Roman" w:cs="Times New Roman"/>
                <w:sz w:val="20"/>
                <w:szCs w:val="20"/>
              </w:rPr>
              <w:t>7.pants</w:t>
            </w:r>
            <w:proofErr w:type="gramEnd"/>
            <w:r w:rsidRPr="0009432A">
              <w:rPr>
                <w:rFonts w:ascii="Times New Roman" w:hAnsi="Times New Roman" w:cs="Times New Roman"/>
                <w:sz w:val="20"/>
                <w:szCs w:val="20"/>
              </w:rPr>
              <w:t>; 2009.gada Rekomendācija III(ii)).</w:t>
            </w:r>
          </w:p>
        </w:tc>
        <w:tc>
          <w:tcPr>
            <w:tcW w:w="7371" w:type="dxa"/>
            <w:tcBorders>
              <w:bottom w:val="single" w:sz="4" w:space="0" w:color="auto"/>
            </w:tcBorders>
            <w:shd w:val="clear" w:color="auto" w:fill="FFFFFF" w:themeFill="background1"/>
          </w:tcPr>
          <w:p w14:paraId="5A266681" w14:textId="77777777" w:rsidR="00BC54C8" w:rsidRPr="00B90239" w:rsidRDefault="00BC54C8" w:rsidP="00721F81">
            <w:pPr>
              <w:autoSpaceDE w:val="0"/>
              <w:autoSpaceDN w:val="0"/>
              <w:adjustRightInd w:val="0"/>
              <w:jc w:val="both"/>
              <w:rPr>
                <w:rFonts w:ascii="Times New Roman" w:hAnsi="Times New Roman" w:cs="Times New Roman"/>
                <w:sz w:val="20"/>
                <w:szCs w:val="20"/>
              </w:rPr>
            </w:pPr>
            <w:r w:rsidRPr="00B90239">
              <w:rPr>
                <w:rFonts w:ascii="Times New Roman" w:hAnsi="Times New Roman" w:cs="Times New Roman"/>
                <w:sz w:val="20"/>
                <w:szCs w:val="20"/>
              </w:rPr>
              <w:t>Ar Ģenerālprokuratūras Krimināltiesiskā departamenta virsprokurora 03.01.2018 rīkojumu Nr. P-110-103-2018-00006 noziedzīgi iegūtu līdzekļu legalizēšana (Krimināllikuma 195.pants) noteikta kā īpaši aktuālu krimināllietu kategorija.</w:t>
            </w:r>
          </w:p>
          <w:p w14:paraId="0E3743D3"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B90239">
              <w:rPr>
                <w:rFonts w:ascii="Times New Roman" w:hAnsi="Times New Roman" w:cs="Times New Roman"/>
                <w:sz w:val="20"/>
                <w:szCs w:val="20"/>
              </w:rPr>
              <w:t>Paredzēts</w:t>
            </w:r>
            <w:r>
              <w:rPr>
                <w:rFonts w:ascii="Times New Roman" w:hAnsi="Times New Roman" w:cs="Times New Roman"/>
                <w:sz w:val="20"/>
                <w:szCs w:val="20"/>
              </w:rPr>
              <w:t xml:space="preserve"> ir a</w:t>
            </w:r>
            <w:r w:rsidRPr="00B90239">
              <w:rPr>
                <w:rFonts w:ascii="Times New Roman" w:hAnsi="Times New Roman" w:cs="Times New Roman"/>
                <w:sz w:val="20"/>
                <w:szCs w:val="20"/>
              </w:rPr>
              <w:t xml:space="preserve">pzināt Prokuratūras struktūrvienībās problēmas, kas kavē saukšanu pie kriminālatbildības par noziedzīgi iegūtu līdzekļu legalizēšanu (termiņš – </w:t>
            </w:r>
            <w:r>
              <w:rPr>
                <w:rFonts w:ascii="Times New Roman" w:hAnsi="Times New Roman" w:cs="Times New Roman"/>
                <w:sz w:val="20"/>
                <w:szCs w:val="20"/>
              </w:rPr>
              <w:t>15</w:t>
            </w:r>
            <w:r w:rsidRPr="00B90239">
              <w:rPr>
                <w:rFonts w:ascii="Times New Roman" w:hAnsi="Times New Roman" w:cs="Times New Roman"/>
                <w:sz w:val="20"/>
                <w:szCs w:val="20"/>
              </w:rPr>
              <w:t>.0</w:t>
            </w:r>
            <w:r>
              <w:rPr>
                <w:rFonts w:ascii="Times New Roman" w:hAnsi="Times New Roman" w:cs="Times New Roman"/>
                <w:sz w:val="20"/>
                <w:szCs w:val="20"/>
              </w:rPr>
              <w:t>5</w:t>
            </w:r>
            <w:r w:rsidRPr="00B90239">
              <w:rPr>
                <w:rFonts w:ascii="Times New Roman" w:hAnsi="Times New Roman" w:cs="Times New Roman"/>
                <w:sz w:val="20"/>
                <w:szCs w:val="20"/>
              </w:rPr>
              <w:t>.2018.). Atkarībā no konstatēto problēmu rakstura, noteikt veicamos pasākumus.</w:t>
            </w:r>
          </w:p>
        </w:tc>
        <w:tc>
          <w:tcPr>
            <w:tcW w:w="1078" w:type="dxa"/>
            <w:tcBorders>
              <w:bottom w:val="single" w:sz="4" w:space="0" w:color="auto"/>
            </w:tcBorders>
            <w:shd w:val="clear" w:color="auto" w:fill="FFFFFF" w:themeFill="background1"/>
          </w:tcPr>
          <w:p w14:paraId="7931AAC6" w14:textId="77777777" w:rsidR="00BC54C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ĢP</w:t>
            </w:r>
          </w:p>
        </w:tc>
        <w:tc>
          <w:tcPr>
            <w:tcW w:w="1053" w:type="dxa"/>
            <w:tcBorders>
              <w:bottom w:val="single" w:sz="4" w:space="0" w:color="auto"/>
            </w:tcBorders>
            <w:shd w:val="clear" w:color="auto" w:fill="FFFFFF" w:themeFill="background1"/>
          </w:tcPr>
          <w:p w14:paraId="017165D2" w14:textId="77777777" w:rsidR="00BC54C8" w:rsidRDefault="00BC54C8" w:rsidP="00721F81">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2018.gada</w:t>
            </w:r>
            <w:proofErr w:type="gramEnd"/>
            <w:r>
              <w:rPr>
                <w:rFonts w:ascii="Times New Roman" w:hAnsi="Times New Roman" w:cs="Times New Roman"/>
                <w:sz w:val="20"/>
                <w:szCs w:val="20"/>
              </w:rPr>
              <w:t xml:space="preserve"> 1.oktobris</w:t>
            </w:r>
          </w:p>
        </w:tc>
      </w:tr>
      <w:tr w:rsidR="00BC54C8" w14:paraId="40B47B2C" w14:textId="77777777" w:rsidTr="00DD0B78">
        <w:tc>
          <w:tcPr>
            <w:tcW w:w="3064" w:type="dxa"/>
            <w:shd w:val="clear" w:color="auto" w:fill="FFFFFF" w:themeFill="background1"/>
          </w:tcPr>
          <w:p w14:paraId="3B0935B5" w14:textId="77777777" w:rsidR="00BC54C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9. Attiecībā uz ārvalstu amatpersonu kukuļošanas un ar to saistīto noziedzīgo nodarījumu izmeklēšanu un kriminālvajāšanu WGB rekomendē, lai Latvija:</w:t>
            </w:r>
          </w:p>
          <w:p w14:paraId="6B5E374B"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 xml:space="preserve">(c) nodrošina regulāras apmācības KNAB, prokuratūras un tiesu varas pārstāvjiem par </w:t>
            </w:r>
          </w:p>
          <w:p w14:paraId="187C3095"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 xml:space="preserve">(i) ārvalstu amatpersonu kukuļošanu un ar to saistītiem noziedzīgiem nodarījumiem, </w:t>
            </w:r>
          </w:p>
          <w:p w14:paraId="6F60932D"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 xml:space="preserve">(ii) juridisko personu atbildību; </w:t>
            </w:r>
          </w:p>
          <w:p w14:paraId="66FB1763"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 xml:space="preserve">(iii) konfiskācijas pasākumiem; </w:t>
            </w:r>
          </w:p>
          <w:p w14:paraId="49BD1C7D"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 xml:space="preserve">(iv) izmeklēšanas metodēm, ieskaitot grāmatvedības un informācijas tehnoloģiju ekspertīzes un </w:t>
            </w:r>
          </w:p>
          <w:p w14:paraId="76FAB3FC" w14:textId="77777777" w:rsidR="00BC54C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 xml:space="preserve">(v) vienošanās piemērošana ārvalstu amatpersonu kukuļošanas lietās, ieskaitot </w:t>
            </w:r>
            <w:proofErr w:type="gramStart"/>
            <w:r w:rsidRPr="00770018">
              <w:rPr>
                <w:rFonts w:ascii="Times New Roman" w:hAnsi="Times New Roman" w:cs="Times New Roman"/>
                <w:sz w:val="20"/>
                <w:szCs w:val="20"/>
              </w:rPr>
              <w:t>2014.gadā</w:t>
            </w:r>
            <w:proofErr w:type="gramEnd"/>
            <w:r w:rsidRPr="00770018">
              <w:rPr>
                <w:rFonts w:ascii="Times New Roman" w:hAnsi="Times New Roman" w:cs="Times New Roman"/>
                <w:sz w:val="20"/>
                <w:szCs w:val="20"/>
              </w:rPr>
              <w:t xml:space="preserve"> izdotās vadlīnijas par atbrīvošanu no kriminālatbildības par kukuļošanu (Konvencijas 5.pants un 27.komentārs; 2009.gada Rekomendācija II un V un I Pielikums D);</w:t>
            </w:r>
          </w:p>
          <w:p w14:paraId="0AD7BCD1" w14:textId="77777777" w:rsidR="00BC54C8" w:rsidRPr="0009432A" w:rsidRDefault="00BC54C8" w:rsidP="00721F81">
            <w:pPr>
              <w:autoSpaceDE w:val="0"/>
              <w:autoSpaceDN w:val="0"/>
              <w:adjustRightInd w:val="0"/>
              <w:jc w:val="both"/>
              <w:rPr>
                <w:rFonts w:ascii="Times New Roman" w:hAnsi="Times New Roman" w:cs="Times New Roman"/>
                <w:sz w:val="20"/>
                <w:szCs w:val="20"/>
              </w:rPr>
            </w:pPr>
          </w:p>
        </w:tc>
        <w:tc>
          <w:tcPr>
            <w:tcW w:w="7371" w:type="dxa"/>
            <w:tcBorders>
              <w:bottom w:val="single" w:sz="4" w:space="0" w:color="auto"/>
            </w:tcBorders>
            <w:shd w:val="clear" w:color="auto" w:fill="FFFFFF" w:themeFill="background1"/>
          </w:tcPr>
          <w:p w14:paraId="1173518E" w14:textId="77777777" w:rsidR="00BC54C8" w:rsidRPr="00B90239" w:rsidRDefault="00BC54C8" w:rsidP="00721F81">
            <w:pPr>
              <w:autoSpaceDE w:val="0"/>
              <w:autoSpaceDN w:val="0"/>
              <w:adjustRightInd w:val="0"/>
              <w:jc w:val="both"/>
              <w:rPr>
                <w:rFonts w:ascii="Times New Roman" w:hAnsi="Times New Roman" w:cs="Times New Roman"/>
                <w:sz w:val="20"/>
                <w:szCs w:val="20"/>
              </w:rPr>
            </w:pPr>
            <w:r w:rsidRPr="00B90239">
              <w:rPr>
                <w:rFonts w:ascii="Times New Roman" w:hAnsi="Times New Roman" w:cs="Times New Roman"/>
                <w:sz w:val="20"/>
                <w:szCs w:val="20"/>
              </w:rPr>
              <w:t>Projekta „Tiesu varas un tiesībaizsardzības iestāžu darbinieku cilvēkresursu kapacitātes stiprināšana” ietvaros tiks īstenotas apmācības tiesnešiem un prokuroriem.</w:t>
            </w:r>
          </w:p>
          <w:p w14:paraId="100C6DD6" w14:textId="77777777" w:rsidR="00BC54C8" w:rsidRPr="00B90239" w:rsidRDefault="00BC54C8" w:rsidP="00721F81">
            <w:pPr>
              <w:autoSpaceDE w:val="0"/>
              <w:autoSpaceDN w:val="0"/>
              <w:adjustRightInd w:val="0"/>
              <w:jc w:val="both"/>
              <w:rPr>
                <w:rFonts w:ascii="Times New Roman" w:hAnsi="Times New Roman" w:cs="Times New Roman"/>
                <w:sz w:val="20"/>
                <w:szCs w:val="20"/>
              </w:rPr>
            </w:pPr>
            <w:r w:rsidRPr="00B90239">
              <w:rPr>
                <w:rFonts w:ascii="Times New Roman" w:hAnsi="Times New Roman" w:cs="Times New Roman"/>
                <w:sz w:val="20"/>
                <w:szCs w:val="20"/>
              </w:rPr>
              <w:t>Savukārt KNAB un Latvijas Republikas Prokuratūras darbinieki var piedalīties apmācības, kas tiek īstenotas</w:t>
            </w:r>
            <w:proofErr w:type="gramStart"/>
            <w:r w:rsidRPr="00B90239">
              <w:rPr>
                <w:rFonts w:ascii="Times New Roman" w:hAnsi="Times New Roman" w:cs="Times New Roman"/>
                <w:sz w:val="20"/>
                <w:szCs w:val="20"/>
              </w:rPr>
              <w:t xml:space="preserve">  </w:t>
            </w:r>
            <w:proofErr w:type="gramEnd"/>
            <w:r w:rsidRPr="00B90239">
              <w:rPr>
                <w:rFonts w:ascii="Times New Roman" w:hAnsi="Times New Roman" w:cs="Times New Roman"/>
                <w:sz w:val="20"/>
                <w:szCs w:val="20"/>
              </w:rPr>
              <w:t xml:space="preserve">VAS projekta Nr.3.4.2.0/15/I/002  “Valsts pārvaldes cilvēkresursu profesionālā pilnveide korupcijas novēršanas un ēnu ekonomikas mazināšanas jomā” ietvaros.   </w:t>
            </w:r>
          </w:p>
          <w:p w14:paraId="47DE5587"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B90239">
              <w:rPr>
                <w:rFonts w:ascii="Times New Roman" w:hAnsi="Times New Roman" w:cs="Times New Roman"/>
                <w:sz w:val="20"/>
                <w:szCs w:val="20"/>
              </w:rPr>
              <w:t xml:space="preserve"> </w:t>
            </w:r>
          </w:p>
        </w:tc>
        <w:tc>
          <w:tcPr>
            <w:tcW w:w="1078" w:type="dxa"/>
            <w:tcBorders>
              <w:bottom w:val="single" w:sz="4" w:space="0" w:color="auto"/>
            </w:tcBorders>
            <w:shd w:val="clear" w:color="auto" w:fill="FFFFFF" w:themeFill="background1"/>
          </w:tcPr>
          <w:p w14:paraId="3783EB05" w14:textId="77777777" w:rsidR="00BC54C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TA,</w:t>
            </w:r>
            <w:r w:rsidRPr="00770018">
              <w:rPr>
                <w:rFonts w:ascii="Times New Roman" w:hAnsi="Times New Roman" w:cs="Times New Roman"/>
                <w:sz w:val="20"/>
                <w:szCs w:val="20"/>
              </w:rPr>
              <w:t xml:space="preserve"> VAS</w:t>
            </w:r>
            <w:r>
              <w:rPr>
                <w:rFonts w:ascii="Times New Roman" w:hAnsi="Times New Roman" w:cs="Times New Roman"/>
                <w:sz w:val="20"/>
                <w:szCs w:val="20"/>
              </w:rPr>
              <w:t xml:space="preserve">, </w:t>
            </w:r>
            <w:r w:rsidRPr="00770018">
              <w:rPr>
                <w:rFonts w:ascii="Times New Roman" w:hAnsi="Times New Roman" w:cs="Times New Roman"/>
                <w:sz w:val="20"/>
                <w:szCs w:val="20"/>
              </w:rPr>
              <w:t>KNAB, TM</w:t>
            </w:r>
          </w:p>
        </w:tc>
        <w:tc>
          <w:tcPr>
            <w:tcW w:w="1053" w:type="dxa"/>
            <w:tcBorders>
              <w:bottom w:val="single" w:sz="4" w:space="0" w:color="auto"/>
            </w:tcBorders>
            <w:shd w:val="clear" w:color="auto" w:fill="FFFFFF" w:themeFill="background1"/>
          </w:tcPr>
          <w:p w14:paraId="5ADBE386" w14:textId="77777777" w:rsidR="00BC54C8" w:rsidRDefault="00BC54C8" w:rsidP="00721F81">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2019.gada</w:t>
            </w:r>
            <w:proofErr w:type="gramEnd"/>
            <w:r>
              <w:rPr>
                <w:rFonts w:ascii="Times New Roman" w:hAnsi="Times New Roman" w:cs="Times New Roman"/>
                <w:sz w:val="20"/>
                <w:szCs w:val="20"/>
              </w:rPr>
              <w:t xml:space="preserve"> 1.janvāris</w:t>
            </w:r>
          </w:p>
        </w:tc>
      </w:tr>
      <w:tr w:rsidR="00BC54C8" w14:paraId="3C72EEF3" w14:textId="77777777" w:rsidTr="00DD0B78">
        <w:tc>
          <w:tcPr>
            <w:tcW w:w="3064" w:type="dxa"/>
            <w:shd w:val="clear" w:color="auto" w:fill="FFFFFF" w:themeFill="background1"/>
          </w:tcPr>
          <w:p w14:paraId="66E62B9C"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10.</w:t>
            </w:r>
            <w:r w:rsidRPr="00770018">
              <w:rPr>
                <w:rFonts w:ascii="Times New Roman" w:hAnsi="Times New Roman" w:cs="Times New Roman"/>
                <w:sz w:val="20"/>
                <w:szCs w:val="20"/>
              </w:rPr>
              <w:tab/>
              <w:t>Attiecībā uz KNAB spējām un neatkarību WGB rekomendē, lai Latvija:</w:t>
            </w:r>
          </w:p>
          <w:p w14:paraId="2723FDB4"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(a)</w:t>
            </w:r>
            <w:r w:rsidRPr="00770018">
              <w:rPr>
                <w:rFonts w:ascii="Times New Roman" w:hAnsi="Times New Roman" w:cs="Times New Roman"/>
                <w:sz w:val="20"/>
                <w:szCs w:val="20"/>
              </w:rPr>
              <w:tab/>
              <w:t xml:space="preserve">nodrošina, ka personāla jautājumi netraucē KNAB spējai izmeklēt ārvalstu amatpersonu </w:t>
            </w:r>
            <w:r w:rsidRPr="00770018">
              <w:rPr>
                <w:rFonts w:ascii="Times New Roman" w:hAnsi="Times New Roman" w:cs="Times New Roman"/>
                <w:sz w:val="20"/>
                <w:szCs w:val="20"/>
              </w:rPr>
              <w:lastRenderedPageBreak/>
              <w:t xml:space="preserve">kukuļošanu (Konvencijas </w:t>
            </w:r>
            <w:proofErr w:type="gramStart"/>
            <w:r w:rsidRPr="00770018">
              <w:rPr>
                <w:rFonts w:ascii="Times New Roman" w:hAnsi="Times New Roman" w:cs="Times New Roman"/>
                <w:sz w:val="20"/>
                <w:szCs w:val="20"/>
              </w:rPr>
              <w:t>5.pants</w:t>
            </w:r>
            <w:proofErr w:type="gramEnd"/>
            <w:r w:rsidRPr="00770018">
              <w:rPr>
                <w:rFonts w:ascii="Times New Roman" w:hAnsi="Times New Roman" w:cs="Times New Roman"/>
                <w:sz w:val="20"/>
                <w:szCs w:val="20"/>
              </w:rPr>
              <w:t xml:space="preserve"> un 27.komentārs; 2009.gada Rekomendācija II, III(i), V un I Pielikums D);</w:t>
            </w:r>
          </w:p>
        </w:tc>
        <w:tc>
          <w:tcPr>
            <w:tcW w:w="7371" w:type="dxa"/>
            <w:tcBorders>
              <w:bottom w:val="single" w:sz="4" w:space="0" w:color="auto"/>
            </w:tcBorders>
            <w:shd w:val="clear" w:color="auto" w:fill="FFFFFF" w:themeFill="background1"/>
          </w:tcPr>
          <w:p w14:paraId="2AC8A9CD"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E359D6">
              <w:rPr>
                <w:rFonts w:ascii="Times New Roman" w:hAnsi="Times New Roman" w:cs="Times New Roman"/>
                <w:sz w:val="20"/>
                <w:szCs w:val="20"/>
              </w:rPr>
              <w:lastRenderedPageBreak/>
              <w:t>Rast iespēju palielināt atalgojuma apmēru KNAB amatpersonām, kā arī nodrošināt vakanču aizpildīšanu gan izmeklēšanas un operatīvo funkciju nodrošināšanai, gan arī analītiskās kapacitātes nodrošināšanai.</w:t>
            </w:r>
          </w:p>
        </w:tc>
        <w:tc>
          <w:tcPr>
            <w:tcW w:w="1078" w:type="dxa"/>
            <w:tcBorders>
              <w:bottom w:val="single" w:sz="4" w:space="0" w:color="auto"/>
            </w:tcBorders>
            <w:shd w:val="clear" w:color="auto" w:fill="FFFFFF" w:themeFill="background1"/>
          </w:tcPr>
          <w:p w14:paraId="6F26D4EB"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KNAB</w:t>
            </w:r>
          </w:p>
        </w:tc>
        <w:tc>
          <w:tcPr>
            <w:tcW w:w="1053" w:type="dxa"/>
            <w:tcBorders>
              <w:bottom w:val="single" w:sz="4" w:space="0" w:color="auto"/>
            </w:tcBorders>
            <w:shd w:val="clear" w:color="auto" w:fill="FFFFFF" w:themeFill="background1"/>
          </w:tcPr>
          <w:p w14:paraId="3FC32518" w14:textId="77777777" w:rsidR="00BC54C8" w:rsidRDefault="00BC54C8" w:rsidP="00721F81">
            <w:pPr>
              <w:autoSpaceDE w:val="0"/>
              <w:autoSpaceDN w:val="0"/>
              <w:adjustRightInd w:val="0"/>
              <w:jc w:val="both"/>
              <w:rPr>
                <w:rFonts w:ascii="Times New Roman" w:hAnsi="Times New Roman" w:cs="Times New Roman"/>
                <w:sz w:val="20"/>
                <w:szCs w:val="20"/>
              </w:rPr>
            </w:pPr>
            <w:proofErr w:type="gramStart"/>
            <w:r w:rsidRPr="00770018">
              <w:rPr>
                <w:rFonts w:ascii="Times New Roman" w:hAnsi="Times New Roman" w:cs="Times New Roman"/>
                <w:sz w:val="20"/>
                <w:szCs w:val="20"/>
              </w:rPr>
              <w:t>2018.gada</w:t>
            </w:r>
            <w:proofErr w:type="gramEnd"/>
            <w:r w:rsidRPr="00770018">
              <w:rPr>
                <w:rFonts w:ascii="Times New Roman" w:hAnsi="Times New Roman" w:cs="Times New Roman"/>
                <w:sz w:val="20"/>
                <w:szCs w:val="20"/>
              </w:rPr>
              <w:t xml:space="preserve"> 1.oktobris</w:t>
            </w:r>
          </w:p>
        </w:tc>
      </w:tr>
      <w:tr w:rsidR="00BC54C8" w:rsidRPr="00770018" w14:paraId="71AB0F56" w14:textId="77777777" w:rsidTr="00DD0B78">
        <w:tc>
          <w:tcPr>
            <w:tcW w:w="3064" w:type="dxa"/>
            <w:shd w:val="clear" w:color="auto" w:fill="FFFFFF" w:themeFill="background1"/>
          </w:tcPr>
          <w:p w14:paraId="2045A2F7"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13.</w:t>
            </w:r>
            <w:r w:rsidRPr="00770018">
              <w:rPr>
                <w:rFonts w:ascii="Times New Roman" w:hAnsi="Times New Roman" w:cs="Times New Roman"/>
                <w:sz w:val="20"/>
                <w:szCs w:val="20"/>
              </w:rPr>
              <w:tab/>
              <w:t>Attiecībā uz ārvalstu amatpersonu kukuļošanas noziedzīgo nodarījumu WGB rekomendē, lai Latvija veic labojumus savos tiesību aktos, nodrošinot, ka:</w:t>
            </w:r>
            <w:r>
              <w:rPr>
                <w:rFonts w:ascii="Times New Roman" w:hAnsi="Times New Roman" w:cs="Times New Roman"/>
                <w:sz w:val="20"/>
                <w:szCs w:val="20"/>
              </w:rPr>
              <w:t xml:space="preserve"> </w:t>
            </w:r>
            <w:r w:rsidRPr="00770018">
              <w:rPr>
                <w:rFonts w:ascii="Times New Roman" w:hAnsi="Times New Roman" w:cs="Times New Roman"/>
                <w:sz w:val="20"/>
                <w:szCs w:val="20"/>
              </w:rPr>
              <w:t>(b)</w:t>
            </w:r>
            <w:r w:rsidRPr="00770018">
              <w:rPr>
                <w:rFonts w:ascii="Times New Roman" w:hAnsi="Times New Roman" w:cs="Times New Roman"/>
                <w:sz w:val="20"/>
                <w:szCs w:val="20"/>
              </w:rPr>
              <w:tab/>
              <w:t xml:space="preserve">noziedzīgais nodarījums skaidri ietver </w:t>
            </w:r>
          </w:p>
          <w:p w14:paraId="2A89AA89"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 xml:space="preserve">(i) kukuļa solījumu, un </w:t>
            </w:r>
          </w:p>
          <w:p w14:paraId="7E600436"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 xml:space="preserve">(ii) valsts amatpersonas no jebkuras organizētas ārvalstu teritorijas, piemēram, autonomas teritorijas vai atsevišķas muitas teritorijas, (Konvencijas </w:t>
            </w:r>
            <w:proofErr w:type="gramStart"/>
            <w:r w:rsidRPr="00770018">
              <w:rPr>
                <w:rFonts w:ascii="Times New Roman" w:hAnsi="Times New Roman" w:cs="Times New Roman"/>
                <w:sz w:val="20"/>
                <w:szCs w:val="20"/>
              </w:rPr>
              <w:t>1.pants</w:t>
            </w:r>
            <w:proofErr w:type="gramEnd"/>
            <w:r w:rsidRPr="00770018">
              <w:rPr>
                <w:rFonts w:ascii="Times New Roman" w:hAnsi="Times New Roman" w:cs="Times New Roman"/>
                <w:sz w:val="20"/>
                <w:szCs w:val="20"/>
              </w:rPr>
              <w:t>; 2009.gada Rekomendācija III(ii) un V).</w:t>
            </w:r>
          </w:p>
        </w:tc>
        <w:tc>
          <w:tcPr>
            <w:tcW w:w="7371" w:type="dxa"/>
            <w:tcBorders>
              <w:bottom w:val="single" w:sz="4" w:space="0" w:color="auto"/>
            </w:tcBorders>
            <w:shd w:val="clear" w:color="auto" w:fill="FFFFFF" w:themeFill="background1"/>
          </w:tcPr>
          <w:p w14:paraId="448E7F88"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Apkopot tiesu praksi lietās par kukuļdošanu, kas atspoguļotu kukuļa solījuma, piedāvājuma un kukuļdošanas interpretāciju.  </w:t>
            </w:r>
          </w:p>
        </w:tc>
        <w:tc>
          <w:tcPr>
            <w:tcW w:w="1078" w:type="dxa"/>
            <w:tcBorders>
              <w:bottom w:val="single" w:sz="4" w:space="0" w:color="auto"/>
            </w:tcBorders>
            <w:shd w:val="clear" w:color="auto" w:fill="FFFFFF" w:themeFill="background1"/>
          </w:tcPr>
          <w:p w14:paraId="29BF5E3F" w14:textId="77777777" w:rsidR="00BC54C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TM</w:t>
            </w:r>
          </w:p>
        </w:tc>
        <w:tc>
          <w:tcPr>
            <w:tcW w:w="1053" w:type="dxa"/>
            <w:tcBorders>
              <w:bottom w:val="single" w:sz="4" w:space="0" w:color="auto"/>
            </w:tcBorders>
            <w:shd w:val="clear" w:color="auto" w:fill="FFFFFF" w:themeFill="background1"/>
          </w:tcPr>
          <w:p w14:paraId="2D8F688F" w14:textId="77777777" w:rsidR="00BC54C8" w:rsidRPr="00770018" w:rsidRDefault="00BC54C8" w:rsidP="00721F81">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2018.gada</w:t>
            </w:r>
            <w:proofErr w:type="gramEnd"/>
            <w:r>
              <w:rPr>
                <w:rFonts w:ascii="Times New Roman" w:hAnsi="Times New Roman" w:cs="Times New Roman"/>
                <w:sz w:val="20"/>
                <w:szCs w:val="20"/>
              </w:rPr>
              <w:t xml:space="preserve"> 1.oktobris</w:t>
            </w:r>
          </w:p>
        </w:tc>
      </w:tr>
      <w:tr w:rsidR="00BC54C8" w14:paraId="7379C16F" w14:textId="77777777" w:rsidTr="00DD0B78">
        <w:tc>
          <w:tcPr>
            <w:tcW w:w="3064" w:type="dxa"/>
            <w:shd w:val="clear" w:color="auto" w:fill="FFFFFF" w:themeFill="background1"/>
          </w:tcPr>
          <w:p w14:paraId="4A784AD5"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15.</w:t>
            </w:r>
            <w:r w:rsidRPr="00770018">
              <w:rPr>
                <w:rFonts w:ascii="Times New Roman" w:hAnsi="Times New Roman" w:cs="Times New Roman"/>
                <w:sz w:val="20"/>
                <w:szCs w:val="20"/>
              </w:rPr>
              <w:tab/>
              <w:t>Attiecībā uz sankcijām un konfiskāciju par ārvalstu amatpersonu kukuļošanu un ar to saistītiem likumpārkāpumiem WGB rekomendē, lai Latvija:</w:t>
            </w:r>
            <w:r>
              <w:rPr>
                <w:rFonts w:ascii="Times New Roman" w:hAnsi="Times New Roman" w:cs="Times New Roman"/>
                <w:sz w:val="20"/>
                <w:szCs w:val="20"/>
              </w:rPr>
              <w:t xml:space="preserve"> </w:t>
            </w:r>
            <w:r w:rsidRPr="00770018">
              <w:rPr>
                <w:rFonts w:ascii="Times New Roman" w:hAnsi="Times New Roman" w:cs="Times New Roman"/>
                <w:sz w:val="20"/>
                <w:szCs w:val="20"/>
              </w:rPr>
              <w:t>b)</w:t>
            </w:r>
            <w:r w:rsidRPr="00770018">
              <w:rPr>
                <w:rFonts w:ascii="Times New Roman" w:hAnsi="Times New Roman" w:cs="Times New Roman"/>
                <w:sz w:val="20"/>
                <w:szCs w:val="20"/>
              </w:rPr>
              <w:tab/>
              <w:t xml:space="preserve">veic pasākumus, nodrošinot, ka sankcijas, kas piemērotas fiziskām un juridiskām personām par </w:t>
            </w:r>
          </w:p>
          <w:p w14:paraId="03DB9923"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(i)</w:t>
            </w:r>
            <w:proofErr w:type="gramStart"/>
            <w:r w:rsidRPr="00770018">
              <w:rPr>
                <w:rFonts w:ascii="Times New Roman" w:hAnsi="Times New Roman" w:cs="Times New Roman"/>
                <w:sz w:val="20"/>
                <w:szCs w:val="20"/>
              </w:rPr>
              <w:t xml:space="preserve">  </w:t>
            </w:r>
            <w:proofErr w:type="gramEnd"/>
            <w:r w:rsidRPr="00770018">
              <w:rPr>
                <w:rFonts w:ascii="Times New Roman" w:hAnsi="Times New Roman" w:cs="Times New Roman"/>
                <w:sz w:val="20"/>
                <w:szCs w:val="20"/>
              </w:rPr>
              <w:t xml:space="preserve">grāmatvedības pārkāpumiem, </w:t>
            </w:r>
          </w:p>
          <w:p w14:paraId="1A8E7955"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 xml:space="preserve">(ii) ārvalstu amatpersonu kukuļošanu, ieskaitot vienošanos, ir efektīvas, samērīgas un atturošas (Konvencijas 3. un </w:t>
            </w:r>
            <w:proofErr w:type="gramStart"/>
            <w:r w:rsidRPr="00770018">
              <w:rPr>
                <w:rFonts w:ascii="Times New Roman" w:hAnsi="Times New Roman" w:cs="Times New Roman"/>
                <w:sz w:val="20"/>
                <w:szCs w:val="20"/>
              </w:rPr>
              <w:t>8.pants</w:t>
            </w:r>
            <w:proofErr w:type="gramEnd"/>
            <w:r w:rsidRPr="00770018">
              <w:rPr>
                <w:rFonts w:ascii="Times New Roman" w:hAnsi="Times New Roman" w:cs="Times New Roman"/>
                <w:sz w:val="20"/>
                <w:szCs w:val="20"/>
              </w:rPr>
              <w:t>);</w:t>
            </w:r>
          </w:p>
        </w:tc>
        <w:tc>
          <w:tcPr>
            <w:tcW w:w="7371" w:type="dxa"/>
            <w:tcBorders>
              <w:bottom w:val="single" w:sz="4" w:space="0" w:color="auto"/>
            </w:tcBorders>
            <w:shd w:val="clear" w:color="auto" w:fill="FFFFFF" w:themeFill="background1"/>
          </w:tcPr>
          <w:p w14:paraId="66D16C65" w14:textId="77777777" w:rsidR="00BC54C8" w:rsidRPr="00770018" w:rsidRDefault="00BC54C8" w:rsidP="00721F81">
            <w:pPr>
              <w:autoSpaceDE w:val="0"/>
              <w:autoSpaceDN w:val="0"/>
              <w:adjustRightInd w:val="0"/>
              <w:jc w:val="both"/>
              <w:rPr>
                <w:rFonts w:ascii="Times New Roman" w:hAnsi="Times New Roman" w:cs="Times New Roman"/>
                <w:sz w:val="20"/>
                <w:szCs w:val="20"/>
              </w:rPr>
            </w:pPr>
            <w:r w:rsidRPr="00770018">
              <w:rPr>
                <w:rFonts w:ascii="Times New Roman" w:hAnsi="Times New Roman" w:cs="Times New Roman"/>
                <w:sz w:val="20"/>
                <w:szCs w:val="20"/>
              </w:rPr>
              <w:t>Projekta „Tiesu varas un tiesībaizsardzības iestāžu darbinieku cilvēkresursu kapacitātes stiprināšana” ietvaros tiks īstenotas apmācības tiesnešiem.</w:t>
            </w:r>
          </w:p>
        </w:tc>
        <w:tc>
          <w:tcPr>
            <w:tcW w:w="1078" w:type="dxa"/>
            <w:tcBorders>
              <w:bottom w:val="single" w:sz="4" w:space="0" w:color="auto"/>
            </w:tcBorders>
            <w:shd w:val="clear" w:color="auto" w:fill="FFFFFF" w:themeFill="background1"/>
          </w:tcPr>
          <w:p w14:paraId="0B385994" w14:textId="77777777" w:rsidR="00BC54C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TM, TA</w:t>
            </w:r>
          </w:p>
        </w:tc>
        <w:tc>
          <w:tcPr>
            <w:tcW w:w="1053" w:type="dxa"/>
            <w:tcBorders>
              <w:bottom w:val="single" w:sz="4" w:space="0" w:color="auto"/>
            </w:tcBorders>
            <w:shd w:val="clear" w:color="auto" w:fill="FFFFFF" w:themeFill="background1"/>
          </w:tcPr>
          <w:p w14:paraId="0BD1320D" w14:textId="77777777" w:rsidR="00BC54C8" w:rsidRDefault="00BC54C8" w:rsidP="00721F81">
            <w:pPr>
              <w:autoSpaceDE w:val="0"/>
              <w:autoSpaceDN w:val="0"/>
              <w:adjustRightInd w:val="0"/>
              <w:jc w:val="both"/>
              <w:rPr>
                <w:rFonts w:ascii="Times New Roman" w:hAnsi="Times New Roman" w:cs="Times New Roman"/>
                <w:sz w:val="20"/>
                <w:szCs w:val="20"/>
              </w:rPr>
            </w:pPr>
            <w:proofErr w:type="gramStart"/>
            <w:r w:rsidRPr="00770018">
              <w:rPr>
                <w:rFonts w:ascii="Times New Roman" w:hAnsi="Times New Roman" w:cs="Times New Roman"/>
                <w:sz w:val="20"/>
                <w:szCs w:val="20"/>
              </w:rPr>
              <w:t>2019.gada</w:t>
            </w:r>
            <w:proofErr w:type="gramEnd"/>
            <w:r w:rsidRPr="00770018">
              <w:rPr>
                <w:rFonts w:ascii="Times New Roman" w:hAnsi="Times New Roman" w:cs="Times New Roman"/>
                <w:sz w:val="20"/>
                <w:szCs w:val="20"/>
              </w:rPr>
              <w:t xml:space="preserve"> 1.janvāris</w:t>
            </w:r>
          </w:p>
        </w:tc>
      </w:tr>
      <w:tr w:rsidR="00BC54C8" w:rsidRPr="00013A7F" w14:paraId="680C2F87" w14:textId="77777777" w:rsidTr="00DD0B78">
        <w:tc>
          <w:tcPr>
            <w:tcW w:w="7371" w:type="dxa"/>
            <w:gridSpan w:val="4"/>
            <w:shd w:val="clear" w:color="auto" w:fill="FFFFFF" w:themeFill="background1"/>
          </w:tcPr>
          <w:p w14:paraId="20FEBFAE" w14:textId="77777777" w:rsidR="00BC54C8" w:rsidRPr="00013A7F" w:rsidRDefault="00BC54C8" w:rsidP="00721F81">
            <w:pPr>
              <w:autoSpaceDE w:val="0"/>
              <w:autoSpaceDN w:val="0"/>
              <w:adjustRightInd w:val="0"/>
              <w:jc w:val="center"/>
              <w:rPr>
                <w:rFonts w:ascii="Times New Roman" w:hAnsi="Times New Roman" w:cs="Times New Roman"/>
                <w:b/>
                <w:i/>
                <w:sz w:val="20"/>
                <w:szCs w:val="20"/>
              </w:rPr>
            </w:pPr>
            <w:r w:rsidRPr="00013A7F">
              <w:rPr>
                <w:rFonts w:ascii="Times New Roman" w:hAnsi="Times New Roman" w:cs="Times New Roman"/>
                <w:b/>
                <w:i/>
                <w:sz w:val="20"/>
                <w:szCs w:val="20"/>
              </w:rPr>
              <w:t>Neizpildītās rekomendācijas</w:t>
            </w:r>
          </w:p>
        </w:tc>
      </w:tr>
      <w:tr w:rsidR="00BC54C8" w:rsidRPr="000B1F6D" w14:paraId="66F85436" w14:textId="77777777" w:rsidTr="00DD0B78">
        <w:tc>
          <w:tcPr>
            <w:tcW w:w="3064" w:type="dxa"/>
            <w:tcBorders>
              <w:bottom w:val="single" w:sz="4" w:space="0" w:color="auto"/>
            </w:tcBorders>
            <w:shd w:val="clear" w:color="auto" w:fill="FFFFFF" w:themeFill="background1"/>
          </w:tcPr>
          <w:p w14:paraId="36884C86" w14:textId="77777777" w:rsidR="00BC54C8" w:rsidRPr="001A345A" w:rsidRDefault="00BC54C8" w:rsidP="00721F81">
            <w:pPr>
              <w:autoSpaceDE w:val="0"/>
              <w:autoSpaceDN w:val="0"/>
              <w:adjustRightInd w:val="0"/>
              <w:jc w:val="both"/>
              <w:rPr>
                <w:rFonts w:ascii="Times New Roman" w:hAnsi="Times New Roman" w:cs="Times New Roman"/>
                <w:sz w:val="20"/>
                <w:szCs w:val="20"/>
              </w:rPr>
            </w:pPr>
            <w:r w:rsidRPr="001A345A">
              <w:rPr>
                <w:rFonts w:ascii="Times New Roman" w:hAnsi="Times New Roman" w:cs="Times New Roman"/>
                <w:sz w:val="20"/>
                <w:szCs w:val="20"/>
              </w:rPr>
              <w:t>2.</w:t>
            </w:r>
            <w:r w:rsidRPr="001A345A">
              <w:rPr>
                <w:rFonts w:ascii="Times New Roman" w:hAnsi="Times New Roman" w:cs="Times New Roman"/>
                <w:sz w:val="20"/>
                <w:szCs w:val="20"/>
              </w:rPr>
              <w:tab/>
              <w:t>Attiecībā uz ziņojumiem par ārvalstu amatpersonu kukuļošanu WGB rekomendē, lai:</w:t>
            </w:r>
          </w:p>
          <w:p w14:paraId="25EC7B89" w14:textId="77777777" w:rsidR="00BC54C8" w:rsidRPr="000B1F6D" w:rsidRDefault="00BC54C8" w:rsidP="00721F81">
            <w:pPr>
              <w:autoSpaceDE w:val="0"/>
              <w:autoSpaceDN w:val="0"/>
              <w:adjustRightInd w:val="0"/>
              <w:jc w:val="both"/>
              <w:rPr>
                <w:rFonts w:ascii="Times New Roman" w:hAnsi="Times New Roman" w:cs="Times New Roman"/>
                <w:sz w:val="20"/>
                <w:szCs w:val="20"/>
              </w:rPr>
            </w:pPr>
            <w:r w:rsidRPr="000B1F6D">
              <w:rPr>
                <w:rFonts w:ascii="Times New Roman" w:hAnsi="Times New Roman" w:cs="Times New Roman"/>
                <w:sz w:val="20"/>
                <w:szCs w:val="20"/>
              </w:rPr>
              <w:t xml:space="preserve"> (b)</w:t>
            </w:r>
            <w:r w:rsidRPr="000B1F6D">
              <w:rPr>
                <w:rFonts w:ascii="Times New Roman" w:hAnsi="Times New Roman" w:cs="Times New Roman"/>
                <w:sz w:val="20"/>
                <w:szCs w:val="20"/>
              </w:rPr>
              <w:tab/>
              <w:t xml:space="preserve">Latvija īsteno tās plānu veikt pasākumus, kas noteiktu valsts amatpersonām pienākumu ziņot tieši vai netieši, izmantojot iekšējo mehānismu, tiesībsargājošām iestādēm par aizdomām par ārvalstu amatpersonu </w:t>
            </w:r>
            <w:r w:rsidRPr="000B1F6D">
              <w:rPr>
                <w:rFonts w:ascii="Times New Roman" w:hAnsi="Times New Roman" w:cs="Times New Roman"/>
                <w:sz w:val="20"/>
                <w:szCs w:val="20"/>
              </w:rPr>
              <w:lastRenderedPageBreak/>
              <w:t>kukuļošanu starptautiskos darījumos, kas radušās, veicot savus dienesta pienākumus (</w:t>
            </w:r>
            <w:proofErr w:type="gramStart"/>
            <w:r w:rsidRPr="000B1F6D">
              <w:rPr>
                <w:rFonts w:ascii="Times New Roman" w:hAnsi="Times New Roman" w:cs="Times New Roman"/>
                <w:sz w:val="20"/>
                <w:szCs w:val="20"/>
              </w:rPr>
              <w:t>2009.gada</w:t>
            </w:r>
            <w:proofErr w:type="gramEnd"/>
            <w:r w:rsidRPr="000B1F6D">
              <w:rPr>
                <w:rFonts w:ascii="Times New Roman" w:hAnsi="Times New Roman" w:cs="Times New Roman"/>
                <w:sz w:val="20"/>
                <w:szCs w:val="20"/>
              </w:rPr>
              <w:t xml:space="preserve"> Rekomendācija III un IX(i)).</w:t>
            </w:r>
          </w:p>
        </w:tc>
        <w:tc>
          <w:tcPr>
            <w:tcW w:w="7371" w:type="dxa"/>
            <w:tcBorders>
              <w:bottom w:val="single" w:sz="4" w:space="0" w:color="auto"/>
            </w:tcBorders>
            <w:shd w:val="clear" w:color="auto" w:fill="FFFFFF" w:themeFill="background1"/>
          </w:tcPr>
          <w:p w14:paraId="7C4BFBDA" w14:textId="77777777" w:rsidR="00BC54C8" w:rsidRPr="0028434D"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Veikt nepieciešamos </w:t>
            </w:r>
            <w:r w:rsidRPr="0028434D">
              <w:rPr>
                <w:rFonts w:ascii="Times New Roman" w:hAnsi="Times New Roman" w:cs="Times New Roman"/>
                <w:sz w:val="20"/>
                <w:szCs w:val="20"/>
              </w:rPr>
              <w:t>grozījumus likum</w:t>
            </w:r>
            <w:r>
              <w:rPr>
                <w:rFonts w:ascii="Times New Roman" w:hAnsi="Times New Roman" w:cs="Times New Roman"/>
                <w:sz w:val="20"/>
                <w:szCs w:val="20"/>
              </w:rPr>
              <w:t>ā</w:t>
            </w:r>
            <w:r w:rsidRPr="0028434D">
              <w:rPr>
                <w:rFonts w:ascii="Times New Roman" w:hAnsi="Times New Roman" w:cs="Times New Roman"/>
                <w:sz w:val="20"/>
                <w:szCs w:val="20"/>
              </w:rPr>
              <w:t xml:space="preserve"> “Par interešu konflikta novēršanu valsts amatpersonu darbībā” un šobrīd tiek veikti precizējumi, lai tos izsūtītu starpinstitūciju saskaņošanai (VSS-653)</w:t>
            </w:r>
            <w:r>
              <w:rPr>
                <w:rFonts w:ascii="Times New Roman" w:hAnsi="Times New Roman" w:cs="Times New Roman"/>
                <w:sz w:val="20"/>
                <w:szCs w:val="20"/>
              </w:rPr>
              <w:t xml:space="preserve">. </w:t>
            </w:r>
          </w:p>
          <w:p w14:paraId="0A09C62C" w14:textId="77777777" w:rsidR="00BC54C8" w:rsidRPr="0028434D" w:rsidRDefault="00BC54C8" w:rsidP="00721F81">
            <w:pPr>
              <w:autoSpaceDE w:val="0"/>
              <w:autoSpaceDN w:val="0"/>
              <w:adjustRightInd w:val="0"/>
              <w:jc w:val="both"/>
              <w:rPr>
                <w:rFonts w:ascii="Times New Roman" w:hAnsi="Times New Roman" w:cs="Times New Roman"/>
                <w:sz w:val="20"/>
                <w:szCs w:val="20"/>
              </w:rPr>
            </w:pPr>
          </w:p>
          <w:p w14:paraId="34042FB8" w14:textId="77777777" w:rsidR="00BC54C8" w:rsidRPr="0028434D" w:rsidRDefault="00BC54C8" w:rsidP="00721F81">
            <w:pPr>
              <w:autoSpaceDE w:val="0"/>
              <w:autoSpaceDN w:val="0"/>
              <w:adjustRightInd w:val="0"/>
              <w:jc w:val="both"/>
              <w:rPr>
                <w:rFonts w:ascii="Times New Roman" w:hAnsi="Times New Roman" w:cs="Times New Roman"/>
                <w:sz w:val="20"/>
                <w:szCs w:val="20"/>
              </w:rPr>
            </w:pPr>
          </w:p>
          <w:p w14:paraId="1FA7865B" w14:textId="77777777" w:rsidR="00BC54C8" w:rsidRPr="000B1F6D" w:rsidRDefault="00BC54C8" w:rsidP="00721F81">
            <w:pPr>
              <w:autoSpaceDE w:val="0"/>
              <w:autoSpaceDN w:val="0"/>
              <w:adjustRightInd w:val="0"/>
              <w:jc w:val="both"/>
              <w:rPr>
                <w:rFonts w:ascii="Times New Roman" w:hAnsi="Times New Roman" w:cs="Times New Roman"/>
                <w:sz w:val="20"/>
                <w:szCs w:val="20"/>
              </w:rPr>
            </w:pPr>
          </w:p>
        </w:tc>
        <w:tc>
          <w:tcPr>
            <w:tcW w:w="1078" w:type="dxa"/>
            <w:tcBorders>
              <w:bottom w:val="single" w:sz="4" w:space="0" w:color="auto"/>
            </w:tcBorders>
            <w:shd w:val="clear" w:color="auto" w:fill="FFFFFF" w:themeFill="background1"/>
          </w:tcPr>
          <w:p w14:paraId="78DA02BC" w14:textId="77777777" w:rsidR="00BC54C8" w:rsidRPr="000B1F6D" w:rsidRDefault="00BC54C8" w:rsidP="00721F81">
            <w:pPr>
              <w:autoSpaceDE w:val="0"/>
              <w:autoSpaceDN w:val="0"/>
              <w:adjustRightInd w:val="0"/>
              <w:jc w:val="both"/>
              <w:rPr>
                <w:rFonts w:ascii="Times New Roman" w:hAnsi="Times New Roman" w:cs="Times New Roman"/>
                <w:sz w:val="20"/>
                <w:szCs w:val="20"/>
              </w:rPr>
            </w:pPr>
            <w:r w:rsidRPr="000B1F6D">
              <w:rPr>
                <w:rFonts w:ascii="Times New Roman" w:hAnsi="Times New Roman" w:cs="Times New Roman"/>
                <w:sz w:val="20"/>
                <w:szCs w:val="20"/>
              </w:rPr>
              <w:t>KNAB</w:t>
            </w:r>
          </w:p>
        </w:tc>
        <w:tc>
          <w:tcPr>
            <w:tcW w:w="1053" w:type="dxa"/>
            <w:tcBorders>
              <w:bottom w:val="single" w:sz="4" w:space="0" w:color="auto"/>
            </w:tcBorders>
            <w:shd w:val="clear" w:color="auto" w:fill="FFFFFF" w:themeFill="background1"/>
          </w:tcPr>
          <w:p w14:paraId="5EA7D08B" w14:textId="77777777" w:rsidR="00BC54C8" w:rsidRPr="000B1F6D" w:rsidRDefault="00BC54C8" w:rsidP="00721F81">
            <w:pPr>
              <w:autoSpaceDE w:val="0"/>
              <w:autoSpaceDN w:val="0"/>
              <w:adjustRightInd w:val="0"/>
              <w:jc w:val="both"/>
              <w:rPr>
                <w:rFonts w:ascii="Times New Roman" w:hAnsi="Times New Roman" w:cs="Times New Roman"/>
                <w:sz w:val="20"/>
                <w:szCs w:val="20"/>
              </w:rPr>
            </w:pPr>
            <w:proofErr w:type="gramStart"/>
            <w:r w:rsidRPr="000B1F6D">
              <w:rPr>
                <w:rFonts w:ascii="Times New Roman" w:hAnsi="Times New Roman" w:cs="Times New Roman"/>
                <w:sz w:val="20"/>
                <w:szCs w:val="20"/>
              </w:rPr>
              <w:t>201</w:t>
            </w:r>
            <w:r>
              <w:rPr>
                <w:rFonts w:ascii="Times New Roman" w:hAnsi="Times New Roman" w:cs="Times New Roman"/>
                <w:sz w:val="20"/>
                <w:szCs w:val="20"/>
              </w:rPr>
              <w:t>9</w:t>
            </w:r>
            <w:r w:rsidRPr="000B1F6D">
              <w:rPr>
                <w:rFonts w:ascii="Times New Roman" w:hAnsi="Times New Roman" w:cs="Times New Roman"/>
                <w:sz w:val="20"/>
                <w:szCs w:val="20"/>
              </w:rPr>
              <w:t>.gada</w:t>
            </w:r>
            <w:proofErr w:type="gramEnd"/>
            <w:r w:rsidRPr="000B1F6D">
              <w:rPr>
                <w:rFonts w:ascii="Times New Roman" w:hAnsi="Times New Roman" w:cs="Times New Roman"/>
                <w:sz w:val="20"/>
                <w:szCs w:val="20"/>
              </w:rPr>
              <w:t xml:space="preserve"> 1.</w:t>
            </w:r>
            <w:r>
              <w:rPr>
                <w:rFonts w:ascii="Times New Roman" w:hAnsi="Times New Roman" w:cs="Times New Roman"/>
                <w:sz w:val="20"/>
                <w:szCs w:val="20"/>
              </w:rPr>
              <w:t>janvāris</w:t>
            </w:r>
          </w:p>
        </w:tc>
      </w:tr>
      <w:tr w:rsidR="00BC54C8" w:rsidRPr="000B1F6D" w14:paraId="37A846D0" w14:textId="77777777" w:rsidTr="00DD0B78">
        <w:tc>
          <w:tcPr>
            <w:tcW w:w="3064" w:type="dxa"/>
            <w:shd w:val="clear" w:color="auto" w:fill="FFFFFF" w:themeFill="background1"/>
          </w:tcPr>
          <w:p w14:paraId="5FC39526" w14:textId="77777777" w:rsidR="00BC54C8" w:rsidRPr="00013A7F" w:rsidRDefault="00BC54C8" w:rsidP="00721F81">
            <w:pPr>
              <w:autoSpaceDE w:val="0"/>
              <w:autoSpaceDN w:val="0"/>
              <w:adjustRightInd w:val="0"/>
              <w:jc w:val="both"/>
              <w:rPr>
                <w:rFonts w:ascii="Times New Roman" w:hAnsi="Times New Roman" w:cs="Times New Roman"/>
                <w:sz w:val="20"/>
                <w:szCs w:val="20"/>
              </w:rPr>
            </w:pPr>
            <w:r w:rsidRPr="00013A7F">
              <w:rPr>
                <w:rFonts w:ascii="Times New Roman" w:hAnsi="Times New Roman" w:cs="Times New Roman"/>
                <w:sz w:val="20"/>
                <w:szCs w:val="20"/>
              </w:rPr>
              <w:t>3.</w:t>
            </w:r>
            <w:r w:rsidRPr="00013A7F">
              <w:rPr>
                <w:rFonts w:ascii="Times New Roman" w:hAnsi="Times New Roman" w:cs="Times New Roman"/>
                <w:sz w:val="20"/>
                <w:szCs w:val="20"/>
              </w:rPr>
              <w:tab/>
              <w:t xml:space="preserve">Attiecībā uz trauksmes celšanu WGB rekomendē, lai Latvija: </w:t>
            </w:r>
          </w:p>
          <w:p w14:paraId="6D3DC478" w14:textId="77777777" w:rsidR="00BC54C8" w:rsidRPr="000B1F6D" w:rsidRDefault="00BC54C8" w:rsidP="00721F81">
            <w:pPr>
              <w:autoSpaceDE w:val="0"/>
              <w:autoSpaceDN w:val="0"/>
              <w:adjustRightInd w:val="0"/>
              <w:jc w:val="both"/>
              <w:rPr>
                <w:rFonts w:ascii="Times New Roman" w:hAnsi="Times New Roman" w:cs="Times New Roman"/>
                <w:sz w:val="20"/>
                <w:szCs w:val="20"/>
              </w:rPr>
            </w:pPr>
            <w:r w:rsidRPr="000B1F6D">
              <w:rPr>
                <w:rFonts w:ascii="Times New Roman" w:hAnsi="Times New Roman" w:cs="Times New Roman"/>
                <w:sz w:val="20"/>
                <w:szCs w:val="20"/>
              </w:rPr>
              <w:t>(a)</w:t>
            </w:r>
            <w:r w:rsidRPr="000B1F6D">
              <w:rPr>
                <w:rFonts w:ascii="Times New Roman" w:hAnsi="Times New Roman" w:cs="Times New Roman"/>
                <w:sz w:val="20"/>
                <w:szCs w:val="20"/>
              </w:rPr>
              <w:tab/>
              <w:t>nodrošina attiecīgus pasākumus, aizsargājot no diskriminēšanas vai disciplinārsodiem valsts un privātajā sektorā strādājošos, kuri labā ticībā un pamatoti ziņo kompetentām institūcijām par aizdomām par ārvalstu amatpersonu kukuļošanu (</w:t>
            </w:r>
            <w:proofErr w:type="gramStart"/>
            <w:r w:rsidRPr="000B1F6D">
              <w:rPr>
                <w:rFonts w:ascii="Times New Roman" w:hAnsi="Times New Roman" w:cs="Times New Roman"/>
                <w:sz w:val="20"/>
                <w:szCs w:val="20"/>
              </w:rPr>
              <w:t>2009.gada</w:t>
            </w:r>
            <w:proofErr w:type="gramEnd"/>
            <w:r w:rsidRPr="000B1F6D">
              <w:rPr>
                <w:rFonts w:ascii="Times New Roman" w:hAnsi="Times New Roman" w:cs="Times New Roman"/>
                <w:sz w:val="20"/>
                <w:szCs w:val="20"/>
              </w:rPr>
              <w:t xml:space="preserve"> Rekomendācija III un IX(iii));</w:t>
            </w:r>
          </w:p>
          <w:p w14:paraId="75A71E7C" w14:textId="77777777" w:rsidR="00BC54C8" w:rsidRPr="000B1F6D" w:rsidRDefault="00BC54C8" w:rsidP="00721F81">
            <w:pPr>
              <w:autoSpaceDE w:val="0"/>
              <w:autoSpaceDN w:val="0"/>
              <w:adjustRightInd w:val="0"/>
              <w:jc w:val="both"/>
              <w:rPr>
                <w:rFonts w:ascii="Times New Roman" w:hAnsi="Times New Roman" w:cs="Times New Roman"/>
                <w:sz w:val="20"/>
                <w:szCs w:val="20"/>
              </w:rPr>
            </w:pPr>
          </w:p>
        </w:tc>
        <w:tc>
          <w:tcPr>
            <w:tcW w:w="7371" w:type="dxa"/>
            <w:shd w:val="clear" w:color="auto" w:fill="FFFFFF" w:themeFill="background1"/>
          </w:tcPr>
          <w:p w14:paraId="274974A8" w14:textId="77777777" w:rsidR="00BC54C8" w:rsidRPr="00B90239" w:rsidRDefault="00BC54C8" w:rsidP="00721F81">
            <w:pPr>
              <w:autoSpaceDE w:val="0"/>
              <w:autoSpaceDN w:val="0"/>
              <w:adjustRightInd w:val="0"/>
              <w:jc w:val="both"/>
              <w:rPr>
                <w:rFonts w:ascii="Times New Roman" w:hAnsi="Times New Roman" w:cs="Times New Roman"/>
                <w:sz w:val="20"/>
                <w:szCs w:val="20"/>
              </w:rPr>
            </w:pPr>
            <w:r w:rsidRPr="00B90239">
              <w:rPr>
                <w:rFonts w:ascii="Times New Roman" w:hAnsi="Times New Roman" w:cs="Times New Roman"/>
                <w:sz w:val="20"/>
                <w:szCs w:val="20"/>
              </w:rPr>
              <w:t xml:space="preserve">Izstrādāts likumprojekts “Trauksmes cēlēju aizsardzības likums” un </w:t>
            </w:r>
            <w:proofErr w:type="gramStart"/>
            <w:r w:rsidRPr="00B90239">
              <w:rPr>
                <w:rFonts w:ascii="Times New Roman" w:hAnsi="Times New Roman" w:cs="Times New Roman"/>
                <w:sz w:val="20"/>
                <w:szCs w:val="20"/>
              </w:rPr>
              <w:t>2017.gada</w:t>
            </w:r>
            <w:proofErr w:type="gramEnd"/>
            <w:r w:rsidRPr="00B90239">
              <w:rPr>
                <w:rFonts w:ascii="Times New Roman" w:hAnsi="Times New Roman" w:cs="Times New Roman"/>
                <w:sz w:val="20"/>
                <w:szCs w:val="20"/>
              </w:rPr>
              <w:t xml:space="preserve"> 8.martā iesniegts Saeimā (Saeimas reģ. Nr. 851/Lp12) Likumprojekts ir nodots vērtēšanai Saeimas Valsts pārvaldes un pašvaldības komisijai.  Komisija likumprojektu skatīja 2017. gada </w:t>
            </w:r>
            <w:proofErr w:type="gramStart"/>
            <w:r w:rsidRPr="00B90239">
              <w:rPr>
                <w:rFonts w:ascii="Times New Roman" w:hAnsi="Times New Roman" w:cs="Times New Roman"/>
                <w:sz w:val="20"/>
                <w:szCs w:val="20"/>
              </w:rPr>
              <w:t>6.decembrī</w:t>
            </w:r>
            <w:proofErr w:type="gramEnd"/>
            <w:r w:rsidRPr="00B90239">
              <w:rPr>
                <w:rFonts w:ascii="Times New Roman" w:hAnsi="Times New Roman" w:cs="Times New Roman"/>
                <w:sz w:val="20"/>
                <w:szCs w:val="20"/>
              </w:rPr>
              <w:t>, kad tika izveidota darba grupu</w:t>
            </w:r>
            <w:r>
              <w:rPr>
                <w:rFonts w:ascii="Times New Roman" w:hAnsi="Times New Roman" w:cs="Times New Roman"/>
                <w:sz w:val="20"/>
                <w:szCs w:val="20"/>
              </w:rPr>
              <w:t>, kas pašreiz strādā pie</w:t>
            </w:r>
            <w:r w:rsidRPr="00B90239">
              <w:rPr>
                <w:rFonts w:ascii="Times New Roman" w:hAnsi="Times New Roman" w:cs="Times New Roman"/>
                <w:sz w:val="20"/>
                <w:szCs w:val="20"/>
              </w:rPr>
              <w:t xml:space="preserve"> alterna</w:t>
            </w:r>
            <w:r>
              <w:rPr>
                <w:rFonts w:ascii="Times New Roman" w:hAnsi="Times New Roman" w:cs="Times New Roman"/>
                <w:sz w:val="20"/>
                <w:szCs w:val="20"/>
              </w:rPr>
              <w:t>tīva likumprojekta sagatavošanas</w:t>
            </w:r>
            <w:r w:rsidRPr="00B90239">
              <w:rPr>
                <w:rFonts w:ascii="Times New Roman" w:hAnsi="Times New Roman" w:cs="Times New Roman"/>
                <w:sz w:val="20"/>
                <w:szCs w:val="20"/>
              </w:rPr>
              <w:t xml:space="preserve">. </w:t>
            </w:r>
          </w:p>
          <w:p w14:paraId="480D2361" w14:textId="77777777" w:rsidR="00BC54C8" w:rsidRPr="00B90239" w:rsidRDefault="00BC54C8" w:rsidP="00721F81">
            <w:pPr>
              <w:autoSpaceDE w:val="0"/>
              <w:autoSpaceDN w:val="0"/>
              <w:adjustRightInd w:val="0"/>
              <w:jc w:val="both"/>
              <w:rPr>
                <w:rFonts w:ascii="Times New Roman" w:hAnsi="Times New Roman" w:cs="Times New Roman"/>
                <w:sz w:val="20"/>
                <w:szCs w:val="20"/>
              </w:rPr>
            </w:pPr>
          </w:p>
          <w:p w14:paraId="3B130B9E" w14:textId="77777777" w:rsidR="00BC54C8" w:rsidRPr="00B90239" w:rsidRDefault="00BC54C8" w:rsidP="00721F81">
            <w:pPr>
              <w:autoSpaceDE w:val="0"/>
              <w:autoSpaceDN w:val="0"/>
              <w:adjustRightInd w:val="0"/>
              <w:jc w:val="both"/>
              <w:rPr>
                <w:rFonts w:ascii="Times New Roman" w:hAnsi="Times New Roman" w:cs="Times New Roman"/>
                <w:sz w:val="20"/>
                <w:szCs w:val="20"/>
              </w:rPr>
            </w:pPr>
            <w:r w:rsidRPr="00B90239">
              <w:rPr>
                <w:rFonts w:ascii="Times New Roman" w:hAnsi="Times New Roman" w:cs="Times New Roman"/>
                <w:sz w:val="20"/>
                <w:szCs w:val="20"/>
              </w:rPr>
              <w:t xml:space="preserve">Sniegt atbalstu Saeimas Valsts pārvaldes un pašvaldības komisijas darbam pie likumprojekta izstrādes. Veicināt mērķtiecīgu likumprojekta tālāku virzību Saeimā. </w:t>
            </w:r>
          </w:p>
          <w:p w14:paraId="64B17BE5" w14:textId="77777777" w:rsidR="00BC54C8" w:rsidRPr="000B1F6D" w:rsidRDefault="00BC54C8" w:rsidP="00721F81">
            <w:pPr>
              <w:autoSpaceDE w:val="0"/>
              <w:autoSpaceDN w:val="0"/>
              <w:adjustRightInd w:val="0"/>
              <w:jc w:val="both"/>
              <w:rPr>
                <w:rFonts w:ascii="Times New Roman" w:hAnsi="Times New Roman" w:cs="Times New Roman"/>
                <w:sz w:val="20"/>
                <w:szCs w:val="20"/>
              </w:rPr>
            </w:pPr>
            <w:r w:rsidRPr="00B90239">
              <w:rPr>
                <w:rFonts w:ascii="Times New Roman" w:hAnsi="Times New Roman" w:cs="Times New Roman"/>
                <w:sz w:val="20"/>
                <w:szCs w:val="20"/>
              </w:rPr>
              <w:t xml:space="preserve"> </w:t>
            </w:r>
          </w:p>
        </w:tc>
        <w:tc>
          <w:tcPr>
            <w:tcW w:w="1078" w:type="dxa"/>
            <w:shd w:val="clear" w:color="auto" w:fill="FFFFFF" w:themeFill="background1"/>
          </w:tcPr>
          <w:p w14:paraId="07EAF5AF" w14:textId="77777777" w:rsidR="00BC54C8" w:rsidRPr="000B1F6D" w:rsidRDefault="00BC54C8" w:rsidP="00721F81">
            <w:pPr>
              <w:autoSpaceDE w:val="0"/>
              <w:autoSpaceDN w:val="0"/>
              <w:adjustRightInd w:val="0"/>
              <w:jc w:val="both"/>
              <w:rPr>
                <w:rFonts w:ascii="Times New Roman" w:hAnsi="Times New Roman" w:cs="Times New Roman"/>
                <w:sz w:val="20"/>
                <w:szCs w:val="20"/>
              </w:rPr>
            </w:pPr>
            <w:r w:rsidRPr="000B1F6D">
              <w:rPr>
                <w:rFonts w:ascii="Times New Roman" w:hAnsi="Times New Roman" w:cs="Times New Roman"/>
                <w:sz w:val="20"/>
                <w:szCs w:val="20"/>
              </w:rPr>
              <w:t>VK</w:t>
            </w:r>
            <w:r>
              <w:rPr>
                <w:rFonts w:ascii="Times New Roman" w:hAnsi="Times New Roman" w:cs="Times New Roman"/>
                <w:sz w:val="20"/>
                <w:szCs w:val="20"/>
              </w:rPr>
              <w:t>, TM</w:t>
            </w:r>
          </w:p>
        </w:tc>
        <w:tc>
          <w:tcPr>
            <w:tcW w:w="1053" w:type="dxa"/>
            <w:shd w:val="clear" w:color="auto" w:fill="FFFFFF" w:themeFill="background1"/>
          </w:tcPr>
          <w:p w14:paraId="5BDFE6DB" w14:textId="77777777" w:rsidR="00BC54C8" w:rsidRPr="000B1F6D" w:rsidRDefault="00BC54C8" w:rsidP="00721F81">
            <w:pPr>
              <w:autoSpaceDE w:val="0"/>
              <w:autoSpaceDN w:val="0"/>
              <w:adjustRightInd w:val="0"/>
              <w:jc w:val="both"/>
              <w:rPr>
                <w:rFonts w:ascii="Times New Roman" w:hAnsi="Times New Roman" w:cs="Times New Roman"/>
                <w:sz w:val="20"/>
                <w:szCs w:val="20"/>
              </w:rPr>
            </w:pPr>
            <w:proofErr w:type="gramStart"/>
            <w:r w:rsidRPr="000B1F6D">
              <w:rPr>
                <w:rFonts w:ascii="Times New Roman" w:hAnsi="Times New Roman" w:cs="Times New Roman"/>
                <w:sz w:val="20"/>
                <w:szCs w:val="20"/>
              </w:rPr>
              <w:t>201</w:t>
            </w:r>
            <w:r>
              <w:rPr>
                <w:rFonts w:ascii="Times New Roman" w:hAnsi="Times New Roman" w:cs="Times New Roman"/>
                <w:sz w:val="20"/>
                <w:szCs w:val="20"/>
              </w:rPr>
              <w:t>8</w:t>
            </w:r>
            <w:r w:rsidRPr="000B1F6D">
              <w:rPr>
                <w:rFonts w:ascii="Times New Roman" w:hAnsi="Times New Roman" w:cs="Times New Roman"/>
                <w:sz w:val="20"/>
                <w:szCs w:val="20"/>
              </w:rPr>
              <w:t>.gada</w:t>
            </w:r>
            <w:proofErr w:type="gramEnd"/>
            <w:r w:rsidRPr="000B1F6D">
              <w:rPr>
                <w:rFonts w:ascii="Times New Roman" w:hAnsi="Times New Roman" w:cs="Times New Roman"/>
                <w:sz w:val="20"/>
                <w:szCs w:val="20"/>
              </w:rPr>
              <w:t xml:space="preserve"> 1.oktobris</w:t>
            </w:r>
          </w:p>
        </w:tc>
      </w:tr>
      <w:tr w:rsidR="00BC54C8" w:rsidRPr="00501B3A" w14:paraId="36AF9B76" w14:textId="77777777" w:rsidTr="00DD0B78">
        <w:tc>
          <w:tcPr>
            <w:tcW w:w="3064" w:type="dxa"/>
            <w:shd w:val="clear" w:color="auto" w:fill="FFFFFF" w:themeFill="background1"/>
          </w:tcPr>
          <w:p w14:paraId="4DB15894" w14:textId="77777777" w:rsidR="00BC54C8" w:rsidRPr="00501B3A"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7. </w:t>
            </w:r>
            <w:r>
              <w:t xml:space="preserve"> </w:t>
            </w:r>
            <w:r w:rsidRPr="00013A7F">
              <w:rPr>
                <w:rFonts w:ascii="Times New Roman" w:hAnsi="Times New Roman" w:cs="Times New Roman"/>
                <w:sz w:val="20"/>
                <w:szCs w:val="20"/>
              </w:rPr>
              <w:t xml:space="preserve">Attiecībā uz uzskaites prasībām, ārējo un iekšējo uzņēmuma kontroli WGB rekomendē, lai Latvija: </w:t>
            </w:r>
            <w:r w:rsidRPr="00501B3A">
              <w:rPr>
                <w:rFonts w:ascii="Times New Roman" w:hAnsi="Times New Roman" w:cs="Times New Roman"/>
                <w:sz w:val="20"/>
                <w:szCs w:val="20"/>
              </w:rPr>
              <w:t>(b)</w:t>
            </w:r>
            <w:r>
              <w:rPr>
                <w:rFonts w:ascii="Times New Roman" w:hAnsi="Times New Roman" w:cs="Times New Roman"/>
                <w:sz w:val="20"/>
                <w:szCs w:val="20"/>
              </w:rPr>
              <w:t xml:space="preserve"> </w:t>
            </w:r>
            <w:r w:rsidRPr="00501B3A">
              <w:rPr>
                <w:rFonts w:ascii="Times New Roman" w:hAnsi="Times New Roman" w:cs="Times New Roman"/>
                <w:sz w:val="20"/>
                <w:szCs w:val="20"/>
              </w:rPr>
              <w:t>nodrošina, ka valsts uzņēmumiem vadlīnijas par iekšējo kontroli pretkorupcijas jomā skaidri vēršas pret ārvalstu amatpersonu kukuļošanu (</w:t>
            </w:r>
            <w:proofErr w:type="gramStart"/>
            <w:r w:rsidRPr="00501B3A">
              <w:rPr>
                <w:rFonts w:ascii="Times New Roman" w:hAnsi="Times New Roman" w:cs="Times New Roman"/>
                <w:sz w:val="20"/>
                <w:szCs w:val="20"/>
              </w:rPr>
              <w:t>2009.gada</w:t>
            </w:r>
            <w:proofErr w:type="gramEnd"/>
            <w:r w:rsidRPr="00501B3A">
              <w:rPr>
                <w:rFonts w:ascii="Times New Roman" w:hAnsi="Times New Roman" w:cs="Times New Roman"/>
                <w:sz w:val="20"/>
                <w:szCs w:val="20"/>
              </w:rPr>
              <w:t xml:space="preserve"> Rekomendācija III un X C(i));</w:t>
            </w:r>
          </w:p>
          <w:p w14:paraId="279FF664" w14:textId="77777777" w:rsidR="00BC54C8" w:rsidRPr="00501B3A" w:rsidRDefault="00BC54C8" w:rsidP="00721F81">
            <w:pPr>
              <w:autoSpaceDE w:val="0"/>
              <w:autoSpaceDN w:val="0"/>
              <w:adjustRightInd w:val="0"/>
              <w:jc w:val="both"/>
              <w:rPr>
                <w:rFonts w:ascii="Times New Roman" w:hAnsi="Times New Roman" w:cs="Times New Roman"/>
                <w:sz w:val="20"/>
                <w:szCs w:val="20"/>
              </w:rPr>
            </w:pPr>
          </w:p>
        </w:tc>
        <w:tc>
          <w:tcPr>
            <w:tcW w:w="7371" w:type="dxa"/>
            <w:shd w:val="clear" w:color="auto" w:fill="FFFFFF" w:themeFill="background1"/>
          </w:tcPr>
          <w:p w14:paraId="3EBC1EE3" w14:textId="77777777" w:rsidR="00BC54C8" w:rsidRPr="00E67EEF" w:rsidRDefault="00BC54C8" w:rsidP="00721F81">
            <w:pPr>
              <w:autoSpaceDE w:val="0"/>
              <w:autoSpaceDN w:val="0"/>
              <w:adjustRightInd w:val="0"/>
              <w:jc w:val="both"/>
              <w:rPr>
                <w:rFonts w:cs="Times New Roman"/>
                <w:sz w:val="20"/>
                <w:szCs w:val="20"/>
              </w:rPr>
            </w:pPr>
            <w:proofErr w:type="gramStart"/>
            <w:r w:rsidRPr="00E67EEF">
              <w:rPr>
                <w:rFonts w:ascii="Times New Roman" w:hAnsi="Times New Roman" w:cs="Times New Roman"/>
                <w:sz w:val="20"/>
                <w:szCs w:val="20"/>
              </w:rPr>
              <w:t>2017.gadā</w:t>
            </w:r>
            <w:proofErr w:type="gramEnd"/>
            <w:r w:rsidRPr="00E67EEF">
              <w:rPr>
                <w:rFonts w:ascii="Times New Roman" w:hAnsi="Times New Roman" w:cs="Times New Roman"/>
                <w:sz w:val="20"/>
                <w:szCs w:val="20"/>
              </w:rPr>
              <w:t xml:space="preserve"> KNAB sadarbībā ar PKC, VID, Rīgas domes Birokrātijas apkarošanas centru un Iekšējās drošības biroju izstrādāja vadlīnijas “Vadlīnijas par iekšējās kontroles sistēmas pamatprasībām korupcijas un interešu konflikta riska novēršanai publiskas personas institūcijā”. Vadlīnijās iekļauta atsevišķa nodaļa “Ārvalstu amatpersonu kukuļošanas novēršana”. Vadlīnijas apstiprinātas ar KNAB priekšnieka </w:t>
            </w:r>
            <w:proofErr w:type="gramStart"/>
            <w:r w:rsidRPr="00E67EEF">
              <w:rPr>
                <w:rFonts w:ascii="Times New Roman" w:hAnsi="Times New Roman" w:cs="Times New Roman"/>
                <w:sz w:val="20"/>
                <w:szCs w:val="20"/>
              </w:rPr>
              <w:t>2018.gada</w:t>
            </w:r>
            <w:proofErr w:type="gramEnd"/>
            <w:r w:rsidRPr="00E67EEF">
              <w:rPr>
                <w:rFonts w:ascii="Times New Roman" w:hAnsi="Times New Roman" w:cs="Times New Roman"/>
                <w:sz w:val="20"/>
                <w:szCs w:val="20"/>
              </w:rPr>
              <w:t xml:space="preserve"> 31.janvāra rezolūciju un atrodamas </w:t>
            </w:r>
            <w:hyperlink r:id="rId8" w:history="1">
              <w:r w:rsidRPr="00E67EEF">
                <w:rPr>
                  <w:rFonts w:cs="Times New Roman"/>
                  <w:sz w:val="20"/>
                  <w:szCs w:val="20"/>
                </w:rPr>
                <w:t>https://www.knab.gov.lv/lv/press/532749-izstradatas_vadlinijas_par_ieksejas_kontroles_sistemas_pamatprasibam_korupcijas_riska_noversanai.html</w:t>
              </w:r>
            </w:hyperlink>
            <w:r w:rsidRPr="00E67EEF">
              <w:rPr>
                <w:rFonts w:cs="Times New Roman"/>
                <w:sz w:val="20"/>
                <w:szCs w:val="20"/>
              </w:rPr>
              <w:t>.</w:t>
            </w:r>
          </w:p>
          <w:p w14:paraId="51F9CC05" w14:textId="77777777" w:rsidR="00BC54C8" w:rsidRPr="007B707E" w:rsidRDefault="00BC54C8" w:rsidP="00721F81">
            <w:pPr>
              <w:autoSpaceDE w:val="0"/>
              <w:autoSpaceDN w:val="0"/>
              <w:adjustRightInd w:val="0"/>
              <w:jc w:val="both"/>
              <w:rPr>
                <w:rFonts w:ascii="Times New Roman" w:hAnsi="Times New Roman"/>
                <w:sz w:val="20"/>
                <w:szCs w:val="20"/>
              </w:rPr>
            </w:pPr>
          </w:p>
          <w:p w14:paraId="7714C8AF" w14:textId="77777777" w:rsidR="00BC54C8" w:rsidRPr="00501B3A" w:rsidRDefault="00BC54C8" w:rsidP="00721F81">
            <w:pPr>
              <w:autoSpaceDE w:val="0"/>
              <w:autoSpaceDN w:val="0"/>
              <w:adjustRightInd w:val="0"/>
              <w:jc w:val="both"/>
              <w:rPr>
                <w:rFonts w:ascii="Times New Roman" w:hAnsi="Times New Roman" w:cs="Times New Roman"/>
                <w:sz w:val="20"/>
                <w:szCs w:val="20"/>
              </w:rPr>
            </w:pPr>
          </w:p>
        </w:tc>
        <w:tc>
          <w:tcPr>
            <w:tcW w:w="1078" w:type="dxa"/>
            <w:shd w:val="clear" w:color="auto" w:fill="FFFFFF" w:themeFill="background1"/>
          </w:tcPr>
          <w:p w14:paraId="7363DEDA" w14:textId="77777777" w:rsidR="00BC54C8" w:rsidRPr="00501B3A" w:rsidRDefault="00BC54C8" w:rsidP="00721F81">
            <w:pPr>
              <w:autoSpaceDE w:val="0"/>
              <w:autoSpaceDN w:val="0"/>
              <w:adjustRightInd w:val="0"/>
              <w:jc w:val="both"/>
              <w:rPr>
                <w:rFonts w:ascii="Times New Roman" w:hAnsi="Times New Roman" w:cs="Times New Roman"/>
                <w:sz w:val="20"/>
                <w:szCs w:val="20"/>
              </w:rPr>
            </w:pPr>
            <w:r w:rsidRPr="00501B3A">
              <w:rPr>
                <w:rFonts w:ascii="Times New Roman" w:hAnsi="Times New Roman" w:cs="Times New Roman"/>
                <w:sz w:val="20"/>
                <w:szCs w:val="20"/>
              </w:rPr>
              <w:t>PKC, KNAB</w:t>
            </w:r>
          </w:p>
        </w:tc>
        <w:tc>
          <w:tcPr>
            <w:tcW w:w="1053" w:type="dxa"/>
            <w:shd w:val="clear" w:color="auto" w:fill="FFFFFF" w:themeFill="background1"/>
          </w:tcPr>
          <w:p w14:paraId="59694602" w14:textId="77777777" w:rsidR="00BC54C8" w:rsidRPr="00501B3A" w:rsidRDefault="00BC54C8" w:rsidP="00721F81">
            <w:pPr>
              <w:autoSpaceDE w:val="0"/>
              <w:autoSpaceDN w:val="0"/>
              <w:adjustRightInd w:val="0"/>
              <w:jc w:val="both"/>
              <w:rPr>
                <w:rFonts w:ascii="Times New Roman" w:hAnsi="Times New Roman" w:cs="Times New Roman"/>
                <w:sz w:val="20"/>
                <w:szCs w:val="20"/>
              </w:rPr>
            </w:pPr>
            <w:proofErr w:type="gramStart"/>
            <w:r w:rsidRPr="00501B3A">
              <w:rPr>
                <w:rFonts w:ascii="Times New Roman" w:hAnsi="Times New Roman" w:cs="Times New Roman"/>
                <w:sz w:val="20"/>
                <w:szCs w:val="20"/>
              </w:rPr>
              <w:t>201</w:t>
            </w:r>
            <w:r>
              <w:rPr>
                <w:rFonts w:ascii="Times New Roman" w:hAnsi="Times New Roman" w:cs="Times New Roman"/>
                <w:sz w:val="20"/>
                <w:szCs w:val="20"/>
              </w:rPr>
              <w:t>9</w:t>
            </w:r>
            <w:r w:rsidRPr="00501B3A">
              <w:rPr>
                <w:rFonts w:ascii="Times New Roman" w:hAnsi="Times New Roman" w:cs="Times New Roman"/>
                <w:sz w:val="20"/>
                <w:szCs w:val="20"/>
              </w:rPr>
              <w:t>.gada</w:t>
            </w:r>
            <w:proofErr w:type="gramEnd"/>
            <w:r w:rsidRPr="00501B3A">
              <w:rPr>
                <w:rFonts w:ascii="Times New Roman" w:hAnsi="Times New Roman" w:cs="Times New Roman"/>
                <w:sz w:val="20"/>
                <w:szCs w:val="20"/>
              </w:rPr>
              <w:t xml:space="preserve"> 1.</w:t>
            </w:r>
            <w:r>
              <w:rPr>
                <w:rFonts w:ascii="Times New Roman" w:hAnsi="Times New Roman" w:cs="Times New Roman"/>
                <w:sz w:val="20"/>
                <w:szCs w:val="20"/>
              </w:rPr>
              <w:t>janvāris</w:t>
            </w:r>
          </w:p>
        </w:tc>
      </w:tr>
      <w:tr w:rsidR="00BC54C8" w:rsidRPr="00501B3A" w14:paraId="2D0E1D73" w14:textId="77777777" w:rsidTr="00DD0B78">
        <w:tc>
          <w:tcPr>
            <w:tcW w:w="3064" w:type="dxa"/>
            <w:shd w:val="clear" w:color="auto" w:fill="FFFFFF" w:themeFill="background1"/>
          </w:tcPr>
          <w:p w14:paraId="09EBC474" w14:textId="77777777" w:rsidR="00BC54C8" w:rsidRDefault="00BC54C8" w:rsidP="00721F81">
            <w:pPr>
              <w:autoSpaceDE w:val="0"/>
              <w:autoSpaceDN w:val="0"/>
              <w:adjustRightInd w:val="0"/>
              <w:jc w:val="both"/>
              <w:rPr>
                <w:rFonts w:ascii="Times New Roman" w:hAnsi="Times New Roman" w:cs="Times New Roman"/>
                <w:sz w:val="20"/>
                <w:szCs w:val="20"/>
              </w:rPr>
            </w:pPr>
            <w:r w:rsidRPr="00013A7F">
              <w:rPr>
                <w:rFonts w:ascii="Times New Roman" w:hAnsi="Times New Roman" w:cs="Times New Roman"/>
                <w:sz w:val="20"/>
                <w:szCs w:val="20"/>
              </w:rPr>
              <w:t>9. Attiecībā uz ārvalstu amatpersonu kukuļošanas un ar to saistīto noziedzīgo nodarījumu izmeklēšanu un kriminālvajāšanu WGB rekomendē, lai Latvija:</w:t>
            </w:r>
            <w:r w:rsidRPr="00501B3A">
              <w:rPr>
                <w:rFonts w:ascii="Times New Roman" w:hAnsi="Times New Roman" w:cs="Times New Roman"/>
                <w:sz w:val="20"/>
                <w:szCs w:val="20"/>
              </w:rPr>
              <w:t xml:space="preserve"> </w:t>
            </w:r>
          </w:p>
          <w:p w14:paraId="34DC4DAA" w14:textId="77777777" w:rsidR="00BC54C8" w:rsidRPr="00501B3A"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 n</w:t>
            </w:r>
            <w:r w:rsidRPr="00501B3A">
              <w:rPr>
                <w:rFonts w:ascii="Times New Roman" w:hAnsi="Times New Roman" w:cs="Times New Roman"/>
                <w:sz w:val="20"/>
                <w:szCs w:val="20"/>
              </w:rPr>
              <w:t>odrošināt</w:t>
            </w:r>
            <w:r>
              <w:rPr>
                <w:rFonts w:ascii="Times New Roman" w:hAnsi="Times New Roman" w:cs="Times New Roman"/>
                <w:sz w:val="20"/>
                <w:szCs w:val="20"/>
              </w:rPr>
              <w:t>u</w:t>
            </w:r>
            <w:r w:rsidRPr="00501B3A">
              <w:rPr>
                <w:rFonts w:ascii="Times New Roman" w:hAnsi="Times New Roman" w:cs="Times New Roman"/>
                <w:sz w:val="20"/>
                <w:szCs w:val="20"/>
              </w:rPr>
              <w:t xml:space="preserve"> informācijas par spēkā stājušos vienošanos</w:t>
            </w:r>
            <w:r>
              <w:rPr>
                <w:rFonts w:ascii="Times New Roman" w:hAnsi="Times New Roman" w:cs="Times New Roman"/>
                <w:sz w:val="20"/>
                <w:szCs w:val="20"/>
              </w:rPr>
              <w:t xml:space="preserve"> un prokurora priekšrakstu par sodu</w:t>
            </w:r>
            <w:r w:rsidRPr="00501B3A">
              <w:rPr>
                <w:rFonts w:ascii="Times New Roman" w:hAnsi="Times New Roman" w:cs="Times New Roman"/>
                <w:sz w:val="20"/>
                <w:szCs w:val="20"/>
              </w:rPr>
              <w:t xml:space="preserve"> ārvalstu amatpersonu kukuļošanas lietās publicēšanu. </w:t>
            </w:r>
          </w:p>
          <w:p w14:paraId="69228725" w14:textId="77777777" w:rsidR="00BC54C8" w:rsidRDefault="00BC54C8" w:rsidP="00721F81">
            <w:pPr>
              <w:autoSpaceDE w:val="0"/>
              <w:autoSpaceDN w:val="0"/>
              <w:adjustRightInd w:val="0"/>
              <w:jc w:val="both"/>
              <w:rPr>
                <w:rFonts w:ascii="Times New Roman" w:hAnsi="Times New Roman" w:cs="Times New Roman"/>
                <w:sz w:val="20"/>
                <w:szCs w:val="20"/>
              </w:rPr>
            </w:pPr>
          </w:p>
          <w:p w14:paraId="029C3D17" w14:textId="1FFA873A" w:rsidR="008C4CBC" w:rsidRDefault="008C4CBC" w:rsidP="00721F81">
            <w:pPr>
              <w:autoSpaceDE w:val="0"/>
              <w:autoSpaceDN w:val="0"/>
              <w:adjustRightInd w:val="0"/>
              <w:jc w:val="both"/>
              <w:rPr>
                <w:rFonts w:ascii="Times New Roman" w:hAnsi="Times New Roman" w:cs="Times New Roman"/>
                <w:sz w:val="20"/>
                <w:szCs w:val="20"/>
              </w:rPr>
            </w:pPr>
          </w:p>
        </w:tc>
        <w:tc>
          <w:tcPr>
            <w:tcW w:w="7371" w:type="dxa"/>
            <w:shd w:val="clear" w:color="auto" w:fill="FFFFFF" w:themeFill="background1"/>
          </w:tcPr>
          <w:p w14:paraId="3EE05606" w14:textId="77777777" w:rsidR="00BC54C8" w:rsidRPr="00E359D6" w:rsidRDefault="00BC54C8" w:rsidP="00721F81">
            <w:pPr>
              <w:rPr>
                <w:rFonts w:ascii="Times New Roman" w:hAnsi="Times New Roman" w:cs="Times New Roman"/>
                <w:sz w:val="20"/>
                <w:szCs w:val="20"/>
              </w:rPr>
            </w:pPr>
            <w:r w:rsidRPr="00E359D6">
              <w:rPr>
                <w:rFonts w:ascii="Times New Roman" w:hAnsi="Times New Roman" w:cs="Times New Roman"/>
                <w:sz w:val="20"/>
                <w:szCs w:val="20"/>
              </w:rPr>
              <w:t>Sagatavot Prokuratūras iekšējo normatīvo aktu, kas virsprokuroriem uzliek par pienākumu nodrošināt informācijas sniegšanu Prokuratūras Preses dienestam par</w:t>
            </w:r>
            <w:proofErr w:type="gramStart"/>
            <w:r w:rsidRPr="00E359D6">
              <w:rPr>
                <w:rFonts w:ascii="Times New Roman" w:hAnsi="Times New Roman" w:cs="Times New Roman"/>
                <w:sz w:val="20"/>
                <w:szCs w:val="20"/>
              </w:rPr>
              <w:t xml:space="preserve">  </w:t>
            </w:r>
            <w:proofErr w:type="gramEnd"/>
            <w:r w:rsidRPr="00E359D6">
              <w:rPr>
                <w:rFonts w:ascii="Times New Roman" w:hAnsi="Times New Roman" w:cs="Times New Roman"/>
                <w:sz w:val="20"/>
                <w:szCs w:val="20"/>
              </w:rPr>
              <w:t xml:space="preserve">spēkā stājušos vienošanos un prokurora priekšrakstu par sodu ārvalstu amatpersonu kukuļošanas lietās (un citu kategoriju kukuļošanas lietās). Prokuratūras Preses dienestam uzlikt par pienākumu ievietot Prokuratūras interneta vietnē minēto informāciju (sniedzamās informācijas apjoms tiks precizēts). </w:t>
            </w:r>
          </w:p>
          <w:p w14:paraId="3F5106A3" w14:textId="77777777" w:rsidR="00BC54C8" w:rsidRDefault="00BC54C8" w:rsidP="00721F81">
            <w:pPr>
              <w:autoSpaceDE w:val="0"/>
              <w:autoSpaceDN w:val="0"/>
              <w:adjustRightInd w:val="0"/>
              <w:jc w:val="both"/>
              <w:rPr>
                <w:rFonts w:ascii="Times New Roman" w:hAnsi="Times New Roman" w:cs="Times New Roman"/>
                <w:sz w:val="20"/>
                <w:szCs w:val="20"/>
              </w:rPr>
            </w:pPr>
          </w:p>
        </w:tc>
        <w:tc>
          <w:tcPr>
            <w:tcW w:w="1078" w:type="dxa"/>
            <w:shd w:val="clear" w:color="auto" w:fill="FFFFFF" w:themeFill="background1"/>
          </w:tcPr>
          <w:p w14:paraId="22787F9F" w14:textId="77777777" w:rsidR="00BC54C8" w:rsidRPr="00501B3A"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ĢP</w:t>
            </w:r>
          </w:p>
        </w:tc>
        <w:tc>
          <w:tcPr>
            <w:tcW w:w="1053" w:type="dxa"/>
            <w:shd w:val="clear" w:color="auto" w:fill="FFFFFF" w:themeFill="background1"/>
          </w:tcPr>
          <w:p w14:paraId="03C4B987" w14:textId="77777777" w:rsidR="00BC54C8" w:rsidRPr="00501B3A" w:rsidRDefault="00BC54C8" w:rsidP="00721F81">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2019.gada</w:t>
            </w:r>
            <w:proofErr w:type="gramEnd"/>
            <w:r>
              <w:rPr>
                <w:rFonts w:ascii="Times New Roman" w:hAnsi="Times New Roman" w:cs="Times New Roman"/>
                <w:sz w:val="20"/>
                <w:szCs w:val="20"/>
              </w:rPr>
              <w:t xml:space="preserve"> 1.janvāris</w:t>
            </w:r>
          </w:p>
        </w:tc>
      </w:tr>
      <w:tr w:rsidR="00BC54C8" w:rsidRPr="00501B3A" w14:paraId="0D98C3BA" w14:textId="77777777" w:rsidTr="00DD0B78">
        <w:tc>
          <w:tcPr>
            <w:tcW w:w="3064" w:type="dxa"/>
            <w:shd w:val="clear" w:color="auto" w:fill="FFFFFF" w:themeFill="background1"/>
          </w:tcPr>
          <w:p w14:paraId="118CA178" w14:textId="77777777" w:rsidR="00BC54C8" w:rsidRPr="00C62624" w:rsidRDefault="00BC54C8" w:rsidP="00721F81">
            <w:pPr>
              <w:autoSpaceDE w:val="0"/>
              <w:autoSpaceDN w:val="0"/>
              <w:adjustRightInd w:val="0"/>
              <w:jc w:val="both"/>
              <w:rPr>
                <w:rFonts w:ascii="Times New Roman" w:hAnsi="Times New Roman" w:cs="Times New Roman"/>
                <w:sz w:val="20"/>
                <w:szCs w:val="20"/>
              </w:rPr>
            </w:pPr>
            <w:r w:rsidRPr="00C62624">
              <w:rPr>
                <w:rFonts w:ascii="Times New Roman" w:hAnsi="Times New Roman" w:cs="Times New Roman"/>
                <w:sz w:val="20"/>
                <w:szCs w:val="20"/>
              </w:rPr>
              <w:lastRenderedPageBreak/>
              <w:t>13.</w:t>
            </w:r>
            <w:r w:rsidRPr="00C62624">
              <w:rPr>
                <w:rFonts w:ascii="Times New Roman" w:hAnsi="Times New Roman" w:cs="Times New Roman"/>
                <w:sz w:val="20"/>
                <w:szCs w:val="20"/>
              </w:rPr>
              <w:tab/>
              <w:t>Attiecībā uz ārvalstu amatpersonu kukuļošanas noziedzīgo nodarījumu WGB rekomendē, lai Latvija veic labojumus savos tiesību aktos, nodrošinot, ka:</w:t>
            </w:r>
          </w:p>
          <w:p w14:paraId="5B1B2028" w14:textId="77777777" w:rsidR="00BC54C8" w:rsidRDefault="00BC54C8" w:rsidP="00721F81">
            <w:pPr>
              <w:autoSpaceDE w:val="0"/>
              <w:autoSpaceDN w:val="0"/>
              <w:adjustRightInd w:val="0"/>
              <w:jc w:val="both"/>
              <w:rPr>
                <w:rFonts w:ascii="Times New Roman" w:hAnsi="Times New Roman" w:cs="Times New Roman"/>
                <w:sz w:val="20"/>
                <w:szCs w:val="20"/>
              </w:rPr>
            </w:pPr>
            <w:r w:rsidRPr="00C62624">
              <w:rPr>
                <w:rFonts w:ascii="Times New Roman" w:hAnsi="Times New Roman" w:cs="Times New Roman"/>
                <w:sz w:val="20"/>
                <w:szCs w:val="20"/>
              </w:rPr>
              <w:t>(a)</w:t>
            </w:r>
            <w:r w:rsidRPr="00C62624">
              <w:rPr>
                <w:rFonts w:ascii="Times New Roman" w:hAnsi="Times New Roman" w:cs="Times New Roman"/>
                <w:sz w:val="20"/>
                <w:szCs w:val="20"/>
              </w:rPr>
              <w:tab/>
              <w:t xml:space="preserve">tiešs nodoms, kā tas ir definēts Latvijas tiesību aktos, atbilstu Konvencijas </w:t>
            </w:r>
            <w:proofErr w:type="gramStart"/>
            <w:r w:rsidRPr="00C62624">
              <w:rPr>
                <w:rFonts w:ascii="Times New Roman" w:hAnsi="Times New Roman" w:cs="Times New Roman"/>
                <w:sz w:val="20"/>
                <w:szCs w:val="20"/>
              </w:rPr>
              <w:t>1.pantā</w:t>
            </w:r>
            <w:proofErr w:type="gramEnd"/>
            <w:r w:rsidRPr="00C62624">
              <w:rPr>
                <w:rFonts w:ascii="Times New Roman" w:hAnsi="Times New Roman" w:cs="Times New Roman"/>
                <w:sz w:val="20"/>
                <w:szCs w:val="20"/>
              </w:rPr>
              <w:t xml:space="preserve"> minētajam (Konvencijas 1.pants);</w:t>
            </w:r>
          </w:p>
        </w:tc>
        <w:tc>
          <w:tcPr>
            <w:tcW w:w="7371" w:type="dxa"/>
            <w:shd w:val="clear" w:color="auto" w:fill="FFFFFF" w:themeFill="background1"/>
          </w:tcPr>
          <w:p w14:paraId="3AAD74C6" w14:textId="77777777" w:rsidR="00BC54C8"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Nodrošināt, ka Krimināllikuma </w:t>
            </w:r>
            <w:proofErr w:type="gramStart"/>
            <w:r>
              <w:rPr>
                <w:rFonts w:ascii="Times New Roman" w:hAnsi="Times New Roman" w:cs="Times New Roman"/>
                <w:sz w:val="20"/>
                <w:szCs w:val="20"/>
              </w:rPr>
              <w:t>9.pantā</w:t>
            </w:r>
            <w:proofErr w:type="gramEnd"/>
            <w:r>
              <w:rPr>
                <w:rFonts w:ascii="Times New Roman" w:hAnsi="Times New Roman" w:cs="Times New Roman"/>
                <w:sz w:val="20"/>
                <w:szCs w:val="20"/>
              </w:rPr>
              <w:t xml:space="preserve"> ietvertā tieša nodoma interpretācija atbilst Konvencijas 1.panta prasībām</w:t>
            </w:r>
          </w:p>
        </w:tc>
        <w:tc>
          <w:tcPr>
            <w:tcW w:w="1078" w:type="dxa"/>
            <w:shd w:val="clear" w:color="auto" w:fill="FFFFFF" w:themeFill="background1"/>
          </w:tcPr>
          <w:p w14:paraId="2B65AC65" w14:textId="77777777" w:rsidR="00BC54C8" w:rsidRPr="00501B3A" w:rsidRDefault="00BC54C8" w:rsidP="00721F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TM</w:t>
            </w:r>
          </w:p>
        </w:tc>
        <w:tc>
          <w:tcPr>
            <w:tcW w:w="1053" w:type="dxa"/>
            <w:shd w:val="clear" w:color="auto" w:fill="FFFFFF" w:themeFill="background1"/>
          </w:tcPr>
          <w:p w14:paraId="769357B5" w14:textId="77777777" w:rsidR="00BC54C8" w:rsidRPr="00501B3A" w:rsidRDefault="00BC54C8" w:rsidP="00721F81">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2018.gada</w:t>
            </w:r>
            <w:proofErr w:type="gramEnd"/>
            <w:r>
              <w:rPr>
                <w:rFonts w:ascii="Times New Roman" w:hAnsi="Times New Roman" w:cs="Times New Roman"/>
                <w:sz w:val="20"/>
                <w:szCs w:val="20"/>
              </w:rPr>
              <w:t xml:space="preserve"> 1.oktobris</w:t>
            </w:r>
          </w:p>
        </w:tc>
      </w:tr>
    </w:tbl>
    <w:p w14:paraId="38996B8C" w14:textId="77777777" w:rsidR="00721F81" w:rsidRDefault="00721F81" w:rsidP="00721F81">
      <w:pPr>
        <w:pStyle w:val="Paraksts"/>
        <w:widowControl/>
        <w:tabs>
          <w:tab w:val="clear" w:pos="9072"/>
        </w:tabs>
        <w:spacing w:before="0"/>
        <w:ind w:firstLine="0"/>
        <w:jc w:val="both"/>
        <w:rPr>
          <w:sz w:val="28"/>
          <w:szCs w:val="28"/>
          <w:lang w:val="lv-LV"/>
        </w:rPr>
      </w:pPr>
    </w:p>
    <w:p w14:paraId="70BF9D71" w14:textId="032CEFB8" w:rsidR="00721F81" w:rsidRPr="00DD0B78" w:rsidRDefault="00721F81" w:rsidP="00721F81">
      <w:pPr>
        <w:pStyle w:val="Paraksts"/>
        <w:widowControl/>
        <w:tabs>
          <w:tab w:val="clear" w:pos="9072"/>
        </w:tabs>
        <w:spacing w:before="0"/>
        <w:ind w:firstLine="0"/>
        <w:jc w:val="both"/>
        <w:rPr>
          <w:sz w:val="24"/>
          <w:lang w:val="lv-LV"/>
        </w:rPr>
      </w:pPr>
      <w:r w:rsidRPr="00DD0B78">
        <w:rPr>
          <w:sz w:val="24"/>
          <w:lang w:val="lv-LV"/>
        </w:rPr>
        <w:t>Tieslietu ministrs</w:t>
      </w:r>
      <w:r w:rsidRPr="00DD0B78">
        <w:rPr>
          <w:sz w:val="24"/>
          <w:lang w:val="lv-LV"/>
        </w:rPr>
        <w:tab/>
      </w:r>
      <w:r w:rsidRPr="00DD0B78">
        <w:rPr>
          <w:sz w:val="24"/>
          <w:lang w:val="lv-LV"/>
        </w:rPr>
        <w:tab/>
      </w:r>
      <w:r w:rsidRPr="00DD0B78">
        <w:rPr>
          <w:sz w:val="24"/>
          <w:lang w:val="lv-LV"/>
        </w:rPr>
        <w:tab/>
      </w:r>
      <w:r w:rsidRPr="00DD0B78">
        <w:rPr>
          <w:sz w:val="24"/>
          <w:lang w:val="lv-LV"/>
        </w:rPr>
        <w:tab/>
      </w:r>
      <w:r w:rsidRPr="00DD0B78">
        <w:rPr>
          <w:sz w:val="24"/>
          <w:lang w:val="lv-LV"/>
        </w:rPr>
        <w:tab/>
      </w:r>
      <w:r w:rsidRPr="00DD0B78">
        <w:rPr>
          <w:sz w:val="24"/>
          <w:lang w:val="lv-LV"/>
        </w:rPr>
        <w:tab/>
      </w:r>
      <w:r w:rsidRPr="00DD0B78">
        <w:rPr>
          <w:sz w:val="24"/>
          <w:lang w:val="lv-LV"/>
        </w:rPr>
        <w:tab/>
      </w:r>
      <w:r w:rsidRPr="00DD0B78">
        <w:rPr>
          <w:sz w:val="24"/>
          <w:lang w:val="lv-LV"/>
        </w:rPr>
        <w:tab/>
      </w:r>
      <w:r w:rsidRPr="00DD0B78">
        <w:rPr>
          <w:sz w:val="24"/>
          <w:lang w:val="lv-LV"/>
        </w:rPr>
        <w:tab/>
      </w:r>
      <w:r w:rsidRPr="00DD0B78">
        <w:rPr>
          <w:sz w:val="24"/>
          <w:lang w:val="lv-LV"/>
        </w:rPr>
        <w:tab/>
      </w:r>
      <w:r w:rsidRPr="00DD0B78">
        <w:rPr>
          <w:sz w:val="24"/>
          <w:lang w:val="lv-LV"/>
        </w:rPr>
        <w:tab/>
      </w:r>
      <w:r w:rsidRPr="00DD0B78">
        <w:rPr>
          <w:sz w:val="24"/>
          <w:lang w:val="lv-LV"/>
        </w:rPr>
        <w:tab/>
      </w:r>
      <w:r w:rsidRPr="00DD0B78">
        <w:rPr>
          <w:sz w:val="24"/>
          <w:lang w:val="lv-LV"/>
        </w:rPr>
        <w:tab/>
      </w:r>
      <w:r w:rsidRPr="00DD0B78">
        <w:rPr>
          <w:sz w:val="24"/>
          <w:lang w:val="lv-LV"/>
        </w:rPr>
        <w:tab/>
        <w:t>Dzintars Rasnačs</w:t>
      </w:r>
    </w:p>
    <w:p w14:paraId="6DF516D8" w14:textId="6E7A54BA" w:rsidR="00D723EA" w:rsidRDefault="00D723EA" w:rsidP="00D723EA">
      <w:pPr>
        <w:pStyle w:val="Atpakaadreseuzaploksnes"/>
        <w:rPr>
          <w:lang w:eastAsia="lv-LV"/>
        </w:rPr>
      </w:pPr>
    </w:p>
    <w:p w14:paraId="661168DE" w14:textId="77777777" w:rsidR="00D723EA" w:rsidRPr="00841293" w:rsidRDefault="00D723EA" w:rsidP="00DD0B78">
      <w:pPr>
        <w:pStyle w:val="Atpakaadreseuzaploksnes"/>
      </w:pPr>
    </w:p>
    <w:p w14:paraId="0207F21D" w14:textId="77777777" w:rsidR="00BC54C8" w:rsidRDefault="00BC54C8">
      <w:pPr>
        <w:spacing w:after="0" w:line="240" w:lineRule="auto"/>
        <w:rPr>
          <w:rFonts w:ascii="Times New Roman" w:eastAsia="Times New Roman" w:hAnsi="Times New Roman" w:cs="Times New Roman"/>
          <w:sz w:val="28"/>
          <w:szCs w:val="28"/>
          <w:lang w:eastAsia="lv-LV"/>
        </w:rPr>
      </w:pPr>
    </w:p>
    <w:sectPr w:rsidR="00BC54C8" w:rsidSect="00DD0B78">
      <w:headerReference w:type="default" r:id="rId9"/>
      <w:footerReference w:type="default" r:id="rId10"/>
      <w:headerReference w:type="first" r:id="rId11"/>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122D0" w14:textId="77777777" w:rsidR="00BD05D3" w:rsidRDefault="00BD05D3" w:rsidP="00230A3F">
      <w:pPr>
        <w:spacing w:after="0" w:line="240" w:lineRule="auto"/>
      </w:pPr>
      <w:r>
        <w:separator/>
      </w:r>
    </w:p>
  </w:endnote>
  <w:endnote w:type="continuationSeparator" w:id="0">
    <w:p w14:paraId="0F75AF4A" w14:textId="77777777" w:rsidR="00BD05D3" w:rsidRDefault="00BD05D3" w:rsidP="0023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91C8" w14:textId="21A2FFCC" w:rsidR="008C6067" w:rsidRPr="008C6067" w:rsidRDefault="008C6067">
    <w:pPr>
      <w:pStyle w:val="Kjene"/>
      <w:rPr>
        <w:rFonts w:ascii="Times New Roman" w:hAnsi="Times New Roman" w:cs="Times New Roman"/>
        <w:sz w:val="20"/>
        <w:szCs w:val="20"/>
      </w:rPr>
    </w:pPr>
    <w:r w:rsidRPr="008C6067">
      <w:rPr>
        <w:rFonts w:ascii="Times New Roman" w:hAnsi="Times New Roman" w:cs="Times New Roman"/>
        <w:sz w:val="20"/>
        <w:szCs w:val="20"/>
      </w:rPr>
      <w:fldChar w:fldCharType="begin"/>
    </w:r>
    <w:r w:rsidRPr="008C6067">
      <w:rPr>
        <w:rFonts w:ascii="Times New Roman" w:hAnsi="Times New Roman" w:cs="Times New Roman"/>
        <w:sz w:val="20"/>
        <w:szCs w:val="20"/>
      </w:rPr>
      <w:instrText xml:space="preserve"> FILENAME   \* MERGEFORMAT </w:instrText>
    </w:r>
    <w:r w:rsidRPr="008C6067">
      <w:rPr>
        <w:rFonts w:ascii="Times New Roman" w:hAnsi="Times New Roman" w:cs="Times New Roman"/>
        <w:sz w:val="20"/>
        <w:szCs w:val="20"/>
      </w:rPr>
      <w:fldChar w:fldCharType="separate"/>
    </w:r>
    <w:r w:rsidR="0012670C">
      <w:rPr>
        <w:rFonts w:ascii="Times New Roman" w:hAnsi="Times New Roman" w:cs="Times New Roman"/>
        <w:noProof/>
        <w:sz w:val="20"/>
        <w:szCs w:val="20"/>
      </w:rPr>
      <w:t>TMZinop1_130318_WGBP2</w:t>
    </w:r>
    <w:r w:rsidRPr="008C606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CDC4" w14:textId="77777777" w:rsidR="00BD05D3" w:rsidRDefault="00BD05D3" w:rsidP="00230A3F">
      <w:pPr>
        <w:spacing w:after="0" w:line="240" w:lineRule="auto"/>
      </w:pPr>
      <w:r>
        <w:separator/>
      </w:r>
    </w:p>
  </w:footnote>
  <w:footnote w:type="continuationSeparator" w:id="0">
    <w:p w14:paraId="0B0CA74E" w14:textId="77777777" w:rsidR="00BD05D3" w:rsidRDefault="00BD05D3" w:rsidP="00230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815498"/>
      <w:docPartObj>
        <w:docPartGallery w:val="Page Numbers (Top of Page)"/>
        <w:docPartUnique/>
      </w:docPartObj>
    </w:sdtPr>
    <w:sdtEndPr>
      <w:rPr>
        <w:rFonts w:ascii="Times New Roman" w:hAnsi="Times New Roman" w:cs="Times New Roman"/>
      </w:rPr>
    </w:sdtEndPr>
    <w:sdtContent>
      <w:p w14:paraId="51FA439B" w14:textId="77777777" w:rsidR="00C47A8B" w:rsidRPr="00682365" w:rsidRDefault="00C47A8B">
        <w:pPr>
          <w:pStyle w:val="Galvene"/>
          <w:jc w:val="center"/>
          <w:rPr>
            <w:rFonts w:ascii="Times New Roman" w:hAnsi="Times New Roman" w:cs="Times New Roman"/>
          </w:rPr>
        </w:pPr>
        <w:r w:rsidRPr="00682365">
          <w:rPr>
            <w:rFonts w:ascii="Times New Roman" w:hAnsi="Times New Roman" w:cs="Times New Roman"/>
          </w:rPr>
          <w:fldChar w:fldCharType="begin"/>
        </w:r>
        <w:r w:rsidRPr="00682365">
          <w:rPr>
            <w:rFonts w:ascii="Times New Roman" w:hAnsi="Times New Roman" w:cs="Times New Roman"/>
          </w:rPr>
          <w:instrText>PAGE   \* MERGEFORMAT</w:instrText>
        </w:r>
        <w:r w:rsidRPr="00682365">
          <w:rPr>
            <w:rFonts w:ascii="Times New Roman" w:hAnsi="Times New Roman" w:cs="Times New Roman"/>
          </w:rPr>
          <w:fldChar w:fldCharType="separate"/>
        </w:r>
        <w:r w:rsidR="00EB5B88">
          <w:rPr>
            <w:rFonts w:ascii="Times New Roman" w:hAnsi="Times New Roman" w:cs="Times New Roman"/>
            <w:noProof/>
          </w:rPr>
          <w:t>1</w:t>
        </w:r>
        <w:r w:rsidRPr="00682365">
          <w:rPr>
            <w:rFonts w:ascii="Times New Roman" w:hAnsi="Times New Roman" w:cs="Times New Roman"/>
          </w:rPr>
          <w:fldChar w:fldCharType="end"/>
        </w:r>
      </w:p>
    </w:sdtContent>
  </w:sdt>
  <w:p w14:paraId="09007771" w14:textId="77777777" w:rsidR="00C47A8B" w:rsidRDefault="00C47A8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EB1B" w14:textId="77777777" w:rsidR="00C47A8B" w:rsidRDefault="00C47A8B">
    <w:pPr>
      <w:pStyle w:val="Galvene"/>
      <w:jc w:val="center"/>
    </w:pPr>
  </w:p>
  <w:p w14:paraId="4B0C55BB" w14:textId="77777777" w:rsidR="00C47A8B" w:rsidRDefault="00C47A8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CF3"/>
    <w:multiLevelType w:val="hybridMultilevel"/>
    <w:tmpl w:val="81806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C24E8C"/>
    <w:multiLevelType w:val="hybridMultilevel"/>
    <w:tmpl w:val="276A9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7F11F9"/>
    <w:multiLevelType w:val="hybridMultilevel"/>
    <w:tmpl w:val="91808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46073"/>
    <w:multiLevelType w:val="hybridMultilevel"/>
    <w:tmpl w:val="A81CEBD2"/>
    <w:lvl w:ilvl="0" w:tplc="0426000F">
      <w:start w:val="1"/>
      <w:numFmt w:val="decimal"/>
      <w:lvlText w:val="%1."/>
      <w:lvlJc w:val="left"/>
      <w:pPr>
        <w:tabs>
          <w:tab w:val="num" w:pos="417"/>
        </w:tabs>
        <w:ind w:left="417"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E305830"/>
    <w:multiLevelType w:val="hybridMultilevel"/>
    <w:tmpl w:val="2F343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401AD4"/>
    <w:multiLevelType w:val="hybridMultilevel"/>
    <w:tmpl w:val="B602E028"/>
    <w:lvl w:ilvl="0" w:tplc="9840686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3F303C"/>
    <w:multiLevelType w:val="hybridMultilevel"/>
    <w:tmpl w:val="66A05DAA"/>
    <w:lvl w:ilvl="0" w:tplc="29CCC1E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113978"/>
    <w:multiLevelType w:val="hybridMultilevel"/>
    <w:tmpl w:val="07327700"/>
    <w:lvl w:ilvl="0" w:tplc="D2A45944">
      <w:start w:val="1"/>
      <w:numFmt w:val="lowerRoman"/>
      <w:lvlText w:val="(%1)"/>
      <w:lvlJc w:val="left"/>
      <w:pPr>
        <w:ind w:left="765" w:hanging="72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8" w15:restartNumberingAfterBreak="0">
    <w:nsid w:val="35831B94"/>
    <w:multiLevelType w:val="hybridMultilevel"/>
    <w:tmpl w:val="F23A3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4171EE"/>
    <w:multiLevelType w:val="hybridMultilevel"/>
    <w:tmpl w:val="EBB2AD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1E7E3C"/>
    <w:multiLevelType w:val="hybridMultilevel"/>
    <w:tmpl w:val="236A1E1E"/>
    <w:lvl w:ilvl="0" w:tplc="D27A2578">
      <w:start w:val="1"/>
      <w:numFmt w:val="lowerRoman"/>
      <w:lvlText w:val="(%1)"/>
      <w:lvlJc w:val="left"/>
      <w:pPr>
        <w:ind w:left="1080" w:hanging="72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B27238"/>
    <w:multiLevelType w:val="hybridMultilevel"/>
    <w:tmpl w:val="A3E4D174"/>
    <w:lvl w:ilvl="0" w:tplc="AAD65CC0">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F3805FF"/>
    <w:multiLevelType w:val="hybridMultilevel"/>
    <w:tmpl w:val="B602E028"/>
    <w:lvl w:ilvl="0" w:tplc="9840686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CC299C"/>
    <w:multiLevelType w:val="hybridMultilevel"/>
    <w:tmpl w:val="18B08624"/>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967132"/>
    <w:multiLevelType w:val="hybridMultilevel"/>
    <w:tmpl w:val="EDB25F3E"/>
    <w:lvl w:ilvl="0" w:tplc="5DBC8C9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4"/>
  </w:num>
  <w:num w:numId="5">
    <w:abstractNumId w:val="6"/>
  </w:num>
  <w:num w:numId="6">
    <w:abstractNumId w:val="3"/>
  </w:num>
  <w:num w:numId="7">
    <w:abstractNumId w:val="12"/>
  </w:num>
  <w:num w:numId="8">
    <w:abstractNumId w:val="13"/>
  </w:num>
  <w:num w:numId="9">
    <w:abstractNumId w:val="11"/>
  </w:num>
  <w:num w:numId="10">
    <w:abstractNumId w:val="10"/>
  </w:num>
  <w:num w:numId="11">
    <w:abstractNumId w:val="8"/>
  </w:num>
  <w:num w:numId="12">
    <w:abstractNumId w:val="2"/>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EE1"/>
    <w:rsid w:val="00003797"/>
    <w:rsid w:val="000043B9"/>
    <w:rsid w:val="0000631C"/>
    <w:rsid w:val="00010120"/>
    <w:rsid w:val="000105CB"/>
    <w:rsid w:val="00013A7F"/>
    <w:rsid w:val="000159C9"/>
    <w:rsid w:val="00041CB1"/>
    <w:rsid w:val="000429C6"/>
    <w:rsid w:val="00043A18"/>
    <w:rsid w:val="00046F95"/>
    <w:rsid w:val="0004715B"/>
    <w:rsid w:val="0005557B"/>
    <w:rsid w:val="000736A9"/>
    <w:rsid w:val="00076AAE"/>
    <w:rsid w:val="0008192F"/>
    <w:rsid w:val="00082F97"/>
    <w:rsid w:val="0009432A"/>
    <w:rsid w:val="000A6BA5"/>
    <w:rsid w:val="000B1DD9"/>
    <w:rsid w:val="000B1F6D"/>
    <w:rsid w:val="000B2BF9"/>
    <w:rsid w:val="000B5160"/>
    <w:rsid w:val="000C376C"/>
    <w:rsid w:val="000D0633"/>
    <w:rsid w:val="000F5AC9"/>
    <w:rsid w:val="000F7424"/>
    <w:rsid w:val="001108FC"/>
    <w:rsid w:val="00113B90"/>
    <w:rsid w:val="00116B9B"/>
    <w:rsid w:val="001175A0"/>
    <w:rsid w:val="001179AC"/>
    <w:rsid w:val="0012670C"/>
    <w:rsid w:val="00133DAD"/>
    <w:rsid w:val="001424FC"/>
    <w:rsid w:val="0014327E"/>
    <w:rsid w:val="00150885"/>
    <w:rsid w:val="001517A6"/>
    <w:rsid w:val="0015297C"/>
    <w:rsid w:val="00152A56"/>
    <w:rsid w:val="0017742D"/>
    <w:rsid w:val="00177466"/>
    <w:rsid w:val="0018128E"/>
    <w:rsid w:val="00183400"/>
    <w:rsid w:val="00186D31"/>
    <w:rsid w:val="001876FF"/>
    <w:rsid w:val="00191282"/>
    <w:rsid w:val="00196638"/>
    <w:rsid w:val="001A345A"/>
    <w:rsid w:val="001A4F03"/>
    <w:rsid w:val="001C0983"/>
    <w:rsid w:val="001D13B7"/>
    <w:rsid w:val="001E7514"/>
    <w:rsid w:val="001F59CB"/>
    <w:rsid w:val="00204D7D"/>
    <w:rsid w:val="00214331"/>
    <w:rsid w:val="00216E63"/>
    <w:rsid w:val="0021728F"/>
    <w:rsid w:val="00222488"/>
    <w:rsid w:val="00223977"/>
    <w:rsid w:val="00230A3F"/>
    <w:rsid w:val="00240195"/>
    <w:rsid w:val="00243030"/>
    <w:rsid w:val="00250740"/>
    <w:rsid w:val="00250919"/>
    <w:rsid w:val="002676C8"/>
    <w:rsid w:val="002833BB"/>
    <w:rsid w:val="0028434D"/>
    <w:rsid w:val="0029002C"/>
    <w:rsid w:val="002930C4"/>
    <w:rsid w:val="002A0E16"/>
    <w:rsid w:val="002A534F"/>
    <w:rsid w:val="002A7ED8"/>
    <w:rsid w:val="002B0517"/>
    <w:rsid w:val="002B21F7"/>
    <w:rsid w:val="002B4DFC"/>
    <w:rsid w:val="002C4449"/>
    <w:rsid w:val="002D20A0"/>
    <w:rsid w:val="00311C35"/>
    <w:rsid w:val="003124BC"/>
    <w:rsid w:val="00327CE9"/>
    <w:rsid w:val="00333932"/>
    <w:rsid w:val="00340240"/>
    <w:rsid w:val="00346929"/>
    <w:rsid w:val="0034759F"/>
    <w:rsid w:val="00353A2C"/>
    <w:rsid w:val="00363269"/>
    <w:rsid w:val="00367385"/>
    <w:rsid w:val="00376E4C"/>
    <w:rsid w:val="0037701E"/>
    <w:rsid w:val="00383775"/>
    <w:rsid w:val="00383A7D"/>
    <w:rsid w:val="003905C2"/>
    <w:rsid w:val="003A7D4D"/>
    <w:rsid w:val="003B5FAF"/>
    <w:rsid w:val="003C6B79"/>
    <w:rsid w:val="003D3C6D"/>
    <w:rsid w:val="003E42D5"/>
    <w:rsid w:val="003F2EC5"/>
    <w:rsid w:val="003F3ABA"/>
    <w:rsid w:val="00403B6D"/>
    <w:rsid w:val="00407F93"/>
    <w:rsid w:val="00453B74"/>
    <w:rsid w:val="00456ACC"/>
    <w:rsid w:val="004639F1"/>
    <w:rsid w:val="004753A5"/>
    <w:rsid w:val="00483C43"/>
    <w:rsid w:val="00485630"/>
    <w:rsid w:val="004917B9"/>
    <w:rsid w:val="004921DA"/>
    <w:rsid w:val="004979DE"/>
    <w:rsid w:val="004A0B6D"/>
    <w:rsid w:val="004B4997"/>
    <w:rsid w:val="004C4E60"/>
    <w:rsid w:val="004E0DCA"/>
    <w:rsid w:val="004E3BD3"/>
    <w:rsid w:val="00501B3A"/>
    <w:rsid w:val="005046AA"/>
    <w:rsid w:val="0050519F"/>
    <w:rsid w:val="00534075"/>
    <w:rsid w:val="005356E6"/>
    <w:rsid w:val="00544772"/>
    <w:rsid w:val="00560FA2"/>
    <w:rsid w:val="00562A9E"/>
    <w:rsid w:val="00565225"/>
    <w:rsid w:val="00570929"/>
    <w:rsid w:val="005740BF"/>
    <w:rsid w:val="00575979"/>
    <w:rsid w:val="00581F87"/>
    <w:rsid w:val="00585DCF"/>
    <w:rsid w:val="005A38D2"/>
    <w:rsid w:val="005A4139"/>
    <w:rsid w:val="005D49A2"/>
    <w:rsid w:val="005D6C2D"/>
    <w:rsid w:val="005E2BF9"/>
    <w:rsid w:val="005E543A"/>
    <w:rsid w:val="005E6505"/>
    <w:rsid w:val="005E751A"/>
    <w:rsid w:val="005F2634"/>
    <w:rsid w:val="005F2F6F"/>
    <w:rsid w:val="005F3CDA"/>
    <w:rsid w:val="005F4EFC"/>
    <w:rsid w:val="00600085"/>
    <w:rsid w:val="00603AFF"/>
    <w:rsid w:val="00617FDB"/>
    <w:rsid w:val="006212DE"/>
    <w:rsid w:val="00632D45"/>
    <w:rsid w:val="00633E54"/>
    <w:rsid w:val="006430F7"/>
    <w:rsid w:val="006464CC"/>
    <w:rsid w:val="0065016C"/>
    <w:rsid w:val="00662EE1"/>
    <w:rsid w:val="00680F97"/>
    <w:rsid w:val="00682365"/>
    <w:rsid w:val="006843C0"/>
    <w:rsid w:val="00694A11"/>
    <w:rsid w:val="006C0AD5"/>
    <w:rsid w:val="006D28AD"/>
    <w:rsid w:val="006D7EAC"/>
    <w:rsid w:val="006E3269"/>
    <w:rsid w:val="00700150"/>
    <w:rsid w:val="00705060"/>
    <w:rsid w:val="00705644"/>
    <w:rsid w:val="00706B80"/>
    <w:rsid w:val="00721403"/>
    <w:rsid w:val="00721F81"/>
    <w:rsid w:val="00732067"/>
    <w:rsid w:val="007348EB"/>
    <w:rsid w:val="00735639"/>
    <w:rsid w:val="007406C8"/>
    <w:rsid w:val="00741296"/>
    <w:rsid w:val="00741953"/>
    <w:rsid w:val="00770018"/>
    <w:rsid w:val="0077179E"/>
    <w:rsid w:val="00772A7B"/>
    <w:rsid w:val="00782C2A"/>
    <w:rsid w:val="007A2DC4"/>
    <w:rsid w:val="007C01ED"/>
    <w:rsid w:val="007D0ED4"/>
    <w:rsid w:val="007D52C8"/>
    <w:rsid w:val="007D7895"/>
    <w:rsid w:val="00803AF2"/>
    <w:rsid w:val="00841293"/>
    <w:rsid w:val="00844BE4"/>
    <w:rsid w:val="00854A7A"/>
    <w:rsid w:val="00856468"/>
    <w:rsid w:val="00862D43"/>
    <w:rsid w:val="00870622"/>
    <w:rsid w:val="00873302"/>
    <w:rsid w:val="00877665"/>
    <w:rsid w:val="008A1818"/>
    <w:rsid w:val="008A5B68"/>
    <w:rsid w:val="008A63C7"/>
    <w:rsid w:val="008B380D"/>
    <w:rsid w:val="008C1FA6"/>
    <w:rsid w:val="008C4CBC"/>
    <w:rsid w:val="008C6067"/>
    <w:rsid w:val="008E3F3D"/>
    <w:rsid w:val="008E4D97"/>
    <w:rsid w:val="008E50AA"/>
    <w:rsid w:val="008F2F88"/>
    <w:rsid w:val="008F7048"/>
    <w:rsid w:val="00906469"/>
    <w:rsid w:val="009079FA"/>
    <w:rsid w:val="009116AB"/>
    <w:rsid w:val="009120FA"/>
    <w:rsid w:val="00913F1E"/>
    <w:rsid w:val="00921CB1"/>
    <w:rsid w:val="00923B14"/>
    <w:rsid w:val="009317AC"/>
    <w:rsid w:val="00932915"/>
    <w:rsid w:val="00933064"/>
    <w:rsid w:val="00936FD1"/>
    <w:rsid w:val="00952B9E"/>
    <w:rsid w:val="00952E54"/>
    <w:rsid w:val="0095655E"/>
    <w:rsid w:val="00975AD7"/>
    <w:rsid w:val="009805D4"/>
    <w:rsid w:val="00995178"/>
    <w:rsid w:val="009A37CB"/>
    <w:rsid w:val="009C10F9"/>
    <w:rsid w:val="009C16BA"/>
    <w:rsid w:val="009C63A7"/>
    <w:rsid w:val="009D1799"/>
    <w:rsid w:val="009F2164"/>
    <w:rsid w:val="009F7F1F"/>
    <w:rsid w:val="00A05ECD"/>
    <w:rsid w:val="00A07CBA"/>
    <w:rsid w:val="00A1105E"/>
    <w:rsid w:val="00A11490"/>
    <w:rsid w:val="00A12453"/>
    <w:rsid w:val="00A27FB1"/>
    <w:rsid w:val="00A3518B"/>
    <w:rsid w:val="00A363D9"/>
    <w:rsid w:val="00A428A8"/>
    <w:rsid w:val="00A501DF"/>
    <w:rsid w:val="00A641F5"/>
    <w:rsid w:val="00A708C3"/>
    <w:rsid w:val="00A73753"/>
    <w:rsid w:val="00A80517"/>
    <w:rsid w:val="00AB0B7F"/>
    <w:rsid w:val="00AC70E0"/>
    <w:rsid w:val="00AD7272"/>
    <w:rsid w:val="00AE7F96"/>
    <w:rsid w:val="00B00C7A"/>
    <w:rsid w:val="00B07E95"/>
    <w:rsid w:val="00B142D0"/>
    <w:rsid w:val="00B147D7"/>
    <w:rsid w:val="00B150EE"/>
    <w:rsid w:val="00B17E47"/>
    <w:rsid w:val="00B25480"/>
    <w:rsid w:val="00B407C8"/>
    <w:rsid w:val="00B4397F"/>
    <w:rsid w:val="00B45D5B"/>
    <w:rsid w:val="00B67B37"/>
    <w:rsid w:val="00B734EC"/>
    <w:rsid w:val="00B90239"/>
    <w:rsid w:val="00B9150C"/>
    <w:rsid w:val="00B95038"/>
    <w:rsid w:val="00B97480"/>
    <w:rsid w:val="00BB01A4"/>
    <w:rsid w:val="00BB0FDB"/>
    <w:rsid w:val="00BB4756"/>
    <w:rsid w:val="00BC45F9"/>
    <w:rsid w:val="00BC54C8"/>
    <w:rsid w:val="00BD05D3"/>
    <w:rsid w:val="00BD2109"/>
    <w:rsid w:val="00BD7CCD"/>
    <w:rsid w:val="00BE1113"/>
    <w:rsid w:val="00BE12EF"/>
    <w:rsid w:val="00BE1AF3"/>
    <w:rsid w:val="00BE287B"/>
    <w:rsid w:val="00BE37CE"/>
    <w:rsid w:val="00BE62D1"/>
    <w:rsid w:val="00C00F56"/>
    <w:rsid w:val="00C07076"/>
    <w:rsid w:val="00C213DA"/>
    <w:rsid w:val="00C260C1"/>
    <w:rsid w:val="00C454AC"/>
    <w:rsid w:val="00C47A8B"/>
    <w:rsid w:val="00C50B69"/>
    <w:rsid w:val="00C55C5E"/>
    <w:rsid w:val="00C62624"/>
    <w:rsid w:val="00C7088C"/>
    <w:rsid w:val="00C71BA8"/>
    <w:rsid w:val="00C858C1"/>
    <w:rsid w:val="00C93AC4"/>
    <w:rsid w:val="00CA09FD"/>
    <w:rsid w:val="00CB5B1C"/>
    <w:rsid w:val="00CE7120"/>
    <w:rsid w:val="00CF0D9F"/>
    <w:rsid w:val="00D004AF"/>
    <w:rsid w:val="00D11ED1"/>
    <w:rsid w:val="00D154DD"/>
    <w:rsid w:val="00D3640E"/>
    <w:rsid w:val="00D461FB"/>
    <w:rsid w:val="00D5397D"/>
    <w:rsid w:val="00D6090A"/>
    <w:rsid w:val="00D61056"/>
    <w:rsid w:val="00D62535"/>
    <w:rsid w:val="00D64A69"/>
    <w:rsid w:val="00D723EA"/>
    <w:rsid w:val="00D728CE"/>
    <w:rsid w:val="00D83CC5"/>
    <w:rsid w:val="00D86080"/>
    <w:rsid w:val="00DB24BD"/>
    <w:rsid w:val="00DB43BA"/>
    <w:rsid w:val="00DB45A2"/>
    <w:rsid w:val="00DB6E4A"/>
    <w:rsid w:val="00DC036A"/>
    <w:rsid w:val="00DC09CE"/>
    <w:rsid w:val="00DC5E2E"/>
    <w:rsid w:val="00DC687A"/>
    <w:rsid w:val="00DD0B78"/>
    <w:rsid w:val="00DD4221"/>
    <w:rsid w:val="00DD590A"/>
    <w:rsid w:val="00DD65AE"/>
    <w:rsid w:val="00DE27C7"/>
    <w:rsid w:val="00E033D8"/>
    <w:rsid w:val="00E359D6"/>
    <w:rsid w:val="00E416D7"/>
    <w:rsid w:val="00E57B5A"/>
    <w:rsid w:val="00E67EEF"/>
    <w:rsid w:val="00E70E04"/>
    <w:rsid w:val="00E76210"/>
    <w:rsid w:val="00E830D5"/>
    <w:rsid w:val="00E85EDC"/>
    <w:rsid w:val="00EA41E0"/>
    <w:rsid w:val="00EB3D4C"/>
    <w:rsid w:val="00EB5B88"/>
    <w:rsid w:val="00ED77D2"/>
    <w:rsid w:val="00EE1C2C"/>
    <w:rsid w:val="00EF5E86"/>
    <w:rsid w:val="00F21B97"/>
    <w:rsid w:val="00F30F79"/>
    <w:rsid w:val="00F47C0B"/>
    <w:rsid w:val="00F64646"/>
    <w:rsid w:val="00F77A9D"/>
    <w:rsid w:val="00F8071D"/>
    <w:rsid w:val="00F83AD0"/>
    <w:rsid w:val="00F90AFB"/>
    <w:rsid w:val="00F91BE7"/>
    <w:rsid w:val="00F94CB3"/>
    <w:rsid w:val="00FA0529"/>
    <w:rsid w:val="00FA5B40"/>
    <w:rsid w:val="00FB0EE2"/>
    <w:rsid w:val="00FB0FC4"/>
    <w:rsid w:val="00FC09BE"/>
    <w:rsid w:val="00FC3C75"/>
    <w:rsid w:val="00FC7620"/>
    <w:rsid w:val="00FE40F2"/>
    <w:rsid w:val="00FE742D"/>
    <w:rsid w:val="00FF011D"/>
    <w:rsid w:val="00FF2BE9"/>
    <w:rsid w:val="00FF5234"/>
    <w:rsid w:val="00FF6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82237"/>
  <w15:docId w15:val="{0C2E7062-C045-4EB1-93F8-D426ACAB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A345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6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62EE1"/>
    <w:pPr>
      <w:ind w:left="720"/>
      <w:contextualSpacing/>
    </w:pPr>
  </w:style>
  <w:style w:type="character" w:styleId="Komentraatsauce">
    <w:name w:val="annotation reference"/>
    <w:basedOn w:val="Noklusjumarindkopasfonts"/>
    <w:uiPriority w:val="99"/>
    <w:semiHidden/>
    <w:unhideWhenUsed/>
    <w:rsid w:val="000159C9"/>
    <w:rPr>
      <w:sz w:val="16"/>
      <w:szCs w:val="16"/>
    </w:rPr>
  </w:style>
  <w:style w:type="paragraph" w:styleId="Komentrateksts">
    <w:name w:val="annotation text"/>
    <w:basedOn w:val="Parasts"/>
    <w:link w:val="KomentratekstsRakstz"/>
    <w:uiPriority w:val="99"/>
    <w:semiHidden/>
    <w:unhideWhenUsed/>
    <w:rsid w:val="000159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59C9"/>
    <w:rPr>
      <w:sz w:val="20"/>
      <w:szCs w:val="20"/>
    </w:rPr>
  </w:style>
  <w:style w:type="paragraph" w:styleId="Komentratma">
    <w:name w:val="annotation subject"/>
    <w:basedOn w:val="Komentrateksts"/>
    <w:next w:val="Komentrateksts"/>
    <w:link w:val="KomentratmaRakstz"/>
    <w:uiPriority w:val="99"/>
    <w:semiHidden/>
    <w:unhideWhenUsed/>
    <w:rsid w:val="000159C9"/>
    <w:rPr>
      <w:b/>
      <w:bCs/>
    </w:rPr>
  </w:style>
  <w:style w:type="character" w:customStyle="1" w:styleId="KomentratmaRakstz">
    <w:name w:val="Komentāra tēma Rakstz."/>
    <w:basedOn w:val="KomentratekstsRakstz"/>
    <w:link w:val="Komentratma"/>
    <w:uiPriority w:val="99"/>
    <w:semiHidden/>
    <w:rsid w:val="000159C9"/>
    <w:rPr>
      <w:b/>
      <w:bCs/>
      <w:sz w:val="20"/>
      <w:szCs w:val="20"/>
    </w:rPr>
  </w:style>
  <w:style w:type="paragraph" w:styleId="Balonteksts">
    <w:name w:val="Balloon Text"/>
    <w:basedOn w:val="Parasts"/>
    <w:link w:val="BalontekstsRakstz"/>
    <w:uiPriority w:val="99"/>
    <w:semiHidden/>
    <w:unhideWhenUsed/>
    <w:rsid w:val="000159C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59C9"/>
    <w:rPr>
      <w:rFonts w:ascii="Tahoma" w:hAnsi="Tahoma" w:cs="Tahoma"/>
      <w:sz w:val="16"/>
      <w:szCs w:val="16"/>
    </w:rPr>
  </w:style>
  <w:style w:type="character" w:customStyle="1" w:styleId="shorttext">
    <w:name w:val="short_text"/>
    <w:basedOn w:val="Noklusjumarindkopasfonts"/>
    <w:rsid w:val="00353A2C"/>
  </w:style>
  <w:style w:type="character" w:customStyle="1" w:styleId="hps">
    <w:name w:val="hps"/>
    <w:basedOn w:val="Noklusjumarindkopasfonts"/>
    <w:rsid w:val="00353A2C"/>
  </w:style>
  <w:style w:type="paragraph" w:styleId="Galvene">
    <w:name w:val="header"/>
    <w:basedOn w:val="Parasts"/>
    <w:link w:val="GalveneRakstz"/>
    <w:uiPriority w:val="99"/>
    <w:unhideWhenUsed/>
    <w:rsid w:val="00230A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0A3F"/>
  </w:style>
  <w:style w:type="paragraph" w:styleId="Kjene">
    <w:name w:val="footer"/>
    <w:basedOn w:val="Parasts"/>
    <w:link w:val="KjeneRakstz"/>
    <w:uiPriority w:val="99"/>
    <w:unhideWhenUsed/>
    <w:rsid w:val="00230A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0A3F"/>
  </w:style>
  <w:style w:type="character" w:styleId="Hipersaite">
    <w:name w:val="Hyperlink"/>
    <w:basedOn w:val="Noklusjumarindkopasfonts"/>
    <w:uiPriority w:val="99"/>
    <w:unhideWhenUsed/>
    <w:rsid w:val="000A6BA5"/>
    <w:rPr>
      <w:color w:val="0000FF" w:themeColor="hyperlink"/>
      <w:u w:val="single"/>
    </w:rPr>
  </w:style>
  <w:style w:type="character" w:customStyle="1" w:styleId="apple-converted-space">
    <w:name w:val="apple-converted-space"/>
    <w:basedOn w:val="Noklusjumarindkopasfonts"/>
    <w:rsid w:val="00A363D9"/>
  </w:style>
  <w:style w:type="character" w:customStyle="1" w:styleId="t3">
    <w:name w:val="t3"/>
    <w:basedOn w:val="Noklusjumarindkopasfonts"/>
    <w:rsid w:val="00A363D9"/>
  </w:style>
  <w:style w:type="character" w:customStyle="1" w:styleId="fwn">
    <w:name w:val="fwn"/>
    <w:basedOn w:val="Noklusjumarindkopasfonts"/>
    <w:rsid w:val="00A363D9"/>
  </w:style>
  <w:style w:type="paragraph" w:styleId="Prskatjums">
    <w:name w:val="Revision"/>
    <w:hidden/>
    <w:uiPriority w:val="99"/>
    <w:semiHidden/>
    <w:rsid w:val="008A1818"/>
    <w:pPr>
      <w:spacing w:after="0" w:line="240" w:lineRule="auto"/>
    </w:pPr>
  </w:style>
  <w:style w:type="character" w:customStyle="1" w:styleId="FontStyle48">
    <w:name w:val="Font Style48"/>
    <w:basedOn w:val="Noklusjumarindkopasfonts"/>
    <w:uiPriority w:val="99"/>
    <w:rsid w:val="003D3C6D"/>
    <w:rPr>
      <w:rFonts w:ascii="Times New Roman" w:hAnsi="Times New Roman" w:cs="Times New Roman"/>
      <w:color w:val="000000"/>
      <w:sz w:val="20"/>
      <w:szCs w:val="20"/>
    </w:rPr>
  </w:style>
  <w:style w:type="paragraph" w:styleId="Paraksts">
    <w:name w:val="Signature"/>
    <w:basedOn w:val="Parasts"/>
    <w:next w:val="Atpakaadreseuzaploksnes"/>
    <w:link w:val="ParakstsRakstz"/>
    <w:rsid w:val="00721F81"/>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4"/>
      <w:lang w:val="en-AU" w:eastAsia="lv-LV"/>
    </w:rPr>
  </w:style>
  <w:style w:type="character" w:customStyle="1" w:styleId="ParakstsRakstz">
    <w:name w:val="Paraksts Rakstz."/>
    <w:basedOn w:val="Noklusjumarindkopasfonts"/>
    <w:link w:val="Paraksts"/>
    <w:rsid w:val="00721F81"/>
    <w:rPr>
      <w:rFonts w:ascii="Times New Roman" w:eastAsia="Times New Roman" w:hAnsi="Times New Roman" w:cs="Times New Roman"/>
      <w:sz w:val="26"/>
      <w:szCs w:val="24"/>
      <w:lang w:val="en-AU" w:eastAsia="lv-LV"/>
    </w:rPr>
  </w:style>
  <w:style w:type="paragraph" w:styleId="Atpakaadreseuzaploksnes">
    <w:name w:val="envelope return"/>
    <w:basedOn w:val="Parasts"/>
    <w:uiPriority w:val="99"/>
    <w:semiHidden/>
    <w:unhideWhenUsed/>
    <w:rsid w:val="00721F8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9046">
      <w:bodyDiv w:val="1"/>
      <w:marLeft w:val="0"/>
      <w:marRight w:val="0"/>
      <w:marTop w:val="0"/>
      <w:marBottom w:val="0"/>
      <w:divBdr>
        <w:top w:val="none" w:sz="0" w:space="0" w:color="auto"/>
        <w:left w:val="none" w:sz="0" w:space="0" w:color="auto"/>
        <w:bottom w:val="none" w:sz="0" w:space="0" w:color="auto"/>
        <w:right w:val="none" w:sz="0" w:space="0" w:color="auto"/>
      </w:divBdr>
    </w:div>
    <w:div w:id="819075140">
      <w:bodyDiv w:val="1"/>
      <w:marLeft w:val="0"/>
      <w:marRight w:val="0"/>
      <w:marTop w:val="0"/>
      <w:marBottom w:val="0"/>
      <w:divBdr>
        <w:top w:val="none" w:sz="0" w:space="0" w:color="auto"/>
        <w:left w:val="none" w:sz="0" w:space="0" w:color="auto"/>
        <w:bottom w:val="none" w:sz="0" w:space="0" w:color="auto"/>
        <w:right w:val="none" w:sz="0" w:space="0" w:color="auto"/>
      </w:divBdr>
    </w:div>
    <w:div w:id="960265814">
      <w:bodyDiv w:val="1"/>
      <w:marLeft w:val="0"/>
      <w:marRight w:val="0"/>
      <w:marTop w:val="0"/>
      <w:marBottom w:val="0"/>
      <w:divBdr>
        <w:top w:val="none" w:sz="0" w:space="0" w:color="auto"/>
        <w:left w:val="none" w:sz="0" w:space="0" w:color="auto"/>
        <w:bottom w:val="none" w:sz="0" w:space="0" w:color="auto"/>
        <w:right w:val="none" w:sz="0" w:space="0" w:color="auto"/>
      </w:divBdr>
    </w:div>
    <w:div w:id="17620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ab.gov.lv/lv/press/532749-izstradatas_vadlinijas_par_ieksejas_kontroles_sistemas_pamatprasibam_korupcijas_riska_noversana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B2B0-B9FE-4074-992F-7242175E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13872</Words>
  <Characters>7908</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 pielikums informatīvajam ziņojumam "Par Ekonomiskās sadarbības un attīstības organizācijas Kukuļošanas apkarošanas starptautiskajos biznesa darījumos darba grupas 2. fāzes Latvijas novērtējuma ziņojumā izteikto rekomendāciju izpildes novērtējumu"</vt:lpstr>
      <vt:lpstr/>
    </vt:vector>
  </TitlesOfParts>
  <Company>Tieslietu Sektors</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informatīvajam ziņojumam "Par Ekonomiskās sadarbības un attīstības organizācijas Kukuļošanas apkarošanas starptautiskajos biznesa darījumos darba grupas 2. fāzes Latvijas novērtējuma ziņojumā izteikto rekomendāciju izpildes novērtējumu"</dc:title>
  <dc:creator>Dina Spule</dc:creator>
  <dc:description>Dina Spūle (67036733, dina.spule@tm.gov.lv)</dc:description>
  <cp:lastModifiedBy>Līga Kokare-Zviedre</cp:lastModifiedBy>
  <cp:revision>22</cp:revision>
  <cp:lastPrinted>2017-06-30T11:48:00Z</cp:lastPrinted>
  <dcterms:created xsi:type="dcterms:W3CDTF">2018-03-09T07:17:00Z</dcterms:created>
  <dcterms:modified xsi:type="dcterms:W3CDTF">2018-03-15T09:35:00Z</dcterms:modified>
</cp:coreProperties>
</file>