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CB4AAB" w:rsidRPr="00B573BA" w:rsidP="00FD58D0" w14:paraId="299A1073" w14:textId="351895F4">
      <w:pPr>
        <w:pStyle w:val="naislab"/>
        <w:spacing w:before="0" w:after="60"/>
        <w:jc w:val="center"/>
        <w:outlineLvl w:val="0"/>
        <w:rPr>
          <w:b/>
        </w:rPr>
      </w:pPr>
      <w:r w:rsidRPr="00B573BA">
        <w:rPr>
          <w:b/>
        </w:rPr>
        <w:t xml:space="preserve">Ministru kabineta noteikumu </w:t>
      </w:r>
      <w:r w:rsidRPr="00B573BA">
        <w:rPr>
          <w:b/>
        </w:rPr>
        <w:t>projekta „</w:t>
      </w:r>
      <w:r w:rsidRPr="00511F05" w:rsidR="00511F05">
        <w:rPr>
          <w:b/>
        </w:rPr>
        <w:t>Grozījumi Ministru kabineta 2014.</w:t>
      </w:r>
      <w:r w:rsidR="00B909A2">
        <w:rPr>
          <w:b/>
        </w:rPr>
        <w:t> </w:t>
      </w:r>
      <w:r w:rsidRPr="00511F05" w:rsidR="00511F05">
        <w:rPr>
          <w:b/>
        </w:rPr>
        <w:t>gada 20.</w:t>
      </w:r>
      <w:r w:rsidR="00B909A2">
        <w:rPr>
          <w:b/>
        </w:rPr>
        <w:t> </w:t>
      </w:r>
      <w:r w:rsidRPr="00511F05" w:rsidR="00511F05">
        <w:rPr>
          <w:b/>
        </w:rPr>
        <w:t>maija noteikumos Nr.</w:t>
      </w:r>
      <w:r w:rsidR="00B909A2">
        <w:rPr>
          <w:b/>
        </w:rPr>
        <w:t> </w:t>
      </w:r>
      <w:r w:rsidRPr="00511F05" w:rsidR="00511F05">
        <w:rPr>
          <w:b/>
        </w:rPr>
        <w:t>250 „Noteikumi par darbībām emisijas reģistrā”</w:t>
      </w:r>
      <w:r w:rsidRPr="00B573BA">
        <w:rPr>
          <w:b/>
        </w:rPr>
        <w:t xml:space="preserve">” sākotnējās ietekmes novērtējuma </w:t>
      </w:r>
      <w:smartTag w:uri="schemas-tilde-lv/tildestengine" w:element="veidnes">
        <w:smartTagPr>
          <w:attr w:name="baseform" w:val="ziņojums"/>
          <w:attr w:name="id" w:val="-1"/>
          <w:attr w:name="text" w:val="ziņojums"/>
        </w:smartTagPr>
        <w:r w:rsidRPr="00B573BA">
          <w:rPr>
            <w:b/>
          </w:rPr>
          <w:t>ziņojums</w:t>
        </w:r>
      </w:smartTag>
      <w:r w:rsidRPr="00B573BA">
        <w:rPr>
          <w:b/>
        </w:rPr>
        <w:t xml:space="preserve"> (anotācija)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82"/>
        <w:gridCol w:w="1644"/>
        <w:gridCol w:w="7513"/>
      </w:tblGrid>
      <w:tr w14:paraId="40283BE9" w14:textId="77777777" w:rsidTr="005E117D">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255"/>
          <w:jc w:val="center"/>
        </w:trPr>
        <w:tc>
          <w:tcPr>
            <w:tcW w:w="0" w:type="auto"/>
            <w:gridSpan w:val="3"/>
            <w:vAlign w:val="center"/>
          </w:tcPr>
          <w:p w:rsidR="00CB4AAB" w:rsidRPr="00810942" w:rsidP="00B63F0E" w14:paraId="1675CC38" w14:textId="598F22F6">
            <w:pPr>
              <w:spacing w:before="60" w:after="60"/>
              <w:jc w:val="center"/>
              <w:rPr>
                <w:rFonts w:ascii="Times New Roman" w:hAnsi="Times New Roman"/>
                <w:b/>
                <w:bCs/>
                <w:sz w:val="24"/>
                <w:szCs w:val="24"/>
                <w:lang w:eastAsia="lv-LV"/>
              </w:rPr>
            </w:pPr>
            <w:r w:rsidRPr="00810942">
              <w:rPr>
                <w:rFonts w:ascii="Times New Roman" w:hAnsi="Times New Roman"/>
                <w:b/>
                <w:bCs/>
                <w:sz w:val="24"/>
                <w:szCs w:val="24"/>
                <w:lang w:eastAsia="lv-LV"/>
              </w:rPr>
              <w:t>I. Tiesību akta projekta izstrādes nepieciešamība</w:t>
            </w:r>
          </w:p>
        </w:tc>
      </w:tr>
      <w:tr w14:paraId="61656CED" w14:textId="77777777" w:rsidTr="00F122F9">
        <w:tblPrEx>
          <w:tblW w:w="9639" w:type="dxa"/>
          <w:jc w:val="center"/>
          <w:tblCellMar>
            <w:left w:w="57" w:type="dxa"/>
            <w:right w:w="57" w:type="dxa"/>
          </w:tblCellMar>
          <w:tblLook w:val="00A0"/>
        </w:tblPrEx>
        <w:trPr>
          <w:trHeight w:val="405"/>
          <w:jc w:val="center"/>
        </w:trPr>
        <w:tc>
          <w:tcPr>
            <w:tcW w:w="250" w:type="pct"/>
          </w:tcPr>
          <w:p w:rsidR="00CB4AAB" w:rsidRPr="00F122F9" w:rsidP="00B63F0E" w14:paraId="628F42FE" w14:textId="77777777">
            <w:pPr>
              <w:spacing w:before="60" w:after="60"/>
              <w:jc w:val="center"/>
              <w:rPr>
                <w:rFonts w:ascii="Times New Roman" w:hAnsi="Times New Roman"/>
                <w:lang w:eastAsia="lv-LV"/>
              </w:rPr>
            </w:pPr>
            <w:r w:rsidRPr="00F122F9">
              <w:rPr>
                <w:rFonts w:ascii="Times New Roman" w:hAnsi="Times New Roman"/>
                <w:lang w:eastAsia="lv-LV"/>
              </w:rPr>
              <w:t>1.</w:t>
            </w:r>
          </w:p>
        </w:tc>
        <w:tc>
          <w:tcPr>
            <w:tcW w:w="853" w:type="pct"/>
          </w:tcPr>
          <w:p w:rsidR="00CB4AAB" w:rsidRPr="00F122F9" w:rsidP="00B63F0E" w14:paraId="2D09F2F3" w14:textId="77777777">
            <w:pPr>
              <w:spacing w:before="60" w:after="60"/>
              <w:jc w:val="left"/>
              <w:rPr>
                <w:rFonts w:ascii="Times New Roman" w:hAnsi="Times New Roman"/>
                <w:lang w:eastAsia="lv-LV"/>
              </w:rPr>
            </w:pPr>
            <w:r w:rsidRPr="00810942">
              <w:rPr>
                <w:rFonts w:ascii="Times New Roman" w:eastAsia="Times New Roman" w:hAnsi="Times New Roman"/>
                <w:sz w:val="24"/>
                <w:szCs w:val="24"/>
                <w:lang w:eastAsia="lv-LV"/>
              </w:rPr>
              <w:t>Pamatojums</w:t>
            </w:r>
          </w:p>
        </w:tc>
        <w:tc>
          <w:tcPr>
            <w:tcW w:w="3897" w:type="pct"/>
          </w:tcPr>
          <w:p w:rsidR="00A14514" w:rsidP="00C4561E" w14:paraId="337BE62E" w14:textId="77777777">
            <w:pPr>
              <w:pStyle w:val="naiskr"/>
              <w:spacing w:before="120" w:after="120"/>
              <w:jc w:val="both"/>
            </w:pPr>
            <w:r w:rsidRPr="0012446F">
              <w:t>Ministru kabineta noteikumu projekts</w:t>
            </w:r>
            <w:r w:rsidRPr="0012446F" w:rsidR="00CB4AAB">
              <w:t xml:space="preserve"> </w:t>
            </w:r>
            <w:r w:rsidR="00924077">
              <w:t>“</w:t>
            </w:r>
            <w:r w:rsidRPr="00924077" w:rsidR="00924077">
              <w:t>Grozījumi Ministru kabineta 2014.</w:t>
            </w:r>
            <w:r w:rsidR="00B909A2">
              <w:t> </w:t>
            </w:r>
            <w:r w:rsidRPr="00924077" w:rsidR="00924077">
              <w:t>gada 20.</w:t>
            </w:r>
            <w:r w:rsidR="00B909A2">
              <w:t> </w:t>
            </w:r>
            <w:r w:rsidRPr="00924077" w:rsidR="00924077">
              <w:t>maija noteikumos Nr.</w:t>
            </w:r>
            <w:r w:rsidR="00B909A2">
              <w:t> </w:t>
            </w:r>
            <w:r w:rsidRPr="00924077" w:rsidR="00924077">
              <w:t>250 „Noteikumi par darbībām emisijas reģistrā”</w:t>
            </w:r>
            <w:r w:rsidRPr="0012446F" w:rsidR="00CB4AAB">
              <w:t xml:space="preserve">” (turpmāk – </w:t>
            </w:r>
            <w:r w:rsidRPr="0012446F">
              <w:t xml:space="preserve">noteikumu </w:t>
            </w:r>
            <w:r w:rsidRPr="0012446F" w:rsidR="00CB4AAB">
              <w:t>projekts) izstrādāts</w:t>
            </w:r>
            <w:r w:rsidRPr="0012446F">
              <w:t xml:space="preserve"> </w:t>
            </w:r>
            <w:r w:rsidRPr="0012446F" w:rsidR="00CB4AAB">
              <w:t>pēc Vides aizsardzības un reģionālās attīstības ministrijas (tu</w:t>
            </w:r>
            <w:r w:rsidR="00511F05">
              <w:t>rpmāk – VARAM) iniciatīvas, lai</w:t>
            </w:r>
            <w:r>
              <w:t>:</w:t>
            </w:r>
          </w:p>
          <w:p w:rsidR="00F27137" w:rsidP="00C4561E" w14:paraId="24C898CB" w14:textId="56636CF3">
            <w:pPr>
              <w:pStyle w:val="naiskr"/>
              <w:spacing w:before="120" w:after="120"/>
              <w:jc w:val="both"/>
            </w:pPr>
            <w:r>
              <w:rPr>
                <w:b/>
              </w:rPr>
              <w:t>1. </w:t>
            </w:r>
            <w:r>
              <w:t>U</w:t>
            </w:r>
            <w:r w:rsidR="00511F05">
              <w:t xml:space="preserve">zlabotu nosacījumus attiecībā uz darbībām ar valstij piešķirtajām gada emisijas sadales vienībām, optimizējot </w:t>
            </w:r>
            <w:r w:rsidRPr="00511F05" w:rsidR="00511F05">
              <w:t>Eiropas Komisijas 2013.</w:t>
            </w:r>
            <w:r w:rsidR="00B909A2">
              <w:t> </w:t>
            </w:r>
            <w:r w:rsidRPr="00511F05" w:rsidR="00511F05">
              <w:t>gada 2.</w:t>
            </w:r>
            <w:r w:rsidR="00B909A2">
              <w:t> </w:t>
            </w:r>
            <w:r w:rsidRPr="00511F05" w:rsidR="00511F05">
              <w:t>maija Regulas Nr.</w:t>
            </w:r>
            <w:r w:rsidR="00B909A2">
              <w:t> </w:t>
            </w:r>
            <w:r w:rsidRPr="00511F05" w:rsidR="00511F05">
              <w:t>389/2013, ar ko izveido Savienības reģistru saskaņā ar Eiropas Parlamenta un Padomes Direktīvu 2003/87/EK un Eiropas Parlamenta un Padomes Lēmumu Nr.</w:t>
            </w:r>
            <w:r w:rsidR="00B909A2">
              <w:t> </w:t>
            </w:r>
            <w:r w:rsidRPr="00511F05" w:rsidR="00511F05">
              <w:t>280/2004/EK un Lēmumu Nr.</w:t>
            </w:r>
            <w:r w:rsidR="00B909A2">
              <w:t> </w:t>
            </w:r>
            <w:r w:rsidRPr="00511F05" w:rsidR="00511F05">
              <w:t>406/2009/EK un atceļ Komisijas Regulu (ES) Nr.</w:t>
            </w:r>
            <w:r w:rsidR="00B909A2">
              <w:t> </w:t>
            </w:r>
            <w:r w:rsidRPr="00511F05" w:rsidR="00511F05">
              <w:t>920/2010 un Regulu (ES) Nr.</w:t>
            </w:r>
            <w:r w:rsidR="00B909A2">
              <w:t> </w:t>
            </w:r>
            <w:r w:rsidRPr="00511F05" w:rsidR="00511F05">
              <w:t>1193/2011 (turpmāk – regula Nr.</w:t>
            </w:r>
            <w:r w:rsidR="00B909A2">
              <w:t> </w:t>
            </w:r>
            <w:r w:rsidRPr="00511F05" w:rsidR="00511F05">
              <w:t>389/2013)</w:t>
            </w:r>
            <w:r w:rsidR="00511F05">
              <w:t xml:space="preserve"> </w:t>
            </w:r>
            <w:r w:rsidRPr="00511F05" w:rsidR="00511F05">
              <w:t>78.</w:t>
            </w:r>
            <w:r w:rsidR="00B909A2">
              <w:t> </w:t>
            </w:r>
            <w:r w:rsidRPr="00511F05" w:rsidR="00511F05">
              <w:t xml:space="preserve">pantā </w:t>
            </w:r>
            <w:r w:rsidR="00511F05">
              <w:t>minēto atbilstības kontu pilnvaroto pārstāvju pienākumus</w:t>
            </w:r>
            <w:r w:rsidR="00C37D29">
              <w:t>;</w:t>
            </w:r>
          </w:p>
          <w:p w:rsidR="00A14514" w:rsidRPr="0012446F" w:rsidP="005A5D44" w14:paraId="6F8BCDDC" w14:textId="1B50B6BC">
            <w:pPr>
              <w:pStyle w:val="naiskr"/>
              <w:spacing w:before="60" w:after="60"/>
              <w:jc w:val="both"/>
            </w:pPr>
            <w:r>
              <w:rPr>
                <w:b/>
              </w:rPr>
              <w:t>2.</w:t>
            </w:r>
            <w:r w:rsidR="00C37D29">
              <w:rPr>
                <w:b/>
              </w:rPr>
              <w:t> </w:t>
            </w:r>
            <w:r w:rsidR="005A5D44">
              <w:t xml:space="preserve">Latvijas </w:t>
            </w:r>
            <w:r w:rsidR="00C37D29">
              <w:t>normatīvajos aktos</w:t>
            </w:r>
            <w:r w:rsidR="005A5D44">
              <w:t xml:space="preserve"> i</w:t>
            </w:r>
            <w:r w:rsidR="00C37D29">
              <w:t>etvertu</w:t>
            </w:r>
            <w:r w:rsidR="005A5D44">
              <w:t xml:space="preserve"> nosacījumus, k</w:t>
            </w:r>
            <w:r w:rsidR="00C37D29">
              <w:t>urus</w:t>
            </w:r>
            <w:r w:rsidR="005A5D44">
              <w:t xml:space="preserve"> </w:t>
            </w:r>
            <w:r w:rsidR="00C37D29">
              <w:t>paredz</w:t>
            </w:r>
            <w:r w:rsidR="005A5D44">
              <w:t xml:space="preserve"> Eiropas Parlamenta un Padomes 2017.</w:t>
            </w:r>
            <w:r w:rsidR="00C37D29">
              <w:t> </w:t>
            </w:r>
            <w:r w:rsidR="005A5D44">
              <w:t>gada 13.</w:t>
            </w:r>
            <w:r w:rsidR="00C37D29">
              <w:t> </w:t>
            </w:r>
            <w:r w:rsidR="005A5D44">
              <w:t xml:space="preserve">decembra </w:t>
            </w:r>
            <w:r w:rsidR="00C37D29">
              <w:t>R</w:t>
            </w:r>
            <w:r w:rsidR="005A5D44">
              <w:t>egula Nr.</w:t>
            </w:r>
            <w:r w:rsidR="00C37D29">
              <w:t> </w:t>
            </w:r>
            <w:r w:rsidR="005A5D44">
              <w:t xml:space="preserve">2017/2392, </w:t>
            </w:r>
            <w:r w:rsidR="005A5D44">
              <w:rPr>
                <w:i/>
              </w:rPr>
              <w:t>ar ko groza Direktīvu 2003/87/EK, lai saglabātu pašreizējos darbības jomas ierobežojumus attiecībā uz aviācijas darbībām un sagatavotos globāla tirgus pasākuma īstenošanai no 2021.</w:t>
            </w:r>
            <w:r w:rsidR="00C37D29">
              <w:rPr>
                <w:i/>
              </w:rPr>
              <w:t> </w:t>
            </w:r>
            <w:r w:rsidR="005A5D44">
              <w:rPr>
                <w:i/>
              </w:rPr>
              <w:t>gada</w:t>
            </w:r>
            <w:r w:rsidR="005A5D44">
              <w:t xml:space="preserve"> (turpmāk – regula Nr.</w:t>
            </w:r>
            <w:r w:rsidR="00C37D29">
              <w:t> </w:t>
            </w:r>
            <w:r w:rsidR="005A5D44">
              <w:t>2017/2392).</w:t>
            </w:r>
          </w:p>
        </w:tc>
      </w:tr>
      <w:tr w14:paraId="53198FE4" w14:textId="77777777" w:rsidTr="00F122F9">
        <w:tblPrEx>
          <w:tblW w:w="9639" w:type="dxa"/>
          <w:jc w:val="center"/>
          <w:tblCellMar>
            <w:left w:w="57" w:type="dxa"/>
            <w:right w:w="57" w:type="dxa"/>
          </w:tblCellMar>
          <w:tblLook w:val="00A0"/>
        </w:tblPrEx>
        <w:trPr>
          <w:trHeight w:val="465"/>
          <w:jc w:val="center"/>
        </w:trPr>
        <w:tc>
          <w:tcPr>
            <w:tcW w:w="250" w:type="pct"/>
          </w:tcPr>
          <w:p w:rsidR="00CB4AAB" w:rsidRPr="00F122F9" w:rsidP="00B63F0E" w14:paraId="0B10B19E" w14:textId="77777777">
            <w:pPr>
              <w:spacing w:before="60" w:after="60"/>
              <w:jc w:val="center"/>
              <w:rPr>
                <w:rFonts w:ascii="Times New Roman" w:hAnsi="Times New Roman"/>
                <w:lang w:eastAsia="lv-LV"/>
              </w:rPr>
            </w:pPr>
            <w:r w:rsidRPr="00F122F9">
              <w:rPr>
                <w:rFonts w:ascii="Times New Roman" w:hAnsi="Times New Roman"/>
                <w:lang w:eastAsia="lv-LV"/>
              </w:rPr>
              <w:t>2.</w:t>
            </w:r>
          </w:p>
        </w:tc>
        <w:tc>
          <w:tcPr>
            <w:tcW w:w="853" w:type="pct"/>
          </w:tcPr>
          <w:p w:rsidR="00CB4AAB" w:rsidRPr="00F122F9" w:rsidP="00BC10D4" w14:paraId="1A7AB4FF" w14:textId="77777777">
            <w:pPr>
              <w:spacing w:before="60" w:after="60"/>
              <w:rPr>
                <w:rFonts w:ascii="Times New Roman" w:hAnsi="Times New Roman"/>
                <w:lang w:eastAsia="lv-LV"/>
              </w:rPr>
            </w:pPr>
            <w:r w:rsidRPr="00810942">
              <w:rPr>
                <w:rFonts w:ascii="Times New Roman" w:hAnsi="Times New Roman"/>
                <w:sz w:val="24"/>
                <w:szCs w:val="24"/>
              </w:rPr>
              <w:t>Pašreizējā situācija un problēmas, kuru risināšanai tiesību akta projekts izstrādāts, tiesiskā regulējuma mērķis un būtība</w:t>
            </w:r>
          </w:p>
        </w:tc>
        <w:tc>
          <w:tcPr>
            <w:tcW w:w="3897" w:type="pct"/>
          </w:tcPr>
          <w:p w:rsidR="00FD5A20" w:rsidRPr="00BD1B94" w:rsidP="00C4561E" w14:paraId="707E4FC2" w14:textId="1811D255">
            <w:pPr>
              <w:pStyle w:val="naiskr"/>
              <w:spacing w:before="120" w:after="120"/>
              <w:jc w:val="both"/>
              <w:rPr>
                <w:u w:val="single"/>
              </w:rPr>
            </w:pPr>
            <w:r w:rsidRPr="00BD1B94">
              <w:rPr>
                <w:u w:val="single"/>
              </w:rPr>
              <w:t>1.</w:t>
            </w:r>
            <w:r w:rsidR="00B909A2">
              <w:rPr>
                <w:u w:val="single"/>
              </w:rPr>
              <w:t> </w:t>
            </w:r>
            <w:r w:rsidRPr="00BD1B94" w:rsidR="00CB4AAB">
              <w:rPr>
                <w:u w:val="single"/>
              </w:rPr>
              <w:t>Pašreizējā situācija un problēmas</w:t>
            </w:r>
            <w:r w:rsidRPr="00BD1B94">
              <w:rPr>
                <w:u w:val="single"/>
              </w:rPr>
              <w:t>, pastāvošais tiesiskais regulējums, tā būtība un nepilnības</w:t>
            </w:r>
            <w:r w:rsidR="00C37D29">
              <w:rPr>
                <w:u w:val="single"/>
              </w:rPr>
              <w:t>:</w:t>
            </w:r>
          </w:p>
          <w:p w:rsidR="005213D1" w:rsidP="00C4561E" w14:paraId="2309A311" w14:textId="5F024DC5">
            <w:pPr>
              <w:spacing w:before="120"/>
              <w:rPr>
                <w:rFonts w:ascii="Times New Roman" w:hAnsi="Times New Roman"/>
                <w:sz w:val="24"/>
                <w:szCs w:val="24"/>
              </w:rPr>
            </w:pPr>
            <w:r w:rsidRPr="00C4561E">
              <w:rPr>
                <w:rFonts w:ascii="Times New Roman" w:hAnsi="Times New Roman"/>
                <w:b/>
                <w:sz w:val="24"/>
                <w:szCs w:val="24"/>
              </w:rPr>
              <w:t>1</w:t>
            </w:r>
            <w:r w:rsidR="00C37D29">
              <w:rPr>
                <w:rFonts w:ascii="Times New Roman" w:hAnsi="Times New Roman"/>
                <w:b/>
                <w:sz w:val="24"/>
                <w:szCs w:val="24"/>
              </w:rPr>
              <w:t>. </w:t>
            </w:r>
            <w:r>
              <w:rPr>
                <w:rFonts w:ascii="Times New Roman" w:hAnsi="Times New Roman"/>
                <w:sz w:val="24"/>
                <w:szCs w:val="24"/>
              </w:rPr>
              <w:t>Regula Nr.</w:t>
            </w:r>
            <w:r w:rsidR="00B909A2">
              <w:rPr>
                <w:rFonts w:ascii="Times New Roman" w:hAnsi="Times New Roman"/>
                <w:sz w:val="24"/>
                <w:szCs w:val="24"/>
              </w:rPr>
              <w:t> </w:t>
            </w:r>
            <w:r>
              <w:rPr>
                <w:rFonts w:ascii="Times New Roman" w:hAnsi="Times New Roman"/>
                <w:sz w:val="24"/>
                <w:szCs w:val="24"/>
              </w:rPr>
              <w:t xml:space="preserve">389/2013 jau nosaka visus tos nosacījumus, ko, </w:t>
            </w:r>
            <w:r w:rsidR="00322233">
              <w:rPr>
                <w:rFonts w:ascii="Times New Roman" w:hAnsi="Times New Roman"/>
                <w:sz w:val="24"/>
                <w:szCs w:val="24"/>
              </w:rPr>
              <w:t xml:space="preserve">kādā veidā un kādā procedūrā </w:t>
            </w:r>
            <w:r>
              <w:rPr>
                <w:rFonts w:ascii="Times New Roman" w:hAnsi="Times New Roman"/>
                <w:sz w:val="24"/>
                <w:szCs w:val="24"/>
              </w:rPr>
              <w:t xml:space="preserve">jāveic </w:t>
            </w:r>
            <w:r w:rsidR="00B909A2">
              <w:rPr>
                <w:rFonts w:ascii="Times New Roman" w:hAnsi="Times New Roman"/>
                <w:sz w:val="24"/>
                <w:szCs w:val="24"/>
              </w:rPr>
              <w:t xml:space="preserve">darbības </w:t>
            </w:r>
            <w:r>
              <w:rPr>
                <w:rFonts w:ascii="Times New Roman" w:hAnsi="Times New Roman"/>
                <w:sz w:val="24"/>
                <w:szCs w:val="24"/>
              </w:rPr>
              <w:t>ar gada emisijas sadales vienībām</w:t>
            </w:r>
            <w:r w:rsidR="00B909A2">
              <w:rPr>
                <w:rFonts w:ascii="Times New Roman" w:hAnsi="Times New Roman"/>
                <w:sz w:val="24"/>
                <w:szCs w:val="24"/>
              </w:rPr>
              <w:t>.</w:t>
            </w:r>
          </w:p>
          <w:p w:rsidR="00027636" w:rsidP="00C4561E" w14:paraId="26FDD0D3" w14:textId="7B58D552">
            <w:pPr>
              <w:spacing w:before="120"/>
              <w:rPr>
                <w:rFonts w:ascii="Times New Roman" w:hAnsi="Times New Roman"/>
                <w:sz w:val="24"/>
                <w:szCs w:val="24"/>
              </w:rPr>
            </w:pPr>
            <w:r>
              <w:rPr>
                <w:rFonts w:ascii="Times New Roman" w:hAnsi="Times New Roman"/>
                <w:sz w:val="24"/>
                <w:szCs w:val="24"/>
              </w:rPr>
              <w:t xml:space="preserve">Šobrīd </w:t>
            </w:r>
            <w:r w:rsidRPr="0090223A">
              <w:rPr>
                <w:rFonts w:ascii="Times New Roman" w:hAnsi="Times New Roman"/>
                <w:sz w:val="24"/>
                <w:szCs w:val="24"/>
              </w:rPr>
              <w:t>Ministru kabineta 2014.</w:t>
            </w:r>
            <w:r w:rsidR="002439AA">
              <w:rPr>
                <w:rFonts w:ascii="Times New Roman" w:hAnsi="Times New Roman"/>
                <w:sz w:val="24"/>
                <w:szCs w:val="24"/>
              </w:rPr>
              <w:t> </w:t>
            </w:r>
            <w:r w:rsidRPr="0090223A">
              <w:rPr>
                <w:rFonts w:ascii="Times New Roman" w:hAnsi="Times New Roman"/>
                <w:sz w:val="24"/>
                <w:szCs w:val="24"/>
              </w:rPr>
              <w:t>gada 20.</w:t>
            </w:r>
            <w:r w:rsidR="002439AA">
              <w:t> </w:t>
            </w:r>
            <w:r w:rsidRPr="0090223A">
              <w:rPr>
                <w:rFonts w:ascii="Times New Roman" w:hAnsi="Times New Roman"/>
                <w:sz w:val="24"/>
                <w:szCs w:val="24"/>
              </w:rPr>
              <w:t>maija noteikumos Nr.</w:t>
            </w:r>
            <w:r w:rsidR="002439AA">
              <w:rPr>
                <w:rFonts w:ascii="Times New Roman" w:hAnsi="Times New Roman"/>
                <w:sz w:val="24"/>
                <w:szCs w:val="24"/>
              </w:rPr>
              <w:t> </w:t>
            </w:r>
            <w:r w:rsidRPr="0090223A">
              <w:rPr>
                <w:rFonts w:ascii="Times New Roman" w:hAnsi="Times New Roman"/>
                <w:sz w:val="24"/>
                <w:szCs w:val="24"/>
              </w:rPr>
              <w:t>250 „Noteikumi par darbībām emisijas reģistrā”</w:t>
            </w:r>
            <w:r>
              <w:rPr>
                <w:rFonts w:ascii="Times New Roman" w:hAnsi="Times New Roman"/>
                <w:sz w:val="24"/>
                <w:szCs w:val="24"/>
              </w:rPr>
              <w:t xml:space="preserve"> (turpmāk – Noteikumi Nr.</w:t>
            </w:r>
            <w:r w:rsidR="002439AA">
              <w:rPr>
                <w:rFonts w:ascii="Times New Roman" w:hAnsi="Times New Roman"/>
                <w:sz w:val="24"/>
                <w:szCs w:val="24"/>
              </w:rPr>
              <w:t> </w:t>
            </w:r>
            <w:r>
              <w:rPr>
                <w:rFonts w:ascii="Times New Roman" w:hAnsi="Times New Roman"/>
                <w:sz w:val="24"/>
                <w:szCs w:val="24"/>
              </w:rPr>
              <w:t>250) ir noteikts, ka noteiktas darbības ar valstij piešķirtajām regulas Nr.</w:t>
            </w:r>
            <w:r w:rsidR="002439AA">
              <w:rPr>
                <w:rFonts w:ascii="Times New Roman" w:hAnsi="Times New Roman"/>
                <w:sz w:val="24"/>
                <w:szCs w:val="24"/>
              </w:rPr>
              <w:t> </w:t>
            </w:r>
            <w:r>
              <w:rPr>
                <w:rFonts w:ascii="Times New Roman" w:hAnsi="Times New Roman"/>
                <w:sz w:val="24"/>
                <w:szCs w:val="24"/>
              </w:rPr>
              <w:t>389/2013 3.</w:t>
            </w:r>
            <w:r w:rsidR="002439AA">
              <w:rPr>
                <w:rFonts w:ascii="Times New Roman" w:hAnsi="Times New Roman"/>
                <w:sz w:val="24"/>
                <w:szCs w:val="24"/>
              </w:rPr>
              <w:t> </w:t>
            </w:r>
            <w:r>
              <w:rPr>
                <w:rFonts w:ascii="Times New Roman" w:hAnsi="Times New Roman"/>
                <w:sz w:val="24"/>
                <w:szCs w:val="24"/>
              </w:rPr>
              <w:t>panta 27.</w:t>
            </w:r>
            <w:r w:rsidR="002439AA">
              <w:rPr>
                <w:rFonts w:ascii="Times New Roman" w:hAnsi="Times New Roman"/>
                <w:sz w:val="24"/>
                <w:szCs w:val="24"/>
              </w:rPr>
              <w:t> </w:t>
            </w:r>
            <w:r>
              <w:rPr>
                <w:rFonts w:ascii="Times New Roman" w:hAnsi="Times New Roman"/>
                <w:sz w:val="24"/>
                <w:szCs w:val="24"/>
              </w:rPr>
              <w:t>punktā minētajām gada emisijas sadales vienībām veic atbilstības kontu nacionālais administrators.</w:t>
            </w:r>
          </w:p>
          <w:p w:rsidR="0090223A" w:rsidP="00C4561E" w14:paraId="43277CE7" w14:textId="4543E901">
            <w:pPr>
              <w:spacing w:before="120"/>
              <w:rPr>
                <w:rFonts w:ascii="Times New Roman" w:hAnsi="Times New Roman"/>
                <w:sz w:val="24"/>
                <w:szCs w:val="24"/>
              </w:rPr>
            </w:pPr>
            <w:r>
              <w:rPr>
                <w:rFonts w:ascii="Times New Roman" w:hAnsi="Times New Roman"/>
                <w:sz w:val="24"/>
                <w:szCs w:val="24"/>
              </w:rPr>
              <w:t>Savukārt ar likuma “Par piesārņojumu” 32.</w:t>
            </w:r>
            <w:r w:rsidRPr="0090223A">
              <w:rPr>
                <w:rFonts w:ascii="Times New Roman" w:hAnsi="Times New Roman"/>
                <w:sz w:val="24"/>
                <w:szCs w:val="24"/>
                <w:vertAlign w:val="superscript"/>
              </w:rPr>
              <w:t>4</w:t>
            </w:r>
            <w:r w:rsidR="002439AA">
              <w:rPr>
                <w:rFonts w:ascii="Times New Roman" w:hAnsi="Times New Roman"/>
                <w:sz w:val="24"/>
                <w:szCs w:val="24"/>
              </w:rPr>
              <w:t> </w:t>
            </w:r>
            <w:r>
              <w:rPr>
                <w:rFonts w:ascii="Times New Roman" w:hAnsi="Times New Roman"/>
                <w:sz w:val="24"/>
                <w:szCs w:val="24"/>
              </w:rPr>
              <w:t xml:space="preserve">panta trešo daļu ir noteikts, ka nacionālais administrators ir </w:t>
            </w:r>
            <w:r w:rsidRPr="0090223A">
              <w:rPr>
                <w:rFonts w:ascii="Times New Roman" w:hAnsi="Times New Roman"/>
                <w:sz w:val="24"/>
                <w:szCs w:val="24"/>
              </w:rPr>
              <w:t>valsts sabiedrība ar ierobežotu atbildību “Latvijas Vides, ģeoloģijas un meteoroloģijas centrs”</w:t>
            </w:r>
            <w:r>
              <w:rPr>
                <w:rFonts w:ascii="Times New Roman" w:hAnsi="Times New Roman"/>
                <w:sz w:val="24"/>
                <w:szCs w:val="24"/>
              </w:rPr>
              <w:t xml:space="preserve"> (turpmāk – LVĢMC).</w:t>
            </w:r>
          </w:p>
          <w:p w:rsidR="0090223A" w:rsidP="00C4561E" w14:paraId="7D22C2A9" w14:textId="04591E68">
            <w:pPr>
              <w:spacing w:before="120"/>
              <w:rPr>
                <w:rFonts w:ascii="Times New Roman" w:hAnsi="Times New Roman"/>
                <w:sz w:val="24"/>
                <w:szCs w:val="24"/>
              </w:rPr>
            </w:pPr>
            <w:r>
              <w:rPr>
                <w:rFonts w:ascii="Times New Roman" w:hAnsi="Times New Roman"/>
                <w:sz w:val="24"/>
                <w:szCs w:val="24"/>
              </w:rPr>
              <w:t xml:space="preserve">Lai LVĢMC varētu veikt </w:t>
            </w:r>
            <w:r w:rsidR="00E1356D">
              <w:rPr>
                <w:rFonts w:ascii="Times New Roman" w:hAnsi="Times New Roman"/>
                <w:sz w:val="24"/>
                <w:szCs w:val="24"/>
              </w:rPr>
              <w:t xml:space="preserve">jebkādas </w:t>
            </w:r>
            <w:r>
              <w:rPr>
                <w:rFonts w:ascii="Times New Roman" w:hAnsi="Times New Roman"/>
                <w:sz w:val="24"/>
                <w:szCs w:val="24"/>
              </w:rPr>
              <w:t>darbības ar gada emisijas sadales vienībām</w:t>
            </w:r>
            <w:r w:rsidR="00E1356D">
              <w:rPr>
                <w:rFonts w:ascii="Times New Roman" w:hAnsi="Times New Roman"/>
                <w:sz w:val="24"/>
                <w:szCs w:val="24"/>
              </w:rPr>
              <w:t>, t.sk., gada emisiju sadales vienību uzkrāšanas un aizņemšanās pārskaitījumus valsts atbilstības nodrošināšanai (lai nodrošinātu, ka konkrētā gada atbilstības kontā ir noteikts vienību apjoms)</w:t>
            </w:r>
            <w:r>
              <w:rPr>
                <w:rFonts w:ascii="Times New Roman" w:hAnsi="Times New Roman"/>
                <w:sz w:val="24"/>
                <w:szCs w:val="24"/>
              </w:rPr>
              <w:t>, kas ir ieskaitītas valsts kontā un līdz ar to saskaņā ar regulas Nr.</w:t>
            </w:r>
            <w:r w:rsidR="002439AA">
              <w:rPr>
                <w:rFonts w:ascii="Times New Roman" w:hAnsi="Times New Roman"/>
                <w:sz w:val="24"/>
                <w:szCs w:val="24"/>
              </w:rPr>
              <w:t> </w:t>
            </w:r>
            <w:r>
              <w:rPr>
                <w:rFonts w:ascii="Times New Roman" w:hAnsi="Times New Roman"/>
                <w:sz w:val="24"/>
                <w:szCs w:val="24"/>
              </w:rPr>
              <w:t>389/2013 40.</w:t>
            </w:r>
            <w:r w:rsidR="002439AA">
              <w:rPr>
                <w:rFonts w:ascii="Times New Roman" w:hAnsi="Times New Roman"/>
                <w:sz w:val="24"/>
                <w:szCs w:val="24"/>
              </w:rPr>
              <w:t> </w:t>
            </w:r>
            <w:r>
              <w:rPr>
                <w:rFonts w:ascii="Times New Roman" w:hAnsi="Times New Roman"/>
                <w:sz w:val="24"/>
                <w:szCs w:val="24"/>
              </w:rPr>
              <w:t>pantu ir valsts īpašumā (īpašumtiesības nosaka vienību atrašanās konkrētajā kontā – vienības ir konta turētāja īpa</w:t>
            </w:r>
            <w:r w:rsidR="005213D1">
              <w:rPr>
                <w:rFonts w:ascii="Times New Roman" w:hAnsi="Times New Roman"/>
                <w:sz w:val="24"/>
                <w:szCs w:val="24"/>
              </w:rPr>
              <w:t>šums), ir nepieciešams sagatavot VARAM rīkojumu, kas no</w:t>
            </w:r>
            <w:r w:rsidR="00E1356D">
              <w:rPr>
                <w:rFonts w:ascii="Times New Roman" w:hAnsi="Times New Roman"/>
                <w:sz w:val="24"/>
                <w:szCs w:val="24"/>
              </w:rPr>
              <w:t>teiktu</w:t>
            </w:r>
            <w:r w:rsidR="005213D1">
              <w:rPr>
                <w:rFonts w:ascii="Times New Roman" w:hAnsi="Times New Roman"/>
                <w:sz w:val="24"/>
                <w:szCs w:val="24"/>
              </w:rPr>
              <w:t>, kādas darbības, kādā ter</w:t>
            </w:r>
            <w:r w:rsidR="00322233">
              <w:rPr>
                <w:rFonts w:ascii="Times New Roman" w:hAnsi="Times New Roman"/>
                <w:sz w:val="24"/>
                <w:szCs w:val="24"/>
              </w:rPr>
              <w:t xml:space="preserve">miņā un kādā procedūrā LVĢMC </w:t>
            </w:r>
            <w:r w:rsidR="005213D1">
              <w:rPr>
                <w:rFonts w:ascii="Times New Roman" w:hAnsi="Times New Roman"/>
                <w:sz w:val="24"/>
                <w:szCs w:val="24"/>
              </w:rPr>
              <w:t>jāveic.</w:t>
            </w:r>
          </w:p>
          <w:p w:rsidR="005213D1" w:rsidP="00C4561E" w14:paraId="43C19991" w14:textId="01DCEDD0">
            <w:pPr>
              <w:spacing w:before="120"/>
              <w:rPr>
                <w:rFonts w:ascii="Times New Roman" w:hAnsi="Times New Roman"/>
                <w:sz w:val="24"/>
                <w:szCs w:val="24"/>
              </w:rPr>
            </w:pPr>
            <w:r>
              <w:rPr>
                <w:rFonts w:ascii="Times New Roman" w:hAnsi="Times New Roman"/>
                <w:sz w:val="24"/>
                <w:szCs w:val="24"/>
              </w:rPr>
              <w:t>Latvijas a</w:t>
            </w:r>
            <w:r>
              <w:rPr>
                <w:rFonts w:ascii="Times New Roman" w:hAnsi="Times New Roman"/>
                <w:sz w:val="24"/>
                <w:szCs w:val="24"/>
              </w:rPr>
              <w:t xml:space="preserve">tbilstības kontu turētājs Emisijas reģistrā ir </w:t>
            </w:r>
            <w:r w:rsidR="008B5EC1">
              <w:rPr>
                <w:rFonts w:ascii="Times New Roman" w:hAnsi="Times New Roman"/>
                <w:sz w:val="24"/>
                <w:szCs w:val="24"/>
              </w:rPr>
              <w:t xml:space="preserve">Latvijas valsts, bet atbilstības kontu pilnvarotie pārstāvji ir LVĢMC eksperts (emisijas reģistra nacionālais administrators) un VARAM eksperti, savukārt konta papildus </w:t>
            </w:r>
            <w:r w:rsidR="008B5EC1">
              <w:rPr>
                <w:rFonts w:ascii="Times New Roman" w:hAnsi="Times New Roman"/>
                <w:sz w:val="24"/>
                <w:szCs w:val="24"/>
              </w:rPr>
              <w:t>pilnva</w:t>
            </w:r>
            <w:r w:rsidR="00D9511D">
              <w:rPr>
                <w:rFonts w:ascii="Times New Roman" w:hAnsi="Times New Roman"/>
                <w:sz w:val="24"/>
                <w:szCs w:val="24"/>
              </w:rPr>
              <w:t>rotais</w:t>
            </w:r>
            <w:r w:rsidR="008B5EC1">
              <w:rPr>
                <w:rFonts w:ascii="Times New Roman" w:hAnsi="Times New Roman"/>
                <w:sz w:val="24"/>
                <w:szCs w:val="24"/>
              </w:rPr>
              <w:t xml:space="preserve"> pārstāvis ir VARAM eksperts.</w:t>
            </w:r>
            <w:r w:rsidR="0098505C">
              <w:rPr>
                <w:rFonts w:ascii="Times New Roman" w:hAnsi="Times New Roman"/>
                <w:sz w:val="24"/>
                <w:szCs w:val="24"/>
              </w:rPr>
              <w:t xml:space="preserve"> Minētie kontu pilnvarotie pārstāvji un papildus pilnvarotie pārstāvji ir tie, k</w:t>
            </w:r>
            <w:r w:rsidR="002439AA">
              <w:rPr>
                <w:rFonts w:ascii="Times New Roman" w:hAnsi="Times New Roman"/>
                <w:sz w:val="24"/>
                <w:szCs w:val="24"/>
              </w:rPr>
              <w:t>uri</w:t>
            </w:r>
            <w:r w:rsidR="0098505C">
              <w:rPr>
                <w:rFonts w:ascii="Times New Roman" w:hAnsi="Times New Roman"/>
                <w:sz w:val="24"/>
                <w:szCs w:val="24"/>
              </w:rPr>
              <w:t xml:space="preserve"> veic darbības ar gada emisiju sadales vienībām (</w:t>
            </w:r>
            <w:r w:rsidR="00884180">
              <w:rPr>
                <w:rFonts w:ascii="Times New Roman" w:hAnsi="Times New Roman"/>
                <w:sz w:val="24"/>
                <w:szCs w:val="24"/>
              </w:rPr>
              <w:t>Noteikumu Nr.</w:t>
            </w:r>
            <w:r w:rsidR="002439AA">
              <w:rPr>
                <w:rFonts w:ascii="Times New Roman" w:hAnsi="Times New Roman"/>
                <w:sz w:val="24"/>
                <w:szCs w:val="24"/>
              </w:rPr>
              <w:t> </w:t>
            </w:r>
            <w:r w:rsidR="00884180">
              <w:rPr>
                <w:rFonts w:ascii="Times New Roman" w:hAnsi="Times New Roman"/>
                <w:sz w:val="24"/>
                <w:szCs w:val="24"/>
              </w:rPr>
              <w:t>250 28.</w:t>
            </w:r>
            <w:r w:rsidR="002439AA">
              <w:rPr>
                <w:rFonts w:ascii="Times New Roman" w:hAnsi="Times New Roman"/>
                <w:sz w:val="24"/>
                <w:szCs w:val="24"/>
              </w:rPr>
              <w:t> </w:t>
            </w:r>
            <w:r w:rsidR="00884180">
              <w:rPr>
                <w:rFonts w:ascii="Times New Roman" w:hAnsi="Times New Roman"/>
                <w:sz w:val="24"/>
                <w:szCs w:val="24"/>
              </w:rPr>
              <w:t>punkts, regulas Nr.</w:t>
            </w:r>
            <w:r w:rsidR="002439AA">
              <w:rPr>
                <w:rFonts w:ascii="Times New Roman" w:hAnsi="Times New Roman"/>
                <w:sz w:val="24"/>
                <w:szCs w:val="24"/>
              </w:rPr>
              <w:t> </w:t>
            </w:r>
            <w:r w:rsidR="00884180">
              <w:rPr>
                <w:rFonts w:ascii="Times New Roman" w:hAnsi="Times New Roman"/>
                <w:sz w:val="24"/>
                <w:szCs w:val="24"/>
              </w:rPr>
              <w:t>389/2013</w:t>
            </w:r>
            <w:r w:rsidR="006017DF">
              <w:rPr>
                <w:rFonts w:ascii="Times New Roman" w:hAnsi="Times New Roman"/>
                <w:sz w:val="24"/>
                <w:szCs w:val="24"/>
              </w:rPr>
              <w:t xml:space="preserve"> 23.</w:t>
            </w:r>
            <w:r w:rsidR="002439AA">
              <w:rPr>
                <w:rFonts w:ascii="Times New Roman" w:hAnsi="Times New Roman"/>
                <w:sz w:val="24"/>
                <w:szCs w:val="24"/>
              </w:rPr>
              <w:t> </w:t>
            </w:r>
            <w:r w:rsidR="006017DF">
              <w:rPr>
                <w:rFonts w:ascii="Times New Roman" w:hAnsi="Times New Roman"/>
                <w:sz w:val="24"/>
                <w:szCs w:val="24"/>
              </w:rPr>
              <w:t>pants).</w:t>
            </w:r>
          </w:p>
          <w:p w:rsidR="00E1356D" w:rsidP="00C4561E" w14:paraId="45B10191" w14:textId="745EE02A">
            <w:pPr>
              <w:spacing w:before="120"/>
              <w:rPr>
                <w:rFonts w:ascii="Times New Roman" w:hAnsi="Times New Roman"/>
                <w:sz w:val="24"/>
                <w:szCs w:val="24"/>
              </w:rPr>
            </w:pPr>
            <w:r>
              <w:rPr>
                <w:rFonts w:ascii="Times New Roman" w:hAnsi="Times New Roman"/>
                <w:sz w:val="24"/>
                <w:szCs w:val="24"/>
              </w:rPr>
              <w:t>Papildus VARAM izstrādāja un Ministru kabinets 2017.</w:t>
            </w:r>
            <w:r w:rsidR="00BB7B24">
              <w:rPr>
                <w:rFonts w:ascii="Times New Roman" w:hAnsi="Times New Roman"/>
                <w:sz w:val="24"/>
                <w:szCs w:val="24"/>
              </w:rPr>
              <w:t> </w:t>
            </w:r>
            <w:r>
              <w:rPr>
                <w:rFonts w:ascii="Times New Roman" w:hAnsi="Times New Roman"/>
                <w:sz w:val="24"/>
                <w:szCs w:val="24"/>
              </w:rPr>
              <w:t>gada 23.</w:t>
            </w:r>
            <w:r w:rsidR="00BB7B24">
              <w:rPr>
                <w:rFonts w:ascii="Times New Roman" w:hAnsi="Times New Roman"/>
                <w:sz w:val="24"/>
                <w:szCs w:val="24"/>
              </w:rPr>
              <w:t> </w:t>
            </w:r>
            <w:r>
              <w:rPr>
                <w:rFonts w:ascii="Times New Roman" w:hAnsi="Times New Roman"/>
                <w:sz w:val="24"/>
                <w:szCs w:val="24"/>
              </w:rPr>
              <w:t>maijā (protokols Nr.</w:t>
            </w:r>
            <w:r w:rsidR="00BB7B24">
              <w:rPr>
                <w:rFonts w:ascii="Times New Roman" w:hAnsi="Times New Roman"/>
                <w:sz w:val="24"/>
                <w:szCs w:val="24"/>
              </w:rPr>
              <w:t> </w:t>
            </w:r>
            <w:r>
              <w:rPr>
                <w:rFonts w:ascii="Times New Roman" w:hAnsi="Times New Roman"/>
                <w:sz w:val="24"/>
                <w:szCs w:val="24"/>
              </w:rPr>
              <w:t xml:space="preserve">27, </w:t>
            </w:r>
            <w:r w:rsidRPr="002D141D" w:rsidR="002D141D">
              <w:rPr>
                <w:rFonts w:ascii="Times New Roman" w:hAnsi="Times New Roman"/>
                <w:sz w:val="24"/>
                <w:szCs w:val="24"/>
              </w:rPr>
              <w:t>33.§</w:t>
            </w:r>
            <w:r w:rsidR="002D141D">
              <w:rPr>
                <w:rFonts w:ascii="Times New Roman" w:hAnsi="Times New Roman"/>
                <w:sz w:val="24"/>
                <w:szCs w:val="24"/>
              </w:rPr>
              <w:t>)</w:t>
            </w:r>
            <w:r>
              <w:rPr>
                <w:rFonts w:ascii="Times New Roman" w:hAnsi="Times New Roman"/>
                <w:sz w:val="24"/>
                <w:szCs w:val="24"/>
              </w:rPr>
              <w:t xml:space="preserve"> apstiprināja Informatīvo ziņojumu </w:t>
            </w:r>
            <w:r w:rsidR="00322233">
              <w:rPr>
                <w:rFonts w:ascii="Times New Roman" w:hAnsi="Times New Roman"/>
                <w:sz w:val="24"/>
                <w:szCs w:val="24"/>
              </w:rPr>
              <w:t>“</w:t>
            </w:r>
            <w:r w:rsidRPr="00E1356D">
              <w:rPr>
                <w:rFonts w:ascii="Times New Roman" w:hAnsi="Times New Roman"/>
                <w:sz w:val="24"/>
                <w:szCs w:val="24"/>
              </w:rPr>
              <w:t>Latvijas ilgtermiņa stratēģija rīcībai ar gada emisijas sadales vienībām laika posmam no 2013.</w:t>
            </w:r>
            <w:r w:rsidR="00BB7B24">
              <w:rPr>
                <w:rFonts w:ascii="Times New Roman" w:hAnsi="Times New Roman"/>
                <w:sz w:val="24"/>
                <w:szCs w:val="24"/>
              </w:rPr>
              <w:t> </w:t>
            </w:r>
            <w:r w:rsidRPr="00E1356D">
              <w:rPr>
                <w:rFonts w:ascii="Times New Roman" w:hAnsi="Times New Roman"/>
                <w:sz w:val="24"/>
                <w:szCs w:val="24"/>
              </w:rPr>
              <w:t>gada līdz 2020.</w:t>
            </w:r>
            <w:r w:rsidR="00BB7B24">
              <w:rPr>
                <w:rFonts w:ascii="Times New Roman" w:hAnsi="Times New Roman"/>
                <w:sz w:val="24"/>
                <w:szCs w:val="24"/>
              </w:rPr>
              <w:t> </w:t>
            </w:r>
            <w:r w:rsidR="00322233">
              <w:rPr>
                <w:rFonts w:ascii="Times New Roman" w:hAnsi="Times New Roman"/>
                <w:sz w:val="24"/>
                <w:szCs w:val="24"/>
              </w:rPr>
              <w:t>gadam”</w:t>
            </w:r>
            <w:r w:rsidR="002D141D">
              <w:rPr>
                <w:rFonts w:ascii="Times New Roman" w:hAnsi="Times New Roman"/>
                <w:sz w:val="24"/>
                <w:szCs w:val="24"/>
              </w:rPr>
              <w:t>, kurā tika noteiktas konkrētas rīcības ar valstij piešķirtajām gada emisijas sadales vienībām.</w:t>
            </w:r>
          </w:p>
          <w:p w:rsidR="00B97A2B" w:rsidP="00C4561E" w14:paraId="29DFC64D" w14:textId="1D8662E4">
            <w:pPr>
              <w:spacing w:before="120"/>
              <w:rPr>
                <w:rFonts w:ascii="Times New Roman" w:hAnsi="Times New Roman"/>
                <w:sz w:val="24"/>
                <w:szCs w:val="24"/>
              </w:rPr>
            </w:pPr>
            <w:r>
              <w:rPr>
                <w:rFonts w:ascii="Times New Roman" w:hAnsi="Times New Roman"/>
                <w:sz w:val="24"/>
                <w:szCs w:val="24"/>
              </w:rPr>
              <w:t>Noteikumos Nr.</w:t>
            </w:r>
            <w:r w:rsidR="002439AA">
              <w:rPr>
                <w:rFonts w:ascii="Times New Roman" w:hAnsi="Times New Roman"/>
                <w:sz w:val="24"/>
                <w:szCs w:val="24"/>
              </w:rPr>
              <w:t> </w:t>
            </w:r>
            <w:r>
              <w:rPr>
                <w:rFonts w:ascii="Times New Roman" w:hAnsi="Times New Roman"/>
                <w:sz w:val="24"/>
                <w:szCs w:val="24"/>
              </w:rPr>
              <w:t xml:space="preserve">250 ir noteikts, ka konkrētām darbībām ar gada emisijas vienībām ir nepieciešams VARAM rīkojums, kas </w:t>
            </w:r>
            <w:r w:rsidR="002D141D">
              <w:rPr>
                <w:rFonts w:ascii="Times New Roman" w:hAnsi="Times New Roman"/>
                <w:sz w:val="24"/>
                <w:szCs w:val="24"/>
              </w:rPr>
              <w:t xml:space="preserve">nevajadzīgi </w:t>
            </w:r>
            <w:r>
              <w:rPr>
                <w:rFonts w:ascii="Times New Roman" w:hAnsi="Times New Roman"/>
                <w:sz w:val="24"/>
                <w:szCs w:val="24"/>
              </w:rPr>
              <w:t xml:space="preserve">apgrūtina iespēju veikt darbības gadījumos, ja </w:t>
            </w:r>
            <w:r w:rsidR="002D141D">
              <w:rPr>
                <w:rFonts w:ascii="Times New Roman" w:hAnsi="Times New Roman"/>
                <w:sz w:val="24"/>
                <w:szCs w:val="24"/>
              </w:rPr>
              <w:t xml:space="preserve">ir nepieciešams tikai veikt gada emisijas sadales vienību uzkrāšanas pārskaitījumu (konkrētā gada atbilstības konta atlikuma pārskaitījums uz nākamā gada atbilstības kontu, lai nepieļauto šo vienību automātisku anulēšanu), kā arī varētu apgrūtināt šādas darījumu veikšanas iespējas gadījumos, kad varētu būt </w:t>
            </w:r>
            <w:r>
              <w:rPr>
                <w:rFonts w:ascii="Times New Roman" w:hAnsi="Times New Roman"/>
                <w:sz w:val="24"/>
                <w:szCs w:val="24"/>
              </w:rPr>
              <w:t>nepieciešama ātra rīcība</w:t>
            </w:r>
            <w:r>
              <w:rPr>
                <w:rFonts w:ascii="Times New Roman" w:hAnsi="Times New Roman"/>
                <w:sz w:val="24"/>
                <w:szCs w:val="24"/>
              </w:rPr>
              <w:t>, piemēram, pietiekami īsā laikā veikt gada emisiju sadales vienību pārskaitīšanu citai ES dalībvalstij. Saskaņā ar regulu Nr.</w:t>
            </w:r>
            <w:r w:rsidR="00BB7B24">
              <w:rPr>
                <w:rFonts w:ascii="Times New Roman" w:hAnsi="Times New Roman"/>
                <w:sz w:val="24"/>
                <w:szCs w:val="24"/>
              </w:rPr>
              <w:t> </w:t>
            </w:r>
            <w:r>
              <w:rPr>
                <w:rFonts w:ascii="Times New Roman" w:hAnsi="Times New Roman"/>
                <w:sz w:val="24"/>
                <w:szCs w:val="24"/>
              </w:rPr>
              <w:t xml:space="preserve">389/2013 </w:t>
            </w:r>
            <w:r w:rsidR="00322233">
              <w:rPr>
                <w:rFonts w:ascii="Times New Roman" w:hAnsi="Times New Roman"/>
                <w:sz w:val="24"/>
                <w:szCs w:val="24"/>
              </w:rPr>
              <w:t xml:space="preserve">ES </w:t>
            </w:r>
            <w:r>
              <w:rPr>
                <w:rFonts w:ascii="Times New Roman" w:hAnsi="Times New Roman"/>
                <w:sz w:val="24"/>
                <w:szCs w:val="24"/>
              </w:rPr>
              <w:t>dalībvalstīm ir tikai 4 mēneši pēc tam, kad Eiropas Komisija ir pieņēmusi īstenošanas lēmumu un ir apstiprinājusi katras ES dalībvalsts konkrētā gada kontā nepieciešamo gada emisijas sadales vienību apjomu atbilstības nodrošināšanai, lai veiktu jebkādus darījumus ar vienībām, t.sk., lai pārskaitītu šīs vienības citai ES dalībvalstij. Šādu pārskaitījumu veikšanai arī ir nepieciešams Ministru kabineta lēmums. Ņemot vērā minēto četru mēnešu periodu, kura</w:t>
            </w:r>
            <w:r w:rsidR="00322233">
              <w:rPr>
                <w:rFonts w:ascii="Times New Roman" w:hAnsi="Times New Roman"/>
                <w:sz w:val="24"/>
                <w:szCs w:val="24"/>
              </w:rPr>
              <w:t xml:space="preserve"> laikā ir nepieciešams gan saņemt</w:t>
            </w:r>
            <w:r>
              <w:rPr>
                <w:rFonts w:ascii="Times New Roman" w:hAnsi="Times New Roman"/>
                <w:sz w:val="24"/>
                <w:szCs w:val="24"/>
              </w:rPr>
              <w:t xml:space="preserve"> Ministru kabineta lēmumu veikt kādus pārskaitījumus citām ES dalībvalstīm un nodrošināt š</w:t>
            </w:r>
            <w:r w:rsidR="00322233">
              <w:rPr>
                <w:rFonts w:ascii="Times New Roman" w:hAnsi="Times New Roman"/>
                <w:sz w:val="24"/>
                <w:szCs w:val="24"/>
              </w:rPr>
              <w:t>ī pārskaitījuma izpildi (process</w:t>
            </w:r>
            <w:r>
              <w:rPr>
                <w:rFonts w:ascii="Times New Roman" w:hAnsi="Times New Roman"/>
                <w:sz w:val="24"/>
                <w:szCs w:val="24"/>
              </w:rPr>
              <w:t xml:space="preserve"> ir diezgan</w:t>
            </w:r>
            <w:r w:rsidR="00322233">
              <w:rPr>
                <w:rFonts w:ascii="Times New Roman" w:hAnsi="Times New Roman"/>
                <w:sz w:val="24"/>
                <w:szCs w:val="24"/>
              </w:rPr>
              <w:t xml:space="preserve"> sarežģīts,</w:t>
            </w:r>
            <w:r>
              <w:rPr>
                <w:rFonts w:ascii="Times New Roman" w:hAnsi="Times New Roman"/>
                <w:sz w:val="24"/>
                <w:szCs w:val="24"/>
              </w:rPr>
              <w:t xml:space="preserve"> un var ilgt līdz pat nedēļai), nepieciešamība arī pieņemt VARAM rīkojumu šāda pārskaitījuma veikšanai varētu būtiski apdraudēt pārskaitījumu veikšanas savlaicīgumu (Noteikumos Nr. 250 VARAM rīkojums ir arī nepieciešams pat</w:t>
            </w:r>
            <w:r w:rsidR="00322233">
              <w:rPr>
                <w:rFonts w:ascii="Times New Roman" w:hAnsi="Times New Roman"/>
                <w:sz w:val="24"/>
                <w:szCs w:val="24"/>
              </w:rPr>
              <w:t xml:space="preserve"> tad</w:t>
            </w:r>
            <w:r>
              <w:rPr>
                <w:rFonts w:ascii="Times New Roman" w:hAnsi="Times New Roman"/>
                <w:sz w:val="24"/>
                <w:szCs w:val="24"/>
              </w:rPr>
              <w:t>, ja ir Ministru kabineta lēmums par darbībām ar gada emisijas sadales vienībām).</w:t>
            </w:r>
          </w:p>
          <w:p w:rsidR="006017DF" w:rsidP="00C4561E" w14:paraId="2E6D1163" w14:textId="75AD7A73">
            <w:pPr>
              <w:spacing w:before="120"/>
              <w:rPr>
                <w:rFonts w:ascii="Times New Roman" w:hAnsi="Times New Roman"/>
                <w:sz w:val="24"/>
                <w:szCs w:val="24"/>
              </w:rPr>
            </w:pPr>
            <w:r>
              <w:rPr>
                <w:rFonts w:ascii="Times New Roman" w:hAnsi="Times New Roman"/>
                <w:sz w:val="24"/>
                <w:szCs w:val="24"/>
              </w:rPr>
              <w:t xml:space="preserve">Papildus </w:t>
            </w:r>
            <w:r w:rsidR="00B97A2B">
              <w:rPr>
                <w:rFonts w:ascii="Times New Roman" w:hAnsi="Times New Roman"/>
                <w:sz w:val="24"/>
                <w:szCs w:val="24"/>
              </w:rPr>
              <w:t xml:space="preserve">jāmin, ka </w:t>
            </w:r>
            <w:r>
              <w:rPr>
                <w:rFonts w:ascii="Times New Roman" w:hAnsi="Times New Roman"/>
                <w:sz w:val="24"/>
                <w:szCs w:val="24"/>
              </w:rPr>
              <w:t>VARAM rīkojums ir arī nepieciešams, lai noteiktu VARAM ekspertu rīcību.</w:t>
            </w:r>
            <w:r w:rsidR="00A33520">
              <w:rPr>
                <w:rFonts w:ascii="Times New Roman" w:hAnsi="Times New Roman"/>
                <w:sz w:val="24"/>
                <w:szCs w:val="24"/>
              </w:rPr>
              <w:t xml:space="preserve"> </w:t>
            </w:r>
          </w:p>
          <w:p w:rsidR="008D5521" w:rsidRPr="00411C78" w:rsidP="00C4561E" w14:paraId="4446C63A" w14:textId="5F77E58D">
            <w:pPr>
              <w:spacing w:before="120"/>
              <w:rPr>
                <w:rFonts w:ascii="Times New Roman" w:hAnsi="Times New Roman"/>
                <w:sz w:val="24"/>
                <w:szCs w:val="24"/>
              </w:rPr>
            </w:pPr>
            <w:r w:rsidRPr="00AA4141">
              <w:rPr>
                <w:rFonts w:ascii="Times New Roman" w:hAnsi="Times New Roman"/>
                <w:b/>
                <w:sz w:val="24"/>
                <w:szCs w:val="24"/>
              </w:rPr>
              <w:t>2</w:t>
            </w:r>
            <w:r w:rsidR="00BB7B24">
              <w:rPr>
                <w:rFonts w:ascii="Times New Roman" w:hAnsi="Times New Roman"/>
                <w:sz w:val="24"/>
                <w:szCs w:val="24"/>
              </w:rPr>
              <w:t>. </w:t>
            </w:r>
            <w:r w:rsidR="00C4561E">
              <w:rPr>
                <w:rFonts w:ascii="Times New Roman" w:hAnsi="Times New Roman"/>
                <w:sz w:val="24"/>
                <w:szCs w:val="24"/>
              </w:rPr>
              <w:t>Šobrīd Noteikumos Nr.</w:t>
            </w:r>
            <w:r w:rsidR="00BB7B24">
              <w:rPr>
                <w:rFonts w:ascii="Times New Roman" w:hAnsi="Times New Roman"/>
                <w:sz w:val="24"/>
                <w:szCs w:val="24"/>
              </w:rPr>
              <w:t> </w:t>
            </w:r>
            <w:r w:rsidR="00C4561E">
              <w:rPr>
                <w:rFonts w:ascii="Times New Roman" w:hAnsi="Times New Roman"/>
                <w:sz w:val="24"/>
                <w:szCs w:val="24"/>
              </w:rPr>
              <w:t xml:space="preserve">250 ir noteikts, ka operators savu saistību izpildei (emisijas kvotu nodošanai) var izmantot tikai operatoriem piešķirtās </w:t>
            </w:r>
            <w:r w:rsidR="00B97A2B">
              <w:rPr>
                <w:rFonts w:ascii="Times New Roman" w:hAnsi="Times New Roman"/>
                <w:sz w:val="24"/>
                <w:szCs w:val="24"/>
              </w:rPr>
              <w:t xml:space="preserve">bezmaksas </w:t>
            </w:r>
            <w:r w:rsidR="00C4561E">
              <w:rPr>
                <w:rFonts w:ascii="Times New Roman" w:hAnsi="Times New Roman"/>
                <w:sz w:val="24"/>
                <w:szCs w:val="24"/>
              </w:rPr>
              <w:t xml:space="preserve">emisijas kvotas, kas ir piešķirtas konkrētajam operatoram, vai ko tas ir iegādājies no citiem operatoriem vai ES ETS dalībniekiem. Savukārt gaisa kuģu operatori savu saistību izpildei var izmantot vai nu operatoriem piešķirtās </w:t>
            </w:r>
            <w:r w:rsidR="00B97A2B">
              <w:rPr>
                <w:rFonts w:ascii="Times New Roman" w:hAnsi="Times New Roman"/>
                <w:sz w:val="24"/>
                <w:szCs w:val="24"/>
              </w:rPr>
              <w:t xml:space="preserve">bezmaksas </w:t>
            </w:r>
            <w:r w:rsidR="00C4561E">
              <w:rPr>
                <w:rFonts w:ascii="Times New Roman" w:hAnsi="Times New Roman"/>
                <w:sz w:val="24"/>
                <w:szCs w:val="24"/>
              </w:rPr>
              <w:t>emisijas kvotas vai gaisa kuģu operatoriem piešķirtās</w:t>
            </w:r>
            <w:r w:rsidR="00B97A2B">
              <w:rPr>
                <w:rFonts w:ascii="Times New Roman" w:hAnsi="Times New Roman"/>
                <w:sz w:val="24"/>
                <w:szCs w:val="24"/>
              </w:rPr>
              <w:t xml:space="preserve"> </w:t>
            </w:r>
            <w:r w:rsidRPr="00411C78" w:rsidR="00B97A2B">
              <w:rPr>
                <w:rFonts w:ascii="Times New Roman" w:hAnsi="Times New Roman"/>
                <w:sz w:val="24"/>
                <w:szCs w:val="24"/>
              </w:rPr>
              <w:t>bezmaksas</w:t>
            </w:r>
            <w:r w:rsidRPr="00411C78" w:rsidR="00C4561E">
              <w:rPr>
                <w:rFonts w:ascii="Times New Roman" w:hAnsi="Times New Roman"/>
                <w:sz w:val="24"/>
                <w:szCs w:val="24"/>
              </w:rPr>
              <w:t xml:space="preserve"> emisijas kvotas.</w:t>
            </w:r>
          </w:p>
          <w:p w:rsidR="00C4561E" w:rsidP="00C4561E" w14:paraId="3A946D80" w14:textId="7F27710D">
            <w:pPr>
              <w:spacing w:before="120"/>
              <w:rPr>
                <w:rFonts w:ascii="Times New Roman" w:hAnsi="Times New Roman"/>
                <w:sz w:val="24"/>
                <w:szCs w:val="24"/>
              </w:rPr>
            </w:pPr>
            <w:r w:rsidRPr="00411C78">
              <w:rPr>
                <w:rFonts w:ascii="Times New Roman" w:hAnsi="Times New Roman"/>
                <w:sz w:val="24"/>
                <w:szCs w:val="24"/>
              </w:rPr>
              <w:t>Regula Nr.</w:t>
            </w:r>
            <w:r w:rsidR="00BB7B24">
              <w:rPr>
                <w:rFonts w:ascii="Times New Roman" w:hAnsi="Times New Roman"/>
                <w:sz w:val="24"/>
                <w:szCs w:val="24"/>
              </w:rPr>
              <w:t> </w:t>
            </w:r>
            <w:r w:rsidRPr="00411C78">
              <w:rPr>
                <w:rFonts w:ascii="Times New Roman" w:hAnsi="Times New Roman"/>
                <w:sz w:val="24"/>
                <w:szCs w:val="24"/>
              </w:rPr>
              <w:t xml:space="preserve">2017/2392 </w:t>
            </w:r>
            <w:r w:rsidRPr="00411C78">
              <w:rPr>
                <w:rFonts w:ascii="Times New Roman" w:hAnsi="Times New Roman"/>
                <w:sz w:val="24"/>
                <w:szCs w:val="24"/>
              </w:rPr>
              <w:t>no</w:t>
            </w:r>
            <w:r w:rsidR="00BB7B24">
              <w:rPr>
                <w:rFonts w:ascii="Times New Roman" w:hAnsi="Times New Roman"/>
                <w:sz w:val="24"/>
                <w:szCs w:val="24"/>
              </w:rPr>
              <w:t>teic</w:t>
            </w:r>
            <w:r w:rsidRPr="00411C78">
              <w:rPr>
                <w:rFonts w:ascii="Times New Roman" w:hAnsi="Times New Roman"/>
                <w:sz w:val="24"/>
                <w:szCs w:val="24"/>
              </w:rPr>
              <w:t>, ka no 2021.</w:t>
            </w:r>
            <w:r w:rsidR="00BB7B24">
              <w:rPr>
                <w:rFonts w:ascii="Times New Roman" w:hAnsi="Times New Roman"/>
                <w:sz w:val="24"/>
                <w:szCs w:val="24"/>
              </w:rPr>
              <w:t> </w:t>
            </w:r>
            <w:r w:rsidRPr="00411C78">
              <w:rPr>
                <w:rFonts w:ascii="Times New Roman" w:hAnsi="Times New Roman"/>
                <w:sz w:val="24"/>
                <w:szCs w:val="24"/>
              </w:rPr>
              <w:t>gada 1.</w:t>
            </w:r>
            <w:r w:rsidR="00BB7B24">
              <w:rPr>
                <w:rFonts w:ascii="Times New Roman" w:hAnsi="Times New Roman"/>
                <w:sz w:val="24"/>
                <w:szCs w:val="24"/>
              </w:rPr>
              <w:t> </w:t>
            </w:r>
            <w:r w:rsidRPr="00411C78">
              <w:rPr>
                <w:rFonts w:ascii="Times New Roman" w:hAnsi="Times New Roman"/>
                <w:sz w:val="24"/>
                <w:szCs w:val="24"/>
              </w:rPr>
              <w:t xml:space="preserve">janvāra arī operatori savu saistību izpildei var izmantot gan operatoram, gan gaisa kuģu </w:t>
            </w:r>
            <w:r w:rsidRPr="00411C78" w:rsidR="00D9511D">
              <w:rPr>
                <w:rFonts w:ascii="Times New Roman" w:hAnsi="Times New Roman"/>
                <w:sz w:val="24"/>
                <w:szCs w:val="24"/>
              </w:rPr>
              <w:t>operatoram</w:t>
            </w:r>
            <w:r w:rsidRPr="00411C78">
              <w:rPr>
                <w:rFonts w:ascii="Times New Roman" w:hAnsi="Times New Roman"/>
                <w:sz w:val="24"/>
                <w:szCs w:val="24"/>
              </w:rPr>
              <w:t xml:space="preserve"> piešķirtās </w:t>
            </w:r>
            <w:r w:rsidRPr="00411C78" w:rsidR="00B97A2B">
              <w:rPr>
                <w:rFonts w:ascii="Times New Roman" w:hAnsi="Times New Roman"/>
                <w:sz w:val="24"/>
                <w:szCs w:val="24"/>
              </w:rPr>
              <w:t xml:space="preserve">bezmaksas </w:t>
            </w:r>
            <w:r w:rsidRPr="00411C78">
              <w:rPr>
                <w:rFonts w:ascii="Times New Roman" w:hAnsi="Times New Roman"/>
                <w:sz w:val="24"/>
                <w:szCs w:val="24"/>
              </w:rPr>
              <w:t>emisijas kvotas.</w:t>
            </w:r>
          </w:p>
          <w:p w:rsidR="004A51CE" w:rsidP="00C4561E" w14:paraId="0D71E814" w14:textId="27290985">
            <w:pPr>
              <w:pStyle w:val="naiskr"/>
              <w:spacing w:before="120" w:after="120"/>
              <w:jc w:val="both"/>
              <w:rPr>
                <w:u w:val="single"/>
              </w:rPr>
            </w:pPr>
            <w:r>
              <w:rPr>
                <w:b/>
                <w:u w:val="single"/>
              </w:rPr>
              <w:t>3</w:t>
            </w:r>
            <w:r w:rsidRPr="00BD1B94" w:rsidR="00BD1B94">
              <w:rPr>
                <w:b/>
                <w:u w:val="single"/>
              </w:rPr>
              <w:t>.</w:t>
            </w:r>
            <w:r w:rsidR="002439AA">
              <w:rPr>
                <w:u w:val="single"/>
              </w:rPr>
              <w:t> </w:t>
            </w:r>
            <w:r w:rsidRPr="00BD1B94" w:rsidR="00BD1B94">
              <w:rPr>
                <w:u w:val="single"/>
              </w:rPr>
              <w:t>Noteikumu projekts izstrādāts ar mērķi</w:t>
            </w:r>
            <w:r>
              <w:rPr>
                <w:u w:val="single"/>
              </w:rPr>
              <w:t>:</w:t>
            </w:r>
            <w:r w:rsidR="002439AA">
              <w:rPr>
                <w:u w:val="single"/>
              </w:rPr>
              <w:t xml:space="preserve"> </w:t>
            </w:r>
          </w:p>
          <w:p w:rsidR="006134D9" w:rsidP="004A51CE" w14:paraId="67F53F8B" w14:textId="42B0E739">
            <w:pPr>
              <w:pStyle w:val="naiskr"/>
              <w:spacing w:before="120" w:after="120"/>
              <w:jc w:val="both"/>
            </w:pPr>
            <w:r w:rsidRPr="004A51CE">
              <w:rPr>
                <w:b/>
              </w:rPr>
              <w:t>1)</w:t>
            </w:r>
            <w:r w:rsidR="00BB7B24">
              <w:t> a</w:t>
            </w:r>
            <w:r w:rsidR="006017DF">
              <w:t xml:space="preserve">tvieglot darbības ar gada emisijas sadales vienībām, nosakot, ka darbības ar gada emisijas sadales vienībām veic nevis nacionālais administrators (LVĢMC), bet atbilstības kontu turētāji LVĢMC vai VARAM, un dzēšot nosacījumu, ka konkrētas darbības ar gada emisijas sadales vienībām ir </w:t>
            </w:r>
            <w:r w:rsidR="006017DF">
              <w:t xml:space="preserve">veicamas </w:t>
            </w:r>
            <w:r w:rsidR="00A37869">
              <w:t xml:space="preserve">saskaņā </w:t>
            </w:r>
            <w:r w:rsidR="006017DF">
              <w:t>ar VARAM rīkojumu</w:t>
            </w:r>
            <w:r w:rsidR="00A37869">
              <w:t xml:space="preserve"> (arī ja ir bijis Ministru kabineta lēmums)</w:t>
            </w:r>
            <w:r w:rsidR="00BB7B24">
              <w:t>;</w:t>
            </w:r>
          </w:p>
          <w:p w:rsidR="004A51CE" w:rsidRPr="00BD1B94" w:rsidP="00411C78" w14:paraId="29D10780" w14:textId="7A448D78">
            <w:pPr>
              <w:pStyle w:val="naiskr"/>
              <w:spacing w:before="120" w:after="120"/>
              <w:jc w:val="both"/>
            </w:pPr>
            <w:r w:rsidRPr="00AA4141">
              <w:rPr>
                <w:b/>
              </w:rPr>
              <w:t>2)</w:t>
            </w:r>
            <w:r w:rsidR="00BB7B24">
              <w:rPr>
                <w:b/>
              </w:rPr>
              <w:t> </w:t>
            </w:r>
            <w:r w:rsidR="00BB7B24">
              <w:t>n</w:t>
            </w:r>
            <w:r>
              <w:t>oteikumos Nr.</w:t>
            </w:r>
            <w:r w:rsidR="00BB7B24">
              <w:t> </w:t>
            </w:r>
            <w:r>
              <w:t>250 iekļautos nosacījums pielāgotu Regul</w:t>
            </w:r>
            <w:r w:rsidR="00411C78">
              <w:t>ā Nr.</w:t>
            </w:r>
            <w:r w:rsidR="00BB7B24">
              <w:t> </w:t>
            </w:r>
            <w:r w:rsidR="00411C78">
              <w:t>2017/2392</w:t>
            </w:r>
            <w:r>
              <w:t xml:space="preserve"> iekļautajiem nosacījumiem.</w:t>
            </w:r>
          </w:p>
        </w:tc>
      </w:tr>
      <w:tr w14:paraId="4DFF3ADA" w14:textId="77777777" w:rsidTr="000F14C9">
        <w:tblPrEx>
          <w:tblW w:w="9639" w:type="dxa"/>
          <w:jc w:val="center"/>
          <w:tblCellMar>
            <w:left w:w="57" w:type="dxa"/>
            <w:right w:w="57" w:type="dxa"/>
          </w:tblCellMar>
          <w:tblLook w:val="00A0"/>
        </w:tblPrEx>
        <w:trPr>
          <w:trHeight w:val="274"/>
          <w:jc w:val="center"/>
        </w:trPr>
        <w:tc>
          <w:tcPr>
            <w:tcW w:w="250" w:type="pct"/>
          </w:tcPr>
          <w:p w:rsidR="00CB4AAB" w:rsidRPr="00F122F9" w:rsidP="00B63F0E" w14:paraId="16B2083B" w14:textId="442AFF56">
            <w:pPr>
              <w:spacing w:before="60" w:after="60"/>
              <w:jc w:val="center"/>
              <w:rPr>
                <w:rFonts w:ascii="Times New Roman" w:hAnsi="Times New Roman"/>
                <w:lang w:eastAsia="lv-LV"/>
              </w:rPr>
            </w:pPr>
            <w:r w:rsidRPr="00F122F9">
              <w:rPr>
                <w:rFonts w:ascii="Times New Roman" w:hAnsi="Times New Roman"/>
                <w:lang w:eastAsia="lv-LV"/>
              </w:rPr>
              <w:t>3.</w:t>
            </w:r>
          </w:p>
        </w:tc>
        <w:tc>
          <w:tcPr>
            <w:tcW w:w="853" w:type="pct"/>
          </w:tcPr>
          <w:p w:rsidR="00CB4AAB" w:rsidRPr="00810942" w:rsidP="00B63F0E" w14:paraId="46F27036"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Projekta izstrādē iesaistītās institūcijas</w:t>
            </w:r>
          </w:p>
        </w:tc>
        <w:tc>
          <w:tcPr>
            <w:tcW w:w="3897" w:type="pct"/>
          </w:tcPr>
          <w:p w:rsidR="00F07CD0" w:rsidRPr="002439AA" w:rsidP="005E117D" w14:paraId="4FF6E6C0" w14:textId="325C9F82">
            <w:pPr>
              <w:pStyle w:val="naiskr"/>
              <w:spacing w:before="60" w:after="60"/>
              <w:jc w:val="both"/>
              <w:rPr>
                <w:iCs/>
                <w:sz w:val="22"/>
                <w:szCs w:val="22"/>
              </w:rPr>
            </w:pPr>
            <w:r w:rsidRPr="00660BD9">
              <w:rPr>
                <w:iCs/>
              </w:rPr>
              <w:t>VARAM, LVĢMC</w:t>
            </w:r>
          </w:p>
        </w:tc>
      </w:tr>
      <w:tr w14:paraId="3495304A" w14:textId="77777777" w:rsidTr="00F122F9">
        <w:tblPrEx>
          <w:tblW w:w="9639" w:type="dxa"/>
          <w:jc w:val="center"/>
          <w:tblCellMar>
            <w:left w:w="57" w:type="dxa"/>
            <w:right w:w="57" w:type="dxa"/>
          </w:tblCellMar>
          <w:tblLook w:val="00A0"/>
        </w:tblPrEx>
        <w:trPr>
          <w:jc w:val="center"/>
        </w:trPr>
        <w:tc>
          <w:tcPr>
            <w:tcW w:w="250" w:type="pct"/>
          </w:tcPr>
          <w:p w:rsidR="00CB4AAB" w:rsidRPr="00F122F9" w:rsidP="00B63F0E" w14:paraId="538194A3" w14:textId="77777777">
            <w:pPr>
              <w:spacing w:before="60" w:after="60"/>
              <w:jc w:val="center"/>
              <w:rPr>
                <w:rFonts w:ascii="Times New Roman" w:hAnsi="Times New Roman"/>
                <w:lang w:eastAsia="lv-LV"/>
              </w:rPr>
            </w:pPr>
            <w:r w:rsidRPr="00F122F9">
              <w:rPr>
                <w:rFonts w:ascii="Times New Roman" w:hAnsi="Times New Roman"/>
                <w:lang w:eastAsia="lv-LV"/>
              </w:rPr>
              <w:t>4.</w:t>
            </w:r>
          </w:p>
        </w:tc>
        <w:tc>
          <w:tcPr>
            <w:tcW w:w="853" w:type="pct"/>
          </w:tcPr>
          <w:p w:rsidR="00CB4AAB" w:rsidRPr="00810942" w:rsidP="00B63F0E" w14:paraId="2D300A15"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Cita informācija</w:t>
            </w:r>
          </w:p>
        </w:tc>
        <w:tc>
          <w:tcPr>
            <w:tcW w:w="3897" w:type="pct"/>
          </w:tcPr>
          <w:p w:rsidR="00CB4AAB" w:rsidRPr="00810942" w:rsidP="00B63F0E" w14:paraId="26FF8B71" w14:textId="77777777">
            <w:pPr>
              <w:spacing w:before="60" w:after="60"/>
              <w:ind w:firstLine="232"/>
              <w:jc w:val="left"/>
              <w:rPr>
                <w:rFonts w:ascii="Times New Roman" w:hAnsi="Times New Roman"/>
                <w:sz w:val="24"/>
                <w:szCs w:val="24"/>
                <w:lang w:eastAsia="lv-LV"/>
              </w:rPr>
            </w:pPr>
            <w:r w:rsidRPr="00810942">
              <w:rPr>
                <w:rFonts w:ascii="Times New Roman" w:hAnsi="Times New Roman"/>
                <w:sz w:val="24"/>
                <w:szCs w:val="24"/>
                <w:lang w:eastAsia="lv-LV"/>
              </w:rPr>
              <w:t>Nav</w:t>
            </w:r>
          </w:p>
        </w:tc>
      </w:tr>
    </w:tbl>
    <w:p w:rsidR="00CB4AAB" w:rsidRPr="00F122F9" w:rsidP="0034370D" w14:paraId="5A6A503C" w14:textId="77777777">
      <w:pPr>
        <w:spacing w:after="0"/>
        <w:ind w:firstLine="301"/>
        <w:jc w:val="left"/>
        <w:rPr>
          <w:rFonts w:ascii="Times New Roman" w:hAnsi="Times New Roman"/>
          <w:sz w:val="24"/>
          <w:szCs w:val="24"/>
          <w:lang w:eastAsia="lv-LV"/>
        </w:rPr>
      </w:pPr>
      <w:r w:rsidRPr="00F122F9">
        <w:rPr>
          <w:rFonts w:ascii="Times New Roman" w:hAnsi="Times New Roman"/>
          <w:sz w:val="24"/>
          <w:szCs w:val="24"/>
          <w:lang w:eastAsia="lv-LV"/>
        </w:rPr>
        <w: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82"/>
        <w:gridCol w:w="1787"/>
        <w:gridCol w:w="7370"/>
      </w:tblGrid>
      <w:tr w14:paraId="5F47132E" w14:textId="77777777" w:rsidTr="003F5D80">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555"/>
          <w:jc w:val="center"/>
        </w:trPr>
        <w:tc>
          <w:tcPr>
            <w:tcW w:w="0" w:type="auto"/>
            <w:gridSpan w:val="3"/>
            <w:vAlign w:val="center"/>
          </w:tcPr>
          <w:p w:rsidR="00CB4AAB" w:rsidRPr="00810942" w:rsidP="00B63F0E" w14:paraId="3B950755" w14:textId="295B6EC9">
            <w:pPr>
              <w:spacing w:before="60" w:after="60"/>
              <w:jc w:val="center"/>
              <w:rPr>
                <w:rFonts w:ascii="Times New Roman" w:hAnsi="Times New Roman"/>
                <w:b/>
                <w:bCs/>
                <w:sz w:val="24"/>
                <w:szCs w:val="24"/>
                <w:lang w:eastAsia="lv-LV"/>
              </w:rPr>
            </w:pPr>
            <w:r w:rsidRPr="00810942">
              <w:rPr>
                <w:rFonts w:ascii="Times New Roman" w:hAnsi="Times New Roman"/>
                <w:b/>
                <w:bCs/>
                <w:sz w:val="24"/>
                <w:szCs w:val="24"/>
                <w:lang w:eastAsia="lv-LV"/>
              </w:rPr>
              <w:t>II. Tiesību akta projekta ietekme uz sabiedrību, tautsaimniecības attīstību un administratīvo slogu</w:t>
            </w:r>
          </w:p>
        </w:tc>
      </w:tr>
      <w:tr w14:paraId="24093540" w14:textId="77777777" w:rsidTr="00F122F9">
        <w:tblPrEx>
          <w:tblW w:w="9639" w:type="dxa"/>
          <w:jc w:val="center"/>
          <w:tblCellMar>
            <w:left w:w="57" w:type="dxa"/>
            <w:right w:w="57" w:type="dxa"/>
          </w:tblCellMar>
          <w:tblLook w:val="00A0"/>
        </w:tblPrEx>
        <w:trPr>
          <w:trHeight w:val="274"/>
          <w:jc w:val="center"/>
        </w:trPr>
        <w:tc>
          <w:tcPr>
            <w:tcW w:w="250" w:type="pct"/>
          </w:tcPr>
          <w:p w:rsidR="00CB4AAB" w:rsidRPr="00F122F9" w:rsidP="00B63F0E" w14:paraId="44B7BA9B" w14:textId="77777777">
            <w:pPr>
              <w:spacing w:before="60" w:after="60"/>
              <w:jc w:val="left"/>
              <w:rPr>
                <w:rFonts w:ascii="Times New Roman" w:hAnsi="Times New Roman"/>
                <w:lang w:eastAsia="lv-LV"/>
              </w:rPr>
            </w:pPr>
            <w:r w:rsidRPr="00F122F9">
              <w:rPr>
                <w:rFonts w:ascii="Times New Roman" w:hAnsi="Times New Roman"/>
                <w:lang w:eastAsia="lv-LV"/>
              </w:rPr>
              <w:t>1.</w:t>
            </w:r>
          </w:p>
        </w:tc>
        <w:tc>
          <w:tcPr>
            <w:tcW w:w="927" w:type="pct"/>
          </w:tcPr>
          <w:p w:rsidR="00CB4AAB" w:rsidRPr="00810942" w:rsidP="00B63F0E" w14:paraId="577E9F8E"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Sabiedrības mērķgrupas, kuras tiesiskais regulējums ietekmē vai varētu ietekmēt</w:t>
            </w:r>
          </w:p>
        </w:tc>
        <w:tc>
          <w:tcPr>
            <w:tcW w:w="3823" w:type="pct"/>
          </w:tcPr>
          <w:p w:rsidR="002C68A0" w:rsidRPr="00A37869" w:rsidP="004A51CE" w14:paraId="2FBBDCDC" w14:textId="77777777">
            <w:pPr>
              <w:pStyle w:val="naiskr"/>
              <w:spacing w:before="120" w:after="120"/>
              <w:jc w:val="both"/>
              <w:rPr>
                <w:bCs/>
                <w:u w:val="single"/>
                <w:shd w:val="clear" w:color="auto" w:fill="FFFFFF"/>
              </w:rPr>
            </w:pPr>
            <w:r w:rsidRPr="00A37869">
              <w:rPr>
                <w:bCs/>
                <w:u w:val="single"/>
                <w:shd w:val="clear" w:color="auto" w:fill="FFFFFF"/>
              </w:rPr>
              <w:t>Noteikumu projekta tiesiskais regulējums ietekmē vai var ietekmēt:</w:t>
            </w:r>
          </w:p>
          <w:p w:rsidR="00BF14CB" w:rsidP="004A51CE" w14:paraId="6544C15D" w14:textId="6EEEF6AC">
            <w:pPr>
              <w:pStyle w:val="naiskr"/>
              <w:spacing w:before="120" w:after="120"/>
              <w:jc w:val="both"/>
            </w:pPr>
            <w:r w:rsidRPr="00A37869">
              <w:rPr>
                <w:bCs/>
                <w:shd w:val="clear" w:color="auto" w:fill="FFFFFF"/>
              </w:rPr>
              <w:t>VARAM</w:t>
            </w:r>
            <w:r w:rsidR="002439AA">
              <w:rPr>
                <w:bCs/>
                <w:shd w:val="clear" w:color="auto" w:fill="FFFFFF"/>
              </w:rPr>
              <w:t xml:space="preserve"> un </w:t>
            </w:r>
            <w:r w:rsidRPr="00A37869">
              <w:rPr>
                <w:bCs/>
                <w:shd w:val="clear" w:color="auto" w:fill="FFFFFF"/>
              </w:rPr>
              <w:t xml:space="preserve">LVĢMC </w:t>
            </w:r>
            <w:r w:rsidRPr="00A37869">
              <w:t>attiecībā uz atbilstības nodrošināšanu ik</w:t>
            </w:r>
            <w:r w:rsidR="00322233">
              <w:t>gadējam emisiju sadales apjomam;</w:t>
            </w:r>
          </w:p>
          <w:p w:rsidR="004A51CE" w:rsidRPr="00A37869" w:rsidP="004A51CE" w14:paraId="148A9880" w14:textId="29CBD64D">
            <w:pPr>
              <w:pStyle w:val="naiskr"/>
              <w:spacing w:before="120" w:after="120"/>
              <w:jc w:val="both"/>
              <w:rPr>
                <w:bCs/>
                <w:shd w:val="clear" w:color="auto" w:fill="FFFFFF"/>
              </w:rPr>
            </w:pPr>
            <w:r>
              <w:t>ES ETS operatorus attiecībā uz iespējām saistību izpildei izmantot arī gaisa kuģu operatoriem piešķirtās emisijas kvotas.</w:t>
            </w:r>
          </w:p>
        </w:tc>
      </w:tr>
      <w:tr w14:paraId="09765920" w14:textId="77777777" w:rsidTr="00F122F9">
        <w:tblPrEx>
          <w:tblW w:w="9639" w:type="dxa"/>
          <w:jc w:val="center"/>
          <w:tblCellMar>
            <w:left w:w="57" w:type="dxa"/>
            <w:right w:w="57" w:type="dxa"/>
          </w:tblCellMar>
          <w:tblLook w:val="00A0"/>
        </w:tblPrEx>
        <w:trPr>
          <w:trHeight w:val="510"/>
          <w:jc w:val="center"/>
        </w:trPr>
        <w:tc>
          <w:tcPr>
            <w:tcW w:w="250" w:type="pct"/>
          </w:tcPr>
          <w:p w:rsidR="00CB4AAB" w:rsidRPr="00F122F9" w:rsidP="00B63F0E" w14:paraId="104CAE6C" w14:textId="77777777">
            <w:pPr>
              <w:spacing w:before="60" w:after="60"/>
              <w:jc w:val="left"/>
              <w:rPr>
                <w:rFonts w:ascii="Times New Roman" w:hAnsi="Times New Roman"/>
                <w:lang w:eastAsia="lv-LV"/>
              </w:rPr>
            </w:pPr>
            <w:r w:rsidRPr="00F122F9">
              <w:rPr>
                <w:rFonts w:ascii="Times New Roman" w:hAnsi="Times New Roman"/>
                <w:lang w:eastAsia="lv-LV"/>
              </w:rPr>
              <w:t>2.</w:t>
            </w:r>
          </w:p>
        </w:tc>
        <w:tc>
          <w:tcPr>
            <w:tcW w:w="927" w:type="pct"/>
          </w:tcPr>
          <w:p w:rsidR="00CB4AAB" w:rsidRPr="00810942" w:rsidP="00B63F0E" w14:paraId="68CC145D"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Tiesiskā regulējuma ietekme uz tautsaimniecību un administratīvo slogu</w:t>
            </w:r>
          </w:p>
        </w:tc>
        <w:tc>
          <w:tcPr>
            <w:tcW w:w="3823" w:type="pct"/>
          </w:tcPr>
          <w:p w:rsidR="00CB4AAB" w:rsidRPr="00A37869" w:rsidP="004A51CE" w14:paraId="78361749" w14:textId="77777777">
            <w:pPr>
              <w:spacing w:before="120"/>
              <w:rPr>
                <w:rFonts w:ascii="Times New Roman" w:hAnsi="Times New Roman"/>
                <w:sz w:val="24"/>
                <w:szCs w:val="24"/>
                <w:u w:val="single"/>
              </w:rPr>
            </w:pPr>
            <w:r w:rsidRPr="00A37869">
              <w:rPr>
                <w:rFonts w:ascii="Times New Roman" w:hAnsi="Times New Roman"/>
                <w:sz w:val="24"/>
                <w:szCs w:val="24"/>
                <w:u w:val="single"/>
              </w:rPr>
              <w:t>Noteikumu projekta tiesiskā regulējuma paredzamā ietekme uz administratīvo slogu:</w:t>
            </w:r>
          </w:p>
          <w:p w:rsidR="00A37869" w:rsidRPr="00A37869" w:rsidP="004A51CE" w14:paraId="6AAA11C7" w14:textId="77777777">
            <w:pPr>
              <w:spacing w:before="120"/>
              <w:rPr>
                <w:rFonts w:ascii="Times New Roman" w:hAnsi="Times New Roman"/>
                <w:sz w:val="24"/>
                <w:szCs w:val="24"/>
              </w:rPr>
            </w:pPr>
            <w:r w:rsidRPr="00A37869">
              <w:rPr>
                <w:rFonts w:ascii="Times New Roman" w:hAnsi="Times New Roman"/>
                <w:sz w:val="24"/>
                <w:szCs w:val="24"/>
              </w:rPr>
              <w:t>Noteikumu projektam netiek paredzēta ietekme uz administratīvo slogu, jo sabiedrības grupām un institūcijām projekta tiesiskais regulējums nemaina tiesības un pienākumus, kā arī veicamās darbības.</w:t>
            </w:r>
          </w:p>
          <w:p w:rsidR="00A37869" w:rsidRPr="00A37869" w:rsidP="004A51CE" w14:paraId="51C6F691" w14:textId="16F55974">
            <w:pPr>
              <w:spacing w:before="120"/>
              <w:rPr>
                <w:rFonts w:ascii="Times New Roman" w:hAnsi="Times New Roman"/>
                <w:sz w:val="24"/>
                <w:szCs w:val="24"/>
                <w:u w:val="single"/>
              </w:rPr>
            </w:pPr>
            <w:r w:rsidRPr="00A37869">
              <w:rPr>
                <w:rFonts w:ascii="Times New Roman" w:hAnsi="Times New Roman"/>
                <w:sz w:val="24"/>
                <w:szCs w:val="24"/>
                <w:u w:val="single"/>
              </w:rPr>
              <w:t>Noteikumu projekta tiesiskā regulējuma ietekme uz uzņēmējdarbības vidi</w:t>
            </w:r>
            <w:r w:rsidR="00354E0E">
              <w:rPr>
                <w:rFonts w:ascii="Times New Roman" w:hAnsi="Times New Roman"/>
                <w:sz w:val="24"/>
                <w:szCs w:val="24"/>
                <w:u w:val="single"/>
              </w:rPr>
              <w:t>:</w:t>
            </w:r>
          </w:p>
          <w:p w:rsidR="00A37869" w:rsidRPr="00A37869" w:rsidP="004A51CE" w14:paraId="3DE787D2" w14:textId="7F2B82AD">
            <w:pPr>
              <w:spacing w:before="120"/>
              <w:rPr>
                <w:rFonts w:ascii="Times New Roman" w:hAnsi="Times New Roman"/>
                <w:sz w:val="24"/>
                <w:szCs w:val="24"/>
              </w:rPr>
            </w:pPr>
            <w:r>
              <w:rPr>
                <w:rFonts w:ascii="Times New Roman" w:hAnsi="Times New Roman"/>
                <w:sz w:val="24"/>
                <w:szCs w:val="24"/>
              </w:rPr>
              <w:t>nav</w:t>
            </w:r>
            <w:r w:rsidR="00354E0E">
              <w:rPr>
                <w:rFonts w:ascii="Times New Roman" w:hAnsi="Times New Roman"/>
                <w:sz w:val="24"/>
                <w:szCs w:val="24"/>
              </w:rPr>
              <w:t>.</w:t>
            </w:r>
          </w:p>
          <w:p w:rsidR="00A37869" w:rsidP="004A51CE" w14:paraId="75038F73" w14:textId="5D757C39">
            <w:pPr>
              <w:spacing w:before="120"/>
              <w:rPr>
                <w:rFonts w:ascii="Times New Roman" w:hAnsi="Times New Roman"/>
                <w:sz w:val="24"/>
                <w:szCs w:val="24"/>
                <w:u w:val="single"/>
              </w:rPr>
            </w:pPr>
            <w:r w:rsidRPr="00A37869">
              <w:rPr>
                <w:rFonts w:ascii="Times New Roman" w:hAnsi="Times New Roman"/>
                <w:sz w:val="24"/>
                <w:szCs w:val="24"/>
                <w:u w:val="single"/>
              </w:rPr>
              <w:t>Noteikumu projekta ietekme uz Nacionālā attīstības plāna rādītājiem, mikro vai makro līmenī</w:t>
            </w:r>
            <w:r w:rsidR="00354E0E">
              <w:rPr>
                <w:rFonts w:ascii="Times New Roman" w:hAnsi="Times New Roman"/>
                <w:sz w:val="24"/>
                <w:szCs w:val="24"/>
                <w:u w:val="single"/>
              </w:rPr>
              <w:t>:</w:t>
            </w:r>
          </w:p>
          <w:p w:rsidR="00F07CD0" w:rsidRPr="00A37869" w:rsidP="004A51CE" w14:paraId="1CFBF86E" w14:textId="24A324A4">
            <w:pPr>
              <w:spacing w:before="120"/>
              <w:rPr>
                <w:rFonts w:ascii="Times New Roman" w:hAnsi="Times New Roman"/>
                <w:sz w:val="24"/>
                <w:szCs w:val="24"/>
                <w:lang w:eastAsia="lv-LV"/>
              </w:rPr>
            </w:pPr>
            <w:r w:rsidRPr="00A37869">
              <w:rPr>
                <w:rFonts w:ascii="Times New Roman" w:hAnsi="Times New Roman"/>
                <w:sz w:val="24"/>
                <w:szCs w:val="24"/>
              </w:rPr>
              <w:t>nav.</w:t>
            </w:r>
          </w:p>
        </w:tc>
      </w:tr>
      <w:tr w14:paraId="32E93C38" w14:textId="77777777" w:rsidTr="00F122F9">
        <w:tblPrEx>
          <w:tblW w:w="9639" w:type="dxa"/>
          <w:jc w:val="center"/>
          <w:tblCellMar>
            <w:left w:w="57" w:type="dxa"/>
            <w:right w:w="57" w:type="dxa"/>
          </w:tblCellMar>
          <w:tblLook w:val="00A0"/>
        </w:tblPrEx>
        <w:trPr>
          <w:trHeight w:val="510"/>
          <w:jc w:val="center"/>
        </w:trPr>
        <w:tc>
          <w:tcPr>
            <w:tcW w:w="250" w:type="pct"/>
          </w:tcPr>
          <w:p w:rsidR="00CB4AAB" w:rsidRPr="00F122F9" w:rsidP="00B63F0E" w14:paraId="1C45C6D7" w14:textId="77777777">
            <w:pPr>
              <w:spacing w:before="60" w:after="60"/>
              <w:jc w:val="left"/>
              <w:rPr>
                <w:rFonts w:ascii="Times New Roman" w:hAnsi="Times New Roman"/>
                <w:lang w:eastAsia="lv-LV"/>
              </w:rPr>
            </w:pPr>
            <w:r w:rsidRPr="00F122F9">
              <w:rPr>
                <w:rFonts w:ascii="Times New Roman" w:hAnsi="Times New Roman"/>
                <w:lang w:eastAsia="lv-LV"/>
              </w:rPr>
              <w:t xml:space="preserve">3. </w:t>
            </w:r>
          </w:p>
        </w:tc>
        <w:tc>
          <w:tcPr>
            <w:tcW w:w="927" w:type="pct"/>
          </w:tcPr>
          <w:p w:rsidR="00CB4AAB" w:rsidRPr="00810942" w:rsidP="00B63F0E" w14:paraId="3BE9F202"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Administratīvo izmaksu monetārs novērtējums</w:t>
            </w:r>
          </w:p>
        </w:tc>
        <w:tc>
          <w:tcPr>
            <w:tcW w:w="3823" w:type="pct"/>
          </w:tcPr>
          <w:p w:rsidR="0074243C" w:rsidRPr="00810942" w:rsidP="004A51CE" w14:paraId="18F610A5" w14:textId="77777777">
            <w:pPr>
              <w:spacing w:before="120"/>
              <w:rPr>
                <w:rFonts w:ascii="Times New Roman" w:hAnsi="Times New Roman"/>
                <w:sz w:val="24"/>
                <w:szCs w:val="24"/>
              </w:rPr>
            </w:pPr>
            <w:r w:rsidRPr="00810942">
              <w:rPr>
                <w:rFonts w:ascii="Times New Roman" w:hAnsi="Times New Roman"/>
                <w:sz w:val="24"/>
                <w:szCs w:val="24"/>
              </w:rPr>
              <w:t>Šobrīd netiek paredzēta noteikumu projektā iekļauto nosacījumu ietekme uz administratīvajām izmaksām (naudas izteiksmē).</w:t>
            </w:r>
          </w:p>
        </w:tc>
      </w:tr>
      <w:tr w14:paraId="09480A27" w14:textId="77777777" w:rsidTr="00F122F9">
        <w:tblPrEx>
          <w:tblW w:w="9639" w:type="dxa"/>
          <w:jc w:val="center"/>
          <w:tblCellMar>
            <w:left w:w="57" w:type="dxa"/>
            <w:right w:w="57" w:type="dxa"/>
          </w:tblCellMar>
          <w:tblLook w:val="00A0"/>
        </w:tblPrEx>
        <w:trPr>
          <w:trHeight w:val="345"/>
          <w:jc w:val="center"/>
        </w:trPr>
        <w:tc>
          <w:tcPr>
            <w:tcW w:w="250" w:type="pct"/>
          </w:tcPr>
          <w:p w:rsidR="00CB4AAB" w:rsidRPr="00F122F9" w:rsidP="00B63F0E" w14:paraId="38B8059D" w14:textId="77777777">
            <w:pPr>
              <w:spacing w:before="60" w:after="60"/>
              <w:jc w:val="left"/>
              <w:rPr>
                <w:rFonts w:ascii="Times New Roman" w:hAnsi="Times New Roman"/>
                <w:lang w:eastAsia="lv-LV"/>
              </w:rPr>
            </w:pPr>
            <w:r w:rsidRPr="00F122F9">
              <w:rPr>
                <w:rFonts w:ascii="Times New Roman" w:hAnsi="Times New Roman"/>
                <w:lang w:eastAsia="lv-LV"/>
              </w:rPr>
              <w:t>4.</w:t>
            </w:r>
          </w:p>
        </w:tc>
        <w:tc>
          <w:tcPr>
            <w:tcW w:w="927" w:type="pct"/>
          </w:tcPr>
          <w:p w:rsidR="00CB4AAB" w:rsidRPr="00810942" w:rsidP="00B63F0E" w14:paraId="06BC26A4"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Cita informācija</w:t>
            </w:r>
          </w:p>
        </w:tc>
        <w:tc>
          <w:tcPr>
            <w:tcW w:w="3823" w:type="pct"/>
          </w:tcPr>
          <w:p w:rsidR="00CB4AAB" w:rsidRPr="00810942" w:rsidP="004A51CE" w14:paraId="7B230371" w14:textId="77777777">
            <w:pPr>
              <w:pStyle w:val="BodyTextIndent2"/>
              <w:spacing w:before="120" w:line="240" w:lineRule="auto"/>
              <w:ind w:left="0" w:firstLine="113"/>
              <w:jc w:val="both"/>
            </w:pPr>
            <w:r w:rsidRPr="00810942">
              <w:t>Nav</w:t>
            </w:r>
          </w:p>
        </w:tc>
      </w:tr>
    </w:tbl>
    <w:p w:rsidR="00816C09" w:rsidP="005E117D" w14:paraId="038F6D72" w14:textId="77777777">
      <w:pPr>
        <w:shd w:val="clear" w:color="auto" w:fill="FFFFFF"/>
        <w:spacing w:after="0"/>
        <w:jc w:val="left"/>
        <w:rPr>
          <w:rFonts w:ascii="Times New Roman" w:hAnsi="Times New Roman"/>
          <w:sz w:val="24"/>
          <w:szCs w:val="24"/>
        </w:rPr>
      </w:pPr>
    </w:p>
    <w:tbl>
      <w:tblPr>
        <w:tblW w:w="9639" w:type="dxa"/>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639"/>
      </w:tblGrid>
      <w:tr w14:paraId="2D8C1A17" w14:textId="77777777" w:rsidTr="00DA5FFD">
        <w:tblPrEx>
          <w:tblW w:w="9639" w:type="dxa"/>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16C09" w:rsidRPr="009A3E9F" w:rsidP="00CB1835" w14:paraId="7D47260F" w14:textId="0BAF06B3">
            <w:pPr>
              <w:spacing w:after="0"/>
              <w:jc w:val="center"/>
              <w:rPr>
                <w:rFonts w:ascii="Times New Roman" w:eastAsia="Times New Roman" w:hAnsi="Times New Roman"/>
                <w:b/>
                <w:bCs/>
                <w:sz w:val="24"/>
                <w:szCs w:val="24"/>
                <w:lang w:eastAsia="lv-LV"/>
              </w:rPr>
            </w:pPr>
            <w:r w:rsidRPr="009A3E9F">
              <w:rPr>
                <w:rFonts w:ascii="Times New Roman" w:eastAsia="Times New Roman" w:hAnsi="Times New Roman"/>
                <w:b/>
                <w:bCs/>
                <w:sz w:val="24"/>
                <w:szCs w:val="24"/>
                <w:lang w:eastAsia="lv-LV"/>
              </w:rPr>
              <w:t>II</w:t>
            </w:r>
            <w:r>
              <w:rPr>
                <w:rFonts w:ascii="Times New Roman" w:eastAsia="Times New Roman" w:hAnsi="Times New Roman"/>
                <w:b/>
                <w:bCs/>
                <w:sz w:val="24"/>
                <w:szCs w:val="24"/>
                <w:lang w:eastAsia="lv-LV"/>
              </w:rPr>
              <w:t>I</w:t>
            </w:r>
            <w:r w:rsidRPr="009A3E9F">
              <w:rPr>
                <w:rFonts w:ascii="Times New Roman" w:eastAsia="Times New Roman" w:hAnsi="Times New Roman"/>
                <w:b/>
                <w:bCs/>
                <w:sz w:val="24"/>
                <w:szCs w:val="24"/>
                <w:lang w:eastAsia="lv-LV"/>
              </w:rPr>
              <w:t>. </w:t>
            </w:r>
            <w:r w:rsidRPr="00660BD9">
              <w:rPr>
                <w:rFonts w:ascii="Times New Roman" w:eastAsia="Times New Roman" w:hAnsi="Times New Roman"/>
                <w:b/>
                <w:sz w:val="24"/>
                <w:szCs w:val="24"/>
                <w:lang w:eastAsia="lv-LV"/>
              </w:rPr>
              <w:t>Tiesību akta projekta ietekme uz valsts budžetu un pašvaldību budžetiem</w:t>
            </w:r>
          </w:p>
        </w:tc>
      </w:tr>
      <w:tr w14:paraId="732419B6" w14:textId="77777777" w:rsidTr="00DA5FFD">
        <w:tblPrEx>
          <w:tblW w:w="9639" w:type="dxa"/>
          <w:tblInd w:w="-260" w:type="dxa"/>
          <w:tblCellMar>
            <w:top w:w="24" w:type="dxa"/>
            <w:left w:w="24" w:type="dxa"/>
            <w:bottom w:w="24" w:type="dxa"/>
            <w:right w:w="24" w:type="dxa"/>
          </w:tblCellMar>
          <w:tblLook w:val="04A0"/>
        </w:tblPrEx>
        <w:trPr>
          <w:trHeight w:val="210"/>
        </w:trPr>
        <w:tc>
          <w:tcPr>
            <w:tcW w:w="5000" w:type="pct"/>
            <w:tcBorders>
              <w:top w:val="outset" w:sz="6" w:space="0" w:color="414142"/>
              <w:left w:val="outset" w:sz="6" w:space="0" w:color="414142"/>
              <w:bottom w:val="outset" w:sz="6" w:space="0" w:color="414142"/>
              <w:right w:val="outset" w:sz="6" w:space="0" w:color="414142"/>
            </w:tcBorders>
            <w:vAlign w:val="center"/>
          </w:tcPr>
          <w:p w:rsidR="00816C09" w:rsidRPr="009A3E9F" w:rsidP="00CB1835" w14:paraId="72D1BBF2" w14:textId="77777777">
            <w:pPr>
              <w:spacing w:after="0"/>
              <w:jc w:val="center"/>
              <w:rPr>
                <w:rFonts w:ascii="Times New Roman" w:eastAsia="Times New Roman" w:hAnsi="Times New Roman"/>
                <w:sz w:val="24"/>
                <w:szCs w:val="24"/>
                <w:lang w:eastAsia="lv-LV"/>
              </w:rPr>
            </w:pPr>
            <w:r w:rsidRPr="009A3E9F">
              <w:rPr>
                <w:rFonts w:ascii="Times New Roman" w:hAnsi="Times New Roman"/>
                <w:i/>
                <w:iCs/>
                <w:sz w:val="24"/>
                <w:szCs w:val="24"/>
              </w:rPr>
              <w:t>Projekts šo jomu neskar</w:t>
            </w:r>
          </w:p>
        </w:tc>
      </w:tr>
    </w:tbl>
    <w:p w:rsidR="00816C09" w:rsidP="005E117D" w14:paraId="6065510F" w14:textId="77777777">
      <w:pPr>
        <w:shd w:val="clear" w:color="auto" w:fill="FFFFFF"/>
        <w:spacing w:after="0"/>
        <w:jc w:val="left"/>
        <w:rPr>
          <w:rFonts w:ascii="Times New Roman" w:hAnsi="Times New Roman"/>
          <w:sz w:val="24"/>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14:paraId="606B45FF" w14:textId="77777777" w:rsidTr="001A2D16">
        <w:tblPrEx>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640" w:type="dxa"/>
            <w:vAlign w:val="center"/>
          </w:tcPr>
          <w:p w:rsidR="00816C09" w:rsidRPr="009A3E9F" w:rsidP="00CB1835" w14:paraId="503D72D5" w14:textId="4C8248B2">
            <w:pPr>
              <w:pStyle w:val="naisf"/>
              <w:spacing w:before="0" w:after="0"/>
              <w:ind w:firstLine="0"/>
              <w:jc w:val="center"/>
              <w:rPr>
                <w:b/>
              </w:rPr>
            </w:pPr>
            <w:r w:rsidRPr="009A3E9F">
              <w:rPr>
                <w:b/>
              </w:rPr>
              <w:t>IV.</w:t>
            </w:r>
            <w:r>
              <w:rPr>
                <w:b/>
              </w:rPr>
              <w:t> </w:t>
            </w:r>
            <w:r w:rsidRPr="009A3E9F">
              <w:rPr>
                <w:b/>
              </w:rPr>
              <w:t>Tiesību akta projekta ietekme uz spēkā esošo tiesību normu sistēmu</w:t>
            </w:r>
          </w:p>
        </w:tc>
      </w:tr>
      <w:tr w14:paraId="723EB69A" w14:textId="77777777" w:rsidTr="001A2D16">
        <w:tblPrEx>
          <w:tblW w:w="9640" w:type="dxa"/>
          <w:jc w:val="center"/>
          <w:tblLook w:val="04A0"/>
        </w:tblPrEx>
        <w:trPr>
          <w:trHeight w:val="327"/>
          <w:jc w:val="center"/>
        </w:trPr>
        <w:tc>
          <w:tcPr>
            <w:tcW w:w="9640" w:type="dxa"/>
            <w:vAlign w:val="center"/>
          </w:tcPr>
          <w:p w:rsidR="00816C09" w:rsidRPr="009A3E9F" w:rsidP="00CB1835" w14:paraId="0E6921B4" w14:textId="77777777">
            <w:pPr>
              <w:pStyle w:val="naisf"/>
              <w:spacing w:before="0" w:after="0"/>
              <w:ind w:firstLine="0"/>
              <w:jc w:val="center"/>
              <w:rPr>
                <w:b/>
              </w:rPr>
            </w:pPr>
            <w:r w:rsidRPr="009A3E9F">
              <w:rPr>
                <w:i/>
                <w:iCs/>
              </w:rPr>
              <w:t>Projekts šo jomu neskar</w:t>
            </w:r>
          </w:p>
        </w:tc>
      </w:tr>
    </w:tbl>
    <w:p w:rsidR="00816C09" w:rsidP="00816C09" w14:paraId="6AF02555" w14:textId="77777777">
      <w:pPr>
        <w:shd w:val="clear" w:color="auto" w:fill="FFFFFF"/>
        <w:spacing w:after="0"/>
        <w:rPr>
          <w:rFonts w:ascii="Times New Roman" w:eastAsia="Times New Roman" w:hAnsi="Times New Roman"/>
          <w:sz w:val="24"/>
          <w:szCs w:val="24"/>
          <w:lang w:eastAsia="lv-LV"/>
        </w:rPr>
      </w:pPr>
    </w:p>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82"/>
        <w:gridCol w:w="2795"/>
        <w:gridCol w:w="6362"/>
      </w:tblGrid>
      <w:tr w14:paraId="4096BA94" w14:textId="77777777" w:rsidTr="001A2D16">
        <w:tblPrEx>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jc w:val="center"/>
        </w:trPr>
        <w:tc>
          <w:tcPr>
            <w:tcW w:w="9639" w:type="dxa"/>
            <w:gridSpan w:val="3"/>
            <w:tcBorders>
              <w:top w:val="outset" w:sz="6" w:space="0" w:color="414142"/>
              <w:left w:val="outset" w:sz="6" w:space="0" w:color="414142"/>
              <w:bottom w:val="outset" w:sz="6" w:space="0" w:color="414142"/>
              <w:right w:val="outset" w:sz="6" w:space="0" w:color="414142"/>
            </w:tcBorders>
            <w:vAlign w:val="center"/>
            <w:hideMark/>
          </w:tcPr>
          <w:p w:rsidR="001A2D16" w:rsidP="00322233" w14:paraId="2A4BFF87" w14:textId="77777777">
            <w:pPr>
              <w:spacing w:before="60" w:after="6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 Tiesību akta projekta atbilstība Latvijas Republikas starptautiskajām saistībām</w:t>
            </w:r>
          </w:p>
        </w:tc>
      </w:tr>
      <w:tr w14:paraId="0B3D8570" w14:textId="77777777" w:rsidTr="001A2D16">
        <w:tblPrEx>
          <w:tblW w:w="9639" w:type="dxa"/>
          <w:jc w:val="center"/>
          <w:tblCellMar>
            <w:top w:w="24" w:type="dxa"/>
            <w:left w:w="24" w:type="dxa"/>
            <w:bottom w:w="24" w:type="dxa"/>
            <w:right w:w="24" w:type="dxa"/>
          </w:tblCellMar>
          <w:tblLook w:val="04A0"/>
        </w:tblPrEx>
        <w:trPr>
          <w:jc w:val="center"/>
        </w:trPr>
        <w:tc>
          <w:tcPr>
            <w:tcW w:w="482" w:type="dxa"/>
            <w:tcBorders>
              <w:top w:val="outset" w:sz="6" w:space="0" w:color="414142"/>
              <w:left w:val="outset" w:sz="6" w:space="0" w:color="414142"/>
              <w:bottom w:val="outset" w:sz="6" w:space="0" w:color="414142"/>
              <w:right w:val="outset" w:sz="6" w:space="0" w:color="414142"/>
            </w:tcBorders>
            <w:hideMark/>
          </w:tcPr>
          <w:p w:rsidR="001A2D16" w:rsidP="00322233" w14:paraId="7180A61D"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795" w:type="dxa"/>
            <w:tcBorders>
              <w:top w:val="outset" w:sz="6" w:space="0" w:color="414142"/>
              <w:left w:val="outset" w:sz="6" w:space="0" w:color="414142"/>
              <w:bottom w:val="outset" w:sz="6" w:space="0" w:color="414142"/>
              <w:right w:val="outset" w:sz="6" w:space="0" w:color="414142"/>
            </w:tcBorders>
            <w:hideMark/>
          </w:tcPr>
          <w:p w:rsidR="001A2D16" w:rsidP="00322233" w14:paraId="6F71AB61"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Saistības pret Eiropas Savienību</w:t>
            </w:r>
          </w:p>
        </w:tc>
        <w:tc>
          <w:tcPr>
            <w:tcW w:w="6362" w:type="dxa"/>
            <w:tcBorders>
              <w:top w:val="outset" w:sz="6" w:space="0" w:color="414142"/>
              <w:left w:val="outset" w:sz="6" w:space="0" w:color="414142"/>
              <w:bottom w:val="outset" w:sz="6" w:space="0" w:color="414142"/>
              <w:right w:val="outset" w:sz="6" w:space="0" w:color="414142"/>
            </w:tcBorders>
            <w:hideMark/>
          </w:tcPr>
          <w:p w:rsidR="001A2D16" w:rsidP="00322233" w14:paraId="76C8AA63" w14:textId="77777777">
            <w:pPr>
              <w:autoSpaceDE w:val="0"/>
              <w:autoSpaceDN w:val="0"/>
              <w:adjustRightInd w:val="0"/>
              <w:spacing w:before="60" w:after="60"/>
              <w:rPr>
                <w:rFonts w:ascii="Times New Roman" w:hAnsi="Times New Roman"/>
                <w:sz w:val="24"/>
                <w:szCs w:val="24"/>
              </w:rPr>
            </w:pPr>
            <w:r>
              <w:rPr>
                <w:rFonts w:ascii="Times New Roman" w:hAnsi="Times New Roman"/>
                <w:sz w:val="24"/>
                <w:szCs w:val="24"/>
              </w:rPr>
              <w:t>Regula Nr. 2017/2392.</w:t>
            </w:r>
          </w:p>
        </w:tc>
      </w:tr>
      <w:tr w14:paraId="42F0D4C2" w14:textId="77777777" w:rsidTr="001A2D16">
        <w:tblPrEx>
          <w:tblW w:w="9639" w:type="dxa"/>
          <w:jc w:val="center"/>
          <w:tblCellMar>
            <w:top w:w="24" w:type="dxa"/>
            <w:left w:w="24" w:type="dxa"/>
            <w:bottom w:w="24" w:type="dxa"/>
            <w:right w:w="24" w:type="dxa"/>
          </w:tblCellMar>
          <w:tblLook w:val="04A0"/>
        </w:tblPrEx>
        <w:trPr>
          <w:jc w:val="center"/>
        </w:trPr>
        <w:tc>
          <w:tcPr>
            <w:tcW w:w="482" w:type="dxa"/>
            <w:tcBorders>
              <w:top w:val="outset" w:sz="6" w:space="0" w:color="414142"/>
              <w:left w:val="outset" w:sz="6" w:space="0" w:color="414142"/>
              <w:bottom w:val="outset" w:sz="6" w:space="0" w:color="414142"/>
              <w:right w:val="outset" w:sz="6" w:space="0" w:color="414142"/>
            </w:tcBorders>
            <w:hideMark/>
          </w:tcPr>
          <w:p w:rsidR="001A2D16" w:rsidP="00322233" w14:paraId="5234DBB3"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795" w:type="dxa"/>
            <w:tcBorders>
              <w:top w:val="outset" w:sz="6" w:space="0" w:color="414142"/>
              <w:left w:val="outset" w:sz="6" w:space="0" w:color="414142"/>
              <w:bottom w:val="outset" w:sz="6" w:space="0" w:color="414142"/>
              <w:right w:val="outset" w:sz="6" w:space="0" w:color="414142"/>
            </w:tcBorders>
            <w:hideMark/>
          </w:tcPr>
          <w:p w:rsidR="001A2D16" w:rsidP="00322233" w14:paraId="50DD3CD7"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Citas starptautiskās saistības</w:t>
            </w:r>
          </w:p>
        </w:tc>
        <w:tc>
          <w:tcPr>
            <w:tcW w:w="6362" w:type="dxa"/>
            <w:tcBorders>
              <w:top w:val="outset" w:sz="6" w:space="0" w:color="414142"/>
              <w:left w:val="outset" w:sz="6" w:space="0" w:color="414142"/>
              <w:bottom w:val="outset" w:sz="6" w:space="0" w:color="414142"/>
              <w:right w:val="outset" w:sz="6" w:space="0" w:color="414142"/>
            </w:tcBorders>
            <w:hideMark/>
          </w:tcPr>
          <w:p w:rsidR="001A2D16" w:rsidP="00322233" w14:paraId="5273E3A3"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rPr>
              <w:t>Projekts šo jomu neskar.</w:t>
            </w:r>
          </w:p>
        </w:tc>
      </w:tr>
      <w:tr w14:paraId="147602F0" w14:textId="77777777" w:rsidTr="001A2D16">
        <w:tblPrEx>
          <w:tblW w:w="9639" w:type="dxa"/>
          <w:jc w:val="center"/>
          <w:tblCellMar>
            <w:top w:w="24" w:type="dxa"/>
            <w:left w:w="24" w:type="dxa"/>
            <w:bottom w:w="24" w:type="dxa"/>
            <w:right w:w="24" w:type="dxa"/>
          </w:tblCellMar>
          <w:tblLook w:val="04A0"/>
        </w:tblPrEx>
        <w:trPr>
          <w:jc w:val="center"/>
        </w:trPr>
        <w:tc>
          <w:tcPr>
            <w:tcW w:w="482" w:type="dxa"/>
            <w:tcBorders>
              <w:top w:val="outset" w:sz="6" w:space="0" w:color="414142"/>
              <w:left w:val="outset" w:sz="6" w:space="0" w:color="414142"/>
              <w:bottom w:val="outset" w:sz="6" w:space="0" w:color="414142"/>
              <w:right w:val="outset" w:sz="6" w:space="0" w:color="414142"/>
            </w:tcBorders>
            <w:hideMark/>
          </w:tcPr>
          <w:p w:rsidR="001A2D16" w:rsidP="00322233" w14:paraId="2C1EE993"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795" w:type="dxa"/>
            <w:tcBorders>
              <w:top w:val="outset" w:sz="6" w:space="0" w:color="414142"/>
              <w:left w:val="outset" w:sz="6" w:space="0" w:color="414142"/>
              <w:bottom w:val="outset" w:sz="6" w:space="0" w:color="414142"/>
              <w:right w:val="outset" w:sz="6" w:space="0" w:color="414142"/>
            </w:tcBorders>
            <w:hideMark/>
          </w:tcPr>
          <w:p w:rsidR="001A2D16" w:rsidP="00322233" w14:paraId="38F370BD"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362" w:type="dxa"/>
            <w:tcBorders>
              <w:top w:val="outset" w:sz="6" w:space="0" w:color="414142"/>
              <w:left w:val="outset" w:sz="6" w:space="0" w:color="414142"/>
              <w:bottom w:val="outset" w:sz="6" w:space="0" w:color="414142"/>
              <w:right w:val="outset" w:sz="6" w:space="0" w:color="414142"/>
            </w:tcBorders>
            <w:hideMark/>
          </w:tcPr>
          <w:p w:rsidR="001A2D16" w:rsidP="00322233" w14:paraId="6E38CF4F"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1A2D16" w:rsidP="00816C09" w14:paraId="356978CC" w14:textId="77777777">
      <w:pPr>
        <w:shd w:val="clear" w:color="auto" w:fill="FFFFFF"/>
        <w:spacing w:after="0"/>
        <w:rPr>
          <w:rFonts w:ascii="Times New Roman" w:eastAsia="Times New Roman" w:hAnsi="Times New Roman"/>
          <w:sz w:val="24"/>
          <w:szCs w:val="24"/>
          <w:lang w:eastAsia="lv-LV"/>
        </w:rPr>
      </w:pPr>
    </w:p>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215"/>
        <w:gridCol w:w="2121"/>
        <w:gridCol w:w="2699"/>
        <w:gridCol w:w="2604"/>
      </w:tblGrid>
      <w:tr w14:paraId="30B693D3" w14:textId="77777777" w:rsidTr="00411C78">
        <w:tblPrEx>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411C78" w14:paraId="3089C77B" w14:textId="77777777">
            <w:pPr>
              <w:spacing w:before="60" w:after="6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 tabula</w:t>
            </w:r>
            <w:r>
              <w:rPr>
                <w:rFonts w:ascii="Times New Roman" w:eastAsia="Times New Roman" w:hAnsi="Times New Roman"/>
                <w:b/>
                <w:bCs/>
                <w:sz w:val="24"/>
                <w:szCs w:val="24"/>
                <w:lang w:eastAsia="lv-LV"/>
              </w:rPr>
              <w:br/>
              <w:t>Tiesību akta projekta atbilstība ES tiesību aktiem</w:t>
            </w:r>
          </w:p>
        </w:tc>
      </w:tr>
      <w:tr w14:paraId="59A20E07" w14:textId="77777777" w:rsidTr="00411C78">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411C78" w14:paraId="6751CCD5"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Attiecīgā ES tiesību akta datums, numurs un nosaukums</w:t>
            </w:r>
          </w:p>
        </w:tc>
        <w:tc>
          <w:tcPr>
            <w:tcW w:w="3851" w:type="pct"/>
            <w:gridSpan w:val="3"/>
            <w:tcBorders>
              <w:top w:val="outset" w:sz="6" w:space="0" w:color="414142"/>
              <w:left w:val="outset" w:sz="6" w:space="0" w:color="414142"/>
              <w:bottom w:val="outset" w:sz="6" w:space="0" w:color="414142"/>
              <w:right w:val="outset" w:sz="6" w:space="0" w:color="414142"/>
            </w:tcBorders>
            <w:hideMark/>
          </w:tcPr>
          <w:p w:rsidR="00411C78" w14:paraId="482BF6A6" w14:textId="77777777">
            <w:pPr>
              <w:spacing w:before="60" w:after="60"/>
              <w:rPr>
                <w:rFonts w:ascii="Times New Roman" w:eastAsia="Times New Roman" w:hAnsi="Times New Roman"/>
                <w:sz w:val="24"/>
                <w:szCs w:val="24"/>
                <w:lang w:eastAsia="lv-LV"/>
              </w:rPr>
            </w:pPr>
            <w:r>
              <w:rPr>
                <w:rFonts w:ascii="Times New Roman" w:hAnsi="Times New Roman"/>
                <w:b/>
                <w:sz w:val="24"/>
                <w:szCs w:val="24"/>
              </w:rPr>
              <w:t>Regula Nr. 2012/2392</w:t>
            </w:r>
          </w:p>
        </w:tc>
      </w:tr>
      <w:tr w14:paraId="026312C4" w14:textId="77777777" w:rsidTr="00411C78">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vAlign w:val="center"/>
            <w:hideMark/>
          </w:tcPr>
          <w:p w:rsidR="00411C78" w14:paraId="39010693" w14:textId="77777777">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411C78" w14:paraId="7765FBAF" w14:textId="77777777">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411C78" w14:paraId="1E7550F4" w14:textId="77777777">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C</w:t>
            </w:r>
          </w:p>
        </w:tc>
        <w:tc>
          <w:tcPr>
            <w:tcW w:w="1351" w:type="pct"/>
            <w:tcBorders>
              <w:top w:val="outset" w:sz="6" w:space="0" w:color="414142"/>
              <w:left w:val="outset" w:sz="6" w:space="0" w:color="414142"/>
              <w:bottom w:val="outset" w:sz="6" w:space="0" w:color="414142"/>
              <w:right w:val="outset" w:sz="6" w:space="0" w:color="414142"/>
            </w:tcBorders>
            <w:vAlign w:val="center"/>
            <w:hideMark/>
          </w:tcPr>
          <w:p w:rsidR="00411C78" w14:paraId="15AF552B" w14:textId="77777777">
            <w:pPr>
              <w:spacing w:after="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D</w:t>
            </w:r>
          </w:p>
        </w:tc>
      </w:tr>
      <w:tr w14:paraId="577F330D" w14:textId="77777777" w:rsidTr="00411C78">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411C78" w14:paraId="2DD388E6" w14:textId="77777777">
            <w:pPr>
              <w:spacing w:before="60" w:after="60"/>
              <w:rPr>
                <w:rFonts w:ascii="Times New Roman" w:eastAsia="Times New Roman" w:hAnsi="Times New Roman"/>
                <w:lang w:eastAsia="lv-LV"/>
              </w:rPr>
            </w:pPr>
            <w:r>
              <w:rPr>
                <w:rFonts w:ascii="Times New Roman" w:eastAsia="Times New Roman" w:hAnsi="Times New Roman"/>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rsidR="00411C78" w14:paraId="2737B307" w14:textId="77777777">
            <w:pPr>
              <w:spacing w:before="60" w:after="60"/>
              <w:rPr>
                <w:rFonts w:ascii="Times New Roman" w:eastAsia="Times New Roman" w:hAnsi="Times New Roman"/>
                <w:lang w:eastAsia="lv-LV"/>
              </w:rPr>
            </w:pPr>
            <w:r>
              <w:rPr>
                <w:rFonts w:ascii="Times New Roman" w:eastAsia="Times New Roman" w:hAnsi="Times New Roman"/>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rsidR="00411C78" w14:paraId="1EDBEB5C" w14:textId="77777777">
            <w:pPr>
              <w:spacing w:before="60" w:after="60"/>
              <w:rPr>
                <w:rFonts w:ascii="Times New Roman" w:eastAsia="Times New Roman" w:hAnsi="Times New Roman"/>
                <w:lang w:eastAsia="lv-LV"/>
              </w:rPr>
            </w:pPr>
            <w:r>
              <w:rPr>
                <w:rFonts w:ascii="Times New Roman" w:eastAsia="Times New Roman" w:hAnsi="Times New Roman"/>
                <w:lang w:eastAsia="lv-LV"/>
              </w:rPr>
              <w:t>Informācija par to, vai šīs tabulas A ailē minētās ES tiesību akta vienības tiek pārņemtas vai ieviestas pilnībā vai daļēji.</w:t>
            </w:r>
          </w:p>
          <w:p w:rsidR="00411C78" w14:paraId="75E0FDC3" w14:textId="77777777">
            <w:pPr>
              <w:spacing w:before="60" w:after="60"/>
              <w:rPr>
                <w:rFonts w:ascii="Times New Roman" w:eastAsia="Times New Roman" w:hAnsi="Times New Roman"/>
                <w:lang w:eastAsia="lv-LV"/>
              </w:rPr>
            </w:pPr>
            <w:r>
              <w:rPr>
                <w:rFonts w:ascii="Times New Roman" w:eastAsia="Times New Roman" w:hAnsi="Times New Roman"/>
                <w:lang w:eastAsia="lv-LV"/>
              </w:rPr>
              <w:t>Ja attiecīgā ES tiesību akta vienība tiek pārņemta vai ieviesta daļēji, sniedz attiecīgu skaidrojumu, kā arī precīzi norāda, kad un kādā veidā ES tiesību akta vienība tiks pārņemta vai ieviesta pilnībā.</w:t>
            </w:r>
          </w:p>
          <w:p w:rsidR="00411C78" w14:paraId="53741DC5" w14:textId="77777777">
            <w:pPr>
              <w:spacing w:before="60" w:after="60"/>
              <w:rPr>
                <w:rFonts w:ascii="Times New Roman" w:eastAsia="Times New Roman" w:hAnsi="Times New Roman"/>
                <w:lang w:eastAsia="lv-LV"/>
              </w:rPr>
            </w:pPr>
            <w:r>
              <w:rPr>
                <w:rFonts w:ascii="Times New Roman" w:eastAsia="Times New Roman" w:hAnsi="Times New Roman"/>
                <w:lang w:eastAsia="lv-LV"/>
              </w:rPr>
              <w:t>Norāda institūciju, kas ir atbildīga par šo saistību izpildi pilnībā</w:t>
            </w:r>
          </w:p>
        </w:tc>
        <w:tc>
          <w:tcPr>
            <w:tcW w:w="1351" w:type="pct"/>
            <w:tcBorders>
              <w:top w:val="outset" w:sz="6" w:space="0" w:color="414142"/>
              <w:left w:val="outset" w:sz="6" w:space="0" w:color="414142"/>
              <w:bottom w:val="outset" w:sz="6" w:space="0" w:color="414142"/>
              <w:right w:val="outset" w:sz="6" w:space="0" w:color="414142"/>
            </w:tcBorders>
            <w:hideMark/>
          </w:tcPr>
          <w:p w:rsidR="00411C78" w14:paraId="28A6F931" w14:textId="77777777">
            <w:pPr>
              <w:spacing w:before="60" w:after="60"/>
              <w:rPr>
                <w:rFonts w:ascii="Times New Roman" w:eastAsia="Times New Roman" w:hAnsi="Times New Roman"/>
                <w:lang w:eastAsia="lv-LV"/>
              </w:rPr>
            </w:pPr>
            <w:r>
              <w:rPr>
                <w:rFonts w:ascii="Times New Roman" w:eastAsia="Times New Roman" w:hAnsi="Times New Roman"/>
                <w:lang w:eastAsia="lv-LV"/>
              </w:rPr>
              <w:t>Informācija par to, vai šīs tabulas B ailē minētās projekta vienības paredz stingrākas prasības nekā šīs tabulas A ailē minētās ES tiesību akta vienības.</w:t>
            </w:r>
          </w:p>
          <w:p w:rsidR="00411C78" w14:paraId="28B2927C" w14:textId="77777777">
            <w:pPr>
              <w:spacing w:before="60" w:after="60"/>
              <w:rPr>
                <w:rFonts w:ascii="Times New Roman" w:eastAsia="Times New Roman" w:hAnsi="Times New Roman"/>
                <w:lang w:eastAsia="lv-LV"/>
              </w:rPr>
            </w:pPr>
            <w:r>
              <w:rPr>
                <w:rFonts w:ascii="Times New Roman" w:eastAsia="Times New Roman" w:hAnsi="Times New Roman"/>
                <w:lang w:eastAsia="lv-LV"/>
              </w:rPr>
              <w:t>Ja projekts satur stingrākas prasības nekā attiecīgais ES tiesību akts, norāda pamatojumu un samērīgumu.</w:t>
            </w:r>
          </w:p>
          <w:p w:rsidR="00411C78" w14:paraId="65AA7609" w14:textId="77777777">
            <w:pPr>
              <w:spacing w:before="60" w:after="60"/>
              <w:rPr>
                <w:rFonts w:ascii="Times New Roman" w:eastAsia="Times New Roman" w:hAnsi="Times New Roman"/>
                <w:lang w:eastAsia="lv-LV"/>
              </w:rPr>
            </w:pPr>
            <w:r>
              <w:rPr>
                <w:rFonts w:ascii="Times New Roman" w:eastAsia="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14:paraId="55C1CCFE" w14:textId="77777777" w:rsidTr="00411C78">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vAlign w:val="center"/>
            <w:hideMark/>
          </w:tcPr>
          <w:p w:rsidR="00411C78" w:rsidP="00411C78" w14:paraId="746679F2" w14:textId="11EFC040">
            <w:pPr>
              <w:spacing w:before="60" w:after="60"/>
              <w:rPr>
                <w:rFonts w:ascii="Times New Roman" w:hAnsi="Times New Roman"/>
                <w:sz w:val="24"/>
                <w:szCs w:val="24"/>
              </w:rPr>
            </w:pPr>
            <w:r>
              <w:rPr>
                <w:rFonts w:ascii="Times New Roman" w:hAnsi="Times New Roman" w:eastAsiaTheme="minorHAnsi"/>
                <w:sz w:val="24"/>
                <w:szCs w:val="24"/>
              </w:rPr>
              <w:t>1. panta 4. </w:t>
            </w:r>
            <w:r>
              <w:rPr>
                <w:rFonts w:ascii="Times New Roman" w:hAnsi="Times New Roman" w:eastAsiaTheme="minorHAnsi"/>
                <w:sz w:val="24"/>
                <w:szCs w:val="24"/>
              </w:rPr>
              <w:t>p</w:t>
            </w:r>
            <w:r>
              <w:rPr>
                <w:rFonts w:ascii="Times New Roman" w:hAnsi="Times New Roman" w:eastAsiaTheme="minorHAnsi"/>
                <w:sz w:val="24"/>
                <w:szCs w:val="24"/>
              </w:rPr>
              <w:t>unktā izteiktais direktīvas Nr. 2003/87/EK 12. panta 3. </w:t>
            </w:r>
            <w:r>
              <w:rPr>
                <w:rFonts w:ascii="Times New Roman" w:hAnsi="Times New Roman" w:eastAsiaTheme="minorHAnsi"/>
                <w:sz w:val="24"/>
                <w:szCs w:val="24"/>
              </w:rPr>
              <w:t>punkts</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411C78" w:rsidP="00411C78" w14:paraId="1A6136DF" w14:textId="186925AA">
            <w:pPr>
              <w:spacing w:before="60" w:after="60"/>
              <w:rPr>
                <w:rFonts w:ascii="Times New Roman" w:hAnsi="Times New Roman"/>
                <w:sz w:val="24"/>
                <w:szCs w:val="24"/>
              </w:rPr>
            </w:pPr>
            <w:r>
              <w:rPr>
                <w:rFonts w:ascii="Times New Roman" w:hAnsi="Times New Roman"/>
                <w:sz w:val="24"/>
                <w:szCs w:val="24"/>
              </w:rPr>
              <w:t>Noteikumu projekta 2 un 9. </w:t>
            </w:r>
            <w:r>
              <w:rPr>
                <w:rFonts w:ascii="Times New Roman" w:hAnsi="Times New Roman"/>
                <w:sz w:val="24"/>
                <w:szCs w:val="24"/>
              </w:rPr>
              <w:t>punkts</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411C78" w:rsidP="005F00E2" w14:paraId="1E82C987" w14:textId="77777777">
            <w:pPr>
              <w:spacing w:before="60" w:after="60"/>
              <w:jc w:val="left"/>
              <w:rPr>
                <w:rFonts w:ascii="Times New Roman" w:hAnsi="Times New Roman"/>
                <w:sz w:val="24"/>
                <w:szCs w:val="24"/>
              </w:rPr>
            </w:pPr>
            <w:r>
              <w:rPr>
                <w:rFonts w:ascii="Times New Roman" w:hAnsi="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hideMark/>
          </w:tcPr>
          <w:p w:rsidR="00411C78" w14:paraId="1A7A0295" w14:textId="0C94A687">
            <w:pPr>
              <w:pStyle w:val="naisc"/>
              <w:spacing w:before="60" w:after="60" w:line="254" w:lineRule="auto"/>
              <w:jc w:val="both"/>
              <w:rPr>
                <w:lang w:eastAsia="en-US"/>
              </w:rPr>
            </w:pPr>
            <w:r>
              <w:rPr>
                <w:lang w:eastAsia="en-US"/>
              </w:rPr>
              <w:t>Netiek ieviests</w:t>
            </w:r>
            <w:r w:rsidR="00322233">
              <w:rPr>
                <w:lang w:eastAsia="en-US"/>
              </w:rPr>
              <w:t>,</w:t>
            </w:r>
            <w:r>
              <w:rPr>
                <w:lang w:eastAsia="en-US"/>
              </w:rPr>
              <w:t xml:space="preserve"> paredzot stingr</w:t>
            </w:r>
            <w:bookmarkStart w:id="0" w:name="_GoBack"/>
            <w:bookmarkEnd w:id="0"/>
            <w:r>
              <w:rPr>
                <w:lang w:eastAsia="en-US"/>
              </w:rPr>
              <w:t>ākas vai mazāk stingras prasības</w:t>
            </w:r>
          </w:p>
        </w:tc>
      </w:tr>
      <w:tr w14:paraId="2E47BA73" w14:textId="77777777" w:rsidTr="00411C78">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411C78" w14:paraId="06E21554"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Kā ir izmantota ES tiesību aktā paredzētā rīcības brīvība dalībvalstij pārņemt vai ieviest noteiktas ES tiesību akta normas?</w:t>
            </w:r>
            <w:r>
              <w:rPr>
                <w:rFonts w:ascii="Times New Roman" w:eastAsia="Times New Roman" w:hAnsi="Times New Roman"/>
                <w:sz w:val="24"/>
                <w:szCs w:val="24"/>
                <w:lang w:eastAsia="lv-LV"/>
              </w:rPr>
              <w:br/>
              <w:t>Kādēļ?</w:t>
            </w:r>
          </w:p>
        </w:tc>
        <w:tc>
          <w:tcPr>
            <w:tcW w:w="3851" w:type="pct"/>
            <w:gridSpan w:val="3"/>
            <w:tcBorders>
              <w:top w:val="outset" w:sz="6" w:space="0" w:color="414142"/>
              <w:left w:val="outset" w:sz="6" w:space="0" w:color="414142"/>
              <w:bottom w:val="outset" w:sz="6" w:space="0" w:color="414142"/>
              <w:right w:val="outset" w:sz="6" w:space="0" w:color="414142"/>
            </w:tcBorders>
            <w:hideMark/>
          </w:tcPr>
          <w:p w:rsidR="00411C78" w14:paraId="2A58DDF5" w14:textId="77777777">
            <w:pPr>
              <w:spacing w:before="60" w:after="60"/>
              <w:rPr>
                <w:rFonts w:ascii="Times New Roman" w:eastAsia="Times New Roman" w:hAnsi="Times New Roman"/>
                <w:sz w:val="24"/>
                <w:szCs w:val="24"/>
                <w:lang w:eastAsia="lv-LV"/>
              </w:rPr>
            </w:pPr>
            <w:r>
              <w:rPr>
                <w:rFonts w:ascii="Times New Roman" w:hAnsi="Times New Roman"/>
                <w:sz w:val="24"/>
                <w:szCs w:val="24"/>
              </w:rPr>
              <w:t>Projekts šo jomu neskar.</w:t>
            </w:r>
          </w:p>
        </w:tc>
      </w:tr>
      <w:tr w14:paraId="26E5F7DD" w14:textId="77777777" w:rsidTr="00411C78">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411C78" w14:paraId="10C89B55"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1" w:type="pct"/>
            <w:gridSpan w:val="3"/>
            <w:tcBorders>
              <w:top w:val="outset" w:sz="6" w:space="0" w:color="414142"/>
              <w:left w:val="outset" w:sz="6" w:space="0" w:color="414142"/>
              <w:bottom w:val="outset" w:sz="6" w:space="0" w:color="414142"/>
              <w:right w:val="outset" w:sz="6" w:space="0" w:color="414142"/>
            </w:tcBorders>
            <w:hideMark/>
          </w:tcPr>
          <w:p w:rsidR="00411C78" w14:paraId="7AFBBF47" w14:textId="77777777">
            <w:pPr>
              <w:spacing w:before="60" w:after="60"/>
              <w:rPr>
                <w:rFonts w:ascii="Times New Roman" w:eastAsia="Times New Roman" w:hAnsi="Times New Roman"/>
                <w:sz w:val="24"/>
                <w:szCs w:val="24"/>
                <w:lang w:eastAsia="lv-LV"/>
              </w:rPr>
            </w:pPr>
            <w:r>
              <w:rPr>
                <w:rFonts w:ascii="Times New Roman" w:hAnsi="Times New Roman"/>
                <w:sz w:val="24"/>
                <w:szCs w:val="24"/>
              </w:rPr>
              <w:t>Projekts šo jomu neskar.</w:t>
            </w:r>
          </w:p>
        </w:tc>
      </w:tr>
      <w:tr w14:paraId="5A5EB783" w14:textId="77777777" w:rsidTr="00411C78">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411C78" w14:paraId="5F629081"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3851" w:type="pct"/>
            <w:gridSpan w:val="3"/>
            <w:tcBorders>
              <w:top w:val="outset" w:sz="6" w:space="0" w:color="414142"/>
              <w:left w:val="outset" w:sz="6" w:space="0" w:color="414142"/>
              <w:bottom w:val="outset" w:sz="6" w:space="0" w:color="414142"/>
              <w:right w:val="outset" w:sz="6" w:space="0" w:color="414142"/>
            </w:tcBorders>
            <w:hideMark/>
          </w:tcPr>
          <w:p w:rsidR="00411C78" w14:paraId="634EA00B" w14:textId="77777777">
            <w:pPr>
              <w:spacing w:before="60" w:after="60"/>
              <w:rPr>
                <w:rFonts w:ascii="Times New Roman" w:eastAsia="Times New Roman" w:hAnsi="Times New Roman"/>
                <w:sz w:val="24"/>
                <w:szCs w:val="24"/>
                <w:lang w:eastAsia="lv-LV"/>
              </w:rPr>
            </w:pPr>
            <w:r>
              <w:rPr>
                <w:rFonts w:ascii="Times New Roman" w:hAnsi="Times New Roman"/>
                <w:sz w:val="24"/>
                <w:szCs w:val="24"/>
              </w:rPr>
              <w:t>Nav</w:t>
            </w:r>
          </w:p>
        </w:tc>
      </w:tr>
    </w:tbl>
    <w:p w:rsidR="00816C09" w:rsidRPr="00F122F9" w:rsidP="005E117D" w14:paraId="09BC25EC" w14:textId="77777777">
      <w:pPr>
        <w:shd w:val="clear" w:color="auto" w:fill="FFFFFF"/>
        <w:spacing w:after="0"/>
        <w:jc w:val="left"/>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82"/>
        <w:gridCol w:w="2070"/>
        <w:gridCol w:w="7087"/>
      </w:tblGrid>
      <w:tr w14:paraId="16D1D74F" w14:textId="77777777" w:rsidTr="005E117D">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rHeight w:val="420"/>
          <w:jc w:val="center"/>
        </w:trPr>
        <w:tc>
          <w:tcPr>
            <w:tcW w:w="0" w:type="auto"/>
            <w:gridSpan w:val="3"/>
            <w:vAlign w:val="center"/>
          </w:tcPr>
          <w:p w:rsidR="00CB4AAB" w:rsidRPr="00810942" w:rsidP="00B63F0E" w14:paraId="21CED519" w14:textId="7B7AC9E8">
            <w:pPr>
              <w:pStyle w:val="tvhtml"/>
              <w:spacing w:before="60" w:beforeAutospacing="0" w:after="60" w:afterAutospacing="0"/>
              <w:jc w:val="center"/>
              <w:rPr>
                <w:b/>
                <w:bCs/>
              </w:rPr>
            </w:pPr>
            <w:r w:rsidRPr="00810942">
              <w:rPr>
                <w:b/>
                <w:bCs/>
              </w:rPr>
              <w:t>VI. Sabiedrības līdzdalība un komunikācijas aktivitātes</w:t>
            </w:r>
          </w:p>
        </w:tc>
      </w:tr>
      <w:tr w14:paraId="1A8A9FE5" w14:textId="77777777" w:rsidTr="001A2D16">
        <w:tblPrEx>
          <w:tblW w:w="9639" w:type="dxa"/>
          <w:jc w:val="center"/>
          <w:tblCellMar>
            <w:top w:w="30" w:type="dxa"/>
            <w:left w:w="30" w:type="dxa"/>
            <w:bottom w:w="30" w:type="dxa"/>
            <w:right w:w="30" w:type="dxa"/>
          </w:tblCellMar>
          <w:tblLook w:val="00A0"/>
        </w:tblPrEx>
        <w:trPr>
          <w:trHeight w:val="540"/>
          <w:jc w:val="center"/>
        </w:trPr>
        <w:tc>
          <w:tcPr>
            <w:tcW w:w="250" w:type="pct"/>
          </w:tcPr>
          <w:p w:rsidR="00CB4AAB" w:rsidRPr="00F122F9" w:rsidP="00B63F0E" w14:paraId="0B3DA029" w14:textId="77777777">
            <w:pPr>
              <w:spacing w:before="60" w:after="60"/>
              <w:rPr>
                <w:rFonts w:ascii="Times New Roman" w:hAnsi="Times New Roman"/>
              </w:rPr>
            </w:pPr>
            <w:r w:rsidRPr="00F122F9">
              <w:rPr>
                <w:rFonts w:ascii="Times New Roman" w:hAnsi="Times New Roman"/>
              </w:rPr>
              <w:t>1.</w:t>
            </w:r>
          </w:p>
        </w:tc>
        <w:tc>
          <w:tcPr>
            <w:tcW w:w="1074" w:type="pct"/>
          </w:tcPr>
          <w:p w:rsidR="00CB4AAB" w:rsidRPr="00810942" w:rsidP="00B63F0E" w14:paraId="5635E9AF" w14:textId="77777777">
            <w:pPr>
              <w:spacing w:before="60" w:after="60"/>
              <w:rPr>
                <w:rFonts w:ascii="Times New Roman" w:hAnsi="Times New Roman"/>
                <w:sz w:val="24"/>
                <w:szCs w:val="24"/>
              </w:rPr>
            </w:pPr>
            <w:r w:rsidRPr="00810942">
              <w:rPr>
                <w:rFonts w:ascii="Times New Roman" w:hAnsi="Times New Roman"/>
                <w:sz w:val="24"/>
                <w:szCs w:val="24"/>
              </w:rPr>
              <w:t>Plānotās sabiedrības līdzdalības un komunikācijas aktivitātes saistībā ar projektu</w:t>
            </w:r>
          </w:p>
        </w:tc>
        <w:tc>
          <w:tcPr>
            <w:tcW w:w="3676" w:type="pct"/>
          </w:tcPr>
          <w:p w:rsidR="00CB4AAB" w:rsidRPr="00F122F9" w:rsidP="006817ED" w14:paraId="6D52BF87" w14:textId="32F433E6">
            <w:pPr>
              <w:pStyle w:val="naiskr"/>
              <w:spacing w:before="60" w:after="60"/>
              <w:jc w:val="both"/>
              <w:rPr>
                <w:sz w:val="22"/>
                <w:szCs w:val="22"/>
              </w:rPr>
            </w:pPr>
            <w:r w:rsidRPr="00F42059">
              <w:t>Saskaņā ar Ministru kabineta 2009.</w:t>
            </w:r>
            <w:r w:rsidR="00B3434A">
              <w:t> </w:t>
            </w:r>
            <w:r w:rsidRPr="00F42059">
              <w:t>gada 25.</w:t>
            </w:r>
            <w:r w:rsidR="00B3434A">
              <w:t> </w:t>
            </w:r>
            <w:r w:rsidRPr="00F42059">
              <w:t>augusta noteikumu Nr.</w:t>
            </w:r>
            <w:r w:rsidR="00B3434A">
              <w:t> </w:t>
            </w:r>
            <w:r w:rsidRPr="00F42059">
              <w:t>970 „Sabiedrības līdzdalības kārtība attīstības plānošanas procesā” 7.4.</w:t>
            </w:r>
            <w:r w:rsidRPr="00F42059">
              <w:rPr>
                <w:vertAlign w:val="superscript"/>
              </w:rPr>
              <w:t>1</w:t>
            </w:r>
            <w:r w:rsidR="00B3434A">
              <w:rPr>
                <w:vertAlign w:val="superscript"/>
              </w:rPr>
              <w:t> </w:t>
            </w:r>
            <w:r w:rsidRPr="00F42059">
              <w:t xml:space="preserve">apakšpunktu sabiedrības pārstāvji ir aicināti līdzdarboties, rakstiski </w:t>
            </w:r>
            <w:r>
              <w:t xml:space="preserve">sniedzot viedokli par </w:t>
            </w:r>
            <w:r w:rsidR="006817ED">
              <w:t xml:space="preserve">noteikumu </w:t>
            </w:r>
            <w:r w:rsidRPr="00F42059">
              <w:t>projektu tā izstrādes stadijā. Sabiedrības pārstāvji ir informēti par iespēju līdzdarboties, publicējot paziņoju</w:t>
            </w:r>
            <w:r>
              <w:t>mu par līdzdalības procesu V</w:t>
            </w:r>
            <w:r w:rsidR="002C5FC4">
              <w:t>ARAM</w:t>
            </w:r>
            <w:r w:rsidRPr="00F42059">
              <w:t xml:space="preserve"> tīmekļvietnē.</w:t>
            </w:r>
          </w:p>
        </w:tc>
      </w:tr>
      <w:tr w14:paraId="75A9AB73" w14:textId="77777777" w:rsidTr="001A2D16">
        <w:tblPrEx>
          <w:tblW w:w="9639" w:type="dxa"/>
          <w:jc w:val="center"/>
          <w:tblCellMar>
            <w:top w:w="30" w:type="dxa"/>
            <w:left w:w="30" w:type="dxa"/>
            <w:bottom w:w="30" w:type="dxa"/>
            <w:right w:w="30" w:type="dxa"/>
          </w:tblCellMar>
          <w:tblLook w:val="00A0"/>
        </w:tblPrEx>
        <w:trPr>
          <w:trHeight w:val="330"/>
          <w:jc w:val="center"/>
        </w:trPr>
        <w:tc>
          <w:tcPr>
            <w:tcW w:w="250" w:type="pct"/>
          </w:tcPr>
          <w:p w:rsidR="002C68A0" w:rsidRPr="00F122F9" w:rsidP="00B63F0E" w14:paraId="5324E5CA" w14:textId="77777777">
            <w:pPr>
              <w:spacing w:before="60" w:after="60"/>
              <w:rPr>
                <w:rFonts w:ascii="Times New Roman" w:hAnsi="Times New Roman"/>
              </w:rPr>
            </w:pPr>
            <w:r w:rsidRPr="00F122F9">
              <w:rPr>
                <w:rFonts w:ascii="Times New Roman" w:hAnsi="Times New Roman"/>
              </w:rPr>
              <w:t>2.</w:t>
            </w:r>
          </w:p>
        </w:tc>
        <w:tc>
          <w:tcPr>
            <w:tcW w:w="1074" w:type="pct"/>
          </w:tcPr>
          <w:p w:rsidR="002C68A0" w:rsidRPr="00810942" w:rsidP="00B63F0E" w14:paraId="499048CE" w14:textId="77777777">
            <w:pPr>
              <w:spacing w:before="60" w:after="60"/>
              <w:rPr>
                <w:rFonts w:ascii="Times New Roman" w:hAnsi="Times New Roman"/>
                <w:sz w:val="24"/>
                <w:szCs w:val="24"/>
              </w:rPr>
            </w:pPr>
            <w:r w:rsidRPr="00810942">
              <w:rPr>
                <w:rFonts w:ascii="Times New Roman" w:hAnsi="Times New Roman"/>
                <w:sz w:val="24"/>
                <w:szCs w:val="24"/>
              </w:rPr>
              <w:t>Sabiedrības līdzdalība projekta izstrādē</w:t>
            </w:r>
          </w:p>
        </w:tc>
        <w:tc>
          <w:tcPr>
            <w:tcW w:w="3676" w:type="pct"/>
          </w:tcPr>
          <w:p w:rsidR="002C68A0" w:rsidRPr="00B501CB" w:rsidP="00A8660A" w14:paraId="3F45D92F" w14:textId="79084B0A">
            <w:pPr>
              <w:spacing w:before="60" w:after="60"/>
              <w:rPr>
                <w:rFonts w:ascii="Times New Roman" w:hAnsi="Times New Roman"/>
              </w:rPr>
            </w:pPr>
            <w:r>
              <w:rPr>
                <w:rFonts w:ascii="Times New Roman" w:hAnsi="Times New Roman"/>
                <w:sz w:val="24"/>
                <w:szCs w:val="24"/>
              </w:rPr>
              <w:t xml:space="preserve">Noteikumu </w:t>
            </w:r>
            <w:r w:rsidRPr="003F4806">
              <w:rPr>
                <w:rFonts w:ascii="Times New Roman" w:hAnsi="Times New Roman"/>
                <w:sz w:val="24"/>
                <w:szCs w:val="24"/>
              </w:rPr>
              <w:t>projekts publicēts V</w:t>
            </w:r>
            <w:r w:rsidRPr="003F4806" w:rsidR="002C5FC4">
              <w:rPr>
                <w:rFonts w:ascii="Times New Roman" w:hAnsi="Times New Roman"/>
                <w:sz w:val="24"/>
                <w:szCs w:val="24"/>
              </w:rPr>
              <w:t>ARAM</w:t>
            </w:r>
            <w:r w:rsidR="000F0DF8">
              <w:rPr>
                <w:rFonts w:ascii="Times New Roman" w:hAnsi="Times New Roman"/>
                <w:sz w:val="24"/>
                <w:szCs w:val="24"/>
              </w:rPr>
              <w:t xml:space="preserve"> </w:t>
            </w:r>
            <w:r w:rsidRPr="003F4806" w:rsidR="00D9511D">
              <w:rPr>
                <w:rFonts w:ascii="Times New Roman" w:hAnsi="Times New Roman"/>
                <w:sz w:val="24"/>
                <w:szCs w:val="24"/>
              </w:rPr>
              <w:t>tīmekļvietnē</w:t>
            </w:r>
            <w:r w:rsidRPr="003F4806">
              <w:rPr>
                <w:rFonts w:ascii="Times New Roman" w:hAnsi="Times New Roman"/>
                <w:sz w:val="24"/>
                <w:szCs w:val="24"/>
              </w:rPr>
              <w:t xml:space="preserve"> </w:t>
            </w:r>
            <w:r w:rsidR="00A8660A">
              <w:rPr>
                <w:rFonts w:ascii="Times New Roman" w:hAnsi="Times New Roman"/>
                <w:sz w:val="24"/>
                <w:szCs w:val="24"/>
              </w:rPr>
              <w:t>2017.</w:t>
            </w:r>
            <w:r w:rsidR="00BB7B24">
              <w:rPr>
                <w:rFonts w:ascii="Times New Roman" w:hAnsi="Times New Roman"/>
                <w:sz w:val="24"/>
                <w:szCs w:val="24"/>
              </w:rPr>
              <w:t> </w:t>
            </w:r>
            <w:r w:rsidR="00A8660A">
              <w:rPr>
                <w:rFonts w:ascii="Times New Roman" w:hAnsi="Times New Roman"/>
                <w:sz w:val="24"/>
                <w:szCs w:val="24"/>
              </w:rPr>
              <w:t>gada 31.</w:t>
            </w:r>
            <w:r w:rsidR="00BB7B24">
              <w:rPr>
                <w:rFonts w:ascii="Times New Roman" w:hAnsi="Times New Roman"/>
                <w:sz w:val="24"/>
                <w:szCs w:val="24"/>
              </w:rPr>
              <w:t> </w:t>
            </w:r>
            <w:r w:rsidR="00A8660A">
              <w:rPr>
                <w:rFonts w:ascii="Times New Roman" w:hAnsi="Times New Roman"/>
                <w:sz w:val="24"/>
                <w:szCs w:val="24"/>
              </w:rPr>
              <w:t>oktobrī.</w:t>
            </w:r>
          </w:p>
        </w:tc>
      </w:tr>
      <w:tr w14:paraId="0AF6486A" w14:textId="77777777" w:rsidTr="001A2D16">
        <w:tblPrEx>
          <w:tblW w:w="9639" w:type="dxa"/>
          <w:jc w:val="center"/>
          <w:tblCellMar>
            <w:top w:w="30" w:type="dxa"/>
            <w:left w:w="30" w:type="dxa"/>
            <w:bottom w:w="30" w:type="dxa"/>
            <w:right w:w="30" w:type="dxa"/>
          </w:tblCellMar>
          <w:tblLook w:val="00A0"/>
        </w:tblPrEx>
        <w:trPr>
          <w:trHeight w:val="465"/>
          <w:jc w:val="center"/>
        </w:trPr>
        <w:tc>
          <w:tcPr>
            <w:tcW w:w="250" w:type="pct"/>
          </w:tcPr>
          <w:p w:rsidR="002C68A0" w:rsidRPr="00F122F9" w:rsidP="00B63F0E" w14:paraId="092350A5" w14:textId="77777777">
            <w:pPr>
              <w:spacing w:before="60" w:after="60"/>
              <w:rPr>
                <w:rFonts w:ascii="Times New Roman" w:hAnsi="Times New Roman"/>
              </w:rPr>
            </w:pPr>
            <w:r w:rsidRPr="00F122F9">
              <w:rPr>
                <w:rFonts w:ascii="Times New Roman" w:hAnsi="Times New Roman"/>
              </w:rPr>
              <w:t>3.</w:t>
            </w:r>
          </w:p>
        </w:tc>
        <w:tc>
          <w:tcPr>
            <w:tcW w:w="1074" w:type="pct"/>
          </w:tcPr>
          <w:p w:rsidR="002C68A0" w:rsidRPr="00810942" w:rsidP="00B63F0E" w14:paraId="2AD972C7" w14:textId="77777777">
            <w:pPr>
              <w:spacing w:before="60" w:after="60"/>
              <w:rPr>
                <w:rFonts w:ascii="Times New Roman" w:hAnsi="Times New Roman"/>
                <w:sz w:val="24"/>
                <w:szCs w:val="24"/>
              </w:rPr>
            </w:pPr>
            <w:r w:rsidRPr="00810942">
              <w:rPr>
                <w:rFonts w:ascii="Times New Roman" w:hAnsi="Times New Roman"/>
                <w:sz w:val="24"/>
                <w:szCs w:val="24"/>
              </w:rPr>
              <w:t>Sabiedrības līdzdalības rezultāti</w:t>
            </w:r>
          </w:p>
        </w:tc>
        <w:tc>
          <w:tcPr>
            <w:tcW w:w="3676" w:type="pct"/>
          </w:tcPr>
          <w:p w:rsidR="002C68A0" w:rsidRPr="00B501CB" w:rsidP="00096BEA" w14:paraId="731515E8" w14:textId="4E33B505">
            <w:pPr>
              <w:spacing w:before="60" w:after="60"/>
              <w:rPr>
                <w:rFonts w:ascii="Times New Roman" w:hAnsi="Times New Roman"/>
              </w:rPr>
            </w:pPr>
            <w:r>
              <w:rPr>
                <w:rFonts w:ascii="Times New Roman" w:hAnsi="Times New Roman"/>
                <w:sz w:val="24"/>
                <w:szCs w:val="24"/>
              </w:rPr>
              <w:t>S</w:t>
            </w:r>
            <w:r>
              <w:rPr>
                <w:rFonts w:ascii="Times New Roman" w:hAnsi="Times New Roman"/>
                <w:sz w:val="24"/>
                <w:szCs w:val="24"/>
              </w:rPr>
              <w:t>abiedrības pārstāvju viedokļ</w:t>
            </w:r>
            <w:r>
              <w:rPr>
                <w:rFonts w:ascii="Times New Roman" w:hAnsi="Times New Roman"/>
                <w:sz w:val="24"/>
                <w:szCs w:val="24"/>
              </w:rPr>
              <w:t>i un komentāri pēc noteikumu projekta publicēšanas VARAM tīmekļvietnē netika saņemti</w:t>
            </w:r>
            <w:r w:rsidRPr="009129F7">
              <w:rPr>
                <w:rFonts w:ascii="Times New Roman" w:hAnsi="Times New Roman"/>
                <w:sz w:val="24"/>
                <w:szCs w:val="24"/>
              </w:rPr>
              <w:t>.</w:t>
            </w:r>
          </w:p>
        </w:tc>
      </w:tr>
      <w:tr w14:paraId="3B57F1F7" w14:textId="77777777" w:rsidTr="001A2D16">
        <w:tblPrEx>
          <w:tblW w:w="9639" w:type="dxa"/>
          <w:jc w:val="center"/>
          <w:tblCellMar>
            <w:top w:w="30" w:type="dxa"/>
            <w:left w:w="30" w:type="dxa"/>
            <w:bottom w:w="30" w:type="dxa"/>
            <w:right w:w="30" w:type="dxa"/>
          </w:tblCellMar>
          <w:tblLook w:val="00A0"/>
        </w:tblPrEx>
        <w:trPr>
          <w:trHeight w:val="465"/>
          <w:jc w:val="center"/>
        </w:trPr>
        <w:tc>
          <w:tcPr>
            <w:tcW w:w="250" w:type="pct"/>
          </w:tcPr>
          <w:p w:rsidR="00CB4AAB" w:rsidRPr="00F122F9" w:rsidP="00B63F0E" w14:paraId="2544C9F9" w14:textId="77777777">
            <w:pPr>
              <w:spacing w:before="60" w:after="60"/>
              <w:rPr>
                <w:rFonts w:ascii="Times New Roman" w:hAnsi="Times New Roman"/>
              </w:rPr>
            </w:pPr>
            <w:r w:rsidRPr="00F122F9">
              <w:rPr>
                <w:rFonts w:ascii="Times New Roman" w:hAnsi="Times New Roman"/>
              </w:rPr>
              <w:t>4.</w:t>
            </w:r>
          </w:p>
        </w:tc>
        <w:tc>
          <w:tcPr>
            <w:tcW w:w="1074" w:type="pct"/>
          </w:tcPr>
          <w:p w:rsidR="00CB4AAB" w:rsidRPr="00810942" w:rsidP="00B63F0E" w14:paraId="5B052986" w14:textId="77777777">
            <w:pPr>
              <w:spacing w:before="60" w:after="60"/>
              <w:rPr>
                <w:rFonts w:ascii="Times New Roman" w:hAnsi="Times New Roman"/>
                <w:sz w:val="24"/>
                <w:szCs w:val="24"/>
              </w:rPr>
            </w:pPr>
            <w:r w:rsidRPr="00810942">
              <w:rPr>
                <w:rFonts w:ascii="Times New Roman" w:hAnsi="Times New Roman"/>
                <w:sz w:val="24"/>
                <w:szCs w:val="24"/>
              </w:rPr>
              <w:t>Cita informācija</w:t>
            </w:r>
          </w:p>
        </w:tc>
        <w:tc>
          <w:tcPr>
            <w:tcW w:w="3676" w:type="pct"/>
          </w:tcPr>
          <w:p w:rsidR="00CB4AAB" w:rsidRPr="00810942" w:rsidP="00B63F0E" w14:paraId="7016F23D" w14:textId="77777777">
            <w:pPr>
              <w:pStyle w:val="tvhtml"/>
              <w:spacing w:before="60" w:beforeAutospacing="0" w:after="60" w:afterAutospacing="0"/>
            </w:pPr>
            <w:r w:rsidRPr="00810942">
              <w:t>Nav</w:t>
            </w:r>
          </w:p>
        </w:tc>
      </w:tr>
    </w:tbl>
    <w:p w:rsidR="00CB4AAB" w:rsidRPr="00F122F9" w:rsidP="00E01818" w14:paraId="37EA6879" w14:textId="77777777">
      <w:pPr>
        <w:shd w:val="clear" w:color="auto" w:fill="FFFFFF"/>
        <w:spacing w:after="0"/>
        <w:ind w:firstLine="335"/>
        <w:jc w:val="left"/>
        <w:rPr>
          <w:rFonts w:ascii="Times New Roman" w:hAnsi="Times New Roman"/>
          <w:sz w:val="24"/>
          <w:szCs w:val="24"/>
          <w:lang w:eastAsia="lv-LV"/>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82"/>
        <w:gridCol w:w="2070"/>
        <w:gridCol w:w="7087"/>
      </w:tblGrid>
      <w:tr w14:paraId="1ACA6E92" w14:textId="77777777" w:rsidTr="005E117D">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rHeight w:val="375"/>
          <w:jc w:val="center"/>
        </w:trPr>
        <w:tc>
          <w:tcPr>
            <w:tcW w:w="0" w:type="auto"/>
            <w:gridSpan w:val="3"/>
            <w:vAlign w:val="center"/>
          </w:tcPr>
          <w:p w:rsidR="00CB4AAB" w:rsidRPr="00810942" w:rsidP="00B63F0E" w14:paraId="36B6B855" w14:textId="36394EEC">
            <w:pPr>
              <w:spacing w:before="60" w:after="60"/>
              <w:jc w:val="center"/>
              <w:rPr>
                <w:rFonts w:ascii="Times New Roman" w:hAnsi="Times New Roman"/>
                <w:b/>
                <w:bCs/>
                <w:sz w:val="24"/>
                <w:szCs w:val="24"/>
                <w:lang w:eastAsia="lv-LV"/>
              </w:rPr>
            </w:pPr>
            <w:r w:rsidRPr="00810942">
              <w:rPr>
                <w:rFonts w:ascii="Times New Roman" w:hAnsi="Times New Roman"/>
                <w:b/>
                <w:bCs/>
                <w:sz w:val="24"/>
                <w:szCs w:val="24"/>
                <w:lang w:eastAsia="lv-LV"/>
              </w:rPr>
              <w:t>VII. Tiesību akta projekta izpildes nodrošināšana un tās ietekme uz institūcijām</w:t>
            </w:r>
          </w:p>
        </w:tc>
      </w:tr>
      <w:tr w14:paraId="3C570F89" w14:textId="77777777" w:rsidTr="00F122F9">
        <w:tblPrEx>
          <w:tblW w:w="9639" w:type="dxa"/>
          <w:jc w:val="center"/>
          <w:tblCellMar>
            <w:top w:w="30" w:type="dxa"/>
            <w:left w:w="30" w:type="dxa"/>
            <w:bottom w:w="30" w:type="dxa"/>
            <w:right w:w="30" w:type="dxa"/>
          </w:tblCellMar>
          <w:tblLook w:val="00A0"/>
        </w:tblPrEx>
        <w:trPr>
          <w:trHeight w:val="420"/>
          <w:jc w:val="center"/>
        </w:trPr>
        <w:tc>
          <w:tcPr>
            <w:tcW w:w="250" w:type="pct"/>
          </w:tcPr>
          <w:p w:rsidR="00CB4AAB" w:rsidRPr="00F122F9" w:rsidP="00B63F0E" w14:paraId="63009AC6" w14:textId="77777777">
            <w:pPr>
              <w:spacing w:before="60" w:after="60"/>
              <w:jc w:val="left"/>
              <w:rPr>
                <w:rFonts w:ascii="Times New Roman" w:hAnsi="Times New Roman"/>
                <w:lang w:eastAsia="lv-LV"/>
              </w:rPr>
            </w:pPr>
            <w:r w:rsidRPr="00F122F9">
              <w:rPr>
                <w:rFonts w:ascii="Times New Roman" w:hAnsi="Times New Roman"/>
                <w:lang w:eastAsia="lv-LV"/>
              </w:rPr>
              <w:t>1.</w:t>
            </w:r>
          </w:p>
        </w:tc>
        <w:tc>
          <w:tcPr>
            <w:tcW w:w="1074" w:type="pct"/>
          </w:tcPr>
          <w:p w:rsidR="00CB4AAB" w:rsidRPr="00810942" w:rsidP="00B63F0E" w14:paraId="293E7F90"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Projekta izpildē iesaistītās institūcijas</w:t>
            </w:r>
          </w:p>
        </w:tc>
        <w:tc>
          <w:tcPr>
            <w:tcW w:w="3676" w:type="pct"/>
          </w:tcPr>
          <w:p w:rsidR="002C68A0" w:rsidRPr="00810942" w:rsidP="006134D9" w14:paraId="57E30C2D" w14:textId="5C186E66">
            <w:pPr>
              <w:pStyle w:val="naisnod"/>
              <w:spacing w:before="40" w:after="40"/>
              <w:jc w:val="both"/>
              <w:rPr>
                <w:b w:val="0"/>
              </w:rPr>
            </w:pPr>
            <w:r w:rsidRPr="003F4806">
              <w:rPr>
                <w:b w:val="0"/>
                <w:bCs w:val="0"/>
              </w:rPr>
              <w:t xml:space="preserve">VARAM, </w:t>
            </w:r>
            <w:r w:rsidR="00A37869">
              <w:rPr>
                <w:b w:val="0"/>
                <w:bCs w:val="0"/>
              </w:rPr>
              <w:t>LVĢMC</w:t>
            </w:r>
          </w:p>
        </w:tc>
      </w:tr>
      <w:tr w14:paraId="7D0B20E2" w14:textId="77777777" w:rsidTr="00F122F9">
        <w:tblPrEx>
          <w:tblW w:w="9639" w:type="dxa"/>
          <w:jc w:val="center"/>
          <w:tblCellMar>
            <w:top w:w="30" w:type="dxa"/>
            <w:left w:w="30" w:type="dxa"/>
            <w:bottom w:w="30" w:type="dxa"/>
            <w:right w:w="30" w:type="dxa"/>
          </w:tblCellMar>
          <w:tblLook w:val="00A0"/>
        </w:tblPrEx>
        <w:trPr>
          <w:trHeight w:val="450"/>
          <w:jc w:val="center"/>
        </w:trPr>
        <w:tc>
          <w:tcPr>
            <w:tcW w:w="250" w:type="pct"/>
          </w:tcPr>
          <w:p w:rsidR="00CB4AAB" w:rsidRPr="00F122F9" w:rsidP="00B63F0E" w14:paraId="72FBD7E7" w14:textId="77777777">
            <w:pPr>
              <w:spacing w:before="60" w:after="60"/>
              <w:jc w:val="left"/>
              <w:rPr>
                <w:rFonts w:ascii="Times New Roman" w:hAnsi="Times New Roman"/>
                <w:lang w:eastAsia="lv-LV"/>
              </w:rPr>
            </w:pPr>
            <w:r w:rsidRPr="00F122F9">
              <w:rPr>
                <w:rFonts w:ascii="Times New Roman" w:hAnsi="Times New Roman"/>
                <w:lang w:eastAsia="lv-LV"/>
              </w:rPr>
              <w:t>2.</w:t>
            </w:r>
          </w:p>
        </w:tc>
        <w:tc>
          <w:tcPr>
            <w:tcW w:w="1074" w:type="pct"/>
          </w:tcPr>
          <w:p w:rsidR="00CB4AAB" w:rsidRPr="00810942" w:rsidP="00B63F0E" w14:paraId="4296B0A7"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Projekta izpildes ietekme uz pārvaldes funkcijām un institucionālo struktūru.</w:t>
            </w:r>
          </w:p>
          <w:p w:rsidR="00CB4AAB" w:rsidRPr="00810942" w:rsidP="00B63F0E" w14:paraId="2A03DAB3"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Jaunu institūciju izveide, esošu institūciju likvidācija vai reorganizācija, to ietekme uz institūcijas cilvēkresursiem</w:t>
            </w:r>
          </w:p>
        </w:tc>
        <w:tc>
          <w:tcPr>
            <w:tcW w:w="3676" w:type="pct"/>
          </w:tcPr>
          <w:p w:rsidR="00BD1B94" w:rsidRPr="00810942" w:rsidP="00BD1B94" w14:paraId="19AFF53A" w14:textId="77777777">
            <w:pPr>
              <w:spacing w:before="60" w:after="60"/>
              <w:rPr>
                <w:rFonts w:ascii="Times New Roman" w:hAnsi="Times New Roman"/>
                <w:sz w:val="24"/>
                <w:szCs w:val="24"/>
              </w:rPr>
            </w:pPr>
            <w:r w:rsidRPr="00810942">
              <w:rPr>
                <w:rFonts w:ascii="Times New Roman" w:hAnsi="Times New Roman"/>
                <w:sz w:val="24"/>
                <w:szCs w:val="24"/>
              </w:rPr>
              <w:t>Noteikumu projektā iekļautie nosacījumi var radīt ietekmi uz pārvaldes funkcijām, tomēr tas neietekmēs institucionālo sistēmu.</w:t>
            </w:r>
          </w:p>
          <w:p w:rsidR="00BD1B94" w:rsidP="00BD1B94" w14:paraId="0E5F6AF2" w14:textId="77777777">
            <w:pPr>
              <w:spacing w:before="60" w:after="60"/>
              <w:rPr>
                <w:rFonts w:ascii="Times New Roman" w:hAnsi="Times New Roman"/>
                <w:sz w:val="24"/>
                <w:szCs w:val="24"/>
              </w:rPr>
            </w:pPr>
            <w:r w:rsidRPr="00810942">
              <w:rPr>
                <w:rFonts w:ascii="Times New Roman" w:hAnsi="Times New Roman"/>
                <w:sz w:val="24"/>
                <w:szCs w:val="24"/>
              </w:rPr>
              <w:t>Noteikumu projektā iekļauto nosacījumu izpildei nav nepieciešams veidot jaunas institūcijas, likvidēt vai reorganizēt esošās institūcijas.</w:t>
            </w:r>
            <w:r>
              <w:rPr>
                <w:rFonts w:ascii="Times New Roman" w:hAnsi="Times New Roman"/>
                <w:sz w:val="24"/>
                <w:szCs w:val="24"/>
              </w:rPr>
              <w:t xml:space="preserve"> </w:t>
            </w:r>
          </w:p>
          <w:p w:rsidR="00BD1B94" w:rsidRPr="00810942" w:rsidP="00BD1B94" w14:paraId="7D967437" w14:textId="77777777">
            <w:pPr>
              <w:spacing w:before="60" w:after="60"/>
              <w:rPr>
                <w:rFonts w:ascii="Times New Roman" w:hAnsi="Times New Roman"/>
                <w:sz w:val="24"/>
                <w:szCs w:val="24"/>
              </w:rPr>
            </w:pPr>
            <w:r>
              <w:rPr>
                <w:rFonts w:ascii="Times New Roman" w:hAnsi="Times New Roman"/>
                <w:sz w:val="24"/>
                <w:szCs w:val="24"/>
              </w:rPr>
              <w:t>Noteikumu projektā iekļauto nosacījumu izpilde neatstās ietekmi uz cilvēkresursiem.</w:t>
            </w:r>
          </w:p>
          <w:p w:rsidR="00C34B19" w:rsidRPr="00810942" w:rsidP="00BD1B94" w14:paraId="56D679CA" w14:textId="0FF56BED">
            <w:pPr>
              <w:spacing w:before="60" w:after="60"/>
              <w:rPr>
                <w:rFonts w:ascii="Times New Roman" w:hAnsi="Times New Roman"/>
                <w:sz w:val="24"/>
                <w:szCs w:val="24"/>
              </w:rPr>
            </w:pPr>
            <w:r w:rsidRPr="00810942">
              <w:rPr>
                <w:rFonts w:ascii="Times New Roman" w:hAnsi="Times New Roman"/>
                <w:sz w:val="24"/>
                <w:szCs w:val="24"/>
              </w:rPr>
              <w:t>Noteikumu projekta izpildē iesaistītās institūcijas noteikumu projektā iekļautos pasākumu nodrošinās piešķirto valsts budžeta līdzekļu ietvaros.</w:t>
            </w:r>
          </w:p>
        </w:tc>
      </w:tr>
      <w:tr w14:paraId="7597577B" w14:textId="77777777" w:rsidTr="00F122F9">
        <w:tblPrEx>
          <w:tblW w:w="9639" w:type="dxa"/>
          <w:jc w:val="center"/>
          <w:tblCellMar>
            <w:top w:w="30" w:type="dxa"/>
            <w:left w:w="30" w:type="dxa"/>
            <w:bottom w:w="30" w:type="dxa"/>
            <w:right w:w="30" w:type="dxa"/>
          </w:tblCellMar>
          <w:tblLook w:val="00A0"/>
        </w:tblPrEx>
        <w:trPr>
          <w:trHeight w:val="390"/>
          <w:jc w:val="center"/>
        </w:trPr>
        <w:tc>
          <w:tcPr>
            <w:tcW w:w="250" w:type="pct"/>
          </w:tcPr>
          <w:p w:rsidR="00CB4AAB" w:rsidRPr="00F122F9" w:rsidP="00B63F0E" w14:paraId="2EF96A86" w14:textId="77777777">
            <w:pPr>
              <w:spacing w:before="60" w:after="60"/>
              <w:jc w:val="left"/>
              <w:rPr>
                <w:rFonts w:ascii="Times New Roman" w:hAnsi="Times New Roman"/>
                <w:lang w:eastAsia="lv-LV"/>
              </w:rPr>
            </w:pPr>
            <w:r w:rsidRPr="00F122F9">
              <w:rPr>
                <w:rFonts w:ascii="Times New Roman" w:hAnsi="Times New Roman"/>
                <w:lang w:eastAsia="lv-LV"/>
              </w:rPr>
              <w:t>3.</w:t>
            </w:r>
          </w:p>
        </w:tc>
        <w:tc>
          <w:tcPr>
            <w:tcW w:w="1074" w:type="pct"/>
          </w:tcPr>
          <w:p w:rsidR="00CB4AAB" w:rsidRPr="00810942" w:rsidP="00B63F0E" w14:paraId="31786A3A"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Cita informācija</w:t>
            </w:r>
          </w:p>
        </w:tc>
        <w:tc>
          <w:tcPr>
            <w:tcW w:w="3676" w:type="pct"/>
          </w:tcPr>
          <w:p w:rsidR="00CB4AAB" w:rsidRPr="00810942" w:rsidP="00B63F0E" w14:paraId="738FFAD9"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Nav</w:t>
            </w:r>
          </w:p>
        </w:tc>
      </w:tr>
    </w:tbl>
    <w:p w:rsidR="00F122F9" w:rsidP="00E57372" w14:paraId="4A04053D" w14:textId="77777777">
      <w:pPr>
        <w:shd w:val="clear" w:color="auto" w:fill="FFFFFF"/>
        <w:spacing w:after="0"/>
        <w:rPr>
          <w:rFonts w:ascii="Times New Roman" w:hAnsi="Times New Roman"/>
          <w:sz w:val="20"/>
          <w:szCs w:val="20"/>
        </w:rPr>
      </w:pPr>
    </w:p>
    <w:p w:rsidR="00BD1B94" w:rsidP="00BD1B94" w14:paraId="27C7105F" w14:textId="77777777">
      <w:pPr>
        <w:shd w:val="clear" w:color="auto" w:fill="FFFFFF"/>
        <w:spacing w:after="0"/>
        <w:rPr>
          <w:rFonts w:ascii="Times New Roman" w:hAnsi="Times New Roman"/>
          <w:sz w:val="24"/>
          <w:szCs w:val="24"/>
        </w:rPr>
      </w:pPr>
    </w:p>
    <w:p w:rsidR="00FA257B" w:rsidP="00BD1B94" w14:paraId="60FE2B23" w14:textId="77777777">
      <w:pPr>
        <w:shd w:val="clear" w:color="auto" w:fill="FFFFFF"/>
        <w:spacing w:after="0"/>
        <w:rPr>
          <w:rFonts w:ascii="Times New Roman" w:hAnsi="Times New Roman"/>
          <w:sz w:val="24"/>
          <w:szCs w:val="24"/>
        </w:rPr>
      </w:pPr>
    </w:p>
    <w:p w:rsidR="00FA257B" w:rsidRPr="001F16CF" w:rsidP="00BD1B94" w14:paraId="11C9B84E" w14:textId="77777777">
      <w:pPr>
        <w:shd w:val="clear" w:color="auto" w:fill="FFFFFF"/>
        <w:spacing w:after="0"/>
        <w:rPr>
          <w:rFonts w:ascii="Times New Roman" w:hAnsi="Times New Roman"/>
          <w:sz w:val="24"/>
          <w:szCs w:val="24"/>
        </w:rPr>
      </w:pPr>
    </w:p>
    <w:p w:rsidR="00816C09" w:rsidRPr="009A3E9F" w:rsidP="00816C09" w14:paraId="4855F39E" w14:textId="06FFF372">
      <w:pPr>
        <w:tabs>
          <w:tab w:val="left" w:pos="6237"/>
        </w:tabs>
        <w:spacing w:after="0"/>
        <w:rPr>
          <w:rFonts w:ascii="Times New Roman" w:hAnsi="Times New Roman"/>
          <w:sz w:val="24"/>
          <w:szCs w:val="24"/>
        </w:rPr>
      </w:pPr>
      <w:r w:rsidRPr="009A3E9F">
        <w:rPr>
          <w:rFonts w:ascii="Times New Roman" w:hAnsi="Times New Roman"/>
          <w:sz w:val="24"/>
          <w:szCs w:val="24"/>
        </w:rPr>
        <w:t>Vides aizsardzības un reģionālās attīstības ministrs</w:t>
      </w:r>
      <w:r w:rsidRPr="009A3E9F">
        <w:rPr>
          <w:rFonts w:ascii="Times New Roman" w:hAnsi="Times New Roman"/>
          <w:sz w:val="24"/>
          <w:szCs w:val="24"/>
        </w:rPr>
        <w:tab/>
      </w:r>
      <w:r w:rsidR="00660BD9">
        <w:rPr>
          <w:rFonts w:ascii="Times New Roman" w:hAnsi="Times New Roman"/>
          <w:sz w:val="24"/>
          <w:szCs w:val="24"/>
        </w:rPr>
        <w:tab/>
      </w:r>
      <w:r w:rsidR="00660BD9">
        <w:rPr>
          <w:rFonts w:ascii="Times New Roman" w:hAnsi="Times New Roman"/>
          <w:sz w:val="24"/>
          <w:szCs w:val="24"/>
        </w:rPr>
        <w:tab/>
      </w:r>
      <w:r w:rsidRPr="009A3E9F">
        <w:rPr>
          <w:rFonts w:ascii="Times New Roman" w:hAnsi="Times New Roman"/>
          <w:sz w:val="24"/>
          <w:szCs w:val="24"/>
        </w:rPr>
        <w:t>Kaspars Gerhards</w:t>
      </w:r>
    </w:p>
    <w:p w:rsidR="00816C09" w:rsidP="00816C09" w14:paraId="246FD402" w14:textId="77777777">
      <w:pPr>
        <w:tabs>
          <w:tab w:val="left" w:pos="6237"/>
        </w:tabs>
        <w:spacing w:after="0"/>
        <w:rPr>
          <w:rFonts w:ascii="Times New Roman" w:hAnsi="Times New Roman"/>
          <w:sz w:val="24"/>
          <w:szCs w:val="24"/>
        </w:rPr>
      </w:pPr>
    </w:p>
    <w:p w:rsidR="00FA257B" w:rsidP="00816C09" w14:paraId="02B052F8" w14:textId="77777777">
      <w:pPr>
        <w:tabs>
          <w:tab w:val="left" w:pos="6237"/>
        </w:tabs>
        <w:spacing w:after="0"/>
        <w:rPr>
          <w:rFonts w:ascii="Times New Roman" w:hAnsi="Times New Roman"/>
          <w:sz w:val="24"/>
          <w:szCs w:val="24"/>
        </w:rPr>
      </w:pPr>
    </w:p>
    <w:p w:rsidR="00FA257B" w:rsidRPr="009A3E9F" w:rsidP="00816C09" w14:paraId="416BA446" w14:textId="77777777">
      <w:pPr>
        <w:tabs>
          <w:tab w:val="left" w:pos="6237"/>
        </w:tabs>
        <w:spacing w:after="0"/>
        <w:rPr>
          <w:rFonts w:ascii="Times New Roman" w:hAnsi="Times New Roman"/>
          <w:sz w:val="24"/>
          <w:szCs w:val="24"/>
        </w:rPr>
      </w:pPr>
    </w:p>
    <w:p w:rsidR="000F0DF8" w:rsidP="00590493" w14:paraId="21839A4B" w14:textId="77777777">
      <w:pPr>
        <w:shd w:val="clear" w:color="auto" w:fill="FFFFFF"/>
        <w:tabs>
          <w:tab w:val="left" w:pos="7230"/>
        </w:tabs>
        <w:spacing w:after="0"/>
        <w:rPr>
          <w:rFonts w:ascii="Times New Roman" w:hAnsi="Times New Roman"/>
          <w:sz w:val="24"/>
          <w:szCs w:val="24"/>
        </w:rPr>
      </w:pPr>
    </w:p>
    <w:p w:rsidR="00660BD9" w:rsidP="00590493" w14:paraId="5C8FB387" w14:textId="77777777">
      <w:pPr>
        <w:shd w:val="clear" w:color="auto" w:fill="FFFFFF"/>
        <w:tabs>
          <w:tab w:val="left" w:pos="7230"/>
        </w:tabs>
        <w:spacing w:after="0"/>
        <w:rPr>
          <w:rFonts w:ascii="Times New Roman" w:hAnsi="Times New Roman"/>
          <w:sz w:val="24"/>
          <w:szCs w:val="24"/>
        </w:rPr>
      </w:pPr>
    </w:p>
    <w:p w:rsidR="00FA257B" w:rsidP="00590493" w14:paraId="5989E367" w14:textId="77777777">
      <w:pPr>
        <w:shd w:val="clear" w:color="auto" w:fill="FFFFFF"/>
        <w:tabs>
          <w:tab w:val="left" w:pos="7230"/>
        </w:tabs>
        <w:spacing w:after="0"/>
        <w:rPr>
          <w:rFonts w:ascii="Times New Roman" w:hAnsi="Times New Roman"/>
          <w:sz w:val="24"/>
          <w:szCs w:val="24"/>
        </w:rPr>
      </w:pPr>
    </w:p>
    <w:p w:rsidR="00FA257B" w:rsidP="00590493" w14:paraId="19E5CC53" w14:textId="77777777">
      <w:pPr>
        <w:shd w:val="clear" w:color="auto" w:fill="FFFFFF"/>
        <w:tabs>
          <w:tab w:val="left" w:pos="7230"/>
        </w:tabs>
        <w:spacing w:after="0"/>
        <w:rPr>
          <w:rFonts w:ascii="Times New Roman" w:hAnsi="Times New Roman"/>
          <w:sz w:val="24"/>
          <w:szCs w:val="24"/>
        </w:rPr>
      </w:pPr>
    </w:p>
    <w:p w:rsidR="00FA257B" w:rsidP="00590493" w14:paraId="1FDC40D4" w14:textId="77777777">
      <w:pPr>
        <w:shd w:val="clear" w:color="auto" w:fill="FFFFFF"/>
        <w:tabs>
          <w:tab w:val="left" w:pos="7230"/>
        </w:tabs>
        <w:spacing w:after="0"/>
        <w:rPr>
          <w:rFonts w:ascii="Times New Roman" w:hAnsi="Times New Roman"/>
          <w:sz w:val="24"/>
          <w:szCs w:val="24"/>
        </w:rPr>
      </w:pPr>
    </w:p>
    <w:p w:rsidR="00FA257B" w:rsidP="00590493" w14:paraId="5FAFD317" w14:textId="77777777">
      <w:pPr>
        <w:shd w:val="clear" w:color="auto" w:fill="FFFFFF"/>
        <w:tabs>
          <w:tab w:val="left" w:pos="7230"/>
        </w:tabs>
        <w:spacing w:after="0"/>
        <w:rPr>
          <w:rFonts w:ascii="Times New Roman" w:hAnsi="Times New Roman"/>
          <w:sz w:val="24"/>
          <w:szCs w:val="24"/>
        </w:rPr>
      </w:pPr>
    </w:p>
    <w:p w:rsidR="00FA257B" w:rsidP="00590493" w14:paraId="7741FD88" w14:textId="77777777">
      <w:pPr>
        <w:shd w:val="clear" w:color="auto" w:fill="FFFFFF"/>
        <w:tabs>
          <w:tab w:val="left" w:pos="7230"/>
        </w:tabs>
        <w:spacing w:after="0"/>
        <w:rPr>
          <w:rFonts w:ascii="Times New Roman" w:hAnsi="Times New Roman"/>
          <w:sz w:val="24"/>
          <w:szCs w:val="24"/>
        </w:rPr>
      </w:pPr>
    </w:p>
    <w:p w:rsidR="00FA257B" w:rsidP="00590493" w14:paraId="39A844FD" w14:textId="77777777">
      <w:pPr>
        <w:shd w:val="clear" w:color="auto" w:fill="FFFFFF"/>
        <w:tabs>
          <w:tab w:val="left" w:pos="7230"/>
        </w:tabs>
        <w:spacing w:after="0"/>
        <w:rPr>
          <w:rFonts w:ascii="Times New Roman" w:hAnsi="Times New Roman"/>
          <w:sz w:val="24"/>
          <w:szCs w:val="24"/>
        </w:rPr>
      </w:pPr>
    </w:p>
    <w:p w:rsidR="00FA257B" w:rsidP="00590493" w14:paraId="076B7E0C" w14:textId="77777777">
      <w:pPr>
        <w:shd w:val="clear" w:color="auto" w:fill="FFFFFF"/>
        <w:tabs>
          <w:tab w:val="left" w:pos="7230"/>
        </w:tabs>
        <w:spacing w:after="0"/>
        <w:rPr>
          <w:rFonts w:ascii="Times New Roman" w:hAnsi="Times New Roman"/>
          <w:sz w:val="24"/>
          <w:szCs w:val="24"/>
        </w:rPr>
      </w:pPr>
    </w:p>
    <w:p w:rsidR="00FA257B" w:rsidP="00590493" w14:paraId="41CF478F" w14:textId="77777777">
      <w:pPr>
        <w:shd w:val="clear" w:color="auto" w:fill="FFFFFF"/>
        <w:tabs>
          <w:tab w:val="left" w:pos="7230"/>
        </w:tabs>
        <w:spacing w:after="0"/>
        <w:rPr>
          <w:rFonts w:ascii="Times New Roman" w:hAnsi="Times New Roman"/>
          <w:sz w:val="24"/>
          <w:szCs w:val="24"/>
        </w:rPr>
      </w:pPr>
    </w:p>
    <w:p w:rsidR="00FA257B" w:rsidP="00590493" w14:paraId="47F91170" w14:textId="77777777">
      <w:pPr>
        <w:shd w:val="clear" w:color="auto" w:fill="FFFFFF"/>
        <w:tabs>
          <w:tab w:val="left" w:pos="7230"/>
        </w:tabs>
        <w:spacing w:after="0"/>
        <w:rPr>
          <w:rFonts w:ascii="Times New Roman" w:hAnsi="Times New Roman"/>
          <w:sz w:val="24"/>
          <w:szCs w:val="24"/>
        </w:rPr>
      </w:pPr>
    </w:p>
    <w:p w:rsidR="00FA257B" w:rsidP="00590493" w14:paraId="391EE362" w14:textId="77777777">
      <w:pPr>
        <w:shd w:val="clear" w:color="auto" w:fill="FFFFFF"/>
        <w:tabs>
          <w:tab w:val="left" w:pos="7230"/>
        </w:tabs>
        <w:spacing w:after="0"/>
        <w:rPr>
          <w:rFonts w:ascii="Times New Roman" w:hAnsi="Times New Roman"/>
          <w:sz w:val="24"/>
          <w:szCs w:val="24"/>
        </w:rPr>
      </w:pPr>
    </w:p>
    <w:p w:rsidR="00FA257B" w:rsidP="00590493" w14:paraId="7105FD71" w14:textId="77777777">
      <w:pPr>
        <w:shd w:val="clear" w:color="auto" w:fill="FFFFFF"/>
        <w:tabs>
          <w:tab w:val="left" w:pos="7230"/>
        </w:tabs>
        <w:spacing w:after="0"/>
        <w:rPr>
          <w:rFonts w:ascii="Times New Roman" w:hAnsi="Times New Roman"/>
          <w:sz w:val="24"/>
          <w:szCs w:val="24"/>
        </w:rPr>
      </w:pPr>
    </w:p>
    <w:p w:rsidR="00FA257B" w:rsidP="00590493" w14:paraId="0DD8C5E6" w14:textId="77777777">
      <w:pPr>
        <w:shd w:val="clear" w:color="auto" w:fill="FFFFFF"/>
        <w:tabs>
          <w:tab w:val="left" w:pos="7230"/>
        </w:tabs>
        <w:spacing w:after="0"/>
        <w:rPr>
          <w:rFonts w:ascii="Times New Roman" w:hAnsi="Times New Roman"/>
          <w:sz w:val="24"/>
          <w:szCs w:val="24"/>
        </w:rPr>
      </w:pPr>
    </w:p>
    <w:p w:rsidR="00FA257B" w:rsidP="00590493" w14:paraId="502CC71F" w14:textId="77777777">
      <w:pPr>
        <w:shd w:val="clear" w:color="auto" w:fill="FFFFFF"/>
        <w:tabs>
          <w:tab w:val="left" w:pos="7230"/>
        </w:tabs>
        <w:spacing w:after="0"/>
        <w:rPr>
          <w:rFonts w:ascii="Times New Roman" w:hAnsi="Times New Roman"/>
          <w:sz w:val="24"/>
          <w:szCs w:val="24"/>
        </w:rPr>
      </w:pPr>
    </w:p>
    <w:p w:rsidR="00FA257B" w:rsidP="00590493" w14:paraId="60DFBD70" w14:textId="77777777">
      <w:pPr>
        <w:shd w:val="clear" w:color="auto" w:fill="FFFFFF"/>
        <w:tabs>
          <w:tab w:val="left" w:pos="7230"/>
        </w:tabs>
        <w:spacing w:after="0"/>
        <w:rPr>
          <w:rFonts w:ascii="Times New Roman" w:hAnsi="Times New Roman"/>
          <w:sz w:val="24"/>
          <w:szCs w:val="24"/>
        </w:rPr>
      </w:pPr>
    </w:p>
    <w:p w:rsidR="00FA257B" w:rsidP="00590493" w14:paraId="02734EFA" w14:textId="77777777">
      <w:pPr>
        <w:shd w:val="clear" w:color="auto" w:fill="FFFFFF"/>
        <w:tabs>
          <w:tab w:val="left" w:pos="7230"/>
        </w:tabs>
        <w:spacing w:after="0"/>
        <w:rPr>
          <w:rFonts w:ascii="Times New Roman" w:hAnsi="Times New Roman"/>
          <w:sz w:val="24"/>
          <w:szCs w:val="24"/>
        </w:rPr>
      </w:pPr>
    </w:p>
    <w:p w:rsidR="00FA257B" w:rsidP="00590493" w14:paraId="1CA985C5" w14:textId="77777777">
      <w:pPr>
        <w:shd w:val="clear" w:color="auto" w:fill="FFFFFF"/>
        <w:tabs>
          <w:tab w:val="left" w:pos="7230"/>
        </w:tabs>
        <w:spacing w:after="0"/>
        <w:rPr>
          <w:rFonts w:ascii="Times New Roman" w:hAnsi="Times New Roman"/>
          <w:sz w:val="24"/>
          <w:szCs w:val="24"/>
        </w:rPr>
      </w:pPr>
    </w:p>
    <w:p w:rsidR="00FA257B" w:rsidP="00590493" w14:paraId="2E7D8BD8" w14:textId="77777777">
      <w:pPr>
        <w:shd w:val="clear" w:color="auto" w:fill="FFFFFF"/>
        <w:tabs>
          <w:tab w:val="left" w:pos="7230"/>
        </w:tabs>
        <w:spacing w:after="0"/>
        <w:rPr>
          <w:rFonts w:ascii="Times New Roman" w:hAnsi="Times New Roman"/>
          <w:sz w:val="24"/>
          <w:szCs w:val="24"/>
        </w:rPr>
      </w:pPr>
    </w:p>
    <w:p w:rsidR="00FA257B" w:rsidP="00590493" w14:paraId="216AAD92" w14:textId="77777777">
      <w:pPr>
        <w:shd w:val="clear" w:color="auto" w:fill="FFFFFF"/>
        <w:tabs>
          <w:tab w:val="left" w:pos="7230"/>
        </w:tabs>
        <w:spacing w:after="0"/>
        <w:rPr>
          <w:rFonts w:ascii="Times New Roman" w:hAnsi="Times New Roman"/>
          <w:sz w:val="24"/>
          <w:szCs w:val="24"/>
        </w:rPr>
      </w:pPr>
    </w:p>
    <w:p w:rsidR="00FA257B" w:rsidP="00590493" w14:paraId="14917430" w14:textId="77777777">
      <w:pPr>
        <w:shd w:val="clear" w:color="auto" w:fill="FFFFFF"/>
        <w:tabs>
          <w:tab w:val="left" w:pos="7230"/>
        </w:tabs>
        <w:spacing w:after="0"/>
        <w:rPr>
          <w:rFonts w:ascii="Times New Roman" w:hAnsi="Times New Roman"/>
          <w:sz w:val="24"/>
          <w:szCs w:val="24"/>
        </w:rPr>
      </w:pPr>
    </w:p>
    <w:p w:rsidR="00FA257B" w:rsidP="00590493" w14:paraId="2B23071E" w14:textId="77777777">
      <w:pPr>
        <w:shd w:val="clear" w:color="auto" w:fill="FFFFFF"/>
        <w:tabs>
          <w:tab w:val="left" w:pos="7230"/>
        </w:tabs>
        <w:spacing w:after="0"/>
        <w:rPr>
          <w:rFonts w:ascii="Times New Roman" w:hAnsi="Times New Roman"/>
          <w:sz w:val="24"/>
          <w:szCs w:val="24"/>
        </w:rPr>
      </w:pPr>
    </w:p>
    <w:p w:rsidR="00FA257B" w:rsidP="00590493" w14:paraId="79D4CDC8" w14:textId="77777777">
      <w:pPr>
        <w:shd w:val="clear" w:color="auto" w:fill="FFFFFF"/>
        <w:tabs>
          <w:tab w:val="left" w:pos="7230"/>
        </w:tabs>
        <w:spacing w:after="0"/>
        <w:rPr>
          <w:rFonts w:ascii="Times New Roman" w:hAnsi="Times New Roman"/>
          <w:sz w:val="24"/>
          <w:szCs w:val="24"/>
        </w:rPr>
      </w:pPr>
    </w:p>
    <w:p w:rsidR="00FA257B" w:rsidP="00590493" w14:paraId="73E76139" w14:textId="77777777">
      <w:pPr>
        <w:shd w:val="clear" w:color="auto" w:fill="FFFFFF"/>
        <w:tabs>
          <w:tab w:val="left" w:pos="7230"/>
        </w:tabs>
        <w:spacing w:after="0"/>
        <w:rPr>
          <w:rFonts w:ascii="Times New Roman" w:hAnsi="Times New Roman"/>
          <w:sz w:val="24"/>
          <w:szCs w:val="24"/>
        </w:rPr>
      </w:pPr>
    </w:p>
    <w:p w:rsidR="00FA257B" w:rsidP="00590493" w14:paraId="0E89B362" w14:textId="77777777">
      <w:pPr>
        <w:shd w:val="clear" w:color="auto" w:fill="FFFFFF"/>
        <w:tabs>
          <w:tab w:val="left" w:pos="7230"/>
        </w:tabs>
        <w:spacing w:after="0"/>
        <w:rPr>
          <w:rFonts w:ascii="Times New Roman" w:hAnsi="Times New Roman"/>
          <w:sz w:val="24"/>
          <w:szCs w:val="24"/>
        </w:rPr>
      </w:pPr>
    </w:p>
    <w:p w:rsidR="00FA257B" w:rsidP="00590493" w14:paraId="53B36AD3" w14:textId="77777777">
      <w:pPr>
        <w:shd w:val="clear" w:color="auto" w:fill="FFFFFF"/>
        <w:tabs>
          <w:tab w:val="left" w:pos="7230"/>
        </w:tabs>
        <w:spacing w:after="0"/>
        <w:rPr>
          <w:rFonts w:ascii="Times New Roman" w:hAnsi="Times New Roman"/>
          <w:sz w:val="24"/>
          <w:szCs w:val="24"/>
        </w:rPr>
      </w:pPr>
    </w:p>
    <w:p w:rsidR="00FA257B" w:rsidP="00590493" w14:paraId="251611A5" w14:textId="77777777">
      <w:pPr>
        <w:shd w:val="clear" w:color="auto" w:fill="FFFFFF"/>
        <w:tabs>
          <w:tab w:val="left" w:pos="7230"/>
        </w:tabs>
        <w:spacing w:after="0"/>
        <w:rPr>
          <w:rFonts w:ascii="Times New Roman" w:hAnsi="Times New Roman"/>
          <w:sz w:val="24"/>
          <w:szCs w:val="24"/>
        </w:rPr>
      </w:pPr>
    </w:p>
    <w:p w:rsidR="00FA257B" w:rsidP="00590493" w14:paraId="5AAFBD7B" w14:textId="77777777">
      <w:pPr>
        <w:shd w:val="clear" w:color="auto" w:fill="FFFFFF"/>
        <w:tabs>
          <w:tab w:val="left" w:pos="7230"/>
        </w:tabs>
        <w:spacing w:after="0"/>
        <w:rPr>
          <w:rFonts w:ascii="Times New Roman" w:hAnsi="Times New Roman"/>
          <w:sz w:val="24"/>
          <w:szCs w:val="24"/>
        </w:rPr>
      </w:pPr>
    </w:p>
    <w:p w:rsidR="00FA257B" w:rsidP="00590493" w14:paraId="23051005" w14:textId="77777777">
      <w:pPr>
        <w:shd w:val="clear" w:color="auto" w:fill="FFFFFF"/>
        <w:tabs>
          <w:tab w:val="left" w:pos="7230"/>
        </w:tabs>
        <w:spacing w:after="0"/>
        <w:rPr>
          <w:rFonts w:ascii="Times New Roman" w:hAnsi="Times New Roman"/>
          <w:sz w:val="24"/>
          <w:szCs w:val="24"/>
        </w:rPr>
      </w:pPr>
    </w:p>
    <w:p w:rsidR="00FA257B" w:rsidP="00590493" w14:paraId="14445EB8" w14:textId="77777777">
      <w:pPr>
        <w:shd w:val="clear" w:color="auto" w:fill="FFFFFF"/>
        <w:tabs>
          <w:tab w:val="left" w:pos="7230"/>
        </w:tabs>
        <w:spacing w:after="0"/>
        <w:rPr>
          <w:rFonts w:ascii="Times New Roman" w:hAnsi="Times New Roman"/>
          <w:sz w:val="24"/>
          <w:szCs w:val="24"/>
        </w:rPr>
      </w:pPr>
    </w:p>
    <w:p w:rsidR="00FA257B" w:rsidP="00590493" w14:paraId="1DF27696" w14:textId="77777777">
      <w:pPr>
        <w:shd w:val="clear" w:color="auto" w:fill="FFFFFF"/>
        <w:tabs>
          <w:tab w:val="left" w:pos="7230"/>
        </w:tabs>
        <w:spacing w:after="0"/>
        <w:rPr>
          <w:rFonts w:ascii="Times New Roman" w:hAnsi="Times New Roman"/>
          <w:sz w:val="24"/>
          <w:szCs w:val="24"/>
        </w:rPr>
      </w:pPr>
    </w:p>
    <w:p w:rsidR="00FA257B" w:rsidP="00590493" w14:paraId="79BC25BD" w14:textId="77777777">
      <w:pPr>
        <w:shd w:val="clear" w:color="auto" w:fill="FFFFFF"/>
        <w:tabs>
          <w:tab w:val="left" w:pos="7230"/>
        </w:tabs>
        <w:spacing w:after="0"/>
        <w:rPr>
          <w:rFonts w:ascii="Times New Roman" w:hAnsi="Times New Roman"/>
          <w:sz w:val="24"/>
          <w:szCs w:val="24"/>
        </w:rPr>
      </w:pPr>
    </w:p>
    <w:p w:rsidR="00FA257B" w:rsidP="00590493" w14:paraId="4200CE47" w14:textId="77777777">
      <w:pPr>
        <w:shd w:val="clear" w:color="auto" w:fill="FFFFFF"/>
        <w:tabs>
          <w:tab w:val="left" w:pos="7230"/>
        </w:tabs>
        <w:spacing w:after="0"/>
        <w:rPr>
          <w:rFonts w:ascii="Times New Roman" w:hAnsi="Times New Roman"/>
          <w:sz w:val="24"/>
          <w:szCs w:val="24"/>
        </w:rPr>
      </w:pPr>
    </w:p>
    <w:p w:rsidR="00FA257B" w:rsidP="00590493" w14:paraId="33F65522" w14:textId="77777777">
      <w:pPr>
        <w:shd w:val="clear" w:color="auto" w:fill="FFFFFF"/>
        <w:tabs>
          <w:tab w:val="left" w:pos="7230"/>
        </w:tabs>
        <w:spacing w:after="0"/>
        <w:rPr>
          <w:rFonts w:ascii="Times New Roman" w:hAnsi="Times New Roman"/>
          <w:sz w:val="24"/>
          <w:szCs w:val="24"/>
        </w:rPr>
      </w:pPr>
    </w:p>
    <w:p w:rsidR="00FA257B" w:rsidP="00590493" w14:paraId="0C2CBCF1" w14:textId="77777777">
      <w:pPr>
        <w:shd w:val="clear" w:color="auto" w:fill="FFFFFF"/>
        <w:tabs>
          <w:tab w:val="left" w:pos="7230"/>
        </w:tabs>
        <w:spacing w:after="0"/>
        <w:rPr>
          <w:rFonts w:ascii="Times New Roman" w:hAnsi="Times New Roman"/>
          <w:sz w:val="24"/>
          <w:szCs w:val="24"/>
        </w:rPr>
      </w:pPr>
    </w:p>
    <w:p w:rsidR="00FA257B" w:rsidP="00590493" w14:paraId="2B5916E2" w14:textId="77777777">
      <w:pPr>
        <w:shd w:val="clear" w:color="auto" w:fill="FFFFFF"/>
        <w:tabs>
          <w:tab w:val="left" w:pos="7230"/>
        </w:tabs>
        <w:spacing w:after="0"/>
        <w:rPr>
          <w:rFonts w:ascii="Times New Roman" w:hAnsi="Times New Roman"/>
          <w:sz w:val="24"/>
          <w:szCs w:val="24"/>
        </w:rPr>
      </w:pPr>
    </w:p>
    <w:p w:rsidR="00816C09" w:rsidP="00C86B40" w14:paraId="0E7CED47" w14:textId="71FB9BAA">
      <w:pPr>
        <w:shd w:val="clear" w:color="auto" w:fill="FFFFFF"/>
        <w:spacing w:after="0"/>
        <w:rPr>
          <w:rFonts w:ascii="Times New Roman" w:hAnsi="Times New Roman"/>
          <w:color w:val="000000"/>
          <w:sz w:val="20"/>
          <w:szCs w:val="20"/>
        </w:rPr>
      </w:pPr>
      <w:bookmarkStart w:id="1" w:name="piel4"/>
      <w:bookmarkEnd w:id="1"/>
      <w:r w:rsidRPr="00C86B40">
        <w:rPr>
          <w:rFonts w:ascii="Times New Roman" w:hAnsi="Times New Roman"/>
          <w:color w:val="000000"/>
          <w:sz w:val="20"/>
          <w:szCs w:val="20"/>
        </w:rPr>
        <w:t>Rimša</w:t>
      </w:r>
      <w:r>
        <w:rPr>
          <w:rFonts w:ascii="Times New Roman" w:hAnsi="Times New Roman"/>
          <w:color w:val="000000"/>
          <w:sz w:val="20"/>
          <w:szCs w:val="20"/>
        </w:rPr>
        <w:t xml:space="preserve"> </w:t>
      </w:r>
      <w:r w:rsidRPr="00C86B40">
        <w:rPr>
          <w:rFonts w:ascii="Times New Roman" w:hAnsi="Times New Roman"/>
          <w:color w:val="000000"/>
          <w:sz w:val="20"/>
          <w:szCs w:val="20"/>
        </w:rPr>
        <w:t xml:space="preserve">67026512 </w:t>
      </w:r>
    </w:p>
    <w:p w:rsidR="00B466FC" w:rsidRPr="00797A1A" w:rsidP="00C86B40" w14:paraId="777BD361" w14:textId="69A76E2B">
      <w:pPr>
        <w:shd w:val="clear" w:color="auto" w:fill="FFFFFF"/>
        <w:spacing w:after="0"/>
        <w:rPr>
          <w:sz w:val="18"/>
          <w:szCs w:val="18"/>
        </w:rPr>
      </w:pPr>
      <w:r>
        <w:fldChar w:fldCharType="begin"/>
      </w:r>
      <w:r>
        <w:instrText xml:space="preserve"> HYPERLINK "mailto:Helena.Rimsa@varam.gov.lv" </w:instrText>
      </w:r>
      <w:r>
        <w:fldChar w:fldCharType="separate"/>
      </w:r>
      <w:r w:rsidRPr="00C86B40" w:rsidR="00C86B40">
        <w:rPr>
          <w:rStyle w:val="Hyperlink"/>
          <w:rFonts w:ascii="Times New Roman" w:hAnsi="Times New Roman"/>
          <w:sz w:val="20"/>
          <w:szCs w:val="20"/>
        </w:rPr>
        <w:t>Helena.Rimsa@varam.gov.lv</w:t>
      </w:r>
      <w:r>
        <w:fldChar w:fldCharType="end"/>
      </w:r>
    </w:p>
    <w:sectPr w:rsidSect="00DA5FFD">
      <w:headerReference w:type="default" r:id="rId5"/>
      <w:footerReference w:type="default" r:id="rId6"/>
      <w:footerReference w:type="first" r:id="rId7"/>
      <w:pgSz w:w="11906" w:h="16838" w:code="9"/>
      <w:pgMar w:top="1418" w:right="1134" w:bottom="1134"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2233" w:rsidRPr="001E413D" w:rsidP="006817ED" w14:paraId="5E384F45" w14:textId="20338259">
    <w:pPr>
      <w:spacing w:after="0"/>
      <w:rPr>
        <w:rFonts w:ascii="Times New Roman" w:hAnsi="Times New Roman"/>
        <w:sz w:val="18"/>
        <w:szCs w:val="18"/>
      </w:rPr>
    </w:pPr>
    <w:r w:rsidRPr="001E413D">
      <w:rPr>
        <w:rFonts w:ascii="Times New Roman" w:hAnsi="Times New Roman"/>
        <w:sz w:val="18"/>
        <w:szCs w:val="18"/>
      </w:rPr>
      <w:fldChar w:fldCharType="begin"/>
    </w:r>
    <w:r w:rsidRPr="001E413D">
      <w:rPr>
        <w:rFonts w:ascii="Times New Roman" w:hAnsi="Times New Roman"/>
        <w:sz w:val="18"/>
        <w:szCs w:val="18"/>
      </w:rPr>
      <w:instrText xml:space="preserve"> FILENAME   \* MERGEFORMAT </w:instrText>
    </w:r>
    <w:r w:rsidRPr="001E413D">
      <w:rPr>
        <w:rFonts w:ascii="Times New Roman" w:hAnsi="Times New Roman"/>
        <w:sz w:val="18"/>
        <w:szCs w:val="18"/>
      </w:rPr>
      <w:fldChar w:fldCharType="separate"/>
    </w:r>
    <w:r w:rsidRPr="001E413D">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2233" w:rsidRPr="000F0DF8" w:rsidP="004D7C36" w14:paraId="3646FDCC" w14:textId="731C5C4E">
    <w:pPr>
      <w:spacing w:after="0"/>
      <w:rPr>
        <w:rFonts w:ascii="Times New Roman" w:hAnsi="Times New Roman"/>
        <w:sz w:val="18"/>
        <w:szCs w:val="18"/>
      </w:rPr>
    </w:pPr>
    <w:r w:rsidRPr="000F0DF8">
      <w:rPr>
        <w:rFonts w:ascii="Times New Roman" w:hAnsi="Times New Roman"/>
        <w:sz w:val="18"/>
        <w:szCs w:val="18"/>
      </w:rPr>
      <w:fldChar w:fldCharType="begin"/>
    </w:r>
    <w:r w:rsidRPr="000F0DF8">
      <w:rPr>
        <w:rFonts w:ascii="Times New Roman" w:hAnsi="Times New Roman"/>
        <w:sz w:val="18"/>
        <w:szCs w:val="18"/>
      </w:rPr>
      <w:instrText xml:space="preserve"> FILENAME   \* MERGEFORMAT </w:instrText>
    </w:r>
    <w:r w:rsidRPr="000F0DF8">
      <w:rPr>
        <w:rFonts w:ascii="Times New Roman" w:hAnsi="Times New Roman"/>
        <w:sz w:val="18"/>
        <w:szCs w:val="18"/>
      </w:rPr>
      <w:fldChar w:fldCharType="separate"/>
    </w:r>
    <w:r w:rsidRPr="000F0DF8">
      <w:rPr>
        <w:rFonts w:ascii="Times New Roman" w:hAnsi="Times New Roman"/>
        <w:noProof/>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2233" w14:paraId="191F5FD3" w14:textId="77777777">
    <w:pPr>
      <w:pStyle w:val="Header"/>
      <w:jc w:val="center"/>
    </w:pPr>
    <w:r>
      <w:fldChar w:fldCharType="begin"/>
    </w:r>
    <w:r>
      <w:instrText xml:space="preserve"> PAGE   \* MERGEFORMAT </w:instrText>
    </w:r>
    <w:r>
      <w:fldChar w:fldCharType="separate"/>
    </w:r>
    <w:r w:rsidR="009774BD">
      <w:rPr>
        <w:noProof/>
      </w:rPr>
      <w:t>6</w:t>
    </w:r>
    <w:r>
      <w:rPr>
        <w:noProof/>
      </w:rPr>
      <w:fldChar w:fldCharType="end"/>
    </w:r>
  </w:p>
  <w:p w:rsidR="00322233" w14:paraId="63ABD5E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FF59F2"/>
    <w:multiLevelType w:val="hybridMultilevel"/>
    <w:tmpl w:val="E8280A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8A83C6C"/>
    <w:multiLevelType w:val="hybridMultilevel"/>
    <w:tmpl w:val="9B301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10A37EA9"/>
    <w:multiLevelType w:val="hybridMultilevel"/>
    <w:tmpl w:val="F2508D6E"/>
    <w:lvl w:ilvl="0">
      <w:start w:val="1"/>
      <w:numFmt w:val="bullet"/>
      <w:lvlText w:val=""/>
      <w:lvlJc w:val="left"/>
      <w:pPr>
        <w:ind w:left="947" w:hanging="360"/>
      </w:pPr>
      <w:rPr>
        <w:rFonts w:ascii="Symbol" w:hAnsi="Symbol" w:hint="default"/>
      </w:rPr>
    </w:lvl>
    <w:lvl w:ilvl="1" w:tentative="1">
      <w:start w:val="1"/>
      <w:numFmt w:val="bullet"/>
      <w:lvlText w:val="o"/>
      <w:lvlJc w:val="left"/>
      <w:pPr>
        <w:ind w:left="1667" w:hanging="360"/>
      </w:pPr>
      <w:rPr>
        <w:rFonts w:ascii="Courier New" w:hAnsi="Courier New" w:cs="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cs="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cs="Courier New" w:hint="default"/>
      </w:rPr>
    </w:lvl>
    <w:lvl w:ilvl="8" w:tentative="1">
      <w:start w:val="1"/>
      <w:numFmt w:val="bullet"/>
      <w:lvlText w:val=""/>
      <w:lvlJc w:val="left"/>
      <w:pPr>
        <w:ind w:left="6707" w:hanging="360"/>
      </w:pPr>
      <w:rPr>
        <w:rFonts w:ascii="Wingdings" w:hAnsi="Wingdings" w:hint="default"/>
      </w:rPr>
    </w:lvl>
  </w:abstractNum>
  <w:abstractNum w:abstractNumId="3" w15:restartNumberingAfterBreak="1">
    <w:nsid w:val="14757056"/>
    <w:multiLevelType w:val="hybridMultilevel"/>
    <w:tmpl w:val="0F60222E"/>
    <w:lvl w:ilvl="0">
      <w:start w:val="9"/>
      <w:numFmt w:val="bullet"/>
      <w:lvlText w:val="-"/>
      <w:lvlJc w:val="left"/>
      <w:pPr>
        <w:ind w:left="587" w:hanging="360"/>
      </w:pPr>
      <w:rPr>
        <w:rFonts w:ascii="Times New Roman" w:eastAsia="Times New Roman" w:hAnsi="Times New Roman" w:cs="Times New Roman" w:hint="default"/>
      </w:rPr>
    </w:lvl>
    <w:lvl w:ilvl="1" w:tentative="1">
      <w:start w:val="1"/>
      <w:numFmt w:val="bullet"/>
      <w:lvlText w:val="o"/>
      <w:lvlJc w:val="left"/>
      <w:pPr>
        <w:ind w:left="1307" w:hanging="360"/>
      </w:pPr>
      <w:rPr>
        <w:rFonts w:ascii="Courier New" w:hAnsi="Courier New" w:cs="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cs="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cs="Courier New" w:hint="default"/>
      </w:rPr>
    </w:lvl>
    <w:lvl w:ilvl="8" w:tentative="1">
      <w:start w:val="1"/>
      <w:numFmt w:val="bullet"/>
      <w:lvlText w:val=""/>
      <w:lvlJc w:val="left"/>
      <w:pPr>
        <w:ind w:left="6347" w:hanging="360"/>
      </w:pPr>
      <w:rPr>
        <w:rFonts w:ascii="Wingdings" w:hAnsi="Wingdings" w:hint="default"/>
      </w:rPr>
    </w:lvl>
  </w:abstractNum>
  <w:abstractNum w:abstractNumId="4" w15:restartNumberingAfterBreak="1">
    <w:nsid w:val="18DD7D13"/>
    <w:multiLevelType w:val="hybridMultilevel"/>
    <w:tmpl w:val="409C20EE"/>
    <w:lvl w:ilvl="0">
      <w:start w:val="1"/>
      <w:numFmt w:val="bullet"/>
      <w:lvlText w:val=""/>
      <w:lvlJc w:val="left"/>
      <w:pPr>
        <w:ind w:left="1004" w:hanging="360"/>
      </w:pPr>
      <w:rPr>
        <w:rFonts w:ascii="Symbol" w:hAnsi="Symbol" w:hint="default"/>
      </w:rPr>
    </w:lvl>
    <w:lvl w:ilvl="1">
      <w:start w:val="1"/>
      <w:numFmt w:val="bullet"/>
      <w:lvlText w:val=""/>
      <w:lvlJc w:val="left"/>
      <w:pPr>
        <w:ind w:left="1724" w:hanging="360"/>
      </w:pPr>
      <w:rPr>
        <w:rFonts w:ascii="Symbol" w:hAnsi="Symbol"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5" w15:restartNumberingAfterBreak="1">
    <w:nsid w:val="1CB74205"/>
    <w:multiLevelType w:val="hybridMultilevel"/>
    <w:tmpl w:val="165413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1D18645E"/>
    <w:multiLevelType w:val="hybridMultilevel"/>
    <w:tmpl w:val="6FF6BFBA"/>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1">
    <w:nsid w:val="303E6AA0"/>
    <w:multiLevelType w:val="hybridMultilevel"/>
    <w:tmpl w:val="9FBA3C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3CBE0813"/>
    <w:multiLevelType w:val="hybridMultilevel"/>
    <w:tmpl w:val="F574F362"/>
    <w:lvl w:ilvl="0">
      <w:start w:val="1"/>
      <w:numFmt w:val="decimal"/>
      <w:lvlText w:val="%1)"/>
      <w:lvlJc w:val="left"/>
      <w:pPr>
        <w:ind w:left="587" w:hanging="360"/>
      </w:pPr>
      <w:rPr>
        <w:rFonts w:hint="default"/>
        <w:b/>
      </w:rPr>
    </w:lvl>
    <w:lvl w:ilvl="1" w:tentative="1">
      <w:start w:val="1"/>
      <w:numFmt w:val="lowerLetter"/>
      <w:lvlText w:val="%2."/>
      <w:lvlJc w:val="left"/>
      <w:pPr>
        <w:ind w:left="1307" w:hanging="360"/>
      </w:pPr>
    </w:lvl>
    <w:lvl w:ilvl="2" w:tentative="1">
      <w:start w:val="1"/>
      <w:numFmt w:val="lowerRoman"/>
      <w:lvlText w:val="%3."/>
      <w:lvlJc w:val="right"/>
      <w:pPr>
        <w:ind w:left="2027" w:hanging="180"/>
      </w:pPr>
    </w:lvl>
    <w:lvl w:ilvl="3" w:tentative="1">
      <w:start w:val="1"/>
      <w:numFmt w:val="decimal"/>
      <w:lvlText w:val="%4."/>
      <w:lvlJc w:val="left"/>
      <w:pPr>
        <w:ind w:left="2747" w:hanging="360"/>
      </w:p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abstractNum w:abstractNumId="9" w15:restartNumberingAfterBreak="1">
    <w:nsid w:val="3D620BF9"/>
    <w:multiLevelType w:val="hybridMultilevel"/>
    <w:tmpl w:val="C4C4357E"/>
    <w:lvl w:ilvl="0">
      <w:start w:val="1"/>
      <w:numFmt w:val="decimal"/>
      <w:lvlText w:val="%1)"/>
      <w:lvlJc w:val="left"/>
      <w:pPr>
        <w:ind w:left="720" w:hanging="36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3E5A44BE"/>
    <w:multiLevelType w:val="hybridMultilevel"/>
    <w:tmpl w:val="9B9AFD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3EB0279C"/>
    <w:multiLevelType w:val="hybridMultilevel"/>
    <w:tmpl w:val="1CCE603A"/>
    <w:lvl w:ilvl="0">
      <w:start w:val="1"/>
      <w:numFmt w:val="bullet"/>
      <w:lvlText w:val=""/>
      <w:lvlJc w:val="left"/>
      <w:pPr>
        <w:ind w:left="947" w:hanging="360"/>
      </w:pPr>
      <w:rPr>
        <w:rFonts w:ascii="Symbol" w:hAnsi="Symbol" w:hint="default"/>
      </w:rPr>
    </w:lvl>
    <w:lvl w:ilvl="1">
      <w:start w:val="5"/>
      <w:numFmt w:val="bullet"/>
      <w:lvlText w:val="-"/>
      <w:lvlJc w:val="left"/>
      <w:pPr>
        <w:ind w:left="1667" w:hanging="360"/>
      </w:pPr>
      <w:rPr>
        <w:rFonts w:ascii="Times New Roman" w:eastAsia="Times New Roman" w:hAnsi="Times New Roman"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hint="default"/>
      </w:rPr>
    </w:lvl>
    <w:lvl w:ilvl="8" w:tentative="1">
      <w:start w:val="1"/>
      <w:numFmt w:val="bullet"/>
      <w:lvlText w:val=""/>
      <w:lvlJc w:val="left"/>
      <w:pPr>
        <w:ind w:left="6707" w:hanging="360"/>
      </w:pPr>
      <w:rPr>
        <w:rFonts w:ascii="Wingdings" w:hAnsi="Wingdings" w:hint="default"/>
      </w:rPr>
    </w:lvl>
  </w:abstractNum>
  <w:abstractNum w:abstractNumId="12" w15:restartNumberingAfterBreak="1">
    <w:nsid w:val="51FB6389"/>
    <w:multiLevelType w:val="hybridMultilevel"/>
    <w:tmpl w:val="FBFEEC76"/>
    <w:lvl w:ilvl="0">
      <w:start w:val="5"/>
      <w:numFmt w:val="bullet"/>
      <w:lvlText w:val="-"/>
      <w:lvlJc w:val="left"/>
      <w:pPr>
        <w:ind w:left="587" w:hanging="360"/>
      </w:pPr>
      <w:rPr>
        <w:rFonts w:ascii="Times New Roman" w:eastAsia="Times New Roman" w:hAnsi="Times New Roman" w:hint="default"/>
      </w:rPr>
    </w:lvl>
    <w:lvl w:ilvl="1" w:tentative="1">
      <w:start w:val="1"/>
      <w:numFmt w:val="bullet"/>
      <w:lvlText w:val="o"/>
      <w:lvlJc w:val="left"/>
      <w:pPr>
        <w:ind w:left="1307" w:hanging="360"/>
      </w:pPr>
      <w:rPr>
        <w:rFonts w:ascii="Courier New" w:hAnsi="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hint="default"/>
      </w:rPr>
    </w:lvl>
    <w:lvl w:ilvl="8" w:tentative="1">
      <w:start w:val="1"/>
      <w:numFmt w:val="bullet"/>
      <w:lvlText w:val=""/>
      <w:lvlJc w:val="left"/>
      <w:pPr>
        <w:ind w:left="6347" w:hanging="360"/>
      </w:pPr>
      <w:rPr>
        <w:rFonts w:ascii="Wingdings" w:hAnsi="Wingdings" w:hint="default"/>
      </w:rPr>
    </w:lvl>
  </w:abstractNum>
  <w:abstractNum w:abstractNumId="13" w15:restartNumberingAfterBreak="1">
    <w:nsid w:val="56165214"/>
    <w:multiLevelType w:val="hybridMultilevel"/>
    <w:tmpl w:val="302EDA1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4" w15:restartNumberingAfterBreak="1">
    <w:nsid w:val="59376E05"/>
    <w:multiLevelType w:val="hybridMultilevel"/>
    <w:tmpl w:val="1DACBB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C8F119A"/>
    <w:multiLevelType w:val="hybridMultilevel"/>
    <w:tmpl w:val="9F925556"/>
    <w:lvl w:ilvl="0">
      <w:start w:val="1"/>
      <w:numFmt w:val="decimal"/>
      <w:lvlText w:val="%1)"/>
      <w:lvlJc w:val="left"/>
      <w:pPr>
        <w:ind w:left="616" w:hanging="360"/>
      </w:pPr>
      <w:rPr>
        <w:rFonts w:eastAsia="Times New Roman" w:cs="Times New Roman" w:hint="default"/>
        <w:sz w:val="22"/>
        <w:szCs w:val="22"/>
      </w:rPr>
    </w:lvl>
    <w:lvl w:ilvl="1" w:tentative="1">
      <w:start w:val="1"/>
      <w:numFmt w:val="lowerLetter"/>
      <w:lvlText w:val="%2."/>
      <w:lvlJc w:val="left"/>
      <w:pPr>
        <w:ind w:left="1336" w:hanging="360"/>
      </w:pPr>
      <w:rPr>
        <w:rFonts w:cs="Times New Roman"/>
      </w:rPr>
    </w:lvl>
    <w:lvl w:ilvl="2" w:tentative="1">
      <w:start w:val="1"/>
      <w:numFmt w:val="lowerRoman"/>
      <w:lvlText w:val="%3."/>
      <w:lvlJc w:val="right"/>
      <w:pPr>
        <w:ind w:left="2056" w:hanging="180"/>
      </w:pPr>
      <w:rPr>
        <w:rFonts w:cs="Times New Roman"/>
      </w:rPr>
    </w:lvl>
    <w:lvl w:ilvl="3" w:tentative="1">
      <w:start w:val="1"/>
      <w:numFmt w:val="decimal"/>
      <w:lvlText w:val="%4."/>
      <w:lvlJc w:val="left"/>
      <w:pPr>
        <w:ind w:left="2776" w:hanging="360"/>
      </w:pPr>
      <w:rPr>
        <w:rFonts w:cs="Times New Roman"/>
      </w:rPr>
    </w:lvl>
    <w:lvl w:ilvl="4" w:tentative="1">
      <w:start w:val="1"/>
      <w:numFmt w:val="lowerLetter"/>
      <w:lvlText w:val="%5."/>
      <w:lvlJc w:val="left"/>
      <w:pPr>
        <w:ind w:left="3496" w:hanging="360"/>
      </w:pPr>
      <w:rPr>
        <w:rFonts w:cs="Times New Roman"/>
      </w:rPr>
    </w:lvl>
    <w:lvl w:ilvl="5" w:tentative="1">
      <w:start w:val="1"/>
      <w:numFmt w:val="lowerRoman"/>
      <w:lvlText w:val="%6."/>
      <w:lvlJc w:val="right"/>
      <w:pPr>
        <w:ind w:left="4216" w:hanging="180"/>
      </w:pPr>
      <w:rPr>
        <w:rFonts w:cs="Times New Roman"/>
      </w:rPr>
    </w:lvl>
    <w:lvl w:ilvl="6" w:tentative="1">
      <w:start w:val="1"/>
      <w:numFmt w:val="decimal"/>
      <w:lvlText w:val="%7."/>
      <w:lvlJc w:val="left"/>
      <w:pPr>
        <w:ind w:left="4936" w:hanging="360"/>
      </w:pPr>
      <w:rPr>
        <w:rFonts w:cs="Times New Roman"/>
      </w:rPr>
    </w:lvl>
    <w:lvl w:ilvl="7" w:tentative="1">
      <w:start w:val="1"/>
      <w:numFmt w:val="lowerLetter"/>
      <w:lvlText w:val="%8."/>
      <w:lvlJc w:val="left"/>
      <w:pPr>
        <w:ind w:left="5656" w:hanging="360"/>
      </w:pPr>
      <w:rPr>
        <w:rFonts w:cs="Times New Roman"/>
      </w:rPr>
    </w:lvl>
    <w:lvl w:ilvl="8" w:tentative="1">
      <w:start w:val="1"/>
      <w:numFmt w:val="lowerRoman"/>
      <w:lvlText w:val="%9."/>
      <w:lvlJc w:val="right"/>
      <w:pPr>
        <w:ind w:left="6376" w:hanging="180"/>
      </w:pPr>
      <w:rPr>
        <w:rFonts w:cs="Times New Roman"/>
      </w:rPr>
    </w:lvl>
  </w:abstractNum>
  <w:abstractNum w:abstractNumId="16" w15:restartNumberingAfterBreak="1">
    <w:nsid w:val="5ED32202"/>
    <w:multiLevelType w:val="hybridMultilevel"/>
    <w:tmpl w:val="B8E48524"/>
    <w:lvl w:ilvl="0">
      <w:start w:val="1"/>
      <w:numFmt w:val="bullet"/>
      <w:lvlText w:val=""/>
      <w:lvlJc w:val="left"/>
      <w:pPr>
        <w:ind w:left="947" w:hanging="360"/>
      </w:pPr>
      <w:rPr>
        <w:rFonts w:ascii="Symbol" w:hAnsi="Symbol" w:hint="default"/>
      </w:rPr>
    </w:lvl>
    <w:lvl w:ilvl="1" w:tentative="1">
      <w:start w:val="1"/>
      <w:numFmt w:val="bullet"/>
      <w:lvlText w:val="o"/>
      <w:lvlJc w:val="left"/>
      <w:pPr>
        <w:ind w:left="1667" w:hanging="360"/>
      </w:pPr>
      <w:rPr>
        <w:rFonts w:ascii="Courier New" w:hAnsi="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hint="default"/>
      </w:rPr>
    </w:lvl>
    <w:lvl w:ilvl="8" w:tentative="1">
      <w:start w:val="1"/>
      <w:numFmt w:val="bullet"/>
      <w:lvlText w:val=""/>
      <w:lvlJc w:val="left"/>
      <w:pPr>
        <w:ind w:left="6707" w:hanging="360"/>
      </w:pPr>
      <w:rPr>
        <w:rFonts w:ascii="Wingdings" w:hAnsi="Wingdings" w:hint="default"/>
      </w:rPr>
    </w:lvl>
  </w:abstractNum>
  <w:abstractNum w:abstractNumId="17" w15:restartNumberingAfterBreak="1">
    <w:nsid w:val="60142C52"/>
    <w:multiLevelType w:val="hybridMultilevel"/>
    <w:tmpl w:val="09BCB2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6659376C"/>
    <w:multiLevelType w:val="hybridMultilevel"/>
    <w:tmpl w:val="BAA4D0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1">
    <w:nsid w:val="6B5452AD"/>
    <w:multiLevelType w:val="hybridMultilevel"/>
    <w:tmpl w:val="04D4B3F8"/>
    <w:lvl w:ilvl="0">
      <w:start w:val="1"/>
      <w:numFmt w:val="bullet"/>
      <w:lvlText w:val=""/>
      <w:lvlJc w:val="left"/>
      <w:pPr>
        <w:ind w:left="720" w:hanging="360"/>
      </w:pPr>
      <w:rPr>
        <w:rFonts w:ascii="Symbol" w:hAnsi="Symbol" w:hint="default"/>
      </w:rPr>
    </w:lvl>
    <w:lvl w:ilvl="1">
      <w:start w:val="0"/>
      <w:numFmt w:val="bullet"/>
      <w:lvlText w:val="•"/>
      <w:lvlJc w:val="left"/>
      <w:pPr>
        <w:ind w:left="1515" w:hanging="435"/>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7AFF5FA8"/>
    <w:multiLevelType w:val="hybridMultilevel"/>
    <w:tmpl w:val="5678912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1">
    <w:nsid w:val="7FD43D62"/>
    <w:multiLevelType w:val="hybridMultilevel"/>
    <w:tmpl w:val="18CCAF70"/>
    <w:lvl w:ilvl="0">
      <w:start w:val="1"/>
      <w:numFmt w:val="bullet"/>
      <w:lvlText w:val=""/>
      <w:lvlJc w:val="left"/>
      <w:pPr>
        <w:ind w:left="587" w:hanging="360"/>
      </w:pPr>
      <w:rPr>
        <w:rFonts w:ascii="Symbol" w:hAnsi="Symbol" w:hint="default"/>
      </w:rPr>
    </w:lvl>
    <w:lvl w:ilvl="1" w:tentative="1">
      <w:start w:val="1"/>
      <w:numFmt w:val="bullet"/>
      <w:lvlText w:val="o"/>
      <w:lvlJc w:val="left"/>
      <w:pPr>
        <w:ind w:left="1307" w:hanging="360"/>
      </w:pPr>
      <w:rPr>
        <w:rFonts w:ascii="Courier New" w:hAnsi="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hint="default"/>
      </w:rPr>
    </w:lvl>
    <w:lvl w:ilvl="8" w:tentative="1">
      <w:start w:val="1"/>
      <w:numFmt w:val="bullet"/>
      <w:lvlText w:val=""/>
      <w:lvlJc w:val="left"/>
      <w:pPr>
        <w:ind w:left="6347" w:hanging="360"/>
      </w:pPr>
      <w:rPr>
        <w:rFonts w:ascii="Wingdings" w:hAnsi="Wingdings" w:hint="default"/>
      </w:rPr>
    </w:lvl>
  </w:abstractNum>
  <w:num w:numId="1">
    <w:abstractNumId w:val="16"/>
  </w:num>
  <w:num w:numId="2">
    <w:abstractNumId w:val="11"/>
  </w:num>
  <w:num w:numId="3">
    <w:abstractNumId w:val="12"/>
  </w:num>
  <w:num w:numId="4">
    <w:abstractNumId w:val="15"/>
  </w:num>
  <w:num w:numId="5">
    <w:abstractNumId w:val="5"/>
  </w:num>
  <w:num w:numId="6">
    <w:abstractNumId w:val="1"/>
  </w:num>
  <w:num w:numId="7">
    <w:abstractNumId w:val="2"/>
  </w:num>
  <w:num w:numId="8">
    <w:abstractNumId w:val="6"/>
  </w:num>
  <w:num w:numId="9">
    <w:abstractNumId w:val="17"/>
  </w:num>
  <w:num w:numId="10">
    <w:abstractNumId w:val="21"/>
  </w:num>
  <w:num w:numId="11">
    <w:abstractNumId w:val="8"/>
  </w:num>
  <w:num w:numId="12">
    <w:abstractNumId w:val="14"/>
  </w:num>
  <w:num w:numId="13">
    <w:abstractNumId w:val="9"/>
  </w:num>
  <w:num w:numId="14">
    <w:abstractNumId w:val="10"/>
  </w:num>
  <w:num w:numId="15">
    <w:abstractNumId w:val="18"/>
  </w:num>
  <w:num w:numId="16">
    <w:abstractNumId w:val="20"/>
  </w:num>
  <w:num w:numId="17">
    <w:abstractNumId w:val="19"/>
  </w:num>
  <w:num w:numId="18">
    <w:abstractNumId w:val="7"/>
  </w:num>
  <w:num w:numId="19">
    <w:abstractNumId w:val="13"/>
  </w:num>
  <w:num w:numId="20">
    <w:abstractNumId w:val="0"/>
  </w:num>
  <w:num w:numId="21">
    <w:abstractNumId w:val="4"/>
  </w:num>
  <w:num w:numId="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80"/>
  <w:defaultTabStop w:val="720"/>
  <w:drawingGridHorizontalSpacing w:val="110"/>
  <w:displayHorizontalDrawingGridEvery w:val="2"/>
  <w:displayVerticalDrawingGridEvery w:val="2"/>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CD"/>
    <w:rsid w:val="000022EA"/>
    <w:rsid w:val="000029A5"/>
    <w:rsid w:val="0000357E"/>
    <w:rsid w:val="00003841"/>
    <w:rsid w:val="00005263"/>
    <w:rsid w:val="0000734C"/>
    <w:rsid w:val="00010007"/>
    <w:rsid w:val="0001568C"/>
    <w:rsid w:val="000204BD"/>
    <w:rsid w:val="00021F25"/>
    <w:rsid w:val="0002260A"/>
    <w:rsid w:val="00023CCB"/>
    <w:rsid w:val="00026472"/>
    <w:rsid w:val="00027636"/>
    <w:rsid w:val="00027F43"/>
    <w:rsid w:val="00030377"/>
    <w:rsid w:val="00032F89"/>
    <w:rsid w:val="0003736E"/>
    <w:rsid w:val="0003767B"/>
    <w:rsid w:val="0004253C"/>
    <w:rsid w:val="0004509F"/>
    <w:rsid w:val="00045D4D"/>
    <w:rsid w:val="00051505"/>
    <w:rsid w:val="00054B73"/>
    <w:rsid w:val="00056F61"/>
    <w:rsid w:val="000576A2"/>
    <w:rsid w:val="00057819"/>
    <w:rsid w:val="0005794B"/>
    <w:rsid w:val="00060163"/>
    <w:rsid w:val="0006049C"/>
    <w:rsid w:val="0006345C"/>
    <w:rsid w:val="00063EC8"/>
    <w:rsid w:val="000650B6"/>
    <w:rsid w:val="000731AD"/>
    <w:rsid w:val="00075007"/>
    <w:rsid w:val="00077E67"/>
    <w:rsid w:val="0008176E"/>
    <w:rsid w:val="00081A58"/>
    <w:rsid w:val="00085C58"/>
    <w:rsid w:val="00087398"/>
    <w:rsid w:val="00087922"/>
    <w:rsid w:val="000900A6"/>
    <w:rsid w:val="00090A98"/>
    <w:rsid w:val="00090B46"/>
    <w:rsid w:val="00090B58"/>
    <w:rsid w:val="00092875"/>
    <w:rsid w:val="00095EE4"/>
    <w:rsid w:val="00096BEA"/>
    <w:rsid w:val="000A5328"/>
    <w:rsid w:val="000A58A3"/>
    <w:rsid w:val="000A58AB"/>
    <w:rsid w:val="000A6199"/>
    <w:rsid w:val="000B00B7"/>
    <w:rsid w:val="000B34B9"/>
    <w:rsid w:val="000B4B09"/>
    <w:rsid w:val="000B51AB"/>
    <w:rsid w:val="000C3537"/>
    <w:rsid w:val="000C3F9F"/>
    <w:rsid w:val="000C5291"/>
    <w:rsid w:val="000D0AD8"/>
    <w:rsid w:val="000D1076"/>
    <w:rsid w:val="000D2F76"/>
    <w:rsid w:val="000D481C"/>
    <w:rsid w:val="000D4A73"/>
    <w:rsid w:val="000E002A"/>
    <w:rsid w:val="000E05CA"/>
    <w:rsid w:val="000E2B45"/>
    <w:rsid w:val="000E6416"/>
    <w:rsid w:val="000E73F7"/>
    <w:rsid w:val="000F09DB"/>
    <w:rsid w:val="000F0DF8"/>
    <w:rsid w:val="000F14C9"/>
    <w:rsid w:val="000F513E"/>
    <w:rsid w:val="0010256C"/>
    <w:rsid w:val="0010391B"/>
    <w:rsid w:val="00104A4D"/>
    <w:rsid w:val="00104D1D"/>
    <w:rsid w:val="00106528"/>
    <w:rsid w:val="00107093"/>
    <w:rsid w:val="001100B4"/>
    <w:rsid w:val="001110AE"/>
    <w:rsid w:val="00122EF5"/>
    <w:rsid w:val="0012446F"/>
    <w:rsid w:val="00127EA7"/>
    <w:rsid w:val="001344FB"/>
    <w:rsid w:val="00137AEB"/>
    <w:rsid w:val="00137D4F"/>
    <w:rsid w:val="001424BB"/>
    <w:rsid w:val="00142CF5"/>
    <w:rsid w:val="00145C8C"/>
    <w:rsid w:val="001473AE"/>
    <w:rsid w:val="001524D8"/>
    <w:rsid w:val="00157133"/>
    <w:rsid w:val="00157710"/>
    <w:rsid w:val="001604B9"/>
    <w:rsid w:val="00160970"/>
    <w:rsid w:val="00161F22"/>
    <w:rsid w:val="00161F5D"/>
    <w:rsid w:val="0016323A"/>
    <w:rsid w:val="00165328"/>
    <w:rsid w:val="00167912"/>
    <w:rsid w:val="00167E1C"/>
    <w:rsid w:val="001707E7"/>
    <w:rsid w:val="0018092B"/>
    <w:rsid w:val="001811C2"/>
    <w:rsid w:val="0018158A"/>
    <w:rsid w:val="001849BF"/>
    <w:rsid w:val="001868DA"/>
    <w:rsid w:val="001872D0"/>
    <w:rsid w:val="001926BF"/>
    <w:rsid w:val="00192C85"/>
    <w:rsid w:val="00194048"/>
    <w:rsid w:val="00196651"/>
    <w:rsid w:val="001A2D16"/>
    <w:rsid w:val="001B0A68"/>
    <w:rsid w:val="001C098C"/>
    <w:rsid w:val="001C250F"/>
    <w:rsid w:val="001C288A"/>
    <w:rsid w:val="001C37E7"/>
    <w:rsid w:val="001D141C"/>
    <w:rsid w:val="001D32BA"/>
    <w:rsid w:val="001D5A67"/>
    <w:rsid w:val="001D6769"/>
    <w:rsid w:val="001D6E29"/>
    <w:rsid w:val="001D70DB"/>
    <w:rsid w:val="001E413D"/>
    <w:rsid w:val="001F16CF"/>
    <w:rsid w:val="001F5A5D"/>
    <w:rsid w:val="00201F24"/>
    <w:rsid w:val="002044F6"/>
    <w:rsid w:val="00205F15"/>
    <w:rsid w:val="00206C9F"/>
    <w:rsid w:val="00206DFD"/>
    <w:rsid w:val="00207C43"/>
    <w:rsid w:val="00212A4F"/>
    <w:rsid w:val="00214180"/>
    <w:rsid w:val="00215ACA"/>
    <w:rsid w:val="00217609"/>
    <w:rsid w:val="00217FC8"/>
    <w:rsid w:val="00220870"/>
    <w:rsid w:val="002214F7"/>
    <w:rsid w:val="00223978"/>
    <w:rsid w:val="00230AF7"/>
    <w:rsid w:val="002326CD"/>
    <w:rsid w:val="00233691"/>
    <w:rsid w:val="002372A4"/>
    <w:rsid w:val="002407E2"/>
    <w:rsid w:val="002439AA"/>
    <w:rsid w:val="0024436B"/>
    <w:rsid w:val="002459DA"/>
    <w:rsid w:val="00251A87"/>
    <w:rsid w:val="002608F1"/>
    <w:rsid w:val="0026240C"/>
    <w:rsid w:val="0026429E"/>
    <w:rsid w:val="00277367"/>
    <w:rsid w:val="00281AA7"/>
    <w:rsid w:val="0028217A"/>
    <w:rsid w:val="00284C5D"/>
    <w:rsid w:val="002937C4"/>
    <w:rsid w:val="00294A2F"/>
    <w:rsid w:val="002A06D2"/>
    <w:rsid w:val="002B034D"/>
    <w:rsid w:val="002B3A6D"/>
    <w:rsid w:val="002B3E8E"/>
    <w:rsid w:val="002C4331"/>
    <w:rsid w:val="002C453A"/>
    <w:rsid w:val="002C53CF"/>
    <w:rsid w:val="002C5FC4"/>
    <w:rsid w:val="002C68A0"/>
    <w:rsid w:val="002C6DBC"/>
    <w:rsid w:val="002C7797"/>
    <w:rsid w:val="002D141D"/>
    <w:rsid w:val="002D2B3E"/>
    <w:rsid w:val="002D4D53"/>
    <w:rsid w:val="002E4B3E"/>
    <w:rsid w:val="002E5386"/>
    <w:rsid w:val="002E5FF2"/>
    <w:rsid w:val="002F0C8F"/>
    <w:rsid w:val="002F30BB"/>
    <w:rsid w:val="002F38D0"/>
    <w:rsid w:val="00307433"/>
    <w:rsid w:val="003162E4"/>
    <w:rsid w:val="00317EFB"/>
    <w:rsid w:val="0032070E"/>
    <w:rsid w:val="00322017"/>
    <w:rsid w:val="00322233"/>
    <w:rsid w:val="0032396A"/>
    <w:rsid w:val="003270E1"/>
    <w:rsid w:val="0033060B"/>
    <w:rsid w:val="00333FAA"/>
    <w:rsid w:val="00336675"/>
    <w:rsid w:val="00340056"/>
    <w:rsid w:val="0034370D"/>
    <w:rsid w:val="00344B08"/>
    <w:rsid w:val="00351AAB"/>
    <w:rsid w:val="00354E0E"/>
    <w:rsid w:val="00356575"/>
    <w:rsid w:val="0035716E"/>
    <w:rsid w:val="0036017A"/>
    <w:rsid w:val="00362787"/>
    <w:rsid w:val="00374001"/>
    <w:rsid w:val="00375924"/>
    <w:rsid w:val="00380243"/>
    <w:rsid w:val="00383D36"/>
    <w:rsid w:val="003859B6"/>
    <w:rsid w:val="00386AE8"/>
    <w:rsid w:val="003878E1"/>
    <w:rsid w:val="00391B99"/>
    <w:rsid w:val="00392A8F"/>
    <w:rsid w:val="003A057F"/>
    <w:rsid w:val="003A3ADD"/>
    <w:rsid w:val="003A7EFE"/>
    <w:rsid w:val="003B57C7"/>
    <w:rsid w:val="003B6E58"/>
    <w:rsid w:val="003C4D52"/>
    <w:rsid w:val="003D3065"/>
    <w:rsid w:val="003D4EB3"/>
    <w:rsid w:val="003E4275"/>
    <w:rsid w:val="003E4EB2"/>
    <w:rsid w:val="003E7EBE"/>
    <w:rsid w:val="003F0CD3"/>
    <w:rsid w:val="003F4806"/>
    <w:rsid w:val="003F5D80"/>
    <w:rsid w:val="00404329"/>
    <w:rsid w:val="004050B7"/>
    <w:rsid w:val="00405EBC"/>
    <w:rsid w:val="00406107"/>
    <w:rsid w:val="00406B06"/>
    <w:rsid w:val="00410902"/>
    <w:rsid w:val="00410CDD"/>
    <w:rsid w:val="00411C78"/>
    <w:rsid w:val="004134E1"/>
    <w:rsid w:val="00417786"/>
    <w:rsid w:val="004177BE"/>
    <w:rsid w:val="00417E2B"/>
    <w:rsid w:val="00422573"/>
    <w:rsid w:val="00422921"/>
    <w:rsid w:val="00424F34"/>
    <w:rsid w:val="00426ED0"/>
    <w:rsid w:val="00430CCF"/>
    <w:rsid w:val="00432216"/>
    <w:rsid w:val="004338E5"/>
    <w:rsid w:val="004348B3"/>
    <w:rsid w:val="004367B2"/>
    <w:rsid w:val="0044078B"/>
    <w:rsid w:val="0044629A"/>
    <w:rsid w:val="00450746"/>
    <w:rsid w:val="00451F24"/>
    <w:rsid w:val="00452056"/>
    <w:rsid w:val="004525F5"/>
    <w:rsid w:val="004550F6"/>
    <w:rsid w:val="004561F3"/>
    <w:rsid w:val="00456D95"/>
    <w:rsid w:val="00462ED9"/>
    <w:rsid w:val="00467527"/>
    <w:rsid w:val="004679AD"/>
    <w:rsid w:val="00470F41"/>
    <w:rsid w:val="00471D1C"/>
    <w:rsid w:val="004726B9"/>
    <w:rsid w:val="004731C9"/>
    <w:rsid w:val="00475B65"/>
    <w:rsid w:val="004765E0"/>
    <w:rsid w:val="00477910"/>
    <w:rsid w:val="00481B53"/>
    <w:rsid w:val="00482BA0"/>
    <w:rsid w:val="00482F95"/>
    <w:rsid w:val="00483329"/>
    <w:rsid w:val="004844FA"/>
    <w:rsid w:val="0049563D"/>
    <w:rsid w:val="00495C34"/>
    <w:rsid w:val="004A51CE"/>
    <w:rsid w:val="004A550A"/>
    <w:rsid w:val="004B29DD"/>
    <w:rsid w:val="004B2CB9"/>
    <w:rsid w:val="004B374F"/>
    <w:rsid w:val="004B4856"/>
    <w:rsid w:val="004B5C27"/>
    <w:rsid w:val="004B6CB6"/>
    <w:rsid w:val="004B7C80"/>
    <w:rsid w:val="004C1C0E"/>
    <w:rsid w:val="004C43F7"/>
    <w:rsid w:val="004C49D6"/>
    <w:rsid w:val="004D397A"/>
    <w:rsid w:val="004D7C36"/>
    <w:rsid w:val="004E72BB"/>
    <w:rsid w:val="004F0372"/>
    <w:rsid w:val="004F18C0"/>
    <w:rsid w:val="004F20B9"/>
    <w:rsid w:val="004F2C02"/>
    <w:rsid w:val="004F2CB3"/>
    <w:rsid w:val="004F3B23"/>
    <w:rsid w:val="004F4CB2"/>
    <w:rsid w:val="0050347B"/>
    <w:rsid w:val="00503B07"/>
    <w:rsid w:val="00506393"/>
    <w:rsid w:val="00511F05"/>
    <w:rsid w:val="00515421"/>
    <w:rsid w:val="00516C6F"/>
    <w:rsid w:val="0051728B"/>
    <w:rsid w:val="005213D1"/>
    <w:rsid w:val="005403CC"/>
    <w:rsid w:val="0054093C"/>
    <w:rsid w:val="00542D64"/>
    <w:rsid w:val="005461CC"/>
    <w:rsid w:val="00551016"/>
    <w:rsid w:val="00552B20"/>
    <w:rsid w:val="005532AD"/>
    <w:rsid w:val="0055418D"/>
    <w:rsid w:val="00556CDE"/>
    <w:rsid w:val="0056592D"/>
    <w:rsid w:val="00566D01"/>
    <w:rsid w:val="005702CB"/>
    <w:rsid w:val="00572C7E"/>
    <w:rsid w:val="00574736"/>
    <w:rsid w:val="005764D9"/>
    <w:rsid w:val="0057701F"/>
    <w:rsid w:val="005804F8"/>
    <w:rsid w:val="00590493"/>
    <w:rsid w:val="00594397"/>
    <w:rsid w:val="00595B59"/>
    <w:rsid w:val="005A0323"/>
    <w:rsid w:val="005A110D"/>
    <w:rsid w:val="005A5D44"/>
    <w:rsid w:val="005B1274"/>
    <w:rsid w:val="005B1694"/>
    <w:rsid w:val="005B2FED"/>
    <w:rsid w:val="005B32B4"/>
    <w:rsid w:val="005B331F"/>
    <w:rsid w:val="005C5937"/>
    <w:rsid w:val="005D0338"/>
    <w:rsid w:val="005D13EB"/>
    <w:rsid w:val="005D628E"/>
    <w:rsid w:val="005D7E57"/>
    <w:rsid w:val="005D7EFB"/>
    <w:rsid w:val="005E0FFC"/>
    <w:rsid w:val="005E117D"/>
    <w:rsid w:val="005E1415"/>
    <w:rsid w:val="005E763A"/>
    <w:rsid w:val="005F0098"/>
    <w:rsid w:val="005F00E2"/>
    <w:rsid w:val="005F16C8"/>
    <w:rsid w:val="005F2936"/>
    <w:rsid w:val="005F2FD8"/>
    <w:rsid w:val="005F7788"/>
    <w:rsid w:val="00600452"/>
    <w:rsid w:val="006017DF"/>
    <w:rsid w:val="00602636"/>
    <w:rsid w:val="006037C3"/>
    <w:rsid w:val="00604DCA"/>
    <w:rsid w:val="00613285"/>
    <w:rsid w:val="006134D9"/>
    <w:rsid w:val="006160FA"/>
    <w:rsid w:val="00620FA6"/>
    <w:rsid w:val="00622195"/>
    <w:rsid w:val="006249BD"/>
    <w:rsid w:val="00624E24"/>
    <w:rsid w:val="00625772"/>
    <w:rsid w:val="006317BF"/>
    <w:rsid w:val="00631816"/>
    <w:rsid w:val="006321B1"/>
    <w:rsid w:val="00634911"/>
    <w:rsid w:val="00634A03"/>
    <w:rsid w:val="00643958"/>
    <w:rsid w:val="00651E6F"/>
    <w:rsid w:val="00653212"/>
    <w:rsid w:val="006601A5"/>
    <w:rsid w:val="00660684"/>
    <w:rsid w:val="00660BD9"/>
    <w:rsid w:val="00662161"/>
    <w:rsid w:val="0066267E"/>
    <w:rsid w:val="00663998"/>
    <w:rsid w:val="00665626"/>
    <w:rsid w:val="00671F04"/>
    <w:rsid w:val="0067238A"/>
    <w:rsid w:val="00674310"/>
    <w:rsid w:val="006760E9"/>
    <w:rsid w:val="006762E7"/>
    <w:rsid w:val="006768F2"/>
    <w:rsid w:val="006769BE"/>
    <w:rsid w:val="00681392"/>
    <w:rsid w:val="006817ED"/>
    <w:rsid w:val="006826AF"/>
    <w:rsid w:val="00682846"/>
    <w:rsid w:val="00682AE5"/>
    <w:rsid w:val="00687104"/>
    <w:rsid w:val="006877F1"/>
    <w:rsid w:val="00687DA1"/>
    <w:rsid w:val="0069177C"/>
    <w:rsid w:val="006952F9"/>
    <w:rsid w:val="006A0F48"/>
    <w:rsid w:val="006A25FA"/>
    <w:rsid w:val="006A32CD"/>
    <w:rsid w:val="006B2C34"/>
    <w:rsid w:val="006B3AE9"/>
    <w:rsid w:val="006B5AED"/>
    <w:rsid w:val="006B6658"/>
    <w:rsid w:val="006C1C03"/>
    <w:rsid w:val="006C2654"/>
    <w:rsid w:val="006C4161"/>
    <w:rsid w:val="006D654B"/>
    <w:rsid w:val="006E0736"/>
    <w:rsid w:val="006E43C7"/>
    <w:rsid w:val="006E58C0"/>
    <w:rsid w:val="006F1A15"/>
    <w:rsid w:val="006F2CEE"/>
    <w:rsid w:val="00700D2E"/>
    <w:rsid w:val="00712302"/>
    <w:rsid w:val="0071517C"/>
    <w:rsid w:val="00717D42"/>
    <w:rsid w:val="0072171B"/>
    <w:rsid w:val="0072372D"/>
    <w:rsid w:val="007241FD"/>
    <w:rsid w:val="0072524C"/>
    <w:rsid w:val="00726006"/>
    <w:rsid w:val="007266B0"/>
    <w:rsid w:val="00727602"/>
    <w:rsid w:val="00727BBA"/>
    <w:rsid w:val="00741C87"/>
    <w:rsid w:val="00741CA1"/>
    <w:rsid w:val="007420F7"/>
    <w:rsid w:val="0074243C"/>
    <w:rsid w:val="00742CA3"/>
    <w:rsid w:val="00743CB3"/>
    <w:rsid w:val="00744BF9"/>
    <w:rsid w:val="007458AE"/>
    <w:rsid w:val="0074752B"/>
    <w:rsid w:val="00750422"/>
    <w:rsid w:val="00760A92"/>
    <w:rsid w:val="00760A9F"/>
    <w:rsid w:val="00760F89"/>
    <w:rsid w:val="007618BB"/>
    <w:rsid w:val="007643DF"/>
    <w:rsid w:val="00766075"/>
    <w:rsid w:val="0076657B"/>
    <w:rsid w:val="00766E7D"/>
    <w:rsid w:val="007707F1"/>
    <w:rsid w:val="00770980"/>
    <w:rsid w:val="00771393"/>
    <w:rsid w:val="0077404F"/>
    <w:rsid w:val="00776A44"/>
    <w:rsid w:val="00777ECE"/>
    <w:rsid w:val="007818E7"/>
    <w:rsid w:val="0078297A"/>
    <w:rsid w:val="00782C59"/>
    <w:rsid w:val="0078357D"/>
    <w:rsid w:val="00785ED0"/>
    <w:rsid w:val="00786738"/>
    <w:rsid w:val="007874A2"/>
    <w:rsid w:val="007916EA"/>
    <w:rsid w:val="00791C34"/>
    <w:rsid w:val="00797A1A"/>
    <w:rsid w:val="007A0CE6"/>
    <w:rsid w:val="007A1002"/>
    <w:rsid w:val="007A3B64"/>
    <w:rsid w:val="007A44F4"/>
    <w:rsid w:val="007A519C"/>
    <w:rsid w:val="007A60EA"/>
    <w:rsid w:val="007B1AC9"/>
    <w:rsid w:val="007B5691"/>
    <w:rsid w:val="007C27C0"/>
    <w:rsid w:val="007C56FC"/>
    <w:rsid w:val="007C582C"/>
    <w:rsid w:val="007D0181"/>
    <w:rsid w:val="007D081F"/>
    <w:rsid w:val="007D2850"/>
    <w:rsid w:val="007D523F"/>
    <w:rsid w:val="007D6D34"/>
    <w:rsid w:val="007E432A"/>
    <w:rsid w:val="007F17D4"/>
    <w:rsid w:val="007F73EC"/>
    <w:rsid w:val="007F74DA"/>
    <w:rsid w:val="0080011A"/>
    <w:rsid w:val="00801DA7"/>
    <w:rsid w:val="00805918"/>
    <w:rsid w:val="00810942"/>
    <w:rsid w:val="008127AD"/>
    <w:rsid w:val="008148E0"/>
    <w:rsid w:val="00815F14"/>
    <w:rsid w:val="00816C09"/>
    <w:rsid w:val="00824CFF"/>
    <w:rsid w:val="0082656B"/>
    <w:rsid w:val="008265CF"/>
    <w:rsid w:val="008350E4"/>
    <w:rsid w:val="00840C2F"/>
    <w:rsid w:val="0084262E"/>
    <w:rsid w:val="00842C83"/>
    <w:rsid w:val="00854E93"/>
    <w:rsid w:val="00855B55"/>
    <w:rsid w:val="008563DF"/>
    <w:rsid w:val="00863170"/>
    <w:rsid w:val="00865B7C"/>
    <w:rsid w:val="00870977"/>
    <w:rsid w:val="0087220F"/>
    <w:rsid w:val="00874A3E"/>
    <w:rsid w:val="00875362"/>
    <w:rsid w:val="00875B6C"/>
    <w:rsid w:val="00876FD1"/>
    <w:rsid w:val="00882CDB"/>
    <w:rsid w:val="00884180"/>
    <w:rsid w:val="0088482E"/>
    <w:rsid w:val="0088536E"/>
    <w:rsid w:val="008861F8"/>
    <w:rsid w:val="00887248"/>
    <w:rsid w:val="00890902"/>
    <w:rsid w:val="00894189"/>
    <w:rsid w:val="00895CBA"/>
    <w:rsid w:val="00897B19"/>
    <w:rsid w:val="008A09A1"/>
    <w:rsid w:val="008A4B7F"/>
    <w:rsid w:val="008B16AB"/>
    <w:rsid w:val="008B1B3F"/>
    <w:rsid w:val="008B369D"/>
    <w:rsid w:val="008B5444"/>
    <w:rsid w:val="008B5EC1"/>
    <w:rsid w:val="008C2970"/>
    <w:rsid w:val="008D0FA1"/>
    <w:rsid w:val="008D1DB4"/>
    <w:rsid w:val="008D4729"/>
    <w:rsid w:val="008D5521"/>
    <w:rsid w:val="008E181D"/>
    <w:rsid w:val="008E2048"/>
    <w:rsid w:val="008E2339"/>
    <w:rsid w:val="008F0837"/>
    <w:rsid w:val="008F184D"/>
    <w:rsid w:val="008F43FF"/>
    <w:rsid w:val="008F652A"/>
    <w:rsid w:val="008F7A3D"/>
    <w:rsid w:val="008F7F73"/>
    <w:rsid w:val="0090223A"/>
    <w:rsid w:val="00906338"/>
    <w:rsid w:val="009067AA"/>
    <w:rsid w:val="00907F32"/>
    <w:rsid w:val="009118FD"/>
    <w:rsid w:val="00912060"/>
    <w:rsid w:val="009129F7"/>
    <w:rsid w:val="00914539"/>
    <w:rsid w:val="009216D3"/>
    <w:rsid w:val="00924077"/>
    <w:rsid w:val="00927C4D"/>
    <w:rsid w:val="009335AE"/>
    <w:rsid w:val="00933785"/>
    <w:rsid w:val="00934850"/>
    <w:rsid w:val="00935F0F"/>
    <w:rsid w:val="009419F6"/>
    <w:rsid w:val="0094491A"/>
    <w:rsid w:val="00955789"/>
    <w:rsid w:val="009618CD"/>
    <w:rsid w:val="0096225F"/>
    <w:rsid w:val="00965793"/>
    <w:rsid w:val="00965DA4"/>
    <w:rsid w:val="00967221"/>
    <w:rsid w:val="009675D6"/>
    <w:rsid w:val="00970497"/>
    <w:rsid w:val="009731CE"/>
    <w:rsid w:val="009756E1"/>
    <w:rsid w:val="00976EF1"/>
    <w:rsid w:val="009774BD"/>
    <w:rsid w:val="00980B16"/>
    <w:rsid w:val="00982FEC"/>
    <w:rsid w:val="00983DE2"/>
    <w:rsid w:val="0098403B"/>
    <w:rsid w:val="009844A2"/>
    <w:rsid w:val="009846E7"/>
    <w:rsid w:val="00984958"/>
    <w:rsid w:val="0098505C"/>
    <w:rsid w:val="0098768A"/>
    <w:rsid w:val="00987D4D"/>
    <w:rsid w:val="009909FE"/>
    <w:rsid w:val="00995ACA"/>
    <w:rsid w:val="009A0D70"/>
    <w:rsid w:val="009A22CD"/>
    <w:rsid w:val="009A3E9F"/>
    <w:rsid w:val="009A4B34"/>
    <w:rsid w:val="009B0263"/>
    <w:rsid w:val="009C4A16"/>
    <w:rsid w:val="009C76C6"/>
    <w:rsid w:val="009D192D"/>
    <w:rsid w:val="009E2FE7"/>
    <w:rsid w:val="009E394F"/>
    <w:rsid w:val="009E76FB"/>
    <w:rsid w:val="009E7A63"/>
    <w:rsid w:val="009F1438"/>
    <w:rsid w:val="009F26D0"/>
    <w:rsid w:val="009F7EAD"/>
    <w:rsid w:val="00A041F4"/>
    <w:rsid w:val="00A07EB9"/>
    <w:rsid w:val="00A11276"/>
    <w:rsid w:val="00A13006"/>
    <w:rsid w:val="00A14514"/>
    <w:rsid w:val="00A153E5"/>
    <w:rsid w:val="00A162A2"/>
    <w:rsid w:val="00A16417"/>
    <w:rsid w:val="00A170DE"/>
    <w:rsid w:val="00A21A17"/>
    <w:rsid w:val="00A22586"/>
    <w:rsid w:val="00A251E6"/>
    <w:rsid w:val="00A267A9"/>
    <w:rsid w:val="00A32E15"/>
    <w:rsid w:val="00A33520"/>
    <w:rsid w:val="00A37869"/>
    <w:rsid w:val="00A415E2"/>
    <w:rsid w:val="00A4200E"/>
    <w:rsid w:val="00A42CA7"/>
    <w:rsid w:val="00A43A1F"/>
    <w:rsid w:val="00A4523C"/>
    <w:rsid w:val="00A45982"/>
    <w:rsid w:val="00A46330"/>
    <w:rsid w:val="00A47534"/>
    <w:rsid w:val="00A50C8D"/>
    <w:rsid w:val="00A56BFB"/>
    <w:rsid w:val="00A630B7"/>
    <w:rsid w:val="00A6503A"/>
    <w:rsid w:val="00A6520F"/>
    <w:rsid w:val="00A65A19"/>
    <w:rsid w:val="00A73DEC"/>
    <w:rsid w:val="00A7409E"/>
    <w:rsid w:val="00A74BE4"/>
    <w:rsid w:val="00A75432"/>
    <w:rsid w:val="00A77DFF"/>
    <w:rsid w:val="00A801B7"/>
    <w:rsid w:val="00A80527"/>
    <w:rsid w:val="00A81984"/>
    <w:rsid w:val="00A823F6"/>
    <w:rsid w:val="00A82961"/>
    <w:rsid w:val="00A85AC2"/>
    <w:rsid w:val="00A8634F"/>
    <w:rsid w:val="00A8660A"/>
    <w:rsid w:val="00A93CAD"/>
    <w:rsid w:val="00A963D7"/>
    <w:rsid w:val="00A964C7"/>
    <w:rsid w:val="00A964CA"/>
    <w:rsid w:val="00A96A4F"/>
    <w:rsid w:val="00AA1A32"/>
    <w:rsid w:val="00AA3A63"/>
    <w:rsid w:val="00AA4141"/>
    <w:rsid w:val="00AA588C"/>
    <w:rsid w:val="00AA73AA"/>
    <w:rsid w:val="00AA78FF"/>
    <w:rsid w:val="00AB259C"/>
    <w:rsid w:val="00AB295A"/>
    <w:rsid w:val="00AB6D62"/>
    <w:rsid w:val="00AB77DE"/>
    <w:rsid w:val="00AC2DCE"/>
    <w:rsid w:val="00AC4125"/>
    <w:rsid w:val="00AC4AC7"/>
    <w:rsid w:val="00AC4ED9"/>
    <w:rsid w:val="00AC73FF"/>
    <w:rsid w:val="00AD02CB"/>
    <w:rsid w:val="00AD12A9"/>
    <w:rsid w:val="00AD31C8"/>
    <w:rsid w:val="00AD43BF"/>
    <w:rsid w:val="00AD50B6"/>
    <w:rsid w:val="00AD64AC"/>
    <w:rsid w:val="00AD6C3A"/>
    <w:rsid w:val="00AD7E93"/>
    <w:rsid w:val="00AE301B"/>
    <w:rsid w:val="00AE5847"/>
    <w:rsid w:val="00AF4DD3"/>
    <w:rsid w:val="00AF6864"/>
    <w:rsid w:val="00B05A7D"/>
    <w:rsid w:val="00B20CFF"/>
    <w:rsid w:val="00B21A42"/>
    <w:rsid w:val="00B22D26"/>
    <w:rsid w:val="00B3434A"/>
    <w:rsid w:val="00B40774"/>
    <w:rsid w:val="00B4475D"/>
    <w:rsid w:val="00B4619D"/>
    <w:rsid w:val="00B466FC"/>
    <w:rsid w:val="00B501CB"/>
    <w:rsid w:val="00B50C19"/>
    <w:rsid w:val="00B55B88"/>
    <w:rsid w:val="00B563C3"/>
    <w:rsid w:val="00B573BA"/>
    <w:rsid w:val="00B609FF"/>
    <w:rsid w:val="00B6142B"/>
    <w:rsid w:val="00B63F0E"/>
    <w:rsid w:val="00B669C9"/>
    <w:rsid w:val="00B72256"/>
    <w:rsid w:val="00B73564"/>
    <w:rsid w:val="00B75965"/>
    <w:rsid w:val="00B828AF"/>
    <w:rsid w:val="00B861EA"/>
    <w:rsid w:val="00B909A2"/>
    <w:rsid w:val="00B90CE9"/>
    <w:rsid w:val="00B97A2B"/>
    <w:rsid w:val="00BA0BFE"/>
    <w:rsid w:val="00BA24F0"/>
    <w:rsid w:val="00BA4011"/>
    <w:rsid w:val="00BA4CAF"/>
    <w:rsid w:val="00BA589E"/>
    <w:rsid w:val="00BB0A2E"/>
    <w:rsid w:val="00BB0EE1"/>
    <w:rsid w:val="00BB0F8B"/>
    <w:rsid w:val="00BB1BE1"/>
    <w:rsid w:val="00BB2497"/>
    <w:rsid w:val="00BB49FA"/>
    <w:rsid w:val="00BB4BB8"/>
    <w:rsid w:val="00BB7B24"/>
    <w:rsid w:val="00BC0C61"/>
    <w:rsid w:val="00BC10D4"/>
    <w:rsid w:val="00BC2EF0"/>
    <w:rsid w:val="00BC4480"/>
    <w:rsid w:val="00BD0D80"/>
    <w:rsid w:val="00BD1B94"/>
    <w:rsid w:val="00BD491E"/>
    <w:rsid w:val="00BE12C2"/>
    <w:rsid w:val="00BE3EBF"/>
    <w:rsid w:val="00BF07A2"/>
    <w:rsid w:val="00BF14CB"/>
    <w:rsid w:val="00BF305D"/>
    <w:rsid w:val="00BF3945"/>
    <w:rsid w:val="00BF42F6"/>
    <w:rsid w:val="00BF7184"/>
    <w:rsid w:val="00BF7554"/>
    <w:rsid w:val="00C00CDA"/>
    <w:rsid w:val="00C066AE"/>
    <w:rsid w:val="00C066C0"/>
    <w:rsid w:val="00C117E3"/>
    <w:rsid w:val="00C16C56"/>
    <w:rsid w:val="00C203EB"/>
    <w:rsid w:val="00C23BC0"/>
    <w:rsid w:val="00C23FA8"/>
    <w:rsid w:val="00C26FF7"/>
    <w:rsid w:val="00C319AC"/>
    <w:rsid w:val="00C319EF"/>
    <w:rsid w:val="00C34B19"/>
    <w:rsid w:val="00C35630"/>
    <w:rsid w:val="00C37D29"/>
    <w:rsid w:val="00C40886"/>
    <w:rsid w:val="00C42B66"/>
    <w:rsid w:val="00C44C03"/>
    <w:rsid w:val="00C4561E"/>
    <w:rsid w:val="00C55AE2"/>
    <w:rsid w:val="00C572AE"/>
    <w:rsid w:val="00C61BFB"/>
    <w:rsid w:val="00C63262"/>
    <w:rsid w:val="00C715D5"/>
    <w:rsid w:val="00C71EAF"/>
    <w:rsid w:val="00C72650"/>
    <w:rsid w:val="00C72D81"/>
    <w:rsid w:val="00C7654B"/>
    <w:rsid w:val="00C76A46"/>
    <w:rsid w:val="00C82F50"/>
    <w:rsid w:val="00C83ABF"/>
    <w:rsid w:val="00C84078"/>
    <w:rsid w:val="00C85246"/>
    <w:rsid w:val="00C855B1"/>
    <w:rsid w:val="00C86B40"/>
    <w:rsid w:val="00C975E5"/>
    <w:rsid w:val="00CA002C"/>
    <w:rsid w:val="00CA5158"/>
    <w:rsid w:val="00CA6A84"/>
    <w:rsid w:val="00CB1835"/>
    <w:rsid w:val="00CB4AAB"/>
    <w:rsid w:val="00CB5F51"/>
    <w:rsid w:val="00CC0981"/>
    <w:rsid w:val="00CC3B6A"/>
    <w:rsid w:val="00CC4056"/>
    <w:rsid w:val="00CC51F3"/>
    <w:rsid w:val="00CC5E91"/>
    <w:rsid w:val="00CD1677"/>
    <w:rsid w:val="00CD5686"/>
    <w:rsid w:val="00CD5D36"/>
    <w:rsid w:val="00CD6F84"/>
    <w:rsid w:val="00CD7286"/>
    <w:rsid w:val="00CE0479"/>
    <w:rsid w:val="00CE4AB2"/>
    <w:rsid w:val="00CF4796"/>
    <w:rsid w:val="00CF48C9"/>
    <w:rsid w:val="00CF61E7"/>
    <w:rsid w:val="00CF61F9"/>
    <w:rsid w:val="00CF6CD7"/>
    <w:rsid w:val="00CF6F28"/>
    <w:rsid w:val="00D03CF2"/>
    <w:rsid w:val="00D04122"/>
    <w:rsid w:val="00D04125"/>
    <w:rsid w:val="00D127C1"/>
    <w:rsid w:val="00D138F8"/>
    <w:rsid w:val="00D15EC4"/>
    <w:rsid w:val="00D216F7"/>
    <w:rsid w:val="00D22B05"/>
    <w:rsid w:val="00D24D7B"/>
    <w:rsid w:val="00D26E10"/>
    <w:rsid w:val="00D27DF2"/>
    <w:rsid w:val="00D318B7"/>
    <w:rsid w:val="00D33079"/>
    <w:rsid w:val="00D36CD7"/>
    <w:rsid w:val="00D36FC9"/>
    <w:rsid w:val="00D43A87"/>
    <w:rsid w:val="00D4628F"/>
    <w:rsid w:val="00D5153C"/>
    <w:rsid w:val="00D51B19"/>
    <w:rsid w:val="00D53361"/>
    <w:rsid w:val="00D53B1A"/>
    <w:rsid w:val="00D55671"/>
    <w:rsid w:val="00D557B2"/>
    <w:rsid w:val="00D56C78"/>
    <w:rsid w:val="00D574CF"/>
    <w:rsid w:val="00D716DA"/>
    <w:rsid w:val="00D832EB"/>
    <w:rsid w:val="00D83518"/>
    <w:rsid w:val="00D85002"/>
    <w:rsid w:val="00D8537B"/>
    <w:rsid w:val="00D877F3"/>
    <w:rsid w:val="00D9122C"/>
    <w:rsid w:val="00D9400F"/>
    <w:rsid w:val="00D9511D"/>
    <w:rsid w:val="00D96CAC"/>
    <w:rsid w:val="00D97EC9"/>
    <w:rsid w:val="00DA33FD"/>
    <w:rsid w:val="00DA5789"/>
    <w:rsid w:val="00DA5FFD"/>
    <w:rsid w:val="00DB029F"/>
    <w:rsid w:val="00DB0F41"/>
    <w:rsid w:val="00DB1104"/>
    <w:rsid w:val="00DB3189"/>
    <w:rsid w:val="00DB3854"/>
    <w:rsid w:val="00DB64CD"/>
    <w:rsid w:val="00DB68EA"/>
    <w:rsid w:val="00DC0546"/>
    <w:rsid w:val="00DC346E"/>
    <w:rsid w:val="00DC3DC9"/>
    <w:rsid w:val="00DC6D6D"/>
    <w:rsid w:val="00DD05D6"/>
    <w:rsid w:val="00DD0805"/>
    <w:rsid w:val="00DD12A3"/>
    <w:rsid w:val="00DE680F"/>
    <w:rsid w:val="00DE799C"/>
    <w:rsid w:val="00DF1F7E"/>
    <w:rsid w:val="00DF1FA9"/>
    <w:rsid w:val="00DF2845"/>
    <w:rsid w:val="00DF5F32"/>
    <w:rsid w:val="00E0091A"/>
    <w:rsid w:val="00E01818"/>
    <w:rsid w:val="00E02D15"/>
    <w:rsid w:val="00E11204"/>
    <w:rsid w:val="00E1356D"/>
    <w:rsid w:val="00E2343C"/>
    <w:rsid w:val="00E30085"/>
    <w:rsid w:val="00E303E7"/>
    <w:rsid w:val="00E31185"/>
    <w:rsid w:val="00E31C26"/>
    <w:rsid w:val="00E33009"/>
    <w:rsid w:val="00E35628"/>
    <w:rsid w:val="00E36503"/>
    <w:rsid w:val="00E42D90"/>
    <w:rsid w:val="00E43F9B"/>
    <w:rsid w:val="00E50093"/>
    <w:rsid w:val="00E52517"/>
    <w:rsid w:val="00E52F14"/>
    <w:rsid w:val="00E56319"/>
    <w:rsid w:val="00E572C9"/>
    <w:rsid w:val="00E57372"/>
    <w:rsid w:val="00E60BF8"/>
    <w:rsid w:val="00E61CD7"/>
    <w:rsid w:val="00E62321"/>
    <w:rsid w:val="00E636B5"/>
    <w:rsid w:val="00E6633C"/>
    <w:rsid w:val="00E71286"/>
    <w:rsid w:val="00E72719"/>
    <w:rsid w:val="00E76263"/>
    <w:rsid w:val="00E8263E"/>
    <w:rsid w:val="00E83003"/>
    <w:rsid w:val="00E8529B"/>
    <w:rsid w:val="00E968F2"/>
    <w:rsid w:val="00EA0B9D"/>
    <w:rsid w:val="00EA11DB"/>
    <w:rsid w:val="00EA17EB"/>
    <w:rsid w:val="00EA249F"/>
    <w:rsid w:val="00EC321F"/>
    <w:rsid w:val="00EC4A98"/>
    <w:rsid w:val="00EC60F1"/>
    <w:rsid w:val="00EC6B91"/>
    <w:rsid w:val="00ED3575"/>
    <w:rsid w:val="00ED4A2A"/>
    <w:rsid w:val="00EE1096"/>
    <w:rsid w:val="00EE2278"/>
    <w:rsid w:val="00EE407D"/>
    <w:rsid w:val="00EF23FC"/>
    <w:rsid w:val="00EF536D"/>
    <w:rsid w:val="00EF64BE"/>
    <w:rsid w:val="00EF6874"/>
    <w:rsid w:val="00F05E39"/>
    <w:rsid w:val="00F07CD0"/>
    <w:rsid w:val="00F11582"/>
    <w:rsid w:val="00F122F9"/>
    <w:rsid w:val="00F12EF8"/>
    <w:rsid w:val="00F1355F"/>
    <w:rsid w:val="00F1498A"/>
    <w:rsid w:val="00F236F4"/>
    <w:rsid w:val="00F2457F"/>
    <w:rsid w:val="00F25417"/>
    <w:rsid w:val="00F27137"/>
    <w:rsid w:val="00F315C4"/>
    <w:rsid w:val="00F34AF3"/>
    <w:rsid w:val="00F35B52"/>
    <w:rsid w:val="00F3654E"/>
    <w:rsid w:val="00F37BCF"/>
    <w:rsid w:val="00F37ED8"/>
    <w:rsid w:val="00F414D8"/>
    <w:rsid w:val="00F42059"/>
    <w:rsid w:val="00F424CC"/>
    <w:rsid w:val="00F5054D"/>
    <w:rsid w:val="00F506FE"/>
    <w:rsid w:val="00F55A53"/>
    <w:rsid w:val="00F62D9A"/>
    <w:rsid w:val="00F66214"/>
    <w:rsid w:val="00F67711"/>
    <w:rsid w:val="00F70677"/>
    <w:rsid w:val="00F73385"/>
    <w:rsid w:val="00F763D2"/>
    <w:rsid w:val="00F772BF"/>
    <w:rsid w:val="00F80A7A"/>
    <w:rsid w:val="00F8213A"/>
    <w:rsid w:val="00F8482A"/>
    <w:rsid w:val="00F93018"/>
    <w:rsid w:val="00FA0A11"/>
    <w:rsid w:val="00FA23D4"/>
    <w:rsid w:val="00FA257B"/>
    <w:rsid w:val="00FA27BC"/>
    <w:rsid w:val="00FA2BD1"/>
    <w:rsid w:val="00FA4857"/>
    <w:rsid w:val="00FB0DBE"/>
    <w:rsid w:val="00FB2B94"/>
    <w:rsid w:val="00FC63E0"/>
    <w:rsid w:val="00FD3ABC"/>
    <w:rsid w:val="00FD58D0"/>
    <w:rsid w:val="00FD5A20"/>
    <w:rsid w:val="00FD6516"/>
    <w:rsid w:val="00FE1F8C"/>
    <w:rsid w:val="00FE2FBE"/>
    <w:rsid w:val="00FE7DE5"/>
    <w:rsid w:val="00FF098F"/>
    <w:rsid w:val="00FF4929"/>
    <w:rsid w:val="00FF545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95143516-A93D-45A4-B33E-1BE70849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BF"/>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A32CD"/>
    <w:rPr>
      <w:rFonts w:cs="Times New Roman"/>
    </w:rPr>
  </w:style>
  <w:style w:type="paragraph" w:customStyle="1" w:styleId="labojumupamats">
    <w:name w:val="labojumu_pamats"/>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character" w:styleId="Hyperlink">
    <w:name w:val="Hyperlink"/>
    <w:basedOn w:val="DefaultParagraphFont"/>
    <w:uiPriority w:val="99"/>
    <w:rsid w:val="006A32CD"/>
    <w:rPr>
      <w:rFonts w:cs="Times New Roman"/>
      <w:color w:val="0000FF"/>
      <w:u w:val="single"/>
    </w:rPr>
  </w:style>
  <w:style w:type="paragraph" w:customStyle="1" w:styleId="tvhtml">
    <w:name w:val="tv_html"/>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paragraph" w:customStyle="1" w:styleId="naiskr">
    <w:name w:val="naiskr"/>
    <w:basedOn w:val="Normal"/>
    <w:uiPriority w:val="99"/>
    <w:rsid w:val="00E57372"/>
    <w:pPr>
      <w:spacing w:before="75" w:after="75"/>
      <w:jc w:val="left"/>
    </w:pPr>
    <w:rPr>
      <w:rFonts w:ascii="Times New Roman" w:eastAsia="Times New Roman" w:hAnsi="Times New Roman"/>
      <w:sz w:val="24"/>
      <w:szCs w:val="24"/>
      <w:lang w:eastAsia="lv-LV"/>
    </w:rPr>
  </w:style>
  <w:style w:type="character" w:customStyle="1" w:styleId="apple-style-span">
    <w:name w:val="apple-style-span"/>
    <w:uiPriority w:val="99"/>
    <w:rsid w:val="00E57372"/>
  </w:style>
  <w:style w:type="paragraph" w:styleId="BodyTextIndent2">
    <w:name w:val="Body Text Indent 2"/>
    <w:basedOn w:val="Normal"/>
    <w:link w:val="BodyTextIndent2Char"/>
    <w:uiPriority w:val="99"/>
    <w:rsid w:val="00E57372"/>
    <w:pPr>
      <w:spacing w:line="480" w:lineRule="auto"/>
      <w:ind w:left="283"/>
      <w:jc w:val="left"/>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locked/>
    <w:rsid w:val="00E57372"/>
    <w:rPr>
      <w:rFonts w:ascii="Times New Roman" w:hAnsi="Times New Roman" w:cs="Times New Roman"/>
      <w:sz w:val="24"/>
      <w:szCs w:val="24"/>
      <w:lang w:eastAsia="lv-LV"/>
    </w:rPr>
  </w:style>
  <w:style w:type="paragraph" w:customStyle="1" w:styleId="naisf">
    <w:name w:val="naisf"/>
    <w:basedOn w:val="Normal"/>
    <w:rsid w:val="00E57372"/>
    <w:pPr>
      <w:spacing w:before="75" w:after="75"/>
      <w:ind w:firstLine="375"/>
    </w:pPr>
    <w:rPr>
      <w:rFonts w:ascii="Times New Roman" w:eastAsia="Times New Roman" w:hAnsi="Times New Roman"/>
      <w:sz w:val="24"/>
      <w:szCs w:val="24"/>
      <w:lang w:eastAsia="lv-LV"/>
    </w:rPr>
  </w:style>
  <w:style w:type="paragraph" w:styleId="Header">
    <w:name w:val="header"/>
    <w:basedOn w:val="Normal"/>
    <w:link w:val="Head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locked/>
    <w:rsid w:val="00E57372"/>
    <w:rPr>
      <w:rFonts w:ascii="Times New Roman" w:hAnsi="Times New Roman" w:cs="Times New Roman"/>
      <w:sz w:val="24"/>
      <w:szCs w:val="24"/>
      <w:lang w:eastAsia="lv-LV"/>
    </w:rPr>
  </w:style>
  <w:style w:type="character" w:styleId="PageNumber">
    <w:name w:val="page number"/>
    <w:basedOn w:val="DefaultParagraphFont"/>
    <w:uiPriority w:val="99"/>
    <w:rsid w:val="00E57372"/>
    <w:rPr>
      <w:rFonts w:cs="Times New Roman"/>
    </w:rPr>
  </w:style>
  <w:style w:type="paragraph" w:customStyle="1" w:styleId="naisnod">
    <w:name w:val="naisnod"/>
    <w:basedOn w:val="Normal"/>
    <w:uiPriority w:val="99"/>
    <w:rsid w:val="00E57372"/>
    <w:pPr>
      <w:spacing w:before="150" w:after="150"/>
      <w:jc w:val="center"/>
    </w:pPr>
    <w:rPr>
      <w:rFonts w:ascii="Times New Roman" w:eastAsia="Times New Roman" w:hAnsi="Times New Roman"/>
      <w:b/>
      <w:bCs/>
      <w:sz w:val="24"/>
      <w:szCs w:val="24"/>
      <w:lang w:eastAsia="lv-LV"/>
    </w:rPr>
  </w:style>
  <w:style w:type="paragraph" w:customStyle="1" w:styleId="naislab">
    <w:name w:val="naislab"/>
    <w:basedOn w:val="Normal"/>
    <w:uiPriority w:val="99"/>
    <w:rsid w:val="00E57372"/>
    <w:pPr>
      <w:spacing w:before="75" w:after="75"/>
      <w:jc w:val="right"/>
    </w:pPr>
    <w:rPr>
      <w:rFonts w:ascii="Times New Roman" w:eastAsia="Times New Roman" w:hAnsi="Times New Roman"/>
      <w:sz w:val="24"/>
      <w:szCs w:val="24"/>
      <w:lang w:eastAsia="lv-LV"/>
    </w:rPr>
  </w:style>
  <w:style w:type="paragraph" w:customStyle="1" w:styleId="naisc">
    <w:name w:val="naisc"/>
    <w:basedOn w:val="Normal"/>
    <w:uiPriority w:val="99"/>
    <w:rsid w:val="00E57372"/>
    <w:pPr>
      <w:spacing w:before="75" w:after="75"/>
      <w:jc w:val="center"/>
    </w:pPr>
    <w:rPr>
      <w:rFonts w:ascii="Times New Roman" w:eastAsia="Times New Roman" w:hAnsi="Times New Roman"/>
      <w:sz w:val="24"/>
      <w:szCs w:val="24"/>
      <w:lang w:eastAsia="lv-LV"/>
    </w:rPr>
  </w:style>
  <w:style w:type="character" w:customStyle="1" w:styleId="th1">
    <w:name w:val="th1"/>
    <w:basedOn w:val="DefaultParagraphFont"/>
    <w:uiPriority w:val="99"/>
    <w:rsid w:val="00E57372"/>
    <w:rPr>
      <w:rFonts w:cs="Times New Roman"/>
      <w:b/>
      <w:bCs/>
      <w:color w:val="333333"/>
    </w:rPr>
  </w:style>
  <w:style w:type="character" w:styleId="CommentReference">
    <w:name w:val="annotation reference"/>
    <w:basedOn w:val="DefaultParagraphFont"/>
    <w:uiPriority w:val="99"/>
    <w:semiHidden/>
    <w:rsid w:val="00E57372"/>
    <w:rPr>
      <w:rFonts w:cs="Times New Roman"/>
      <w:sz w:val="16"/>
      <w:szCs w:val="16"/>
    </w:rPr>
  </w:style>
  <w:style w:type="paragraph" w:styleId="CommentText">
    <w:name w:val="annotation text"/>
    <w:basedOn w:val="Normal"/>
    <w:link w:val="CommentTextChar"/>
    <w:uiPriority w:val="99"/>
    <w:semiHidden/>
    <w:rsid w:val="00E57372"/>
    <w:pPr>
      <w:spacing w:after="0"/>
      <w:jc w:val="left"/>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locked/>
    <w:rsid w:val="00E57372"/>
    <w:rPr>
      <w:rFonts w:ascii="Times New Roman" w:hAnsi="Times New Roman" w:cs="Times New Roman"/>
      <w:sz w:val="20"/>
      <w:szCs w:val="20"/>
      <w:lang w:eastAsia="lv-LV"/>
    </w:rPr>
  </w:style>
  <w:style w:type="paragraph" w:styleId="BalloonText">
    <w:name w:val="Balloon Text"/>
    <w:basedOn w:val="Normal"/>
    <w:link w:val="BalloonTextChar"/>
    <w:uiPriority w:val="99"/>
    <w:semiHidden/>
    <w:rsid w:val="00BE3EBF"/>
    <w:pPr>
      <w:spacing w:after="0"/>
      <w:jc w:val="left"/>
    </w:pPr>
    <w:rPr>
      <w:rFonts w:ascii="Tahoma" w:eastAsia="Times New Roman" w:hAnsi="Tahoma" w:cs="Tahoma"/>
      <w:szCs w:val="16"/>
      <w:lang w:eastAsia="lv-LV"/>
    </w:rPr>
  </w:style>
  <w:style w:type="character" w:customStyle="1" w:styleId="BalloonTextChar">
    <w:name w:val="Balloon Text Char"/>
    <w:basedOn w:val="DefaultParagraphFont"/>
    <w:link w:val="BalloonText"/>
    <w:uiPriority w:val="99"/>
    <w:semiHidden/>
    <w:locked/>
    <w:rsid w:val="00BE3EBF"/>
    <w:rPr>
      <w:rFonts w:ascii="Tahoma" w:eastAsia="Times New Roman" w:hAnsi="Tahoma" w:cs="Tahoma"/>
      <w:szCs w:val="16"/>
    </w:rPr>
  </w:style>
  <w:style w:type="table" w:styleId="TableGrid">
    <w:name w:val="Table Grid"/>
    <w:basedOn w:val="TableNormal"/>
    <w:uiPriority w:val="99"/>
    <w:rsid w:val="00E5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E57372"/>
    <w:pPr>
      <w:spacing w:after="0"/>
      <w:jc w:val="left"/>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locked/>
    <w:rsid w:val="00E57372"/>
    <w:rPr>
      <w:rFonts w:ascii="Times New Roman" w:hAnsi="Times New Roman" w:cs="Times New Roman"/>
      <w:sz w:val="20"/>
      <w:szCs w:val="20"/>
      <w:lang w:eastAsia="lv-LV"/>
    </w:rPr>
  </w:style>
  <w:style w:type="character" w:styleId="FootnoteReference">
    <w:name w:val="footnote reference"/>
    <w:basedOn w:val="DefaultParagraphFont"/>
    <w:link w:val="FootnoteRefernece"/>
    <w:uiPriority w:val="99"/>
    <w:qFormat/>
    <w:rsid w:val="00E57372"/>
    <w:rPr>
      <w:rFonts w:cs="Times New Roman"/>
      <w:vertAlign w:val="superscript"/>
    </w:rPr>
  </w:style>
  <w:style w:type="paragraph" w:styleId="CommentSubject">
    <w:name w:val="annotation subject"/>
    <w:basedOn w:val="CommentText"/>
    <w:next w:val="CommentText"/>
    <w:link w:val="CommentSubjectChar"/>
    <w:uiPriority w:val="99"/>
    <w:semiHidden/>
    <w:rsid w:val="00E57372"/>
    <w:rPr>
      <w:b/>
      <w:bCs/>
    </w:rPr>
  </w:style>
  <w:style w:type="character" w:customStyle="1" w:styleId="CommentSubjectChar">
    <w:name w:val="Comment Subject Char"/>
    <w:basedOn w:val="CommentTextChar"/>
    <w:link w:val="CommentSubject"/>
    <w:uiPriority w:val="99"/>
    <w:semiHidden/>
    <w:locked/>
    <w:rsid w:val="00E57372"/>
    <w:rPr>
      <w:rFonts w:ascii="Times New Roman" w:hAnsi="Times New Roman" w:cs="Times New Roman"/>
      <w:b/>
      <w:bCs/>
      <w:sz w:val="20"/>
      <w:szCs w:val="20"/>
      <w:lang w:eastAsia="lv-LV"/>
    </w:rPr>
  </w:style>
  <w:style w:type="paragraph" w:styleId="Footer">
    <w:name w:val="footer"/>
    <w:basedOn w:val="Normal"/>
    <w:link w:val="Foot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E57372"/>
    <w:rPr>
      <w:rFonts w:ascii="Times New Roman" w:hAnsi="Times New Roman" w:cs="Times New Roman"/>
      <w:sz w:val="24"/>
      <w:szCs w:val="24"/>
      <w:lang w:eastAsia="lv-LV"/>
    </w:rPr>
  </w:style>
  <w:style w:type="paragraph" w:styleId="DocumentMap">
    <w:name w:val="Document Map"/>
    <w:basedOn w:val="Normal"/>
    <w:link w:val="DocumentMapChar"/>
    <w:uiPriority w:val="99"/>
    <w:semiHidden/>
    <w:rsid w:val="00E57372"/>
    <w:pPr>
      <w:shd w:val="clear" w:color="auto" w:fill="000080"/>
      <w:spacing w:after="0"/>
      <w:jc w:val="left"/>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locked/>
    <w:rsid w:val="00E57372"/>
    <w:rPr>
      <w:rFonts w:ascii="Tahoma" w:hAnsi="Tahoma" w:cs="Tahoma"/>
      <w:sz w:val="20"/>
      <w:szCs w:val="20"/>
      <w:shd w:val="clear" w:color="auto" w:fill="000080"/>
      <w:lang w:eastAsia="lv-LV"/>
    </w:rPr>
  </w:style>
  <w:style w:type="paragraph" w:styleId="ListParagraph">
    <w:name w:val="List Paragraph"/>
    <w:basedOn w:val="Normal"/>
    <w:link w:val="ListParagraphChar"/>
    <w:uiPriority w:val="34"/>
    <w:qFormat/>
    <w:rsid w:val="00E57372"/>
    <w:pPr>
      <w:ind w:left="720" w:firstLine="720"/>
      <w:contextualSpacing/>
    </w:pPr>
    <w:rPr>
      <w:rFonts w:ascii="Times New Roman" w:eastAsia="Times New Roman" w:hAnsi="Times New Roman"/>
      <w:sz w:val="28"/>
      <w:szCs w:val="20"/>
    </w:rPr>
  </w:style>
  <w:style w:type="paragraph" w:styleId="BodyText2">
    <w:name w:val="Body Text 2"/>
    <w:basedOn w:val="Normal"/>
    <w:link w:val="BodyText2Char"/>
    <w:uiPriority w:val="99"/>
    <w:rsid w:val="00E57372"/>
    <w:pPr>
      <w:widowControl w:val="0"/>
      <w:adjustRightInd w:val="0"/>
      <w:spacing w:after="0" w:line="360" w:lineRule="atLeast"/>
      <w:jc w:val="center"/>
      <w:textAlignment w:val="baseline"/>
    </w:pPr>
    <w:rPr>
      <w:rFonts w:ascii="Times New Roman" w:eastAsia="Times New Roman" w:hAnsi="Times New Roman"/>
      <w:b/>
      <w:bCs/>
      <w:sz w:val="28"/>
      <w:szCs w:val="28"/>
    </w:rPr>
  </w:style>
  <w:style w:type="character" w:customStyle="1" w:styleId="BodyText2Char">
    <w:name w:val="Body Text 2 Char"/>
    <w:basedOn w:val="DefaultParagraphFont"/>
    <w:link w:val="BodyText2"/>
    <w:uiPriority w:val="99"/>
    <w:locked/>
    <w:rsid w:val="00E57372"/>
    <w:rPr>
      <w:rFonts w:ascii="Times New Roman" w:hAnsi="Times New Roman" w:cs="Times New Roman"/>
      <w:b/>
      <w:bCs/>
      <w:sz w:val="28"/>
      <w:szCs w:val="28"/>
    </w:rPr>
  </w:style>
  <w:style w:type="paragraph" w:customStyle="1" w:styleId="Default">
    <w:name w:val="Default"/>
    <w:uiPriority w:val="99"/>
    <w:rsid w:val="00E57372"/>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uiPriority w:val="99"/>
    <w:rsid w:val="00E5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locked/>
    <w:rsid w:val="00E57372"/>
    <w:rPr>
      <w:rFonts w:ascii="Courier New" w:hAnsi="Courier New" w:cs="Courier New"/>
      <w:sz w:val="20"/>
      <w:szCs w:val="20"/>
      <w:lang w:eastAsia="lv-LV"/>
    </w:rPr>
  </w:style>
  <w:style w:type="paragraph" w:styleId="BodyTextIndent">
    <w:name w:val="Body Text Indent"/>
    <w:basedOn w:val="Normal"/>
    <w:link w:val="BodyTextIndentChar"/>
    <w:uiPriority w:val="99"/>
    <w:rsid w:val="00E57372"/>
    <w:pPr>
      <w:ind w:left="283"/>
      <w:jc w:val="left"/>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E57372"/>
    <w:rPr>
      <w:rFonts w:ascii="Times New Roman" w:hAnsi="Times New Roman" w:cs="Times New Roman"/>
      <w:sz w:val="24"/>
      <w:szCs w:val="24"/>
      <w:lang w:eastAsia="lv-LV"/>
    </w:rPr>
  </w:style>
  <w:style w:type="paragraph" w:customStyle="1" w:styleId="tvhtmlmktable">
    <w:name w:val="tv_html mk_table"/>
    <w:basedOn w:val="Normal"/>
    <w:uiPriority w:val="99"/>
    <w:rsid w:val="00E57372"/>
    <w:pPr>
      <w:spacing w:before="100" w:beforeAutospacing="1" w:after="100" w:afterAutospacing="1"/>
      <w:jc w:val="left"/>
    </w:pPr>
    <w:rPr>
      <w:rFonts w:ascii="Verdana" w:eastAsia="Times New Roman" w:hAnsi="Verdana"/>
      <w:sz w:val="12"/>
      <w:szCs w:val="12"/>
      <w:lang w:eastAsia="lv-LV"/>
    </w:rPr>
  </w:style>
  <w:style w:type="paragraph" w:styleId="Revision">
    <w:name w:val="Revision"/>
    <w:hidden/>
    <w:uiPriority w:val="99"/>
    <w:semiHidden/>
    <w:rsid w:val="00E57372"/>
    <w:rPr>
      <w:rFonts w:ascii="Times New Roman" w:eastAsia="Times New Roman" w:hAnsi="Times New Roman"/>
      <w:sz w:val="24"/>
      <w:szCs w:val="24"/>
    </w:rPr>
  </w:style>
  <w:style w:type="paragraph" w:customStyle="1" w:styleId="b">
    <w:name w:val="b"/>
    <w:basedOn w:val="Normal"/>
    <w:uiPriority w:val="99"/>
    <w:rsid w:val="00E57372"/>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h2">
    <w:name w:val="h2"/>
    <w:basedOn w:val="Normal"/>
    <w:uiPriority w:val="99"/>
    <w:rsid w:val="00DB68EA"/>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bdc">
    <w:name w:val="bdc"/>
    <w:basedOn w:val="Normal"/>
    <w:uiPriority w:val="99"/>
    <w:rsid w:val="00912060"/>
    <w:pPr>
      <w:spacing w:before="100" w:beforeAutospacing="1" w:after="100" w:afterAutospacing="1"/>
      <w:jc w:val="left"/>
    </w:pPr>
    <w:rPr>
      <w:rFonts w:ascii="Times New Roman" w:eastAsia="Times New Roman" w:hAnsi="Times New Roman"/>
      <w:b/>
      <w:bCs/>
      <w:sz w:val="24"/>
      <w:szCs w:val="24"/>
      <w:lang w:eastAsia="lv-LV"/>
    </w:rPr>
  </w:style>
  <w:style w:type="character" w:styleId="Strong">
    <w:name w:val="Strong"/>
    <w:uiPriority w:val="22"/>
    <w:qFormat/>
    <w:locked/>
    <w:rsid w:val="00AA78FF"/>
    <w:rPr>
      <w:b/>
      <w:bCs/>
    </w:rPr>
  </w:style>
  <w:style w:type="character" w:styleId="PlaceholderText">
    <w:name w:val="Placeholder Text"/>
    <w:basedOn w:val="DefaultParagraphFont"/>
    <w:uiPriority w:val="99"/>
    <w:semiHidden/>
    <w:rsid w:val="00167E1C"/>
    <w:rPr>
      <w:color w:val="808080"/>
    </w:rPr>
  </w:style>
  <w:style w:type="paragraph" w:customStyle="1" w:styleId="FootnoteRefernece">
    <w:name w:val="Footnote Refernece"/>
    <w:aliases w:val="-E Fußnotenzeichen,E,E FNZ,Footnotes refss,Odwołanie przypisu,Ref,de nota al pie,ftref"/>
    <w:basedOn w:val="Normal"/>
    <w:next w:val="Normal"/>
    <w:link w:val="FootnoteReference"/>
    <w:uiPriority w:val="99"/>
    <w:rsid w:val="00C16C56"/>
    <w:pPr>
      <w:spacing w:after="160" w:line="240" w:lineRule="exact"/>
      <w:textAlignment w:val="baseline"/>
    </w:pPr>
    <w:rPr>
      <w:vertAlign w:val="superscript"/>
      <w:lang w:eastAsia="lv-LV"/>
    </w:rPr>
  </w:style>
  <w:style w:type="character" w:customStyle="1" w:styleId="NormalIPChar">
    <w:name w:val="Normal _IP Char"/>
    <w:basedOn w:val="DefaultParagraphFont"/>
    <w:link w:val="NormalIP"/>
    <w:uiPriority w:val="99"/>
    <w:locked/>
    <w:rsid w:val="004B2CB9"/>
  </w:style>
  <w:style w:type="paragraph" w:customStyle="1" w:styleId="NormalIP">
    <w:name w:val="Normal _IP"/>
    <w:basedOn w:val="Normal"/>
    <w:link w:val="NormalIPChar"/>
    <w:uiPriority w:val="99"/>
    <w:rsid w:val="004B2CB9"/>
    <w:pPr>
      <w:spacing w:before="80" w:after="80"/>
    </w:pPr>
    <w:rPr>
      <w:lang w:eastAsia="lv-LV"/>
    </w:rPr>
  </w:style>
  <w:style w:type="character" w:customStyle="1" w:styleId="ListParagraphChar">
    <w:name w:val="List Paragraph Char"/>
    <w:link w:val="ListParagraph"/>
    <w:uiPriority w:val="34"/>
    <w:locked/>
    <w:rsid w:val="0012446F"/>
    <w:rPr>
      <w:rFonts w:ascii="Times New Roman" w:eastAsia="Times New Roman" w:hAnsi="Times New Roman"/>
      <w:sz w:val="28"/>
      <w:szCs w:val="20"/>
      <w:lang w:eastAsia="en-US"/>
    </w:rPr>
  </w:style>
  <w:style w:type="paragraph" w:customStyle="1" w:styleId="tv2161">
    <w:name w:val="tv2161"/>
    <w:basedOn w:val="Normal"/>
    <w:rsid w:val="00816C09"/>
    <w:pPr>
      <w:spacing w:before="240" w:after="0" w:line="360" w:lineRule="auto"/>
      <w:ind w:firstLine="259"/>
      <w:jc w:val="right"/>
    </w:pPr>
    <w:rPr>
      <w:rFonts w:ascii="Verdana" w:eastAsia="Times New Roman"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BFD7-D632-469E-947D-0A0B939C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1818</Words>
  <Characters>10365</Characters>
  <Application>Microsoft Office Word</Application>
  <DocSecurity>0</DocSecurity>
  <Lines>86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Ministru kabineta noteikumu projektam „Grozījumi Ministru kabineta 2014. gada 20. maija noteikumos Nr. 250 „Noteikumi par darbībām emisijas reģistrā””</vt:lpstr>
      <vt:lpstr>Anotācija Ministru kabineta noteikumu projektam „Grozījumi Ministru kabineta 2014. gada 20. maija noteikumos Nr. 250 „Noteikumi par darbībām emisijas reģistrā””</vt:lpstr>
    </vt:vector>
  </TitlesOfParts>
  <Manager>Helena.Rimsa@varam.gov.lv</Manager>
  <Company>Vides aizsardzības un reģionālās attīstības ministrija</Company>
  <LinksUpToDate>false</LinksUpToDate>
  <CharactersWithSpaces>12159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projektam „Grozījumi Ministru kabineta 2014. gada 20. maija noteikumos Nr. 250 „Noteikumi par darbībām emisijas reģistrā””</dc:title>
  <dc:subject>Anotācija Ministru kabineta noteikumu projektam</dc:subject>
  <dc:creator>Helena Rimsa</dc:creator>
  <dc:description>H.Rimša, 67026512, Helena.Rimsa@varam.gov.lv</dc:description>
  <cp:lastModifiedBy>Marta Ošleja</cp:lastModifiedBy>
  <cp:revision>8</cp:revision>
  <cp:lastPrinted>2016-02-11T13:52:00Z</cp:lastPrinted>
  <dcterms:created xsi:type="dcterms:W3CDTF">2018-01-23T06:59:00Z</dcterms:created>
  <dcterms:modified xsi:type="dcterms:W3CDTF">2018-02-15T11:04:00Z</dcterms:modified>
  <cp:category>Vides politika</cp:category>
</cp:coreProperties>
</file>