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CB4AAB" w:rsidRPr="00B573BA" w:rsidP="00A01667" w14:paraId="299A1073" w14:textId="7D348018">
      <w:pPr>
        <w:pStyle w:val="naislab"/>
        <w:spacing w:before="60" w:after="60"/>
        <w:jc w:val="center"/>
        <w:outlineLvl w:val="0"/>
        <w:rPr>
          <w:b/>
        </w:rPr>
      </w:pPr>
      <w:r w:rsidRPr="00B573BA">
        <w:rPr>
          <w:b/>
        </w:rPr>
        <w:t xml:space="preserve">Ministru kabineta noteikumu </w:t>
      </w:r>
      <w:r w:rsidRPr="00B573BA">
        <w:rPr>
          <w:b/>
        </w:rPr>
        <w:t>projekta „</w:t>
      </w:r>
      <w:r w:rsidRPr="004B7C80" w:rsidR="004B7C80">
        <w:rPr>
          <w:b/>
        </w:rPr>
        <w:t>Grozījumi Ministru kabineta 2013.</w:t>
      </w:r>
      <w:r w:rsidR="00D3209F">
        <w:rPr>
          <w:b/>
        </w:rPr>
        <w:t> </w:t>
      </w:r>
      <w:r w:rsidRPr="004B7C80" w:rsidR="004B7C80">
        <w:rPr>
          <w:b/>
        </w:rPr>
        <w:t>gada 9.</w:t>
      </w:r>
      <w:r w:rsidR="00D3209F">
        <w:rPr>
          <w:b/>
        </w:rPr>
        <w:t> </w:t>
      </w:r>
      <w:r w:rsidRPr="004B7C80" w:rsidR="004B7C80">
        <w:rPr>
          <w:b/>
        </w:rPr>
        <w:t>jūlija noteikumos Nr.</w:t>
      </w:r>
      <w:r w:rsidR="00D3209F">
        <w:rPr>
          <w:b/>
        </w:rPr>
        <w:t> </w:t>
      </w:r>
      <w:r w:rsidRPr="004B7C80" w:rsidR="004B7C80">
        <w:rPr>
          <w:b/>
        </w:rPr>
        <w:t>366 „Noteikumi par aviācijas darbību dalību Eiropas Savienības emisijas kvotu tirdzniecības sistēmā”</w:t>
      </w:r>
      <w:r w:rsidRPr="00B573BA">
        <w:rPr>
          <w:b/>
        </w:rPr>
        <w:t xml:space="preserve">” sākotnējās ietekmes novērtējuma </w:t>
      </w:r>
      <w:smartTag w:uri="schemas-tilde-lv/tildestengine" w:element="veidnes">
        <w:smartTagPr>
          <w:attr w:name="baseform" w:val="ziņojums"/>
          <w:attr w:name="id" w:val="-1"/>
          <w:attr w:name="text" w:val="ziņojums"/>
        </w:smartTagPr>
        <w:r w:rsidRPr="00B573BA">
          <w:rPr>
            <w:b/>
          </w:rPr>
          <w:t>ziņojums</w:t>
        </w:r>
      </w:smartTag>
      <w:r w:rsidRPr="00B573BA">
        <w:rPr>
          <w:b/>
        </w:rPr>
        <w:t xml:space="preserve"> (anotācija)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82"/>
        <w:gridCol w:w="1644"/>
        <w:gridCol w:w="7513"/>
      </w:tblGrid>
      <w:tr w14:paraId="40283BE9" w14:textId="77777777" w:rsidTr="005E117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255"/>
          <w:jc w:val="center"/>
        </w:trPr>
        <w:tc>
          <w:tcPr>
            <w:tcW w:w="0" w:type="auto"/>
            <w:gridSpan w:val="3"/>
            <w:vAlign w:val="center"/>
          </w:tcPr>
          <w:p w:rsidR="00CB4AAB" w:rsidRPr="00810942" w:rsidP="00A01667" w14:paraId="1675CC38" w14:textId="598F22F6">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I. Tiesību akta projekta izstrādes nepieciešamība</w:t>
            </w:r>
          </w:p>
        </w:tc>
      </w:tr>
      <w:tr w14:paraId="61656CED" w14:textId="77777777" w:rsidTr="00F122F9">
        <w:tblPrEx>
          <w:tblW w:w="9639" w:type="dxa"/>
          <w:jc w:val="center"/>
          <w:tblCellMar>
            <w:left w:w="57" w:type="dxa"/>
            <w:right w:w="57" w:type="dxa"/>
          </w:tblCellMar>
          <w:tblLook w:val="00A0"/>
        </w:tblPrEx>
        <w:trPr>
          <w:trHeight w:val="405"/>
          <w:jc w:val="center"/>
        </w:trPr>
        <w:tc>
          <w:tcPr>
            <w:tcW w:w="250" w:type="pct"/>
          </w:tcPr>
          <w:p w:rsidR="00CB4AAB" w:rsidRPr="00F122F9" w:rsidP="00A01667" w14:paraId="628F42FE" w14:textId="77777777">
            <w:pPr>
              <w:spacing w:before="60" w:after="60"/>
              <w:jc w:val="center"/>
              <w:rPr>
                <w:rFonts w:ascii="Times New Roman" w:hAnsi="Times New Roman"/>
                <w:lang w:eastAsia="lv-LV"/>
              </w:rPr>
            </w:pPr>
            <w:r w:rsidRPr="00F122F9">
              <w:rPr>
                <w:rFonts w:ascii="Times New Roman" w:hAnsi="Times New Roman"/>
                <w:lang w:eastAsia="lv-LV"/>
              </w:rPr>
              <w:t>1.</w:t>
            </w:r>
          </w:p>
        </w:tc>
        <w:tc>
          <w:tcPr>
            <w:tcW w:w="853" w:type="pct"/>
          </w:tcPr>
          <w:p w:rsidR="00CB4AAB" w:rsidRPr="00F122F9" w:rsidP="00A01667" w14:paraId="2D09F2F3" w14:textId="77777777">
            <w:pPr>
              <w:spacing w:before="60" w:after="60"/>
              <w:jc w:val="left"/>
              <w:rPr>
                <w:rFonts w:ascii="Times New Roman" w:hAnsi="Times New Roman"/>
                <w:lang w:eastAsia="lv-LV"/>
              </w:rPr>
            </w:pPr>
            <w:r w:rsidRPr="00810942">
              <w:rPr>
                <w:rFonts w:ascii="Times New Roman" w:eastAsia="Times New Roman" w:hAnsi="Times New Roman"/>
                <w:sz w:val="24"/>
                <w:szCs w:val="24"/>
                <w:lang w:eastAsia="lv-LV"/>
              </w:rPr>
              <w:t>Pamatojums</w:t>
            </w:r>
          </w:p>
        </w:tc>
        <w:tc>
          <w:tcPr>
            <w:tcW w:w="3897" w:type="pct"/>
          </w:tcPr>
          <w:p w:rsidR="00CB4AAB" w:rsidRPr="0012446F" w:rsidP="00A01667" w14:paraId="71BA2499" w14:textId="4E1DF956">
            <w:pPr>
              <w:pStyle w:val="naiskr"/>
              <w:spacing w:before="60" w:after="60"/>
              <w:ind w:firstLine="227"/>
              <w:jc w:val="both"/>
            </w:pPr>
            <w:r w:rsidRPr="0012446F">
              <w:t>Ministru kabineta noteikumu projekts</w:t>
            </w:r>
            <w:r w:rsidRPr="0012446F">
              <w:t xml:space="preserve"> „</w:t>
            </w:r>
            <w:r w:rsidRPr="004B7C80" w:rsidR="004B7C80">
              <w:t>Grozījumi Ministru kabineta 2013.</w:t>
            </w:r>
            <w:r w:rsidR="00D3209F">
              <w:t> </w:t>
            </w:r>
            <w:r w:rsidRPr="004B7C80" w:rsidR="004B7C80">
              <w:t>gada 9.</w:t>
            </w:r>
            <w:r w:rsidR="00D3209F">
              <w:t> </w:t>
            </w:r>
            <w:r w:rsidRPr="004B7C80" w:rsidR="004B7C80">
              <w:t>jūlija noteikumos Nr.</w:t>
            </w:r>
            <w:r w:rsidR="00D3209F">
              <w:t> </w:t>
            </w:r>
            <w:r w:rsidRPr="004B7C80" w:rsidR="004B7C80">
              <w:t>366 „Noteikumi par aviācijas darbību dalību Eiropas Savienības emisijas kvotu tirdzniecības sistēmā”</w:t>
            </w:r>
            <w:r w:rsidRPr="0012446F">
              <w:t xml:space="preserve">” (turpmāk – </w:t>
            </w:r>
            <w:r w:rsidRPr="0012446F">
              <w:t xml:space="preserve">noteikumu </w:t>
            </w:r>
            <w:r w:rsidRPr="0012446F">
              <w:t>projekts) izstrādāts</w:t>
            </w:r>
            <w:r w:rsidRPr="0012446F">
              <w:t xml:space="preserve"> </w:t>
            </w:r>
            <w:r w:rsidRPr="0012446F">
              <w:t>pēc Vides aizsardzības un reģionālās attīstības ministrijas (turpmāk – VARAM) iniciatīvas, lai:</w:t>
            </w:r>
          </w:p>
          <w:p w:rsidR="00F27137" w:rsidRPr="004D6A72" w:rsidP="00A01667" w14:paraId="07E51A2F" w14:textId="7CCD2E63">
            <w:pPr>
              <w:pStyle w:val="naiskr"/>
              <w:spacing w:before="60" w:after="60"/>
              <w:jc w:val="both"/>
            </w:pPr>
            <w:r>
              <w:rPr>
                <w:b/>
              </w:rPr>
              <w:t>1.</w:t>
            </w:r>
            <w:r w:rsidR="00503B82">
              <w:rPr>
                <w:b/>
              </w:rPr>
              <w:t> </w:t>
            </w:r>
            <w:r w:rsidR="00D3209F">
              <w:t>n</w:t>
            </w:r>
            <w:r w:rsidR="00251A87">
              <w:t xml:space="preserve">oteiktu, ka </w:t>
            </w:r>
            <w:r w:rsidRPr="0012446F" w:rsidR="0012446F">
              <w:t xml:space="preserve">ES Emisijas kvotu tirdzniecības sistēmas (turpmāk – ES ETS) informācijas apmaiņu, iesniegumu un ziņojumu iesniegšanu turpmāk ES ETS </w:t>
            </w:r>
            <w:r w:rsidR="004B7C80">
              <w:t xml:space="preserve">gaisa kuģu </w:t>
            </w:r>
            <w:r w:rsidRPr="0012446F" w:rsidR="0012446F">
              <w:t>operatori vei</w:t>
            </w:r>
            <w:r w:rsidR="00251A87">
              <w:t>c</w:t>
            </w:r>
            <w:r w:rsidRPr="0012446F" w:rsidR="0012446F">
              <w:t xml:space="preserve">, izmantojot Eiropas Komisijas izveidoto un uzturēto vienoto ES ETS informācijas apmaiņas sistēmu </w:t>
            </w:r>
            <w:r w:rsidR="006543A5">
              <w:t>“</w:t>
            </w:r>
            <w:r w:rsidRPr="0012446F" w:rsidR="0012446F">
              <w:t>DECLARE</w:t>
            </w:r>
            <w:r w:rsidR="006543A5">
              <w:t>” (turpmāk – ES ETS informācijas apmaiņas sistēma DECLARE)</w:t>
            </w:r>
            <w:r w:rsidR="000650B6">
              <w:t xml:space="preserve">, tādējādi </w:t>
            </w:r>
            <w:r w:rsidRPr="004D6A72" w:rsidR="000650B6">
              <w:t xml:space="preserve">būtiski samazinot administratīvo slogu un samazinātu ES ETS </w:t>
            </w:r>
            <w:r w:rsidRPr="004D6A72" w:rsidR="004B7C80">
              <w:t xml:space="preserve">gaisa kuģu </w:t>
            </w:r>
            <w:r w:rsidRPr="004D6A72" w:rsidR="000650B6">
              <w:t xml:space="preserve">operatoriem darba apjomu, kas nepieciešams noteiktas informācijas iesniegšanai verificētājiem, </w:t>
            </w:r>
            <w:r w:rsidRPr="004D6A72" w:rsidR="00207C43">
              <w:t>valsts aģentūrai “Civilās aviācijas aģentūra” (turpmāk – CAA)</w:t>
            </w:r>
            <w:r w:rsidRPr="004D6A72" w:rsidR="000650B6">
              <w:t>, VARAM, kā arī noteiktas informācijas saņemšanai no tiem</w:t>
            </w:r>
            <w:r>
              <w:t>;</w:t>
            </w:r>
          </w:p>
          <w:p w:rsidR="00F71D8B" w:rsidP="00A01667" w14:paraId="6FDEAFC3" w14:textId="2994A6CF">
            <w:pPr>
              <w:pStyle w:val="naiskr"/>
              <w:spacing w:before="60" w:after="60"/>
              <w:jc w:val="both"/>
            </w:pPr>
            <w:r>
              <w:rPr>
                <w:b/>
              </w:rPr>
              <w:t>2. </w:t>
            </w:r>
            <w:r w:rsidRPr="001F0E07" w:rsidR="001F0E07">
              <w:t xml:space="preserve">Latvijas </w:t>
            </w:r>
            <w:r w:rsidR="00503B82">
              <w:t>normatīvajos aktos</w:t>
            </w:r>
            <w:r w:rsidRPr="001F0E07" w:rsidR="001F0E07">
              <w:t xml:space="preserve"> </w:t>
            </w:r>
            <w:r>
              <w:t>paredzētu prasības, kas ietvertas</w:t>
            </w:r>
            <w:r w:rsidRPr="004D6A72">
              <w:t xml:space="preserve"> Eiropas Parlamenta un Padomes </w:t>
            </w:r>
            <w:r w:rsidR="001F0E07">
              <w:t>2017.</w:t>
            </w:r>
            <w:r w:rsidR="00503B82">
              <w:t> </w:t>
            </w:r>
            <w:r w:rsidR="001F0E07">
              <w:t>gada 13.</w:t>
            </w:r>
            <w:r w:rsidR="00503B82">
              <w:t> </w:t>
            </w:r>
            <w:r w:rsidR="001F0E07">
              <w:t xml:space="preserve">decembra </w:t>
            </w:r>
            <w:r w:rsidR="00503B82">
              <w:t>R</w:t>
            </w:r>
            <w:r>
              <w:t>egulā</w:t>
            </w:r>
            <w:r w:rsidR="001F0E07">
              <w:t xml:space="preserve"> Nr.</w:t>
            </w:r>
            <w:r w:rsidR="00503B82">
              <w:t> </w:t>
            </w:r>
            <w:r w:rsidR="001F0E07">
              <w:t xml:space="preserve">2017/2392, </w:t>
            </w:r>
            <w:r w:rsidRPr="0022209C" w:rsidR="001F0E07">
              <w:rPr>
                <w:i/>
              </w:rPr>
              <w:t>ar ko groza Direktīvu 2003/87/EK, lai saglabātu pašreizējos darbības jomas ierobežojumus attiecībā uz aviācijas darbībām un sagatavotos globāla tirgus pasākuma īstenošanai no 2021. gada</w:t>
            </w:r>
            <w:r w:rsidR="001F0E07">
              <w:t xml:space="preserve"> (turpmāk –</w:t>
            </w:r>
            <w:r w:rsidR="007701EF">
              <w:t xml:space="preserve"> r</w:t>
            </w:r>
            <w:r w:rsidR="001F0E07">
              <w:t>egula Nr.</w:t>
            </w:r>
            <w:r w:rsidR="00503B82">
              <w:t> </w:t>
            </w:r>
            <w:r w:rsidR="001F0E07">
              <w:t>2017/2392)</w:t>
            </w:r>
            <w:r>
              <w:t>;</w:t>
            </w:r>
          </w:p>
          <w:p w:rsidR="00016C57" w:rsidP="00A01667" w14:paraId="67C992C1" w14:textId="36A553FA">
            <w:pPr>
              <w:pStyle w:val="naiskr"/>
              <w:spacing w:before="60" w:after="60"/>
              <w:jc w:val="both"/>
            </w:pPr>
            <w:r>
              <w:rPr>
                <w:b/>
              </w:rPr>
              <w:t>3. </w:t>
            </w:r>
            <w:r>
              <w:t xml:space="preserve">noteiktu, ka ziņošanas veidlapa, ko gaisa kuģu operators izmanto, lai ziņotu par </w:t>
            </w:r>
            <w:r w:rsidRPr="00016C57">
              <w:t>to finanšu līdzekļu izlietojumu, kurus gaisa kuģa operators attiecīgajā kalendāra gadā ir guvis, pārdodot tam bez maksas piešķirtās emisijas kvotas</w:t>
            </w:r>
            <w:r>
              <w:t>, ir pieejama ne tikai CAA tīmekļvietnē, bet arī VARAM tīmekļvietnē.</w:t>
            </w:r>
          </w:p>
          <w:p w:rsidR="00171F5A" w:rsidRPr="009422C2" w:rsidP="009422C2" w14:paraId="6F8BCDDC" w14:textId="439226FC">
            <w:pPr>
              <w:rPr>
                <w:rFonts w:ascii="Times New Roman" w:hAnsi="Times New Roman"/>
                <w:sz w:val="24"/>
                <w:szCs w:val="24"/>
                <w:lang w:eastAsia="lv-LV"/>
              </w:rPr>
            </w:pPr>
            <w:r w:rsidRPr="009422C2">
              <w:rPr>
                <w:rFonts w:ascii="Times New Roman" w:eastAsia="Times New Roman" w:hAnsi="Times New Roman"/>
                <w:sz w:val="24"/>
                <w:szCs w:val="24"/>
                <w:lang w:eastAsia="lv-LV"/>
              </w:rPr>
              <w:t>N</w:t>
            </w:r>
            <w:r w:rsidRPr="009422C2">
              <w:rPr>
                <w:rFonts w:ascii="Times New Roman" w:eastAsia="Times New Roman" w:hAnsi="Times New Roman"/>
                <w:sz w:val="24"/>
                <w:szCs w:val="24"/>
                <w:lang w:eastAsia="lv-LV"/>
              </w:rPr>
              <w:t>oteikumu projekts ir</w:t>
            </w:r>
            <w:r w:rsidRPr="009422C2" w:rsidR="009422C2">
              <w:rPr>
                <w:rFonts w:ascii="Times New Roman" w:eastAsia="Times New Roman" w:hAnsi="Times New Roman"/>
                <w:sz w:val="24"/>
                <w:szCs w:val="24"/>
                <w:lang w:eastAsia="lv-LV"/>
              </w:rPr>
              <w:t xml:space="preserve"> izstrādāts saskaņā ar Latvijas Republikas </w:t>
            </w:r>
            <w:r w:rsidRPr="009422C2">
              <w:rPr>
                <w:rFonts w:ascii="Times New Roman" w:eastAsia="Times New Roman" w:hAnsi="Times New Roman"/>
                <w:sz w:val="24"/>
                <w:szCs w:val="24"/>
                <w:lang w:eastAsia="lv-LV"/>
              </w:rPr>
              <w:t>Saeimā izskatāmo likumprojektu “Grozījumi likumā “Par piesārņojumu”</w:t>
            </w:r>
            <w:r w:rsidRPr="009422C2">
              <w:rPr>
                <w:rFonts w:ascii="Times New Roman" w:eastAsia="Times New Roman" w:hAnsi="Times New Roman"/>
                <w:sz w:val="24"/>
                <w:szCs w:val="24"/>
                <w:lang w:eastAsia="lv-LV"/>
              </w:rPr>
              <w:t xml:space="preserve"> (Nr</w:t>
            </w:r>
            <w:r w:rsidRPr="009422C2" w:rsidR="00B30135">
              <w:rPr>
                <w:rFonts w:ascii="Times New Roman" w:eastAsia="Times New Roman" w:hAnsi="Times New Roman"/>
                <w:sz w:val="24"/>
                <w:szCs w:val="24"/>
                <w:lang w:eastAsia="lv-LV"/>
              </w:rPr>
              <w:t>.</w:t>
            </w:r>
            <w:r w:rsidRPr="009422C2" w:rsidR="009422C2">
              <w:rPr>
                <w:rFonts w:ascii="Times New Roman" w:eastAsia="Times New Roman" w:hAnsi="Times New Roman"/>
                <w:sz w:val="24"/>
                <w:szCs w:val="24"/>
                <w:lang w:eastAsia="lv-LV"/>
              </w:rPr>
              <w:t> </w:t>
            </w:r>
            <w:r w:rsidRPr="009422C2">
              <w:rPr>
                <w:rFonts w:ascii="Times New Roman" w:eastAsia="Times New Roman" w:hAnsi="Times New Roman"/>
                <w:sz w:val="24"/>
                <w:szCs w:val="24"/>
                <w:lang w:eastAsia="lv-LV"/>
              </w:rPr>
              <w:t>1034/Lp12)</w:t>
            </w:r>
            <w:r w:rsidRPr="009422C2" w:rsidR="009422C2">
              <w:rPr>
                <w:rFonts w:ascii="Times New Roman" w:eastAsia="Times New Roman" w:hAnsi="Times New Roman"/>
                <w:sz w:val="24"/>
                <w:szCs w:val="24"/>
                <w:lang w:eastAsia="lv-LV"/>
              </w:rPr>
              <w:t>.</w:t>
            </w:r>
            <w:r w:rsidRPr="009422C2">
              <w:rPr>
                <w:rFonts w:ascii="Times New Roman" w:eastAsia="Times New Roman" w:hAnsi="Times New Roman"/>
                <w:sz w:val="24"/>
                <w:szCs w:val="24"/>
                <w:lang w:eastAsia="lv-LV"/>
              </w:rPr>
              <w:t xml:space="preserve"> </w:t>
            </w:r>
            <w:r w:rsidRPr="009422C2" w:rsidR="009422C2">
              <w:rPr>
                <w:rFonts w:ascii="Times New Roman" w:eastAsia="Times New Roman" w:hAnsi="Times New Roman"/>
                <w:sz w:val="24"/>
                <w:szCs w:val="24"/>
                <w:lang w:eastAsia="lv-LV"/>
              </w:rPr>
              <w:t>Likumprojektu “Grozījumi likumā “Par piesārņojumu” (Nr. 1034/Lp12) šā gada 1. februārī izskatīts 3. lasījumā Latvijas Republikas Saeimā</w:t>
            </w:r>
            <w:r w:rsidR="009422C2">
              <w:rPr>
                <w:rFonts w:ascii="Times New Roman" w:hAnsi="Times New Roman"/>
                <w:sz w:val="24"/>
                <w:szCs w:val="24"/>
                <w:lang w:eastAsia="lv-LV"/>
              </w:rPr>
              <w:t>.</w:t>
            </w:r>
          </w:p>
        </w:tc>
      </w:tr>
      <w:tr w14:paraId="53198FE4" w14:textId="77777777" w:rsidTr="00F122F9">
        <w:tblPrEx>
          <w:tblW w:w="9639" w:type="dxa"/>
          <w:jc w:val="center"/>
          <w:tblCellMar>
            <w:left w:w="57" w:type="dxa"/>
            <w:right w:w="57" w:type="dxa"/>
          </w:tblCellMar>
          <w:tblLook w:val="00A0"/>
        </w:tblPrEx>
        <w:trPr>
          <w:trHeight w:val="465"/>
          <w:jc w:val="center"/>
        </w:trPr>
        <w:tc>
          <w:tcPr>
            <w:tcW w:w="250" w:type="pct"/>
          </w:tcPr>
          <w:p w:rsidR="00CB4AAB" w:rsidRPr="00F122F9" w:rsidP="00A01667" w14:paraId="0B10B19E" w14:textId="77777777">
            <w:pPr>
              <w:spacing w:before="60" w:after="60"/>
              <w:jc w:val="center"/>
              <w:rPr>
                <w:rFonts w:ascii="Times New Roman" w:hAnsi="Times New Roman"/>
                <w:lang w:eastAsia="lv-LV"/>
              </w:rPr>
            </w:pPr>
            <w:r w:rsidRPr="00F122F9">
              <w:rPr>
                <w:rFonts w:ascii="Times New Roman" w:hAnsi="Times New Roman"/>
                <w:lang w:eastAsia="lv-LV"/>
              </w:rPr>
              <w:t>2.</w:t>
            </w:r>
          </w:p>
        </w:tc>
        <w:tc>
          <w:tcPr>
            <w:tcW w:w="853" w:type="pct"/>
          </w:tcPr>
          <w:p w:rsidR="00CB4AAB" w:rsidRPr="00F122F9" w:rsidP="00A01667" w14:paraId="1A7AB4FF" w14:textId="77777777">
            <w:pPr>
              <w:spacing w:before="60" w:after="60"/>
              <w:jc w:val="left"/>
              <w:rPr>
                <w:rFonts w:ascii="Times New Roman" w:hAnsi="Times New Roman"/>
                <w:lang w:eastAsia="lv-LV"/>
              </w:rPr>
            </w:pPr>
            <w:r w:rsidRPr="00810942">
              <w:rPr>
                <w:rFonts w:ascii="Times New Roman" w:hAnsi="Times New Roman"/>
                <w:sz w:val="24"/>
                <w:szCs w:val="24"/>
              </w:rPr>
              <w:t>Pašreizējā situācija un problēmas, kuru risināšanai tiesību akta projekts izstrādāts, tiesiskā regulējuma mērķis un būtība</w:t>
            </w:r>
          </w:p>
        </w:tc>
        <w:tc>
          <w:tcPr>
            <w:tcW w:w="3897" w:type="pct"/>
          </w:tcPr>
          <w:p w:rsidR="00FD5A20" w:rsidRPr="00BD1B94" w:rsidP="00A01667" w14:paraId="707E4FC2" w14:textId="0225C932">
            <w:pPr>
              <w:pStyle w:val="naiskr"/>
              <w:spacing w:before="60" w:after="60"/>
              <w:jc w:val="both"/>
              <w:rPr>
                <w:u w:val="single"/>
              </w:rPr>
            </w:pPr>
            <w:r w:rsidRPr="00BD1B94">
              <w:rPr>
                <w:u w:val="single"/>
              </w:rPr>
              <w:t>1.</w:t>
            </w:r>
            <w:r w:rsidR="00D3209F">
              <w:rPr>
                <w:u w:val="single"/>
              </w:rPr>
              <w:t> </w:t>
            </w:r>
            <w:r w:rsidRPr="00BD1B94" w:rsidR="00CB4AAB">
              <w:rPr>
                <w:u w:val="single"/>
              </w:rPr>
              <w:t>Pašreizējā situācija un problēmas</w:t>
            </w:r>
            <w:r w:rsidRPr="00BD1B94">
              <w:rPr>
                <w:u w:val="single"/>
              </w:rPr>
              <w:t>, pastāvošais tiesiskais regulējums, tā būtība un nepilnības</w:t>
            </w:r>
            <w:r w:rsidR="00D3209F">
              <w:rPr>
                <w:u w:val="single"/>
              </w:rPr>
              <w:t>:</w:t>
            </w:r>
          </w:p>
          <w:p w:rsidR="00071A47" w:rsidP="00A01667" w14:paraId="648007D0" w14:textId="14F6C695">
            <w:pPr>
              <w:spacing w:before="60" w:after="60"/>
              <w:rPr>
                <w:rFonts w:ascii="Times New Roman" w:hAnsi="Times New Roman"/>
                <w:sz w:val="24"/>
                <w:szCs w:val="24"/>
              </w:rPr>
            </w:pPr>
            <w:r>
              <w:rPr>
                <w:rFonts w:ascii="Times New Roman" w:hAnsi="Times New Roman"/>
                <w:b/>
                <w:sz w:val="24"/>
                <w:szCs w:val="24"/>
              </w:rPr>
              <w:t>1</w:t>
            </w:r>
            <w:r w:rsidR="00503B82">
              <w:rPr>
                <w:rFonts w:ascii="Times New Roman" w:hAnsi="Times New Roman"/>
                <w:b/>
                <w:sz w:val="24"/>
                <w:szCs w:val="24"/>
              </w:rPr>
              <w:t>.</w:t>
            </w:r>
            <w:r w:rsidRPr="00BD1B94" w:rsidR="00027636">
              <w:rPr>
                <w:rFonts w:ascii="Times New Roman" w:hAnsi="Times New Roman"/>
                <w:b/>
                <w:sz w:val="24"/>
                <w:szCs w:val="24"/>
              </w:rPr>
              <w:t> </w:t>
            </w:r>
            <w:r>
              <w:rPr>
                <w:rFonts w:ascii="Times New Roman" w:hAnsi="Times New Roman"/>
                <w:sz w:val="24"/>
                <w:szCs w:val="24"/>
              </w:rPr>
              <w:t>Šobrīd Latvijā ES ETS informācija apmaiņu gaisa kuģu operatoriem nosaka</w:t>
            </w:r>
            <w:r w:rsidR="00013665">
              <w:rPr>
                <w:rFonts w:ascii="Times New Roman" w:hAnsi="Times New Roman"/>
                <w:sz w:val="24"/>
                <w:szCs w:val="24"/>
              </w:rPr>
              <w:t xml:space="preserve"> Ministru kabineta</w:t>
            </w:r>
            <w:r>
              <w:rPr>
                <w:rFonts w:ascii="Times New Roman" w:hAnsi="Times New Roman"/>
                <w:sz w:val="24"/>
                <w:szCs w:val="24"/>
              </w:rPr>
              <w:t xml:space="preserve"> </w:t>
            </w:r>
            <w:r w:rsidR="00013665">
              <w:rPr>
                <w:rFonts w:ascii="Times New Roman" w:hAnsi="Times New Roman"/>
                <w:sz w:val="24"/>
                <w:szCs w:val="24"/>
              </w:rPr>
              <w:t>2013.</w:t>
            </w:r>
            <w:r w:rsidR="00503B82">
              <w:rPr>
                <w:rFonts w:ascii="Times New Roman" w:hAnsi="Times New Roman"/>
                <w:sz w:val="24"/>
                <w:szCs w:val="24"/>
              </w:rPr>
              <w:t> </w:t>
            </w:r>
            <w:r w:rsidR="00013665">
              <w:rPr>
                <w:rFonts w:ascii="Times New Roman" w:hAnsi="Times New Roman"/>
                <w:sz w:val="24"/>
                <w:szCs w:val="24"/>
              </w:rPr>
              <w:t>gada 9.</w:t>
            </w:r>
            <w:r w:rsidR="00503B82">
              <w:rPr>
                <w:rFonts w:ascii="Times New Roman" w:hAnsi="Times New Roman"/>
                <w:sz w:val="24"/>
                <w:szCs w:val="24"/>
              </w:rPr>
              <w:t> </w:t>
            </w:r>
            <w:r w:rsidR="00013665">
              <w:rPr>
                <w:rFonts w:ascii="Times New Roman" w:hAnsi="Times New Roman"/>
                <w:sz w:val="24"/>
                <w:szCs w:val="24"/>
              </w:rPr>
              <w:t>jūlija noteikumi</w:t>
            </w:r>
            <w:r w:rsidRPr="009A13F4" w:rsidR="009A13F4">
              <w:rPr>
                <w:rFonts w:ascii="Times New Roman" w:hAnsi="Times New Roman"/>
                <w:sz w:val="24"/>
                <w:szCs w:val="24"/>
              </w:rPr>
              <w:t xml:space="preserve"> Nr.</w:t>
            </w:r>
            <w:r w:rsidR="00503B82">
              <w:rPr>
                <w:rFonts w:ascii="Times New Roman" w:hAnsi="Times New Roman"/>
                <w:sz w:val="24"/>
                <w:szCs w:val="24"/>
              </w:rPr>
              <w:t> </w:t>
            </w:r>
            <w:r w:rsidRPr="009A13F4" w:rsidR="009A13F4">
              <w:rPr>
                <w:rFonts w:ascii="Times New Roman" w:hAnsi="Times New Roman"/>
                <w:sz w:val="24"/>
                <w:szCs w:val="24"/>
              </w:rPr>
              <w:t xml:space="preserve">366 „Noteikumi par aviācijas darbību dalību Eiropas Savienības emisijas kvotu tirdzniecības sistēmā” </w:t>
            </w:r>
            <w:r>
              <w:rPr>
                <w:rFonts w:ascii="Times New Roman" w:hAnsi="Times New Roman"/>
                <w:sz w:val="24"/>
                <w:szCs w:val="24"/>
              </w:rPr>
              <w:t>(turpmāk – noteikumi Nr.</w:t>
            </w:r>
            <w:r w:rsidR="00503B82">
              <w:rPr>
                <w:rFonts w:ascii="Times New Roman" w:hAnsi="Times New Roman"/>
                <w:sz w:val="24"/>
                <w:szCs w:val="24"/>
              </w:rPr>
              <w:t> </w:t>
            </w:r>
            <w:r w:rsidR="00013665">
              <w:rPr>
                <w:rFonts w:ascii="Times New Roman" w:hAnsi="Times New Roman"/>
                <w:sz w:val="24"/>
                <w:szCs w:val="24"/>
              </w:rPr>
              <w:t>366), neregulējot nosacījumus attiecībā uz formu, kādā</w:t>
            </w:r>
            <w:r w:rsidR="007F0575">
              <w:rPr>
                <w:rFonts w:ascii="Times New Roman" w:hAnsi="Times New Roman"/>
                <w:sz w:val="24"/>
                <w:szCs w:val="24"/>
              </w:rPr>
              <w:t xml:space="preserve"> </w:t>
            </w:r>
            <w:r w:rsidR="00013665">
              <w:rPr>
                <w:rFonts w:ascii="Times New Roman" w:hAnsi="Times New Roman"/>
                <w:sz w:val="24"/>
                <w:szCs w:val="24"/>
              </w:rPr>
              <w:t>veidā informācija ir iesniedzama kompetentajās iestādēs vai kādā veidā tiek veikta informācijas aprite starp iesaistītajām pusēm.</w:t>
            </w:r>
            <w:r>
              <w:rPr>
                <w:rFonts w:ascii="Times New Roman" w:hAnsi="Times New Roman"/>
                <w:sz w:val="24"/>
                <w:szCs w:val="24"/>
              </w:rPr>
              <w:t xml:space="preserve"> Informācijas iesniegšana papīra formātā (attiecīgo informāciju iesniedzot arī elektroniski, to nosūtot pa elektronisko pastu vai to iesniedzot elektroniskajā datu nesējā) palielina lietvedības noslodzi, kavē informācijas apriti un apgrūtina iesniegšanas procesu </w:t>
            </w:r>
            <w:r w:rsidR="001144C6">
              <w:rPr>
                <w:rFonts w:ascii="Times New Roman" w:hAnsi="Times New Roman"/>
                <w:sz w:val="24"/>
                <w:szCs w:val="24"/>
              </w:rPr>
              <w:t xml:space="preserve">gaisa kuģu </w:t>
            </w:r>
            <w:r>
              <w:rPr>
                <w:rFonts w:ascii="Times New Roman" w:hAnsi="Times New Roman"/>
                <w:sz w:val="24"/>
                <w:szCs w:val="24"/>
              </w:rPr>
              <w:t xml:space="preserve">operatoriem. Informācijas </w:t>
            </w:r>
            <w:r>
              <w:rPr>
                <w:rFonts w:ascii="Times New Roman" w:hAnsi="Times New Roman"/>
                <w:sz w:val="24"/>
                <w:szCs w:val="24"/>
              </w:rPr>
              <w:t>iesniegšana elektroniskā dokumenta formā ir apgrūtinoša maziem uzņēmumiem, kuriem nav pieejami elektroniskie paraksti.</w:t>
            </w:r>
            <w:r w:rsidR="001144C6">
              <w:rPr>
                <w:rFonts w:ascii="Times New Roman" w:hAnsi="Times New Roman"/>
                <w:sz w:val="24"/>
                <w:szCs w:val="24"/>
              </w:rPr>
              <w:t xml:space="preserve"> Tā kā Latvijas administrācijā ir arī tādi gaisa kuģu operatori, kuri nav Latvijas komersanti (nav reģistrēti Latvijas Uzņēmumu reģistrā) un to darbavietas neatrodas Latvijas teritorijā, tad šādiem gaisa kuģu operatoriem ir īpaši apgrūtinoši iesniegt visu nepieciešamo informāciju papīra formātā vai elektroniski parakstītu ar elektronisko parakstu.</w:t>
            </w:r>
          </w:p>
          <w:p w:rsidR="00027636" w:rsidRPr="00BD1B94" w:rsidP="00A01667" w14:paraId="529C2460" w14:textId="27D56D98">
            <w:pPr>
              <w:spacing w:before="60" w:after="60"/>
              <w:rPr>
                <w:rFonts w:ascii="Times New Roman" w:hAnsi="Times New Roman"/>
                <w:sz w:val="24"/>
                <w:szCs w:val="24"/>
              </w:rPr>
            </w:pPr>
            <w:r>
              <w:rPr>
                <w:rFonts w:ascii="Times New Roman" w:hAnsi="Times New Roman"/>
                <w:sz w:val="24"/>
                <w:szCs w:val="24"/>
              </w:rPr>
              <w:t>Savukārt</w:t>
            </w:r>
            <w:r w:rsidRPr="00BD1B94">
              <w:rPr>
                <w:rFonts w:ascii="Times New Roman" w:hAnsi="Times New Roman"/>
                <w:sz w:val="24"/>
                <w:szCs w:val="24"/>
              </w:rPr>
              <w:t xml:space="preserve"> </w:t>
            </w:r>
            <w:r>
              <w:rPr>
                <w:rFonts w:ascii="Times New Roman" w:hAnsi="Times New Roman"/>
                <w:sz w:val="24"/>
                <w:szCs w:val="24"/>
              </w:rPr>
              <w:t>i</w:t>
            </w:r>
            <w:r w:rsidRPr="00BD1B94">
              <w:rPr>
                <w:rFonts w:ascii="Times New Roman" w:hAnsi="Times New Roman"/>
                <w:sz w:val="24"/>
                <w:szCs w:val="24"/>
              </w:rPr>
              <w:t>nformācijas uzglabāšanu ikviens ES ETS dalībnieks veic individuāli</w:t>
            </w:r>
            <w:r w:rsidR="00A73FBE">
              <w:rPr>
                <w:rFonts w:ascii="Times New Roman" w:hAnsi="Times New Roman"/>
                <w:sz w:val="24"/>
                <w:szCs w:val="24"/>
              </w:rPr>
              <w:t>,</w:t>
            </w:r>
            <w:r w:rsidRPr="00BD1B94">
              <w:rPr>
                <w:rFonts w:ascii="Times New Roman" w:hAnsi="Times New Roman"/>
                <w:sz w:val="24"/>
                <w:szCs w:val="24"/>
              </w:rPr>
              <w:t xml:space="preserve"> kādā sevis izvēlētā veidā, kas būtiski apgrūtina informācijas pārbaudi verificētājiem un palielina darba apjomu ES ETS </w:t>
            </w:r>
            <w:r w:rsidR="00207C43">
              <w:rPr>
                <w:rFonts w:ascii="Times New Roman" w:hAnsi="Times New Roman"/>
                <w:sz w:val="24"/>
                <w:szCs w:val="24"/>
              </w:rPr>
              <w:t xml:space="preserve">gaisa kuģu </w:t>
            </w:r>
            <w:r w:rsidRPr="00BD1B94">
              <w:rPr>
                <w:rFonts w:ascii="Times New Roman" w:hAnsi="Times New Roman"/>
                <w:sz w:val="24"/>
                <w:szCs w:val="24"/>
              </w:rPr>
              <w:t xml:space="preserve">operatoriem informācijas uzglabāšanas sistēmas aprakstam (katram ES ETS </w:t>
            </w:r>
            <w:r w:rsidR="00207C43">
              <w:rPr>
                <w:rFonts w:ascii="Times New Roman" w:hAnsi="Times New Roman"/>
                <w:sz w:val="24"/>
                <w:szCs w:val="24"/>
              </w:rPr>
              <w:t xml:space="preserve">gaisa kuģa </w:t>
            </w:r>
            <w:r w:rsidRPr="00BD1B94">
              <w:rPr>
                <w:rFonts w:ascii="Times New Roman" w:hAnsi="Times New Roman"/>
                <w:sz w:val="24"/>
                <w:szCs w:val="24"/>
              </w:rPr>
              <w:t xml:space="preserve">operatoram saskaņā ar Eiropas Komisijas 2012. gada 21. jūnija </w:t>
            </w:r>
            <w:r w:rsidR="00EF3D09">
              <w:rPr>
                <w:rFonts w:ascii="Times New Roman" w:hAnsi="Times New Roman"/>
                <w:sz w:val="24"/>
                <w:szCs w:val="24"/>
              </w:rPr>
              <w:t>r</w:t>
            </w:r>
            <w:r w:rsidRPr="00BD1B94" w:rsidR="00EF3D09">
              <w:rPr>
                <w:rFonts w:ascii="Times New Roman" w:hAnsi="Times New Roman"/>
                <w:sz w:val="24"/>
                <w:szCs w:val="24"/>
              </w:rPr>
              <w:t xml:space="preserve">egulu </w:t>
            </w:r>
            <w:r w:rsidRPr="00BD1B94">
              <w:rPr>
                <w:rFonts w:ascii="Times New Roman" w:hAnsi="Times New Roman"/>
                <w:sz w:val="24"/>
                <w:szCs w:val="24"/>
              </w:rPr>
              <w:t xml:space="preserve">Nr. 601/2012 </w:t>
            </w:r>
            <w:r w:rsidRPr="00EF3D09">
              <w:rPr>
                <w:rFonts w:ascii="Times New Roman" w:hAnsi="Times New Roman"/>
                <w:i/>
                <w:sz w:val="24"/>
                <w:szCs w:val="24"/>
              </w:rPr>
              <w:t>par siltumnīcefekta gāzu emisiju monitoringu un ziņošanu saskaņā ar Eiropas Parlamenta un Padomes Direktīvu 2003/87/EK</w:t>
            </w:r>
            <w:r w:rsidR="00EF3D09">
              <w:rPr>
                <w:rFonts w:ascii="Times New Roman" w:hAnsi="Times New Roman"/>
                <w:i/>
                <w:sz w:val="24"/>
                <w:szCs w:val="24"/>
              </w:rPr>
              <w:t xml:space="preserve"> </w:t>
            </w:r>
            <w:r w:rsidR="009422C2">
              <w:rPr>
                <w:rFonts w:ascii="Times New Roman" w:hAnsi="Times New Roman"/>
                <w:sz w:val="24"/>
                <w:szCs w:val="24"/>
              </w:rPr>
              <w:t>(turpmāk – regula Nr. </w:t>
            </w:r>
            <w:r w:rsidR="00EF3D09">
              <w:rPr>
                <w:rFonts w:ascii="Times New Roman" w:hAnsi="Times New Roman"/>
                <w:sz w:val="24"/>
                <w:szCs w:val="24"/>
              </w:rPr>
              <w:t>601/2012)</w:t>
            </w:r>
            <w:r w:rsidR="00A73FBE">
              <w:rPr>
                <w:rFonts w:ascii="Times New Roman" w:hAnsi="Times New Roman"/>
                <w:sz w:val="24"/>
                <w:szCs w:val="24"/>
              </w:rPr>
              <w:t xml:space="preserve"> </w:t>
            </w:r>
            <w:r w:rsidRPr="00BD1B94">
              <w:rPr>
                <w:rFonts w:ascii="Times New Roman" w:hAnsi="Times New Roman"/>
                <w:sz w:val="24"/>
                <w:szCs w:val="24"/>
              </w:rPr>
              <w:t xml:space="preserve">jāsagatavo un jāiesniedz kompetentajai iestādei </w:t>
            </w:r>
            <w:r w:rsidR="00207C43">
              <w:rPr>
                <w:rFonts w:ascii="Times New Roman" w:hAnsi="Times New Roman"/>
                <w:sz w:val="24"/>
                <w:szCs w:val="24"/>
              </w:rPr>
              <w:t>emisiju monitoringa plāns</w:t>
            </w:r>
            <w:r w:rsidRPr="00BD1B94">
              <w:rPr>
                <w:rFonts w:ascii="Times New Roman" w:hAnsi="Times New Roman"/>
                <w:sz w:val="24"/>
                <w:szCs w:val="24"/>
              </w:rPr>
              <w:t xml:space="preserve">, kurā jāiekļauj detalizēta informācija par visas SEG monitoringam un ziņošanai nepieciešamās informācijas uzglabāšanas un arhivēšanas procedūru). Lielu daļu informācijas </w:t>
            </w:r>
            <w:r w:rsidR="00207C43">
              <w:rPr>
                <w:rFonts w:ascii="Times New Roman" w:hAnsi="Times New Roman"/>
                <w:sz w:val="24"/>
                <w:szCs w:val="24"/>
              </w:rPr>
              <w:t xml:space="preserve">CAA </w:t>
            </w:r>
            <w:r w:rsidRPr="00BD1B94">
              <w:rPr>
                <w:rFonts w:ascii="Times New Roman" w:hAnsi="Times New Roman"/>
                <w:sz w:val="24"/>
                <w:szCs w:val="24"/>
              </w:rPr>
              <w:t xml:space="preserve">publicē savā tīmekļvietnē, kas palielina administratīvo slogu </w:t>
            </w:r>
            <w:r w:rsidR="00207C43">
              <w:rPr>
                <w:rFonts w:ascii="Times New Roman" w:hAnsi="Times New Roman"/>
                <w:sz w:val="24"/>
                <w:szCs w:val="24"/>
              </w:rPr>
              <w:t>CAA</w:t>
            </w:r>
            <w:r w:rsidRPr="00BD1B94">
              <w:rPr>
                <w:rFonts w:ascii="Times New Roman" w:hAnsi="Times New Roman"/>
                <w:sz w:val="24"/>
                <w:szCs w:val="24"/>
              </w:rPr>
              <w:t>.</w:t>
            </w:r>
          </w:p>
          <w:p w:rsidR="004D6A72" w:rsidP="00A01667" w14:paraId="002E5335" w14:textId="6C660600">
            <w:pPr>
              <w:spacing w:before="60" w:after="60"/>
              <w:rPr>
                <w:rFonts w:ascii="Times New Roman" w:hAnsi="Times New Roman"/>
                <w:sz w:val="24"/>
                <w:szCs w:val="24"/>
              </w:rPr>
            </w:pPr>
            <w:r w:rsidRPr="00DE2486">
              <w:rPr>
                <w:rFonts w:ascii="Times New Roman" w:hAnsi="Times New Roman"/>
                <w:b/>
                <w:sz w:val="24"/>
                <w:szCs w:val="24"/>
              </w:rPr>
              <w:t>2</w:t>
            </w:r>
            <w:r w:rsidR="00503B82">
              <w:rPr>
                <w:rFonts w:ascii="Times New Roman" w:hAnsi="Times New Roman"/>
                <w:sz w:val="24"/>
                <w:szCs w:val="24"/>
              </w:rPr>
              <w:t>. Š</w:t>
            </w:r>
            <w:r>
              <w:rPr>
                <w:rFonts w:ascii="Times New Roman" w:hAnsi="Times New Roman"/>
                <w:sz w:val="24"/>
                <w:szCs w:val="24"/>
              </w:rPr>
              <w:t xml:space="preserve">obrīd </w:t>
            </w:r>
            <w:r w:rsidR="00DE2486">
              <w:rPr>
                <w:rFonts w:ascii="Times New Roman" w:hAnsi="Times New Roman"/>
                <w:sz w:val="24"/>
                <w:szCs w:val="24"/>
              </w:rPr>
              <w:t xml:space="preserve">Ministru </w:t>
            </w:r>
            <w:r w:rsidR="009422C2">
              <w:rPr>
                <w:rFonts w:ascii="Times New Roman" w:hAnsi="Times New Roman"/>
                <w:sz w:val="24"/>
                <w:szCs w:val="24"/>
              </w:rPr>
              <w:t>kabineta 2013. gada 9. </w:t>
            </w:r>
            <w:r w:rsidRPr="004D6A72">
              <w:rPr>
                <w:rFonts w:ascii="Times New Roman" w:hAnsi="Times New Roman"/>
                <w:sz w:val="24"/>
                <w:szCs w:val="24"/>
              </w:rPr>
              <w:t>jūli</w:t>
            </w:r>
            <w:r w:rsidR="009422C2">
              <w:rPr>
                <w:rFonts w:ascii="Times New Roman" w:hAnsi="Times New Roman"/>
                <w:sz w:val="24"/>
                <w:szCs w:val="24"/>
              </w:rPr>
              <w:t>ja noteikumos Nr. </w:t>
            </w:r>
            <w:r w:rsidRPr="004D6A72">
              <w:rPr>
                <w:rFonts w:ascii="Times New Roman" w:hAnsi="Times New Roman"/>
                <w:sz w:val="24"/>
                <w:szCs w:val="24"/>
              </w:rPr>
              <w:t>366 „Noteikumi par aviācijas darbību dalību Eiropas Savienības emisijas kvotu tirdzniecības sistēmā”</w:t>
            </w:r>
            <w:r>
              <w:rPr>
                <w:rFonts w:ascii="Times New Roman" w:hAnsi="Times New Roman"/>
                <w:sz w:val="24"/>
                <w:szCs w:val="24"/>
              </w:rPr>
              <w:t xml:space="preserve"> (turpmāk – Noteikumi Nr.</w:t>
            </w:r>
            <w:r w:rsidR="009422C2">
              <w:rPr>
                <w:rFonts w:ascii="Times New Roman" w:hAnsi="Times New Roman"/>
                <w:sz w:val="24"/>
                <w:szCs w:val="24"/>
              </w:rPr>
              <w:t> </w:t>
            </w:r>
            <w:r>
              <w:rPr>
                <w:rFonts w:ascii="Times New Roman" w:hAnsi="Times New Roman"/>
                <w:sz w:val="24"/>
                <w:szCs w:val="24"/>
              </w:rPr>
              <w:t xml:space="preserve">366) ir iekļauts nosacījums attiecībā uz mazajiem emitētājiem, kuru ziņojums ir uzskatīts par verificētu, ja tas ir sagatavots, izmantojot </w:t>
            </w:r>
            <w:r w:rsidR="009422C2">
              <w:rPr>
                <w:rFonts w:ascii="Times New Roman" w:hAnsi="Times New Roman"/>
                <w:sz w:val="24"/>
                <w:szCs w:val="24"/>
              </w:rPr>
              <w:t>Komisijas 2010. gada 9. </w:t>
            </w:r>
            <w:r w:rsidRPr="004D6A72">
              <w:rPr>
                <w:rFonts w:ascii="Times New Roman" w:hAnsi="Times New Roman"/>
                <w:sz w:val="24"/>
                <w:szCs w:val="24"/>
              </w:rPr>
              <w:t xml:space="preserve">jūlija </w:t>
            </w:r>
            <w:r w:rsidR="009422C2">
              <w:rPr>
                <w:rFonts w:ascii="Times New Roman" w:hAnsi="Times New Roman"/>
                <w:sz w:val="24"/>
                <w:szCs w:val="24"/>
              </w:rPr>
              <w:t>Regulas Nr. </w:t>
            </w:r>
            <w:r w:rsidRPr="004D6A72">
              <w:rPr>
                <w:rFonts w:ascii="Times New Roman" w:hAnsi="Times New Roman"/>
                <w:sz w:val="24"/>
                <w:szCs w:val="24"/>
              </w:rPr>
              <w:t>606/2010, ar ko apstiprina Eiropas Aeronavigācijas drošības organizācijas (</w:t>
            </w:r>
            <w:r w:rsidRPr="004D6A72">
              <w:rPr>
                <w:rFonts w:ascii="Times New Roman" w:hAnsi="Times New Roman"/>
                <w:sz w:val="24"/>
                <w:szCs w:val="24"/>
              </w:rPr>
              <w:t>Eurocontrol</w:t>
            </w:r>
            <w:r w:rsidRPr="004D6A72">
              <w:rPr>
                <w:rFonts w:ascii="Times New Roman" w:hAnsi="Times New Roman"/>
                <w:sz w:val="24"/>
                <w:szCs w:val="24"/>
              </w:rPr>
              <w:t>) izstrādātu vienkāršotu instrumentu degvielas patēriņa aplēsēm konkrētiem gaisa kuģu ekspluatantiem, kas ir mazie emitētāji,</w:t>
            </w:r>
            <w:r>
              <w:rPr>
                <w:rFonts w:ascii="Times New Roman" w:hAnsi="Times New Roman"/>
                <w:sz w:val="24"/>
                <w:szCs w:val="24"/>
              </w:rPr>
              <w:t xml:space="preserve"> tikai gadījumos, ja šī mazā emitētāja kopējais visos lidojumos radītais SEG emisiju </w:t>
            </w:r>
            <w:r w:rsidR="009104AB">
              <w:rPr>
                <w:rFonts w:ascii="Times New Roman" w:hAnsi="Times New Roman"/>
                <w:sz w:val="24"/>
                <w:szCs w:val="24"/>
              </w:rPr>
              <w:t>apjoms</w:t>
            </w:r>
            <w:r>
              <w:rPr>
                <w:rFonts w:ascii="Times New Roman" w:hAnsi="Times New Roman"/>
                <w:sz w:val="24"/>
                <w:szCs w:val="24"/>
              </w:rPr>
              <w:t xml:space="preserve"> nepārsniedz 25</w:t>
            </w:r>
            <w:r w:rsidR="009422C2">
              <w:rPr>
                <w:rFonts w:ascii="Times New Roman" w:hAnsi="Times New Roman"/>
                <w:sz w:val="24"/>
                <w:szCs w:val="24"/>
              </w:rPr>
              <w:t> 000 tonnu oglekļa dioksīda</w:t>
            </w:r>
            <w:r>
              <w:rPr>
                <w:rFonts w:ascii="Times New Roman" w:hAnsi="Times New Roman"/>
                <w:sz w:val="24"/>
                <w:szCs w:val="24"/>
              </w:rPr>
              <w:t xml:space="preserve">. Tomēr </w:t>
            </w:r>
            <w:r w:rsidR="009422C2">
              <w:rPr>
                <w:rFonts w:ascii="Times New Roman" w:hAnsi="Times New Roman"/>
                <w:sz w:val="24"/>
                <w:szCs w:val="24"/>
              </w:rPr>
              <w:t>regula Nr. </w:t>
            </w:r>
            <w:r w:rsidR="007701EF">
              <w:rPr>
                <w:rFonts w:ascii="Times New Roman" w:hAnsi="Times New Roman"/>
                <w:sz w:val="24"/>
                <w:szCs w:val="24"/>
              </w:rPr>
              <w:t>2017/2392</w:t>
            </w:r>
            <w:r>
              <w:rPr>
                <w:rFonts w:ascii="Times New Roman" w:hAnsi="Times New Roman"/>
                <w:sz w:val="24"/>
                <w:szCs w:val="24"/>
              </w:rPr>
              <w:t xml:space="preserve"> papildina šo nosacījumu attiecībā uz mazo emitētāju, </w:t>
            </w:r>
            <w:r w:rsidRPr="004D6A72">
              <w:rPr>
                <w:rFonts w:ascii="Times New Roman" w:hAnsi="Times New Roman"/>
                <w:sz w:val="24"/>
                <w:szCs w:val="24"/>
              </w:rPr>
              <w:t>kura radītais siltumnīcefekta gāzu emisiju apjoms iepriekšēj</w:t>
            </w:r>
            <w:r w:rsidR="009422C2">
              <w:rPr>
                <w:rFonts w:ascii="Times New Roman" w:hAnsi="Times New Roman"/>
                <w:sz w:val="24"/>
                <w:szCs w:val="24"/>
              </w:rPr>
              <w:t>ā kalendāra gadā nepārsniedza 3 </w:t>
            </w:r>
            <w:r w:rsidRPr="004D6A72">
              <w:rPr>
                <w:rFonts w:ascii="Times New Roman" w:hAnsi="Times New Roman"/>
                <w:sz w:val="24"/>
                <w:szCs w:val="24"/>
              </w:rPr>
              <w:t xml:space="preserve">000 tonnu oglekļa dioksīda lidojumos, </w:t>
            </w:r>
            <w:r w:rsidR="007701EF">
              <w:rPr>
                <w:rFonts w:ascii="Times New Roman" w:hAnsi="Times New Roman"/>
                <w:sz w:val="24"/>
                <w:szCs w:val="24"/>
              </w:rPr>
              <w:t>u</w:t>
            </w:r>
            <w:r w:rsidR="009422C2">
              <w:rPr>
                <w:rFonts w:ascii="Times New Roman" w:hAnsi="Times New Roman"/>
                <w:sz w:val="24"/>
                <w:szCs w:val="24"/>
              </w:rPr>
              <w:t>z kuriem neattiecas regulas Nr. </w:t>
            </w:r>
            <w:r w:rsidR="007701EF">
              <w:rPr>
                <w:rFonts w:ascii="Times New Roman" w:hAnsi="Times New Roman"/>
                <w:sz w:val="24"/>
                <w:szCs w:val="24"/>
              </w:rPr>
              <w:t>2017/2392 noteiktais aptvērums (t.i. nav lidojumi, kas ir minēti konkrētajā regulā)</w:t>
            </w:r>
            <w:r w:rsidR="00DE2486">
              <w:rPr>
                <w:rFonts w:ascii="Times New Roman" w:hAnsi="Times New Roman"/>
                <w:sz w:val="24"/>
                <w:szCs w:val="24"/>
              </w:rPr>
              <w:t>.</w:t>
            </w:r>
          </w:p>
          <w:p w:rsidR="00016C57" w:rsidRPr="005230A9" w:rsidP="00A01667" w14:paraId="5059D834" w14:textId="0FB15D1F">
            <w:pPr>
              <w:spacing w:before="60" w:after="60"/>
              <w:rPr>
                <w:rFonts w:ascii="Times New Roman" w:hAnsi="Times New Roman"/>
                <w:sz w:val="24"/>
                <w:szCs w:val="24"/>
              </w:rPr>
            </w:pPr>
            <w:r>
              <w:rPr>
                <w:rFonts w:ascii="Times New Roman" w:hAnsi="Times New Roman"/>
                <w:b/>
                <w:sz w:val="24"/>
                <w:szCs w:val="24"/>
              </w:rPr>
              <w:t>3</w:t>
            </w:r>
            <w:r w:rsidR="00503B82">
              <w:rPr>
                <w:rFonts w:ascii="Times New Roman" w:hAnsi="Times New Roman"/>
                <w:b/>
                <w:sz w:val="24"/>
                <w:szCs w:val="24"/>
              </w:rPr>
              <w:t>. </w:t>
            </w:r>
            <w:r w:rsidR="00503B82">
              <w:rPr>
                <w:rFonts w:ascii="Times New Roman" w:hAnsi="Times New Roman"/>
                <w:sz w:val="24"/>
                <w:szCs w:val="24"/>
              </w:rPr>
              <w:t>Š</w:t>
            </w:r>
            <w:r w:rsidR="009422C2">
              <w:rPr>
                <w:rFonts w:ascii="Times New Roman" w:hAnsi="Times New Roman"/>
                <w:sz w:val="24"/>
                <w:szCs w:val="24"/>
              </w:rPr>
              <w:t>obrīd noteikumu Nr. 366 3.6. </w:t>
            </w:r>
            <w:r w:rsidRPr="005230A9" w:rsidR="005230A9">
              <w:rPr>
                <w:rFonts w:ascii="Times New Roman" w:hAnsi="Times New Roman"/>
                <w:sz w:val="24"/>
                <w:szCs w:val="24"/>
              </w:rPr>
              <w:t>apakšpunktā ir noteikts, ka veidlapa ziņošanai par to finanšu līdzekļu izlietojumu, kurus gaisa kuģa operators attiecīgajā kalendāra gadā ir guvis, pārdodot tam bez maksas piešķirtās emisijas kvotas, ir pieejama</w:t>
            </w:r>
            <w:r w:rsidR="005230A9">
              <w:rPr>
                <w:rFonts w:ascii="Times New Roman" w:hAnsi="Times New Roman"/>
                <w:sz w:val="24"/>
                <w:szCs w:val="24"/>
              </w:rPr>
              <w:t xml:space="preserve"> tikai</w:t>
            </w:r>
            <w:r w:rsidR="00A73FBE">
              <w:rPr>
                <w:rFonts w:ascii="Times New Roman" w:hAnsi="Times New Roman"/>
                <w:sz w:val="24"/>
                <w:szCs w:val="24"/>
              </w:rPr>
              <w:t xml:space="preserve"> CAA tīmekļ</w:t>
            </w:r>
            <w:r w:rsidRPr="005230A9" w:rsidR="005230A9">
              <w:rPr>
                <w:rFonts w:ascii="Times New Roman" w:hAnsi="Times New Roman"/>
                <w:sz w:val="24"/>
                <w:szCs w:val="24"/>
              </w:rPr>
              <w:t>vietnē</w:t>
            </w:r>
            <w:r w:rsidR="005230A9">
              <w:rPr>
                <w:rFonts w:ascii="Times New Roman" w:hAnsi="Times New Roman"/>
                <w:sz w:val="24"/>
                <w:szCs w:val="24"/>
              </w:rPr>
              <w:t>, kā rezultātā varētu būt problēmas nodrošināt informācijas pieejamības nepārtrauktību</w:t>
            </w:r>
            <w:r w:rsidR="00A73FBE">
              <w:rPr>
                <w:rFonts w:ascii="Times New Roman" w:hAnsi="Times New Roman"/>
                <w:sz w:val="24"/>
                <w:szCs w:val="24"/>
              </w:rPr>
              <w:t>, ņemot vērā to, ka CAA tīmekļ</w:t>
            </w:r>
            <w:r w:rsidR="005230A9">
              <w:rPr>
                <w:rFonts w:ascii="Times New Roman" w:hAnsi="Times New Roman"/>
                <w:sz w:val="24"/>
                <w:szCs w:val="24"/>
              </w:rPr>
              <w:t>vietne var būt nepieejama zināmu laiku.</w:t>
            </w:r>
          </w:p>
          <w:p w:rsidR="00CB4AAB" w:rsidRPr="00BD1B94" w:rsidP="00A01667" w14:paraId="2885A2C8" w14:textId="013EE13C">
            <w:pPr>
              <w:pStyle w:val="naiskr"/>
              <w:spacing w:before="60" w:after="60"/>
              <w:jc w:val="both"/>
              <w:rPr>
                <w:u w:val="single"/>
              </w:rPr>
            </w:pPr>
            <w:r w:rsidRPr="00BD1B94">
              <w:rPr>
                <w:b/>
                <w:u w:val="single"/>
              </w:rPr>
              <w:t>2.</w:t>
            </w:r>
            <w:r w:rsidR="00503B82">
              <w:rPr>
                <w:u w:val="single"/>
              </w:rPr>
              <w:t> </w:t>
            </w:r>
            <w:r w:rsidRPr="00BD1B94">
              <w:rPr>
                <w:u w:val="single"/>
              </w:rPr>
              <w:t>Noteikumu projekts izstrād</w:t>
            </w:r>
            <w:r w:rsidR="00CC702E">
              <w:rPr>
                <w:u w:val="single"/>
              </w:rPr>
              <w:t>es</w:t>
            </w:r>
            <w:r w:rsidRPr="00BD1B94">
              <w:rPr>
                <w:u w:val="single"/>
              </w:rPr>
              <w:t xml:space="preserve"> mērķi</w:t>
            </w:r>
            <w:r w:rsidR="00CC702E">
              <w:rPr>
                <w:u w:val="single"/>
              </w:rPr>
              <w:t>:</w:t>
            </w:r>
          </w:p>
          <w:p w:rsidR="00EF3D09" w:rsidP="00A01667" w14:paraId="59A57977" w14:textId="467A3F1A">
            <w:pPr>
              <w:spacing w:before="60" w:after="60"/>
              <w:rPr>
                <w:rFonts w:ascii="Times New Roman" w:hAnsi="Times New Roman"/>
                <w:sz w:val="24"/>
                <w:szCs w:val="24"/>
              </w:rPr>
            </w:pPr>
            <w:r>
              <w:rPr>
                <w:rFonts w:ascii="Times New Roman" w:hAnsi="Times New Roman"/>
                <w:b/>
                <w:sz w:val="24"/>
                <w:szCs w:val="24"/>
              </w:rPr>
              <w:t>1)</w:t>
            </w:r>
            <w:r w:rsidR="00CC702E">
              <w:rPr>
                <w:rFonts w:ascii="Times New Roman" w:hAnsi="Times New Roman"/>
                <w:b/>
                <w:sz w:val="24"/>
                <w:szCs w:val="24"/>
              </w:rPr>
              <w:t> </w:t>
            </w:r>
            <w:r w:rsidR="009422C2">
              <w:rPr>
                <w:rFonts w:ascii="Times New Roman" w:hAnsi="Times New Roman"/>
                <w:sz w:val="24"/>
                <w:szCs w:val="24"/>
              </w:rPr>
              <w:t>a</w:t>
            </w:r>
            <w:r>
              <w:rPr>
                <w:rFonts w:ascii="Times New Roman" w:hAnsi="Times New Roman"/>
                <w:sz w:val="24"/>
                <w:szCs w:val="24"/>
              </w:rPr>
              <w:t xml:space="preserve">r </w:t>
            </w:r>
            <w:r w:rsidR="009422C2">
              <w:rPr>
                <w:rFonts w:ascii="Times New Roman" w:hAnsi="Times New Roman"/>
                <w:sz w:val="24"/>
                <w:szCs w:val="24"/>
              </w:rPr>
              <w:t>noteikumu projektu tiek paredzēti</w:t>
            </w:r>
            <w:r>
              <w:rPr>
                <w:rFonts w:ascii="Times New Roman" w:hAnsi="Times New Roman"/>
                <w:b/>
                <w:sz w:val="24"/>
                <w:szCs w:val="24"/>
              </w:rPr>
              <w:t xml:space="preserve"> </w:t>
            </w:r>
            <w:r>
              <w:rPr>
                <w:rFonts w:ascii="Times New Roman" w:hAnsi="Times New Roman"/>
                <w:sz w:val="24"/>
                <w:szCs w:val="24"/>
              </w:rPr>
              <w:t>nosacījumi izmantot ES ETS informācijas apmaiņas sistēmu DECLARE, jo</w:t>
            </w:r>
            <w:r w:rsidR="00024710">
              <w:rPr>
                <w:rFonts w:ascii="Times New Roman" w:hAnsi="Times New Roman"/>
                <w:sz w:val="24"/>
                <w:szCs w:val="24"/>
              </w:rPr>
              <w:t>,</w:t>
            </w:r>
            <w:r>
              <w:rPr>
                <w:rFonts w:ascii="Times New Roman" w:hAnsi="Times New Roman"/>
                <w:sz w:val="24"/>
                <w:szCs w:val="24"/>
              </w:rPr>
              <w:t xml:space="preserve"> izmantojot</w:t>
            </w:r>
            <w:r w:rsidR="00024710">
              <w:rPr>
                <w:rFonts w:ascii="Times New Roman" w:hAnsi="Times New Roman"/>
                <w:sz w:val="24"/>
                <w:szCs w:val="24"/>
              </w:rPr>
              <w:t xml:space="preserve"> </w:t>
            </w:r>
            <w:r>
              <w:rPr>
                <w:rFonts w:ascii="Times New Roman" w:hAnsi="Times New Roman"/>
                <w:sz w:val="24"/>
                <w:szCs w:val="24"/>
              </w:rPr>
              <w:t>šādu informācijas apmaiņas un uzglabāšanas rīku, būtiski samazināsies administratīvais slogs ES ETS gaisa kuģu operatoriem – nepieciešamais darba apjoms un laiks noteiktās informācijas iesniegšanai verificētājiem un p</w:t>
            </w:r>
            <w:r w:rsidR="009422C2">
              <w:rPr>
                <w:rFonts w:ascii="Times New Roman" w:hAnsi="Times New Roman"/>
                <w:sz w:val="24"/>
                <w:szCs w:val="24"/>
              </w:rPr>
              <w:t>ēc tam arī CAA;</w:t>
            </w:r>
          </w:p>
          <w:p w:rsidR="00EF3D09" w:rsidP="00A01667" w14:paraId="67FCEB3F" w14:textId="0AA1C058">
            <w:pPr>
              <w:spacing w:before="60" w:after="60"/>
              <w:rPr>
                <w:rFonts w:ascii="Times New Roman" w:hAnsi="Times New Roman"/>
                <w:sz w:val="24"/>
                <w:szCs w:val="24"/>
              </w:rPr>
            </w:pPr>
            <w:r>
              <w:rPr>
                <w:rFonts w:ascii="Times New Roman" w:hAnsi="Times New Roman"/>
                <w:sz w:val="24"/>
                <w:szCs w:val="24"/>
              </w:rPr>
              <w:t xml:space="preserve">Eiropas Komisija ir izstrādājusi un bez maksas ES dalībvalstīm piedāvā brīvprātīgi izmantot vienotu ES ETS informācijas apmaiņas sistēmu, ko Eiropas Komisija izstrādāja pēc pašas iniciatīvas, ņemot vērā līdz šim </w:t>
            </w:r>
            <w:r>
              <w:rPr>
                <w:rFonts w:ascii="Times New Roman" w:hAnsi="Times New Roman"/>
                <w:sz w:val="24"/>
                <w:szCs w:val="24"/>
              </w:rPr>
              <w:t xml:space="preserve">saņemtos </w:t>
            </w:r>
            <w:r w:rsidR="00D3266C">
              <w:rPr>
                <w:rFonts w:ascii="Times New Roman" w:hAnsi="Times New Roman"/>
                <w:sz w:val="24"/>
                <w:szCs w:val="24"/>
              </w:rPr>
              <w:t xml:space="preserve">ES </w:t>
            </w:r>
            <w:r>
              <w:rPr>
                <w:rFonts w:ascii="Times New Roman" w:hAnsi="Times New Roman"/>
                <w:sz w:val="24"/>
                <w:szCs w:val="24"/>
              </w:rPr>
              <w:t xml:space="preserve">dalībvalstu viedokļus par ES ETS informācijas </w:t>
            </w:r>
            <w:r w:rsidR="00D3266C">
              <w:rPr>
                <w:rFonts w:ascii="Times New Roman" w:hAnsi="Times New Roman"/>
                <w:sz w:val="24"/>
                <w:szCs w:val="24"/>
              </w:rPr>
              <w:t>sistēmas apmaiņas sarežģījumiem</w:t>
            </w:r>
            <w:r>
              <w:rPr>
                <w:rFonts w:ascii="Times New Roman" w:hAnsi="Times New Roman"/>
                <w:sz w:val="24"/>
                <w:szCs w:val="24"/>
              </w:rPr>
              <w:t xml:space="preserve"> (</w:t>
            </w:r>
            <w:r w:rsidR="00D3266C">
              <w:rPr>
                <w:rFonts w:ascii="Times New Roman" w:hAnsi="Times New Roman"/>
                <w:sz w:val="24"/>
                <w:szCs w:val="24"/>
              </w:rPr>
              <w:t xml:space="preserve">ES </w:t>
            </w:r>
            <w:r>
              <w:rPr>
                <w:rFonts w:ascii="Times New Roman" w:hAnsi="Times New Roman"/>
                <w:sz w:val="24"/>
                <w:szCs w:val="24"/>
              </w:rPr>
              <w:t>dalībvalstis katru gadu sagatavo ziņojumus par ES ETS īs</w:t>
            </w:r>
            <w:r w:rsidR="00D3266C">
              <w:rPr>
                <w:rFonts w:ascii="Times New Roman" w:hAnsi="Times New Roman"/>
                <w:sz w:val="24"/>
                <w:szCs w:val="24"/>
              </w:rPr>
              <w:t>tenošanu, kā arī 2014. un 2016. gadā Eiropas Komisija uzsāka</w:t>
            </w:r>
            <w:r>
              <w:rPr>
                <w:rFonts w:ascii="Times New Roman" w:hAnsi="Times New Roman"/>
                <w:sz w:val="24"/>
                <w:szCs w:val="24"/>
              </w:rPr>
              <w:t xml:space="preserve"> pārbaudes visās </w:t>
            </w:r>
            <w:r w:rsidR="00D3266C">
              <w:rPr>
                <w:rFonts w:ascii="Times New Roman" w:hAnsi="Times New Roman"/>
                <w:sz w:val="24"/>
                <w:szCs w:val="24"/>
              </w:rPr>
              <w:t xml:space="preserve">ES </w:t>
            </w:r>
            <w:r>
              <w:rPr>
                <w:rFonts w:ascii="Times New Roman" w:hAnsi="Times New Roman"/>
                <w:sz w:val="24"/>
                <w:szCs w:val="24"/>
              </w:rPr>
              <w:t>dalībvalstīs par ES ETS nosacījumu ieviešanu un īstenošanu).</w:t>
            </w:r>
            <w:r w:rsidR="00D3266C">
              <w:rPr>
                <w:rFonts w:ascii="Times New Roman" w:hAnsi="Times New Roman"/>
                <w:sz w:val="24"/>
                <w:szCs w:val="24"/>
              </w:rPr>
              <w:t xml:space="preserve"> Regulas Nr. 601/2012 74. un 75. pants noteic</w:t>
            </w:r>
            <w:r>
              <w:rPr>
                <w:rFonts w:ascii="Times New Roman" w:hAnsi="Times New Roman"/>
                <w:sz w:val="24"/>
                <w:szCs w:val="24"/>
              </w:rPr>
              <w:t xml:space="preserve">, ka </w:t>
            </w:r>
            <w:r w:rsidR="00D3266C">
              <w:rPr>
                <w:rFonts w:ascii="Times New Roman" w:hAnsi="Times New Roman"/>
                <w:sz w:val="24"/>
                <w:szCs w:val="24"/>
              </w:rPr>
              <w:t xml:space="preserve">ES </w:t>
            </w:r>
            <w:r>
              <w:rPr>
                <w:rFonts w:ascii="Times New Roman" w:hAnsi="Times New Roman"/>
                <w:sz w:val="24"/>
                <w:szCs w:val="24"/>
              </w:rPr>
              <w:t>dalībvalstis var izvēlēties izmantot</w:t>
            </w:r>
            <w:r>
              <w:t xml:space="preserve"> </w:t>
            </w:r>
            <w:r>
              <w:rPr>
                <w:rFonts w:ascii="Times New Roman" w:hAnsi="Times New Roman"/>
                <w:sz w:val="24"/>
                <w:szCs w:val="24"/>
              </w:rPr>
              <w:t xml:space="preserve">automatizētas sistēmas elektroniskai datu apmaiņai, pamatojoties uz noteikto ES ETS ziņošanas valodu, un </w:t>
            </w:r>
            <w:r w:rsidR="00D3266C">
              <w:rPr>
                <w:rFonts w:ascii="Times New Roman" w:hAnsi="Times New Roman"/>
                <w:sz w:val="24"/>
                <w:szCs w:val="24"/>
              </w:rPr>
              <w:t xml:space="preserve">ES </w:t>
            </w:r>
            <w:r>
              <w:rPr>
                <w:rFonts w:ascii="Times New Roman" w:hAnsi="Times New Roman"/>
                <w:sz w:val="24"/>
                <w:szCs w:val="24"/>
              </w:rPr>
              <w:t>dalībvalstis var prasīt, lai gaisa kuģu operatori šādas sistēmas izmanto. Eiropas Komisijas izstrādātā ES ETS informācijas apmaiņas sist</w:t>
            </w:r>
            <w:r w:rsidR="00D3266C">
              <w:rPr>
                <w:rFonts w:ascii="Times New Roman" w:hAnsi="Times New Roman"/>
                <w:sz w:val="24"/>
                <w:szCs w:val="24"/>
              </w:rPr>
              <w:t>ēma DECLARE atbilst regulas Nr. 601/2012 75. </w:t>
            </w:r>
            <w:r>
              <w:rPr>
                <w:rFonts w:ascii="Times New Roman" w:hAnsi="Times New Roman"/>
                <w:sz w:val="24"/>
                <w:szCs w:val="24"/>
              </w:rPr>
              <w:t>pantā noteiktajiem nosacījumiem</w:t>
            </w:r>
            <w:r w:rsidR="00D3266C">
              <w:rPr>
                <w:rFonts w:ascii="Times New Roman" w:hAnsi="Times New Roman"/>
                <w:sz w:val="24"/>
                <w:szCs w:val="24"/>
              </w:rPr>
              <w:t>,</w:t>
            </w:r>
            <w:r>
              <w:rPr>
                <w:rFonts w:ascii="Times New Roman" w:hAnsi="Times New Roman"/>
                <w:sz w:val="24"/>
                <w:szCs w:val="24"/>
              </w:rPr>
              <w:t xml:space="preserve"> un tajā notiek apmaiņa ar tām elektroniskām veidnēm (monitoringa plānam, emisiju ziņojumam, verifikācijas ziņojumam u.c.), ko Eiropas Komisija ir izst</w:t>
            </w:r>
            <w:r w:rsidR="00D3266C">
              <w:rPr>
                <w:rFonts w:ascii="Times New Roman" w:hAnsi="Times New Roman"/>
                <w:sz w:val="24"/>
                <w:szCs w:val="24"/>
              </w:rPr>
              <w:t>rādājusi saskaņā ar regulas Nr. 601/2012 74. </w:t>
            </w:r>
            <w:r>
              <w:rPr>
                <w:rFonts w:ascii="Times New Roman" w:hAnsi="Times New Roman"/>
                <w:sz w:val="24"/>
                <w:szCs w:val="24"/>
              </w:rPr>
              <w:t>pantu.</w:t>
            </w:r>
          </w:p>
          <w:p w:rsidR="00EF3D09" w:rsidP="00A01667" w14:paraId="6CD9BF9A" w14:textId="6F0550C9">
            <w:pPr>
              <w:spacing w:before="60" w:after="60"/>
              <w:rPr>
                <w:rFonts w:ascii="Times New Roman" w:hAnsi="Times New Roman"/>
                <w:sz w:val="24"/>
                <w:szCs w:val="24"/>
              </w:rPr>
            </w:pPr>
            <w:r>
              <w:rPr>
                <w:rFonts w:ascii="Times New Roman" w:hAnsi="Times New Roman"/>
                <w:sz w:val="24"/>
                <w:szCs w:val="24"/>
              </w:rPr>
              <w:t>ES ETS informācijas apmaiņas sistēmas DECLARE izmantošana būtiski atvieglos visu ES ETS dalībnieku – gaisa kuģu operatoru, verificētāju, CAA, kā arī VARAM</w:t>
            </w:r>
            <w:r w:rsidR="00A01667">
              <w:rPr>
                <w:rFonts w:ascii="Times New Roman" w:hAnsi="Times New Roman"/>
                <w:sz w:val="24"/>
                <w:szCs w:val="24"/>
              </w:rPr>
              <w:t xml:space="preserve">, </w:t>
            </w:r>
            <w:r w:rsidRPr="00A01667" w:rsidR="00A01667">
              <w:rPr>
                <w:rFonts w:ascii="Times New Roman" w:hAnsi="Times New Roman"/>
                <w:sz w:val="24"/>
                <w:szCs w:val="24"/>
              </w:rPr>
              <w:t>Latvi</w:t>
            </w:r>
            <w:r w:rsidR="00D3266C">
              <w:rPr>
                <w:rFonts w:ascii="Times New Roman" w:hAnsi="Times New Roman"/>
                <w:sz w:val="24"/>
                <w:szCs w:val="24"/>
              </w:rPr>
              <w:t>jas Nacionālā akreditācijas biroja</w:t>
            </w:r>
            <w:r w:rsidR="00A01667">
              <w:rPr>
                <w:rFonts w:ascii="Times New Roman" w:hAnsi="Times New Roman"/>
                <w:sz w:val="24"/>
                <w:szCs w:val="24"/>
              </w:rPr>
              <w:t xml:space="preserve"> (turpmāk – LATAK)</w:t>
            </w:r>
            <w:r>
              <w:rPr>
                <w:rFonts w:ascii="Times New Roman" w:hAnsi="Times New Roman"/>
                <w:sz w:val="24"/>
                <w:szCs w:val="24"/>
              </w:rPr>
              <w:t xml:space="preserve"> un emisijas reģistra nacionālo administratoru apmaiņu ar informāciju un pieejamību tai.</w:t>
            </w:r>
          </w:p>
          <w:p w:rsidR="00EF3D09" w:rsidRPr="00BD1B94" w:rsidP="00A01667" w14:paraId="470E7409" w14:textId="11D4834B">
            <w:pPr>
              <w:pStyle w:val="naiskr"/>
              <w:spacing w:before="60" w:after="60"/>
              <w:jc w:val="both"/>
            </w:pPr>
            <w:r w:rsidRPr="00BD1B94">
              <w:t xml:space="preserve">ES ETS informācijas apmaiņas sistēmā DECLARE katram </w:t>
            </w:r>
            <w:r>
              <w:t xml:space="preserve">gaisa kuģa </w:t>
            </w:r>
            <w:r w:rsidRPr="00BD1B94">
              <w:t>operatoram</w:t>
            </w:r>
            <w:r w:rsidR="00A01667">
              <w:t xml:space="preserve"> (kā arī verificētājam)</w:t>
            </w:r>
            <w:r w:rsidRPr="00BD1B94">
              <w:t xml:space="preserve"> tiks izveidots konts sistēmā, kurā notiks visa apmaiņa ar ES ETS informāciju – monitoringa plānu</w:t>
            </w:r>
            <w:r>
              <w:t xml:space="preserve"> un to grozījumu iesniegšana CAA, </w:t>
            </w:r>
            <w:r w:rsidRPr="00BD1B94">
              <w:t xml:space="preserve">emisiju ziņojumu iesniegšana verificētājam, verificētāja slēdziena iesniegšana </w:t>
            </w:r>
            <w:r>
              <w:t xml:space="preserve">gaisa kuģu </w:t>
            </w:r>
            <w:r w:rsidRPr="00BD1B94">
              <w:t xml:space="preserve">operatoriem, emisiju ziņojumu un verificētāja slēdziena iesniegšana </w:t>
            </w:r>
            <w:r>
              <w:t>CAA</w:t>
            </w:r>
            <w:r w:rsidRPr="00BD1B94">
              <w:t xml:space="preserve">, </w:t>
            </w:r>
            <w:r>
              <w:t>CAA</w:t>
            </w:r>
            <w:r w:rsidRPr="00BD1B94">
              <w:t xml:space="preserve"> lēmumu par emisiju ziņojumu apstiprināšanu vai noraidīšanu iesniegšana </w:t>
            </w:r>
            <w:r>
              <w:t xml:space="preserve">gaisa kuģa </w:t>
            </w:r>
            <w:r w:rsidRPr="00BD1B94">
              <w:t>operatoram; kā arī tiks uzglabāta visa informācija vienkopus. ES ETS informācijas apmaiņas sistēmā DECLARE</w:t>
            </w:r>
            <w:r>
              <w:t xml:space="preserve"> aviācijas darbību dalībai ES ETS</w:t>
            </w:r>
            <w:r w:rsidRPr="00BD1B94">
              <w:t xml:space="preserve"> šobrīd ir paredzētas šādas funkcijas:</w:t>
            </w:r>
          </w:p>
          <w:p w:rsidR="00EF3D09" w:rsidRPr="00BD1B94" w:rsidP="00A01667" w14:paraId="10865683" w14:textId="77777777">
            <w:pPr>
              <w:pStyle w:val="naiskr"/>
              <w:numPr>
                <w:ilvl w:val="1"/>
                <w:numId w:val="21"/>
              </w:numPr>
              <w:spacing w:before="60" w:after="60"/>
              <w:ind w:left="284" w:hanging="284"/>
              <w:jc w:val="both"/>
            </w:pPr>
            <w:r>
              <w:t xml:space="preserve">tonnkilometru monitoringa plānu un emisiju </w:t>
            </w:r>
            <w:r w:rsidRPr="00BD1B94">
              <w:t>monitoringa plānu iesniegšana un apstiprināšana (ar iespēju pievienot dažādus papildu dokumentus, piemēram, dažādus iesniegumus vai pamatojošo dokumentāciju);</w:t>
            </w:r>
          </w:p>
          <w:p w:rsidR="00EF3D09" w:rsidRPr="00BD1B94" w:rsidP="00A01667" w14:paraId="0CB19FE2" w14:textId="77777777">
            <w:pPr>
              <w:pStyle w:val="naiskr"/>
              <w:numPr>
                <w:ilvl w:val="1"/>
                <w:numId w:val="21"/>
              </w:numPr>
              <w:spacing w:before="60" w:after="60"/>
              <w:ind w:left="284" w:hanging="284"/>
              <w:jc w:val="both"/>
            </w:pPr>
            <w:r>
              <w:t xml:space="preserve">tonnkilometru ziņojumu un </w:t>
            </w:r>
            <w:r w:rsidRPr="00BD1B94">
              <w:t>emisiju ziņojumu iesniegšana verificētājam;</w:t>
            </w:r>
          </w:p>
          <w:p w:rsidR="00EF3D09" w:rsidRPr="00BD1B94" w:rsidP="00A01667" w14:paraId="154F4EBC" w14:textId="77777777">
            <w:pPr>
              <w:pStyle w:val="naiskr"/>
              <w:numPr>
                <w:ilvl w:val="1"/>
                <w:numId w:val="21"/>
              </w:numPr>
              <w:spacing w:before="60" w:after="60"/>
              <w:ind w:left="284" w:hanging="284"/>
              <w:jc w:val="both"/>
            </w:pPr>
            <w:r>
              <w:t xml:space="preserve">tonnkilometru ziņojumu un </w:t>
            </w:r>
            <w:r w:rsidRPr="00BD1B94">
              <w:t>emisiju ziņojumu verifikācija un verifikācijas slēdziena sniegšana;</w:t>
            </w:r>
          </w:p>
          <w:p w:rsidR="00EF3D09" w:rsidRPr="00BD1B94" w:rsidP="00A01667" w14:paraId="1E8C4D87" w14:textId="77777777">
            <w:pPr>
              <w:pStyle w:val="naiskr"/>
              <w:numPr>
                <w:ilvl w:val="1"/>
                <w:numId w:val="21"/>
              </w:numPr>
              <w:spacing w:before="60" w:after="60"/>
              <w:ind w:left="284" w:hanging="284"/>
              <w:jc w:val="both"/>
            </w:pPr>
            <w:r>
              <w:t xml:space="preserve">tonnkilometru ziņojumu un </w:t>
            </w:r>
            <w:r w:rsidRPr="00BD1B94">
              <w:t>emisiju ziņojumu iesniegšana kompetentajai iestādei;</w:t>
            </w:r>
          </w:p>
          <w:p w:rsidR="00EF3D09" w:rsidRPr="00BD1B94" w:rsidP="00A01667" w14:paraId="0786F59C" w14:textId="77777777">
            <w:pPr>
              <w:pStyle w:val="naiskr"/>
              <w:numPr>
                <w:ilvl w:val="1"/>
                <w:numId w:val="21"/>
              </w:numPr>
              <w:spacing w:before="60" w:after="60"/>
              <w:ind w:left="284" w:hanging="284"/>
              <w:jc w:val="both"/>
            </w:pPr>
            <w:r>
              <w:t xml:space="preserve">tonnkilometru ziņojumu un </w:t>
            </w:r>
            <w:r w:rsidRPr="00BD1B94">
              <w:t>emisiju ziņojumu apstiprināšana;</w:t>
            </w:r>
          </w:p>
          <w:p w:rsidR="00EF3D09" w:rsidRPr="00BD1B94" w:rsidP="00A01667" w14:paraId="5F8912AC" w14:textId="77777777">
            <w:pPr>
              <w:pStyle w:val="naiskr"/>
              <w:numPr>
                <w:ilvl w:val="1"/>
                <w:numId w:val="21"/>
              </w:numPr>
              <w:spacing w:before="60" w:after="60"/>
              <w:ind w:left="284" w:hanging="284"/>
              <w:jc w:val="both"/>
            </w:pPr>
            <w:r>
              <w:t xml:space="preserve">tonnkilometru ziņojumu un </w:t>
            </w:r>
            <w:r w:rsidRPr="00BD1B94">
              <w:t>emisiju ziņojumu un monitoringu plānu vienkāršā pārbaude par aizpildes pareizumu (sistēma automātiska pārbauda obligātu lauku aizpildīšanu);</w:t>
            </w:r>
          </w:p>
          <w:p w:rsidR="00EF3D09" w:rsidP="00A01667" w14:paraId="289E48BF" w14:textId="77777777">
            <w:pPr>
              <w:pStyle w:val="naiskr"/>
              <w:numPr>
                <w:ilvl w:val="1"/>
                <w:numId w:val="21"/>
              </w:numPr>
              <w:spacing w:before="60" w:after="60"/>
              <w:ind w:left="284" w:hanging="284"/>
              <w:jc w:val="both"/>
            </w:pPr>
            <w:r w:rsidRPr="00BD1B94">
              <w:t xml:space="preserve">datu apkopošanas rīki statistikas veikšanai, piemēram, </w:t>
            </w:r>
            <w:r>
              <w:t>d</w:t>
            </w:r>
            <w:r w:rsidRPr="00BD1B94">
              <w:t xml:space="preserve">irektīvas  2003/87/EK </w:t>
            </w:r>
            <w:r>
              <w:t>21. panta ziņošanas prasībām.</w:t>
            </w:r>
          </w:p>
          <w:p w:rsidR="00EF3D09" w:rsidRPr="00BD1B94" w:rsidP="00A01667" w14:paraId="5B598F51" w14:textId="77777777">
            <w:pPr>
              <w:pStyle w:val="naiskr"/>
              <w:spacing w:before="60" w:after="60"/>
              <w:jc w:val="both"/>
            </w:pPr>
            <w:r w:rsidRPr="00BD1B94">
              <w:t xml:space="preserve">Papildus šajā sistēmā </w:t>
            </w:r>
            <w:r>
              <w:t>CAA</w:t>
            </w:r>
            <w:r w:rsidRPr="00BD1B94">
              <w:t xml:space="preserve"> varēs </w:t>
            </w:r>
            <w:r>
              <w:t xml:space="preserve">gaisa kuģu </w:t>
            </w:r>
            <w:r w:rsidRPr="00BD1B94">
              <w:t>operatoriem nosūtīt (iesniegt)</w:t>
            </w:r>
            <w:r>
              <w:t xml:space="preserve"> </w:t>
            </w:r>
            <w:r w:rsidRPr="00BD1B94">
              <w:t xml:space="preserve">lēmumus par </w:t>
            </w:r>
            <w:r>
              <w:t xml:space="preserve">tonnkilometru monitoringa plāna, emisiju monitoringa plāna vai emisiju ziņojuma apstiprināšanu, kā arī iesniegt informāciju par </w:t>
            </w:r>
            <w:r w:rsidRPr="006134D9">
              <w:t>finanšu līdzekļu izlietojumu, kurus gaisa kuģa operators attiecīgajā kalendāra gadā ir guvis, pārdodot tam bez maksas piešķirtās emisijas kvotas</w:t>
            </w:r>
            <w:r>
              <w:t xml:space="preserve">, šo informāciju </w:t>
            </w:r>
            <w:r>
              <w:t>iesniedzot vienlaicīgi ar ikgadējo emisiju ziņojumu.</w:t>
            </w:r>
          </w:p>
          <w:p w:rsidR="00EF3D09" w:rsidP="00A01667" w14:paraId="33C5198C" w14:textId="6E4640AC">
            <w:pPr>
              <w:spacing w:before="60" w:after="60"/>
              <w:rPr>
                <w:rFonts w:ascii="Times New Roman" w:hAnsi="Times New Roman"/>
                <w:sz w:val="24"/>
                <w:szCs w:val="24"/>
              </w:rPr>
            </w:pPr>
            <w:r w:rsidRPr="00BD1B94">
              <w:rPr>
                <w:rFonts w:ascii="Times New Roman" w:hAnsi="Times New Roman"/>
                <w:sz w:val="24"/>
                <w:szCs w:val="24"/>
              </w:rPr>
              <w:t>Šai sistēmai un tajā esošajiem kontiem pieeja būs tikai konkrētiem nominētiem cilvēkiem (nebūs publiski pieejama informācija).</w:t>
            </w:r>
          </w:p>
          <w:p w:rsidR="00BD1B94" w:rsidRPr="00BD1B94" w:rsidP="00A01667" w14:paraId="7613E7CA" w14:textId="3F65688E">
            <w:pPr>
              <w:spacing w:before="60" w:after="60"/>
              <w:rPr>
                <w:rFonts w:ascii="Times New Roman" w:hAnsi="Times New Roman"/>
                <w:sz w:val="24"/>
                <w:szCs w:val="24"/>
              </w:rPr>
            </w:pPr>
            <w:r w:rsidRPr="00BD1B94">
              <w:rPr>
                <w:rFonts w:ascii="Times New Roman" w:hAnsi="Times New Roman"/>
                <w:sz w:val="24"/>
                <w:szCs w:val="24"/>
              </w:rPr>
              <w:t>Izmantojot šo sistēmu</w:t>
            </w:r>
            <w:r w:rsidR="006134D9">
              <w:rPr>
                <w:rFonts w:ascii="Times New Roman" w:hAnsi="Times New Roman"/>
                <w:sz w:val="24"/>
                <w:szCs w:val="24"/>
              </w:rPr>
              <w:t>,</w:t>
            </w:r>
            <w:r w:rsidRPr="00BD1B94">
              <w:rPr>
                <w:rFonts w:ascii="Times New Roman" w:hAnsi="Times New Roman"/>
                <w:sz w:val="24"/>
                <w:szCs w:val="24"/>
              </w:rPr>
              <w:t xml:space="preserve"> ES ETS </w:t>
            </w:r>
            <w:r w:rsidR="006134D9">
              <w:rPr>
                <w:rFonts w:ascii="Times New Roman" w:hAnsi="Times New Roman"/>
                <w:sz w:val="24"/>
                <w:szCs w:val="24"/>
              </w:rPr>
              <w:t xml:space="preserve">gaisa kuģu </w:t>
            </w:r>
            <w:r w:rsidRPr="00BD1B94">
              <w:rPr>
                <w:rFonts w:ascii="Times New Roman" w:hAnsi="Times New Roman"/>
                <w:sz w:val="24"/>
                <w:szCs w:val="24"/>
              </w:rPr>
              <w:t xml:space="preserve">operatori varēs pietiekami ātri un efektīvi iesniegt visu informāciju – </w:t>
            </w:r>
            <w:r w:rsidR="006134D9">
              <w:rPr>
                <w:rFonts w:ascii="Times New Roman" w:hAnsi="Times New Roman"/>
                <w:sz w:val="24"/>
                <w:szCs w:val="24"/>
              </w:rPr>
              <w:t>CAA</w:t>
            </w:r>
            <w:r w:rsidR="00D3266C">
              <w:rPr>
                <w:rFonts w:ascii="Times New Roman" w:hAnsi="Times New Roman"/>
                <w:sz w:val="24"/>
                <w:szCs w:val="24"/>
              </w:rPr>
              <w:t xml:space="preserve"> iesniedzamos</w:t>
            </w:r>
            <w:r w:rsidRPr="00BD1B94">
              <w:rPr>
                <w:rFonts w:ascii="Times New Roman" w:hAnsi="Times New Roman"/>
                <w:sz w:val="24"/>
                <w:szCs w:val="24"/>
              </w:rPr>
              <w:t xml:space="preserve"> </w:t>
            </w:r>
            <w:r w:rsidR="00D3266C">
              <w:rPr>
                <w:rFonts w:ascii="Times New Roman" w:hAnsi="Times New Roman"/>
                <w:sz w:val="24"/>
                <w:szCs w:val="24"/>
              </w:rPr>
              <w:t>monitoringa plānus</w:t>
            </w:r>
            <w:r w:rsidR="006134D9">
              <w:rPr>
                <w:rFonts w:ascii="Times New Roman" w:hAnsi="Times New Roman"/>
                <w:sz w:val="24"/>
                <w:szCs w:val="24"/>
              </w:rPr>
              <w:t xml:space="preserve"> </w:t>
            </w:r>
            <w:r w:rsidRPr="00BD1B94">
              <w:rPr>
                <w:rFonts w:ascii="Times New Roman" w:hAnsi="Times New Roman"/>
                <w:sz w:val="24"/>
                <w:szCs w:val="24"/>
              </w:rPr>
              <w:t>un</w:t>
            </w:r>
            <w:r w:rsidR="006134D9">
              <w:rPr>
                <w:rFonts w:ascii="Times New Roman" w:hAnsi="Times New Roman"/>
                <w:sz w:val="24"/>
                <w:szCs w:val="24"/>
              </w:rPr>
              <w:t xml:space="preserve"> to</w:t>
            </w:r>
            <w:r w:rsidR="00D3266C">
              <w:rPr>
                <w:rFonts w:ascii="Times New Roman" w:hAnsi="Times New Roman"/>
                <w:sz w:val="24"/>
                <w:szCs w:val="24"/>
              </w:rPr>
              <w:t xml:space="preserve"> pavadošo dokumentāciju, verificētājam iesniedzamos emisiju ziņojumus un pavadošo dokumentāciju</w:t>
            </w:r>
            <w:r w:rsidRPr="00BD1B94">
              <w:rPr>
                <w:rFonts w:ascii="Times New Roman" w:hAnsi="Times New Roman"/>
                <w:sz w:val="24"/>
                <w:szCs w:val="24"/>
              </w:rPr>
              <w:t xml:space="preserve">, </w:t>
            </w:r>
            <w:r w:rsidR="006134D9">
              <w:rPr>
                <w:rFonts w:ascii="Times New Roman" w:hAnsi="Times New Roman"/>
                <w:sz w:val="24"/>
                <w:szCs w:val="24"/>
              </w:rPr>
              <w:t>CAA</w:t>
            </w:r>
            <w:r w:rsidR="00D3266C">
              <w:rPr>
                <w:rFonts w:ascii="Times New Roman" w:hAnsi="Times New Roman"/>
                <w:sz w:val="24"/>
                <w:szCs w:val="24"/>
              </w:rPr>
              <w:t xml:space="preserve"> iesniedzamos gala emisiju ziņojumus, VARAM iesniedzamo</w:t>
            </w:r>
            <w:r w:rsidRPr="00BD1B94">
              <w:rPr>
                <w:rFonts w:ascii="Times New Roman" w:hAnsi="Times New Roman"/>
                <w:sz w:val="24"/>
                <w:szCs w:val="24"/>
              </w:rPr>
              <w:t xml:space="preserve"> informācija par </w:t>
            </w:r>
            <w:r w:rsidRPr="006134D9" w:rsidR="006134D9">
              <w:rPr>
                <w:rFonts w:ascii="Times New Roman" w:hAnsi="Times New Roman"/>
                <w:sz w:val="24"/>
                <w:szCs w:val="24"/>
              </w:rPr>
              <w:t>finanšu līdzekļu izlietojumu, kurus gaisa kuģa operators attiecīgajā kalendāra gadā ir guvis, pārdodot tam bez maksas piešķirtās emisijas kvotas</w:t>
            </w:r>
            <w:r w:rsidR="006134D9">
              <w:rPr>
                <w:rFonts w:ascii="Times New Roman" w:hAnsi="Times New Roman"/>
                <w:sz w:val="24"/>
                <w:szCs w:val="24"/>
              </w:rPr>
              <w:t xml:space="preserve"> </w:t>
            </w:r>
            <w:r w:rsidRPr="00BD1B94">
              <w:rPr>
                <w:rFonts w:ascii="Times New Roman" w:hAnsi="Times New Roman"/>
                <w:sz w:val="24"/>
                <w:szCs w:val="24"/>
              </w:rPr>
              <w:t>u.c., noteiktajām iestādēm, neizmantojot pastu, elektronisko pastu, datu nesēju, elektroniskos parakstus u.c. Šo sistēmu izmantojot</w:t>
            </w:r>
            <w:r w:rsidR="00A01667">
              <w:rPr>
                <w:rFonts w:ascii="Times New Roman" w:hAnsi="Times New Roman"/>
                <w:sz w:val="24"/>
                <w:szCs w:val="24"/>
              </w:rPr>
              <w:t>,</w:t>
            </w:r>
            <w:r w:rsidRPr="00BD1B94">
              <w:rPr>
                <w:rFonts w:ascii="Times New Roman" w:hAnsi="Times New Roman"/>
                <w:sz w:val="24"/>
                <w:szCs w:val="24"/>
              </w:rPr>
              <w:t xml:space="preserve"> ES ETS </w:t>
            </w:r>
            <w:r w:rsidR="006134D9">
              <w:rPr>
                <w:rFonts w:ascii="Times New Roman" w:hAnsi="Times New Roman"/>
                <w:sz w:val="24"/>
                <w:szCs w:val="24"/>
              </w:rPr>
              <w:t xml:space="preserve">gaisa kuģu </w:t>
            </w:r>
            <w:r w:rsidRPr="00BD1B94">
              <w:rPr>
                <w:rFonts w:ascii="Times New Roman" w:hAnsi="Times New Roman"/>
                <w:sz w:val="24"/>
                <w:szCs w:val="24"/>
              </w:rPr>
              <w:t>operatoram vairs nevajadzēs pašam uzturēt šīs iepriekšminētās informācijas uzglabāšanas vietni, jo tā visa tiks uzglabāta ES ETS informācijas apmaiņas sistēmā DECLARE.</w:t>
            </w:r>
          </w:p>
          <w:p w:rsidR="0012446F" w:rsidRPr="004D6A72" w:rsidP="00A01667" w14:paraId="4A616463" w14:textId="23EF8027">
            <w:pPr>
              <w:spacing w:before="60" w:after="60"/>
              <w:rPr>
                <w:rFonts w:ascii="Times New Roman" w:hAnsi="Times New Roman"/>
                <w:sz w:val="24"/>
                <w:szCs w:val="24"/>
              </w:rPr>
            </w:pPr>
            <w:r w:rsidRPr="004D6A72">
              <w:rPr>
                <w:rFonts w:ascii="Times New Roman" w:hAnsi="Times New Roman"/>
                <w:sz w:val="24"/>
                <w:szCs w:val="24"/>
              </w:rPr>
              <w:t xml:space="preserve">Papildus šī sistēma samazinās arī administratīvo slogu informācijas apmaiņai, kā arī informācijas uzglabāšanai </w:t>
            </w:r>
            <w:r w:rsidRPr="004D6A72" w:rsidR="006134D9">
              <w:rPr>
                <w:rFonts w:ascii="Times New Roman" w:hAnsi="Times New Roman"/>
                <w:sz w:val="24"/>
                <w:szCs w:val="24"/>
              </w:rPr>
              <w:t>CAA</w:t>
            </w:r>
            <w:r w:rsidRPr="004D6A72">
              <w:rPr>
                <w:rFonts w:ascii="Times New Roman" w:hAnsi="Times New Roman"/>
                <w:sz w:val="24"/>
                <w:szCs w:val="24"/>
              </w:rPr>
              <w:t>, VARAM</w:t>
            </w:r>
            <w:r w:rsidR="00A01667">
              <w:rPr>
                <w:rFonts w:ascii="Times New Roman" w:hAnsi="Times New Roman"/>
                <w:sz w:val="24"/>
                <w:szCs w:val="24"/>
              </w:rPr>
              <w:t>, LATAK</w:t>
            </w:r>
            <w:r w:rsidRPr="004D6A72">
              <w:rPr>
                <w:rFonts w:ascii="Times New Roman" w:hAnsi="Times New Roman"/>
                <w:sz w:val="24"/>
                <w:szCs w:val="24"/>
              </w:rPr>
              <w:t xml:space="preserve"> un emisijas reģistra nacionālajiem administratoriem.</w:t>
            </w:r>
          </w:p>
          <w:p w:rsidR="006134D9" w:rsidRPr="004D6A72" w:rsidP="00A01667" w14:paraId="3B2AFE3B" w14:textId="5C0A0A0E">
            <w:pPr>
              <w:spacing w:before="60" w:after="60"/>
              <w:rPr>
                <w:rFonts w:ascii="Times New Roman" w:hAnsi="Times New Roman"/>
                <w:sz w:val="24"/>
                <w:szCs w:val="24"/>
              </w:rPr>
            </w:pPr>
            <w:r w:rsidRPr="004D6A72">
              <w:rPr>
                <w:rFonts w:ascii="Times New Roman" w:hAnsi="Times New Roman"/>
                <w:sz w:val="24"/>
                <w:szCs w:val="24"/>
              </w:rPr>
              <w:t>ES ETS informācijas apmaiņas sistēmu DECLARE atvieglos arī informācijas apmaiņu gadīj</w:t>
            </w:r>
            <w:r w:rsidR="00877E06">
              <w:rPr>
                <w:rFonts w:ascii="Times New Roman" w:hAnsi="Times New Roman"/>
                <w:sz w:val="24"/>
                <w:szCs w:val="24"/>
              </w:rPr>
              <w:t>umos, ja Latvijā</w:t>
            </w:r>
            <w:r w:rsidRPr="004D6A72">
              <w:rPr>
                <w:rFonts w:ascii="Times New Roman" w:hAnsi="Times New Roman"/>
                <w:sz w:val="24"/>
                <w:szCs w:val="24"/>
              </w:rPr>
              <w:t xml:space="preserve"> savu darbību uzsāks</w:t>
            </w:r>
            <w:r w:rsidR="00877E06">
              <w:rPr>
                <w:rFonts w:ascii="Times New Roman" w:hAnsi="Times New Roman"/>
                <w:sz w:val="24"/>
                <w:szCs w:val="24"/>
              </w:rPr>
              <w:t xml:space="preserve"> kāds gaisa kuģa operators, kas</w:t>
            </w:r>
            <w:r w:rsidRPr="004D6A72">
              <w:rPr>
                <w:rFonts w:ascii="Times New Roman" w:hAnsi="Times New Roman"/>
                <w:sz w:val="24"/>
                <w:szCs w:val="24"/>
              </w:rPr>
              <w:t xml:space="preserve"> nav Latvijā reģistrēts </w:t>
            </w:r>
            <w:r w:rsidRPr="004D6A72" w:rsidR="00CC702E">
              <w:rPr>
                <w:rFonts w:ascii="Times New Roman" w:hAnsi="Times New Roman"/>
                <w:sz w:val="24"/>
                <w:szCs w:val="24"/>
              </w:rPr>
              <w:t>komersants</w:t>
            </w:r>
            <w:r w:rsidRPr="004D6A72">
              <w:rPr>
                <w:rFonts w:ascii="Times New Roman" w:hAnsi="Times New Roman"/>
                <w:sz w:val="24"/>
                <w:szCs w:val="24"/>
              </w:rPr>
              <w:t>.</w:t>
            </w:r>
          </w:p>
          <w:p w:rsidR="004D6A72" w:rsidP="00A01667" w14:paraId="15B8AAEE" w14:textId="7669DAFD">
            <w:pPr>
              <w:spacing w:before="60" w:after="60"/>
              <w:rPr>
                <w:rFonts w:ascii="Times New Roman" w:hAnsi="Times New Roman"/>
                <w:sz w:val="24"/>
                <w:szCs w:val="24"/>
              </w:rPr>
            </w:pPr>
            <w:r w:rsidRPr="004D6A72">
              <w:rPr>
                <w:rFonts w:ascii="Times New Roman" w:hAnsi="Times New Roman"/>
                <w:b/>
                <w:sz w:val="24"/>
                <w:szCs w:val="24"/>
              </w:rPr>
              <w:t>2</w:t>
            </w:r>
            <w:r w:rsidR="00503B82">
              <w:rPr>
                <w:rFonts w:ascii="Times New Roman" w:hAnsi="Times New Roman"/>
                <w:b/>
                <w:sz w:val="24"/>
                <w:szCs w:val="24"/>
              </w:rPr>
              <w:t>. </w:t>
            </w:r>
            <w:r w:rsidR="00C4122B">
              <w:rPr>
                <w:rFonts w:ascii="Times New Roman" w:hAnsi="Times New Roman"/>
                <w:sz w:val="24"/>
                <w:szCs w:val="24"/>
              </w:rPr>
              <w:t xml:space="preserve">Ar noteikumu projektu </w:t>
            </w:r>
            <w:r w:rsidR="00D3266C">
              <w:rPr>
                <w:rFonts w:ascii="Times New Roman" w:hAnsi="Times New Roman"/>
                <w:sz w:val="24"/>
                <w:szCs w:val="24"/>
              </w:rPr>
              <w:t>Noteikumos Nr. </w:t>
            </w:r>
            <w:r w:rsidRPr="004D6A72">
              <w:rPr>
                <w:rFonts w:ascii="Times New Roman" w:hAnsi="Times New Roman"/>
                <w:sz w:val="24"/>
                <w:szCs w:val="24"/>
              </w:rPr>
              <w:t>366 iekļaut</w:t>
            </w:r>
            <w:r w:rsidR="005230A9">
              <w:rPr>
                <w:rFonts w:ascii="Times New Roman" w:hAnsi="Times New Roman"/>
                <w:sz w:val="24"/>
                <w:szCs w:val="24"/>
              </w:rPr>
              <w:t>ie</w:t>
            </w:r>
            <w:r w:rsidRPr="004D6A72">
              <w:rPr>
                <w:rFonts w:ascii="Times New Roman" w:hAnsi="Times New Roman"/>
                <w:sz w:val="24"/>
                <w:szCs w:val="24"/>
              </w:rPr>
              <w:t xml:space="preserve"> nosacījum</w:t>
            </w:r>
            <w:r w:rsidR="005230A9">
              <w:rPr>
                <w:rFonts w:ascii="Times New Roman" w:hAnsi="Times New Roman"/>
                <w:sz w:val="24"/>
                <w:szCs w:val="24"/>
              </w:rPr>
              <w:t>i tiek pielāgoti</w:t>
            </w:r>
            <w:r w:rsidRPr="004D6A72">
              <w:rPr>
                <w:rFonts w:ascii="Times New Roman" w:hAnsi="Times New Roman"/>
                <w:sz w:val="24"/>
                <w:szCs w:val="24"/>
              </w:rPr>
              <w:t xml:space="preserve"> </w:t>
            </w:r>
            <w:r w:rsidR="00D3266C">
              <w:rPr>
                <w:rFonts w:ascii="Times New Roman" w:hAnsi="Times New Roman"/>
                <w:sz w:val="24"/>
                <w:szCs w:val="24"/>
              </w:rPr>
              <w:t>regulā Nr. </w:t>
            </w:r>
            <w:r w:rsidR="005230A9">
              <w:rPr>
                <w:rFonts w:ascii="Times New Roman" w:hAnsi="Times New Roman"/>
                <w:sz w:val="24"/>
                <w:szCs w:val="24"/>
              </w:rPr>
              <w:t xml:space="preserve">2017/2392 </w:t>
            </w:r>
            <w:r w:rsidRPr="004D6A72">
              <w:rPr>
                <w:rFonts w:ascii="Times New Roman" w:hAnsi="Times New Roman"/>
                <w:sz w:val="24"/>
                <w:szCs w:val="24"/>
              </w:rPr>
              <w:t>iekļautajiem nosacījumiem</w:t>
            </w:r>
            <w:r w:rsidR="00DE2486">
              <w:rPr>
                <w:rFonts w:ascii="Times New Roman" w:hAnsi="Times New Roman"/>
                <w:sz w:val="24"/>
                <w:szCs w:val="24"/>
              </w:rPr>
              <w:t>, lai pēc ies</w:t>
            </w:r>
            <w:r w:rsidR="00D3266C">
              <w:rPr>
                <w:rFonts w:ascii="Times New Roman" w:hAnsi="Times New Roman"/>
                <w:sz w:val="24"/>
                <w:szCs w:val="24"/>
              </w:rPr>
              <w:t>pējas ātrāk Latvijas normatīvo regulējumu sa</w:t>
            </w:r>
            <w:r w:rsidR="00DE2486">
              <w:rPr>
                <w:rFonts w:ascii="Times New Roman" w:hAnsi="Times New Roman"/>
                <w:sz w:val="24"/>
                <w:szCs w:val="24"/>
              </w:rPr>
              <w:t>lāgotu Eiropas Savien</w:t>
            </w:r>
            <w:r w:rsidR="00D3266C">
              <w:rPr>
                <w:rFonts w:ascii="Times New Roman" w:hAnsi="Times New Roman"/>
                <w:sz w:val="24"/>
                <w:szCs w:val="24"/>
              </w:rPr>
              <w:t>ības normatīvajam regulējumam</w:t>
            </w:r>
            <w:r w:rsidRPr="004D6A72">
              <w:rPr>
                <w:rFonts w:ascii="Times New Roman" w:hAnsi="Times New Roman"/>
                <w:sz w:val="24"/>
                <w:szCs w:val="24"/>
              </w:rPr>
              <w:t>.</w:t>
            </w:r>
          </w:p>
          <w:p w:rsidR="005230A9" w:rsidRPr="00BD1B94" w:rsidP="00A01667" w14:paraId="29D10780" w14:textId="62DAA80E">
            <w:pPr>
              <w:spacing w:before="60" w:after="60"/>
              <w:rPr>
                <w:rFonts w:ascii="Times New Roman" w:hAnsi="Times New Roman"/>
                <w:sz w:val="24"/>
                <w:szCs w:val="24"/>
              </w:rPr>
            </w:pPr>
            <w:r w:rsidRPr="00910D0A">
              <w:rPr>
                <w:rFonts w:ascii="Times New Roman" w:hAnsi="Times New Roman"/>
                <w:b/>
                <w:sz w:val="24"/>
                <w:szCs w:val="24"/>
              </w:rPr>
              <w:t>3</w:t>
            </w:r>
            <w:r w:rsidR="00503B82">
              <w:rPr>
                <w:rFonts w:ascii="Times New Roman" w:hAnsi="Times New Roman"/>
                <w:b/>
                <w:sz w:val="24"/>
                <w:szCs w:val="24"/>
              </w:rPr>
              <w:t>. </w:t>
            </w:r>
            <w:r w:rsidR="00C4122B">
              <w:rPr>
                <w:rFonts w:ascii="Times New Roman" w:hAnsi="Times New Roman"/>
                <w:sz w:val="24"/>
                <w:szCs w:val="24"/>
              </w:rPr>
              <w:t xml:space="preserve">Ar noteikumu projektu tiek </w:t>
            </w:r>
            <w:r w:rsidR="00D3266C">
              <w:rPr>
                <w:rFonts w:ascii="Times New Roman" w:hAnsi="Times New Roman"/>
                <w:sz w:val="24"/>
                <w:szCs w:val="24"/>
              </w:rPr>
              <w:t>paredzēts</w:t>
            </w:r>
            <w:r>
              <w:rPr>
                <w:rFonts w:ascii="Times New Roman" w:hAnsi="Times New Roman"/>
                <w:sz w:val="24"/>
                <w:szCs w:val="24"/>
              </w:rPr>
              <w:t xml:space="preserve">, ka </w:t>
            </w:r>
            <w:r w:rsidRPr="005230A9">
              <w:rPr>
                <w:rFonts w:ascii="Times New Roman" w:hAnsi="Times New Roman"/>
                <w:sz w:val="24"/>
                <w:szCs w:val="24"/>
              </w:rPr>
              <w:t>veidlapa ziņošanai par to finanšu līdzekļu izlietojumu, kurus gaisa kuģa operators attiecīgajā kalendāra gadā ir guvis, pārdodot tam bez maksas piešķirtās emisijas kvotas, ir pieejama</w:t>
            </w:r>
            <w:r>
              <w:rPr>
                <w:rFonts w:ascii="Times New Roman" w:hAnsi="Times New Roman"/>
                <w:sz w:val="24"/>
                <w:szCs w:val="24"/>
              </w:rPr>
              <w:t xml:space="preserve"> ne tikai</w:t>
            </w:r>
            <w:r w:rsidRPr="005230A9">
              <w:rPr>
                <w:rFonts w:ascii="Times New Roman" w:hAnsi="Times New Roman"/>
                <w:sz w:val="24"/>
                <w:szCs w:val="24"/>
              </w:rPr>
              <w:t xml:space="preserve"> CAA tīmekļvietnē</w:t>
            </w:r>
            <w:r>
              <w:rPr>
                <w:rFonts w:ascii="Times New Roman" w:hAnsi="Times New Roman"/>
                <w:sz w:val="24"/>
                <w:szCs w:val="24"/>
              </w:rPr>
              <w:t>, bet arī VARAM tīmekļvietnē, lai nodrošinātu informācijas pieejamības nepārtrauktību, kā arī, lai atvieglotu gaisa kuģu operatoriem pieejamo informāciju, ņemot vērā gaisa kuģu operatoru uzdotos jautājumus par informācijas pieejamību un tās meklēšanu tieši VARAM tīmekļvietnē.</w:t>
            </w:r>
          </w:p>
        </w:tc>
      </w:tr>
      <w:tr w14:paraId="4DFF3ADA" w14:textId="77777777" w:rsidTr="000F14C9">
        <w:tblPrEx>
          <w:tblW w:w="9639" w:type="dxa"/>
          <w:jc w:val="center"/>
          <w:tblCellMar>
            <w:left w:w="57" w:type="dxa"/>
            <w:right w:w="57" w:type="dxa"/>
          </w:tblCellMar>
          <w:tblLook w:val="00A0"/>
        </w:tblPrEx>
        <w:trPr>
          <w:trHeight w:val="274"/>
          <w:jc w:val="center"/>
        </w:trPr>
        <w:tc>
          <w:tcPr>
            <w:tcW w:w="250" w:type="pct"/>
          </w:tcPr>
          <w:p w:rsidR="00CB4AAB" w:rsidRPr="00F122F9" w:rsidP="00A01667" w14:paraId="16B2083B" w14:textId="017C7692">
            <w:pPr>
              <w:spacing w:before="60" w:after="60"/>
              <w:jc w:val="center"/>
              <w:rPr>
                <w:rFonts w:ascii="Times New Roman" w:hAnsi="Times New Roman"/>
                <w:lang w:eastAsia="lv-LV"/>
              </w:rPr>
            </w:pPr>
            <w:r w:rsidRPr="00F122F9">
              <w:rPr>
                <w:rFonts w:ascii="Times New Roman" w:hAnsi="Times New Roman"/>
                <w:lang w:eastAsia="lv-LV"/>
              </w:rPr>
              <w:t>3.</w:t>
            </w:r>
          </w:p>
        </w:tc>
        <w:tc>
          <w:tcPr>
            <w:tcW w:w="853" w:type="pct"/>
          </w:tcPr>
          <w:p w:rsidR="00CB4AAB" w:rsidRPr="00810942" w:rsidP="00A01667" w14:paraId="46F27036"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izstrādē iesaistītās institūcijas</w:t>
            </w:r>
          </w:p>
        </w:tc>
        <w:tc>
          <w:tcPr>
            <w:tcW w:w="3897" w:type="pct"/>
          </w:tcPr>
          <w:p w:rsidR="00F07CD0" w:rsidRPr="00E26E9B" w:rsidP="00A01667" w14:paraId="4FF6E6C0" w14:textId="19E92123">
            <w:pPr>
              <w:pStyle w:val="naiskr"/>
              <w:spacing w:before="60" w:after="60"/>
              <w:jc w:val="both"/>
              <w:rPr>
                <w:iCs/>
                <w:sz w:val="22"/>
                <w:szCs w:val="22"/>
              </w:rPr>
            </w:pPr>
            <w:r w:rsidRPr="00480824">
              <w:rPr>
                <w:iCs/>
              </w:rPr>
              <w:t>VARAM, CAA</w:t>
            </w:r>
          </w:p>
        </w:tc>
      </w:tr>
      <w:tr w14:paraId="3495304A" w14:textId="77777777" w:rsidTr="00F122F9">
        <w:tblPrEx>
          <w:tblW w:w="9639" w:type="dxa"/>
          <w:jc w:val="center"/>
          <w:tblCellMar>
            <w:left w:w="57" w:type="dxa"/>
            <w:right w:w="57" w:type="dxa"/>
          </w:tblCellMar>
          <w:tblLook w:val="00A0"/>
        </w:tblPrEx>
        <w:trPr>
          <w:jc w:val="center"/>
        </w:trPr>
        <w:tc>
          <w:tcPr>
            <w:tcW w:w="250" w:type="pct"/>
          </w:tcPr>
          <w:p w:rsidR="00CB4AAB" w:rsidRPr="00F122F9" w:rsidP="00A01667" w14:paraId="538194A3" w14:textId="77777777">
            <w:pPr>
              <w:spacing w:before="60" w:after="60"/>
              <w:jc w:val="center"/>
              <w:rPr>
                <w:rFonts w:ascii="Times New Roman" w:hAnsi="Times New Roman"/>
                <w:lang w:eastAsia="lv-LV"/>
              </w:rPr>
            </w:pPr>
            <w:r w:rsidRPr="00F122F9">
              <w:rPr>
                <w:rFonts w:ascii="Times New Roman" w:hAnsi="Times New Roman"/>
                <w:lang w:eastAsia="lv-LV"/>
              </w:rPr>
              <w:t>4.</w:t>
            </w:r>
          </w:p>
        </w:tc>
        <w:tc>
          <w:tcPr>
            <w:tcW w:w="853" w:type="pct"/>
          </w:tcPr>
          <w:p w:rsidR="00CB4AAB" w:rsidRPr="00810942" w:rsidP="00A01667" w14:paraId="2D300A15"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897" w:type="pct"/>
          </w:tcPr>
          <w:p w:rsidR="00CB4AAB" w:rsidRPr="00810942" w:rsidP="00D3266C" w14:paraId="26FF8B71" w14:textId="43C4F3ED">
            <w:pPr>
              <w:spacing w:before="60" w:after="60"/>
              <w:rPr>
                <w:rFonts w:ascii="Times New Roman" w:hAnsi="Times New Roman"/>
                <w:sz w:val="24"/>
                <w:szCs w:val="24"/>
                <w:lang w:eastAsia="lv-LV"/>
              </w:rPr>
            </w:pPr>
            <w:r>
              <w:rPr>
                <w:rFonts w:ascii="Times New Roman" w:hAnsi="Times New Roman"/>
                <w:sz w:val="24"/>
                <w:szCs w:val="24"/>
                <w:lang w:eastAsia="lv-LV"/>
              </w:rPr>
              <w:t xml:space="preserve">Noteikumu projekts virzāms izskatīšanai Ministru kabinetā pēc </w:t>
            </w:r>
            <w:r w:rsidRPr="00B30135">
              <w:rPr>
                <w:rFonts w:ascii="Times New Roman" w:hAnsi="Times New Roman"/>
                <w:sz w:val="24"/>
                <w:szCs w:val="24"/>
                <w:lang w:eastAsia="lv-LV"/>
              </w:rPr>
              <w:t>likumprojekt</w:t>
            </w:r>
            <w:r>
              <w:rPr>
                <w:rFonts w:ascii="Times New Roman" w:hAnsi="Times New Roman"/>
                <w:sz w:val="24"/>
                <w:szCs w:val="24"/>
                <w:lang w:eastAsia="lv-LV"/>
              </w:rPr>
              <w:t>a</w:t>
            </w:r>
            <w:r w:rsidRPr="00B30135">
              <w:rPr>
                <w:rFonts w:ascii="Times New Roman" w:hAnsi="Times New Roman"/>
                <w:sz w:val="24"/>
                <w:szCs w:val="24"/>
                <w:lang w:eastAsia="lv-LV"/>
              </w:rPr>
              <w:t xml:space="preserve"> “Grozījumi likumā “Par piesārņojumu” (Nr.</w:t>
            </w:r>
            <w:r>
              <w:rPr>
                <w:rFonts w:ascii="Times New Roman" w:hAnsi="Times New Roman"/>
                <w:sz w:val="24"/>
                <w:szCs w:val="24"/>
                <w:lang w:eastAsia="lv-LV"/>
              </w:rPr>
              <w:t> </w:t>
            </w:r>
            <w:r w:rsidRPr="00B30135">
              <w:rPr>
                <w:rFonts w:ascii="Times New Roman" w:hAnsi="Times New Roman"/>
                <w:sz w:val="24"/>
                <w:szCs w:val="24"/>
                <w:lang w:eastAsia="lv-LV"/>
              </w:rPr>
              <w:t>1034/Lp12)</w:t>
            </w:r>
            <w:r>
              <w:rPr>
                <w:rFonts w:ascii="Times New Roman" w:hAnsi="Times New Roman"/>
                <w:sz w:val="24"/>
                <w:szCs w:val="24"/>
                <w:lang w:eastAsia="lv-LV"/>
              </w:rPr>
              <w:t xml:space="preserve"> spēkā stāšanās. L</w:t>
            </w:r>
            <w:r w:rsidRPr="00B30135">
              <w:rPr>
                <w:rFonts w:ascii="Times New Roman" w:hAnsi="Times New Roman"/>
                <w:sz w:val="24"/>
                <w:szCs w:val="24"/>
                <w:lang w:eastAsia="lv-LV"/>
              </w:rPr>
              <w:t>ikumprojekt</w:t>
            </w:r>
            <w:r>
              <w:rPr>
                <w:rFonts w:ascii="Times New Roman" w:hAnsi="Times New Roman"/>
                <w:sz w:val="24"/>
                <w:szCs w:val="24"/>
                <w:lang w:eastAsia="lv-LV"/>
              </w:rPr>
              <w:t>s</w:t>
            </w:r>
            <w:r w:rsidRPr="00B30135">
              <w:rPr>
                <w:rFonts w:ascii="Times New Roman" w:hAnsi="Times New Roman"/>
                <w:sz w:val="24"/>
                <w:szCs w:val="24"/>
                <w:lang w:eastAsia="lv-LV"/>
              </w:rPr>
              <w:t xml:space="preserve"> “Grozījumi likumā “Par piesārņojumu” (Nr.</w:t>
            </w:r>
            <w:r>
              <w:rPr>
                <w:rFonts w:ascii="Times New Roman" w:hAnsi="Times New Roman"/>
                <w:sz w:val="24"/>
                <w:szCs w:val="24"/>
                <w:lang w:eastAsia="lv-LV"/>
              </w:rPr>
              <w:t> </w:t>
            </w:r>
            <w:r w:rsidRPr="00B30135">
              <w:rPr>
                <w:rFonts w:ascii="Times New Roman" w:hAnsi="Times New Roman"/>
                <w:sz w:val="24"/>
                <w:szCs w:val="24"/>
                <w:lang w:eastAsia="lv-LV"/>
              </w:rPr>
              <w:t>1034/Lp12)</w:t>
            </w:r>
            <w:r>
              <w:rPr>
                <w:rFonts w:ascii="Times New Roman" w:hAnsi="Times New Roman"/>
                <w:sz w:val="24"/>
                <w:szCs w:val="24"/>
                <w:lang w:eastAsia="lv-LV"/>
              </w:rPr>
              <w:t xml:space="preserve"> šā gada 1. februārī izskatīts 3. lasījumā Latvijas Republikas Saeimā.</w:t>
            </w:r>
          </w:p>
        </w:tc>
      </w:tr>
    </w:tbl>
    <w:p w:rsidR="00CB4AAB" w:rsidRPr="00F122F9" w:rsidP="00A01667" w14:paraId="5A6A503C" w14:textId="77777777">
      <w:pPr>
        <w:spacing w:before="60" w:after="60"/>
        <w:ind w:firstLine="301"/>
        <w:jc w:val="left"/>
        <w:rPr>
          <w:rFonts w:ascii="Times New Roman" w:hAnsi="Times New Roman"/>
          <w:sz w:val="24"/>
          <w:szCs w:val="24"/>
          <w:lang w:eastAsia="lv-LV"/>
        </w:rPr>
      </w:pPr>
      <w:r w:rsidRPr="00F122F9">
        <w:rPr>
          <w:rFonts w:ascii="Times New Roman" w:hAnsi="Times New Roman"/>
          <w:sz w:val="24"/>
          <w:szCs w:val="24"/>
          <w:lang w:eastAsia="lv-LV"/>
        </w:rPr>
        <w:t> </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482"/>
        <w:gridCol w:w="1787"/>
        <w:gridCol w:w="7370"/>
      </w:tblGrid>
      <w:tr w14:paraId="5F47132E" w14:textId="77777777" w:rsidTr="003F5D80">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Ex>
        <w:trPr>
          <w:trHeight w:val="555"/>
          <w:jc w:val="center"/>
        </w:trPr>
        <w:tc>
          <w:tcPr>
            <w:tcW w:w="0" w:type="auto"/>
            <w:gridSpan w:val="3"/>
            <w:vAlign w:val="center"/>
          </w:tcPr>
          <w:p w:rsidR="00CB4AAB" w:rsidRPr="00810942" w:rsidP="00A01667" w14:paraId="3B950755" w14:textId="295B6EC9">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II. Tiesību akta projekta ietekme uz sabiedrību, tautsaimniecības attīstību un administratīvo slogu</w:t>
            </w:r>
          </w:p>
        </w:tc>
      </w:tr>
      <w:tr w14:paraId="24093540" w14:textId="77777777" w:rsidTr="00F122F9">
        <w:tblPrEx>
          <w:tblW w:w="9639" w:type="dxa"/>
          <w:jc w:val="center"/>
          <w:tblCellMar>
            <w:left w:w="57" w:type="dxa"/>
            <w:right w:w="57" w:type="dxa"/>
          </w:tblCellMar>
          <w:tblLook w:val="00A0"/>
        </w:tblPrEx>
        <w:trPr>
          <w:trHeight w:val="274"/>
          <w:jc w:val="center"/>
        </w:trPr>
        <w:tc>
          <w:tcPr>
            <w:tcW w:w="250" w:type="pct"/>
          </w:tcPr>
          <w:p w:rsidR="00CB4AAB" w:rsidRPr="00F122F9" w:rsidP="00A01667" w14:paraId="44B7BA9B"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927" w:type="pct"/>
          </w:tcPr>
          <w:p w:rsidR="00CB4AAB" w:rsidRPr="00810942" w:rsidP="00A01667" w14:paraId="577E9F8E"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 xml:space="preserve">Sabiedrības </w:t>
            </w:r>
            <w:r w:rsidRPr="00810942">
              <w:rPr>
                <w:rFonts w:ascii="Times New Roman" w:hAnsi="Times New Roman"/>
                <w:sz w:val="24"/>
                <w:szCs w:val="24"/>
                <w:lang w:eastAsia="lv-LV"/>
              </w:rPr>
              <w:t>mērķgrupas</w:t>
            </w:r>
            <w:r w:rsidRPr="00810942">
              <w:rPr>
                <w:rFonts w:ascii="Times New Roman" w:hAnsi="Times New Roman"/>
                <w:sz w:val="24"/>
                <w:szCs w:val="24"/>
                <w:lang w:eastAsia="lv-LV"/>
              </w:rPr>
              <w:t xml:space="preserve">, kuras tiesiskais </w:t>
            </w:r>
            <w:r w:rsidRPr="00810942">
              <w:rPr>
                <w:rFonts w:ascii="Times New Roman" w:hAnsi="Times New Roman"/>
                <w:sz w:val="24"/>
                <w:szCs w:val="24"/>
                <w:lang w:eastAsia="lv-LV"/>
              </w:rPr>
              <w:t>regulējums ietekmē vai varētu ietekmēt</w:t>
            </w:r>
          </w:p>
        </w:tc>
        <w:tc>
          <w:tcPr>
            <w:tcW w:w="3823" w:type="pct"/>
          </w:tcPr>
          <w:p w:rsidR="002C68A0" w:rsidRPr="00810942" w:rsidP="00A01667" w14:paraId="2FBBDCDC" w14:textId="77777777">
            <w:pPr>
              <w:pStyle w:val="naiskr"/>
              <w:spacing w:before="60" w:after="60"/>
              <w:jc w:val="both"/>
              <w:rPr>
                <w:bCs/>
                <w:u w:val="single"/>
                <w:shd w:val="clear" w:color="auto" w:fill="FFFFFF"/>
              </w:rPr>
            </w:pPr>
            <w:r w:rsidRPr="00810942">
              <w:rPr>
                <w:bCs/>
                <w:u w:val="single"/>
                <w:shd w:val="clear" w:color="auto" w:fill="FFFFFF"/>
              </w:rPr>
              <w:t>Noteikumu projekta tiesiskais regulējums ietekmē vai var ietekmēt:</w:t>
            </w:r>
          </w:p>
          <w:p w:rsidR="0012446F" w:rsidRPr="003F4806" w:rsidP="00A01667" w14:paraId="5514A855" w14:textId="58A9F3B0">
            <w:pPr>
              <w:pStyle w:val="naiskr"/>
              <w:numPr>
                <w:ilvl w:val="0"/>
                <w:numId w:val="15"/>
              </w:numPr>
              <w:spacing w:before="60" w:after="60"/>
              <w:ind w:left="368"/>
              <w:jc w:val="both"/>
            </w:pPr>
            <w:r w:rsidRPr="00810942">
              <w:rPr>
                <w:bCs/>
                <w:shd w:val="clear" w:color="auto" w:fill="FFFFFF"/>
              </w:rPr>
              <w:t xml:space="preserve">ES ETS </w:t>
            </w:r>
            <w:r w:rsidR="006134D9">
              <w:rPr>
                <w:bCs/>
                <w:shd w:val="clear" w:color="auto" w:fill="FFFFFF"/>
              </w:rPr>
              <w:t xml:space="preserve">gaisa kuģu </w:t>
            </w:r>
            <w:r w:rsidRPr="00810942">
              <w:rPr>
                <w:bCs/>
                <w:shd w:val="clear" w:color="auto" w:fill="FFFFFF"/>
              </w:rPr>
              <w:t>operatorus</w:t>
            </w:r>
            <w:r w:rsidR="00A01667">
              <w:rPr>
                <w:bCs/>
                <w:shd w:val="clear" w:color="auto" w:fill="FFFFFF"/>
              </w:rPr>
              <w:t xml:space="preserve"> un verificētājus</w:t>
            </w:r>
            <w:r w:rsidRPr="00810942">
              <w:rPr>
                <w:bCs/>
                <w:shd w:val="clear" w:color="auto" w:fill="FFFFFF"/>
              </w:rPr>
              <w:t xml:space="preserve"> attiecībā </w:t>
            </w:r>
            <w:r w:rsidRPr="003F4806">
              <w:rPr>
                <w:bCs/>
                <w:shd w:val="clear" w:color="auto" w:fill="FFFFFF"/>
              </w:rPr>
              <w:t xml:space="preserve">uz </w:t>
            </w:r>
            <w:r w:rsidRPr="00EE3404" w:rsidR="006C2654">
              <w:t>ES E</w:t>
            </w:r>
            <w:r w:rsidR="006C2654">
              <w:t xml:space="preserve">TS </w:t>
            </w:r>
            <w:r w:rsidR="006C2654">
              <w:t>informācijas apmaiņas sistēmas</w:t>
            </w:r>
            <w:r w:rsidRPr="00EE3404" w:rsidR="006C2654">
              <w:t xml:space="preserve"> </w:t>
            </w:r>
            <w:r w:rsidRPr="003F4806">
              <w:rPr>
                <w:bCs/>
                <w:shd w:val="clear" w:color="auto" w:fill="FFFFFF"/>
              </w:rPr>
              <w:t xml:space="preserve">DECLARE izmantošanu, kā arī attiecībā uz ziņošanu par </w:t>
            </w:r>
            <w:r w:rsidRPr="006C2654">
              <w:t>emisijas kvotu pārdošanā iegūto finanšu līdzekļu izlietojumu;</w:t>
            </w:r>
          </w:p>
          <w:p w:rsidR="00BF14CB" w:rsidRPr="004D6A72" w:rsidP="00A01667" w14:paraId="60C04A76" w14:textId="4A7D9D64">
            <w:pPr>
              <w:pStyle w:val="naiskr"/>
              <w:numPr>
                <w:ilvl w:val="0"/>
                <w:numId w:val="15"/>
              </w:numPr>
              <w:spacing w:before="60" w:after="60"/>
              <w:ind w:left="368"/>
              <w:jc w:val="both"/>
              <w:rPr>
                <w:bCs/>
                <w:sz w:val="22"/>
                <w:szCs w:val="22"/>
                <w:shd w:val="clear" w:color="auto" w:fill="FFFFFF"/>
              </w:rPr>
            </w:pPr>
            <w:r>
              <w:rPr>
                <w:bCs/>
                <w:shd w:val="clear" w:color="auto" w:fill="FFFFFF"/>
              </w:rPr>
              <w:t xml:space="preserve">VARAM un </w:t>
            </w:r>
            <w:r w:rsidR="006134D9">
              <w:rPr>
                <w:bCs/>
                <w:shd w:val="clear" w:color="auto" w:fill="FFFFFF"/>
              </w:rPr>
              <w:t>CAA</w:t>
            </w:r>
            <w:r w:rsidRPr="003F4806" w:rsidR="008B1B3F">
              <w:rPr>
                <w:bCs/>
                <w:shd w:val="clear" w:color="auto" w:fill="FFFFFF"/>
              </w:rPr>
              <w:t xml:space="preserve"> attiecībā uz </w:t>
            </w:r>
            <w:r w:rsidRPr="00EE3404" w:rsidR="006C2654">
              <w:t>ES E</w:t>
            </w:r>
            <w:r w:rsidR="006C2654">
              <w:t>TS informācijas apmaiņas sistēmas</w:t>
            </w:r>
            <w:r w:rsidRPr="00EE3404" w:rsidR="006C2654">
              <w:t xml:space="preserve"> </w:t>
            </w:r>
            <w:r w:rsidR="006134D9">
              <w:rPr>
                <w:bCs/>
                <w:shd w:val="clear" w:color="auto" w:fill="FFFFFF"/>
              </w:rPr>
              <w:t>DECLARE izmantošanu</w:t>
            </w:r>
            <w:r w:rsidR="00877E06">
              <w:rPr>
                <w:bCs/>
                <w:shd w:val="clear" w:color="auto" w:fill="FFFFFF"/>
              </w:rPr>
              <w:t>;</w:t>
            </w:r>
          </w:p>
          <w:p w:rsidR="004D6A72" w:rsidRPr="00B501CB" w:rsidP="00A01667" w14:paraId="148A9880" w14:textId="78CB8E29">
            <w:pPr>
              <w:pStyle w:val="naiskr"/>
              <w:numPr>
                <w:ilvl w:val="0"/>
                <w:numId w:val="15"/>
              </w:numPr>
              <w:spacing w:before="60" w:after="60"/>
              <w:ind w:left="368"/>
              <w:jc w:val="both"/>
              <w:rPr>
                <w:bCs/>
                <w:sz w:val="22"/>
                <w:szCs w:val="22"/>
                <w:shd w:val="clear" w:color="auto" w:fill="FFFFFF"/>
              </w:rPr>
            </w:pPr>
            <w:r>
              <w:rPr>
                <w:bCs/>
                <w:shd w:val="clear" w:color="auto" w:fill="FFFFFF"/>
              </w:rPr>
              <w:t>Gaisa kuģu operatorus, kas ir mazie emitētāji.</w:t>
            </w:r>
          </w:p>
        </w:tc>
      </w:tr>
      <w:tr w14:paraId="09765920" w14:textId="77777777" w:rsidTr="00F122F9">
        <w:tblPrEx>
          <w:tblW w:w="9639" w:type="dxa"/>
          <w:jc w:val="center"/>
          <w:tblCellMar>
            <w:left w:w="57" w:type="dxa"/>
            <w:right w:w="57" w:type="dxa"/>
          </w:tblCellMar>
          <w:tblLook w:val="00A0"/>
        </w:tblPrEx>
        <w:trPr>
          <w:trHeight w:val="510"/>
          <w:jc w:val="center"/>
        </w:trPr>
        <w:tc>
          <w:tcPr>
            <w:tcW w:w="250" w:type="pct"/>
          </w:tcPr>
          <w:p w:rsidR="00CB4AAB" w:rsidRPr="00F122F9" w:rsidP="00A01667" w14:paraId="104CAE6C"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927" w:type="pct"/>
          </w:tcPr>
          <w:p w:rsidR="00CB4AAB" w:rsidRPr="00810942" w:rsidP="00A01667" w14:paraId="68CC145D"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Tiesiskā regulējuma ietekme uz tautsaimniecību un administratīvo slogu</w:t>
            </w:r>
          </w:p>
        </w:tc>
        <w:tc>
          <w:tcPr>
            <w:tcW w:w="3823" w:type="pct"/>
          </w:tcPr>
          <w:p w:rsidR="00CB4AAB" w:rsidRPr="00810942" w:rsidP="00A01667" w14:paraId="78361749" w14:textId="77777777">
            <w:pPr>
              <w:spacing w:before="60" w:after="60"/>
              <w:rPr>
                <w:rFonts w:ascii="Times New Roman" w:hAnsi="Times New Roman"/>
                <w:sz w:val="24"/>
                <w:szCs w:val="24"/>
                <w:u w:val="single"/>
              </w:rPr>
            </w:pPr>
            <w:r w:rsidRPr="00810942">
              <w:rPr>
                <w:rFonts w:ascii="Times New Roman" w:hAnsi="Times New Roman"/>
                <w:sz w:val="24"/>
                <w:szCs w:val="24"/>
                <w:u w:val="single"/>
              </w:rPr>
              <w:t>Noteikumu projekta tiesiskā regulējuma paredzamā ietekme uz administratīvo slogu:</w:t>
            </w:r>
          </w:p>
          <w:p w:rsidR="00CB4AAB" w:rsidRPr="003F4806" w:rsidP="00A01667" w14:paraId="4E28541D" w14:textId="0AD6B8C5">
            <w:pPr>
              <w:spacing w:before="60" w:after="60"/>
              <w:rPr>
                <w:rFonts w:ascii="Times New Roman" w:hAnsi="Times New Roman"/>
                <w:i/>
                <w:sz w:val="24"/>
                <w:szCs w:val="24"/>
              </w:rPr>
            </w:pPr>
            <w:r w:rsidRPr="00810942">
              <w:rPr>
                <w:rFonts w:ascii="Times New Roman" w:hAnsi="Times New Roman"/>
                <w:i/>
                <w:sz w:val="24"/>
                <w:szCs w:val="24"/>
              </w:rPr>
              <w:t xml:space="preserve">ES ETS </w:t>
            </w:r>
            <w:r w:rsidR="006134D9">
              <w:rPr>
                <w:rFonts w:ascii="Times New Roman" w:hAnsi="Times New Roman"/>
                <w:i/>
                <w:sz w:val="24"/>
                <w:szCs w:val="24"/>
              </w:rPr>
              <w:t xml:space="preserve">gaisa kuģu </w:t>
            </w:r>
            <w:r w:rsidRPr="003F4806">
              <w:rPr>
                <w:rFonts w:ascii="Times New Roman" w:hAnsi="Times New Roman"/>
                <w:i/>
                <w:sz w:val="24"/>
                <w:szCs w:val="24"/>
              </w:rPr>
              <w:t>operatoriem</w:t>
            </w:r>
          </w:p>
          <w:p w:rsidR="00470F41" w:rsidRPr="00810942" w:rsidP="00A01667" w14:paraId="7C2FBB77" w14:textId="0F327A32">
            <w:pPr>
              <w:spacing w:before="60" w:after="60"/>
              <w:ind w:firstLine="227"/>
              <w:rPr>
                <w:rFonts w:ascii="Times New Roman" w:hAnsi="Times New Roman"/>
                <w:sz w:val="24"/>
                <w:szCs w:val="24"/>
              </w:rPr>
            </w:pPr>
            <w:r w:rsidRPr="003F4806">
              <w:rPr>
                <w:rFonts w:ascii="Times New Roman" w:hAnsi="Times New Roman"/>
                <w:sz w:val="24"/>
                <w:szCs w:val="24"/>
              </w:rPr>
              <w:t xml:space="preserve">Ir paredzams, ka, izmantojot </w:t>
            </w:r>
            <w:r w:rsidRPr="00EE3404" w:rsidR="00B3434A">
              <w:rPr>
                <w:rFonts w:ascii="Times New Roman" w:hAnsi="Times New Roman"/>
                <w:sz w:val="24"/>
                <w:szCs w:val="24"/>
              </w:rPr>
              <w:t xml:space="preserve">ES ETS informācijas apmaiņas sistēmu </w:t>
            </w:r>
            <w:r w:rsidRPr="003F4806">
              <w:rPr>
                <w:rFonts w:ascii="Times New Roman" w:hAnsi="Times New Roman"/>
                <w:sz w:val="24"/>
                <w:szCs w:val="24"/>
              </w:rPr>
              <w:t xml:space="preserve">DECLARE, ES ETS </w:t>
            </w:r>
            <w:r w:rsidR="006134D9">
              <w:rPr>
                <w:rFonts w:ascii="Times New Roman" w:hAnsi="Times New Roman"/>
                <w:sz w:val="24"/>
                <w:szCs w:val="24"/>
              </w:rPr>
              <w:t xml:space="preserve">gaisa kuģu </w:t>
            </w:r>
            <w:r w:rsidRPr="003F4806">
              <w:rPr>
                <w:rFonts w:ascii="Times New Roman" w:hAnsi="Times New Roman"/>
                <w:sz w:val="24"/>
                <w:szCs w:val="24"/>
              </w:rPr>
              <w:t>operatoriem administratīvais slogs samazināsies, jo turpmāk va</w:t>
            </w:r>
            <w:r w:rsidR="00B3434A">
              <w:rPr>
                <w:rFonts w:ascii="Times New Roman" w:hAnsi="Times New Roman"/>
                <w:sz w:val="24"/>
                <w:szCs w:val="24"/>
              </w:rPr>
              <w:t>irs</w:t>
            </w:r>
            <w:r w:rsidRPr="003F4806">
              <w:rPr>
                <w:rFonts w:ascii="Times New Roman" w:hAnsi="Times New Roman"/>
                <w:sz w:val="24"/>
                <w:szCs w:val="24"/>
              </w:rPr>
              <w:t xml:space="preserve"> nevajadzēs izmantot dažāda veida informācijas apmaiņas un iesniegšanas iespējas (e-pasts, elektroniski parakstīti dokumenti, pasts, personīgā iesniegšana), bet visa informācijas apmaiņa un uzglabāšana notiks </w:t>
            </w:r>
            <w:r w:rsidRPr="00810942">
              <w:rPr>
                <w:rFonts w:ascii="Times New Roman" w:hAnsi="Times New Roman"/>
                <w:sz w:val="24"/>
                <w:szCs w:val="24"/>
              </w:rPr>
              <w:t>vienkopus.</w:t>
            </w:r>
          </w:p>
          <w:p w:rsidR="007B5691" w:rsidRPr="003F4806" w:rsidP="00A01667" w14:paraId="4D43BEF7" w14:textId="0AF67C22">
            <w:pPr>
              <w:spacing w:before="60" w:after="60"/>
              <w:rPr>
                <w:rFonts w:ascii="Times New Roman" w:hAnsi="Times New Roman"/>
                <w:i/>
                <w:sz w:val="24"/>
                <w:szCs w:val="24"/>
              </w:rPr>
            </w:pPr>
            <w:r>
              <w:rPr>
                <w:rFonts w:ascii="Times New Roman" w:hAnsi="Times New Roman"/>
                <w:i/>
                <w:sz w:val="24"/>
                <w:szCs w:val="24"/>
              </w:rPr>
              <w:t xml:space="preserve">VARAM un </w:t>
            </w:r>
            <w:r w:rsidR="006134D9">
              <w:rPr>
                <w:rFonts w:ascii="Times New Roman" w:hAnsi="Times New Roman"/>
                <w:i/>
                <w:sz w:val="24"/>
                <w:szCs w:val="24"/>
              </w:rPr>
              <w:t>CAA</w:t>
            </w:r>
          </w:p>
          <w:p w:rsidR="00D33079" w:rsidRPr="003F4806" w:rsidP="00A01667" w14:paraId="3B01D901" w14:textId="67C02A0D">
            <w:pPr>
              <w:spacing w:before="60" w:after="60"/>
              <w:ind w:firstLine="227"/>
              <w:rPr>
                <w:rFonts w:ascii="Times New Roman" w:hAnsi="Times New Roman"/>
                <w:sz w:val="24"/>
                <w:szCs w:val="24"/>
              </w:rPr>
            </w:pPr>
            <w:r w:rsidRPr="003F4806">
              <w:rPr>
                <w:rFonts w:ascii="Times New Roman" w:hAnsi="Times New Roman"/>
                <w:sz w:val="24"/>
                <w:szCs w:val="24"/>
              </w:rPr>
              <w:t xml:space="preserve">Ir paredzams, ka, izmantojot </w:t>
            </w:r>
            <w:r w:rsidRPr="00EE3404" w:rsidR="00B3434A">
              <w:rPr>
                <w:rFonts w:ascii="Times New Roman" w:hAnsi="Times New Roman"/>
                <w:sz w:val="24"/>
                <w:szCs w:val="24"/>
              </w:rPr>
              <w:t xml:space="preserve">ES ETS informācijas apmaiņas sistēmu </w:t>
            </w:r>
            <w:r w:rsidRPr="003F4806">
              <w:rPr>
                <w:rFonts w:ascii="Times New Roman" w:hAnsi="Times New Roman"/>
                <w:sz w:val="24"/>
                <w:szCs w:val="24"/>
              </w:rPr>
              <w:t>DECLARE</w:t>
            </w:r>
            <w:r w:rsidR="00B3434A">
              <w:rPr>
                <w:rFonts w:ascii="Times New Roman" w:hAnsi="Times New Roman"/>
                <w:sz w:val="24"/>
                <w:szCs w:val="24"/>
              </w:rPr>
              <w:t>,</w:t>
            </w:r>
            <w:r w:rsidRPr="003F4806">
              <w:rPr>
                <w:rFonts w:ascii="Times New Roman" w:hAnsi="Times New Roman"/>
                <w:sz w:val="24"/>
                <w:szCs w:val="24"/>
              </w:rPr>
              <w:t xml:space="preserve"> tā darbības uzsākšanas laikā palielināsies administratīvais slogs </w:t>
            </w:r>
            <w:r w:rsidR="00A01667">
              <w:rPr>
                <w:rFonts w:ascii="Times New Roman" w:hAnsi="Times New Roman"/>
                <w:sz w:val="24"/>
                <w:szCs w:val="24"/>
              </w:rPr>
              <w:t xml:space="preserve">VARAM un </w:t>
            </w:r>
            <w:r w:rsidR="006134D9">
              <w:rPr>
                <w:rFonts w:ascii="Times New Roman" w:hAnsi="Times New Roman"/>
                <w:sz w:val="24"/>
                <w:szCs w:val="24"/>
              </w:rPr>
              <w:t>CAA</w:t>
            </w:r>
            <w:r w:rsidRPr="003F4806">
              <w:rPr>
                <w:rFonts w:ascii="Times New Roman" w:hAnsi="Times New Roman"/>
                <w:sz w:val="24"/>
                <w:szCs w:val="24"/>
              </w:rPr>
              <w:t xml:space="preserve">, jo būs nepieciešams Latvijas ES ETS </w:t>
            </w:r>
            <w:r w:rsidR="006134D9">
              <w:rPr>
                <w:rFonts w:ascii="Times New Roman" w:hAnsi="Times New Roman"/>
                <w:sz w:val="24"/>
                <w:szCs w:val="24"/>
              </w:rPr>
              <w:t xml:space="preserve">gaisa kuģu </w:t>
            </w:r>
            <w:r w:rsidRPr="003F4806">
              <w:rPr>
                <w:rFonts w:ascii="Times New Roman" w:hAnsi="Times New Roman"/>
                <w:sz w:val="24"/>
                <w:szCs w:val="24"/>
              </w:rPr>
              <w:t>operatoriem</w:t>
            </w:r>
            <w:r w:rsidR="00A01667">
              <w:rPr>
                <w:rFonts w:ascii="Times New Roman" w:hAnsi="Times New Roman"/>
                <w:sz w:val="24"/>
                <w:szCs w:val="24"/>
              </w:rPr>
              <w:t xml:space="preserve"> (3 konti) un verificētājiem (1 konts)</w:t>
            </w:r>
            <w:r w:rsidRPr="003F4806">
              <w:rPr>
                <w:rFonts w:ascii="Times New Roman" w:hAnsi="Times New Roman"/>
                <w:sz w:val="24"/>
                <w:szCs w:val="24"/>
              </w:rPr>
              <w:t xml:space="preserve"> izveidot kontus, savukārt turpmāk administratīvais slogs sakarā ar šīs sistēmas izmantošanu var samazināties.</w:t>
            </w:r>
          </w:p>
          <w:p w:rsidR="00F07CD0" w:rsidRPr="000F14C9" w:rsidP="00A01667" w14:paraId="1CFBF86E" w14:textId="08658E95">
            <w:pPr>
              <w:spacing w:before="60" w:after="60"/>
              <w:ind w:firstLine="227"/>
              <w:rPr>
                <w:rFonts w:ascii="Times New Roman" w:hAnsi="Times New Roman"/>
                <w:lang w:eastAsia="lv-LV"/>
              </w:rPr>
            </w:pPr>
            <w:r w:rsidRPr="003F4806">
              <w:rPr>
                <w:rFonts w:ascii="Times New Roman" w:hAnsi="Times New Roman"/>
                <w:sz w:val="24"/>
                <w:szCs w:val="24"/>
              </w:rPr>
              <w:t>Nav paredzama būtiska ietekme uz uzņēmējdarbības vidi.</w:t>
            </w:r>
          </w:p>
        </w:tc>
      </w:tr>
      <w:tr w14:paraId="32E93C38" w14:textId="77777777" w:rsidTr="00F122F9">
        <w:tblPrEx>
          <w:tblW w:w="9639" w:type="dxa"/>
          <w:jc w:val="center"/>
          <w:tblCellMar>
            <w:left w:w="57" w:type="dxa"/>
            <w:right w:w="57" w:type="dxa"/>
          </w:tblCellMar>
          <w:tblLook w:val="00A0"/>
        </w:tblPrEx>
        <w:trPr>
          <w:trHeight w:val="510"/>
          <w:jc w:val="center"/>
        </w:trPr>
        <w:tc>
          <w:tcPr>
            <w:tcW w:w="250" w:type="pct"/>
          </w:tcPr>
          <w:p w:rsidR="00CB4AAB" w:rsidRPr="00F122F9" w:rsidP="00A01667" w14:paraId="1C45C6D7" w14:textId="77777777">
            <w:pPr>
              <w:spacing w:before="60" w:after="60"/>
              <w:jc w:val="left"/>
              <w:rPr>
                <w:rFonts w:ascii="Times New Roman" w:hAnsi="Times New Roman"/>
                <w:lang w:eastAsia="lv-LV"/>
              </w:rPr>
            </w:pPr>
            <w:r w:rsidRPr="00F122F9">
              <w:rPr>
                <w:rFonts w:ascii="Times New Roman" w:hAnsi="Times New Roman"/>
                <w:lang w:eastAsia="lv-LV"/>
              </w:rPr>
              <w:t xml:space="preserve">3. </w:t>
            </w:r>
          </w:p>
        </w:tc>
        <w:tc>
          <w:tcPr>
            <w:tcW w:w="927" w:type="pct"/>
          </w:tcPr>
          <w:p w:rsidR="00CB4AAB" w:rsidRPr="00810942" w:rsidP="00A01667" w14:paraId="3BE9F202"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Administratīvo izmaksu monetārs novērtējums</w:t>
            </w:r>
          </w:p>
        </w:tc>
        <w:tc>
          <w:tcPr>
            <w:tcW w:w="3823" w:type="pct"/>
          </w:tcPr>
          <w:p w:rsidR="0074243C" w:rsidRPr="00810942" w:rsidP="00A01667" w14:paraId="18F610A5" w14:textId="77777777">
            <w:pPr>
              <w:spacing w:before="60" w:after="60"/>
              <w:ind w:firstLine="170"/>
              <w:rPr>
                <w:rFonts w:ascii="Times New Roman" w:hAnsi="Times New Roman"/>
                <w:sz w:val="24"/>
                <w:szCs w:val="24"/>
              </w:rPr>
            </w:pPr>
            <w:r w:rsidRPr="00810942">
              <w:rPr>
                <w:rFonts w:ascii="Times New Roman" w:hAnsi="Times New Roman"/>
                <w:sz w:val="24"/>
                <w:szCs w:val="24"/>
              </w:rPr>
              <w:t>Šobrīd netiek paredzēta noteikumu projektā iekļauto nosacījumu ietekme uz administratīvajām izmaksām (naudas izteiksmē).</w:t>
            </w:r>
          </w:p>
        </w:tc>
      </w:tr>
      <w:tr w14:paraId="09480A27" w14:textId="77777777" w:rsidTr="00986FE5">
        <w:tblPrEx>
          <w:tblW w:w="9639" w:type="dxa"/>
          <w:jc w:val="center"/>
          <w:tblCellMar>
            <w:left w:w="57" w:type="dxa"/>
            <w:right w:w="57" w:type="dxa"/>
          </w:tblCellMar>
          <w:tblLook w:val="00A0"/>
        </w:tblPrEx>
        <w:trPr>
          <w:trHeight w:val="173"/>
          <w:jc w:val="center"/>
        </w:trPr>
        <w:tc>
          <w:tcPr>
            <w:tcW w:w="250" w:type="pct"/>
          </w:tcPr>
          <w:p w:rsidR="00CB4AAB" w:rsidRPr="00F122F9" w:rsidP="00A01667" w14:paraId="38B8059D" w14:textId="77777777">
            <w:pPr>
              <w:spacing w:before="60" w:after="60"/>
              <w:jc w:val="left"/>
              <w:rPr>
                <w:rFonts w:ascii="Times New Roman" w:hAnsi="Times New Roman"/>
                <w:lang w:eastAsia="lv-LV"/>
              </w:rPr>
            </w:pPr>
            <w:r w:rsidRPr="00F122F9">
              <w:rPr>
                <w:rFonts w:ascii="Times New Roman" w:hAnsi="Times New Roman"/>
                <w:lang w:eastAsia="lv-LV"/>
              </w:rPr>
              <w:t>4.</w:t>
            </w:r>
          </w:p>
        </w:tc>
        <w:tc>
          <w:tcPr>
            <w:tcW w:w="927" w:type="pct"/>
          </w:tcPr>
          <w:p w:rsidR="00CB4AAB" w:rsidRPr="00810942" w:rsidP="00A01667" w14:paraId="06BC26A4"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823" w:type="pct"/>
          </w:tcPr>
          <w:p w:rsidR="00CB4AAB" w:rsidRPr="00810942" w:rsidP="00A01667" w14:paraId="7B230371" w14:textId="77777777">
            <w:pPr>
              <w:pStyle w:val="BodyTextIndent2"/>
              <w:spacing w:before="60" w:after="60" w:line="240" w:lineRule="auto"/>
              <w:ind w:left="0" w:firstLine="113"/>
              <w:jc w:val="both"/>
            </w:pPr>
            <w:r w:rsidRPr="00810942">
              <w:t>Nav</w:t>
            </w:r>
          </w:p>
        </w:tc>
      </w:tr>
    </w:tbl>
    <w:p w:rsidR="00986FE5" w:rsidP="00A01667" w14:paraId="34622E91" w14:textId="77777777">
      <w:pPr>
        <w:shd w:val="clear" w:color="auto" w:fill="FFFFFF"/>
        <w:spacing w:before="60" w:after="60"/>
        <w:jc w:val="left"/>
        <w:rPr>
          <w:rFonts w:ascii="Times New Roman" w:hAnsi="Times New Roman"/>
          <w:sz w:val="24"/>
          <w:szCs w:val="24"/>
        </w:rPr>
      </w:pPr>
    </w:p>
    <w:tbl>
      <w:tblPr>
        <w:tblW w:w="9639" w:type="dxa"/>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639"/>
      </w:tblGrid>
      <w:tr w14:paraId="04AC5E8C" w14:textId="77777777" w:rsidTr="00986FE5">
        <w:tblPrEx>
          <w:tblW w:w="9639" w:type="dxa"/>
          <w:tblInd w:w="-26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39"/>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86FE5" w:rsidRPr="009A3E9F" w:rsidP="00A01667" w14:paraId="35A13649" w14:textId="77777777">
            <w:pPr>
              <w:spacing w:before="60" w:after="60"/>
              <w:jc w:val="center"/>
              <w:rPr>
                <w:rFonts w:ascii="Times New Roman" w:eastAsia="Times New Roman" w:hAnsi="Times New Roman"/>
                <w:b/>
                <w:bCs/>
                <w:sz w:val="24"/>
                <w:szCs w:val="24"/>
                <w:lang w:eastAsia="lv-LV"/>
              </w:rPr>
            </w:pPr>
            <w:r w:rsidRPr="009A3E9F">
              <w:rPr>
                <w:rFonts w:ascii="Times New Roman" w:eastAsia="Times New Roman" w:hAnsi="Times New Roman"/>
                <w:b/>
                <w:bCs/>
                <w:sz w:val="24"/>
                <w:szCs w:val="24"/>
                <w:lang w:eastAsia="lv-LV"/>
              </w:rPr>
              <w:t>II</w:t>
            </w:r>
            <w:r>
              <w:rPr>
                <w:rFonts w:ascii="Times New Roman" w:eastAsia="Times New Roman" w:hAnsi="Times New Roman"/>
                <w:b/>
                <w:bCs/>
                <w:sz w:val="24"/>
                <w:szCs w:val="24"/>
                <w:lang w:eastAsia="lv-LV"/>
              </w:rPr>
              <w:t>I</w:t>
            </w:r>
            <w:r w:rsidRPr="009A3E9F">
              <w:rPr>
                <w:rFonts w:ascii="Times New Roman" w:eastAsia="Times New Roman" w:hAnsi="Times New Roman"/>
                <w:b/>
                <w:bCs/>
                <w:sz w:val="24"/>
                <w:szCs w:val="24"/>
                <w:lang w:eastAsia="lv-LV"/>
              </w:rPr>
              <w:t>. </w:t>
            </w:r>
            <w:r w:rsidRPr="00660BD9">
              <w:rPr>
                <w:rFonts w:ascii="Times New Roman" w:eastAsia="Times New Roman" w:hAnsi="Times New Roman"/>
                <w:b/>
                <w:sz w:val="24"/>
                <w:szCs w:val="24"/>
                <w:lang w:eastAsia="lv-LV"/>
              </w:rPr>
              <w:t>Tiesību akta projekta ietekme uz valsts budžetu un pašvaldību budžetiem</w:t>
            </w:r>
          </w:p>
        </w:tc>
      </w:tr>
      <w:tr w14:paraId="04DA396F" w14:textId="77777777" w:rsidTr="00B81FB2">
        <w:tblPrEx>
          <w:tblW w:w="9639" w:type="dxa"/>
          <w:tblInd w:w="-260" w:type="dxa"/>
          <w:tblCellMar>
            <w:top w:w="24" w:type="dxa"/>
            <w:left w:w="24" w:type="dxa"/>
            <w:bottom w:w="24" w:type="dxa"/>
            <w:right w:w="24" w:type="dxa"/>
          </w:tblCellMar>
          <w:tblLook w:val="04A0"/>
        </w:tblPrEx>
        <w:trPr>
          <w:trHeight w:val="210"/>
        </w:trPr>
        <w:tc>
          <w:tcPr>
            <w:tcW w:w="5000" w:type="pct"/>
            <w:tcBorders>
              <w:top w:val="outset" w:sz="6" w:space="0" w:color="414142"/>
              <w:left w:val="outset" w:sz="6" w:space="0" w:color="414142"/>
              <w:bottom w:val="outset" w:sz="6" w:space="0" w:color="414142"/>
              <w:right w:val="outset" w:sz="6" w:space="0" w:color="414142"/>
            </w:tcBorders>
            <w:vAlign w:val="center"/>
          </w:tcPr>
          <w:p w:rsidR="00986FE5" w:rsidRPr="009A3E9F" w:rsidP="00A01667" w14:paraId="63B3D409" w14:textId="77777777">
            <w:pPr>
              <w:spacing w:before="60" w:after="60"/>
              <w:jc w:val="center"/>
              <w:rPr>
                <w:rFonts w:ascii="Times New Roman" w:eastAsia="Times New Roman" w:hAnsi="Times New Roman"/>
                <w:sz w:val="24"/>
                <w:szCs w:val="24"/>
                <w:lang w:eastAsia="lv-LV"/>
              </w:rPr>
            </w:pPr>
            <w:r w:rsidRPr="009A3E9F">
              <w:rPr>
                <w:rFonts w:ascii="Times New Roman" w:hAnsi="Times New Roman"/>
                <w:i/>
                <w:iCs/>
                <w:sz w:val="24"/>
                <w:szCs w:val="24"/>
              </w:rPr>
              <w:t>Projekts šo jomu neskar</w:t>
            </w:r>
          </w:p>
        </w:tc>
      </w:tr>
    </w:tbl>
    <w:p w:rsidR="00986FE5" w:rsidP="00A01667" w14:paraId="44445078" w14:textId="77777777">
      <w:pPr>
        <w:shd w:val="clear" w:color="auto" w:fill="FFFFFF"/>
        <w:spacing w:before="60" w:after="60"/>
        <w:jc w:val="left"/>
        <w:rPr>
          <w:rFonts w:ascii="Times New Roman" w:hAnsi="Times New Roman"/>
          <w:sz w:val="24"/>
          <w:szCs w:val="24"/>
        </w:rPr>
      </w:pP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40"/>
      </w:tblGrid>
      <w:tr w14:paraId="41A1A4FF" w14:textId="77777777" w:rsidTr="00693D84">
        <w:tblPrEx>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jc w:val="center"/>
        </w:trPr>
        <w:tc>
          <w:tcPr>
            <w:tcW w:w="9640" w:type="dxa"/>
            <w:vAlign w:val="center"/>
          </w:tcPr>
          <w:p w:rsidR="00986FE5" w:rsidRPr="009A3E9F" w:rsidP="00A01667" w14:paraId="0BCFE570" w14:textId="77777777">
            <w:pPr>
              <w:pStyle w:val="naisf"/>
              <w:spacing w:before="60" w:after="60"/>
              <w:ind w:firstLine="0"/>
              <w:jc w:val="center"/>
              <w:rPr>
                <w:b/>
              </w:rPr>
            </w:pPr>
            <w:r w:rsidRPr="009A3E9F">
              <w:rPr>
                <w:b/>
              </w:rPr>
              <w:t>IV.</w:t>
            </w:r>
            <w:r>
              <w:rPr>
                <w:b/>
              </w:rPr>
              <w:t> </w:t>
            </w:r>
            <w:r w:rsidRPr="009A3E9F">
              <w:rPr>
                <w:b/>
              </w:rPr>
              <w:t>Tiesību akta projekta ietekme uz spēkā esošo tiesību normu sistēmu</w:t>
            </w:r>
          </w:p>
        </w:tc>
      </w:tr>
      <w:tr w14:paraId="4AF86EC5" w14:textId="77777777" w:rsidTr="00693D84">
        <w:tblPrEx>
          <w:tblW w:w="9640" w:type="dxa"/>
          <w:jc w:val="center"/>
          <w:tblLook w:val="04A0"/>
        </w:tblPrEx>
        <w:trPr>
          <w:trHeight w:val="327"/>
          <w:jc w:val="center"/>
        </w:trPr>
        <w:tc>
          <w:tcPr>
            <w:tcW w:w="9640" w:type="dxa"/>
            <w:vAlign w:val="center"/>
          </w:tcPr>
          <w:p w:rsidR="00986FE5" w:rsidRPr="009A3E9F" w:rsidP="00A01667" w14:paraId="7143A406" w14:textId="77777777">
            <w:pPr>
              <w:pStyle w:val="naisf"/>
              <w:spacing w:before="60" w:after="60"/>
              <w:ind w:firstLine="0"/>
              <w:jc w:val="center"/>
              <w:rPr>
                <w:b/>
              </w:rPr>
            </w:pPr>
            <w:r w:rsidRPr="009A3E9F">
              <w:rPr>
                <w:i/>
                <w:iCs/>
              </w:rPr>
              <w:t>Projekts šo jomu neskar</w:t>
            </w:r>
          </w:p>
        </w:tc>
      </w:tr>
    </w:tbl>
    <w:p w:rsidR="00986FE5" w:rsidRPr="009A3E9F" w:rsidP="00A01667" w14:paraId="37BE4752" w14:textId="77777777">
      <w:pPr>
        <w:shd w:val="clear" w:color="auto" w:fill="FFFFFF"/>
        <w:spacing w:before="60" w:after="60"/>
        <w:rPr>
          <w:rFonts w:ascii="Times New Roman" w:eastAsia="Times New Roman" w:hAnsi="Times New Roman"/>
          <w:sz w:val="24"/>
          <w:szCs w:val="24"/>
          <w:lang w:eastAsia="lv-LV"/>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482"/>
        <w:gridCol w:w="2795"/>
        <w:gridCol w:w="6362"/>
      </w:tblGrid>
      <w:tr w14:paraId="5C722586" w14:textId="77777777" w:rsidTr="00FB50A1">
        <w:tblPrEx>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FB50A1" w:rsidP="00A01667" w14:paraId="4B718117" w14:textId="77777777">
            <w:pPr>
              <w:spacing w:before="60" w:after="6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 Tiesību akta projekta atbilstība Latvijas Republikas starptautiskajām saistībām</w:t>
            </w:r>
          </w:p>
        </w:tc>
      </w:tr>
      <w:tr w14:paraId="2478A64E" w14:textId="77777777" w:rsidTr="00FB50A1">
        <w:tblPrEx>
          <w:tblW w:w="9639" w:type="dxa"/>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FB50A1" w:rsidP="00A01667" w14:paraId="22165B2D"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rsidR="00FB50A1" w:rsidP="00A01667" w14:paraId="4EB48A7D"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rsidR="00FB50A1" w:rsidP="00A01667" w14:paraId="3D79C6BF" w14:textId="4083F90C">
            <w:pPr>
              <w:autoSpaceDE w:val="0"/>
              <w:autoSpaceDN w:val="0"/>
              <w:adjustRightInd w:val="0"/>
              <w:spacing w:before="60" w:after="60"/>
              <w:rPr>
                <w:rFonts w:ascii="Times New Roman" w:hAnsi="Times New Roman"/>
                <w:sz w:val="24"/>
                <w:szCs w:val="24"/>
              </w:rPr>
            </w:pPr>
            <w:r>
              <w:rPr>
                <w:rFonts w:ascii="Times New Roman" w:hAnsi="Times New Roman"/>
                <w:sz w:val="24"/>
                <w:szCs w:val="24"/>
              </w:rPr>
              <w:t>1</w:t>
            </w:r>
            <w:r w:rsidR="00503B82">
              <w:rPr>
                <w:rFonts w:ascii="Times New Roman" w:hAnsi="Times New Roman"/>
                <w:sz w:val="24"/>
                <w:szCs w:val="24"/>
              </w:rPr>
              <w:t>. </w:t>
            </w:r>
            <w:r>
              <w:rPr>
                <w:rFonts w:ascii="Times New Roman" w:hAnsi="Times New Roman"/>
                <w:sz w:val="24"/>
                <w:szCs w:val="24"/>
              </w:rPr>
              <w:t>Regula Nr. 2017/2392</w:t>
            </w:r>
            <w:r>
              <w:rPr>
                <w:rFonts w:ascii="Times New Roman" w:hAnsi="Times New Roman"/>
                <w:sz w:val="24"/>
                <w:szCs w:val="24"/>
              </w:rPr>
              <w:t>;</w:t>
            </w:r>
          </w:p>
          <w:p w:rsidR="00956AFD" w:rsidP="00A01667" w14:paraId="1FB60208" w14:textId="21F60E3E">
            <w:pPr>
              <w:autoSpaceDE w:val="0"/>
              <w:autoSpaceDN w:val="0"/>
              <w:adjustRightInd w:val="0"/>
              <w:spacing w:before="60" w:after="60"/>
              <w:rPr>
                <w:rFonts w:ascii="Times New Roman" w:hAnsi="Times New Roman"/>
                <w:sz w:val="24"/>
                <w:szCs w:val="24"/>
              </w:rPr>
            </w:pPr>
            <w:r>
              <w:rPr>
                <w:rFonts w:ascii="Times New Roman" w:hAnsi="Times New Roman"/>
                <w:sz w:val="24"/>
                <w:szCs w:val="24"/>
              </w:rPr>
              <w:t>2</w:t>
            </w:r>
            <w:r w:rsidR="00503B82">
              <w:rPr>
                <w:rFonts w:ascii="Times New Roman" w:hAnsi="Times New Roman"/>
                <w:sz w:val="24"/>
                <w:szCs w:val="24"/>
              </w:rPr>
              <w:t>. </w:t>
            </w:r>
            <w:r>
              <w:rPr>
                <w:rFonts w:ascii="Times New Roman" w:hAnsi="Times New Roman"/>
                <w:sz w:val="24"/>
                <w:szCs w:val="24"/>
              </w:rPr>
              <w:t>Regula Nr. 601/2012;</w:t>
            </w:r>
          </w:p>
        </w:tc>
      </w:tr>
      <w:tr w14:paraId="683922DB" w14:textId="77777777" w:rsidTr="00FB50A1">
        <w:tblPrEx>
          <w:tblW w:w="9639" w:type="dxa"/>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FB50A1" w:rsidP="00A01667" w14:paraId="4390B70F" w14:textId="03CA58EB">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rsidR="00FB50A1" w:rsidP="00A01667" w14:paraId="21CB812F"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rsidR="00FB50A1" w:rsidP="00A01667" w14:paraId="1727AD89"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rPr>
              <w:t>Projekts šo jomu neskar.</w:t>
            </w:r>
          </w:p>
        </w:tc>
      </w:tr>
      <w:tr w14:paraId="49F73C16" w14:textId="77777777" w:rsidTr="00FB50A1">
        <w:tblPrEx>
          <w:tblW w:w="9639" w:type="dxa"/>
          <w:jc w:val="center"/>
          <w:tblCellMar>
            <w:top w:w="24" w:type="dxa"/>
            <w:left w:w="24" w:type="dxa"/>
            <w:bottom w:w="24" w:type="dxa"/>
            <w:right w:w="24" w:type="dxa"/>
          </w:tblCellMar>
          <w:tblLook w:val="04A0"/>
        </w:tblPrEx>
        <w:trPr>
          <w:jc w:val="center"/>
        </w:trPr>
        <w:tc>
          <w:tcPr>
            <w:tcW w:w="250" w:type="pct"/>
            <w:tcBorders>
              <w:top w:val="outset" w:sz="6" w:space="0" w:color="414142"/>
              <w:left w:val="outset" w:sz="6" w:space="0" w:color="414142"/>
              <w:bottom w:val="outset" w:sz="6" w:space="0" w:color="414142"/>
              <w:right w:val="outset" w:sz="6" w:space="0" w:color="414142"/>
            </w:tcBorders>
            <w:hideMark/>
          </w:tcPr>
          <w:p w:rsidR="00FB50A1" w:rsidP="00A01667" w14:paraId="72FB0D56"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rsidR="00FB50A1" w:rsidP="00A01667" w14:paraId="243B9E05"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FB50A1" w:rsidP="00A01667" w14:paraId="1E29F05F"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E26E9B" w:rsidP="00A01667" w14:paraId="43FA0CD9" w14:textId="77777777">
      <w:pPr>
        <w:shd w:val="clear" w:color="auto" w:fill="FFFFFF"/>
        <w:spacing w:before="60" w:after="60"/>
        <w:jc w:val="left"/>
        <w:rPr>
          <w:rFonts w:ascii="Times New Roman" w:hAnsi="Times New Roman"/>
          <w:b/>
          <w:sz w:val="24"/>
          <w:szCs w:val="24"/>
        </w:rPr>
      </w:pPr>
    </w:p>
    <w:tbl>
      <w:tblPr>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2215"/>
        <w:gridCol w:w="2121"/>
        <w:gridCol w:w="2699"/>
        <w:gridCol w:w="2604"/>
      </w:tblGrid>
      <w:tr w14:paraId="6904A044" w14:textId="77777777" w:rsidTr="00FB50A1">
        <w:tblPrEx>
          <w:tblW w:w="9639" w:type="dxa"/>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FB50A1" w:rsidP="00A01667" w14:paraId="1EDEEBB1" w14:textId="77777777">
            <w:pPr>
              <w:spacing w:before="60" w:after="6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1. tabula</w:t>
            </w:r>
            <w:r>
              <w:rPr>
                <w:rFonts w:ascii="Times New Roman" w:eastAsia="Times New Roman" w:hAnsi="Times New Roman"/>
                <w:b/>
                <w:bCs/>
                <w:sz w:val="24"/>
                <w:szCs w:val="24"/>
                <w:lang w:eastAsia="lv-LV"/>
              </w:rPr>
              <w:br/>
              <w:t>Tiesību akta projekta atbilstība ES tiesību aktiem</w:t>
            </w:r>
          </w:p>
        </w:tc>
      </w:tr>
      <w:tr w14:paraId="047403D8" w14:textId="77777777" w:rsidTr="00FB50A1">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FB50A1" w:rsidP="00A01667" w14:paraId="71854F08"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FB50A1" w:rsidP="00A01667" w14:paraId="2235C930" w14:textId="4BD5F535">
            <w:pPr>
              <w:spacing w:before="60" w:after="60"/>
              <w:rPr>
                <w:rFonts w:ascii="Times New Roman" w:eastAsia="Times New Roman" w:hAnsi="Times New Roman"/>
                <w:sz w:val="24"/>
                <w:szCs w:val="24"/>
                <w:lang w:eastAsia="lv-LV"/>
              </w:rPr>
            </w:pPr>
            <w:r>
              <w:rPr>
                <w:rFonts w:ascii="Times New Roman" w:hAnsi="Times New Roman"/>
                <w:b/>
                <w:sz w:val="24"/>
                <w:szCs w:val="24"/>
              </w:rPr>
              <w:t>Regula Nr. </w:t>
            </w:r>
            <w:r w:rsidR="0022209C">
              <w:rPr>
                <w:rFonts w:ascii="Times New Roman" w:hAnsi="Times New Roman"/>
                <w:b/>
                <w:sz w:val="24"/>
                <w:szCs w:val="24"/>
              </w:rPr>
              <w:t>2012/2392</w:t>
            </w:r>
          </w:p>
        </w:tc>
      </w:tr>
      <w:tr w14:paraId="4BFC3228" w14:textId="77777777" w:rsidTr="00FB50A1">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rsidR="00FB50A1" w:rsidRPr="0022209C" w:rsidP="00B500C9" w14:paraId="71C41AEE" w14:textId="77777777">
            <w:pPr>
              <w:spacing w:after="0"/>
              <w:jc w:val="center"/>
              <w:rPr>
                <w:rFonts w:ascii="Times New Roman" w:eastAsia="Times New Roman" w:hAnsi="Times New Roman"/>
                <w:sz w:val="20"/>
                <w:szCs w:val="20"/>
                <w:lang w:eastAsia="lv-LV"/>
              </w:rPr>
            </w:pPr>
            <w:r w:rsidRPr="0022209C">
              <w:rPr>
                <w:rFonts w:ascii="Times New Roman" w:eastAsia="Times New Roman" w:hAnsi="Times New Roman"/>
                <w:sz w:val="20"/>
                <w:szCs w:val="20"/>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FB50A1" w:rsidRPr="0022209C" w:rsidP="00B500C9" w14:paraId="0B4A15C6" w14:textId="77777777">
            <w:pPr>
              <w:spacing w:after="0"/>
              <w:jc w:val="center"/>
              <w:rPr>
                <w:rFonts w:ascii="Times New Roman" w:eastAsia="Times New Roman" w:hAnsi="Times New Roman"/>
                <w:sz w:val="20"/>
                <w:szCs w:val="20"/>
                <w:lang w:eastAsia="lv-LV"/>
              </w:rPr>
            </w:pPr>
            <w:r w:rsidRPr="0022209C">
              <w:rPr>
                <w:rFonts w:ascii="Times New Roman" w:eastAsia="Times New Roman" w:hAnsi="Times New Roman"/>
                <w:sz w:val="20"/>
                <w:szCs w:val="20"/>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FB50A1" w:rsidRPr="00332018" w:rsidP="00B500C9" w14:paraId="34320367" w14:textId="77777777">
            <w:pPr>
              <w:spacing w:after="0"/>
              <w:jc w:val="center"/>
              <w:rPr>
                <w:rFonts w:ascii="Times New Roman" w:eastAsia="Times New Roman" w:hAnsi="Times New Roman"/>
                <w:sz w:val="20"/>
                <w:szCs w:val="20"/>
                <w:lang w:eastAsia="lv-LV"/>
              </w:rPr>
            </w:pPr>
            <w:r w:rsidRPr="00332018">
              <w:rPr>
                <w:rFonts w:ascii="Times New Roman" w:eastAsia="Times New Roman" w:hAnsi="Times New Roman"/>
                <w:sz w:val="20"/>
                <w:szCs w:val="20"/>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FB50A1" w:rsidRPr="0022209C" w:rsidP="00B500C9" w14:paraId="7DB96247" w14:textId="77777777">
            <w:pPr>
              <w:spacing w:after="0"/>
              <w:jc w:val="center"/>
              <w:rPr>
                <w:rFonts w:ascii="Times New Roman" w:eastAsia="Times New Roman" w:hAnsi="Times New Roman"/>
                <w:sz w:val="20"/>
                <w:szCs w:val="20"/>
                <w:lang w:eastAsia="lv-LV"/>
              </w:rPr>
            </w:pPr>
            <w:r w:rsidRPr="0022209C">
              <w:rPr>
                <w:rFonts w:ascii="Times New Roman" w:eastAsia="Times New Roman" w:hAnsi="Times New Roman"/>
                <w:sz w:val="20"/>
                <w:szCs w:val="20"/>
                <w:lang w:eastAsia="lv-LV"/>
              </w:rPr>
              <w:t>D</w:t>
            </w:r>
          </w:p>
        </w:tc>
      </w:tr>
      <w:tr w14:paraId="7401B4DE" w14:textId="77777777" w:rsidTr="00FB50A1">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FB50A1" w:rsidRPr="00693D84" w:rsidP="00A01667" w14:paraId="251D05D2"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FB50A1" w:rsidRPr="00693D84" w:rsidP="00A01667" w14:paraId="6575023C"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FB50A1" w:rsidRPr="00693D84" w:rsidP="00A01667" w14:paraId="54E3936F"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Informācija par to, vai šīs tabulas A ailē minētās ES tiesību akta vienības tiek pārņemtas vai ieviestas pilnībā vai daļēji.</w:t>
            </w:r>
          </w:p>
          <w:p w:rsidR="00FB50A1" w:rsidRPr="00693D84" w:rsidP="00A01667" w14:paraId="399BE8C9"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Ja attiecīgā ES tiesību akta vienība tiek pārņemta vai ieviesta daļēji, sniedz attiecīgu skaidrojumu, kā arī precīzi norāda, kad un kādā veidā ES tiesību akta vienība tiks pārņemta vai ieviesta pilnībā.</w:t>
            </w:r>
          </w:p>
          <w:p w:rsidR="00FB50A1" w:rsidRPr="00693D84" w:rsidP="00A01667" w14:paraId="2D3E2A3B"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Norāda institūciju, kas ir atbildīga par šo saistību izpildi pilnībā</w:t>
            </w:r>
          </w:p>
        </w:tc>
        <w:tc>
          <w:tcPr>
            <w:tcW w:w="1351" w:type="pct"/>
            <w:tcBorders>
              <w:top w:val="outset" w:sz="6" w:space="0" w:color="414142"/>
              <w:left w:val="outset" w:sz="6" w:space="0" w:color="414142"/>
              <w:bottom w:val="outset" w:sz="6" w:space="0" w:color="414142"/>
              <w:right w:val="outset" w:sz="6" w:space="0" w:color="414142"/>
            </w:tcBorders>
            <w:hideMark/>
          </w:tcPr>
          <w:p w:rsidR="00FB50A1" w:rsidRPr="00693D84" w:rsidP="00A01667" w14:paraId="44E6F0A6"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Informācija par to, vai šīs tabulas B ailē minētās projekta vienības paredz stingrākas prasības nekā šīs tabulas A ailē minētās ES tiesību akta vienības.</w:t>
            </w:r>
          </w:p>
          <w:p w:rsidR="00FB50A1" w:rsidRPr="00693D84" w:rsidP="00A01667" w14:paraId="6AAAFAA0"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Ja projekts satur stingrākas prasības nekā attiecīgais ES tiesību akts, norāda pamatojumu un samērīgumu.</w:t>
            </w:r>
          </w:p>
          <w:p w:rsidR="00FB50A1" w:rsidRPr="00693D84" w:rsidP="00A01667" w14:paraId="3C5DC2A9" w14:textId="77777777">
            <w:pPr>
              <w:spacing w:before="60" w:after="60"/>
              <w:rPr>
                <w:rFonts w:ascii="Times New Roman" w:eastAsia="Times New Roman" w:hAnsi="Times New Roman"/>
                <w:lang w:eastAsia="lv-LV"/>
              </w:rPr>
            </w:pPr>
            <w:r w:rsidRPr="00693D84">
              <w:rPr>
                <w:rFonts w:ascii="Times New Roman" w:eastAsia="Times New Roman" w:hAnsi="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14:paraId="5AEA149B" w14:textId="77777777" w:rsidTr="00FB50A1">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rsidR="00FB50A1" w:rsidP="00A01667" w14:paraId="0084A2F0" w14:textId="379C329C">
            <w:pPr>
              <w:spacing w:before="60" w:after="60"/>
              <w:rPr>
                <w:rFonts w:ascii="Times New Roman" w:hAnsi="Times New Roman" w:eastAsiaTheme="minorHAnsi"/>
                <w:sz w:val="24"/>
                <w:szCs w:val="24"/>
              </w:rPr>
            </w:pPr>
            <w:r>
              <w:rPr>
                <w:rFonts w:ascii="Times New Roman" w:hAnsi="Times New Roman" w:eastAsiaTheme="minorHAnsi"/>
                <w:sz w:val="24"/>
                <w:szCs w:val="24"/>
              </w:rPr>
              <w:t>1. panta 6. </w:t>
            </w:r>
            <w:r w:rsidR="00332018">
              <w:rPr>
                <w:rFonts w:ascii="Times New Roman" w:hAnsi="Times New Roman" w:eastAsiaTheme="minorHAnsi"/>
                <w:sz w:val="24"/>
                <w:szCs w:val="24"/>
              </w:rPr>
              <w:t xml:space="preserve">punkta </w:t>
            </w:r>
            <w:r>
              <w:rPr>
                <w:rFonts w:ascii="Times New Roman" w:hAnsi="Times New Roman" w:eastAsiaTheme="minorHAnsi"/>
                <w:sz w:val="24"/>
                <w:szCs w:val="24"/>
              </w:rPr>
              <w:t>“b”</w:t>
            </w:r>
            <w:r w:rsidR="00332018">
              <w:rPr>
                <w:rFonts w:ascii="Times New Roman" w:hAnsi="Times New Roman" w:eastAsiaTheme="minorHAnsi"/>
                <w:sz w:val="24"/>
                <w:szCs w:val="24"/>
              </w:rPr>
              <w:t xml:space="preserve"> apakšp</w:t>
            </w:r>
            <w:r>
              <w:rPr>
                <w:rFonts w:ascii="Times New Roman" w:hAnsi="Times New Roman" w:eastAsiaTheme="minorHAnsi"/>
                <w:sz w:val="24"/>
                <w:szCs w:val="24"/>
              </w:rPr>
              <w:t>unktā izteiktais direktīvas Nr. 2003/87/EK 28.a </w:t>
            </w:r>
            <w:r w:rsidR="00332018">
              <w:rPr>
                <w:rFonts w:ascii="Times New Roman" w:hAnsi="Times New Roman" w:eastAsiaTheme="minorHAnsi"/>
                <w:sz w:val="24"/>
                <w:szCs w:val="24"/>
              </w:rPr>
              <w:t>panta 1.</w:t>
            </w:r>
            <w:r>
              <w:rPr>
                <w:rFonts w:ascii="Times New Roman" w:hAnsi="Times New Roman" w:eastAsiaTheme="minorHAnsi"/>
                <w:sz w:val="24"/>
                <w:szCs w:val="24"/>
              </w:rPr>
              <w:t> </w:t>
            </w:r>
            <w:r w:rsidR="00332018">
              <w:rPr>
                <w:rFonts w:ascii="Times New Roman" w:hAnsi="Times New Roman" w:eastAsiaTheme="minorHAnsi"/>
                <w:sz w:val="24"/>
                <w:szCs w:val="24"/>
              </w:rPr>
              <w:t>punkts</w:t>
            </w:r>
          </w:p>
        </w:tc>
        <w:tc>
          <w:tcPr>
            <w:tcW w:w="1100" w:type="pct"/>
            <w:tcBorders>
              <w:top w:val="outset" w:sz="6" w:space="0" w:color="414142"/>
              <w:left w:val="outset" w:sz="6" w:space="0" w:color="414142"/>
              <w:bottom w:val="outset" w:sz="6" w:space="0" w:color="414142"/>
              <w:right w:val="outset" w:sz="6" w:space="0" w:color="414142"/>
            </w:tcBorders>
            <w:vAlign w:val="center"/>
          </w:tcPr>
          <w:p w:rsidR="00FB50A1" w:rsidP="00A01667" w14:paraId="7B6B6F15" w14:textId="1AEA3EC7">
            <w:pPr>
              <w:spacing w:before="60" w:after="60"/>
              <w:rPr>
                <w:rFonts w:ascii="Times New Roman" w:hAnsi="Times New Roman"/>
                <w:sz w:val="24"/>
                <w:szCs w:val="24"/>
              </w:rPr>
            </w:pPr>
            <w:r>
              <w:rPr>
                <w:rFonts w:ascii="Times New Roman" w:hAnsi="Times New Roman"/>
                <w:sz w:val="24"/>
                <w:szCs w:val="24"/>
              </w:rPr>
              <w:t>Pārņemts ar likumprojektu “</w:t>
            </w:r>
            <w:r w:rsidR="00332018">
              <w:rPr>
                <w:rFonts w:ascii="Times New Roman" w:hAnsi="Times New Roman"/>
                <w:sz w:val="24"/>
                <w:szCs w:val="24"/>
              </w:rPr>
              <w:t>Grozījumi likumā “Par piesārņojumu”’</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FB50A1" w:rsidP="00D86F0D" w14:paraId="639164AD" w14:textId="77777777">
            <w:pPr>
              <w:spacing w:before="60" w:after="60"/>
              <w:jc w:val="left"/>
              <w:rPr>
                <w:rFonts w:ascii="Times New Roman" w:hAnsi="Times New Roman"/>
                <w:sz w:val="24"/>
                <w:szCs w:val="24"/>
              </w:rPr>
            </w:pPr>
            <w:r>
              <w:rPr>
                <w:rFonts w:ascii="Times New Roman" w:hAnsi="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FB50A1" w:rsidP="00A01667" w14:paraId="5BD02361" w14:textId="33138EF8">
            <w:pPr>
              <w:pStyle w:val="naisc"/>
              <w:spacing w:before="60" w:after="60" w:line="256" w:lineRule="auto"/>
              <w:jc w:val="both"/>
              <w:rPr>
                <w:lang w:eastAsia="en-US"/>
              </w:rPr>
            </w:pPr>
            <w:r>
              <w:rPr>
                <w:lang w:eastAsia="en-US"/>
              </w:rPr>
              <w:t>Netiek ieviests</w:t>
            </w:r>
            <w:r w:rsidR="00503B82">
              <w:rPr>
                <w:lang w:eastAsia="en-US"/>
              </w:rPr>
              <w:t>,</w:t>
            </w:r>
            <w:r>
              <w:rPr>
                <w:lang w:eastAsia="en-US"/>
              </w:rPr>
              <w:t xml:space="preserve"> paredzot stingrākas vai mazāk stingras prasības</w:t>
            </w:r>
          </w:p>
        </w:tc>
      </w:tr>
      <w:tr w14:paraId="1BAE954C" w14:textId="77777777" w:rsidTr="00FB50A1">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rsidR="00FB50A1" w:rsidP="004E3206" w14:paraId="61256C60" w14:textId="6E71B0DA">
            <w:pPr>
              <w:spacing w:before="60" w:after="60"/>
              <w:rPr>
                <w:rFonts w:ascii="Times New Roman" w:hAnsi="Times New Roman"/>
                <w:sz w:val="24"/>
                <w:szCs w:val="24"/>
              </w:rPr>
            </w:pPr>
            <w:r>
              <w:rPr>
                <w:rFonts w:ascii="Times New Roman" w:hAnsi="Times New Roman" w:eastAsiaTheme="minorHAnsi"/>
                <w:sz w:val="24"/>
                <w:szCs w:val="24"/>
              </w:rPr>
              <w:t>1. panta 6. </w:t>
            </w:r>
            <w:r w:rsidR="00693D84">
              <w:rPr>
                <w:rFonts w:ascii="Times New Roman" w:hAnsi="Times New Roman" w:eastAsiaTheme="minorHAnsi"/>
                <w:sz w:val="24"/>
                <w:szCs w:val="24"/>
              </w:rPr>
              <w:t xml:space="preserve">punkta </w:t>
            </w:r>
            <w:r>
              <w:rPr>
                <w:rFonts w:ascii="Times New Roman" w:hAnsi="Times New Roman" w:eastAsiaTheme="minorHAnsi"/>
                <w:sz w:val="24"/>
                <w:szCs w:val="24"/>
              </w:rPr>
              <w:t>“</w:t>
            </w:r>
            <w:r w:rsidR="00693D84">
              <w:rPr>
                <w:rFonts w:ascii="Times New Roman" w:hAnsi="Times New Roman" w:eastAsiaTheme="minorHAnsi"/>
                <w:sz w:val="24"/>
                <w:szCs w:val="24"/>
              </w:rPr>
              <w:t>e</w:t>
            </w:r>
            <w:r>
              <w:rPr>
                <w:rFonts w:ascii="Times New Roman" w:hAnsi="Times New Roman" w:eastAsiaTheme="minorHAnsi"/>
                <w:sz w:val="24"/>
                <w:szCs w:val="24"/>
              </w:rPr>
              <w:t>”</w:t>
            </w:r>
            <w:r w:rsidR="00693D84">
              <w:rPr>
                <w:rFonts w:ascii="Times New Roman" w:hAnsi="Times New Roman" w:eastAsiaTheme="minorHAnsi"/>
                <w:sz w:val="24"/>
                <w:szCs w:val="24"/>
              </w:rPr>
              <w:t xml:space="preserve"> apakšp</w:t>
            </w:r>
            <w:r>
              <w:rPr>
                <w:rFonts w:ascii="Times New Roman" w:hAnsi="Times New Roman" w:eastAsiaTheme="minorHAnsi"/>
                <w:sz w:val="24"/>
                <w:szCs w:val="24"/>
              </w:rPr>
              <w:t xml:space="preserve">unktā izteiktais direktīvas Nr. </w:t>
            </w:r>
            <w:r w:rsidR="00877E06">
              <w:rPr>
                <w:rFonts w:ascii="Times New Roman" w:hAnsi="Times New Roman" w:eastAsiaTheme="minorHAnsi"/>
                <w:sz w:val="24"/>
                <w:szCs w:val="24"/>
              </w:rPr>
              <w:t>2003/87/EK 28.a </w:t>
            </w:r>
            <w:r w:rsidR="00693D84">
              <w:rPr>
                <w:rFonts w:ascii="Times New Roman" w:hAnsi="Times New Roman" w:eastAsiaTheme="minorHAnsi"/>
                <w:sz w:val="24"/>
                <w:szCs w:val="24"/>
              </w:rPr>
              <w:t>panta 6.</w:t>
            </w:r>
            <w:r w:rsidR="00877E06">
              <w:rPr>
                <w:rFonts w:ascii="Times New Roman" w:hAnsi="Times New Roman" w:eastAsiaTheme="minorHAnsi"/>
                <w:sz w:val="24"/>
                <w:szCs w:val="24"/>
              </w:rPr>
              <w:t> </w:t>
            </w:r>
            <w:r w:rsidR="00693D84">
              <w:rPr>
                <w:rFonts w:ascii="Times New Roman" w:hAnsi="Times New Roman" w:eastAsiaTheme="minorHAnsi"/>
                <w:sz w:val="24"/>
                <w:szCs w:val="24"/>
              </w:rPr>
              <w:t>punkts</w:t>
            </w:r>
          </w:p>
        </w:tc>
        <w:tc>
          <w:tcPr>
            <w:tcW w:w="1100" w:type="pct"/>
            <w:tcBorders>
              <w:top w:val="outset" w:sz="6" w:space="0" w:color="414142"/>
              <w:left w:val="outset" w:sz="6" w:space="0" w:color="414142"/>
              <w:bottom w:val="outset" w:sz="6" w:space="0" w:color="414142"/>
              <w:right w:val="outset" w:sz="6" w:space="0" w:color="414142"/>
            </w:tcBorders>
            <w:vAlign w:val="center"/>
          </w:tcPr>
          <w:p w:rsidR="00FB50A1" w:rsidP="00A01667" w14:paraId="73BB988E" w14:textId="1A9A8F1D">
            <w:pPr>
              <w:spacing w:before="60" w:after="60"/>
              <w:rPr>
                <w:rFonts w:ascii="Times New Roman" w:hAnsi="Times New Roman"/>
                <w:sz w:val="24"/>
                <w:szCs w:val="24"/>
              </w:rPr>
            </w:pPr>
            <w:r>
              <w:rPr>
                <w:rFonts w:ascii="Times New Roman" w:hAnsi="Times New Roman"/>
                <w:sz w:val="24"/>
                <w:szCs w:val="24"/>
              </w:rPr>
              <w:t>Noteikumu projekta 4.</w:t>
            </w:r>
            <w:r w:rsidR="00877E06">
              <w:rPr>
                <w:rFonts w:ascii="Times New Roman" w:hAnsi="Times New Roman"/>
                <w:sz w:val="24"/>
                <w:szCs w:val="24"/>
              </w:rPr>
              <w:t> </w:t>
            </w:r>
            <w:r>
              <w:rPr>
                <w:rFonts w:ascii="Times New Roman" w:hAnsi="Times New Roman"/>
                <w:sz w:val="24"/>
                <w:szCs w:val="24"/>
              </w:rPr>
              <w:t>punkts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FB50A1" w:rsidP="00D86F0D" w14:paraId="7ED87F2F" w14:textId="77777777">
            <w:pPr>
              <w:spacing w:before="60" w:after="60"/>
              <w:jc w:val="left"/>
              <w:rPr>
                <w:rFonts w:ascii="Times New Roman" w:hAnsi="Times New Roman"/>
                <w:sz w:val="24"/>
                <w:szCs w:val="24"/>
              </w:rPr>
            </w:pPr>
            <w:r>
              <w:rPr>
                <w:rFonts w:ascii="Times New Roman" w:hAnsi="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FB50A1" w:rsidP="00A01667" w14:paraId="52943B2A" w14:textId="27770DF2">
            <w:pPr>
              <w:pStyle w:val="naisc"/>
              <w:spacing w:before="60" w:after="60" w:line="256" w:lineRule="auto"/>
              <w:jc w:val="both"/>
              <w:rPr>
                <w:lang w:eastAsia="en-US"/>
              </w:rPr>
            </w:pPr>
            <w:r>
              <w:rPr>
                <w:lang w:eastAsia="en-US"/>
              </w:rPr>
              <w:t>Netiek ieviests</w:t>
            </w:r>
            <w:r w:rsidR="00503B82">
              <w:rPr>
                <w:lang w:eastAsia="en-US"/>
              </w:rPr>
              <w:t>,</w:t>
            </w:r>
            <w:r>
              <w:rPr>
                <w:lang w:eastAsia="en-US"/>
              </w:rPr>
              <w:t xml:space="preserve"> paredzot stingrākas vai mazāk stingras prasības</w:t>
            </w:r>
          </w:p>
        </w:tc>
      </w:tr>
      <w:tr w14:paraId="0BB5FAE2" w14:textId="77777777" w:rsidTr="00B81FB2">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956AFD" w:rsidP="00A01667" w14:paraId="2C39AA30"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Attiecīgā ES tiesību akta datums, numurs un nosaukums</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956AFD" w:rsidP="00A01667" w14:paraId="3B42C616" w14:textId="77777777">
            <w:pPr>
              <w:spacing w:before="60" w:after="60"/>
              <w:rPr>
                <w:rFonts w:ascii="Times New Roman" w:eastAsia="Times New Roman" w:hAnsi="Times New Roman"/>
                <w:sz w:val="24"/>
                <w:szCs w:val="24"/>
                <w:lang w:eastAsia="lv-LV"/>
              </w:rPr>
            </w:pPr>
            <w:r>
              <w:rPr>
                <w:rFonts w:ascii="Times New Roman" w:hAnsi="Times New Roman"/>
                <w:b/>
                <w:sz w:val="24"/>
                <w:szCs w:val="24"/>
              </w:rPr>
              <w:t>Regula Nr. 2012/2392</w:t>
            </w:r>
          </w:p>
        </w:tc>
      </w:tr>
      <w:tr w14:paraId="4E409539" w14:textId="77777777" w:rsidTr="00B81FB2">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hideMark/>
          </w:tcPr>
          <w:p w:rsidR="00956AFD" w:rsidRPr="0022209C" w:rsidP="00B500C9" w14:paraId="5F666F1D" w14:textId="77777777">
            <w:pPr>
              <w:spacing w:after="0"/>
              <w:jc w:val="center"/>
              <w:rPr>
                <w:rFonts w:ascii="Times New Roman" w:eastAsia="Times New Roman" w:hAnsi="Times New Roman"/>
                <w:sz w:val="20"/>
                <w:szCs w:val="20"/>
                <w:lang w:eastAsia="lv-LV"/>
              </w:rPr>
            </w:pPr>
            <w:r w:rsidRPr="0022209C">
              <w:rPr>
                <w:rFonts w:ascii="Times New Roman" w:eastAsia="Times New Roman" w:hAnsi="Times New Roman"/>
                <w:sz w:val="20"/>
                <w:szCs w:val="20"/>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956AFD" w:rsidRPr="0022209C" w:rsidP="00B500C9" w14:paraId="77C1A285" w14:textId="77777777">
            <w:pPr>
              <w:spacing w:after="0"/>
              <w:jc w:val="center"/>
              <w:rPr>
                <w:rFonts w:ascii="Times New Roman" w:eastAsia="Times New Roman" w:hAnsi="Times New Roman"/>
                <w:sz w:val="20"/>
                <w:szCs w:val="20"/>
                <w:lang w:eastAsia="lv-LV"/>
              </w:rPr>
            </w:pPr>
            <w:r w:rsidRPr="0022209C">
              <w:rPr>
                <w:rFonts w:ascii="Times New Roman" w:eastAsia="Times New Roman" w:hAnsi="Times New Roman"/>
                <w:sz w:val="20"/>
                <w:szCs w:val="20"/>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956AFD" w:rsidRPr="00332018" w:rsidP="00B500C9" w14:paraId="5A84B33D" w14:textId="77777777">
            <w:pPr>
              <w:spacing w:after="0"/>
              <w:jc w:val="center"/>
              <w:rPr>
                <w:rFonts w:ascii="Times New Roman" w:eastAsia="Times New Roman" w:hAnsi="Times New Roman"/>
                <w:sz w:val="20"/>
                <w:szCs w:val="20"/>
                <w:lang w:eastAsia="lv-LV"/>
              </w:rPr>
            </w:pPr>
            <w:r w:rsidRPr="00332018">
              <w:rPr>
                <w:rFonts w:ascii="Times New Roman" w:eastAsia="Times New Roman" w:hAnsi="Times New Roman"/>
                <w:sz w:val="20"/>
                <w:szCs w:val="20"/>
                <w:lang w:eastAsia="lv-LV"/>
              </w:rPr>
              <w:t>C</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956AFD" w:rsidRPr="0022209C" w:rsidP="00B500C9" w14:paraId="2FDD0CCB" w14:textId="77777777">
            <w:pPr>
              <w:spacing w:after="0"/>
              <w:jc w:val="center"/>
              <w:rPr>
                <w:rFonts w:ascii="Times New Roman" w:eastAsia="Times New Roman" w:hAnsi="Times New Roman"/>
                <w:sz w:val="20"/>
                <w:szCs w:val="20"/>
                <w:lang w:eastAsia="lv-LV"/>
              </w:rPr>
            </w:pPr>
            <w:r w:rsidRPr="0022209C">
              <w:rPr>
                <w:rFonts w:ascii="Times New Roman" w:eastAsia="Times New Roman" w:hAnsi="Times New Roman"/>
                <w:sz w:val="20"/>
                <w:szCs w:val="20"/>
                <w:lang w:eastAsia="lv-LV"/>
              </w:rPr>
              <w:t>D</w:t>
            </w:r>
          </w:p>
        </w:tc>
      </w:tr>
      <w:tr w14:paraId="3491850D" w14:textId="77777777" w:rsidTr="00B81FB2">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rsidR="00956AFD" w:rsidP="00A01667" w14:paraId="7A009626" w14:textId="3670FF03">
            <w:pPr>
              <w:spacing w:before="60" w:after="60"/>
              <w:rPr>
                <w:rFonts w:ascii="Times New Roman" w:hAnsi="Times New Roman"/>
                <w:sz w:val="24"/>
                <w:szCs w:val="24"/>
              </w:rPr>
            </w:pPr>
            <w:r>
              <w:rPr>
                <w:rFonts w:ascii="Times New Roman" w:hAnsi="Times New Roman" w:eastAsiaTheme="minorHAnsi"/>
                <w:sz w:val="24"/>
                <w:szCs w:val="24"/>
              </w:rPr>
              <w:t>74.</w:t>
            </w:r>
            <w:r w:rsidR="00877E06">
              <w:rPr>
                <w:rFonts w:ascii="Times New Roman" w:hAnsi="Times New Roman" w:eastAsiaTheme="minorHAnsi"/>
                <w:sz w:val="24"/>
                <w:szCs w:val="24"/>
              </w:rPr>
              <w:t> </w:t>
            </w:r>
            <w:r>
              <w:rPr>
                <w:rFonts w:ascii="Times New Roman" w:hAnsi="Times New Roman" w:eastAsiaTheme="minorHAnsi"/>
                <w:sz w:val="24"/>
                <w:szCs w:val="24"/>
              </w:rPr>
              <w:t>pants</w:t>
            </w:r>
          </w:p>
        </w:tc>
        <w:tc>
          <w:tcPr>
            <w:tcW w:w="1100" w:type="pct"/>
            <w:tcBorders>
              <w:top w:val="outset" w:sz="6" w:space="0" w:color="414142"/>
              <w:left w:val="outset" w:sz="6" w:space="0" w:color="414142"/>
              <w:bottom w:val="outset" w:sz="6" w:space="0" w:color="414142"/>
              <w:right w:val="outset" w:sz="6" w:space="0" w:color="414142"/>
            </w:tcBorders>
            <w:vAlign w:val="center"/>
          </w:tcPr>
          <w:p w:rsidR="00956AFD" w:rsidP="00A01667" w14:paraId="038D182F" w14:textId="01158EAA">
            <w:pPr>
              <w:spacing w:before="60" w:after="60"/>
              <w:rPr>
                <w:rFonts w:ascii="Times New Roman" w:hAnsi="Times New Roman"/>
                <w:sz w:val="24"/>
                <w:szCs w:val="24"/>
              </w:rPr>
            </w:pPr>
            <w:r>
              <w:rPr>
                <w:rFonts w:ascii="Times New Roman" w:hAnsi="Times New Roman"/>
                <w:sz w:val="24"/>
                <w:szCs w:val="24"/>
              </w:rPr>
              <w:t>Noteikumu projekta 2. un 3. </w:t>
            </w:r>
            <w:r>
              <w:rPr>
                <w:rFonts w:ascii="Times New Roman" w:hAnsi="Times New Roman"/>
                <w:sz w:val="24"/>
                <w:szCs w:val="24"/>
              </w:rPr>
              <w:t>punkts</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956AFD" w:rsidP="00A01667" w14:paraId="56E57799" w14:textId="77777777">
            <w:pPr>
              <w:spacing w:before="60" w:after="60"/>
              <w:rPr>
                <w:rFonts w:ascii="Times New Roman" w:hAnsi="Times New Roman"/>
                <w:sz w:val="24"/>
                <w:szCs w:val="24"/>
              </w:rPr>
            </w:pPr>
            <w:r>
              <w:rPr>
                <w:rFonts w:ascii="Times New Roman" w:hAnsi="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hideMark/>
          </w:tcPr>
          <w:p w:rsidR="00956AFD" w:rsidP="00A01667" w14:paraId="3C2A0F16" w14:textId="2C9D6B0B">
            <w:pPr>
              <w:pStyle w:val="naisc"/>
              <w:spacing w:before="60" w:after="60" w:line="256" w:lineRule="auto"/>
              <w:jc w:val="both"/>
              <w:rPr>
                <w:lang w:eastAsia="en-US"/>
              </w:rPr>
            </w:pPr>
            <w:r>
              <w:rPr>
                <w:lang w:eastAsia="en-US"/>
              </w:rPr>
              <w:t>Netiek ieviests</w:t>
            </w:r>
            <w:r w:rsidR="00503B82">
              <w:rPr>
                <w:lang w:eastAsia="en-US"/>
              </w:rPr>
              <w:t>,</w:t>
            </w:r>
            <w:r>
              <w:rPr>
                <w:lang w:eastAsia="en-US"/>
              </w:rPr>
              <w:t xml:space="preserve"> paredzot stingrākas vai mazāk stingras prasības</w:t>
            </w:r>
          </w:p>
        </w:tc>
      </w:tr>
      <w:tr w14:paraId="7829F054" w14:textId="77777777" w:rsidTr="00B81FB2">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vAlign w:val="center"/>
          </w:tcPr>
          <w:p w:rsidR="00956AFD" w:rsidP="00A01667" w14:paraId="34F15F94" w14:textId="27F3E7C3">
            <w:pPr>
              <w:spacing w:before="60" w:after="60"/>
              <w:rPr>
                <w:rFonts w:ascii="Times New Roman" w:hAnsi="Times New Roman"/>
                <w:sz w:val="24"/>
                <w:szCs w:val="24"/>
              </w:rPr>
            </w:pPr>
            <w:r>
              <w:rPr>
                <w:rFonts w:ascii="Times New Roman" w:hAnsi="Times New Roman" w:eastAsiaTheme="minorHAnsi"/>
                <w:sz w:val="24"/>
                <w:szCs w:val="24"/>
              </w:rPr>
              <w:t>75.</w:t>
            </w:r>
            <w:r w:rsidR="00877E06">
              <w:rPr>
                <w:rFonts w:ascii="Times New Roman" w:hAnsi="Times New Roman" w:eastAsiaTheme="minorHAnsi"/>
                <w:sz w:val="24"/>
                <w:szCs w:val="24"/>
              </w:rPr>
              <w:t> </w:t>
            </w:r>
            <w:r>
              <w:rPr>
                <w:rFonts w:ascii="Times New Roman" w:hAnsi="Times New Roman" w:eastAsiaTheme="minorHAnsi"/>
                <w:sz w:val="24"/>
                <w:szCs w:val="24"/>
              </w:rPr>
              <w:t>pants</w:t>
            </w:r>
          </w:p>
        </w:tc>
        <w:tc>
          <w:tcPr>
            <w:tcW w:w="1100" w:type="pct"/>
            <w:tcBorders>
              <w:top w:val="outset" w:sz="6" w:space="0" w:color="414142"/>
              <w:left w:val="outset" w:sz="6" w:space="0" w:color="414142"/>
              <w:bottom w:val="outset" w:sz="6" w:space="0" w:color="414142"/>
              <w:right w:val="outset" w:sz="6" w:space="0" w:color="414142"/>
            </w:tcBorders>
            <w:vAlign w:val="center"/>
          </w:tcPr>
          <w:p w:rsidR="00956AFD" w:rsidP="00A01667" w14:paraId="2AEC8D74" w14:textId="56483EC8">
            <w:pPr>
              <w:spacing w:before="60" w:after="60"/>
              <w:rPr>
                <w:rFonts w:ascii="Times New Roman" w:hAnsi="Times New Roman"/>
                <w:sz w:val="24"/>
                <w:szCs w:val="24"/>
              </w:rPr>
            </w:pPr>
            <w:r>
              <w:rPr>
                <w:rFonts w:ascii="Times New Roman" w:hAnsi="Times New Roman"/>
                <w:sz w:val="24"/>
                <w:szCs w:val="24"/>
              </w:rPr>
              <w:t>Noteikumu projekta 2. un 3. </w:t>
            </w:r>
            <w:r>
              <w:rPr>
                <w:rFonts w:ascii="Times New Roman" w:hAnsi="Times New Roman"/>
                <w:sz w:val="24"/>
                <w:szCs w:val="24"/>
              </w:rPr>
              <w:t>punkts</w:t>
            </w:r>
          </w:p>
        </w:tc>
        <w:tc>
          <w:tcPr>
            <w:tcW w:w="1400" w:type="pct"/>
            <w:tcBorders>
              <w:top w:val="outset" w:sz="6" w:space="0" w:color="414142"/>
              <w:left w:val="outset" w:sz="6" w:space="0" w:color="414142"/>
              <w:bottom w:val="outset" w:sz="6" w:space="0" w:color="414142"/>
              <w:right w:val="outset" w:sz="6" w:space="0" w:color="414142"/>
            </w:tcBorders>
            <w:vAlign w:val="center"/>
          </w:tcPr>
          <w:p w:rsidR="00956AFD" w:rsidP="00A01667" w14:paraId="4FFB6911" w14:textId="6F1A3A3A">
            <w:pPr>
              <w:spacing w:before="60" w:after="60"/>
              <w:rPr>
                <w:rFonts w:ascii="Times New Roman" w:hAnsi="Times New Roman"/>
                <w:sz w:val="24"/>
                <w:szCs w:val="24"/>
              </w:rPr>
            </w:pPr>
            <w:r>
              <w:rPr>
                <w:rFonts w:ascii="Times New Roman" w:hAnsi="Times New Roman"/>
                <w:sz w:val="24"/>
                <w:szCs w:val="24"/>
              </w:rPr>
              <w:t>Ieviests pilnībā</w:t>
            </w:r>
          </w:p>
        </w:tc>
        <w:tc>
          <w:tcPr>
            <w:tcW w:w="1351" w:type="pct"/>
            <w:tcBorders>
              <w:top w:val="outset" w:sz="6" w:space="0" w:color="414142"/>
              <w:left w:val="outset" w:sz="6" w:space="0" w:color="414142"/>
              <w:bottom w:val="outset" w:sz="6" w:space="0" w:color="414142"/>
              <w:right w:val="outset" w:sz="6" w:space="0" w:color="414142"/>
            </w:tcBorders>
            <w:vAlign w:val="center"/>
          </w:tcPr>
          <w:p w:rsidR="00956AFD" w:rsidP="00A01667" w14:paraId="7AFA876A" w14:textId="2E2041D7">
            <w:pPr>
              <w:pStyle w:val="naisc"/>
              <w:spacing w:before="60" w:after="60" w:line="256" w:lineRule="auto"/>
              <w:jc w:val="both"/>
              <w:rPr>
                <w:lang w:eastAsia="en-US"/>
              </w:rPr>
            </w:pPr>
            <w:r>
              <w:rPr>
                <w:lang w:eastAsia="en-US"/>
              </w:rPr>
              <w:t>Netiek ieviests</w:t>
            </w:r>
            <w:r w:rsidR="00503B82">
              <w:rPr>
                <w:lang w:eastAsia="en-US"/>
              </w:rPr>
              <w:t>,</w:t>
            </w:r>
            <w:r>
              <w:rPr>
                <w:lang w:eastAsia="en-US"/>
              </w:rPr>
              <w:t xml:space="preserve"> paredzot stingrākas vai mazāk stingras prasības</w:t>
            </w:r>
          </w:p>
        </w:tc>
      </w:tr>
      <w:tr w14:paraId="75B3ABA0" w14:textId="77777777" w:rsidTr="00FB50A1">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FB50A1" w:rsidP="00A01667" w14:paraId="7D6A9201"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Kā ir izmantota ES tiesību aktā paredzētā rīcības brīvība dalībvalstij pārņemt vai ieviest noteiktas ES tiesību akta normas?</w:t>
            </w:r>
            <w:r>
              <w:rPr>
                <w:rFonts w:ascii="Times New Roman" w:eastAsia="Times New Roman" w:hAnsi="Times New Roman"/>
                <w:sz w:val="24"/>
                <w:szCs w:val="24"/>
                <w:lang w:eastAsia="lv-LV"/>
              </w:rPr>
              <w:br/>
              <w:t>Kādēļ?</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FB50A1" w:rsidP="00A01667" w14:paraId="7C7027CC" w14:textId="77777777">
            <w:pPr>
              <w:spacing w:before="60" w:after="60"/>
              <w:rPr>
                <w:rFonts w:ascii="Times New Roman" w:eastAsia="Times New Roman" w:hAnsi="Times New Roman"/>
                <w:sz w:val="24"/>
                <w:szCs w:val="24"/>
                <w:lang w:eastAsia="lv-LV"/>
              </w:rPr>
            </w:pPr>
            <w:r>
              <w:rPr>
                <w:rFonts w:ascii="Times New Roman" w:hAnsi="Times New Roman"/>
                <w:sz w:val="24"/>
                <w:szCs w:val="24"/>
              </w:rPr>
              <w:t>Projekts šo jomu neskar.</w:t>
            </w:r>
          </w:p>
        </w:tc>
      </w:tr>
      <w:tr w14:paraId="3B75C812" w14:textId="77777777" w:rsidTr="00FB50A1">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FB50A1" w:rsidP="00A01667" w14:paraId="08CC1655"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FB50A1" w:rsidP="00A01667" w14:paraId="18818270" w14:textId="77777777">
            <w:pPr>
              <w:spacing w:before="60" w:after="60"/>
              <w:rPr>
                <w:rFonts w:ascii="Times New Roman" w:eastAsia="Times New Roman" w:hAnsi="Times New Roman"/>
                <w:sz w:val="24"/>
                <w:szCs w:val="24"/>
                <w:lang w:eastAsia="lv-LV"/>
              </w:rPr>
            </w:pPr>
            <w:r>
              <w:rPr>
                <w:rFonts w:ascii="Times New Roman" w:hAnsi="Times New Roman"/>
                <w:sz w:val="24"/>
                <w:szCs w:val="24"/>
              </w:rPr>
              <w:t>Projekts šo jomu neskar.</w:t>
            </w:r>
          </w:p>
        </w:tc>
      </w:tr>
      <w:tr w14:paraId="26A77AE2" w14:textId="77777777" w:rsidTr="00FB50A1">
        <w:tblPrEx>
          <w:tblW w:w="9639" w:type="dxa"/>
          <w:jc w:val="center"/>
          <w:tblCellMar>
            <w:top w:w="24" w:type="dxa"/>
            <w:left w:w="24" w:type="dxa"/>
            <w:bottom w:w="24" w:type="dxa"/>
            <w:right w:w="24" w:type="dxa"/>
          </w:tblCellMar>
          <w:tblLook w:val="04A0"/>
        </w:tblPrEx>
        <w:trPr>
          <w:jc w:val="center"/>
        </w:trPr>
        <w:tc>
          <w:tcPr>
            <w:tcW w:w="1149" w:type="pct"/>
            <w:tcBorders>
              <w:top w:val="outset" w:sz="6" w:space="0" w:color="414142"/>
              <w:left w:val="outset" w:sz="6" w:space="0" w:color="414142"/>
              <w:bottom w:val="outset" w:sz="6" w:space="0" w:color="414142"/>
              <w:right w:val="outset" w:sz="6" w:space="0" w:color="414142"/>
            </w:tcBorders>
            <w:hideMark/>
          </w:tcPr>
          <w:p w:rsidR="00FB50A1" w:rsidP="00A01667" w14:paraId="30893C06" w14:textId="77777777">
            <w:pPr>
              <w:spacing w:before="60" w:after="60"/>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851" w:type="pct"/>
            <w:gridSpan w:val="3"/>
            <w:tcBorders>
              <w:top w:val="outset" w:sz="6" w:space="0" w:color="414142"/>
              <w:left w:val="outset" w:sz="6" w:space="0" w:color="414142"/>
              <w:bottom w:val="outset" w:sz="6" w:space="0" w:color="414142"/>
              <w:right w:val="outset" w:sz="6" w:space="0" w:color="414142"/>
            </w:tcBorders>
            <w:hideMark/>
          </w:tcPr>
          <w:p w:rsidR="00FB50A1" w:rsidP="00A01667" w14:paraId="1BD071B9" w14:textId="77777777">
            <w:pPr>
              <w:spacing w:before="60" w:after="60"/>
              <w:rPr>
                <w:rFonts w:ascii="Times New Roman" w:eastAsia="Times New Roman" w:hAnsi="Times New Roman"/>
                <w:sz w:val="24"/>
                <w:szCs w:val="24"/>
                <w:lang w:eastAsia="lv-LV"/>
              </w:rPr>
            </w:pPr>
            <w:r>
              <w:rPr>
                <w:rFonts w:ascii="Times New Roman" w:hAnsi="Times New Roman"/>
                <w:sz w:val="24"/>
                <w:szCs w:val="24"/>
              </w:rPr>
              <w:t>Nav</w:t>
            </w:r>
          </w:p>
        </w:tc>
      </w:tr>
    </w:tbl>
    <w:p w:rsidR="00FB50A1" w:rsidRPr="00F122F9" w:rsidP="00A01667" w14:paraId="32044398" w14:textId="77777777">
      <w:pPr>
        <w:shd w:val="clear" w:color="auto" w:fill="FFFFFF"/>
        <w:spacing w:before="60" w:after="60"/>
        <w:jc w:val="left"/>
        <w:rPr>
          <w:rFonts w:ascii="Times New Roman" w:hAnsi="Times New Roman"/>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2637"/>
        <w:gridCol w:w="6520"/>
      </w:tblGrid>
      <w:tr w14:paraId="16D1D74F" w14:textId="77777777" w:rsidTr="005E117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420"/>
          <w:jc w:val="center"/>
        </w:trPr>
        <w:tc>
          <w:tcPr>
            <w:tcW w:w="0" w:type="auto"/>
            <w:gridSpan w:val="3"/>
            <w:vAlign w:val="center"/>
          </w:tcPr>
          <w:p w:rsidR="00CB4AAB" w:rsidRPr="00810942" w:rsidP="00A01667" w14:paraId="21CED519" w14:textId="51FB7160">
            <w:pPr>
              <w:pStyle w:val="tvhtml"/>
              <w:spacing w:before="60" w:beforeAutospacing="0" w:after="60" w:afterAutospacing="0"/>
              <w:jc w:val="center"/>
              <w:rPr>
                <w:b/>
                <w:bCs/>
              </w:rPr>
            </w:pPr>
            <w:r w:rsidRPr="00810942">
              <w:rPr>
                <w:b/>
                <w:bCs/>
              </w:rPr>
              <w:t>VI. Sabiedrības līdzdalība un komunikācijas aktivitātes</w:t>
            </w:r>
          </w:p>
        </w:tc>
      </w:tr>
      <w:tr w14:paraId="1A8A9FE5" w14:textId="77777777" w:rsidTr="00F122F9">
        <w:tblPrEx>
          <w:tblW w:w="9639" w:type="dxa"/>
          <w:jc w:val="center"/>
          <w:tblCellMar>
            <w:top w:w="30" w:type="dxa"/>
            <w:left w:w="30" w:type="dxa"/>
            <w:bottom w:w="30" w:type="dxa"/>
            <w:right w:w="30" w:type="dxa"/>
          </w:tblCellMar>
          <w:tblLook w:val="00A0"/>
        </w:tblPrEx>
        <w:trPr>
          <w:trHeight w:val="540"/>
          <w:jc w:val="center"/>
        </w:trPr>
        <w:tc>
          <w:tcPr>
            <w:tcW w:w="250" w:type="pct"/>
          </w:tcPr>
          <w:p w:rsidR="00CB4AAB" w:rsidRPr="00F122F9" w:rsidP="00A01667" w14:paraId="0B3DA029" w14:textId="77777777">
            <w:pPr>
              <w:spacing w:before="60" w:after="60"/>
              <w:rPr>
                <w:rFonts w:ascii="Times New Roman" w:hAnsi="Times New Roman"/>
              </w:rPr>
            </w:pPr>
            <w:r w:rsidRPr="00F122F9">
              <w:rPr>
                <w:rFonts w:ascii="Times New Roman" w:hAnsi="Times New Roman"/>
              </w:rPr>
              <w:t>1.</w:t>
            </w:r>
          </w:p>
        </w:tc>
        <w:tc>
          <w:tcPr>
            <w:tcW w:w="1368" w:type="pct"/>
          </w:tcPr>
          <w:p w:rsidR="00CB4AAB" w:rsidRPr="00810942" w:rsidP="00A01667" w14:paraId="5635E9AF" w14:textId="77777777">
            <w:pPr>
              <w:spacing w:before="60" w:after="60"/>
              <w:rPr>
                <w:rFonts w:ascii="Times New Roman" w:hAnsi="Times New Roman"/>
                <w:sz w:val="24"/>
                <w:szCs w:val="24"/>
              </w:rPr>
            </w:pPr>
            <w:r w:rsidRPr="00810942">
              <w:rPr>
                <w:rFonts w:ascii="Times New Roman" w:hAnsi="Times New Roman"/>
                <w:sz w:val="24"/>
                <w:szCs w:val="24"/>
              </w:rPr>
              <w:t>Plānotās sabiedrības līdzdalības un komunikācijas aktivitātes saistībā ar projektu</w:t>
            </w:r>
          </w:p>
        </w:tc>
        <w:tc>
          <w:tcPr>
            <w:tcW w:w="3382" w:type="pct"/>
          </w:tcPr>
          <w:p w:rsidR="00CB4AAB" w:rsidRPr="00F122F9" w:rsidP="00A01667" w14:paraId="6D52BF87" w14:textId="778D1293">
            <w:pPr>
              <w:pStyle w:val="naiskr"/>
              <w:spacing w:before="60" w:after="60"/>
              <w:jc w:val="both"/>
              <w:rPr>
                <w:sz w:val="22"/>
                <w:szCs w:val="22"/>
              </w:rPr>
            </w:pPr>
            <w:r w:rsidRPr="00F42059">
              <w:t>Saskaņā ar Ministru kabineta 2009.</w:t>
            </w:r>
            <w:r w:rsidR="00B3434A">
              <w:t> </w:t>
            </w:r>
            <w:r w:rsidRPr="00F42059">
              <w:t>gada 25.</w:t>
            </w:r>
            <w:r w:rsidR="00B3434A">
              <w:t> </w:t>
            </w:r>
            <w:r w:rsidRPr="00F42059">
              <w:t>augusta noteikumu Nr.</w:t>
            </w:r>
            <w:r w:rsidR="00B3434A">
              <w:t> </w:t>
            </w:r>
            <w:r w:rsidRPr="00F42059">
              <w:t>970 „Sabiedrības līdzdalības kārtība attīstības plānošanas procesā” 7.4.</w:t>
            </w:r>
            <w:r w:rsidRPr="00F42059">
              <w:rPr>
                <w:vertAlign w:val="superscript"/>
              </w:rPr>
              <w:t>1</w:t>
            </w:r>
            <w:r w:rsidR="00B3434A">
              <w:rPr>
                <w:vertAlign w:val="superscript"/>
              </w:rPr>
              <w:t> </w:t>
            </w:r>
            <w:r w:rsidRPr="00F42059">
              <w:t xml:space="preserve">apakšpunktu sabiedrības pārstāvji ir aicināti līdzdarboties, rakstiski </w:t>
            </w:r>
            <w:r>
              <w:t xml:space="preserve">sniedzot viedokli par </w:t>
            </w:r>
            <w:r w:rsidR="006817ED">
              <w:t xml:space="preserve">noteikumu </w:t>
            </w:r>
            <w:r w:rsidRPr="00F42059">
              <w:t>projektu tā izstrādes stadijā. Sabiedrības pārstāvji ir informēti par iespēju līdzdarboties, publicējot paziņoju</w:t>
            </w:r>
            <w:r>
              <w:t>mu par līdzdalības procesu V</w:t>
            </w:r>
            <w:r w:rsidR="002C5FC4">
              <w:t>ARAM</w:t>
            </w:r>
            <w:r w:rsidRPr="00F42059">
              <w:t xml:space="preserve"> tīmekļvietnē.</w:t>
            </w:r>
          </w:p>
        </w:tc>
      </w:tr>
      <w:tr w14:paraId="75A9AB73" w14:textId="77777777" w:rsidTr="00F122F9">
        <w:tblPrEx>
          <w:tblW w:w="9639" w:type="dxa"/>
          <w:jc w:val="center"/>
          <w:tblCellMar>
            <w:top w:w="30" w:type="dxa"/>
            <w:left w:w="30" w:type="dxa"/>
            <w:bottom w:w="30" w:type="dxa"/>
            <w:right w:w="30" w:type="dxa"/>
          </w:tblCellMar>
          <w:tblLook w:val="00A0"/>
        </w:tblPrEx>
        <w:trPr>
          <w:trHeight w:val="330"/>
          <w:jc w:val="center"/>
        </w:trPr>
        <w:tc>
          <w:tcPr>
            <w:tcW w:w="250" w:type="pct"/>
          </w:tcPr>
          <w:p w:rsidR="002C68A0" w:rsidRPr="00F122F9" w:rsidP="00A01667" w14:paraId="5324E5CA" w14:textId="77777777">
            <w:pPr>
              <w:spacing w:before="60" w:after="60"/>
              <w:rPr>
                <w:rFonts w:ascii="Times New Roman" w:hAnsi="Times New Roman"/>
              </w:rPr>
            </w:pPr>
            <w:r w:rsidRPr="00F122F9">
              <w:rPr>
                <w:rFonts w:ascii="Times New Roman" w:hAnsi="Times New Roman"/>
              </w:rPr>
              <w:t>2.</w:t>
            </w:r>
          </w:p>
        </w:tc>
        <w:tc>
          <w:tcPr>
            <w:tcW w:w="1368" w:type="pct"/>
          </w:tcPr>
          <w:p w:rsidR="002C68A0" w:rsidRPr="00810942" w:rsidP="00A01667" w14:paraId="499048CE" w14:textId="77777777">
            <w:pPr>
              <w:spacing w:before="60" w:after="60"/>
              <w:rPr>
                <w:rFonts w:ascii="Times New Roman" w:hAnsi="Times New Roman"/>
                <w:sz w:val="24"/>
                <w:szCs w:val="24"/>
              </w:rPr>
            </w:pPr>
            <w:r w:rsidRPr="00810942">
              <w:rPr>
                <w:rFonts w:ascii="Times New Roman" w:hAnsi="Times New Roman"/>
                <w:sz w:val="24"/>
                <w:szCs w:val="24"/>
              </w:rPr>
              <w:t>Sabiedrības līdzdalība projekta izstrādē</w:t>
            </w:r>
          </w:p>
        </w:tc>
        <w:tc>
          <w:tcPr>
            <w:tcW w:w="3382" w:type="pct"/>
          </w:tcPr>
          <w:p w:rsidR="002C68A0" w:rsidRPr="00B501CB" w:rsidP="00A01667" w14:paraId="3F45D92F" w14:textId="3CEB074F">
            <w:pPr>
              <w:spacing w:before="60" w:after="60"/>
              <w:rPr>
                <w:rFonts w:ascii="Times New Roman" w:hAnsi="Times New Roman"/>
              </w:rPr>
            </w:pPr>
            <w:r>
              <w:rPr>
                <w:rFonts w:ascii="Times New Roman" w:hAnsi="Times New Roman"/>
                <w:sz w:val="24"/>
                <w:szCs w:val="24"/>
              </w:rPr>
              <w:t xml:space="preserve">Noteikumu </w:t>
            </w:r>
            <w:r w:rsidR="00877E06">
              <w:rPr>
                <w:rFonts w:ascii="Times New Roman" w:hAnsi="Times New Roman"/>
                <w:sz w:val="24"/>
                <w:szCs w:val="24"/>
              </w:rPr>
              <w:t>projekts publicēts VARAM tīmekļ</w:t>
            </w:r>
            <w:r>
              <w:rPr>
                <w:rFonts w:ascii="Times New Roman" w:hAnsi="Times New Roman"/>
                <w:sz w:val="24"/>
                <w:szCs w:val="24"/>
              </w:rPr>
              <w:t>vietnē 2017.</w:t>
            </w:r>
            <w:r w:rsidR="00503B82">
              <w:rPr>
                <w:rFonts w:ascii="Times New Roman" w:hAnsi="Times New Roman"/>
                <w:sz w:val="24"/>
                <w:szCs w:val="24"/>
              </w:rPr>
              <w:t> </w:t>
            </w:r>
            <w:r>
              <w:rPr>
                <w:rFonts w:ascii="Times New Roman" w:hAnsi="Times New Roman"/>
                <w:sz w:val="24"/>
                <w:szCs w:val="24"/>
              </w:rPr>
              <w:t>gada 31.</w:t>
            </w:r>
            <w:r w:rsidR="00503B82">
              <w:rPr>
                <w:rFonts w:ascii="Times New Roman" w:hAnsi="Times New Roman"/>
                <w:sz w:val="24"/>
                <w:szCs w:val="24"/>
              </w:rPr>
              <w:t> </w:t>
            </w:r>
            <w:r>
              <w:rPr>
                <w:rFonts w:ascii="Times New Roman" w:hAnsi="Times New Roman"/>
                <w:sz w:val="24"/>
                <w:szCs w:val="24"/>
              </w:rPr>
              <w:t>oktobrī.</w:t>
            </w:r>
          </w:p>
        </w:tc>
      </w:tr>
      <w:tr w14:paraId="0AF6486A" w14:textId="77777777" w:rsidTr="00F122F9">
        <w:tblPrEx>
          <w:tblW w:w="9639" w:type="dxa"/>
          <w:jc w:val="center"/>
          <w:tblCellMar>
            <w:top w:w="30" w:type="dxa"/>
            <w:left w:w="30" w:type="dxa"/>
            <w:bottom w:w="30" w:type="dxa"/>
            <w:right w:w="30" w:type="dxa"/>
          </w:tblCellMar>
          <w:tblLook w:val="00A0"/>
        </w:tblPrEx>
        <w:trPr>
          <w:trHeight w:val="465"/>
          <w:jc w:val="center"/>
        </w:trPr>
        <w:tc>
          <w:tcPr>
            <w:tcW w:w="250" w:type="pct"/>
          </w:tcPr>
          <w:p w:rsidR="002C68A0" w:rsidRPr="00F122F9" w:rsidP="00A01667" w14:paraId="092350A5" w14:textId="77777777">
            <w:pPr>
              <w:spacing w:before="60" w:after="60"/>
              <w:rPr>
                <w:rFonts w:ascii="Times New Roman" w:hAnsi="Times New Roman"/>
              </w:rPr>
            </w:pPr>
            <w:r w:rsidRPr="00F122F9">
              <w:rPr>
                <w:rFonts w:ascii="Times New Roman" w:hAnsi="Times New Roman"/>
              </w:rPr>
              <w:t>3.</w:t>
            </w:r>
          </w:p>
        </w:tc>
        <w:tc>
          <w:tcPr>
            <w:tcW w:w="1368" w:type="pct"/>
          </w:tcPr>
          <w:p w:rsidR="002C68A0" w:rsidRPr="00810942" w:rsidP="00A01667" w14:paraId="2AD972C7" w14:textId="77777777">
            <w:pPr>
              <w:spacing w:before="60" w:after="60"/>
              <w:rPr>
                <w:rFonts w:ascii="Times New Roman" w:hAnsi="Times New Roman"/>
                <w:sz w:val="24"/>
                <w:szCs w:val="24"/>
              </w:rPr>
            </w:pPr>
            <w:r w:rsidRPr="00810942">
              <w:rPr>
                <w:rFonts w:ascii="Times New Roman" w:hAnsi="Times New Roman"/>
                <w:sz w:val="24"/>
                <w:szCs w:val="24"/>
              </w:rPr>
              <w:t>Sabiedrības līdzdalības rezultāti</w:t>
            </w:r>
          </w:p>
        </w:tc>
        <w:tc>
          <w:tcPr>
            <w:tcW w:w="3382" w:type="pct"/>
          </w:tcPr>
          <w:p w:rsidR="002C68A0" w:rsidRPr="00B501CB" w:rsidP="00A01667" w14:paraId="731515E8" w14:textId="20E78BB2">
            <w:pPr>
              <w:spacing w:before="60" w:after="60"/>
              <w:rPr>
                <w:rFonts w:ascii="Times New Roman" w:hAnsi="Times New Roman"/>
              </w:rPr>
            </w:pPr>
            <w:r>
              <w:rPr>
                <w:rFonts w:ascii="Times New Roman" w:hAnsi="Times New Roman"/>
                <w:sz w:val="24"/>
                <w:szCs w:val="24"/>
              </w:rPr>
              <w:t>Sabiedrības pārstāvju viedokļi un komentāri pēc noteikumu projekta publicēšanas VARAM tīmekļvietnē netika saņemti</w:t>
            </w:r>
            <w:r w:rsidRPr="009129F7">
              <w:rPr>
                <w:rFonts w:ascii="Times New Roman" w:hAnsi="Times New Roman"/>
                <w:sz w:val="24"/>
                <w:szCs w:val="24"/>
              </w:rPr>
              <w:t>.</w:t>
            </w:r>
          </w:p>
        </w:tc>
      </w:tr>
      <w:tr w14:paraId="3B57F1F7" w14:textId="77777777" w:rsidTr="00986FE5">
        <w:tblPrEx>
          <w:tblW w:w="9639" w:type="dxa"/>
          <w:jc w:val="center"/>
          <w:tblCellMar>
            <w:top w:w="30" w:type="dxa"/>
            <w:left w:w="30" w:type="dxa"/>
            <w:bottom w:w="30" w:type="dxa"/>
            <w:right w:w="30" w:type="dxa"/>
          </w:tblCellMar>
          <w:tblLook w:val="00A0"/>
        </w:tblPrEx>
        <w:trPr>
          <w:trHeight w:val="294"/>
          <w:jc w:val="center"/>
        </w:trPr>
        <w:tc>
          <w:tcPr>
            <w:tcW w:w="250" w:type="pct"/>
          </w:tcPr>
          <w:p w:rsidR="00CB4AAB" w:rsidRPr="00F122F9" w:rsidP="00A01667" w14:paraId="2544C9F9" w14:textId="77777777">
            <w:pPr>
              <w:spacing w:before="60" w:after="60"/>
              <w:rPr>
                <w:rFonts w:ascii="Times New Roman" w:hAnsi="Times New Roman"/>
              </w:rPr>
            </w:pPr>
            <w:r w:rsidRPr="00F122F9">
              <w:rPr>
                <w:rFonts w:ascii="Times New Roman" w:hAnsi="Times New Roman"/>
              </w:rPr>
              <w:t>4.</w:t>
            </w:r>
          </w:p>
        </w:tc>
        <w:tc>
          <w:tcPr>
            <w:tcW w:w="1368" w:type="pct"/>
          </w:tcPr>
          <w:p w:rsidR="00CB4AAB" w:rsidRPr="00810942" w:rsidP="00A01667" w14:paraId="5B052986" w14:textId="77777777">
            <w:pPr>
              <w:spacing w:before="60" w:after="60"/>
              <w:rPr>
                <w:rFonts w:ascii="Times New Roman" w:hAnsi="Times New Roman"/>
                <w:sz w:val="24"/>
                <w:szCs w:val="24"/>
              </w:rPr>
            </w:pPr>
            <w:r w:rsidRPr="00810942">
              <w:rPr>
                <w:rFonts w:ascii="Times New Roman" w:hAnsi="Times New Roman"/>
                <w:sz w:val="24"/>
                <w:szCs w:val="24"/>
              </w:rPr>
              <w:t>Cita informācija</w:t>
            </w:r>
          </w:p>
        </w:tc>
        <w:tc>
          <w:tcPr>
            <w:tcW w:w="3382" w:type="pct"/>
          </w:tcPr>
          <w:p w:rsidR="00CB4AAB" w:rsidRPr="00810942" w:rsidP="00A01667" w14:paraId="7016F23D" w14:textId="77777777">
            <w:pPr>
              <w:pStyle w:val="tvhtml"/>
              <w:spacing w:before="60" w:beforeAutospacing="0" w:after="60" w:afterAutospacing="0"/>
            </w:pPr>
            <w:r w:rsidRPr="00810942">
              <w:t>Nav</w:t>
            </w:r>
          </w:p>
        </w:tc>
      </w:tr>
    </w:tbl>
    <w:p w:rsidR="00CB4AAB" w:rsidRPr="00F122F9" w:rsidP="00A01667" w14:paraId="37EA6879" w14:textId="77777777">
      <w:pPr>
        <w:shd w:val="clear" w:color="auto" w:fill="FFFFFF"/>
        <w:spacing w:before="60" w:after="60"/>
        <w:ind w:firstLine="335"/>
        <w:jc w:val="left"/>
        <w:rPr>
          <w:rFonts w:ascii="Times New Roman" w:hAnsi="Times New Roman"/>
          <w:sz w:val="24"/>
          <w:szCs w:val="24"/>
          <w:lang w:eastAsia="lv-LV"/>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
      <w:tblGrid>
        <w:gridCol w:w="482"/>
        <w:gridCol w:w="2354"/>
        <w:gridCol w:w="6803"/>
      </w:tblGrid>
      <w:tr w14:paraId="1ACA6E92" w14:textId="77777777" w:rsidTr="005E117D">
        <w:tblPrEx>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tblPrEx>
        <w:trPr>
          <w:trHeight w:val="375"/>
          <w:jc w:val="center"/>
        </w:trPr>
        <w:tc>
          <w:tcPr>
            <w:tcW w:w="0" w:type="auto"/>
            <w:gridSpan w:val="3"/>
            <w:vAlign w:val="center"/>
          </w:tcPr>
          <w:p w:rsidR="00CB4AAB" w:rsidRPr="00810942" w:rsidP="00A01667" w14:paraId="36B6B855" w14:textId="36394EEC">
            <w:pPr>
              <w:spacing w:before="60" w:after="60"/>
              <w:jc w:val="center"/>
              <w:rPr>
                <w:rFonts w:ascii="Times New Roman" w:hAnsi="Times New Roman"/>
                <w:b/>
                <w:bCs/>
                <w:sz w:val="24"/>
                <w:szCs w:val="24"/>
                <w:lang w:eastAsia="lv-LV"/>
              </w:rPr>
            </w:pPr>
            <w:r w:rsidRPr="00810942">
              <w:rPr>
                <w:rFonts w:ascii="Times New Roman" w:hAnsi="Times New Roman"/>
                <w:b/>
                <w:bCs/>
                <w:sz w:val="24"/>
                <w:szCs w:val="24"/>
                <w:lang w:eastAsia="lv-LV"/>
              </w:rPr>
              <w:t>VII. Tiesību akta projekta izpildes nodrošināšana un tās ietekme uz institūcijām</w:t>
            </w:r>
          </w:p>
        </w:tc>
      </w:tr>
      <w:tr w14:paraId="3C570F89" w14:textId="77777777" w:rsidTr="00986FE5">
        <w:tblPrEx>
          <w:tblW w:w="9639" w:type="dxa"/>
          <w:jc w:val="center"/>
          <w:tblCellMar>
            <w:top w:w="30" w:type="dxa"/>
            <w:left w:w="30" w:type="dxa"/>
            <w:bottom w:w="30" w:type="dxa"/>
            <w:right w:w="30" w:type="dxa"/>
          </w:tblCellMar>
          <w:tblLook w:val="00A0"/>
        </w:tblPrEx>
        <w:trPr>
          <w:trHeight w:val="420"/>
          <w:jc w:val="center"/>
        </w:trPr>
        <w:tc>
          <w:tcPr>
            <w:tcW w:w="250" w:type="pct"/>
          </w:tcPr>
          <w:p w:rsidR="00CB4AAB" w:rsidRPr="00F122F9" w:rsidP="00A01667" w14:paraId="63009AC6" w14:textId="77777777">
            <w:pPr>
              <w:spacing w:before="60" w:after="60"/>
              <w:jc w:val="left"/>
              <w:rPr>
                <w:rFonts w:ascii="Times New Roman" w:hAnsi="Times New Roman"/>
                <w:lang w:eastAsia="lv-LV"/>
              </w:rPr>
            </w:pPr>
            <w:r w:rsidRPr="00F122F9">
              <w:rPr>
                <w:rFonts w:ascii="Times New Roman" w:hAnsi="Times New Roman"/>
                <w:lang w:eastAsia="lv-LV"/>
              </w:rPr>
              <w:t>1.</w:t>
            </w:r>
          </w:p>
        </w:tc>
        <w:tc>
          <w:tcPr>
            <w:tcW w:w="1221" w:type="pct"/>
          </w:tcPr>
          <w:p w:rsidR="00CB4AAB" w:rsidRPr="00810942" w:rsidP="00A01667" w14:paraId="293E7F90"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Projekta izpildē iesaistītās institūcijas</w:t>
            </w:r>
          </w:p>
        </w:tc>
        <w:tc>
          <w:tcPr>
            <w:tcW w:w="3529" w:type="pct"/>
          </w:tcPr>
          <w:p w:rsidR="002C68A0" w:rsidRPr="00810942" w:rsidP="00A01667" w14:paraId="57E30C2D" w14:textId="3D11E2D9">
            <w:pPr>
              <w:pStyle w:val="naisnod"/>
              <w:spacing w:before="60" w:after="60"/>
              <w:jc w:val="both"/>
              <w:rPr>
                <w:b w:val="0"/>
              </w:rPr>
            </w:pPr>
            <w:r w:rsidRPr="003F4806">
              <w:rPr>
                <w:b w:val="0"/>
                <w:bCs w:val="0"/>
              </w:rPr>
              <w:t xml:space="preserve">VARAM, </w:t>
            </w:r>
            <w:r w:rsidR="006134D9">
              <w:rPr>
                <w:b w:val="0"/>
                <w:bCs w:val="0"/>
              </w:rPr>
              <w:t>CAA</w:t>
            </w:r>
          </w:p>
        </w:tc>
      </w:tr>
      <w:tr w14:paraId="7D0B20E2" w14:textId="77777777" w:rsidTr="00986FE5">
        <w:tblPrEx>
          <w:tblW w:w="9639" w:type="dxa"/>
          <w:jc w:val="center"/>
          <w:tblCellMar>
            <w:top w:w="30" w:type="dxa"/>
            <w:left w:w="30" w:type="dxa"/>
            <w:bottom w:w="30" w:type="dxa"/>
            <w:right w:w="30" w:type="dxa"/>
          </w:tblCellMar>
          <w:tblLook w:val="00A0"/>
        </w:tblPrEx>
        <w:trPr>
          <w:trHeight w:val="450"/>
          <w:jc w:val="center"/>
        </w:trPr>
        <w:tc>
          <w:tcPr>
            <w:tcW w:w="250" w:type="pct"/>
          </w:tcPr>
          <w:p w:rsidR="00CB4AAB" w:rsidRPr="00F122F9" w:rsidP="00A01667" w14:paraId="72FBD7E7" w14:textId="77777777">
            <w:pPr>
              <w:spacing w:before="60" w:after="60"/>
              <w:jc w:val="left"/>
              <w:rPr>
                <w:rFonts w:ascii="Times New Roman" w:hAnsi="Times New Roman"/>
                <w:lang w:eastAsia="lv-LV"/>
              </w:rPr>
            </w:pPr>
            <w:r w:rsidRPr="00F122F9">
              <w:rPr>
                <w:rFonts w:ascii="Times New Roman" w:hAnsi="Times New Roman"/>
                <w:lang w:eastAsia="lv-LV"/>
              </w:rPr>
              <w:t>2.</w:t>
            </w:r>
          </w:p>
        </w:tc>
        <w:tc>
          <w:tcPr>
            <w:tcW w:w="1221" w:type="pct"/>
          </w:tcPr>
          <w:p w:rsidR="00CB4AAB" w:rsidRPr="00810942" w:rsidP="00A01667" w14:paraId="4296B0A7"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 xml:space="preserve">Projekta izpildes ietekme uz pārvaldes </w:t>
            </w:r>
            <w:r w:rsidRPr="00810942">
              <w:rPr>
                <w:rFonts w:ascii="Times New Roman" w:hAnsi="Times New Roman"/>
                <w:sz w:val="24"/>
                <w:szCs w:val="24"/>
                <w:lang w:eastAsia="lv-LV"/>
              </w:rPr>
              <w:t>funkcijām un institucionālo struktūru.</w:t>
            </w:r>
          </w:p>
          <w:p w:rsidR="00CB4AAB" w:rsidRPr="00810942" w:rsidP="00A01667" w14:paraId="2A03DAB3"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Jaunu institūciju izveide, esošu institūciju likvidācija vai reorganizācija, to ietekme uz institūcijas cilvēkresursiem</w:t>
            </w:r>
          </w:p>
        </w:tc>
        <w:tc>
          <w:tcPr>
            <w:tcW w:w="3529" w:type="pct"/>
          </w:tcPr>
          <w:p w:rsidR="00BD1B94" w:rsidRPr="00810942" w:rsidP="00A01667" w14:paraId="19AFF53A" w14:textId="77777777">
            <w:pPr>
              <w:spacing w:before="60" w:after="60"/>
              <w:rPr>
                <w:rFonts w:ascii="Times New Roman" w:hAnsi="Times New Roman"/>
                <w:sz w:val="24"/>
                <w:szCs w:val="24"/>
              </w:rPr>
            </w:pPr>
            <w:r w:rsidRPr="00810942">
              <w:rPr>
                <w:rFonts w:ascii="Times New Roman" w:hAnsi="Times New Roman"/>
                <w:sz w:val="24"/>
                <w:szCs w:val="24"/>
              </w:rPr>
              <w:t>Noteikumu projektā iekļautie nosacījumi var radīt ietekmi uz pārvaldes funkcijām, tomēr tas neietekmēs institucionālo sistēmu.</w:t>
            </w:r>
          </w:p>
          <w:p w:rsidR="00BD1B94" w:rsidP="00A01667" w14:paraId="0E5F6AF2" w14:textId="77777777">
            <w:pPr>
              <w:spacing w:before="60" w:after="60"/>
              <w:rPr>
                <w:rFonts w:ascii="Times New Roman" w:hAnsi="Times New Roman"/>
                <w:sz w:val="24"/>
                <w:szCs w:val="24"/>
              </w:rPr>
            </w:pPr>
            <w:r w:rsidRPr="00810942">
              <w:rPr>
                <w:rFonts w:ascii="Times New Roman" w:hAnsi="Times New Roman"/>
                <w:sz w:val="24"/>
                <w:szCs w:val="24"/>
              </w:rPr>
              <w:t>Noteikumu projektā iekļauto nosacījumu izpildei nav nepieciešams veidot jaunas institūcijas, likvidēt vai reorganizēt esošās institūcijas.</w:t>
            </w:r>
            <w:r>
              <w:rPr>
                <w:rFonts w:ascii="Times New Roman" w:hAnsi="Times New Roman"/>
                <w:sz w:val="24"/>
                <w:szCs w:val="24"/>
              </w:rPr>
              <w:t xml:space="preserve"> </w:t>
            </w:r>
          </w:p>
          <w:p w:rsidR="00BD1B94" w:rsidRPr="00810942" w:rsidP="00A01667" w14:paraId="7D967437" w14:textId="77777777">
            <w:pPr>
              <w:spacing w:before="60" w:after="60"/>
              <w:rPr>
                <w:rFonts w:ascii="Times New Roman" w:hAnsi="Times New Roman"/>
                <w:sz w:val="24"/>
                <w:szCs w:val="24"/>
              </w:rPr>
            </w:pPr>
            <w:r>
              <w:rPr>
                <w:rFonts w:ascii="Times New Roman" w:hAnsi="Times New Roman"/>
                <w:sz w:val="24"/>
                <w:szCs w:val="24"/>
              </w:rPr>
              <w:t>Noteikumu projektā iekļauto nosacījumu izpilde neatstās ietekmi uz cilvēkresursiem.</w:t>
            </w:r>
          </w:p>
          <w:p w:rsidR="00C34B19" w:rsidRPr="00810942" w:rsidP="00A01667" w14:paraId="56D679CA" w14:textId="0FF56BED">
            <w:pPr>
              <w:spacing w:before="60" w:after="60"/>
              <w:rPr>
                <w:rFonts w:ascii="Times New Roman" w:hAnsi="Times New Roman"/>
                <w:sz w:val="24"/>
                <w:szCs w:val="24"/>
              </w:rPr>
            </w:pPr>
            <w:r w:rsidRPr="00810942">
              <w:rPr>
                <w:rFonts w:ascii="Times New Roman" w:hAnsi="Times New Roman"/>
                <w:sz w:val="24"/>
                <w:szCs w:val="24"/>
              </w:rPr>
              <w:t>Noteikumu projekta izpildē iesaistītās institūcijas noteikumu projektā iekļautos pasākumu nodrošinās piešķirto valsts budžeta līdzekļu ietvaros.</w:t>
            </w:r>
          </w:p>
        </w:tc>
      </w:tr>
      <w:tr w14:paraId="7597577B" w14:textId="77777777" w:rsidTr="00986FE5">
        <w:tblPrEx>
          <w:tblW w:w="9639" w:type="dxa"/>
          <w:jc w:val="center"/>
          <w:tblCellMar>
            <w:top w:w="30" w:type="dxa"/>
            <w:left w:w="30" w:type="dxa"/>
            <w:bottom w:w="30" w:type="dxa"/>
            <w:right w:w="30" w:type="dxa"/>
          </w:tblCellMar>
          <w:tblLook w:val="00A0"/>
        </w:tblPrEx>
        <w:trPr>
          <w:trHeight w:val="211"/>
          <w:jc w:val="center"/>
        </w:trPr>
        <w:tc>
          <w:tcPr>
            <w:tcW w:w="250" w:type="pct"/>
          </w:tcPr>
          <w:p w:rsidR="00CB4AAB" w:rsidRPr="00F122F9" w:rsidP="00A01667" w14:paraId="2EF96A86" w14:textId="77777777">
            <w:pPr>
              <w:spacing w:before="60" w:after="60"/>
              <w:jc w:val="left"/>
              <w:rPr>
                <w:rFonts w:ascii="Times New Roman" w:hAnsi="Times New Roman"/>
                <w:lang w:eastAsia="lv-LV"/>
              </w:rPr>
            </w:pPr>
            <w:r w:rsidRPr="00F122F9">
              <w:rPr>
                <w:rFonts w:ascii="Times New Roman" w:hAnsi="Times New Roman"/>
                <w:lang w:eastAsia="lv-LV"/>
              </w:rPr>
              <w:t>3.</w:t>
            </w:r>
          </w:p>
        </w:tc>
        <w:tc>
          <w:tcPr>
            <w:tcW w:w="1221" w:type="pct"/>
          </w:tcPr>
          <w:p w:rsidR="00CB4AAB" w:rsidRPr="00810942" w:rsidP="00A01667" w14:paraId="31786A3A"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Cita informācija</w:t>
            </w:r>
          </w:p>
        </w:tc>
        <w:tc>
          <w:tcPr>
            <w:tcW w:w="3529" w:type="pct"/>
          </w:tcPr>
          <w:p w:rsidR="00CB4AAB" w:rsidRPr="00810942" w:rsidP="00A01667" w14:paraId="738FFAD9" w14:textId="77777777">
            <w:pPr>
              <w:spacing w:before="60" w:after="60"/>
              <w:jc w:val="left"/>
              <w:rPr>
                <w:rFonts w:ascii="Times New Roman" w:hAnsi="Times New Roman"/>
                <w:sz w:val="24"/>
                <w:szCs w:val="24"/>
                <w:lang w:eastAsia="lv-LV"/>
              </w:rPr>
            </w:pPr>
            <w:r w:rsidRPr="00810942">
              <w:rPr>
                <w:rFonts w:ascii="Times New Roman" w:hAnsi="Times New Roman"/>
                <w:sz w:val="24"/>
                <w:szCs w:val="24"/>
                <w:lang w:eastAsia="lv-LV"/>
              </w:rPr>
              <w:t>Nav</w:t>
            </w:r>
          </w:p>
        </w:tc>
      </w:tr>
    </w:tbl>
    <w:p w:rsidR="00F122F9" w:rsidP="00A01667" w14:paraId="4A04053D" w14:textId="77777777">
      <w:pPr>
        <w:shd w:val="clear" w:color="auto" w:fill="FFFFFF"/>
        <w:spacing w:before="60" w:after="60"/>
        <w:rPr>
          <w:rFonts w:ascii="Times New Roman" w:hAnsi="Times New Roman"/>
          <w:sz w:val="20"/>
          <w:szCs w:val="20"/>
        </w:rPr>
      </w:pPr>
    </w:p>
    <w:p w:rsidR="00EC321F" w:rsidP="00A01667" w14:paraId="1749E33C" w14:textId="77777777">
      <w:pPr>
        <w:shd w:val="clear" w:color="auto" w:fill="FFFFFF"/>
        <w:spacing w:before="60" w:after="60"/>
        <w:rPr>
          <w:rFonts w:ascii="Times New Roman" w:hAnsi="Times New Roman"/>
          <w:sz w:val="20"/>
          <w:szCs w:val="20"/>
        </w:rPr>
      </w:pPr>
    </w:p>
    <w:p w:rsidR="004D6A72" w:rsidP="00A01667" w14:paraId="3419B5A1" w14:textId="77777777">
      <w:pPr>
        <w:shd w:val="clear" w:color="auto" w:fill="FFFFFF"/>
        <w:spacing w:before="60" w:after="60"/>
        <w:rPr>
          <w:rFonts w:ascii="Times New Roman" w:hAnsi="Times New Roman"/>
          <w:sz w:val="20"/>
          <w:szCs w:val="20"/>
        </w:rPr>
      </w:pPr>
    </w:p>
    <w:p w:rsidR="004D6A72" w:rsidP="00A01667" w14:paraId="5959A958" w14:textId="77777777">
      <w:pPr>
        <w:shd w:val="clear" w:color="auto" w:fill="FFFFFF"/>
        <w:spacing w:before="60" w:after="60"/>
        <w:rPr>
          <w:rFonts w:ascii="Times New Roman" w:hAnsi="Times New Roman"/>
          <w:sz w:val="20"/>
          <w:szCs w:val="20"/>
        </w:rPr>
      </w:pPr>
    </w:p>
    <w:p w:rsidR="00E26E9B" w:rsidRPr="009A3E9F" w:rsidP="00A01667" w14:paraId="4F3B520E" w14:textId="10A79730">
      <w:pPr>
        <w:tabs>
          <w:tab w:val="left" w:pos="6237"/>
        </w:tabs>
        <w:spacing w:before="60" w:after="60"/>
        <w:rPr>
          <w:rFonts w:ascii="Times New Roman" w:hAnsi="Times New Roman"/>
          <w:sz w:val="24"/>
          <w:szCs w:val="24"/>
        </w:rPr>
      </w:pPr>
      <w:r w:rsidRPr="009A3E9F">
        <w:rPr>
          <w:rFonts w:ascii="Times New Roman" w:hAnsi="Times New Roman"/>
          <w:sz w:val="24"/>
          <w:szCs w:val="24"/>
        </w:rPr>
        <w:t>Vides aizsardzības un reģionālās attīstības ministrs</w:t>
      </w:r>
      <w:r w:rsidRPr="009A3E9F">
        <w:rPr>
          <w:rFonts w:ascii="Times New Roman" w:hAnsi="Times New Roman"/>
          <w:sz w:val="24"/>
          <w:szCs w:val="24"/>
        </w:rPr>
        <w:tab/>
      </w:r>
      <w:r w:rsidR="00986FE5">
        <w:rPr>
          <w:rFonts w:ascii="Times New Roman" w:hAnsi="Times New Roman"/>
          <w:sz w:val="24"/>
          <w:szCs w:val="24"/>
        </w:rPr>
        <w:tab/>
      </w:r>
      <w:r w:rsidR="00986FE5">
        <w:rPr>
          <w:rFonts w:ascii="Times New Roman" w:hAnsi="Times New Roman"/>
          <w:sz w:val="24"/>
          <w:szCs w:val="24"/>
        </w:rPr>
        <w:tab/>
      </w:r>
      <w:bookmarkStart w:id="0" w:name="_GoBack"/>
      <w:bookmarkEnd w:id="0"/>
      <w:r w:rsidRPr="009A3E9F">
        <w:rPr>
          <w:rFonts w:ascii="Times New Roman" w:hAnsi="Times New Roman"/>
          <w:sz w:val="24"/>
          <w:szCs w:val="24"/>
        </w:rPr>
        <w:t>Kaspars Gerhards</w:t>
      </w:r>
    </w:p>
    <w:p w:rsidR="00E26E9B" w:rsidP="00A01667" w14:paraId="31C7C458" w14:textId="77777777">
      <w:pPr>
        <w:tabs>
          <w:tab w:val="left" w:pos="6237"/>
        </w:tabs>
        <w:spacing w:before="60" w:after="60"/>
        <w:rPr>
          <w:rFonts w:ascii="Times New Roman" w:hAnsi="Times New Roman"/>
          <w:sz w:val="24"/>
          <w:szCs w:val="24"/>
        </w:rPr>
      </w:pPr>
    </w:p>
    <w:p w:rsidR="004D6A72" w:rsidP="00A01667" w14:paraId="5FC27639" w14:textId="77777777">
      <w:pPr>
        <w:tabs>
          <w:tab w:val="left" w:pos="6237"/>
        </w:tabs>
        <w:spacing w:before="60" w:after="60"/>
        <w:rPr>
          <w:rFonts w:ascii="Times New Roman" w:hAnsi="Times New Roman"/>
          <w:sz w:val="24"/>
          <w:szCs w:val="24"/>
        </w:rPr>
      </w:pPr>
    </w:p>
    <w:p w:rsidR="004D6A72" w:rsidRPr="009A3E9F" w:rsidP="00A01667" w14:paraId="423E6011" w14:textId="77777777">
      <w:pPr>
        <w:tabs>
          <w:tab w:val="left" w:pos="6237"/>
        </w:tabs>
        <w:spacing w:before="60" w:after="60"/>
        <w:rPr>
          <w:rFonts w:ascii="Times New Roman" w:hAnsi="Times New Roman"/>
          <w:sz w:val="24"/>
          <w:szCs w:val="24"/>
        </w:rPr>
      </w:pPr>
    </w:p>
    <w:p w:rsidR="004D6A72" w:rsidP="00A01667" w14:paraId="6AAB21B7" w14:textId="77777777">
      <w:pPr>
        <w:shd w:val="clear" w:color="auto" w:fill="FFFFFF"/>
        <w:spacing w:before="60" w:after="60"/>
        <w:rPr>
          <w:rFonts w:ascii="Times New Roman" w:hAnsi="Times New Roman"/>
          <w:color w:val="000000"/>
          <w:sz w:val="20"/>
          <w:szCs w:val="20"/>
        </w:rPr>
      </w:pPr>
      <w:bookmarkStart w:id="1" w:name="p2008"/>
      <w:bookmarkStart w:id="2" w:name="piel4"/>
      <w:bookmarkEnd w:id="1"/>
      <w:bookmarkEnd w:id="2"/>
      <w:r>
        <w:rPr>
          <w:rFonts w:ascii="Times New Roman" w:hAnsi="Times New Roman"/>
          <w:color w:val="000000"/>
          <w:sz w:val="20"/>
          <w:szCs w:val="20"/>
        </w:rPr>
        <w:br/>
      </w:r>
    </w:p>
    <w:p w:rsidR="004D6A72" w:rsidP="00A01667" w14:paraId="2CFD4E40" w14:textId="77777777">
      <w:pPr>
        <w:shd w:val="clear" w:color="auto" w:fill="FFFFFF"/>
        <w:spacing w:before="60" w:after="60"/>
        <w:rPr>
          <w:rFonts w:ascii="Times New Roman" w:hAnsi="Times New Roman"/>
          <w:color w:val="000000"/>
          <w:sz w:val="20"/>
          <w:szCs w:val="20"/>
        </w:rPr>
      </w:pPr>
    </w:p>
    <w:p w:rsidR="00E26E9B" w:rsidP="00A01667" w14:paraId="46827242" w14:textId="4239584D">
      <w:pPr>
        <w:shd w:val="clear" w:color="auto" w:fill="FFFFFF"/>
        <w:spacing w:before="60" w:after="60"/>
        <w:rPr>
          <w:rFonts w:ascii="Times New Roman" w:hAnsi="Times New Roman"/>
          <w:color w:val="000000"/>
          <w:sz w:val="20"/>
          <w:szCs w:val="20"/>
        </w:rPr>
      </w:pPr>
      <w:r w:rsidRPr="00C86B40">
        <w:rPr>
          <w:rFonts w:ascii="Times New Roman" w:hAnsi="Times New Roman"/>
          <w:color w:val="000000"/>
          <w:sz w:val="20"/>
          <w:szCs w:val="20"/>
        </w:rPr>
        <w:t>Rimša</w:t>
      </w:r>
      <w:r>
        <w:rPr>
          <w:rFonts w:ascii="Times New Roman" w:hAnsi="Times New Roman"/>
          <w:color w:val="000000"/>
          <w:sz w:val="20"/>
          <w:szCs w:val="20"/>
        </w:rPr>
        <w:t xml:space="preserve"> </w:t>
      </w:r>
      <w:r w:rsidRPr="00C86B40">
        <w:rPr>
          <w:rFonts w:ascii="Times New Roman" w:hAnsi="Times New Roman"/>
          <w:color w:val="000000"/>
          <w:sz w:val="20"/>
          <w:szCs w:val="20"/>
        </w:rPr>
        <w:t xml:space="preserve">67026512 </w:t>
      </w:r>
    </w:p>
    <w:p w:rsidR="00B466FC" w:rsidRPr="00797A1A" w:rsidP="00A01667" w14:paraId="777BD361" w14:textId="1566330F">
      <w:pPr>
        <w:shd w:val="clear" w:color="auto" w:fill="FFFFFF"/>
        <w:spacing w:before="60" w:after="60"/>
        <w:rPr>
          <w:sz w:val="18"/>
          <w:szCs w:val="18"/>
        </w:rPr>
      </w:pPr>
      <w:r>
        <w:fldChar w:fldCharType="begin"/>
      </w:r>
      <w:r>
        <w:instrText xml:space="preserve"> HYPERLINK "mailto:Helena.Rimsa@varam.gov.lv" </w:instrText>
      </w:r>
      <w:r>
        <w:fldChar w:fldCharType="separate"/>
      </w:r>
      <w:r w:rsidRPr="00C86B40" w:rsidR="00C86B40">
        <w:rPr>
          <w:rStyle w:val="Hyperlink"/>
          <w:rFonts w:ascii="Times New Roman" w:hAnsi="Times New Roman"/>
          <w:sz w:val="20"/>
          <w:szCs w:val="20"/>
        </w:rPr>
        <w:t>Helena.Rimsa@varam.gov.lv</w:t>
      </w:r>
      <w:r>
        <w:fldChar w:fldCharType="end"/>
      </w:r>
    </w:p>
    <w:sectPr w:rsidSect="00986FE5">
      <w:headerReference w:type="default" r:id="rId5"/>
      <w:footerReference w:type="default" r:id="rId6"/>
      <w:footerReference w:type="first" r:id="rId7"/>
      <w:pgSz w:w="11906" w:h="16838" w:code="9"/>
      <w:pgMar w:top="1418" w:right="1134" w:bottom="1134" w:left="1701"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266C" w:rsidRPr="001E413D" w:rsidP="006817ED" w14:paraId="5E384F45" w14:textId="7161595B">
    <w:pPr>
      <w:spacing w:after="0"/>
      <w:rPr>
        <w:rFonts w:ascii="Times New Roman" w:hAnsi="Times New Roman"/>
        <w:sz w:val="18"/>
        <w:szCs w:val="18"/>
      </w:rPr>
    </w:pPr>
    <w:r w:rsidRPr="001E413D">
      <w:rPr>
        <w:rFonts w:ascii="Times New Roman" w:hAnsi="Times New Roman"/>
        <w:sz w:val="18"/>
        <w:szCs w:val="18"/>
      </w:rPr>
      <w:fldChar w:fldCharType="begin"/>
    </w:r>
    <w:r w:rsidRPr="001E413D">
      <w:rPr>
        <w:rFonts w:ascii="Times New Roman" w:hAnsi="Times New Roman"/>
        <w:sz w:val="18"/>
        <w:szCs w:val="18"/>
      </w:rPr>
      <w:instrText xml:space="preserve"> FILENAME   \* MERGEFORMAT </w:instrText>
    </w:r>
    <w:r w:rsidRPr="001E413D">
      <w:rPr>
        <w:rFonts w:ascii="Times New Roman" w:hAnsi="Times New Roman"/>
        <w:sz w:val="18"/>
        <w:szCs w:val="18"/>
      </w:rPr>
      <w:fldChar w:fldCharType="separate"/>
    </w:r>
    <w:r w:rsidRPr="001E413D">
      <w:rPr>
        <w:rFonts w:ascii="Times New Roman" w:hAnsi="Times New Roman"/>
        <w:noProof/>
        <w:sz w:val="18"/>
        <w:szCs w:val="18"/>
      </w:rPr>
      <w:fldChar w:fldCharType="end"/>
    </w:r>
    <w:r>
      <w:rPr>
        <w:rFonts w:ascii="Times New Roman" w:hAnsi="Times New Roman"/>
        <w:noProo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266C" w:rsidRPr="000F0DF8" w:rsidP="004D7C36" w14:paraId="3646FDCC" w14:textId="6846E53C">
    <w:pPr>
      <w:spacing w:after="0"/>
      <w:rPr>
        <w:rFonts w:ascii="Times New Roman" w:hAnsi="Times New Roman"/>
        <w:sz w:val="18"/>
        <w:szCs w:val="18"/>
      </w:rPr>
    </w:pPr>
    <w:r w:rsidRPr="000F0DF8">
      <w:rPr>
        <w:rFonts w:ascii="Times New Roman" w:hAnsi="Times New Roman"/>
        <w:sz w:val="18"/>
        <w:szCs w:val="18"/>
      </w:rPr>
      <w:fldChar w:fldCharType="begin"/>
    </w:r>
    <w:r w:rsidRPr="000F0DF8">
      <w:rPr>
        <w:rFonts w:ascii="Times New Roman" w:hAnsi="Times New Roman"/>
        <w:sz w:val="18"/>
        <w:szCs w:val="18"/>
      </w:rPr>
      <w:instrText xml:space="preserve"> FILENAME   \* MERGEFORMAT </w:instrText>
    </w:r>
    <w:r w:rsidRPr="000F0DF8">
      <w:rPr>
        <w:rFonts w:ascii="Times New Roman" w:hAnsi="Times New Roman"/>
        <w:sz w:val="18"/>
        <w:szCs w:val="18"/>
      </w:rPr>
      <w:fldChar w:fldCharType="separate"/>
    </w:r>
    <w:r w:rsidRPr="000F0DF8">
      <w:rPr>
        <w:rFonts w:ascii="Times New Roman" w:hAnsi="Times New Roman"/>
        <w:noProof/>
        <w:sz w:val="18"/>
        <w:szCs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266C" w14:paraId="191F5FD3" w14:textId="77777777">
    <w:pPr>
      <w:pStyle w:val="Header"/>
      <w:jc w:val="center"/>
    </w:pPr>
    <w:r>
      <w:fldChar w:fldCharType="begin"/>
    </w:r>
    <w:r>
      <w:instrText xml:space="preserve"> PAGE   \* MERGEFORMAT </w:instrText>
    </w:r>
    <w:r>
      <w:fldChar w:fldCharType="separate"/>
    </w:r>
    <w:r w:rsidR="00CE5E02">
      <w:rPr>
        <w:noProof/>
      </w:rPr>
      <w:t>8</w:t>
    </w:r>
    <w:r>
      <w:rPr>
        <w:noProof/>
      </w:rPr>
      <w:fldChar w:fldCharType="end"/>
    </w:r>
  </w:p>
  <w:p w:rsidR="00D3266C" w14:paraId="63ABD5E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FF59F2"/>
    <w:multiLevelType w:val="hybridMultilevel"/>
    <w:tmpl w:val="E8280A7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8A83C6C"/>
    <w:multiLevelType w:val="hybridMultilevel"/>
    <w:tmpl w:val="9B30130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15:restartNumberingAfterBreak="1">
    <w:nsid w:val="10A37EA9"/>
    <w:multiLevelType w:val="hybridMultilevel"/>
    <w:tmpl w:val="F2508D6E"/>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cs="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cs="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cs="Courier New" w:hint="default"/>
      </w:rPr>
    </w:lvl>
    <w:lvl w:ilvl="8" w:tentative="1">
      <w:start w:val="1"/>
      <w:numFmt w:val="bullet"/>
      <w:lvlText w:val=""/>
      <w:lvlJc w:val="left"/>
      <w:pPr>
        <w:ind w:left="6707" w:hanging="360"/>
      </w:pPr>
      <w:rPr>
        <w:rFonts w:ascii="Wingdings" w:hAnsi="Wingdings" w:hint="default"/>
      </w:rPr>
    </w:lvl>
  </w:abstractNum>
  <w:abstractNum w:abstractNumId="3" w15:restartNumberingAfterBreak="1">
    <w:nsid w:val="18DD7D13"/>
    <w:multiLevelType w:val="hybridMultilevel"/>
    <w:tmpl w:val="409C20EE"/>
    <w:lvl w:ilvl="0">
      <w:start w:val="1"/>
      <w:numFmt w:val="bullet"/>
      <w:lvlText w:val=""/>
      <w:lvlJc w:val="left"/>
      <w:pPr>
        <w:ind w:left="1004" w:hanging="360"/>
      </w:pPr>
      <w:rPr>
        <w:rFonts w:ascii="Symbol" w:hAnsi="Symbol" w:hint="default"/>
      </w:rPr>
    </w:lvl>
    <w:lvl w:ilvl="1">
      <w:start w:val="1"/>
      <w:numFmt w:val="bullet"/>
      <w:lvlText w:val=""/>
      <w:lvlJc w:val="left"/>
      <w:pPr>
        <w:ind w:left="1724" w:hanging="360"/>
      </w:pPr>
      <w:rPr>
        <w:rFonts w:ascii="Symbol" w:hAnsi="Symbol"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4" w15:restartNumberingAfterBreak="1">
    <w:nsid w:val="1CB74205"/>
    <w:multiLevelType w:val="hybridMultilevel"/>
    <w:tmpl w:val="165413C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1D18645E"/>
    <w:multiLevelType w:val="hybridMultilevel"/>
    <w:tmpl w:val="6FF6BFBA"/>
    <w:lvl w:ilvl="0">
      <w:start w:val="1"/>
      <w:numFmt w:val="bullet"/>
      <w:lvlText w:val="•"/>
      <w:lvlJc w:val="left"/>
      <w:pPr>
        <w:tabs>
          <w:tab w:val="num" w:pos="720"/>
        </w:tabs>
        <w:ind w:left="720" w:hanging="360"/>
      </w:pPr>
      <w:rPr>
        <w:rFonts w:ascii="Arial" w:hAnsi="Aria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1">
    <w:nsid w:val="303E6AA0"/>
    <w:multiLevelType w:val="hybridMultilevel"/>
    <w:tmpl w:val="9FBA3C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15:restartNumberingAfterBreak="1">
    <w:nsid w:val="3CBE0813"/>
    <w:multiLevelType w:val="hybridMultilevel"/>
    <w:tmpl w:val="F574F362"/>
    <w:lvl w:ilvl="0">
      <w:start w:val="1"/>
      <w:numFmt w:val="decimal"/>
      <w:lvlText w:val="%1)"/>
      <w:lvlJc w:val="left"/>
      <w:pPr>
        <w:ind w:left="587" w:hanging="360"/>
      </w:pPr>
      <w:rPr>
        <w:rFonts w:hint="default"/>
        <w:b/>
      </w:rPr>
    </w:lvl>
    <w:lvl w:ilvl="1" w:tentative="1">
      <w:start w:val="1"/>
      <w:numFmt w:val="lowerLetter"/>
      <w:lvlText w:val="%2."/>
      <w:lvlJc w:val="left"/>
      <w:pPr>
        <w:ind w:left="1307" w:hanging="360"/>
      </w:pPr>
    </w:lvl>
    <w:lvl w:ilvl="2" w:tentative="1">
      <w:start w:val="1"/>
      <w:numFmt w:val="lowerRoman"/>
      <w:lvlText w:val="%3."/>
      <w:lvlJc w:val="right"/>
      <w:pPr>
        <w:ind w:left="2027" w:hanging="180"/>
      </w:pPr>
    </w:lvl>
    <w:lvl w:ilvl="3" w:tentative="1">
      <w:start w:val="1"/>
      <w:numFmt w:val="decimal"/>
      <w:lvlText w:val="%4."/>
      <w:lvlJc w:val="left"/>
      <w:pPr>
        <w:ind w:left="2747" w:hanging="360"/>
      </w:pPr>
    </w:lvl>
    <w:lvl w:ilvl="4" w:tentative="1">
      <w:start w:val="1"/>
      <w:numFmt w:val="lowerLetter"/>
      <w:lvlText w:val="%5."/>
      <w:lvlJc w:val="left"/>
      <w:pPr>
        <w:ind w:left="3467" w:hanging="360"/>
      </w:pPr>
    </w:lvl>
    <w:lvl w:ilvl="5" w:tentative="1">
      <w:start w:val="1"/>
      <w:numFmt w:val="lowerRoman"/>
      <w:lvlText w:val="%6."/>
      <w:lvlJc w:val="right"/>
      <w:pPr>
        <w:ind w:left="4187" w:hanging="180"/>
      </w:pPr>
    </w:lvl>
    <w:lvl w:ilvl="6" w:tentative="1">
      <w:start w:val="1"/>
      <w:numFmt w:val="decimal"/>
      <w:lvlText w:val="%7."/>
      <w:lvlJc w:val="left"/>
      <w:pPr>
        <w:ind w:left="4907" w:hanging="360"/>
      </w:pPr>
    </w:lvl>
    <w:lvl w:ilvl="7" w:tentative="1">
      <w:start w:val="1"/>
      <w:numFmt w:val="lowerLetter"/>
      <w:lvlText w:val="%8."/>
      <w:lvlJc w:val="left"/>
      <w:pPr>
        <w:ind w:left="5627" w:hanging="360"/>
      </w:pPr>
    </w:lvl>
    <w:lvl w:ilvl="8" w:tentative="1">
      <w:start w:val="1"/>
      <w:numFmt w:val="lowerRoman"/>
      <w:lvlText w:val="%9."/>
      <w:lvlJc w:val="right"/>
      <w:pPr>
        <w:ind w:left="6347" w:hanging="180"/>
      </w:pPr>
    </w:lvl>
  </w:abstractNum>
  <w:abstractNum w:abstractNumId="8" w15:restartNumberingAfterBreak="1">
    <w:nsid w:val="3D620BF9"/>
    <w:multiLevelType w:val="hybridMultilevel"/>
    <w:tmpl w:val="C4C4357E"/>
    <w:lvl w:ilvl="0">
      <w:start w:val="1"/>
      <w:numFmt w:val="decimal"/>
      <w:lvlText w:val="%1)"/>
      <w:lvlJc w:val="left"/>
      <w:pPr>
        <w:ind w:left="720" w:hanging="360"/>
      </w:pPr>
      <w:rPr>
        <w:rFonts w:hint="default"/>
        <w:b/>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1">
    <w:nsid w:val="3E5A44BE"/>
    <w:multiLevelType w:val="hybridMultilevel"/>
    <w:tmpl w:val="9B9AFD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1">
    <w:nsid w:val="3EB0279C"/>
    <w:multiLevelType w:val="hybridMultilevel"/>
    <w:tmpl w:val="1CCE603A"/>
    <w:lvl w:ilvl="0">
      <w:start w:val="1"/>
      <w:numFmt w:val="bullet"/>
      <w:lvlText w:val=""/>
      <w:lvlJc w:val="left"/>
      <w:pPr>
        <w:ind w:left="947" w:hanging="360"/>
      </w:pPr>
      <w:rPr>
        <w:rFonts w:ascii="Symbol" w:hAnsi="Symbol" w:hint="default"/>
      </w:rPr>
    </w:lvl>
    <w:lvl w:ilvl="1">
      <w:start w:val="5"/>
      <w:numFmt w:val="bullet"/>
      <w:lvlText w:val="-"/>
      <w:lvlJc w:val="left"/>
      <w:pPr>
        <w:ind w:left="1667" w:hanging="360"/>
      </w:pPr>
      <w:rPr>
        <w:rFonts w:ascii="Times New Roman" w:eastAsia="Times New Roman" w:hAnsi="Times New Roman"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11" w15:restartNumberingAfterBreak="1">
    <w:nsid w:val="51FB6389"/>
    <w:multiLevelType w:val="hybridMultilevel"/>
    <w:tmpl w:val="FBFEEC76"/>
    <w:lvl w:ilvl="0">
      <w:start w:val="5"/>
      <w:numFmt w:val="bullet"/>
      <w:lvlText w:val="-"/>
      <w:lvlJc w:val="left"/>
      <w:pPr>
        <w:ind w:left="587" w:hanging="360"/>
      </w:pPr>
      <w:rPr>
        <w:rFonts w:ascii="Times New Roman" w:eastAsia="Times New Roman" w:hAnsi="Times New Roman"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abstractNum w:abstractNumId="12" w15:restartNumberingAfterBreak="1">
    <w:nsid w:val="56165214"/>
    <w:multiLevelType w:val="hybridMultilevel"/>
    <w:tmpl w:val="302EDA18"/>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tentative="1">
      <w:start w:val="1"/>
      <w:numFmt w:val="bullet"/>
      <w:lvlText w:val=""/>
      <w:lvlJc w:val="left"/>
      <w:pPr>
        <w:ind w:left="2444" w:hanging="360"/>
      </w:pPr>
      <w:rPr>
        <w:rFonts w:ascii="Wingdings" w:hAnsi="Wingdings" w:hint="default"/>
      </w:rPr>
    </w:lvl>
    <w:lvl w:ilvl="3" w:tentative="1">
      <w:start w:val="1"/>
      <w:numFmt w:val="bullet"/>
      <w:lvlText w:val=""/>
      <w:lvlJc w:val="left"/>
      <w:pPr>
        <w:ind w:left="3164" w:hanging="360"/>
      </w:pPr>
      <w:rPr>
        <w:rFonts w:ascii="Symbol" w:hAnsi="Symbol" w:hint="default"/>
      </w:rPr>
    </w:lvl>
    <w:lvl w:ilvl="4" w:tentative="1">
      <w:start w:val="1"/>
      <w:numFmt w:val="bullet"/>
      <w:lvlText w:val="o"/>
      <w:lvlJc w:val="left"/>
      <w:pPr>
        <w:ind w:left="3884" w:hanging="360"/>
      </w:pPr>
      <w:rPr>
        <w:rFonts w:ascii="Courier New" w:hAnsi="Courier New" w:cs="Courier New" w:hint="default"/>
      </w:rPr>
    </w:lvl>
    <w:lvl w:ilvl="5" w:tentative="1">
      <w:start w:val="1"/>
      <w:numFmt w:val="bullet"/>
      <w:lvlText w:val=""/>
      <w:lvlJc w:val="left"/>
      <w:pPr>
        <w:ind w:left="4604" w:hanging="360"/>
      </w:pPr>
      <w:rPr>
        <w:rFonts w:ascii="Wingdings" w:hAnsi="Wingdings" w:hint="default"/>
      </w:rPr>
    </w:lvl>
    <w:lvl w:ilvl="6" w:tentative="1">
      <w:start w:val="1"/>
      <w:numFmt w:val="bullet"/>
      <w:lvlText w:val=""/>
      <w:lvlJc w:val="left"/>
      <w:pPr>
        <w:ind w:left="5324" w:hanging="360"/>
      </w:pPr>
      <w:rPr>
        <w:rFonts w:ascii="Symbol" w:hAnsi="Symbol" w:hint="default"/>
      </w:rPr>
    </w:lvl>
    <w:lvl w:ilvl="7" w:tentative="1">
      <w:start w:val="1"/>
      <w:numFmt w:val="bullet"/>
      <w:lvlText w:val="o"/>
      <w:lvlJc w:val="left"/>
      <w:pPr>
        <w:ind w:left="6044" w:hanging="360"/>
      </w:pPr>
      <w:rPr>
        <w:rFonts w:ascii="Courier New" w:hAnsi="Courier New" w:cs="Courier New" w:hint="default"/>
      </w:rPr>
    </w:lvl>
    <w:lvl w:ilvl="8" w:tentative="1">
      <w:start w:val="1"/>
      <w:numFmt w:val="bullet"/>
      <w:lvlText w:val=""/>
      <w:lvlJc w:val="left"/>
      <w:pPr>
        <w:ind w:left="6764" w:hanging="360"/>
      </w:pPr>
      <w:rPr>
        <w:rFonts w:ascii="Wingdings" w:hAnsi="Wingdings" w:hint="default"/>
      </w:rPr>
    </w:lvl>
  </w:abstractNum>
  <w:abstractNum w:abstractNumId="13" w15:restartNumberingAfterBreak="1">
    <w:nsid w:val="59376E05"/>
    <w:multiLevelType w:val="hybridMultilevel"/>
    <w:tmpl w:val="1DACBBC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5C8F119A"/>
    <w:multiLevelType w:val="hybridMultilevel"/>
    <w:tmpl w:val="9F925556"/>
    <w:lvl w:ilvl="0">
      <w:start w:val="1"/>
      <w:numFmt w:val="decimal"/>
      <w:lvlText w:val="%1)"/>
      <w:lvlJc w:val="left"/>
      <w:pPr>
        <w:ind w:left="616" w:hanging="360"/>
      </w:pPr>
      <w:rPr>
        <w:rFonts w:eastAsia="Times New Roman" w:cs="Times New Roman" w:hint="default"/>
        <w:sz w:val="22"/>
        <w:szCs w:val="22"/>
      </w:rPr>
    </w:lvl>
    <w:lvl w:ilvl="1" w:tentative="1">
      <w:start w:val="1"/>
      <w:numFmt w:val="lowerLetter"/>
      <w:lvlText w:val="%2."/>
      <w:lvlJc w:val="left"/>
      <w:pPr>
        <w:ind w:left="1336" w:hanging="360"/>
      </w:pPr>
      <w:rPr>
        <w:rFonts w:cs="Times New Roman"/>
      </w:rPr>
    </w:lvl>
    <w:lvl w:ilvl="2" w:tentative="1">
      <w:start w:val="1"/>
      <w:numFmt w:val="lowerRoman"/>
      <w:lvlText w:val="%3."/>
      <w:lvlJc w:val="right"/>
      <w:pPr>
        <w:ind w:left="2056" w:hanging="180"/>
      </w:pPr>
      <w:rPr>
        <w:rFonts w:cs="Times New Roman"/>
      </w:rPr>
    </w:lvl>
    <w:lvl w:ilvl="3" w:tentative="1">
      <w:start w:val="1"/>
      <w:numFmt w:val="decimal"/>
      <w:lvlText w:val="%4."/>
      <w:lvlJc w:val="left"/>
      <w:pPr>
        <w:ind w:left="2776" w:hanging="360"/>
      </w:pPr>
      <w:rPr>
        <w:rFonts w:cs="Times New Roman"/>
      </w:rPr>
    </w:lvl>
    <w:lvl w:ilvl="4" w:tentative="1">
      <w:start w:val="1"/>
      <w:numFmt w:val="lowerLetter"/>
      <w:lvlText w:val="%5."/>
      <w:lvlJc w:val="left"/>
      <w:pPr>
        <w:ind w:left="3496" w:hanging="360"/>
      </w:pPr>
      <w:rPr>
        <w:rFonts w:cs="Times New Roman"/>
      </w:rPr>
    </w:lvl>
    <w:lvl w:ilvl="5" w:tentative="1">
      <w:start w:val="1"/>
      <w:numFmt w:val="lowerRoman"/>
      <w:lvlText w:val="%6."/>
      <w:lvlJc w:val="right"/>
      <w:pPr>
        <w:ind w:left="4216" w:hanging="180"/>
      </w:pPr>
      <w:rPr>
        <w:rFonts w:cs="Times New Roman"/>
      </w:rPr>
    </w:lvl>
    <w:lvl w:ilvl="6" w:tentative="1">
      <w:start w:val="1"/>
      <w:numFmt w:val="decimal"/>
      <w:lvlText w:val="%7."/>
      <w:lvlJc w:val="left"/>
      <w:pPr>
        <w:ind w:left="4936" w:hanging="360"/>
      </w:pPr>
      <w:rPr>
        <w:rFonts w:cs="Times New Roman"/>
      </w:rPr>
    </w:lvl>
    <w:lvl w:ilvl="7" w:tentative="1">
      <w:start w:val="1"/>
      <w:numFmt w:val="lowerLetter"/>
      <w:lvlText w:val="%8."/>
      <w:lvlJc w:val="left"/>
      <w:pPr>
        <w:ind w:left="5656" w:hanging="360"/>
      </w:pPr>
      <w:rPr>
        <w:rFonts w:cs="Times New Roman"/>
      </w:rPr>
    </w:lvl>
    <w:lvl w:ilvl="8" w:tentative="1">
      <w:start w:val="1"/>
      <w:numFmt w:val="lowerRoman"/>
      <w:lvlText w:val="%9."/>
      <w:lvlJc w:val="right"/>
      <w:pPr>
        <w:ind w:left="6376" w:hanging="180"/>
      </w:pPr>
      <w:rPr>
        <w:rFonts w:cs="Times New Roman"/>
      </w:rPr>
    </w:lvl>
  </w:abstractNum>
  <w:abstractNum w:abstractNumId="15" w15:restartNumberingAfterBreak="1">
    <w:nsid w:val="5ED32202"/>
    <w:multiLevelType w:val="hybridMultilevel"/>
    <w:tmpl w:val="B8E48524"/>
    <w:lvl w:ilvl="0">
      <w:start w:val="1"/>
      <w:numFmt w:val="bullet"/>
      <w:lvlText w:val=""/>
      <w:lvlJc w:val="left"/>
      <w:pPr>
        <w:ind w:left="947" w:hanging="360"/>
      </w:pPr>
      <w:rPr>
        <w:rFonts w:ascii="Symbol" w:hAnsi="Symbol" w:hint="default"/>
      </w:rPr>
    </w:lvl>
    <w:lvl w:ilvl="1" w:tentative="1">
      <w:start w:val="1"/>
      <w:numFmt w:val="bullet"/>
      <w:lvlText w:val="o"/>
      <w:lvlJc w:val="left"/>
      <w:pPr>
        <w:ind w:left="1667" w:hanging="360"/>
      </w:pPr>
      <w:rPr>
        <w:rFonts w:ascii="Courier New" w:hAnsi="Courier New" w:hint="default"/>
      </w:rPr>
    </w:lvl>
    <w:lvl w:ilvl="2" w:tentative="1">
      <w:start w:val="1"/>
      <w:numFmt w:val="bullet"/>
      <w:lvlText w:val=""/>
      <w:lvlJc w:val="left"/>
      <w:pPr>
        <w:ind w:left="2387" w:hanging="360"/>
      </w:pPr>
      <w:rPr>
        <w:rFonts w:ascii="Wingdings" w:hAnsi="Wingdings" w:hint="default"/>
      </w:rPr>
    </w:lvl>
    <w:lvl w:ilvl="3" w:tentative="1">
      <w:start w:val="1"/>
      <w:numFmt w:val="bullet"/>
      <w:lvlText w:val=""/>
      <w:lvlJc w:val="left"/>
      <w:pPr>
        <w:ind w:left="3107" w:hanging="360"/>
      </w:pPr>
      <w:rPr>
        <w:rFonts w:ascii="Symbol" w:hAnsi="Symbol" w:hint="default"/>
      </w:rPr>
    </w:lvl>
    <w:lvl w:ilvl="4" w:tentative="1">
      <w:start w:val="1"/>
      <w:numFmt w:val="bullet"/>
      <w:lvlText w:val="o"/>
      <w:lvlJc w:val="left"/>
      <w:pPr>
        <w:ind w:left="3827" w:hanging="360"/>
      </w:pPr>
      <w:rPr>
        <w:rFonts w:ascii="Courier New" w:hAnsi="Courier New" w:hint="default"/>
      </w:rPr>
    </w:lvl>
    <w:lvl w:ilvl="5" w:tentative="1">
      <w:start w:val="1"/>
      <w:numFmt w:val="bullet"/>
      <w:lvlText w:val=""/>
      <w:lvlJc w:val="left"/>
      <w:pPr>
        <w:ind w:left="4547" w:hanging="360"/>
      </w:pPr>
      <w:rPr>
        <w:rFonts w:ascii="Wingdings" w:hAnsi="Wingdings" w:hint="default"/>
      </w:rPr>
    </w:lvl>
    <w:lvl w:ilvl="6" w:tentative="1">
      <w:start w:val="1"/>
      <w:numFmt w:val="bullet"/>
      <w:lvlText w:val=""/>
      <w:lvlJc w:val="left"/>
      <w:pPr>
        <w:ind w:left="5267" w:hanging="360"/>
      </w:pPr>
      <w:rPr>
        <w:rFonts w:ascii="Symbol" w:hAnsi="Symbol" w:hint="default"/>
      </w:rPr>
    </w:lvl>
    <w:lvl w:ilvl="7" w:tentative="1">
      <w:start w:val="1"/>
      <w:numFmt w:val="bullet"/>
      <w:lvlText w:val="o"/>
      <w:lvlJc w:val="left"/>
      <w:pPr>
        <w:ind w:left="5987" w:hanging="360"/>
      </w:pPr>
      <w:rPr>
        <w:rFonts w:ascii="Courier New" w:hAnsi="Courier New" w:hint="default"/>
      </w:rPr>
    </w:lvl>
    <w:lvl w:ilvl="8" w:tentative="1">
      <w:start w:val="1"/>
      <w:numFmt w:val="bullet"/>
      <w:lvlText w:val=""/>
      <w:lvlJc w:val="left"/>
      <w:pPr>
        <w:ind w:left="6707" w:hanging="360"/>
      </w:pPr>
      <w:rPr>
        <w:rFonts w:ascii="Wingdings" w:hAnsi="Wingdings" w:hint="default"/>
      </w:rPr>
    </w:lvl>
  </w:abstractNum>
  <w:abstractNum w:abstractNumId="16" w15:restartNumberingAfterBreak="1">
    <w:nsid w:val="60142C52"/>
    <w:multiLevelType w:val="hybridMultilevel"/>
    <w:tmpl w:val="09BCB2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6659376C"/>
    <w:multiLevelType w:val="hybridMultilevel"/>
    <w:tmpl w:val="BAA4D0D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1">
    <w:nsid w:val="6B5452AD"/>
    <w:multiLevelType w:val="hybridMultilevel"/>
    <w:tmpl w:val="04D4B3F8"/>
    <w:lvl w:ilvl="0">
      <w:start w:val="1"/>
      <w:numFmt w:val="bullet"/>
      <w:lvlText w:val=""/>
      <w:lvlJc w:val="left"/>
      <w:pPr>
        <w:ind w:left="720" w:hanging="360"/>
      </w:pPr>
      <w:rPr>
        <w:rFonts w:ascii="Symbol" w:hAnsi="Symbol" w:hint="default"/>
      </w:rPr>
    </w:lvl>
    <w:lvl w:ilvl="1">
      <w:start w:val="0"/>
      <w:numFmt w:val="bullet"/>
      <w:lvlText w:val="•"/>
      <w:lvlJc w:val="left"/>
      <w:pPr>
        <w:ind w:left="1515" w:hanging="435"/>
      </w:pPr>
      <w:rPr>
        <w:rFonts w:ascii="Times New Roman" w:eastAsia="Times New Roman" w:hAnsi="Times New Roman"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15:restartNumberingAfterBreak="1">
    <w:nsid w:val="7AFF5FA8"/>
    <w:multiLevelType w:val="hybridMultilevel"/>
    <w:tmpl w:val="5678912C"/>
    <w:lvl w:ilvl="0">
      <w:start w:va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15:restartNumberingAfterBreak="1">
    <w:nsid w:val="7FD43D62"/>
    <w:multiLevelType w:val="hybridMultilevel"/>
    <w:tmpl w:val="18CCAF70"/>
    <w:lvl w:ilvl="0">
      <w:start w:val="1"/>
      <w:numFmt w:val="bullet"/>
      <w:lvlText w:val=""/>
      <w:lvlJc w:val="left"/>
      <w:pPr>
        <w:ind w:left="587" w:hanging="360"/>
      </w:pPr>
      <w:rPr>
        <w:rFonts w:ascii="Symbol" w:hAnsi="Symbol" w:hint="default"/>
      </w:rPr>
    </w:lvl>
    <w:lvl w:ilvl="1" w:tentative="1">
      <w:start w:val="1"/>
      <w:numFmt w:val="bullet"/>
      <w:lvlText w:val="o"/>
      <w:lvlJc w:val="left"/>
      <w:pPr>
        <w:ind w:left="1307" w:hanging="360"/>
      </w:pPr>
      <w:rPr>
        <w:rFonts w:ascii="Courier New" w:hAnsi="Courier New" w:hint="default"/>
      </w:rPr>
    </w:lvl>
    <w:lvl w:ilvl="2" w:tentative="1">
      <w:start w:val="1"/>
      <w:numFmt w:val="bullet"/>
      <w:lvlText w:val=""/>
      <w:lvlJc w:val="left"/>
      <w:pPr>
        <w:ind w:left="2027" w:hanging="360"/>
      </w:pPr>
      <w:rPr>
        <w:rFonts w:ascii="Wingdings" w:hAnsi="Wingdings" w:hint="default"/>
      </w:rPr>
    </w:lvl>
    <w:lvl w:ilvl="3" w:tentative="1">
      <w:start w:val="1"/>
      <w:numFmt w:val="bullet"/>
      <w:lvlText w:val=""/>
      <w:lvlJc w:val="left"/>
      <w:pPr>
        <w:ind w:left="2747" w:hanging="360"/>
      </w:pPr>
      <w:rPr>
        <w:rFonts w:ascii="Symbol" w:hAnsi="Symbol" w:hint="default"/>
      </w:rPr>
    </w:lvl>
    <w:lvl w:ilvl="4" w:tentative="1">
      <w:start w:val="1"/>
      <w:numFmt w:val="bullet"/>
      <w:lvlText w:val="o"/>
      <w:lvlJc w:val="left"/>
      <w:pPr>
        <w:ind w:left="3467" w:hanging="360"/>
      </w:pPr>
      <w:rPr>
        <w:rFonts w:ascii="Courier New" w:hAnsi="Courier New" w:hint="default"/>
      </w:rPr>
    </w:lvl>
    <w:lvl w:ilvl="5" w:tentative="1">
      <w:start w:val="1"/>
      <w:numFmt w:val="bullet"/>
      <w:lvlText w:val=""/>
      <w:lvlJc w:val="left"/>
      <w:pPr>
        <w:ind w:left="4187" w:hanging="360"/>
      </w:pPr>
      <w:rPr>
        <w:rFonts w:ascii="Wingdings" w:hAnsi="Wingdings" w:hint="default"/>
      </w:rPr>
    </w:lvl>
    <w:lvl w:ilvl="6" w:tentative="1">
      <w:start w:val="1"/>
      <w:numFmt w:val="bullet"/>
      <w:lvlText w:val=""/>
      <w:lvlJc w:val="left"/>
      <w:pPr>
        <w:ind w:left="4907" w:hanging="360"/>
      </w:pPr>
      <w:rPr>
        <w:rFonts w:ascii="Symbol" w:hAnsi="Symbol" w:hint="default"/>
      </w:rPr>
    </w:lvl>
    <w:lvl w:ilvl="7" w:tentative="1">
      <w:start w:val="1"/>
      <w:numFmt w:val="bullet"/>
      <w:lvlText w:val="o"/>
      <w:lvlJc w:val="left"/>
      <w:pPr>
        <w:ind w:left="5627" w:hanging="360"/>
      </w:pPr>
      <w:rPr>
        <w:rFonts w:ascii="Courier New" w:hAnsi="Courier New" w:hint="default"/>
      </w:rPr>
    </w:lvl>
    <w:lvl w:ilvl="8" w:tentative="1">
      <w:start w:val="1"/>
      <w:numFmt w:val="bullet"/>
      <w:lvlText w:val=""/>
      <w:lvlJc w:val="left"/>
      <w:pPr>
        <w:ind w:left="6347" w:hanging="360"/>
      </w:pPr>
      <w:rPr>
        <w:rFonts w:ascii="Wingdings" w:hAnsi="Wingdings" w:hint="default"/>
      </w:rPr>
    </w:lvl>
  </w:abstractNum>
  <w:num w:numId="1">
    <w:abstractNumId w:val="15"/>
  </w:num>
  <w:num w:numId="2">
    <w:abstractNumId w:val="10"/>
  </w:num>
  <w:num w:numId="3">
    <w:abstractNumId w:val="11"/>
  </w:num>
  <w:num w:numId="4">
    <w:abstractNumId w:val="14"/>
  </w:num>
  <w:num w:numId="5">
    <w:abstractNumId w:val="4"/>
  </w:num>
  <w:num w:numId="6">
    <w:abstractNumId w:val="1"/>
  </w:num>
  <w:num w:numId="7">
    <w:abstractNumId w:val="2"/>
  </w:num>
  <w:num w:numId="8">
    <w:abstractNumId w:val="5"/>
  </w:num>
  <w:num w:numId="9">
    <w:abstractNumId w:val="16"/>
  </w:num>
  <w:num w:numId="10">
    <w:abstractNumId w:val="20"/>
  </w:num>
  <w:num w:numId="11">
    <w:abstractNumId w:val="7"/>
  </w:num>
  <w:num w:numId="12">
    <w:abstractNumId w:val="13"/>
  </w:num>
  <w:num w:numId="13">
    <w:abstractNumId w:val="8"/>
  </w:num>
  <w:num w:numId="14">
    <w:abstractNumId w:val="9"/>
  </w:num>
  <w:num w:numId="15">
    <w:abstractNumId w:val="17"/>
  </w:num>
  <w:num w:numId="16">
    <w:abstractNumId w:val="19"/>
  </w:num>
  <w:num w:numId="17">
    <w:abstractNumId w:val="18"/>
  </w:num>
  <w:num w:numId="18">
    <w:abstractNumId w:val="6"/>
  </w:num>
  <w:num w:numId="19">
    <w:abstractNumId w:val="12"/>
  </w:num>
  <w:num w:numId="20">
    <w:abstractNumId w:val="0"/>
  </w:num>
  <w:num w:numId="2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96"/>
  <w:proofState w:grammar="clean"/>
  <w:defaultTabStop w:val="720"/>
  <w:drawingGridHorizontalSpacing w:val="110"/>
  <w:displayHorizontalDrawingGridEvery w:val="2"/>
  <w:displayVerticalDrawingGridEvery w:val="2"/>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2CD"/>
    <w:rsid w:val="000022EA"/>
    <w:rsid w:val="0000357E"/>
    <w:rsid w:val="00003841"/>
    <w:rsid w:val="00005263"/>
    <w:rsid w:val="0000734C"/>
    <w:rsid w:val="00010007"/>
    <w:rsid w:val="00013665"/>
    <w:rsid w:val="0001568C"/>
    <w:rsid w:val="00016C57"/>
    <w:rsid w:val="000204BD"/>
    <w:rsid w:val="00021F25"/>
    <w:rsid w:val="0002260A"/>
    <w:rsid w:val="00023CCB"/>
    <w:rsid w:val="00024710"/>
    <w:rsid w:val="00026472"/>
    <w:rsid w:val="00027636"/>
    <w:rsid w:val="00027F43"/>
    <w:rsid w:val="00030377"/>
    <w:rsid w:val="0003736E"/>
    <w:rsid w:val="0003767B"/>
    <w:rsid w:val="0004253C"/>
    <w:rsid w:val="00045D4D"/>
    <w:rsid w:val="00051505"/>
    <w:rsid w:val="00054B73"/>
    <w:rsid w:val="00056F61"/>
    <w:rsid w:val="000576A2"/>
    <w:rsid w:val="00057819"/>
    <w:rsid w:val="0005794B"/>
    <w:rsid w:val="00060163"/>
    <w:rsid w:val="0006049C"/>
    <w:rsid w:val="0006345C"/>
    <w:rsid w:val="00063EC8"/>
    <w:rsid w:val="000650B6"/>
    <w:rsid w:val="00071A47"/>
    <w:rsid w:val="000731AD"/>
    <w:rsid w:val="00075007"/>
    <w:rsid w:val="00077E67"/>
    <w:rsid w:val="0008176E"/>
    <w:rsid w:val="00081A58"/>
    <w:rsid w:val="00085C58"/>
    <w:rsid w:val="00087398"/>
    <w:rsid w:val="00087922"/>
    <w:rsid w:val="000900A6"/>
    <w:rsid w:val="00090A98"/>
    <w:rsid w:val="00090B46"/>
    <w:rsid w:val="00090B58"/>
    <w:rsid w:val="00092875"/>
    <w:rsid w:val="00095EE4"/>
    <w:rsid w:val="000A5328"/>
    <w:rsid w:val="000A58A3"/>
    <w:rsid w:val="000A58AB"/>
    <w:rsid w:val="000A6199"/>
    <w:rsid w:val="000B00B7"/>
    <w:rsid w:val="000B34B9"/>
    <w:rsid w:val="000B4B09"/>
    <w:rsid w:val="000B51AB"/>
    <w:rsid w:val="000C3537"/>
    <w:rsid w:val="000C3F9F"/>
    <w:rsid w:val="000C5291"/>
    <w:rsid w:val="000D0AD8"/>
    <w:rsid w:val="000D2F76"/>
    <w:rsid w:val="000D481C"/>
    <w:rsid w:val="000D4A73"/>
    <w:rsid w:val="000E002A"/>
    <w:rsid w:val="000E05CA"/>
    <w:rsid w:val="000E2B45"/>
    <w:rsid w:val="000E6416"/>
    <w:rsid w:val="000E73F7"/>
    <w:rsid w:val="000F09DB"/>
    <w:rsid w:val="000F0DF8"/>
    <w:rsid w:val="000F14C9"/>
    <w:rsid w:val="000F513E"/>
    <w:rsid w:val="000F677F"/>
    <w:rsid w:val="000F6C48"/>
    <w:rsid w:val="0010256C"/>
    <w:rsid w:val="00104A4D"/>
    <w:rsid w:val="00104D1D"/>
    <w:rsid w:val="00106528"/>
    <w:rsid w:val="00107093"/>
    <w:rsid w:val="001110AE"/>
    <w:rsid w:val="001144C6"/>
    <w:rsid w:val="00122EF5"/>
    <w:rsid w:val="0012446F"/>
    <w:rsid w:val="00127EA7"/>
    <w:rsid w:val="001344FB"/>
    <w:rsid w:val="00137AEB"/>
    <w:rsid w:val="00137D4F"/>
    <w:rsid w:val="0014170D"/>
    <w:rsid w:val="001424BB"/>
    <w:rsid w:val="00142CF5"/>
    <w:rsid w:val="00145C8C"/>
    <w:rsid w:val="001473AE"/>
    <w:rsid w:val="001524D8"/>
    <w:rsid w:val="00157133"/>
    <w:rsid w:val="00157710"/>
    <w:rsid w:val="001604B9"/>
    <w:rsid w:val="00160970"/>
    <w:rsid w:val="00161F22"/>
    <w:rsid w:val="0016323A"/>
    <w:rsid w:val="00165328"/>
    <w:rsid w:val="00167912"/>
    <w:rsid w:val="00167E1C"/>
    <w:rsid w:val="001707E7"/>
    <w:rsid w:val="00171F5A"/>
    <w:rsid w:val="0018092B"/>
    <w:rsid w:val="001811C2"/>
    <w:rsid w:val="0018158A"/>
    <w:rsid w:val="001849BF"/>
    <w:rsid w:val="001872D0"/>
    <w:rsid w:val="001926BF"/>
    <w:rsid w:val="00192C85"/>
    <w:rsid w:val="00194048"/>
    <w:rsid w:val="00196651"/>
    <w:rsid w:val="001B0A68"/>
    <w:rsid w:val="001C098C"/>
    <w:rsid w:val="001C250F"/>
    <w:rsid w:val="001C288A"/>
    <w:rsid w:val="001C37E7"/>
    <w:rsid w:val="001D141C"/>
    <w:rsid w:val="001D32BA"/>
    <w:rsid w:val="001D5A67"/>
    <w:rsid w:val="001D6769"/>
    <w:rsid w:val="001D6E29"/>
    <w:rsid w:val="001D70DB"/>
    <w:rsid w:val="001E1D01"/>
    <w:rsid w:val="001E3F94"/>
    <w:rsid w:val="001E413D"/>
    <w:rsid w:val="001F0E07"/>
    <w:rsid w:val="001F16CF"/>
    <w:rsid w:val="001F5A5D"/>
    <w:rsid w:val="00201F24"/>
    <w:rsid w:val="002044F6"/>
    <w:rsid w:val="00205F15"/>
    <w:rsid w:val="00206C9F"/>
    <w:rsid w:val="00206DFD"/>
    <w:rsid w:val="00207C43"/>
    <w:rsid w:val="00212A4F"/>
    <w:rsid w:val="00214180"/>
    <w:rsid w:val="00215ACA"/>
    <w:rsid w:val="00217609"/>
    <w:rsid w:val="00217FC8"/>
    <w:rsid w:val="00220870"/>
    <w:rsid w:val="002214F7"/>
    <w:rsid w:val="0022209C"/>
    <w:rsid w:val="00223978"/>
    <w:rsid w:val="00227380"/>
    <w:rsid w:val="00230AF7"/>
    <w:rsid w:val="002326CD"/>
    <w:rsid w:val="00233691"/>
    <w:rsid w:val="002372A4"/>
    <w:rsid w:val="002407E2"/>
    <w:rsid w:val="0024436B"/>
    <w:rsid w:val="002459DA"/>
    <w:rsid w:val="002504C8"/>
    <w:rsid w:val="002507EB"/>
    <w:rsid w:val="00251A87"/>
    <w:rsid w:val="0025639C"/>
    <w:rsid w:val="002608F1"/>
    <w:rsid w:val="0026240C"/>
    <w:rsid w:val="0026429E"/>
    <w:rsid w:val="00277367"/>
    <w:rsid w:val="00281AA7"/>
    <w:rsid w:val="0028217A"/>
    <w:rsid w:val="00284C5D"/>
    <w:rsid w:val="002937C4"/>
    <w:rsid w:val="00294A2F"/>
    <w:rsid w:val="00296AFB"/>
    <w:rsid w:val="002A06D2"/>
    <w:rsid w:val="002A7970"/>
    <w:rsid w:val="002B034D"/>
    <w:rsid w:val="002B3A6D"/>
    <w:rsid w:val="002B3E8E"/>
    <w:rsid w:val="002C4331"/>
    <w:rsid w:val="002C453A"/>
    <w:rsid w:val="002C5FC4"/>
    <w:rsid w:val="002C68A0"/>
    <w:rsid w:val="002C6DBC"/>
    <w:rsid w:val="002C7797"/>
    <w:rsid w:val="002D2B3E"/>
    <w:rsid w:val="002D4D53"/>
    <w:rsid w:val="002E4B3E"/>
    <w:rsid w:val="002E5386"/>
    <w:rsid w:val="002E5FF2"/>
    <w:rsid w:val="002F0C8F"/>
    <w:rsid w:val="002F30BB"/>
    <w:rsid w:val="002F38D0"/>
    <w:rsid w:val="00307433"/>
    <w:rsid w:val="003162E4"/>
    <w:rsid w:val="00317EFB"/>
    <w:rsid w:val="0032070E"/>
    <w:rsid w:val="00322017"/>
    <w:rsid w:val="0032396A"/>
    <w:rsid w:val="00332018"/>
    <w:rsid w:val="00333FAA"/>
    <w:rsid w:val="00336675"/>
    <w:rsid w:val="00340056"/>
    <w:rsid w:val="003405A6"/>
    <w:rsid w:val="0034370D"/>
    <w:rsid w:val="00344B08"/>
    <w:rsid w:val="00351AAB"/>
    <w:rsid w:val="00356575"/>
    <w:rsid w:val="0035716E"/>
    <w:rsid w:val="0036017A"/>
    <w:rsid w:val="00362787"/>
    <w:rsid w:val="003635BF"/>
    <w:rsid w:val="00374001"/>
    <w:rsid w:val="00375924"/>
    <w:rsid w:val="00380243"/>
    <w:rsid w:val="00383D36"/>
    <w:rsid w:val="003859B6"/>
    <w:rsid w:val="00386AE8"/>
    <w:rsid w:val="003878E1"/>
    <w:rsid w:val="00391B99"/>
    <w:rsid w:val="00392A8F"/>
    <w:rsid w:val="003A057F"/>
    <w:rsid w:val="003A3ADD"/>
    <w:rsid w:val="003A7EFE"/>
    <w:rsid w:val="003B57C7"/>
    <w:rsid w:val="003B6E58"/>
    <w:rsid w:val="003C4D52"/>
    <w:rsid w:val="003D3065"/>
    <w:rsid w:val="003D4EB3"/>
    <w:rsid w:val="003E4275"/>
    <w:rsid w:val="003E4EB2"/>
    <w:rsid w:val="003E7EBE"/>
    <w:rsid w:val="003F0CD3"/>
    <w:rsid w:val="003F4806"/>
    <w:rsid w:val="003F5D80"/>
    <w:rsid w:val="00404329"/>
    <w:rsid w:val="004050B7"/>
    <w:rsid w:val="00406107"/>
    <w:rsid w:val="00406B06"/>
    <w:rsid w:val="00410902"/>
    <w:rsid w:val="00410CDD"/>
    <w:rsid w:val="004134E1"/>
    <w:rsid w:val="00417786"/>
    <w:rsid w:val="004177BE"/>
    <w:rsid w:val="00417E2B"/>
    <w:rsid w:val="00422573"/>
    <w:rsid w:val="00422921"/>
    <w:rsid w:val="00424F34"/>
    <w:rsid w:val="00430CCF"/>
    <w:rsid w:val="00432216"/>
    <w:rsid w:val="004338E5"/>
    <w:rsid w:val="004348B3"/>
    <w:rsid w:val="004367B2"/>
    <w:rsid w:val="0044078B"/>
    <w:rsid w:val="00443E61"/>
    <w:rsid w:val="0044629A"/>
    <w:rsid w:val="00450746"/>
    <w:rsid w:val="00451F24"/>
    <w:rsid w:val="00452056"/>
    <w:rsid w:val="004525F5"/>
    <w:rsid w:val="004550F6"/>
    <w:rsid w:val="00455A51"/>
    <w:rsid w:val="004561F3"/>
    <w:rsid w:val="00456D95"/>
    <w:rsid w:val="00462ED9"/>
    <w:rsid w:val="00467527"/>
    <w:rsid w:val="004679AD"/>
    <w:rsid w:val="00470F41"/>
    <w:rsid w:val="00471D1C"/>
    <w:rsid w:val="004726B9"/>
    <w:rsid w:val="004731C9"/>
    <w:rsid w:val="00475B65"/>
    <w:rsid w:val="004765E0"/>
    <w:rsid w:val="00477910"/>
    <w:rsid w:val="00480824"/>
    <w:rsid w:val="00481B53"/>
    <w:rsid w:val="00482BA0"/>
    <w:rsid w:val="00482F95"/>
    <w:rsid w:val="00483329"/>
    <w:rsid w:val="004844FA"/>
    <w:rsid w:val="00486352"/>
    <w:rsid w:val="00490B90"/>
    <w:rsid w:val="0049563D"/>
    <w:rsid w:val="00495C34"/>
    <w:rsid w:val="004A550A"/>
    <w:rsid w:val="004B29DD"/>
    <w:rsid w:val="004B2CB9"/>
    <w:rsid w:val="004B374F"/>
    <w:rsid w:val="004B4856"/>
    <w:rsid w:val="004B5C27"/>
    <w:rsid w:val="004B6CB6"/>
    <w:rsid w:val="004B7C80"/>
    <w:rsid w:val="004C1C0E"/>
    <w:rsid w:val="004C43F7"/>
    <w:rsid w:val="004C49D6"/>
    <w:rsid w:val="004D397A"/>
    <w:rsid w:val="004D6A72"/>
    <w:rsid w:val="004D7C36"/>
    <w:rsid w:val="004E276D"/>
    <w:rsid w:val="004E3206"/>
    <w:rsid w:val="004E5C27"/>
    <w:rsid w:val="004E72BB"/>
    <w:rsid w:val="004F0372"/>
    <w:rsid w:val="004F18C0"/>
    <w:rsid w:val="004F20B9"/>
    <w:rsid w:val="004F2C02"/>
    <w:rsid w:val="004F2CB3"/>
    <w:rsid w:val="004F3B23"/>
    <w:rsid w:val="004F4CB2"/>
    <w:rsid w:val="0050347B"/>
    <w:rsid w:val="00503B07"/>
    <w:rsid w:val="00503B82"/>
    <w:rsid w:val="00506393"/>
    <w:rsid w:val="00515421"/>
    <w:rsid w:val="00516C6F"/>
    <w:rsid w:val="0051728B"/>
    <w:rsid w:val="005230A9"/>
    <w:rsid w:val="005403CC"/>
    <w:rsid w:val="0054093C"/>
    <w:rsid w:val="00542D64"/>
    <w:rsid w:val="005461CC"/>
    <w:rsid w:val="00551016"/>
    <w:rsid w:val="00552B20"/>
    <w:rsid w:val="005532AD"/>
    <w:rsid w:val="0055418D"/>
    <w:rsid w:val="00556CDE"/>
    <w:rsid w:val="0056592D"/>
    <w:rsid w:val="00566D01"/>
    <w:rsid w:val="005702CB"/>
    <w:rsid w:val="00572C7E"/>
    <w:rsid w:val="00574736"/>
    <w:rsid w:val="005764D9"/>
    <w:rsid w:val="0057701F"/>
    <w:rsid w:val="005804F8"/>
    <w:rsid w:val="00590493"/>
    <w:rsid w:val="00594397"/>
    <w:rsid w:val="00595B59"/>
    <w:rsid w:val="005A0323"/>
    <w:rsid w:val="005A110D"/>
    <w:rsid w:val="005A2124"/>
    <w:rsid w:val="005B1274"/>
    <w:rsid w:val="005B1694"/>
    <w:rsid w:val="005B2FED"/>
    <w:rsid w:val="005B32B4"/>
    <w:rsid w:val="005B331F"/>
    <w:rsid w:val="005C5937"/>
    <w:rsid w:val="005D0338"/>
    <w:rsid w:val="005D13EB"/>
    <w:rsid w:val="005D394A"/>
    <w:rsid w:val="005D628E"/>
    <w:rsid w:val="005D7E57"/>
    <w:rsid w:val="005D7EFB"/>
    <w:rsid w:val="005E0FFC"/>
    <w:rsid w:val="005E117D"/>
    <w:rsid w:val="005E1415"/>
    <w:rsid w:val="005F0098"/>
    <w:rsid w:val="005F16C8"/>
    <w:rsid w:val="005F2936"/>
    <w:rsid w:val="005F2FD8"/>
    <w:rsid w:val="005F7788"/>
    <w:rsid w:val="00600452"/>
    <w:rsid w:val="00602636"/>
    <w:rsid w:val="006035F7"/>
    <w:rsid w:val="006037C3"/>
    <w:rsid w:val="00604DCA"/>
    <w:rsid w:val="00613285"/>
    <w:rsid w:val="006134D9"/>
    <w:rsid w:val="00620FA6"/>
    <w:rsid w:val="00621D93"/>
    <w:rsid w:val="00622195"/>
    <w:rsid w:val="00622D1F"/>
    <w:rsid w:val="006249BD"/>
    <w:rsid w:val="00624E24"/>
    <w:rsid w:val="00625772"/>
    <w:rsid w:val="006317BF"/>
    <w:rsid w:val="00631816"/>
    <w:rsid w:val="006321B1"/>
    <w:rsid w:val="00634911"/>
    <w:rsid w:val="00634A03"/>
    <w:rsid w:val="00643958"/>
    <w:rsid w:val="00651E6F"/>
    <w:rsid w:val="00653212"/>
    <w:rsid w:val="006543A5"/>
    <w:rsid w:val="006601A5"/>
    <w:rsid w:val="00660684"/>
    <w:rsid w:val="00660BD9"/>
    <w:rsid w:val="00662161"/>
    <w:rsid w:val="0066267E"/>
    <w:rsid w:val="00663998"/>
    <w:rsid w:val="00665626"/>
    <w:rsid w:val="00666E1B"/>
    <w:rsid w:val="00671F04"/>
    <w:rsid w:val="0067238A"/>
    <w:rsid w:val="00674310"/>
    <w:rsid w:val="006760E9"/>
    <w:rsid w:val="006762E7"/>
    <w:rsid w:val="006768F2"/>
    <w:rsid w:val="006769BE"/>
    <w:rsid w:val="00681392"/>
    <w:rsid w:val="006817ED"/>
    <w:rsid w:val="006826AF"/>
    <w:rsid w:val="00682846"/>
    <w:rsid w:val="00682AE5"/>
    <w:rsid w:val="00687104"/>
    <w:rsid w:val="006877F1"/>
    <w:rsid w:val="00687DA1"/>
    <w:rsid w:val="00690046"/>
    <w:rsid w:val="0069177C"/>
    <w:rsid w:val="00693D84"/>
    <w:rsid w:val="006952F9"/>
    <w:rsid w:val="006A0F48"/>
    <w:rsid w:val="006A25FA"/>
    <w:rsid w:val="006A32CD"/>
    <w:rsid w:val="006B2C34"/>
    <w:rsid w:val="006B3AE9"/>
    <w:rsid w:val="006B5AED"/>
    <w:rsid w:val="006B6658"/>
    <w:rsid w:val="006C1C03"/>
    <w:rsid w:val="006C2654"/>
    <w:rsid w:val="006C26A3"/>
    <w:rsid w:val="006C4161"/>
    <w:rsid w:val="006D654B"/>
    <w:rsid w:val="006E0736"/>
    <w:rsid w:val="006E43C7"/>
    <w:rsid w:val="006E58C0"/>
    <w:rsid w:val="006F1A15"/>
    <w:rsid w:val="006F2CEE"/>
    <w:rsid w:val="00700D2E"/>
    <w:rsid w:val="007034A1"/>
    <w:rsid w:val="00712302"/>
    <w:rsid w:val="0071517C"/>
    <w:rsid w:val="00717D42"/>
    <w:rsid w:val="0072372D"/>
    <w:rsid w:val="007241FD"/>
    <w:rsid w:val="007266B0"/>
    <w:rsid w:val="00727602"/>
    <w:rsid w:val="00727BBA"/>
    <w:rsid w:val="00741C87"/>
    <w:rsid w:val="00741CA1"/>
    <w:rsid w:val="007420F7"/>
    <w:rsid w:val="0074243C"/>
    <w:rsid w:val="00742CA3"/>
    <w:rsid w:val="00743CB3"/>
    <w:rsid w:val="00744BF9"/>
    <w:rsid w:val="007458AE"/>
    <w:rsid w:val="0074752B"/>
    <w:rsid w:val="00750422"/>
    <w:rsid w:val="00760A92"/>
    <w:rsid w:val="00760A9F"/>
    <w:rsid w:val="00760F89"/>
    <w:rsid w:val="007618BB"/>
    <w:rsid w:val="007643DF"/>
    <w:rsid w:val="00766075"/>
    <w:rsid w:val="0076657B"/>
    <w:rsid w:val="00766E7D"/>
    <w:rsid w:val="007701EF"/>
    <w:rsid w:val="007707F1"/>
    <w:rsid w:val="00770980"/>
    <w:rsid w:val="00771393"/>
    <w:rsid w:val="0077404F"/>
    <w:rsid w:val="00776A44"/>
    <w:rsid w:val="00777ECE"/>
    <w:rsid w:val="007818E7"/>
    <w:rsid w:val="0078297A"/>
    <w:rsid w:val="00782C59"/>
    <w:rsid w:val="0078357D"/>
    <w:rsid w:val="00785ED0"/>
    <w:rsid w:val="00786738"/>
    <w:rsid w:val="007874A2"/>
    <w:rsid w:val="007916EA"/>
    <w:rsid w:val="00791C34"/>
    <w:rsid w:val="00797A1A"/>
    <w:rsid w:val="007A1002"/>
    <w:rsid w:val="007A3B64"/>
    <w:rsid w:val="007A44F4"/>
    <w:rsid w:val="007A519C"/>
    <w:rsid w:val="007A60EA"/>
    <w:rsid w:val="007B1AC9"/>
    <w:rsid w:val="007B5691"/>
    <w:rsid w:val="007C27C0"/>
    <w:rsid w:val="007C56FC"/>
    <w:rsid w:val="007C582C"/>
    <w:rsid w:val="007D0181"/>
    <w:rsid w:val="007D081F"/>
    <w:rsid w:val="007D2850"/>
    <w:rsid w:val="007D523F"/>
    <w:rsid w:val="007D6D34"/>
    <w:rsid w:val="007E432A"/>
    <w:rsid w:val="007F0575"/>
    <w:rsid w:val="007F17D4"/>
    <w:rsid w:val="007F73EC"/>
    <w:rsid w:val="007F74DA"/>
    <w:rsid w:val="0080011A"/>
    <w:rsid w:val="00801DA7"/>
    <w:rsid w:val="00805918"/>
    <w:rsid w:val="00810942"/>
    <w:rsid w:val="008127AD"/>
    <w:rsid w:val="008148E0"/>
    <w:rsid w:val="00815F14"/>
    <w:rsid w:val="00824CFF"/>
    <w:rsid w:val="0082656B"/>
    <w:rsid w:val="008265CF"/>
    <w:rsid w:val="008350E4"/>
    <w:rsid w:val="00840C2F"/>
    <w:rsid w:val="0084262E"/>
    <w:rsid w:val="00842C83"/>
    <w:rsid w:val="00854E93"/>
    <w:rsid w:val="00855B55"/>
    <w:rsid w:val="008563DF"/>
    <w:rsid w:val="00863170"/>
    <w:rsid w:val="00865B7C"/>
    <w:rsid w:val="00870977"/>
    <w:rsid w:val="0087220F"/>
    <w:rsid w:val="00874A3E"/>
    <w:rsid w:val="00875362"/>
    <w:rsid w:val="00875B6C"/>
    <w:rsid w:val="00876FD1"/>
    <w:rsid w:val="00877E06"/>
    <w:rsid w:val="00882CDB"/>
    <w:rsid w:val="0088482E"/>
    <w:rsid w:val="00884CAD"/>
    <w:rsid w:val="0088536E"/>
    <w:rsid w:val="00887248"/>
    <w:rsid w:val="00890902"/>
    <w:rsid w:val="00894189"/>
    <w:rsid w:val="00895CBA"/>
    <w:rsid w:val="00897B19"/>
    <w:rsid w:val="008A09A1"/>
    <w:rsid w:val="008A4B7F"/>
    <w:rsid w:val="008B16AB"/>
    <w:rsid w:val="008B1B3F"/>
    <w:rsid w:val="008B369D"/>
    <w:rsid w:val="008B5444"/>
    <w:rsid w:val="008B7E90"/>
    <w:rsid w:val="008C2970"/>
    <w:rsid w:val="008D0FA1"/>
    <w:rsid w:val="008D1DB4"/>
    <w:rsid w:val="008D4729"/>
    <w:rsid w:val="008E181D"/>
    <w:rsid w:val="008E2048"/>
    <w:rsid w:val="008E2339"/>
    <w:rsid w:val="008F0837"/>
    <w:rsid w:val="008F184D"/>
    <w:rsid w:val="008F43FF"/>
    <w:rsid w:val="008F652A"/>
    <w:rsid w:val="008F7A3D"/>
    <w:rsid w:val="008F7F73"/>
    <w:rsid w:val="00906338"/>
    <w:rsid w:val="009067AA"/>
    <w:rsid w:val="00907F32"/>
    <w:rsid w:val="009104AB"/>
    <w:rsid w:val="00910D0A"/>
    <w:rsid w:val="009118FD"/>
    <w:rsid w:val="00912060"/>
    <w:rsid w:val="009129F7"/>
    <w:rsid w:val="00914539"/>
    <w:rsid w:val="009216D3"/>
    <w:rsid w:val="00927C4D"/>
    <w:rsid w:val="009335AE"/>
    <w:rsid w:val="00933785"/>
    <w:rsid w:val="00934850"/>
    <w:rsid w:val="00935F0F"/>
    <w:rsid w:val="00940448"/>
    <w:rsid w:val="009419F6"/>
    <w:rsid w:val="009422C2"/>
    <w:rsid w:val="0094491A"/>
    <w:rsid w:val="00955789"/>
    <w:rsid w:val="00956AFD"/>
    <w:rsid w:val="009618CD"/>
    <w:rsid w:val="0096225F"/>
    <w:rsid w:val="00965793"/>
    <w:rsid w:val="00965DA4"/>
    <w:rsid w:val="009675D6"/>
    <w:rsid w:val="00970497"/>
    <w:rsid w:val="009731CE"/>
    <w:rsid w:val="00973DEF"/>
    <w:rsid w:val="009756E1"/>
    <w:rsid w:val="00976EF1"/>
    <w:rsid w:val="00980B16"/>
    <w:rsid w:val="00982FEC"/>
    <w:rsid w:val="00983DE2"/>
    <w:rsid w:val="0098403B"/>
    <w:rsid w:val="009844A2"/>
    <w:rsid w:val="009846E7"/>
    <w:rsid w:val="00984958"/>
    <w:rsid w:val="00986FE5"/>
    <w:rsid w:val="0098768A"/>
    <w:rsid w:val="00987D4D"/>
    <w:rsid w:val="009909FE"/>
    <w:rsid w:val="00995ACA"/>
    <w:rsid w:val="009A0D70"/>
    <w:rsid w:val="009A13F4"/>
    <w:rsid w:val="009A22CD"/>
    <w:rsid w:val="009A3E9F"/>
    <w:rsid w:val="009A4B34"/>
    <w:rsid w:val="009B0263"/>
    <w:rsid w:val="009C4A16"/>
    <w:rsid w:val="009C76C6"/>
    <w:rsid w:val="009D192D"/>
    <w:rsid w:val="009D1990"/>
    <w:rsid w:val="009E2FE7"/>
    <w:rsid w:val="009E394F"/>
    <w:rsid w:val="009E76FB"/>
    <w:rsid w:val="009E7A63"/>
    <w:rsid w:val="009F1438"/>
    <w:rsid w:val="009F26D0"/>
    <w:rsid w:val="009F7EAD"/>
    <w:rsid w:val="00A01667"/>
    <w:rsid w:val="00A041F4"/>
    <w:rsid w:val="00A07EB9"/>
    <w:rsid w:val="00A11276"/>
    <w:rsid w:val="00A13006"/>
    <w:rsid w:val="00A153E5"/>
    <w:rsid w:val="00A162A2"/>
    <w:rsid w:val="00A16417"/>
    <w:rsid w:val="00A170DE"/>
    <w:rsid w:val="00A21A17"/>
    <w:rsid w:val="00A22586"/>
    <w:rsid w:val="00A251E6"/>
    <w:rsid w:val="00A267A9"/>
    <w:rsid w:val="00A32E15"/>
    <w:rsid w:val="00A415E2"/>
    <w:rsid w:val="00A4200E"/>
    <w:rsid w:val="00A42CA7"/>
    <w:rsid w:val="00A43A1F"/>
    <w:rsid w:val="00A4523C"/>
    <w:rsid w:val="00A45982"/>
    <w:rsid w:val="00A46330"/>
    <w:rsid w:val="00A47534"/>
    <w:rsid w:val="00A50C8D"/>
    <w:rsid w:val="00A56BFB"/>
    <w:rsid w:val="00A630B7"/>
    <w:rsid w:val="00A647E3"/>
    <w:rsid w:val="00A6503A"/>
    <w:rsid w:val="00A6520F"/>
    <w:rsid w:val="00A65A19"/>
    <w:rsid w:val="00A73DEC"/>
    <w:rsid w:val="00A73FBE"/>
    <w:rsid w:val="00A7409E"/>
    <w:rsid w:val="00A74BE4"/>
    <w:rsid w:val="00A75432"/>
    <w:rsid w:val="00A77DFF"/>
    <w:rsid w:val="00A801B7"/>
    <w:rsid w:val="00A80527"/>
    <w:rsid w:val="00A81984"/>
    <w:rsid w:val="00A823F6"/>
    <w:rsid w:val="00A82961"/>
    <w:rsid w:val="00A85AC2"/>
    <w:rsid w:val="00A8634F"/>
    <w:rsid w:val="00A93CAD"/>
    <w:rsid w:val="00A963D7"/>
    <w:rsid w:val="00A964C7"/>
    <w:rsid w:val="00A964CA"/>
    <w:rsid w:val="00AA1A32"/>
    <w:rsid w:val="00AA3A63"/>
    <w:rsid w:val="00AA588C"/>
    <w:rsid w:val="00AA73AA"/>
    <w:rsid w:val="00AA78FF"/>
    <w:rsid w:val="00AB259C"/>
    <w:rsid w:val="00AB295A"/>
    <w:rsid w:val="00AB6D62"/>
    <w:rsid w:val="00AB77DE"/>
    <w:rsid w:val="00AC2DCE"/>
    <w:rsid w:val="00AC4125"/>
    <w:rsid w:val="00AC4AC7"/>
    <w:rsid w:val="00AC4ED9"/>
    <w:rsid w:val="00AC73FF"/>
    <w:rsid w:val="00AD02CB"/>
    <w:rsid w:val="00AD12A9"/>
    <w:rsid w:val="00AD31C8"/>
    <w:rsid w:val="00AD43BF"/>
    <w:rsid w:val="00AD50B6"/>
    <w:rsid w:val="00AD64AC"/>
    <w:rsid w:val="00AD6C3A"/>
    <w:rsid w:val="00AD7E93"/>
    <w:rsid w:val="00AE301B"/>
    <w:rsid w:val="00AE5847"/>
    <w:rsid w:val="00AF4DD3"/>
    <w:rsid w:val="00AF6864"/>
    <w:rsid w:val="00B05A7D"/>
    <w:rsid w:val="00B20CFF"/>
    <w:rsid w:val="00B21A42"/>
    <w:rsid w:val="00B22D26"/>
    <w:rsid w:val="00B30135"/>
    <w:rsid w:val="00B3434A"/>
    <w:rsid w:val="00B35570"/>
    <w:rsid w:val="00B40774"/>
    <w:rsid w:val="00B4475D"/>
    <w:rsid w:val="00B4619D"/>
    <w:rsid w:val="00B466FC"/>
    <w:rsid w:val="00B500C9"/>
    <w:rsid w:val="00B501CB"/>
    <w:rsid w:val="00B50C19"/>
    <w:rsid w:val="00B55B88"/>
    <w:rsid w:val="00B563C3"/>
    <w:rsid w:val="00B573BA"/>
    <w:rsid w:val="00B609FF"/>
    <w:rsid w:val="00B6142B"/>
    <w:rsid w:val="00B635F6"/>
    <w:rsid w:val="00B63F0E"/>
    <w:rsid w:val="00B669C9"/>
    <w:rsid w:val="00B72256"/>
    <w:rsid w:val="00B73564"/>
    <w:rsid w:val="00B7462E"/>
    <w:rsid w:val="00B75965"/>
    <w:rsid w:val="00B81FB2"/>
    <w:rsid w:val="00B828AF"/>
    <w:rsid w:val="00B861EA"/>
    <w:rsid w:val="00B90CE9"/>
    <w:rsid w:val="00BA0BFE"/>
    <w:rsid w:val="00BA24F0"/>
    <w:rsid w:val="00BA4011"/>
    <w:rsid w:val="00BA4CAF"/>
    <w:rsid w:val="00BA589E"/>
    <w:rsid w:val="00BB0A2E"/>
    <w:rsid w:val="00BB0EE1"/>
    <w:rsid w:val="00BB0F8B"/>
    <w:rsid w:val="00BB1BE1"/>
    <w:rsid w:val="00BB2497"/>
    <w:rsid w:val="00BB49FA"/>
    <w:rsid w:val="00BB4BB8"/>
    <w:rsid w:val="00BC0C61"/>
    <w:rsid w:val="00BC2EF0"/>
    <w:rsid w:val="00BC4480"/>
    <w:rsid w:val="00BD0D80"/>
    <w:rsid w:val="00BD1B94"/>
    <w:rsid w:val="00BD491E"/>
    <w:rsid w:val="00BE12C2"/>
    <w:rsid w:val="00BE3EBF"/>
    <w:rsid w:val="00BF07A2"/>
    <w:rsid w:val="00BF14CB"/>
    <w:rsid w:val="00BF305D"/>
    <w:rsid w:val="00BF3945"/>
    <w:rsid w:val="00BF7184"/>
    <w:rsid w:val="00BF7554"/>
    <w:rsid w:val="00C00CDA"/>
    <w:rsid w:val="00C066AE"/>
    <w:rsid w:val="00C066C0"/>
    <w:rsid w:val="00C117E3"/>
    <w:rsid w:val="00C16C56"/>
    <w:rsid w:val="00C203EB"/>
    <w:rsid w:val="00C23BC0"/>
    <w:rsid w:val="00C23FA8"/>
    <w:rsid w:val="00C26FF7"/>
    <w:rsid w:val="00C319AC"/>
    <w:rsid w:val="00C319EF"/>
    <w:rsid w:val="00C34B19"/>
    <w:rsid w:val="00C35630"/>
    <w:rsid w:val="00C40886"/>
    <w:rsid w:val="00C4122B"/>
    <w:rsid w:val="00C42B66"/>
    <w:rsid w:val="00C44C03"/>
    <w:rsid w:val="00C55AE2"/>
    <w:rsid w:val="00C572AE"/>
    <w:rsid w:val="00C61BFB"/>
    <w:rsid w:val="00C63262"/>
    <w:rsid w:val="00C715D5"/>
    <w:rsid w:val="00C71EAF"/>
    <w:rsid w:val="00C72650"/>
    <w:rsid w:val="00C72D81"/>
    <w:rsid w:val="00C7654B"/>
    <w:rsid w:val="00C76A46"/>
    <w:rsid w:val="00C82F50"/>
    <w:rsid w:val="00C83ABF"/>
    <w:rsid w:val="00C84078"/>
    <w:rsid w:val="00C85246"/>
    <w:rsid w:val="00C855B1"/>
    <w:rsid w:val="00C86B40"/>
    <w:rsid w:val="00C975E5"/>
    <w:rsid w:val="00CA002C"/>
    <w:rsid w:val="00CA5158"/>
    <w:rsid w:val="00CA6A84"/>
    <w:rsid w:val="00CB0643"/>
    <w:rsid w:val="00CB4AAB"/>
    <w:rsid w:val="00CB5F51"/>
    <w:rsid w:val="00CC0981"/>
    <w:rsid w:val="00CC3B6A"/>
    <w:rsid w:val="00CC4056"/>
    <w:rsid w:val="00CC51F3"/>
    <w:rsid w:val="00CC702E"/>
    <w:rsid w:val="00CD1677"/>
    <w:rsid w:val="00CD1C2E"/>
    <w:rsid w:val="00CD5686"/>
    <w:rsid w:val="00CD5D36"/>
    <w:rsid w:val="00CD6F84"/>
    <w:rsid w:val="00CD7286"/>
    <w:rsid w:val="00CE0479"/>
    <w:rsid w:val="00CE4AB2"/>
    <w:rsid w:val="00CE5E02"/>
    <w:rsid w:val="00CF4796"/>
    <w:rsid w:val="00CF48C9"/>
    <w:rsid w:val="00CF61E7"/>
    <w:rsid w:val="00CF61F9"/>
    <w:rsid w:val="00CF6CD7"/>
    <w:rsid w:val="00CF6F28"/>
    <w:rsid w:val="00D03CF2"/>
    <w:rsid w:val="00D04122"/>
    <w:rsid w:val="00D04125"/>
    <w:rsid w:val="00D127C1"/>
    <w:rsid w:val="00D138F8"/>
    <w:rsid w:val="00D15EC4"/>
    <w:rsid w:val="00D160A0"/>
    <w:rsid w:val="00D216F7"/>
    <w:rsid w:val="00D22B05"/>
    <w:rsid w:val="00D24D7B"/>
    <w:rsid w:val="00D26E10"/>
    <w:rsid w:val="00D27DF2"/>
    <w:rsid w:val="00D318B7"/>
    <w:rsid w:val="00D3209F"/>
    <w:rsid w:val="00D3266C"/>
    <w:rsid w:val="00D33079"/>
    <w:rsid w:val="00D36CD7"/>
    <w:rsid w:val="00D36FC9"/>
    <w:rsid w:val="00D4628F"/>
    <w:rsid w:val="00D5153C"/>
    <w:rsid w:val="00D51B19"/>
    <w:rsid w:val="00D53361"/>
    <w:rsid w:val="00D53B1A"/>
    <w:rsid w:val="00D55671"/>
    <w:rsid w:val="00D557B2"/>
    <w:rsid w:val="00D56C78"/>
    <w:rsid w:val="00D63BE7"/>
    <w:rsid w:val="00D716DA"/>
    <w:rsid w:val="00D832EB"/>
    <w:rsid w:val="00D83518"/>
    <w:rsid w:val="00D85002"/>
    <w:rsid w:val="00D8537B"/>
    <w:rsid w:val="00D86F0D"/>
    <w:rsid w:val="00D877F3"/>
    <w:rsid w:val="00D9122C"/>
    <w:rsid w:val="00D9400F"/>
    <w:rsid w:val="00D95828"/>
    <w:rsid w:val="00D96CAC"/>
    <w:rsid w:val="00D97EC9"/>
    <w:rsid w:val="00DA33FD"/>
    <w:rsid w:val="00DA5789"/>
    <w:rsid w:val="00DB029F"/>
    <w:rsid w:val="00DB0F41"/>
    <w:rsid w:val="00DB1104"/>
    <w:rsid w:val="00DB3189"/>
    <w:rsid w:val="00DB3854"/>
    <w:rsid w:val="00DB64CD"/>
    <w:rsid w:val="00DB68EA"/>
    <w:rsid w:val="00DC0546"/>
    <w:rsid w:val="00DC346E"/>
    <w:rsid w:val="00DC3DC9"/>
    <w:rsid w:val="00DC6D6D"/>
    <w:rsid w:val="00DD05D6"/>
    <w:rsid w:val="00DD0805"/>
    <w:rsid w:val="00DD12A3"/>
    <w:rsid w:val="00DE2486"/>
    <w:rsid w:val="00DE680F"/>
    <w:rsid w:val="00DE799C"/>
    <w:rsid w:val="00DF1C23"/>
    <w:rsid w:val="00DF1F7E"/>
    <w:rsid w:val="00DF1FA9"/>
    <w:rsid w:val="00DF2845"/>
    <w:rsid w:val="00DF5F32"/>
    <w:rsid w:val="00E0091A"/>
    <w:rsid w:val="00E01818"/>
    <w:rsid w:val="00E02D15"/>
    <w:rsid w:val="00E11204"/>
    <w:rsid w:val="00E26E9B"/>
    <w:rsid w:val="00E30085"/>
    <w:rsid w:val="00E303E7"/>
    <w:rsid w:val="00E31185"/>
    <w:rsid w:val="00E31C26"/>
    <w:rsid w:val="00E33009"/>
    <w:rsid w:val="00E35628"/>
    <w:rsid w:val="00E36503"/>
    <w:rsid w:val="00E42D90"/>
    <w:rsid w:val="00E43F9B"/>
    <w:rsid w:val="00E50093"/>
    <w:rsid w:val="00E52517"/>
    <w:rsid w:val="00E52F14"/>
    <w:rsid w:val="00E56319"/>
    <w:rsid w:val="00E572C9"/>
    <w:rsid w:val="00E57372"/>
    <w:rsid w:val="00E60BF8"/>
    <w:rsid w:val="00E61CD7"/>
    <w:rsid w:val="00E62321"/>
    <w:rsid w:val="00E636B5"/>
    <w:rsid w:val="00E6633C"/>
    <w:rsid w:val="00E71286"/>
    <w:rsid w:val="00E72719"/>
    <w:rsid w:val="00E76263"/>
    <w:rsid w:val="00E8263E"/>
    <w:rsid w:val="00E83003"/>
    <w:rsid w:val="00E8529B"/>
    <w:rsid w:val="00E968F2"/>
    <w:rsid w:val="00EA11DB"/>
    <w:rsid w:val="00EA17EB"/>
    <w:rsid w:val="00EA249F"/>
    <w:rsid w:val="00EC321F"/>
    <w:rsid w:val="00EC4A98"/>
    <w:rsid w:val="00EC60F1"/>
    <w:rsid w:val="00EC6B91"/>
    <w:rsid w:val="00ED3575"/>
    <w:rsid w:val="00ED4A2A"/>
    <w:rsid w:val="00EE1096"/>
    <w:rsid w:val="00EE2278"/>
    <w:rsid w:val="00EE3404"/>
    <w:rsid w:val="00EE407D"/>
    <w:rsid w:val="00EF23FC"/>
    <w:rsid w:val="00EF3D09"/>
    <w:rsid w:val="00EF536D"/>
    <w:rsid w:val="00EF64BE"/>
    <w:rsid w:val="00EF6874"/>
    <w:rsid w:val="00F05E39"/>
    <w:rsid w:val="00F07CD0"/>
    <w:rsid w:val="00F11582"/>
    <w:rsid w:val="00F122F9"/>
    <w:rsid w:val="00F12EF8"/>
    <w:rsid w:val="00F1355F"/>
    <w:rsid w:val="00F1498A"/>
    <w:rsid w:val="00F236F4"/>
    <w:rsid w:val="00F2457F"/>
    <w:rsid w:val="00F25417"/>
    <w:rsid w:val="00F27137"/>
    <w:rsid w:val="00F315C4"/>
    <w:rsid w:val="00F34AF3"/>
    <w:rsid w:val="00F35B52"/>
    <w:rsid w:val="00F3654E"/>
    <w:rsid w:val="00F36B76"/>
    <w:rsid w:val="00F37BCF"/>
    <w:rsid w:val="00F42059"/>
    <w:rsid w:val="00F424CC"/>
    <w:rsid w:val="00F5054D"/>
    <w:rsid w:val="00F506FE"/>
    <w:rsid w:val="00F55A53"/>
    <w:rsid w:val="00F62D9A"/>
    <w:rsid w:val="00F66214"/>
    <w:rsid w:val="00F67711"/>
    <w:rsid w:val="00F70677"/>
    <w:rsid w:val="00F71D8B"/>
    <w:rsid w:val="00F73385"/>
    <w:rsid w:val="00F763D2"/>
    <w:rsid w:val="00F772BF"/>
    <w:rsid w:val="00F80A7A"/>
    <w:rsid w:val="00F8213A"/>
    <w:rsid w:val="00F8482A"/>
    <w:rsid w:val="00F93018"/>
    <w:rsid w:val="00F95C4E"/>
    <w:rsid w:val="00FA0A11"/>
    <w:rsid w:val="00FA23D4"/>
    <w:rsid w:val="00FA27BC"/>
    <w:rsid w:val="00FA2BD1"/>
    <w:rsid w:val="00FA4857"/>
    <w:rsid w:val="00FB0DBE"/>
    <w:rsid w:val="00FB2B94"/>
    <w:rsid w:val="00FB50A1"/>
    <w:rsid w:val="00FC63E0"/>
    <w:rsid w:val="00FD3ABC"/>
    <w:rsid w:val="00FD58D0"/>
    <w:rsid w:val="00FD5A20"/>
    <w:rsid w:val="00FD6516"/>
    <w:rsid w:val="00FE1F8C"/>
    <w:rsid w:val="00FE2FBE"/>
    <w:rsid w:val="00FE7DE5"/>
    <w:rsid w:val="00FF098F"/>
    <w:rsid w:val="00FF4929"/>
    <w:rsid w:val="00FF5450"/>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15:docId w15:val="{03C0565B-D043-4A3E-8F43-394CEB374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3EBF"/>
    <w:pPr>
      <w:spacing w:after="120"/>
      <w:jc w:val="both"/>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6A32CD"/>
    <w:rPr>
      <w:rFonts w:cs="Times New Roman"/>
    </w:rPr>
  </w:style>
  <w:style w:type="paragraph" w:customStyle="1" w:styleId="labojumupamats">
    <w:name w:val="labojumu_pamats"/>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character" w:styleId="Hyperlink">
    <w:name w:val="Hyperlink"/>
    <w:basedOn w:val="DefaultParagraphFont"/>
    <w:uiPriority w:val="99"/>
    <w:rsid w:val="006A32CD"/>
    <w:rPr>
      <w:rFonts w:cs="Times New Roman"/>
      <w:color w:val="0000FF"/>
      <w:u w:val="single"/>
    </w:rPr>
  </w:style>
  <w:style w:type="paragraph" w:customStyle="1" w:styleId="tvhtml">
    <w:name w:val="tv_html"/>
    <w:basedOn w:val="Normal"/>
    <w:uiPriority w:val="99"/>
    <w:rsid w:val="006A32CD"/>
    <w:pPr>
      <w:spacing w:before="100" w:beforeAutospacing="1" w:after="100" w:afterAutospacing="1"/>
      <w:jc w:val="left"/>
    </w:pPr>
    <w:rPr>
      <w:rFonts w:ascii="Times New Roman" w:eastAsia="Times New Roman" w:hAnsi="Times New Roman"/>
      <w:sz w:val="24"/>
      <w:szCs w:val="24"/>
      <w:lang w:eastAsia="lv-LV"/>
    </w:rPr>
  </w:style>
  <w:style w:type="paragraph" w:customStyle="1" w:styleId="naiskr">
    <w:name w:val="naiskr"/>
    <w:basedOn w:val="Normal"/>
    <w:uiPriority w:val="99"/>
    <w:rsid w:val="00E57372"/>
    <w:pPr>
      <w:spacing w:before="75" w:after="75"/>
      <w:jc w:val="left"/>
    </w:pPr>
    <w:rPr>
      <w:rFonts w:ascii="Times New Roman" w:eastAsia="Times New Roman" w:hAnsi="Times New Roman"/>
      <w:sz w:val="24"/>
      <w:szCs w:val="24"/>
      <w:lang w:eastAsia="lv-LV"/>
    </w:rPr>
  </w:style>
  <w:style w:type="character" w:customStyle="1" w:styleId="apple-style-span">
    <w:name w:val="apple-style-span"/>
    <w:uiPriority w:val="99"/>
    <w:rsid w:val="00E57372"/>
  </w:style>
  <w:style w:type="paragraph" w:styleId="BodyTextIndent2">
    <w:name w:val="Body Text Indent 2"/>
    <w:basedOn w:val="Normal"/>
    <w:link w:val="BodyTextIndent2Char"/>
    <w:uiPriority w:val="99"/>
    <w:rsid w:val="00E57372"/>
    <w:pPr>
      <w:spacing w:line="480" w:lineRule="auto"/>
      <w:ind w:left="283"/>
      <w:jc w:val="left"/>
    </w:pPr>
    <w:rPr>
      <w:rFonts w:ascii="Times New Roman" w:eastAsia="Times New Roman" w:hAnsi="Times New Roman"/>
      <w:sz w:val="24"/>
      <w:szCs w:val="24"/>
      <w:lang w:eastAsia="lv-LV"/>
    </w:rPr>
  </w:style>
  <w:style w:type="character" w:customStyle="1" w:styleId="BodyTextIndent2Char">
    <w:name w:val="Body Text Indent 2 Char"/>
    <w:basedOn w:val="DefaultParagraphFont"/>
    <w:link w:val="BodyTextIndent2"/>
    <w:uiPriority w:val="99"/>
    <w:locked/>
    <w:rsid w:val="00E57372"/>
    <w:rPr>
      <w:rFonts w:ascii="Times New Roman" w:hAnsi="Times New Roman" w:cs="Times New Roman"/>
      <w:sz w:val="24"/>
      <w:szCs w:val="24"/>
      <w:lang w:eastAsia="lv-LV"/>
    </w:rPr>
  </w:style>
  <w:style w:type="paragraph" w:customStyle="1" w:styleId="naisf">
    <w:name w:val="naisf"/>
    <w:basedOn w:val="Normal"/>
    <w:uiPriority w:val="99"/>
    <w:rsid w:val="00E57372"/>
    <w:pPr>
      <w:spacing w:before="75" w:after="75"/>
      <w:ind w:firstLine="375"/>
    </w:pPr>
    <w:rPr>
      <w:rFonts w:ascii="Times New Roman" w:eastAsia="Times New Roman" w:hAnsi="Times New Roman"/>
      <w:sz w:val="24"/>
      <w:szCs w:val="24"/>
      <w:lang w:eastAsia="lv-LV"/>
    </w:rPr>
  </w:style>
  <w:style w:type="paragraph" w:styleId="Header">
    <w:name w:val="header"/>
    <w:basedOn w:val="Normal"/>
    <w:link w:val="Head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HeaderChar">
    <w:name w:val="Header Char"/>
    <w:basedOn w:val="DefaultParagraphFont"/>
    <w:link w:val="Header"/>
    <w:uiPriority w:val="99"/>
    <w:locked/>
    <w:rsid w:val="00E57372"/>
    <w:rPr>
      <w:rFonts w:ascii="Times New Roman" w:hAnsi="Times New Roman" w:cs="Times New Roman"/>
      <w:sz w:val="24"/>
      <w:szCs w:val="24"/>
      <w:lang w:eastAsia="lv-LV"/>
    </w:rPr>
  </w:style>
  <w:style w:type="character" w:styleId="PageNumber">
    <w:name w:val="page number"/>
    <w:basedOn w:val="DefaultParagraphFont"/>
    <w:uiPriority w:val="99"/>
    <w:rsid w:val="00E57372"/>
    <w:rPr>
      <w:rFonts w:cs="Times New Roman"/>
    </w:rPr>
  </w:style>
  <w:style w:type="paragraph" w:customStyle="1" w:styleId="naisnod">
    <w:name w:val="naisnod"/>
    <w:basedOn w:val="Normal"/>
    <w:uiPriority w:val="99"/>
    <w:rsid w:val="00E57372"/>
    <w:pPr>
      <w:spacing w:before="150" w:after="150"/>
      <w:jc w:val="center"/>
    </w:pPr>
    <w:rPr>
      <w:rFonts w:ascii="Times New Roman" w:eastAsia="Times New Roman" w:hAnsi="Times New Roman"/>
      <w:b/>
      <w:bCs/>
      <w:sz w:val="24"/>
      <w:szCs w:val="24"/>
      <w:lang w:eastAsia="lv-LV"/>
    </w:rPr>
  </w:style>
  <w:style w:type="paragraph" w:customStyle="1" w:styleId="naislab">
    <w:name w:val="naislab"/>
    <w:basedOn w:val="Normal"/>
    <w:uiPriority w:val="99"/>
    <w:rsid w:val="00E57372"/>
    <w:pPr>
      <w:spacing w:before="75" w:after="75"/>
      <w:jc w:val="right"/>
    </w:pPr>
    <w:rPr>
      <w:rFonts w:ascii="Times New Roman" w:eastAsia="Times New Roman" w:hAnsi="Times New Roman"/>
      <w:sz w:val="24"/>
      <w:szCs w:val="24"/>
      <w:lang w:eastAsia="lv-LV"/>
    </w:rPr>
  </w:style>
  <w:style w:type="paragraph" w:customStyle="1" w:styleId="naisc">
    <w:name w:val="naisc"/>
    <w:basedOn w:val="Normal"/>
    <w:uiPriority w:val="99"/>
    <w:rsid w:val="00E57372"/>
    <w:pPr>
      <w:spacing w:before="75" w:after="75"/>
      <w:jc w:val="center"/>
    </w:pPr>
    <w:rPr>
      <w:rFonts w:ascii="Times New Roman" w:eastAsia="Times New Roman" w:hAnsi="Times New Roman"/>
      <w:sz w:val="24"/>
      <w:szCs w:val="24"/>
      <w:lang w:eastAsia="lv-LV"/>
    </w:rPr>
  </w:style>
  <w:style w:type="character" w:customStyle="1" w:styleId="th1">
    <w:name w:val="th1"/>
    <w:basedOn w:val="DefaultParagraphFont"/>
    <w:uiPriority w:val="99"/>
    <w:rsid w:val="00E57372"/>
    <w:rPr>
      <w:rFonts w:cs="Times New Roman"/>
      <w:b/>
      <w:bCs/>
      <w:color w:val="333333"/>
    </w:rPr>
  </w:style>
  <w:style w:type="character" w:styleId="CommentReference">
    <w:name w:val="annotation reference"/>
    <w:basedOn w:val="DefaultParagraphFont"/>
    <w:uiPriority w:val="99"/>
    <w:semiHidden/>
    <w:rsid w:val="00E57372"/>
    <w:rPr>
      <w:rFonts w:cs="Times New Roman"/>
      <w:sz w:val="16"/>
      <w:szCs w:val="16"/>
    </w:rPr>
  </w:style>
  <w:style w:type="paragraph" w:styleId="CommentText">
    <w:name w:val="annotation text"/>
    <w:basedOn w:val="Normal"/>
    <w:link w:val="CommentTextChar"/>
    <w:uiPriority w:val="99"/>
    <w:semiHidden/>
    <w:rsid w:val="00E57372"/>
    <w:pPr>
      <w:spacing w:after="0"/>
      <w:jc w:val="left"/>
    </w:pPr>
    <w:rPr>
      <w:rFonts w:ascii="Times New Roman" w:eastAsia="Times New Roman" w:hAnsi="Times New Roman"/>
      <w:sz w:val="20"/>
      <w:szCs w:val="20"/>
      <w:lang w:eastAsia="lv-LV"/>
    </w:rPr>
  </w:style>
  <w:style w:type="character" w:customStyle="1" w:styleId="CommentTextChar">
    <w:name w:val="Comment Text Char"/>
    <w:basedOn w:val="DefaultParagraphFont"/>
    <w:link w:val="CommentText"/>
    <w:uiPriority w:val="99"/>
    <w:semiHidden/>
    <w:locked/>
    <w:rsid w:val="00E57372"/>
    <w:rPr>
      <w:rFonts w:ascii="Times New Roman" w:hAnsi="Times New Roman" w:cs="Times New Roman"/>
      <w:sz w:val="20"/>
      <w:szCs w:val="20"/>
      <w:lang w:eastAsia="lv-LV"/>
    </w:rPr>
  </w:style>
  <w:style w:type="paragraph" w:styleId="BalloonText">
    <w:name w:val="Balloon Text"/>
    <w:basedOn w:val="Normal"/>
    <w:link w:val="BalloonTextChar"/>
    <w:uiPriority w:val="99"/>
    <w:semiHidden/>
    <w:rsid w:val="00BE3EBF"/>
    <w:pPr>
      <w:spacing w:after="0"/>
      <w:jc w:val="left"/>
    </w:pPr>
    <w:rPr>
      <w:rFonts w:ascii="Tahoma" w:eastAsia="Times New Roman" w:hAnsi="Tahoma" w:cs="Tahoma"/>
      <w:szCs w:val="16"/>
      <w:lang w:eastAsia="lv-LV"/>
    </w:rPr>
  </w:style>
  <w:style w:type="character" w:customStyle="1" w:styleId="BalloonTextChar">
    <w:name w:val="Balloon Text Char"/>
    <w:basedOn w:val="DefaultParagraphFont"/>
    <w:link w:val="BalloonText"/>
    <w:uiPriority w:val="99"/>
    <w:semiHidden/>
    <w:locked/>
    <w:rsid w:val="00BE3EBF"/>
    <w:rPr>
      <w:rFonts w:ascii="Tahoma" w:eastAsia="Times New Roman" w:hAnsi="Tahoma" w:cs="Tahoma"/>
      <w:szCs w:val="16"/>
    </w:rPr>
  </w:style>
  <w:style w:type="table" w:styleId="TableGrid">
    <w:name w:val="Table Grid"/>
    <w:basedOn w:val="TableNormal"/>
    <w:uiPriority w:val="99"/>
    <w:rsid w:val="00E5737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qFormat/>
    <w:rsid w:val="00E57372"/>
    <w:pPr>
      <w:spacing w:after="0"/>
      <w:jc w:val="left"/>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locked/>
    <w:rsid w:val="00E57372"/>
    <w:rPr>
      <w:rFonts w:ascii="Times New Roman" w:hAnsi="Times New Roman" w:cs="Times New Roman"/>
      <w:sz w:val="20"/>
      <w:szCs w:val="20"/>
      <w:lang w:eastAsia="lv-LV"/>
    </w:rPr>
  </w:style>
  <w:style w:type="character" w:styleId="FootnoteReference">
    <w:name w:val="footnote reference"/>
    <w:basedOn w:val="DefaultParagraphFont"/>
    <w:link w:val="FootnoteRefernece"/>
    <w:uiPriority w:val="99"/>
    <w:qFormat/>
    <w:rsid w:val="00E57372"/>
    <w:rPr>
      <w:rFonts w:cs="Times New Roman"/>
      <w:vertAlign w:val="superscript"/>
    </w:rPr>
  </w:style>
  <w:style w:type="paragraph" w:styleId="CommentSubject">
    <w:name w:val="annotation subject"/>
    <w:basedOn w:val="CommentText"/>
    <w:next w:val="CommentText"/>
    <w:link w:val="CommentSubjectChar"/>
    <w:uiPriority w:val="99"/>
    <w:semiHidden/>
    <w:rsid w:val="00E57372"/>
    <w:rPr>
      <w:b/>
      <w:bCs/>
    </w:rPr>
  </w:style>
  <w:style w:type="character" w:customStyle="1" w:styleId="CommentSubjectChar">
    <w:name w:val="Comment Subject Char"/>
    <w:basedOn w:val="CommentTextChar"/>
    <w:link w:val="CommentSubject"/>
    <w:uiPriority w:val="99"/>
    <w:semiHidden/>
    <w:locked/>
    <w:rsid w:val="00E57372"/>
    <w:rPr>
      <w:rFonts w:ascii="Times New Roman" w:hAnsi="Times New Roman" w:cs="Times New Roman"/>
      <w:b/>
      <w:bCs/>
      <w:sz w:val="20"/>
      <w:szCs w:val="20"/>
      <w:lang w:eastAsia="lv-LV"/>
    </w:rPr>
  </w:style>
  <w:style w:type="paragraph" w:styleId="Footer">
    <w:name w:val="footer"/>
    <w:basedOn w:val="Normal"/>
    <w:link w:val="FooterChar"/>
    <w:uiPriority w:val="99"/>
    <w:rsid w:val="00E57372"/>
    <w:pPr>
      <w:tabs>
        <w:tab w:val="center" w:pos="4153"/>
        <w:tab w:val="right" w:pos="8306"/>
      </w:tabs>
      <w:spacing w:after="0"/>
      <w:jc w:val="left"/>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locked/>
    <w:rsid w:val="00E57372"/>
    <w:rPr>
      <w:rFonts w:ascii="Times New Roman" w:hAnsi="Times New Roman" w:cs="Times New Roman"/>
      <w:sz w:val="24"/>
      <w:szCs w:val="24"/>
      <w:lang w:eastAsia="lv-LV"/>
    </w:rPr>
  </w:style>
  <w:style w:type="paragraph" w:styleId="DocumentMap">
    <w:name w:val="Document Map"/>
    <w:basedOn w:val="Normal"/>
    <w:link w:val="DocumentMapChar"/>
    <w:uiPriority w:val="99"/>
    <w:semiHidden/>
    <w:rsid w:val="00E57372"/>
    <w:pPr>
      <w:shd w:val="clear" w:color="auto" w:fill="000080"/>
      <w:spacing w:after="0"/>
      <w:jc w:val="left"/>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locked/>
    <w:rsid w:val="00E57372"/>
    <w:rPr>
      <w:rFonts w:ascii="Tahoma" w:hAnsi="Tahoma" w:cs="Tahoma"/>
      <w:sz w:val="20"/>
      <w:szCs w:val="20"/>
      <w:shd w:val="clear" w:color="auto" w:fill="000080"/>
      <w:lang w:eastAsia="lv-LV"/>
    </w:rPr>
  </w:style>
  <w:style w:type="paragraph" w:styleId="ListParagraph">
    <w:name w:val="List Paragraph"/>
    <w:basedOn w:val="Normal"/>
    <w:link w:val="ListParagraphChar"/>
    <w:uiPriority w:val="34"/>
    <w:qFormat/>
    <w:rsid w:val="00E57372"/>
    <w:pPr>
      <w:ind w:left="720" w:firstLine="720"/>
      <w:contextualSpacing/>
    </w:pPr>
    <w:rPr>
      <w:rFonts w:ascii="Times New Roman" w:eastAsia="Times New Roman" w:hAnsi="Times New Roman"/>
      <w:sz w:val="28"/>
      <w:szCs w:val="20"/>
    </w:rPr>
  </w:style>
  <w:style w:type="paragraph" w:styleId="BodyText2">
    <w:name w:val="Body Text 2"/>
    <w:basedOn w:val="Normal"/>
    <w:link w:val="BodyText2Char"/>
    <w:uiPriority w:val="99"/>
    <w:rsid w:val="00E57372"/>
    <w:pPr>
      <w:widowControl w:val="0"/>
      <w:adjustRightInd w:val="0"/>
      <w:spacing w:after="0" w:line="360" w:lineRule="atLeast"/>
      <w:jc w:val="center"/>
      <w:textAlignment w:val="baseline"/>
    </w:pPr>
    <w:rPr>
      <w:rFonts w:ascii="Times New Roman" w:eastAsia="Times New Roman" w:hAnsi="Times New Roman"/>
      <w:b/>
      <w:bCs/>
      <w:sz w:val="28"/>
      <w:szCs w:val="28"/>
    </w:rPr>
  </w:style>
  <w:style w:type="character" w:customStyle="1" w:styleId="BodyText2Char">
    <w:name w:val="Body Text 2 Char"/>
    <w:basedOn w:val="DefaultParagraphFont"/>
    <w:link w:val="BodyText2"/>
    <w:uiPriority w:val="99"/>
    <w:locked/>
    <w:rsid w:val="00E57372"/>
    <w:rPr>
      <w:rFonts w:ascii="Times New Roman" w:hAnsi="Times New Roman" w:cs="Times New Roman"/>
      <w:b/>
      <w:bCs/>
      <w:sz w:val="28"/>
      <w:szCs w:val="28"/>
    </w:rPr>
  </w:style>
  <w:style w:type="paragraph" w:customStyle="1" w:styleId="Default">
    <w:name w:val="Default"/>
    <w:uiPriority w:val="99"/>
    <w:rsid w:val="00E57372"/>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E573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locked/>
    <w:rsid w:val="00E57372"/>
    <w:rPr>
      <w:rFonts w:ascii="Courier New" w:hAnsi="Courier New" w:cs="Courier New"/>
      <w:sz w:val="20"/>
      <w:szCs w:val="20"/>
      <w:lang w:eastAsia="lv-LV"/>
    </w:rPr>
  </w:style>
  <w:style w:type="paragraph" w:styleId="BodyTextIndent">
    <w:name w:val="Body Text Indent"/>
    <w:basedOn w:val="Normal"/>
    <w:link w:val="BodyTextIndentChar"/>
    <w:uiPriority w:val="99"/>
    <w:rsid w:val="00E57372"/>
    <w:pPr>
      <w:ind w:left="283"/>
      <w:jc w:val="left"/>
    </w:pPr>
    <w:rPr>
      <w:rFonts w:ascii="Times New Roman" w:eastAsia="Times New Roman" w:hAnsi="Times New Roman"/>
      <w:sz w:val="24"/>
      <w:szCs w:val="24"/>
      <w:lang w:eastAsia="lv-LV"/>
    </w:rPr>
  </w:style>
  <w:style w:type="character" w:customStyle="1" w:styleId="BodyTextIndentChar">
    <w:name w:val="Body Text Indent Char"/>
    <w:basedOn w:val="DefaultParagraphFont"/>
    <w:link w:val="BodyTextIndent"/>
    <w:uiPriority w:val="99"/>
    <w:locked/>
    <w:rsid w:val="00E57372"/>
    <w:rPr>
      <w:rFonts w:ascii="Times New Roman" w:hAnsi="Times New Roman" w:cs="Times New Roman"/>
      <w:sz w:val="24"/>
      <w:szCs w:val="24"/>
      <w:lang w:eastAsia="lv-LV"/>
    </w:rPr>
  </w:style>
  <w:style w:type="paragraph" w:customStyle="1" w:styleId="tvhtmlmktable">
    <w:name w:val="tv_html mk_table"/>
    <w:basedOn w:val="Normal"/>
    <w:uiPriority w:val="99"/>
    <w:rsid w:val="00E57372"/>
    <w:pPr>
      <w:spacing w:before="100" w:beforeAutospacing="1" w:after="100" w:afterAutospacing="1"/>
      <w:jc w:val="left"/>
    </w:pPr>
    <w:rPr>
      <w:rFonts w:ascii="Verdana" w:eastAsia="Times New Roman" w:hAnsi="Verdana"/>
      <w:sz w:val="12"/>
      <w:szCs w:val="12"/>
      <w:lang w:eastAsia="lv-LV"/>
    </w:rPr>
  </w:style>
  <w:style w:type="paragraph" w:styleId="Revision">
    <w:name w:val="Revision"/>
    <w:hidden/>
    <w:uiPriority w:val="99"/>
    <w:semiHidden/>
    <w:rsid w:val="00E57372"/>
    <w:rPr>
      <w:rFonts w:ascii="Times New Roman" w:eastAsia="Times New Roman" w:hAnsi="Times New Roman"/>
      <w:sz w:val="24"/>
      <w:szCs w:val="24"/>
    </w:rPr>
  </w:style>
  <w:style w:type="paragraph" w:customStyle="1" w:styleId="b">
    <w:name w:val="b"/>
    <w:basedOn w:val="Normal"/>
    <w:uiPriority w:val="99"/>
    <w:rsid w:val="00E57372"/>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h2">
    <w:name w:val="h2"/>
    <w:basedOn w:val="Normal"/>
    <w:uiPriority w:val="99"/>
    <w:rsid w:val="00DB68EA"/>
    <w:pPr>
      <w:spacing w:before="100" w:beforeAutospacing="1" w:after="100" w:afterAutospacing="1"/>
      <w:jc w:val="left"/>
    </w:pPr>
    <w:rPr>
      <w:rFonts w:ascii="Times New Roman" w:eastAsia="Times New Roman" w:hAnsi="Times New Roman"/>
      <w:color w:val="306060"/>
      <w:sz w:val="24"/>
      <w:szCs w:val="24"/>
      <w:lang w:eastAsia="lv-LV"/>
    </w:rPr>
  </w:style>
  <w:style w:type="paragraph" w:customStyle="1" w:styleId="bdc">
    <w:name w:val="bdc"/>
    <w:basedOn w:val="Normal"/>
    <w:uiPriority w:val="99"/>
    <w:rsid w:val="00912060"/>
    <w:pPr>
      <w:spacing w:before="100" w:beforeAutospacing="1" w:after="100" w:afterAutospacing="1"/>
      <w:jc w:val="left"/>
    </w:pPr>
    <w:rPr>
      <w:rFonts w:ascii="Times New Roman" w:eastAsia="Times New Roman" w:hAnsi="Times New Roman"/>
      <w:b/>
      <w:bCs/>
      <w:sz w:val="24"/>
      <w:szCs w:val="24"/>
      <w:lang w:eastAsia="lv-LV"/>
    </w:rPr>
  </w:style>
  <w:style w:type="character" w:styleId="Strong">
    <w:name w:val="Strong"/>
    <w:uiPriority w:val="22"/>
    <w:qFormat/>
    <w:locked/>
    <w:rsid w:val="00AA78FF"/>
    <w:rPr>
      <w:b/>
      <w:bCs/>
    </w:rPr>
  </w:style>
  <w:style w:type="character" w:styleId="PlaceholderText">
    <w:name w:val="Placeholder Text"/>
    <w:basedOn w:val="DefaultParagraphFont"/>
    <w:uiPriority w:val="99"/>
    <w:semiHidden/>
    <w:rsid w:val="00167E1C"/>
    <w:rPr>
      <w:color w:val="808080"/>
    </w:rPr>
  </w:style>
  <w:style w:type="paragraph" w:customStyle="1" w:styleId="FootnoteRefernece">
    <w:name w:val="Footnote Refernece"/>
    <w:aliases w:val="-E Fußnotenzeichen,E,E FNZ,Footnotes refss,Odwołanie przypisu,Ref,de nota al pie,ftref"/>
    <w:basedOn w:val="Normal"/>
    <w:next w:val="Normal"/>
    <w:link w:val="FootnoteReference"/>
    <w:uiPriority w:val="99"/>
    <w:rsid w:val="00C16C56"/>
    <w:pPr>
      <w:spacing w:after="160" w:line="240" w:lineRule="exact"/>
      <w:textAlignment w:val="baseline"/>
    </w:pPr>
    <w:rPr>
      <w:vertAlign w:val="superscript"/>
      <w:lang w:eastAsia="lv-LV"/>
    </w:rPr>
  </w:style>
  <w:style w:type="character" w:customStyle="1" w:styleId="NormalIPChar">
    <w:name w:val="Normal _IP Char"/>
    <w:basedOn w:val="DefaultParagraphFont"/>
    <w:link w:val="NormalIP"/>
    <w:uiPriority w:val="99"/>
    <w:locked/>
    <w:rsid w:val="004B2CB9"/>
  </w:style>
  <w:style w:type="paragraph" w:customStyle="1" w:styleId="NormalIP">
    <w:name w:val="Normal _IP"/>
    <w:basedOn w:val="Normal"/>
    <w:link w:val="NormalIPChar"/>
    <w:uiPriority w:val="99"/>
    <w:rsid w:val="004B2CB9"/>
    <w:pPr>
      <w:spacing w:before="80" w:after="80"/>
    </w:pPr>
    <w:rPr>
      <w:lang w:eastAsia="lv-LV"/>
    </w:rPr>
  </w:style>
  <w:style w:type="character" w:customStyle="1" w:styleId="ListParagraphChar">
    <w:name w:val="List Paragraph Char"/>
    <w:link w:val="ListParagraph"/>
    <w:uiPriority w:val="34"/>
    <w:locked/>
    <w:rsid w:val="0012446F"/>
    <w:rPr>
      <w:rFonts w:ascii="Times New Roman" w:eastAsia="Times New Roman" w:hAnsi="Times New Roman"/>
      <w:sz w:val="28"/>
      <w:szCs w:val="20"/>
      <w:lang w:eastAsia="en-US"/>
    </w:rPr>
  </w:style>
  <w:style w:type="paragraph" w:customStyle="1" w:styleId="tv2161">
    <w:name w:val="tv2161"/>
    <w:basedOn w:val="Normal"/>
    <w:rsid w:val="00E26E9B"/>
    <w:pPr>
      <w:spacing w:before="240" w:after="0" w:line="360" w:lineRule="auto"/>
      <w:ind w:firstLine="259"/>
      <w:jc w:val="right"/>
    </w:pPr>
    <w:rPr>
      <w:rFonts w:ascii="Verdana" w:eastAsia="Times New Roman"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6A56B-8CD8-49B5-BA3B-C4786BE49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2798</Words>
  <Characters>15949</Characters>
  <Application>Microsoft Office Word</Application>
  <DocSecurity>0</DocSecurity>
  <Lines>132</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 Ministru kabineta noteikumu projektam „Grozījumi Ministru kabineta 2013. gada 9. jūlija noteikumos Nr. 366 „Noteikumi par aviācijas darbību dalību Eiropas Savienības emisijas kvotu tirdzniecības sistēmā""</vt:lpstr>
      <vt:lpstr>Anotācija Ministru kabineta noteikumu projektam „Grozījumi Ministru kabineta 2013. gada 9. jūlija noteikumos Nr. 366 „Noteikumi par aviācijas darbību dalību Eiropas Savienības emisijas kvotu tirdzniecības sistēmā""</vt:lpstr>
    </vt:vector>
  </TitlesOfParts>
  <Manager>Helena.Rimsa@varam.gov.lv</Manager>
  <Company>Vides aizsardzības un reģionālās attīstības ministrija</Company>
  <LinksUpToDate>false</LinksUpToDate>
  <CharactersWithSpaces>18710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 Ministru kabineta noteikumu projektam „Grozījumi Ministru kabineta 2013. gada 9. jūlija noteikumos Nr. 366 „Noteikumi par aviācijas darbību dalību Eiropas Savienības emisijas kvotu tirdzniecības sistēmā""</dc:title>
  <dc:subject>Anotācija Ministru kabineta noteikumu projektam</dc:subject>
  <dc:creator>Helena Rimsa</dc:creator>
  <cp:lastModifiedBy>Marta Ošleja</cp:lastModifiedBy>
  <cp:revision>14</cp:revision>
  <cp:lastPrinted>2016-02-11T13:52:00Z</cp:lastPrinted>
  <dcterms:created xsi:type="dcterms:W3CDTF">2018-02-07T09:11:00Z</dcterms:created>
  <dcterms:modified xsi:type="dcterms:W3CDTF">2018-02-15T10:43:00Z</dcterms:modified>
  <cp:category>Vides politika</cp:category>
</cp:coreProperties>
</file>