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C5883" w:rsidRPr="00BC49E1" w:rsidP="00FF49D0">
      <w:pPr>
        <w:jc w:val="center"/>
        <w:rPr>
          <w:rFonts w:ascii="Times New Roman" w:hAnsi="Times New Roman"/>
          <w:b/>
          <w:sz w:val="24"/>
        </w:rPr>
      </w:pPr>
      <w:bookmarkStart w:id="0" w:name="_Toc342987599"/>
      <w:r w:rsidRPr="00BC49E1">
        <w:rPr>
          <w:rFonts w:ascii="Times New Roman" w:hAnsi="Times New Roman"/>
          <w:b/>
          <w:sz w:val="24"/>
        </w:rPr>
        <w:t>Politikas rezultāti un  to sasniegšanas rādītāji</w:t>
      </w:r>
      <w:bookmarkEnd w:id="0"/>
    </w:p>
    <w:p w:rsidR="00F17AEF" w:rsidRPr="00BC49E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1304"/>
        <w:gridCol w:w="1276"/>
        <w:gridCol w:w="1701"/>
        <w:gridCol w:w="1559"/>
        <w:gridCol w:w="1389"/>
        <w:gridCol w:w="1305"/>
      </w:tblGrid>
      <w:tr w:rsidTr="00F17AEF">
        <w:tblPrEx>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943" w:type="dxa"/>
            <w:shd w:val="clear" w:color="auto" w:fill="BFBFBF"/>
            <w:vAlign w:val="center"/>
          </w:tcPr>
          <w:p w:rsidR="00F17AEF" w:rsidRPr="00BC49E1" w:rsidP="006968BF">
            <w:pPr>
              <w:spacing w:after="0" w:line="240" w:lineRule="auto"/>
              <w:jc w:val="center"/>
              <w:rPr>
                <w:rFonts w:ascii="Times New Roman" w:hAnsi="Times New Roman"/>
                <w:sz w:val="20"/>
                <w:szCs w:val="20"/>
              </w:rPr>
            </w:pPr>
            <w:r w:rsidRPr="00BC49E1">
              <w:rPr>
                <w:rFonts w:ascii="Times New Roman" w:eastAsia="Times New Roman" w:hAnsi="Times New Roman"/>
                <w:b/>
                <w:bCs/>
                <w:sz w:val="20"/>
                <w:szCs w:val="20"/>
                <w:lang w:eastAsia="lv-LV"/>
              </w:rPr>
              <w:t>Mērķis</w:t>
            </w:r>
          </w:p>
        </w:tc>
        <w:tc>
          <w:tcPr>
            <w:tcW w:w="11653" w:type="dxa"/>
            <w:gridSpan w:val="7"/>
            <w:shd w:val="clear" w:color="auto" w:fill="BFBFBF"/>
            <w:vAlign w:val="center"/>
          </w:tcPr>
          <w:p w:rsidR="00F17AEF" w:rsidRPr="00BC49E1" w:rsidP="006968BF">
            <w:pPr>
              <w:spacing w:after="0" w:line="240" w:lineRule="auto"/>
              <w:rPr>
                <w:rFonts w:ascii="Times New Roman" w:eastAsia="Times New Roman" w:hAnsi="Times New Roman"/>
                <w:b/>
                <w:bCs/>
                <w:sz w:val="20"/>
                <w:szCs w:val="20"/>
                <w:lang w:eastAsia="lv-LV"/>
              </w:rPr>
            </w:pPr>
            <w:r w:rsidRPr="00BC49E1">
              <w:rPr>
                <w:rFonts w:ascii="Times New Roman" w:eastAsia="Times New Roman" w:hAnsi="Times New Roman"/>
                <w:b/>
                <w:bCs/>
                <w:sz w:val="20"/>
                <w:szCs w:val="20"/>
                <w:lang w:eastAsia="lv-LV"/>
              </w:rPr>
              <w:t>1. Sekmēt teritorijās uzņēmējdarbības attīstību un darbavietu radīšanu, veicināt darbavietu un pakalpojumu sasniedzamību, kā arī uzlabot pakalpojumu kvalitāti un pieejamību</w:t>
            </w:r>
          </w:p>
        </w:tc>
      </w:tr>
      <w:tr w:rsidTr="007320AB">
        <w:tblPrEx>
          <w:tblW w:w="14596" w:type="dxa"/>
          <w:tblLayout w:type="fixed"/>
          <w:tblLook w:val="04A0"/>
        </w:tblPrEx>
        <w:tc>
          <w:tcPr>
            <w:tcW w:w="6062" w:type="dxa"/>
            <w:gridSpan w:val="2"/>
          </w:tcPr>
          <w:p w:rsidR="00F17AEF" w:rsidRPr="00BC49E1" w:rsidP="006968BF">
            <w:pPr>
              <w:spacing w:after="0" w:line="240" w:lineRule="auto"/>
              <w:rPr>
                <w:rFonts w:ascii="Times New Roman" w:hAnsi="Times New Roman"/>
                <w:sz w:val="20"/>
                <w:szCs w:val="20"/>
              </w:rPr>
            </w:pPr>
          </w:p>
        </w:tc>
        <w:tc>
          <w:tcPr>
            <w:tcW w:w="1304" w:type="dxa"/>
            <w:vAlign w:val="center"/>
          </w:tcPr>
          <w:p w:rsidR="00F17AEF" w:rsidRPr="00BC49E1" w:rsidP="006968BF">
            <w:pPr>
              <w:spacing w:after="0" w:line="240" w:lineRule="auto"/>
              <w:jc w:val="center"/>
              <w:rPr>
                <w:rFonts w:ascii="Times New Roman" w:eastAsia="Times New Roman" w:hAnsi="Times New Roman"/>
                <w:sz w:val="20"/>
                <w:szCs w:val="20"/>
                <w:lang w:eastAsia="lv-LV"/>
              </w:rPr>
            </w:pPr>
            <w:r w:rsidRPr="00BC49E1">
              <w:rPr>
                <w:rFonts w:ascii="Times New Roman" w:eastAsia="Times New Roman" w:hAnsi="Times New Roman"/>
                <w:b/>
                <w:bCs/>
                <w:sz w:val="20"/>
                <w:szCs w:val="20"/>
                <w:lang w:eastAsia="lv-LV"/>
              </w:rPr>
              <w:t>Bāzes vērtība (gads)</w:t>
            </w:r>
          </w:p>
        </w:tc>
        <w:tc>
          <w:tcPr>
            <w:tcW w:w="1276" w:type="dxa"/>
            <w:vAlign w:val="center"/>
          </w:tcPr>
          <w:p w:rsidR="00F17AEF" w:rsidRPr="00BC49E1" w:rsidP="006968BF">
            <w:pPr>
              <w:spacing w:after="0" w:line="240" w:lineRule="auto"/>
              <w:jc w:val="center"/>
              <w:rPr>
                <w:rFonts w:ascii="Times New Roman" w:eastAsia="Times New Roman" w:hAnsi="Times New Roman"/>
                <w:sz w:val="20"/>
                <w:szCs w:val="20"/>
                <w:lang w:eastAsia="lv-LV"/>
              </w:rPr>
            </w:pPr>
            <w:r w:rsidRPr="00BC49E1">
              <w:rPr>
                <w:rFonts w:ascii="Times New Roman" w:eastAsia="Times New Roman" w:hAnsi="Times New Roman"/>
                <w:b/>
                <w:bCs/>
                <w:sz w:val="20"/>
                <w:szCs w:val="20"/>
                <w:lang w:eastAsia="lv-LV"/>
              </w:rPr>
              <w:t>2016.gads (plānotais)</w:t>
            </w:r>
          </w:p>
        </w:tc>
        <w:tc>
          <w:tcPr>
            <w:tcW w:w="1701" w:type="dxa"/>
            <w:vAlign w:val="center"/>
          </w:tcPr>
          <w:p w:rsidR="00F17AEF" w:rsidRPr="00BC49E1" w:rsidP="006968BF">
            <w:pPr>
              <w:spacing w:after="0" w:line="240" w:lineRule="auto"/>
              <w:jc w:val="center"/>
              <w:rPr>
                <w:rFonts w:ascii="Times New Roman" w:eastAsia="Times New Roman" w:hAnsi="Times New Roman"/>
                <w:sz w:val="20"/>
                <w:szCs w:val="20"/>
                <w:lang w:eastAsia="lv-LV"/>
              </w:rPr>
            </w:pPr>
            <w:r w:rsidRPr="00BC49E1">
              <w:rPr>
                <w:rFonts w:ascii="Times New Roman" w:eastAsia="Times New Roman" w:hAnsi="Times New Roman"/>
                <w:b/>
                <w:bCs/>
                <w:sz w:val="20"/>
                <w:szCs w:val="20"/>
                <w:lang w:eastAsia="lv-LV"/>
              </w:rPr>
              <w:t>2019.gads (plānotais)</w:t>
            </w:r>
          </w:p>
        </w:tc>
        <w:tc>
          <w:tcPr>
            <w:tcW w:w="1559" w:type="dxa"/>
            <w:vAlign w:val="center"/>
          </w:tcPr>
          <w:p w:rsidR="00F17AEF" w:rsidRPr="00BC49E1" w:rsidP="006968BF">
            <w:pPr>
              <w:spacing w:after="0" w:line="240" w:lineRule="auto"/>
              <w:jc w:val="center"/>
              <w:rPr>
                <w:rFonts w:ascii="Times New Roman" w:eastAsia="Times New Roman" w:hAnsi="Times New Roman"/>
                <w:b/>
                <w:bCs/>
                <w:sz w:val="20"/>
                <w:szCs w:val="20"/>
                <w:lang w:eastAsia="lv-LV"/>
              </w:rPr>
            </w:pPr>
            <w:r w:rsidRPr="00BC49E1">
              <w:rPr>
                <w:rFonts w:ascii="Times New Roman" w:eastAsia="Times New Roman" w:hAnsi="Times New Roman"/>
                <w:b/>
                <w:bCs/>
                <w:sz w:val="20"/>
                <w:szCs w:val="20"/>
                <w:lang w:eastAsia="lv-LV"/>
              </w:rPr>
              <w:t>2016.gads (izpilde)</w:t>
            </w:r>
          </w:p>
        </w:tc>
        <w:tc>
          <w:tcPr>
            <w:tcW w:w="1389" w:type="dxa"/>
            <w:vAlign w:val="center"/>
          </w:tcPr>
          <w:p w:rsidR="00F17AEF" w:rsidRPr="00BC49E1" w:rsidP="006968BF">
            <w:pPr>
              <w:spacing w:after="0" w:line="240" w:lineRule="auto"/>
              <w:jc w:val="center"/>
              <w:rPr>
                <w:rFonts w:ascii="Times New Roman" w:eastAsia="Times New Roman" w:hAnsi="Times New Roman"/>
                <w:b/>
                <w:bCs/>
                <w:sz w:val="20"/>
                <w:szCs w:val="20"/>
                <w:lang w:eastAsia="lv-LV"/>
              </w:rPr>
            </w:pPr>
            <w:r w:rsidRPr="00BC49E1">
              <w:rPr>
                <w:rFonts w:ascii="Times New Roman" w:eastAsia="Times New Roman" w:hAnsi="Times New Roman"/>
                <w:b/>
                <w:bCs/>
                <w:sz w:val="20"/>
                <w:szCs w:val="20"/>
                <w:lang w:eastAsia="lv-LV"/>
              </w:rPr>
              <w:t>Datu avots</w:t>
            </w:r>
          </w:p>
        </w:tc>
        <w:tc>
          <w:tcPr>
            <w:tcW w:w="1305" w:type="dxa"/>
          </w:tcPr>
          <w:p w:rsidR="00F17AEF" w:rsidRPr="00BC49E1" w:rsidP="006968BF">
            <w:pPr>
              <w:spacing w:after="0" w:line="240" w:lineRule="auto"/>
              <w:jc w:val="center"/>
              <w:rPr>
                <w:rFonts w:ascii="Times New Roman" w:eastAsia="Times New Roman" w:hAnsi="Times New Roman"/>
                <w:b/>
                <w:bCs/>
                <w:sz w:val="20"/>
                <w:szCs w:val="20"/>
                <w:lang w:eastAsia="lv-LV"/>
              </w:rPr>
            </w:pPr>
            <w:r w:rsidRPr="00BC49E1">
              <w:rPr>
                <w:rFonts w:ascii="Times New Roman" w:eastAsia="Times New Roman" w:hAnsi="Times New Roman"/>
                <w:b/>
                <w:bCs/>
                <w:sz w:val="20"/>
                <w:szCs w:val="20"/>
                <w:lang w:eastAsia="lv-LV"/>
              </w:rPr>
              <w:t>Norāde par sasaisti ar citiem plān. dok., ja ir</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rPr>
                <w:rFonts w:ascii="Times New Roman" w:eastAsia="Times New Roman" w:hAnsi="Times New Roman"/>
                <w:sz w:val="20"/>
                <w:szCs w:val="20"/>
              </w:rPr>
            </w:pPr>
            <w:r w:rsidRPr="00BC49E1">
              <w:rPr>
                <w:rFonts w:ascii="Times New Roman" w:eastAsia="Times New Roman" w:hAnsi="Times New Roman"/>
                <w:b/>
                <w:bCs/>
                <w:sz w:val="20"/>
                <w:szCs w:val="20"/>
                <w:bdr w:val="none" w:sz="0" w:space="0" w:color="auto" w:frame="1"/>
              </w:rPr>
              <w:t>Politikas rezultāts</w:t>
            </w:r>
          </w:p>
        </w:tc>
        <w:tc>
          <w:tcPr>
            <w:tcW w:w="7400" w:type="dxa"/>
            <w:gridSpan w:val="4"/>
            <w:shd w:val="clear" w:color="auto" w:fill="BFBFBF"/>
          </w:tcPr>
          <w:p w:rsidR="00F17AEF" w:rsidRPr="00BC49E1" w:rsidP="006968BF">
            <w:pPr>
              <w:spacing w:after="0" w:line="240" w:lineRule="auto"/>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Pr>
                <w:rStyle w:val="FootnoteReference"/>
                <w:rFonts w:ascii="Times New Roman" w:hAnsi="Times New Roman"/>
                <w:b/>
                <w:bCs/>
                <w:sz w:val="20"/>
                <w:szCs w:val="20"/>
                <w:bdr w:val="none" w:sz="0" w:space="0" w:color="auto" w:frame="1"/>
              </w:rPr>
              <w:footnoteReference w:id="2"/>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vMerge w:val="restart"/>
          </w:tcPr>
          <w:p w:rsidR="00F17AEF" w:rsidRPr="00BC49E1" w:rsidP="00F17AEF">
            <w:pPr>
              <w:numPr>
                <w:ilvl w:val="1"/>
                <w:numId w:val="1"/>
              </w:numPr>
              <w:spacing w:after="0" w:line="240" w:lineRule="auto"/>
              <w:ind w:left="426" w:hanging="426"/>
              <w:contextualSpacing/>
              <w:jc w:val="both"/>
              <w:rPr>
                <w:rFonts w:ascii="Times New Roman" w:hAnsi="Times New Roman"/>
                <w:sz w:val="20"/>
                <w:szCs w:val="20"/>
              </w:rPr>
            </w:pPr>
            <w:r w:rsidRPr="00BC49E1">
              <w:rPr>
                <w:rFonts w:ascii="Times New Roman" w:eastAsia="Times New Roman" w:hAnsi="Times New Roman"/>
                <w:b/>
                <w:sz w:val="20"/>
                <w:szCs w:val="20"/>
              </w:rPr>
              <w:t xml:space="preserve">Veicināts ekonomiskās aktivitātes pieaugums reģionos (t.sk. uzņēmējdarbības atbalsta infrastruktūras attīstība, </w:t>
            </w:r>
            <w:r w:rsidRPr="00BC49E1">
              <w:rPr>
                <w:rFonts w:ascii="Times New Roman" w:eastAsia="Times New Roman" w:hAnsi="Times New Roman"/>
                <w:b/>
                <w:sz w:val="20"/>
                <w:szCs w:val="20"/>
              </w:rPr>
              <w:t>investoru piesaiste un darbavietu radīšana)</w:t>
            </w:r>
          </w:p>
        </w:tc>
        <w:tc>
          <w:tcPr>
            <w:tcW w:w="3119" w:type="dxa"/>
          </w:tcPr>
          <w:p w:rsidR="00F17AEF" w:rsidRPr="00BC49E1" w:rsidP="00F17AEF">
            <w:pPr>
              <w:numPr>
                <w:ilvl w:val="0"/>
                <w:numId w:val="2"/>
              </w:numPr>
              <w:spacing w:after="0" w:line="240" w:lineRule="auto"/>
              <w:ind w:left="318" w:hanging="284"/>
              <w:jc w:val="both"/>
              <w:rPr>
                <w:rFonts w:ascii="Times New Roman" w:hAnsi="Times New Roman"/>
                <w:sz w:val="20"/>
                <w:szCs w:val="20"/>
              </w:rPr>
            </w:pPr>
            <w:r w:rsidRPr="00BC49E1">
              <w:rPr>
                <w:rFonts w:ascii="Times New Roman" w:hAnsi="Times New Roman"/>
                <w:sz w:val="20"/>
                <w:szCs w:val="20"/>
              </w:rPr>
              <w:t>Nacionālas un reģionālas nozīmes attīstības centru pašvaldībās, t.sk. attiecīgo pašvaldību lauku teritorijās,  piesaistīto privāto investoru skaits (skaits vai milj. LVL)</w:t>
            </w:r>
          </w:p>
        </w:tc>
        <w:tc>
          <w:tcPr>
            <w:tcW w:w="1304" w:type="dxa"/>
            <w:shd w:val="clear" w:color="auto" w:fill="auto"/>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16 (2011)</w:t>
            </w:r>
          </w:p>
        </w:tc>
        <w:tc>
          <w:tcPr>
            <w:tcW w:w="1276" w:type="dxa"/>
            <w:shd w:val="clear" w:color="auto" w:fill="auto"/>
          </w:tcPr>
          <w:p w:rsidR="00F17AEF" w:rsidRPr="00BC49E1" w:rsidP="006968BF">
            <w:pPr>
              <w:spacing w:after="0" w:line="240" w:lineRule="auto"/>
              <w:jc w:val="both"/>
              <w:rPr>
                <w:rFonts w:ascii="Times New Roman" w:hAnsi="Times New Roman"/>
              </w:rPr>
            </w:pPr>
            <w:r w:rsidRPr="00BC49E1">
              <w:rPr>
                <w:rFonts w:ascii="Times New Roman" w:hAnsi="Times New Roman"/>
                <w:sz w:val="20"/>
                <w:szCs w:val="20"/>
              </w:rPr>
              <w:t>21</w:t>
            </w:r>
          </w:p>
        </w:tc>
        <w:tc>
          <w:tcPr>
            <w:tcW w:w="1701" w:type="dxa"/>
            <w:shd w:val="clear" w:color="auto" w:fill="auto"/>
          </w:tcPr>
          <w:p w:rsidR="00F17AEF" w:rsidRPr="00BC49E1" w:rsidP="006968BF">
            <w:pPr>
              <w:spacing w:after="0" w:line="240" w:lineRule="auto"/>
              <w:jc w:val="both"/>
              <w:rPr>
                <w:rFonts w:ascii="Times New Roman" w:hAnsi="Times New Roman"/>
                <w:sz w:val="20"/>
              </w:rPr>
            </w:pPr>
            <w:r w:rsidRPr="00BC49E1">
              <w:rPr>
                <w:rFonts w:ascii="Times New Roman" w:hAnsi="Times New Roman"/>
                <w:sz w:val="20"/>
              </w:rPr>
              <w:t>27 (</w:t>
            </w:r>
            <w:r w:rsidRPr="00BC49E1">
              <w:rPr>
                <w:rFonts w:ascii="Times New Roman" w:hAnsi="Times New Roman"/>
                <w:sz w:val="20"/>
                <w:szCs w:val="20"/>
              </w:rPr>
              <w:t>35%</w:t>
            </w:r>
            <w:r>
              <w:rPr>
                <w:rFonts w:ascii="Times New Roman" w:hAnsi="Times New Roman"/>
                <w:sz w:val="20"/>
                <w:vertAlign w:val="superscript"/>
              </w:rPr>
              <w:footnoteReference w:id="3"/>
            </w:r>
            <w:r w:rsidRPr="00BC49E1">
              <w:rPr>
                <w:rFonts w:ascii="Times New Roman" w:hAnsi="Times New Roman"/>
                <w:sz w:val="20"/>
                <w:szCs w:val="20"/>
              </w:rPr>
              <w:t xml:space="preserve"> no pieauguma līdz 2022.gadam; kopā plānots 46 līdz 2022.gadam</w:t>
            </w:r>
            <w:r>
              <w:rPr>
                <w:rFonts w:ascii="Times New Roman" w:hAnsi="Times New Roman"/>
                <w:sz w:val="20"/>
                <w:vertAlign w:val="superscript"/>
              </w:rPr>
              <w:footnoteReference w:id="4"/>
            </w:r>
            <w:r w:rsidRPr="00BC49E1">
              <w:rPr>
                <w:rFonts w:ascii="Times New Roman" w:hAnsi="Times New Roman"/>
                <w:sz w:val="20"/>
                <w:szCs w:val="20"/>
              </w:rPr>
              <w:t>)</w:t>
            </w:r>
          </w:p>
        </w:tc>
        <w:tc>
          <w:tcPr>
            <w:tcW w:w="1559" w:type="dxa"/>
          </w:tcPr>
          <w:p w:rsidR="00F17AEF" w:rsidRPr="00BC49E1" w:rsidP="006968BF">
            <w:pPr>
              <w:spacing w:after="0" w:line="240" w:lineRule="auto"/>
              <w:jc w:val="both"/>
              <w:rPr>
                <w:rFonts w:ascii="Times New Roman" w:hAnsi="Times New Roman"/>
              </w:rPr>
            </w:pPr>
            <w:r>
              <w:rPr>
                <w:rFonts w:ascii="Times New Roman" w:hAnsi="Times New Roman"/>
                <w:sz w:val="20"/>
              </w:rPr>
              <w:t>123,9</w:t>
            </w:r>
            <w:r w:rsidR="0074005F">
              <w:rPr>
                <w:rFonts w:ascii="Times New Roman" w:hAnsi="Times New Roman"/>
                <w:sz w:val="20"/>
              </w:rPr>
              <w:t xml:space="preserve"> miljoni </w:t>
            </w:r>
            <w:r w:rsidRPr="0074005F" w:rsidR="0074005F">
              <w:rPr>
                <w:rFonts w:ascii="Times New Roman" w:hAnsi="Times New Roman"/>
                <w:i/>
                <w:sz w:val="20"/>
              </w:rPr>
              <w:t>euro</w:t>
            </w:r>
            <w:r>
              <w:rPr>
                <w:rStyle w:val="FootnoteReference"/>
                <w:rFonts w:ascii="Times New Roman" w:hAnsi="Times New Roman"/>
                <w:sz w:val="20"/>
              </w:rPr>
              <w:footnoteReference w:id="5"/>
            </w:r>
          </w:p>
        </w:tc>
        <w:tc>
          <w:tcPr>
            <w:tcW w:w="1389" w:type="dxa"/>
          </w:tcPr>
          <w:p w:rsidR="00F17AEF" w:rsidRPr="00BC49E1" w:rsidP="006968BF">
            <w:pPr>
              <w:spacing w:after="0" w:line="240" w:lineRule="auto"/>
              <w:jc w:val="both"/>
              <w:rPr>
                <w:rFonts w:ascii="Times New Roman" w:hAnsi="Times New Roman"/>
              </w:rPr>
            </w:pPr>
            <w:r w:rsidRPr="00BC49E1">
              <w:rPr>
                <w:rFonts w:ascii="Times New Roman" w:hAnsi="Times New Roman"/>
                <w:sz w:val="20"/>
                <w:szCs w:val="20"/>
              </w:rPr>
              <w:t>Projektu dokumentācija un progresa informācija</w:t>
            </w:r>
          </w:p>
        </w:tc>
        <w:tc>
          <w:tcPr>
            <w:tcW w:w="1305" w:type="dxa"/>
          </w:tcPr>
          <w:p w:rsidR="00F17AEF" w:rsidRPr="00BC49E1" w:rsidP="006968BF">
            <w:pPr>
              <w:spacing w:after="60" w:line="240" w:lineRule="auto"/>
              <w:jc w:val="both"/>
              <w:rPr>
                <w:rFonts w:ascii="Times New Roman" w:hAnsi="Times New Roman"/>
                <w:sz w:val="20"/>
                <w:szCs w:val="20"/>
              </w:rPr>
            </w:pPr>
            <w:r w:rsidRPr="00BC49E1">
              <w:rPr>
                <w:rFonts w:ascii="Times New Roman" w:hAnsi="Times New Roman"/>
                <w:sz w:val="20"/>
                <w:szCs w:val="20"/>
              </w:rPr>
              <w:t>Nav</w:t>
            </w:r>
            <w:r>
              <w:rPr>
                <w:rStyle w:val="FootnoteReference"/>
                <w:rFonts w:ascii="Times New Roman" w:hAnsi="Times New Roman"/>
                <w:sz w:val="20"/>
                <w:szCs w:val="20"/>
              </w:rPr>
              <w:footnoteReference w:id="6"/>
            </w:r>
          </w:p>
          <w:p w:rsidR="00F17AEF" w:rsidRPr="00BC49E1" w:rsidP="006968BF">
            <w:pPr>
              <w:spacing w:after="0" w:line="240" w:lineRule="auto"/>
              <w:jc w:val="both"/>
              <w:rPr>
                <w:rFonts w:ascii="Times New Roman" w:hAnsi="Times New Roman"/>
                <w:sz w:val="20"/>
                <w:szCs w:val="20"/>
              </w:rPr>
            </w:pPr>
          </w:p>
          <w:p w:rsidR="00F17AEF" w:rsidRPr="00BC49E1" w:rsidP="006968BF">
            <w:pPr>
              <w:spacing w:after="0" w:line="240" w:lineRule="auto"/>
              <w:jc w:val="both"/>
              <w:rPr>
                <w:rFonts w:ascii="Times New Roman" w:hAnsi="Times New Roman"/>
                <w:sz w:val="20"/>
                <w:szCs w:val="20"/>
              </w:rPr>
            </w:pPr>
          </w:p>
        </w:tc>
      </w:tr>
      <w:tr w:rsidTr="007320AB">
        <w:tblPrEx>
          <w:tblW w:w="14596" w:type="dxa"/>
          <w:tblLayout w:type="fixed"/>
          <w:tblLook w:val="04A0"/>
        </w:tblPrEx>
        <w:tc>
          <w:tcPr>
            <w:tcW w:w="2943" w:type="dxa"/>
            <w:vMerge/>
          </w:tcPr>
          <w:p w:rsidR="00F17AEF" w:rsidRPr="00BC49E1" w:rsidP="006968BF">
            <w:pPr>
              <w:spacing w:after="0" w:line="240" w:lineRule="auto"/>
              <w:jc w:val="both"/>
              <w:rPr>
                <w:rFonts w:ascii="Times New Roman" w:hAnsi="Times New Roman"/>
                <w:sz w:val="20"/>
                <w:szCs w:val="20"/>
              </w:rPr>
            </w:pPr>
          </w:p>
        </w:tc>
        <w:tc>
          <w:tcPr>
            <w:tcW w:w="3119" w:type="dxa"/>
          </w:tcPr>
          <w:p w:rsidR="00F17AEF" w:rsidRPr="00BC49E1" w:rsidP="00F17AEF">
            <w:pPr>
              <w:numPr>
                <w:ilvl w:val="0"/>
                <w:numId w:val="2"/>
              </w:numPr>
              <w:spacing w:after="0" w:line="240" w:lineRule="auto"/>
              <w:ind w:left="318" w:hanging="284"/>
              <w:jc w:val="both"/>
              <w:rPr>
                <w:rFonts w:ascii="Times New Roman" w:hAnsi="Times New Roman"/>
                <w:sz w:val="20"/>
                <w:szCs w:val="20"/>
              </w:rPr>
            </w:pPr>
            <w:r w:rsidRPr="00BC49E1">
              <w:rPr>
                <w:rFonts w:ascii="Times New Roman" w:hAnsi="Times New Roman"/>
                <w:sz w:val="20"/>
                <w:szCs w:val="20"/>
              </w:rPr>
              <w:t>Nesakārtoto industriālo zonu un citu uzņēmējdarbības attīstībai nozīmīgu teritoriju apjoms</w:t>
            </w:r>
          </w:p>
        </w:tc>
        <w:tc>
          <w:tcPr>
            <w:tcW w:w="1304" w:type="dxa"/>
            <w:shd w:val="clear" w:color="auto" w:fill="auto"/>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5826 ha (2013)</w:t>
            </w:r>
          </w:p>
        </w:tc>
        <w:tc>
          <w:tcPr>
            <w:tcW w:w="1276" w:type="dxa"/>
            <w:shd w:val="clear" w:color="auto" w:fill="auto"/>
          </w:tcPr>
          <w:p w:rsidR="00F17AEF" w:rsidRPr="00BC49E1" w:rsidP="006968BF">
            <w:pPr>
              <w:spacing w:after="0" w:line="240" w:lineRule="auto"/>
              <w:jc w:val="both"/>
              <w:rPr>
                <w:rFonts w:ascii="Times New Roman" w:hAnsi="Times New Roman"/>
                <w:sz w:val="20"/>
                <w:szCs w:val="20"/>
                <w:highlight w:val="yellow"/>
              </w:rPr>
            </w:pPr>
            <w:r w:rsidRPr="00BC49E1">
              <w:rPr>
                <w:rFonts w:ascii="Times New Roman" w:hAnsi="Times New Roman"/>
                <w:sz w:val="20"/>
                <w:szCs w:val="20"/>
              </w:rPr>
              <w:t>5826 ha</w:t>
            </w:r>
          </w:p>
        </w:tc>
        <w:tc>
          <w:tcPr>
            <w:tcW w:w="1701" w:type="dxa"/>
            <w:shd w:val="clear" w:color="auto" w:fill="auto"/>
          </w:tcPr>
          <w:p w:rsidR="00F17AEF" w:rsidRPr="00BC49E1" w:rsidP="006968BF">
            <w:pPr>
              <w:spacing w:after="0" w:line="240" w:lineRule="auto"/>
              <w:jc w:val="both"/>
              <w:rPr>
                <w:rFonts w:ascii="Times New Roman" w:hAnsi="Times New Roman"/>
                <w:sz w:val="20"/>
                <w:szCs w:val="20"/>
                <w:highlight w:val="yellow"/>
              </w:rPr>
            </w:pPr>
            <w:r w:rsidRPr="00BC49E1">
              <w:rPr>
                <w:rFonts w:ascii="Times New Roman" w:hAnsi="Times New Roman"/>
                <w:sz w:val="20"/>
                <w:szCs w:val="20"/>
              </w:rPr>
              <w:t>5 520  ha (35% no samazinājuma līdz 2022.gadam; kopā plānots sasniegt 4952 ha līdz 2022.gadam</w:t>
            </w:r>
            <w:r>
              <w:rPr>
                <w:rFonts w:ascii="Times New Roman" w:hAnsi="Times New Roman"/>
                <w:sz w:val="20"/>
                <w:szCs w:val="20"/>
                <w:vertAlign w:val="superscript"/>
              </w:rPr>
              <w:footnoteReference w:id="7"/>
            </w:r>
            <w:r w:rsidRPr="00BC49E1">
              <w:rPr>
                <w:rFonts w:ascii="Times New Roman" w:hAnsi="Times New Roman"/>
                <w:sz w:val="20"/>
                <w:szCs w:val="20"/>
              </w:rPr>
              <w:t>)</w:t>
            </w:r>
          </w:p>
        </w:tc>
        <w:tc>
          <w:tcPr>
            <w:tcW w:w="1559" w:type="dxa"/>
          </w:tcPr>
          <w:p w:rsidR="00F17AEF" w:rsidRPr="00BC49E1" w:rsidP="006968BF">
            <w:pPr>
              <w:spacing w:after="0" w:line="240" w:lineRule="auto"/>
              <w:jc w:val="both"/>
              <w:rPr>
                <w:rFonts w:ascii="Times New Roman" w:hAnsi="Times New Roman"/>
              </w:rPr>
            </w:pPr>
            <w:r>
              <w:rPr>
                <w:rFonts w:ascii="Times New Roman" w:hAnsi="Times New Roman"/>
                <w:sz w:val="20"/>
              </w:rPr>
              <w:t>5580</w:t>
            </w:r>
            <w:r w:rsidRPr="00BC49E1" w:rsidR="00317159">
              <w:rPr>
                <w:rFonts w:ascii="Times New Roman" w:hAnsi="Times New Roman"/>
                <w:sz w:val="20"/>
              </w:rPr>
              <w:t xml:space="preserve"> ha</w:t>
            </w:r>
            <w:r>
              <w:rPr>
                <w:rStyle w:val="FootnoteReference"/>
                <w:rFonts w:ascii="Times New Roman" w:hAnsi="Times New Roman"/>
                <w:sz w:val="20"/>
              </w:rPr>
              <w:footnoteReference w:id="8"/>
            </w:r>
          </w:p>
        </w:tc>
        <w:tc>
          <w:tcPr>
            <w:tcW w:w="1389" w:type="dxa"/>
          </w:tcPr>
          <w:p w:rsidR="00F17AEF" w:rsidRPr="00BC49E1" w:rsidP="006968BF">
            <w:pPr>
              <w:spacing w:after="0" w:line="240" w:lineRule="auto"/>
              <w:jc w:val="both"/>
              <w:rPr>
                <w:rFonts w:ascii="Times New Roman" w:hAnsi="Times New Roman"/>
              </w:rPr>
            </w:pPr>
            <w:r w:rsidRPr="00BC49E1">
              <w:rPr>
                <w:rFonts w:ascii="Times New Roman" w:hAnsi="Times New Roman"/>
                <w:sz w:val="20"/>
                <w:szCs w:val="20"/>
              </w:rPr>
              <w:t>Projektu dokumentācija un progresa informācija</w:t>
            </w:r>
          </w:p>
        </w:tc>
        <w:tc>
          <w:tcPr>
            <w:tcW w:w="1305" w:type="dxa"/>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Nav</w:t>
            </w:r>
          </w:p>
        </w:tc>
      </w:tr>
      <w:tr w:rsidTr="007320AB">
        <w:tblPrEx>
          <w:tblW w:w="14596" w:type="dxa"/>
          <w:tblLayout w:type="fixed"/>
          <w:tblLook w:val="04A0"/>
        </w:tblPrEx>
        <w:tc>
          <w:tcPr>
            <w:tcW w:w="2943" w:type="dxa"/>
            <w:vMerge/>
          </w:tcPr>
          <w:p w:rsidR="006917B0" w:rsidRPr="00BC49E1" w:rsidP="006968BF">
            <w:pPr>
              <w:spacing w:after="0" w:line="240" w:lineRule="auto"/>
              <w:jc w:val="both"/>
              <w:rPr>
                <w:rFonts w:ascii="Times New Roman" w:hAnsi="Times New Roman"/>
                <w:sz w:val="20"/>
                <w:szCs w:val="20"/>
              </w:rPr>
            </w:pPr>
          </w:p>
        </w:tc>
        <w:tc>
          <w:tcPr>
            <w:tcW w:w="7400" w:type="dxa"/>
            <w:gridSpan w:val="4"/>
          </w:tcPr>
          <w:p w:rsidR="006917B0" w:rsidRPr="00BC49E1" w:rsidP="00C907D1">
            <w:pPr>
              <w:numPr>
                <w:ilvl w:val="0"/>
                <w:numId w:val="2"/>
              </w:numPr>
              <w:spacing w:after="0" w:line="240" w:lineRule="auto"/>
              <w:ind w:left="318" w:hanging="284"/>
              <w:jc w:val="both"/>
              <w:rPr>
                <w:rFonts w:ascii="Times New Roman" w:hAnsi="Times New Roman"/>
                <w:sz w:val="20"/>
                <w:szCs w:val="20"/>
              </w:rPr>
            </w:pPr>
            <w:r w:rsidRPr="00BC49E1">
              <w:rPr>
                <w:rFonts w:ascii="Times New Roman" w:hAnsi="Times New Roman"/>
                <w:sz w:val="20"/>
                <w:szCs w:val="20"/>
              </w:rPr>
              <w:t xml:space="preserve">Lauku teritoriju attīstību raksturojošs rezultatīvais rādītājs, tā bāzes un sasniedzamās vērtības noteiktas Lauku attīstības programmā 2014.-2020.gadam. </w:t>
            </w:r>
          </w:p>
        </w:tc>
        <w:tc>
          <w:tcPr>
            <w:tcW w:w="1559" w:type="dxa"/>
            <w:shd w:val="clear" w:color="auto" w:fill="auto"/>
          </w:tcPr>
          <w:p w:rsidR="006917B0" w:rsidRPr="00BC49E1" w:rsidP="006968BF">
            <w:pPr>
              <w:spacing w:after="0" w:line="240" w:lineRule="auto"/>
              <w:jc w:val="both"/>
              <w:rPr>
                <w:rFonts w:ascii="Times New Roman" w:hAnsi="Times New Roman"/>
                <w:sz w:val="20"/>
                <w:szCs w:val="20"/>
                <w:highlight w:val="yellow"/>
              </w:rPr>
            </w:pPr>
            <w:r w:rsidRPr="00BC49E1">
              <w:rPr>
                <w:rFonts w:ascii="Times New Roman" w:hAnsi="Times New Roman"/>
                <w:sz w:val="20"/>
                <w:szCs w:val="20"/>
              </w:rPr>
              <w:t>Nav</w:t>
            </w:r>
            <w:r>
              <w:rPr>
                <w:rStyle w:val="FootnoteReference"/>
                <w:rFonts w:ascii="Times New Roman" w:hAnsi="Times New Roman"/>
                <w:sz w:val="20"/>
                <w:szCs w:val="20"/>
              </w:rPr>
              <w:footnoteReference w:id="9"/>
            </w:r>
          </w:p>
        </w:tc>
        <w:tc>
          <w:tcPr>
            <w:tcW w:w="1389" w:type="dxa"/>
            <w:shd w:val="clear" w:color="auto" w:fill="auto"/>
          </w:tcPr>
          <w:p w:rsidR="006917B0" w:rsidRPr="00BC49E1" w:rsidP="006968BF">
            <w:pPr>
              <w:spacing w:after="0" w:line="240" w:lineRule="auto"/>
              <w:jc w:val="both"/>
              <w:rPr>
                <w:rFonts w:ascii="Times New Roman" w:hAnsi="Times New Roman"/>
                <w:sz w:val="20"/>
                <w:szCs w:val="20"/>
                <w:highlight w:val="yellow"/>
              </w:rPr>
            </w:pPr>
            <w:r w:rsidRPr="00BC49E1">
              <w:rPr>
                <w:rFonts w:ascii="Times New Roman" w:hAnsi="Times New Roman"/>
                <w:sz w:val="20"/>
                <w:szCs w:val="20"/>
              </w:rPr>
              <w:t>ZM dati</w:t>
            </w:r>
          </w:p>
        </w:tc>
        <w:tc>
          <w:tcPr>
            <w:tcW w:w="1305" w:type="dxa"/>
          </w:tcPr>
          <w:p w:rsidR="006917B0"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Noteikts Lauku attīstības programmā 2014.-2020.gadam</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both"/>
              <w:rPr>
                <w:rFonts w:ascii="Times New Roman" w:hAnsi="Times New Roman"/>
                <w:b/>
                <w:sz w:val="20"/>
                <w:szCs w:val="20"/>
              </w:rPr>
            </w:pPr>
            <w:r w:rsidRPr="00BC49E1">
              <w:rPr>
                <w:rFonts w:ascii="Times New Roman" w:hAnsi="Times New Roman"/>
                <w:b/>
                <w:sz w:val="20"/>
                <w:szCs w:val="20"/>
              </w:rPr>
              <w:t>Darbības rezultāts</w:t>
            </w:r>
          </w:p>
        </w:tc>
        <w:tc>
          <w:tcPr>
            <w:tcW w:w="7400" w:type="dxa"/>
            <w:gridSpan w:val="4"/>
            <w:shd w:val="clear" w:color="auto" w:fill="BFBFBF"/>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tcPr>
          <w:p w:rsidR="002E588C" w:rsidRPr="00BC49E1" w:rsidP="00F17AEF">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eastAsia="Times New Roman" w:hAnsi="Times New Roman"/>
                <w:sz w:val="20"/>
                <w:szCs w:val="20"/>
              </w:rPr>
              <w:t>Industriālo zonu attīstība</w:t>
            </w:r>
          </w:p>
        </w:tc>
        <w:tc>
          <w:tcPr>
            <w:tcW w:w="3119"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Izveidoto/rekonstruēto industriālo zonu vai citu uzņēmējdarbības attīstībai nozīmīgu teritoriju apjoms, ha</w:t>
            </w:r>
          </w:p>
        </w:tc>
        <w:tc>
          <w:tcPr>
            <w:tcW w:w="1304"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w:t>
            </w:r>
          </w:p>
        </w:tc>
        <w:tc>
          <w:tcPr>
            <w:tcW w:w="1276"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0</w:t>
            </w:r>
          </w:p>
        </w:tc>
        <w:tc>
          <w:tcPr>
            <w:tcW w:w="1701"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306 </w:t>
            </w:r>
            <w:r w:rsidRPr="00BC49E1">
              <w:rPr>
                <w:rFonts w:ascii="Times New Roman" w:hAnsi="Times New Roman"/>
                <w:sz w:val="20"/>
              </w:rPr>
              <w:t>(</w:t>
            </w:r>
            <w:r w:rsidRPr="00BC49E1">
              <w:rPr>
                <w:rFonts w:ascii="Times New Roman" w:hAnsi="Times New Roman"/>
                <w:sz w:val="20"/>
                <w:szCs w:val="20"/>
              </w:rPr>
              <w:t>35% no pieauguma līdz 2022.gadam; kopā plānots 874 līdz 2022.gadam</w:t>
            </w:r>
            <w:r>
              <w:rPr>
                <w:rFonts w:ascii="Times New Roman" w:hAnsi="Times New Roman"/>
                <w:sz w:val="20"/>
                <w:vertAlign w:val="superscript"/>
              </w:rPr>
              <w:footnoteReference w:id="10"/>
            </w:r>
            <w:r w:rsidRPr="00BC49E1">
              <w:rPr>
                <w:rFonts w:ascii="Times New Roman" w:hAnsi="Times New Roman"/>
                <w:sz w:val="20"/>
                <w:szCs w:val="20"/>
              </w:rPr>
              <w:t>)</w:t>
            </w:r>
          </w:p>
        </w:tc>
        <w:tc>
          <w:tcPr>
            <w:tcW w:w="1559" w:type="dxa"/>
          </w:tcPr>
          <w:p w:rsidR="002E588C" w:rsidRPr="00BC49E1" w:rsidP="006968BF">
            <w:pPr>
              <w:spacing w:after="0" w:line="240" w:lineRule="auto"/>
              <w:jc w:val="both"/>
              <w:rPr>
                <w:rFonts w:ascii="Times New Roman" w:hAnsi="Times New Roman"/>
                <w:sz w:val="20"/>
                <w:szCs w:val="20"/>
              </w:rPr>
            </w:pPr>
            <w:r w:rsidRPr="00327395">
              <w:rPr>
                <w:rFonts w:ascii="Times New Roman" w:hAnsi="Times New Roman"/>
                <w:sz w:val="20"/>
                <w:szCs w:val="20"/>
              </w:rPr>
              <w:t>246</w:t>
            </w:r>
            <w:r>
              <w:rPr>
                <w:rStyle w:val="FootnoteReference"/>
                <w:rFonts w:ascii="Times New Roman" w:hAnsi="Times New Roman"/>
                <w:sz w:val="20"/>
                <w:szCs w:val="20"/>
              </w:rPr>
              <w:footnoteReference w:id="11"/>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Projektu dokumentācija un progresa informācija</w:t>
            </w:r>
          </w:p>
        </w:tc>
        <w:tc>
          <w:tcPr>
            <w:tcW w:w="1305" w:type="dxa"/>
          </w:tcPr>
          <w:p w:rsidR="002E588C" w:rsidRPr="00BC49E1" w:rsidP="006968BF">
            <w:pPr>
              <w:spacing w:after="60" w:line="240" w:lineRule="auto"/>
              <w:jc w:val="both"/>
              <w:rPr>
                <w:rFonts w:ascii="Times New Roman" w:hAnsi="Times New Roman"/>
                <w:sz w:val="20"/>
                <w:szCs w:val="20"/>
              </w:rPr>
            </w:pPr>
            <w:r w:rsidRPr="00BC49E1">
              <w:rPr>
                <w:rFonts w:ascii="Times New Roman" w:hAnsi="Times New Roman"/>
                <w:sz w:val="20"/>
                <w:szCs w:val="20"/>
              </w:rPr>
              <w:t>Nav</w:t>
            </w:r>
          </w:p>
          <w:p w:rsidR="002E588C" w:rsidRPr="00BC49E1" w:rsidP="006968BF">
            <w:pPr>
              <w:spacing w:after="0" w:line="240" w:lineRule="auto"/>
              <w:jc w:val="both"/>
              <w:rPr>
                <w:rFonts w:ascii="Times New Roman" w:hAnsi="Times New Roman"/>
                <w:sz w:val="20"/>
                <w:szCs w:val="20"/>
              </w:rPr>
            </w:pPr>
          </w:p>
        </w:tc>
      </w:tr>
      <w:tr w:rsidTr="007320AB">
        <w:tblPrEx>
          <w:tblW w:w="14596" w:type="dxa"/>
          <w:tblLayout w:type="fixed"/>
          <w:tblLook w:val="04A0"/>
        </w:tblPrEx>
        <w:tc>
          <w:tcPr>
            <w:tcW w:w="2943" w:type="dxa"/>
          </w:tcPr>
          <w:p w:rsidR="002E588C" w:rsidRPr="00BC49E1" w:rsidP="00F17AEF">
            <w:pPr>
              <w:numPr>
                <w:ilvl w:val="2"/>
                <w:numId w:val="1"/>
              </w:numPr>
              <w:spacing w:after="0" w:line="240" w:lineRule="auto"/>
              <w:ind w:left="567" w:hanging="567"/>
              <w:contextualSpacing/>
              <w:jc w:val="both"/>
              <w:rPr>
                <w:rFonts w:ascii="Times New Roman" w:eastAsia="Times New Roman" w:hAnsi="Times New Roman"/>
                <w:sz w:val="20"/>
                <w:szCs w:val="20"/>
              </w:rPr>
            </w:pPr>
            <w:r w:rsidRPr="00BC49E1">
              <w:rPr>
                <w:rFonts w:ascii="Times New Roman" w:eastAsia="Times New Roman" w:hAnsi="Times New Roman"/>
                <w:sz w:val="20"/>
                <w:szCs w:val="20"/>
              </w:rPr>
              <w:t>Darbvietu skaita palielināšana uzņēmumos</w:t>
            </w:r>
          </w:p>
        </w:tc>
        <w:tc>
          <w:tcPr>
            <w:tcW w:w="3119"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eastAsia="Times New Roman" w:hAnsi="Times New Roman"/>
                <w:sz w:val="20"/>
                <w:szCs w:val="20"/>
              </w:rPr>
              <w:t>Saglabātas vai jaunradītas darbavietas uzņēmumos, kuru ražošanas vai pakalpojuma sniegšanas vieta ir nacionālas un reģionālas nozīmes attīstības centru  pašvaldības teritorijā</w:t>
            </w:r>
          </w:p>
        </w:tc>
        <w:tc>
          <w:tcPr>
            <w:tcW w:w="1304"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w:t>
            </w:r>
            <w:r w:rsidRPr="00BC49E1">
              <w:rPr>
                <w:rFonts w:ascii="Times New Roman" w:eastAsia="Times New Roman" w:hAnsi="Times New Roman"/>
                <w:sz w:val="20"/>
                <w:szCs w:val="20"/>
              </w:rPr>
              <w:t xml:space="preserve"> </w:t>
            </w:r>
          </w:p>
        </w:tc>
        <w:tc>
          <w:tcPr>
            <w:tcW w:w="1276"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0</w:t>
            </w:r>
          </w:p>
        </w:tc>
        <w:tc>
          <w:tcPr>
            <w:tcW w:w="1701"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2450 </w:t>
            </w:r>
            <w:r w:rsidRPr="00BC49E1">
              <w:rPr>
                <w:rFonts w:ascii="Times New Roman" w:hAnsi="Times New Roman"/>
                <w:sz w:val="20"/>
              </w:rPr>
              <w:t>(</w:t>
            </w:r>
            <w:r w:rsidRPr="00BC49E1">
              <w:rPr>
                <w:rFonts w:ascii="Times New Roman" w:hAnsi="Times New Roman"/>
                <w:sz w:val="20"/>
                <w:szCs w:val="20"/>
              </w:rPr>
              <w:t>35% no pieauguma līdz 2022.gadam; kopā plānots 7000 līdz 2022.gadam</w:t>
            </w:r>
            <w:r>
              <w:rPr>
                <w:rFonts w:ascii="Times New Roman" w:hAnsi="Times New Roman"/>
                <w:sz w:val="20"/>
                <w:vertAlign w:val="superscript"/>
              </w:rPr>
              <w:footnoteReference w:id="12"/>
            </w:r>
            <w:r w:rsidRPr="00BC49E1">
              <w:rPr>
                <w:rFonts w:ascii="Times New Roman" w:hAnsi="Times New Roman"/>
                <w:sz w:val="20"/>
                <w:szCs w:val="20"/>
              </w:rPr>
              <w:t>)</w:t>
            </w:r>
          </w:p>
        </w:tc>
        <w:tc>
          <w:tcPr>
            <w:tcW w:w="1559" w:type="dxa"/>
          </w:tcPr>
          <w:p w:rsidR="002E588C" w:rsidRPr="00BC49E1" w:rsidP="006968BF">
            <w:pPr>
              <w:spacing w:after="0" w:line="240" w:lineRule="auto"/>
              <w:jc w:val="both"/>
              <w:rPr>
                <w:rFonts w:ascii="Times New Roman" w:hAnsi="Times New Roman"/>
                <w:sz w:val="20"/>
                <w:szCs w:val="20"/>
              </w:rPr>
            </w:pPr>
            <w:r>
              <w:rPr>
                <w:rFonts w:ascii="Times New Roman" w:hAnsi="Times New Roman"/>
                <w:sz w:val="20"/>
                <w:szCs w:val="20"/>
              </w:rPr>
              <w:t>2083</w:t>
            </w:r>
            <w:r>
              <w:rPr>
                <w:rStyle w:val="FootnoteReference"/>
                <w:rFonts w:ascii="Times New Roman" w:hAnsi="Times New Roman"/>
                <w:sz w:val="20"/>
                <w:szCs w:val="20"/>
              </w:rPr>
              <w:footnoteReference w:id="13"/>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Projektu dokumentācija un progresa informācija</w:t>
            </w:r>
          </w:p>
        </w:tc>
        <w:tc>
          <w:tcPr>
            <w:tcW w:w="1305" w:type="dxa"/>
          </w:tcPr>
          <w:p w:rsidR="002E588C" w:rsidRPr="00BC49E1" w:rsidP="006968BF">
            <w:pPr>
              <w:spacing w:after="60" w:line="240" w:lineRule="auto"/>
              <w:jc w:val="both"/>
              <w:rPr>
                <w:rFonts w:ascii="Times New Roman" w:hAnsi="Times New Roman"/>
                <w:sz w:val="20"/>
                <w:szCs w:val="20"/>
              </w:rPr>
            </w:pPr>
            <w:r w:rsidRPr="00BC49E1">
              <w:rPr>
                <w:rFonts w:ascii="Times New Roman" w:hAnsi="Times New Roman"/>
                <w:sz w:val="20"/>
                <w:szCs w:val="20"/>
              </w:rPr>
              <w:t>Nav</w:t>
            </w:r>
          </w:p>
          <w:p w:rsidR="002E588C" w:rsidRPr="00BC49E1" w:rsidP="006968BF">
            <w:pPr>
              <w:spacing w:after="0" w:line="240" w:lineRule="auto"/>
              <w:jc w:val="both"/>
              <w:rPr>
                <w:rFonts w:ascii="Times New Roman" w:hAnsi="Times New Roman"/>
                <w:sz w:val="20"/>
                <w:szCs w:val="20"/>
              </w:rPr>
            </w:pPr>
          </w:p>
        </w:tc>
      </w:tr>
      <w:tr w:rsidTr="007320AB">
        <w:tblPrEx>
          <w:tblW w:w="14596" w:type="dxa"/>
          <w:tblLayout w:type="fixed"/>
          <w:tblLook w:val="04A0"/>
        </w:tblPrEx>
        <w:tc>
          <w:tcPr>
            <w:tcW w:w="2943" w:type="dxa"/>
          </w:tcPr>
          <w:p w:rsidR="002E588C" w:rsidRPr="00BC49E1" w:rsidP="00F17AEF">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eastAsia="Times New Roman" w:hAnsi="Times New Roman"/>
                <w:sz w:val="20"/>
                <w:szCs w:val="20"/>
              </w:rPr>
              <w:t xml:space="preserve">Lauku teritoriju attīstību raksturojošs darbības rezultāts – no Lauku attīstības programmas </w:t>
            </w:r>
          </w:p>
        </w:tc>
        <w:tc>
          <w:tcPr>
            <w:tcW w:w="7400" w:type="dxa"/>
            <w:gridSpan w:val="4"/>
          </w:tcPr>
          <w:p w:rsidR="006536F8"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Lauku teritoriju attīstību raksturojošs rezultatīvais rādītājs, tā bāzes un sasniedzamās vērtības noteiktas Lauku attīstības programmā </w:t>
            </w:r>
            <w:r w:rsidRPr="00BC49E1" w:rsidR="00775615">
              <w:rPr>
                <w:rFonts w:ascii="Times New Roman" w:hAnsi="Times New Roman"/>
                <w:sz w:val="20"/>
                <w:szCs w:val="20"/>
              </w:rPr>
              <w:t xml:space="preserve">2014.-2020.gadam: </w:t>
            </w:r>
          </w:p>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4"/>
              </w:rPr>
              <w:t>sakārtoto ceļu garums lauku teritorijās (km)</w:t>
            </w:r>
          </w:p>
        </w:tc>
        <w:tc>
          <w:tcPr>
            <w:tcW w:w="1559" w:type="dxa"/>
          </w:tcPr>
          <w:p w:rsidR="00E15D07" w:rsidRPr="00BC49E1" w:rsidP="00775615">
            <w:pPr>
              <w:spacing w:after="0" w:line="240" w:lineRule="auto"/>
              <w:jc w:val="both"/>
              <w:rPr>
                <w:rFonts w:ascii="Times New Roman" w:hAnsi="Times New Roman"/>
                <w:sz w:val="20"/>
                <w:szCs w:val="24"/>
              </w:rPr>
            </w:pPr>
          </w:p>
          <w:p w:rsidR="00E15D07" w:rsidRPr="00BC49E1" w:rsidP="00775615">
            <w:pPr>
              <w:spacing w:after="0" w:line="240" w:lineRule="auto"/>
              <w:jc w:val="both"/>
              <w:rPr>
                <w:rFonts w:ascii="Times New Roman" w:hAnsi="Times New Roman"/>
                <w:sz w:val="20"/>
                <w:szCs w:val="24"/>
              </w:rPr>
            </w:pPr>
          </w:p>
          <w:p w:rsidR="002E588C" w:rsidRPr="00BC49E1" w:rsidP="00775615">
            <w:pPr>
              <w:spacing w:after="0" w:line="240" w:lineRule="auto"/>
              <w:jc w:val="both"/>
              <w:rPr>
                <w:rFonts w:ascii="Times New Roman" w:hAnsi="Times New Roman"/>
                <w:sz w:val="20"/>
                <w:szCs w:val="20"/>
              </w:rPr>
            </w:pPr>
            <w:r w:rsidRPr="00BC49E1">
              <w:rPr>
                <w:rFonts w:ascii="Times New Roman" w:hAnsi="Times New Roman"/>
                <w:sz w:val="20"/>
                <w:szCs w:val="24"/>
              </w:rPr>
              <w:t>467,04 km</w:t>
            </w:r>
            <w:r>
              <w:rPr>
                <w:rStyle w:val="FootnoteReference"/>
                <w:rFonts w:ascii="Times New Roman" w:hAnsi="Times New Roman"/>
                <w:sz w:val="20"/>
                <w:szCs w:val="24"/>
              </w:rPr>
              <w:footnoteReference w:id="14"/>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ZM dati</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Noteikts Lauku attīstības programmā 2014.-2020.gadam</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both"/>
              <w:rPr>
                <w:rFonts w:ascii="Times New Roman" w:eastAsia="Times New Roman" w:hAnsi="Times New Roman"/>
                <w:sz w:val="20"/>
                <w:szCs w:val="20"/>
              </w:rPr>
            </w:pPr>
            <w:r w:rsidRPr="00BC49E1">
              <w:rPr>
                <w:rFonts w:ascii="Times New Roman" w:eastAsia="Times New Roman" w:hAnsi="Times New Roman"/>
                <w:b/>
                <w:bCs/>
                <w:sz w:val="20"/>
                <w:szCs w:val="20"/>
                <w:bdr w:val="none" w:sz="0" w:space="0" w:color="auto" w:frame="1"/>
              </w:rPr>
              <w:t>Politikas rezultāts</w:t>
            </w:r>
          </w:p>
        </w:tc>
        <w:tc>
          <w:tcPr>
            <w:tcW w:w="7400" w:type="dxa"/>
            <w:gridSpan w:val="4"/>
            <w:shd w:val="clear" w:color="auto" w:fill="BFBFBF"/>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shd w:val="clear" w:color="auto" w:fill="auto"/>
          </w:tcPr>
          <w:p w:rsidR="002E588C" w:rsidRPr="00BC49E1" w:rsidP="00F17AEF">
            <w:pPr>
              <w:numPr>
                <w:ilvl w:val="1"/>
                <w:numId w:val="1"/>
              </w:numPr>
              <w:spacing w:after="0" w:line="240" w:lineRule="auto"/>
              <w:ind w:left="426" w:hanging="426"/>
              <w:contextualSpacing/>
              <w:jc w:val="both"/>
              <w:rPr>
                <w:rFonts w:ascii="Times New Roman" w:hAnsi="Times New Roman"/>
                <w:b/>
                <w:bCs/>
                <w:sz w:val="20"/>
                <w:szCs w:val="20"/>
                <w:bdr w:val="none" w:sz="0" w:space="0" w:color="auto" w:frame="1"/>
              </w:rPr>
            </w:pPr>
            <w:r w:rsidRPr="00BC49E1">
              <w:rPr>
                <w:rFonts w:ascii="Times New Roman" w:eastAsia="Times New Roman" w:hAnsi="Times New Roman"/>
                <w:b/>
                <w:sz w:val="20"/>
                <w:szCs w:val="20"/>
              </w:rPr>
              <w:t>Uzlabota attīstības centru sasniedzamība (t.sk. valsts autoceļu stāvoklis un sabiedriskā transporta nodrošinājums reģionu iedzīvotājiem)</w:t>
            </w:r>
          </w:p>
        </w:tc>
        <w:tc>
          <w:tcPr>
            <w:tcW w:w="7400" w:type="dxa"/>
            <w:gridSpan w:val="4"/>
            <w:shd w:val="clear" w:color="auto" w:fill="auto"/>
          </w:tcPr>
          <w:p w:rsidR="002E588C" w:rsidP="00423635">
            <w:pPr>
              <w:spacing w:after="0" w:line="240" w:lineRule="auto"/>
              <w:jc w:val="both"/>
              <w:rPr>
                <w:rFonts w:ascii="Times New Roman" w:hAnsi="Times New Roman"/>
                <w:sz w:val="20"/>
                <w:szCs w:val="20"/>
              </w:rPr>
            </w:pPr>
            <w:r w:rsidRPr="00423635">
              <w:rPr>
                <w:rFonts w:ascii="Times New Roman" w:hAnsi="Times New Roman"/>
                <w:sz w:val="20"/>
                <w:szCs w:val="20"/>
              </w:rPr>
              <w:t>Rezultatīvie rādītāji attiecībā uz valsts autoceļu stāvokli un sabiedriskā transporta nodrošinājumu reģionu iedzīvotājiem, to bāzes un sasniedzamās vērtības noteiktas Transporta attīstības pamatnostādnēs 2014.-2020.gadam</w:t>
            </w:r>
            <w:r>
              <w:rPr>
                <w:rStyle w:val="FootnoteReference"/>
                <w:rFonts w:ascii="Times New Roman" w:hAnsi="Times New Roman"/>
                <w:sz w:val="20"/>
                <w:szCs w:val="20"/>
              </w:rPr>
              <w:footnoteReference w:id="15"/>
            </w:r>
            <w:r w:rsidRPr="00423635" w:rsidR="006968BF">
              <w:rPr>
                <w:rFonts w:ascii="Times New Roman" w:hAnsi="Times New Roman"/>
                <w:sz w:val="20"/>
                <w:szCs w:val="20"/>
              </w:rPr>
              <w:t>:</w:t>
            </w:r>
          </w:p>
          <w:p w:rsidR="00423635" w:rsidRPr="00423635" w:rsidP="00423635">
            <w:pPr>
              <w:spacing w:after="0" w:line="240" w:lineRule="auto"/>
              <w:jc w:val="both"/>
              <w:rPr>
                <w:rFonts w:ascii="Times New Roman" w:hAnsi="Times New Roman"/>
                <w:sz w:val="20"/>
                <w:szCs w:val="20"/>
              </w:rPr>
            </w:pPr>
          </w:p>
          <w:p w:rsidR="00423635" w:rsidRPr="00423635" w:rsidP="00423635">
            <w:pPr>
              <w:spacing w:after="0" w:line="240" w:lineRule="auto"/>
              <w:jc w:val="both"/>
              <w:rPr>
                <w:rFonts w:ascii="Times New Roman" w:hAnsi="Times New Roman"/>
                <w:sz w:val="20"/>
                <w:szCs w:val="20"/>
              </w:rPr>
            </w:pPr>
            <w:r w:rsidRPr="00423635">
              <w:rPr>
                <w:rFonts w:ascii="Times New Roman" w:hAnsi="Times New Roman"/>
                <w:sz w:val="20"/>
                <w:szCs w:val="20"/>
              </w:rPr>
              <w:t>Samazināts valsts autoceļu ar asfalta segumu sliktā un ļoti sliktā stāvoklī garums par 57%, salīdzinot ar 2012.gadu:</w:t>
            </w:r>
          </w:p>
          <w:p w:rsidR="006968BF" w:rsidRPr="00423635" w:rsidP="00423635">
            <w:pPr>
              <w:pStyle w:val="ListParagraph"/>
              <w:numPr>
                <w:ilvl w:val="0"/>
                <w:numId w:val="10"/>
              </w:numPr>
              <w:spacing w:after="0" w:line="240" w:lineRule="auto"/>
              <w:jc w:val="both"/>
              <w:rPr>
                <w:rFonts w:ascii="Times New Roman" w:hAnsi="Times New Roman"/>
                <w:bCs/>
                <w:sz w:val="20"/>
                <w:szCs w:val="20"/>
                <w:bdr w:val="none" w:sz="0" w:space="0" w:color="auto" w:frame="1"/>
              </w:rPr>
            </w:pPr>
            <w:r w:rsidRPr="00423635">
              <w:rPr>
                <w:rFonts w:ascii="Times New Roman" w:hAnsi="Times New Roman"/>
                <w:bCs/>
                <w:sz w:val="20"/>
                <w:szCs w:val="20"/>
                <w:bdr w:val="none" w:sz="0" w:space="0" w:color="auto" w:frame="1"/>
              </w:rPr>
              <w:t>Valsts galveno autoceļu sliktā un ļoti sliktā stāvoklī samazinājums, %</w:t>
            </w:r>
            <w:r w:rsidRPr="00423635" w:rsidR="003862C8">
              <w:rPr>
                <w:rFonts w:ascii="Times New Roman" w:hAnsi="Times New Roman"/>
                <w:bCs/>
                <w:sz w:val="20"/>
                <w:szCs w:val="20"/>
                <w:bdr w:val="none" w:sz="0" w:space="0" w:color="auto" w:frame="1"/>
              </w:rPr>
              <w:t>, salīdzinot ar 2012.</w:t>
            </w:r>
            <w:r w:rsidRPr="00423635">
              <w:rPr>
                <w:rFonts w:ascii="Times New Roman" w:hAnsi="Times New Roman"/>
                <w:bCs/>
                <w:sz w:val="20"/>
                <w:szCs w:val="20"/>
                <w:bdr w:val="none" w:sz="0" w:space="0" w:color="auto" w:frame="1"/>
              </w:rPr>
              <w:t>gadu (prognoze 2016.gadam – 37%)</w:t>
            </w:r>
            <w:r>
              <w:rPr>
                <w:rStyle w:val="FootnoteReference"/>
                <w:rFonts w:ascii="Times New Roman" w:hAnsi="Times New Roman"/>
                <w:bCs/>
                <w:sz w:val="20"/>
                <w:szCs w:val="20"/>
                <w:bdr w:val="none" w:sz="0" w:space="0" w:color="auto" w:frame="1"/>
              </w:rPr>
              <w:footnoteReference w:id="16"/>
            </w:r>
            <w:r w:rsidRPr="00423635" w:rsidR="00423635">
              <w:rPr>
                <w:rFonts w:ascii="Times New Roman" w:hAnsi="Times New Roman"/>
                <w:bCs/>
                <w:sz w:val="20"/>
                <w:szCs w:val="20"/>
                <w:bdr w:val="none" w:sz="0" w:space="0" w:color="auto" w:frame="1"/>
              </w:rPr>
              <w:t>;</w:t>
            </w:r>
          </w:p>
          <w:p w:rsidR="00423635" w:rsidRPr="00423635" w:rsidP="00423635">
            <w:pPr>
              <w:pStyle w:val="ListParagraph"/>
              <w:numPr>
                <w:ilvl w:val="0"/>
                <w:numId w:val="10"/>
              </w:numPr>
              <w:spacing w:after="0" w:line="240" w:lineRule="auto"/>
              <w:jc w:val="both"/>
              <w:rPr>
                <w:rFonts w:ascii="Times New Roman" w:hAnsi="Times New Roman"/>
                <w:bCs/>
                <w:sz w:val="20"/>
                <w:szCs w:val="20"/>
                <w:bdr w:val="none" w:sz="0" w:space="0" w:color="auto" w:frame="1"/>
              </w:rPr>
            </w:pPr>
            <w:r w:rsidRPr="00423635">
              <w:rPr>
                <w:rFonts w:ascii="Times New Roman" w:hAnsi="Times New Roman"/>
                <w:bCs/>
                <w:sz w:val="20"/>
                <w:szCs w:val="20"/>
                <w:bdr w:val="none" w:sz="0" w:space="0" w:color="auto" w:frame="1"/>
              </w:rPr>
              <w:t>Valsts reģionālo autoceļu ar asfalta segumu sliktā un ļoti sliktā stāvoklī samazinājums, %, salīdzinot ar 2012. gadu (prognoze 2016.gadam – 15%).</w:t>
            </w:r>
          </w:p>
          <w:p w:rsidR="00423635" w:rsidRPr="00423635" w:rsidP="00423635">
            <w:pPr>
              <w:spacing w:after="0" w:line="240" w:lineRule="auto"/>
              <w:jc w:val="both"/>
              <w:rPr>
                <w:rFonts w:ascii="Times New Roman" w:hAnsi="Times New Roman"/>
                <w:bCs/>
                <w:sz w:val="20"/>
                <w:szCs w:val="20"/>
                <w:bdr w:val="none" w:sz="0" w:space="0" w:color="auto" w:frame="1"/>
              </w:rPr>
            </w:pPr>
            <w:r w:rsidRPr="00423635">
              <w:rPr>
                <w:rFonts w:ascii="Times New Roman" w:hAnsi="Times New Roman"/>
                <w:bCs/>
                <w:sz w:val="20"/>
                <w:szCs w:val="20"/>
                <w:bdr w:val="none" w:sz="0" w:space="0" w:color="auto" w:frame="1"/>
              </w:rPr>
              <w:t>Nodrošināta iespēja visiem iedzīvotājiem nokļūt novada centrā, apmeklēt izglītības iestādes, nokļūt darbavietās, valsts un pašvaldību institūcijās to normālajā darba laikā ar sabiedrisko transportu:</w:t>
            </w:r>
          </w:p>
          <w:p w:rsidR="00423635" w:rsidRPr="00423635" w:rsidP="00423635">
            <w:pPr>
              <w:numPr>
                <w:ilvl w:val="0"/>
                <w:numId w:val="10"/>
              </w:numPr>
              <w:spacing w:after="0" w:line="240" w:lineRule="auto"/>
              <w:contextualSpacing/>
              <w:jc w:val="both"/>
              <w:rPr>
                <w:rFonts w:ascii="Times New Roman" w:hAnsi="Times New Roman"/>
                <w:bCs/>
                <w:sz w:val="20"/>
                <w:szCs w:val="20"/>
                <w:bdr w:val="none" w:sz="0" w:space="0" w:color="auto" w:frame="1"/>
              </w:rPr>
            </w:pPr>
            <w:r w:rsidRPr="00423635">
              <w:rPr>
                <w:rFonts w:ascii="Times New Roman" w:hAnsi="Times New Roman"/>
                <w:bCs/>
                <w:sz w:val="20"/>
                <w:szCs w:val="20"/>
                <w:bdr w:val="none" w:sz="0" w:space="0" w:color="auto" w:frame="1"/>
              </w:rPr>
              <w:t>Pagastu īpatsvars, kur ir nodrošināti vismaz divi sabiedriskā transporta reisi dienā, kas savieno bijušos pagastu administratīvos centrus ar novada centru (prognoze 2016.gadam – 100%)</w:t>
            </w:r>
          </w:p>
          <w:p w:rsidR="004677FD" w:rsidRPr="00BC49E1" w:rsidP="00423635">
            <w:pPr>
              <w:pStyle w:val="ListParagraph"/>
              <w:numPr>
                <w:ilvl w:val="0"/>
                <w:numId w:val="10"/>
              </w:numPr>
              <w:spacing w:after="0" w:line="240" w:lineRule="auto"/>
              <w:jc w:val="both"/>
              <w:rPr>
                <w:rFonts w:ascii="Times New Roman" w:hAnsi="Times New Roman"/>
                <w:bCs/>
                <w:sz w:val="20"/>
                <w:szCs w:val="20"/>
                <w:bdr w:val="none" w:sz="0" w:space="0" w:color="auto" w:frame="1"/>
              </w:rPr>
            </w:pPr>
            <w:r w:rsidRPr="00423635">
              <w:rPr>
                <w:rFonts w:ascii="Times New Roman" w:hAnsi="Times New Roman"/>
                <w:bCs/>
                <w:sz w:val="20"/>
                <w:szCs w:val="20"/>
                <w:bdr w:val="none" w:sz="0" w:space="0" w:color="auto" w:frame="1"/>
              </w:rPr>
              <w:t>Novadu īpatsvars, kur ir nodrošināti vismaz divi reisi dienā, kas savieno novadus ar reģiona centru vai galvaspilsētu (prognoze 2016.gadam – 100%)</w:t>
            </w:r>
          </w:p>
        </w:tc>
        <w:tc>
          <w:tcPr>
            <w:tcW w:w="1559" w:type="dxa"/>
            <w:shd w:val="clear" w:color="auto" w:fill="auto"/>
          </w:tcPr>
          <w:p w:rsidR="005E0A2F" w:rsidRPr="00BC49E1" w:rsidP="006968BF">
            <w:pPr>
              <w:spacing w:after="0" w:line="240" w:lineRule="auto"/>
              <w:jc w:val="both"/>
              <w:rPr>
                <w:rFonts w:ascii="Times New Roman" w:hAnsi="Times New Roman"/>
                <w:bCs/>
                <w:sz w:val="20"/>
                <w:szCs w:val="20"/>
                <w:bdr w:val="none" w:sz="0" w:space="0" w:color="auto" w:frame="1"/>
              </w:rPr>
            </w:pPr>
          </w:p>
          <w:p w:rsidR="005E0A2F" w:rsidRPr="00BC49E1" w:rsidP="006968BF">
            <w:pPr>
              <w:spacing w:after="0" w:line="240" w:lineRule="auto"/>
              <w:jc w:val="both"/>
              <w:rPr>
                <w:rFonts w:ascii="Times New Roman" w:hAnsi="Times New Roman"/>
                <w:bCs/>
                <w:sz w:val="20"/>
                <w:szCs w:val="20"/>
                <w:bdr w:val="none" w:sz="0" w:space="0" w:color="auto" w:frame="1"/>
              </w:rPr>
            </w:pPr>
          </w:p>
          <w:p w:rsidR="005E0A2F" w:rsidRPr="00BC49E1" w:rsidP="006968BF">
            <w:pPr>
              <w:spacing w:after="0" w:line="240" w:lineRule="auto"/>
              <w:jc w:val="both"/>
              <w:rPr>
                <w:rFonts w:ascii="Times New Roman" w:hAnsi="Times New Roman"/>
                <w:bCs/>
                <w:sz w:val="20"/>
                <w:szCs w:val="20"/>
                <w:bdr w:val="none" w:sz="0" w:space="0" w:color="auto" w:frame="1"/>
              </w:rPr>
            </w:pPr>
          </w:p>
          <w:p w:rsidR="005E0A2F" w:rsidRPr="00BC49E1" w:rsidP="006968BF">
            <w:pPr>
              <w:spacing w:after="0" w:line="240" w:lineRule="auto"/>
              <w:jc w:val="both"/>
              <w:rPr>
                <w:rFonts w:ascii="Times New Roman" w:hAnsi="Times New Roman"/>
                <w:bCs/>
                <w:sz w:val="20"/>
                <w:szCs w:val="20"/>
                <w:bdr w:val="none" w:sz="0" w:space="0" w:color="auto" w:frame="1"/>
              </w:rPr>
            </w:pPr>
          </w:p>
          <w:p w:rsidR="00423635" w:rsidP="006968BF">
            <w:pPr>
              <w:spacing w:after="0" w:line="240" w:lineRule="auto"/>
              <w:jc w:val="both"/>
              <w:rPr>
                <w:rFonts w:ascii="Times New Roman" w:hAnsi="Times New Roman"/>
                <w:bCs/>
                <w:sz w:val="20"/>
                <w:szCs w:val="20"/>
                <w:bdr w:val="none" w:sz="0" w:space="0" w:color="auto" w:frame="1"/>
              </w:rPr>
            </w:pPr>
          </w:p>
          <w:p w:rsidR="00423635" w:rsidP="006968BF">
            <w:pPr>
              <w:spacing w:after="0" w:line="240" w:lineRule="auto"/>
              <w:jc w:val="both"/>
              <w:rPr>
                <w:rFonts w:ascii="Times New Roman" w:hAnsi="Times New Roman"/>
                <w:bCs/>
                <w:sz w:val="20"/>
                <w:szCs w:val="20"/>
                <w:bdr w:val="none" w:sz="0" w:space="0" w:color="auto" w:frame="1"/>
              </w:rPr>
            </w:pPr>
          </w:p>
          <w:p w:rsidR="002E588C" w:rsidRPr="00BC49E1" w:rsidP="006968BF">
            <w:pPr>
              <w:spacing w:after="0" w:line="240" w:lineRule="auto"/>
              <w:jc w:val="both"/>
              <w:rPr>
                <w:rFonts w:ascii="Times New Roman" w:hAnsi="Times New Roman"/>
                <w:bCs/>
                <w:sz w:val="20"/>
                <w:szCs w:val="20"/>
                <w:bdr w:val="none" w:sz="0" w:space="0" w:color="auto" w:frame="1"/>
              </w:rPr>
            </w:pPr>
            <w:r>
              <w:rPr>
                <w:rFonts w:ascii="Times New Roman" w:hAnsi="Times New Roman"/>
                <w:bCs/>
                <w:sz w:val="20"/>
                <w:szCs w:val="20"/>
                <w:bdr w:val="none" w:sz="0" w:space="0" w:color="auto" w:frame="1"/>
              </w:rPr>
              <w:t>23</w:t>
            </w:r>
            <w:r w:rsidRPr="00BC49E1" w:rsidR="005E0A2F">
              <w:rPr>
                <w:rFonts w:ascii="Times New Roman" w:hAnsi="Times New Roman"/>
                <w:bCs/>
                <w:sz w:val="20"/>
                <w:szCs w:val="20"/>
                <w:bdr w:val="none" w:sz="0" w:space="0" w:color="auto" w:frame="1"/>
              </w:rPr>
              <w:t>%</w:t>
            </w:r>
          </w:p>
          <w:p w:rsidR="00423635" w:rsidP="006968BF">
            <w:pPr>
              <w:spacing w:after="0" w:line="240" w:lineRule="auto"/>
              <w:jc w:val="both"/>
              <w:rPr>
                <w:rFonts w:ascii="Times New Roman" w:hAnsi="Times New Roman"/>
                <w:bCs/>
                <w:sz w:val="20"/>
                <w:szCs w:val="20"/>
                <w:bdr w:val="none" w:sz="0" w:space="0" w:color="auto" w:frame="1"/>
              </w:rPr>
            </w:pPr>
          </w:p>
          <w:p w:rsidR="005E0A2F" w:rsidRPr="00423635" w:rsidP="006968BF">
            <w:pPr>
              <w:spacing w:after="0" w:line="240" w:lineRule="auto"/>
              <w:jc w:val="both"/>
              <w:rPr>
                <w:rFonts w:ascii="Times New Roman" w:hAnsi="Times New Roman"/>
                <w:bCs/>
                <w:sz w:val="20"/>
                <w:szCs w:val="20"/>
                <w:bdr w:val="none" w:sz="0" w:space="0" w:color="auto" w:frame="1"/>
              </w:rPr>
            </w:pPr>
            <w:r w:rsidRPr="00423635">
              <w:rPr>
                <w:rFonts w:ascii="Times New Roman" w:hAnsi="Times New Roman"/>
                <w:bCs/>
                <w:sz w:val="20"/>
                <w:szCs w:val="20"/>
                <w:bdr w:val="none" w:sz="0" w:space="0" w:color="auto" w:frame="1"/>
              </w:rPr>
              <w:t>2%</w:t>
            </w:r>
          </w:p>
          <w:p w:rsidR="005E0A2F" w:rsidRPr="00BC49E1" w:rsidP="006968BF">
            <w:pPr>
              <w:spacing w:after="0" w:line="240" w:lineRule="auto"/>
              <w:jc w:val="both"/>
              <w:rPr>
                <w:rFonts w:ascii="Times New Roman" w:hAnsi="Times New Roman"/>
                <w:b/>
                <w:bCs/>
                <w:sz w:val="20"/>
                <w:szCs w:val="20"/>
                <w:bdr w:val="none" w:sz="0" w:space="0" w:color="auto" w:frame="1"/>
              </w:rPr>
            </w:pPr>
          </w:p>
          <w:p w:rsidR="00423635" w:rsidP="006968BF">
            <w:pPr>
              <w:spacing w:after="0" w:line="240" w:lineRule="auto"/>
              <w:jc w:val="both"/>
              <w:rPr>
                <w:rFonts w:ascii="Times New Roman" w:hAnsi="Times New Roman"/>
                <w:bCs/>
                <w:sz w:val="20"/>
                <w:szCs w:val="20"/>
                <w:bdr w:val="none" w:sz="0" w:space="0" w:color="auto" w:frame="1"/>
              </w:rPr>
            </w:pPr>
          </w:p>
          <w:p w:rsidR="00423635" w:rsidP="006968BF">
            <w:pPr>
              <w:spacing w:after="0" w:line="240" w:lineRule="auto"/>
              <w:jc w:val="both"/>
              <w:rPr>
                <w:rFonts w:ascii="Times New Roman" w:hAnsi="Times New Roman"/>
                <w:bCs/>
                <w:sz w:val="20"/>
                <w:szCs w:val="20"/>
                <w:bdr w:val="none" w:sz="0" w:space="0" w:color="auto" w:frame="1"/>
              </w:rPr>
            </w:pPr>
          </w:p>
          <w:p w:rsidR="00423635" w:rsidP="006968BF">
            <w:pPr>
              <w:spacing w:after="0" w:line="240" w:lineRule="auto"/>
              <w:jc w:val="both"/>
              <w:rPr>
                <w:rFonts w:ascii="Times New Roman" w:hAnsi="Times New Roman"/>
                <w:bCs/>
                <w:sz w:val="20"/>
                <w:szCs w:val="20"/>
                <w:bdr w:val="none" w:sz="0" w:space="0" w:color="auto" w:frame="1"/>
              </w:rPr>
            </w:pPr>
          </w:p>
          <w:p w:rsidR="00423635" w:rsidP="006968BF">
            <w:pPr>
              <w:spacing w:after="0" w:line="240" w:lineRule="auto"/>
              <w:jc w:val="both"/>
              <w:rPr>
                <w:rFonts w:ascii="Times New Roman" w:hAnsi="Times New Roman"/>
                <w:bCs/>
                <w:sz w:val="20"/>
                <w:szCs w:val="20"/>
                <w:bdr w:val="none" w:sz="0" w:space="0" w:color="auto" w:frame="1"/>
              </w:rPr>
            </w:pPr>
          </w:p>
          <w:p w:rsidR="00423635" w:rsidP="006968BF">
            <w:pPr>
              <w:spacing w:after="0" w:line="240" w:lineRule="auto"/>
              <w:jc w:val="both"/>
              <w:rPr>
                <w:rFonts w:ascii="Times New Roman" w:hAnsi="Times New Roman"/>
                <w:bCs/>
                <w:sz w:val="20"/>
                <w:szCs w:val="20"/>
                <w:bdr w:val="none" w:sz="0" w:space="0" w:color="auto" w:frame="1"/>
              </w:rPr>
            </w:pPr>
          </w:p>
          <w:p w:rsidR="00423635" w:rsidP="006968BF">
            <w:pPr>
              <w:spacing w:after="0" w:line="240" w:lineRule="auto"/>
              <w:jc w:val="both"/>
              <w:rPr>
                <w:rFonts w:ascii="Times New Roman" w:hAnsi="Times New Roman"/>
                <w:bCs/>
                <w:sz w:val="20"/>
                <w:szCs w:val="20"/>
                <w:bdr w:val="none" w:sz="0" w:space="0" w:color="auto" w:frame="1"/>
              </w:rPr>
            </w:pPr>
          </w:p>
          <w:p w:rsidR="00423635" w:rsidP="006968BF">
            <w:pPr>
              <w:spacing w:after="0" w:line="240" w:lineRule="auto"/>
              <w:jc w:val="both"/>
              <w:rPr>
                <w:rFonts w:ascii="Times New Roman" w:hAnsi="Times New Roman"/>
                <w:bCs/>
                <w:sz w:val="20"/>
                <w:szCs w:val="20"/>
                <w:bdr w:val="none" w:sz="0" w:space="0" w:color="auto" w:frame="1"/>
              </w:rPr>
            </w:pPr>
          </w:p>
          <w:p w:rsidR="005E0A2F" w:rsidRPr="00BC49E1" w:rsidP="006968BF">
            <w:pPr>
              <w:spacing w:after="0" w:line="240" w:lineRule="auto"/>
              <w:jc w:val="both"/>
              <w:rPr>
                <w:rFonts w:ascii="Times New Roman" w:hAnsi="Times New Roman"/>
                <w:bCs/>
                <w:sz w:val="20"/>
                <w:szCs w:val="20"/>
                <w:bdr w:val="none" w:sz="0" w:space="0" w:color="auto" w:frame="1"/>
              </w:rPr>
            </w:pPr>
            <w:r w:rsidRPr="00BC49E1">
              <w:rPr>
                <w:rFonts w:ascii="Times New Roman" w:hAnsi="Times New Roman"/>
                <w:bCs/>
                <w:sz w:val="20"/>
                <w:szCs w:val="20"/>
                <w:bdr w:val="none" w:sz="0" w:space="0" w:color="auto" w:frame="1"/>
              </w:rPr>
              <w:t>100%</w:t>
            </w:r>
          </w:p>
          <w:p w:rsidR="005E0A2F" w:rsidRPr="00BC49E1" w:rsidP="006968BF">
            <w:pPr>
              <w:spacing w:after="0" w:line="240" w:lineRule="auto"/>
              <w:jc w:val="both"/>
              <w:rPr>
                <w:rFonts w:ascii="Times New Roman" w:hAnsi="Times New Roman"/>
                <w:bCs/>
                <w:sz w:val="20"/>
                <w:szCs w:val="20"/>
                <w:bdr w:val="none" w:sz="0" w:space="0" w:color="auto" w:frame="1"/>
              </w:rPr>
            </w:pPr>
          </w:p>
          <w:p w:rsidR="005E0A2F" w:rsidRPr="00BC49E1" w:rsidP="006968BF">
            <w:pPr>
              <w:spacing w:after="0" w:line="240" w:lineRule="auto"/>
              <w:jc w:val="both"/>
              <w:rPr>
                <w:rFonts w:ascii="Times New Roman" w:hAnsi="Times New Roman"/>
                <w:b/>
                <w:bCs/>
                <w:sz w:val="20"/>
                <w:szCs w:val="20"/>
                <w:bdr w:val="none" w:sz="0" w:space="0" w:color="auto" w:frame="1"/>
              </w:rPr>
            </w:pPr>
            <w:r w:rsidRPr="00BC49E1">
              <w:rPr>
                <w:rFonts w:ascii="Times New Roman" w:hAnsi="Times New Roman"/>
                <w:bCs/>
                <w:sz w:val="20"/>
                <w:szCs w:val="20"/>
                <w:bdr w:val="none" w:sz="0" w:space="0" w:color="auto" w:frame="1"/>
              </w:rPr>
              <w:t>100%</w:t>
            </w:r>
          </w:p>
        </w:tc>
        <w:tc>
          <w:tcPr>
            <w:tcW w:w="1389" w:type="dxa"/>
            <w:shd w:val="clear" w:color="auto" w:fill="auto"/>
          </w:tcPr>
          <w:p w:rsidR="002E588C" w:rsidRPr="00BC49E1" w:rsidP="006968BF">
            <w:pPr>
              <w:spacing w:after="0" w:line="240" w:lineRule="auto"/>
              <w:jc w:val="both"/>
              <w:rPr>
                <w:rFonts w:ascii="Times New Roman" w:hAnsi="Times New Roman"/>
                <w:b/>
                <w:bCs/>
                <w:sz w:val="20"/>
                <w:szCs w:val="20"/>
                <w:bdr w:val="none" w:sz="0" w:space="0" w:color="auto" w:frame="1"/>
              </w:rPr>
            </w:pPr>
            <w:r w:rsidRPr="00BC49E1">
              <w:rPr>
                <w:rFonts w:ascii="Times New Roman" w:hAnsi="Times New Roman"/>
                <w:sz w:val="20"/>
                <w:szCs w:val="20"/>
              </w:rPr>
              <w:t>SM dati</w:t>
            </w:r>
          </w:p>
        </w:tc>
        <w:tc>
          <w:tcPr>
            <w:tcW w:w="1305" w:type="dxa"/>
            <w:shd w:val="clear" w:color="auto" w:fill="auto"/>
          </w:tcPr>
          <w:p w:rsidR="002E588C" w:rsidRPr="00BC49E1" w:rsidP="006968BF">
            <w:pPr>
              <w:spacing w:after="0" w:line="240" w:lineRule="auto"/>
              <w:jc w:val="both"/>
              <w:rPr>
                <w:rFonts w:ascii="Times New Roman" w:hAnsi="Times New Roman"/>
                <w:b/>
                <w:bCs/>
                <w:sz w:val="20"/>
                <w:szCs w:val="20"/>
                <w:bdr w:val="none" w:sz="0" w:space="0" w:color="auto" w:frame="1"/>
              </w:rPr>
            </w:pPr>
            <w:r w:rsidRPr="00BC49E1">
              <w:rPr>
                <w:rFonts w:ascii="Times New Roman" w:hAnsi="Times New Roman"/>
                <w:sz w:val="20"/>
                <w:szCs w:val="20"/>
              </w:rPr>
              <w:t>Noteikts Transporta attīstības pamatnostādnes 2014.-2020.gadam</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both"/>
              <w:rPr>
                <w:rFonts w:ascii="Times New Roman" w:hAnsi="Times New Roman"/>
                <w:b/>
                <w:sz w:val="20"/>
                <w:szCs w:val="20"/>
              </w:rPr>
            </w:pPr>
            <w:r w:rsidRPr="00BC49E1">
              <w:rPr>
                <w:rFonts w:ascii="Times New Roman" w:hAnsi="Times New Roman"/>
                <w:b/>
                <w:sz w:val="20"/>
                <w:szCs w:val="20"/>
              </w:rPr>
              <w:t>Darbības rezultāts</w:t>
            </w:r>
          </w:p>
        </w:tc>
        <w:tc>
          <w:tcPr>
            <w:tcW w:w="7400" w:type="dxa"/>
            <w:gridSpan w:val="4"/>
            <w:shd w:val="clear" w:color="auto" w:fill="BFBFBF"/>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10343" w:type="dxa"/>
            <w:gridSpan w:val="5"/>
            <w:shd w:val="clear" w:color="auto" w:fill="auto"/>
          </w:tcPr>
          <w:p w:rsidR="002E588C" w:rsidRPr="00BC49E1" w:rsidP="00F17AEF">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eastAsia="Times New Roman" w:hAnsi="Times New Roman"/>
                <w:sz w:val="20"/>
                <w:szCs w:val="20"/>
              </w:rPr>
              <w:t xml:space="preserve">Darbības rezultāti, rezultatīvie rādītāji, to bāzes un sasniedzamās vērtības tiks noteiktas Transporta attīstības pamatnostādnēs 2014.-2020.gadam </w:t>
            </w:r>
          </w:p>
        </w:tc>
        <w:tc>
          <w:tcPr>
            <w:tcW w:w="1559"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eastAsia="Times New Roman" w:hAnsi="Times New Roman"/>
                <w:sz w:val="20"/>
                <w:szCs w:val="20"/>
              </w:rPr>
              <w:t>Transporta attīstības pamatnostādnēs 2014.-2020.gadam nav noteikti darbības rezultāti</w:t>
            </w:r>
          </w:p>
        </w:tc>
        <w:tc>
          <w:tcPr>
            <w:tcW w:w="1389"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SM dati</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Noteikts Transporta attīstības pamatnostādnes 2014.-2020.gadam</w:t>
            </w:r>
          </w:p>
          <w:p w:rsidR="002E588C" w:rsidRPr="00BC49E1" w:rsidP="006968BF">
            <w:pPr>
              <w:spacing w:after="0" w:line="240" w:lineRule="auto"/>
              <w:jc w:val="both"/>
              <w:rPr>
                <w:rFonts w:ascii="Times New Roman" w:hAnsi="Times New Roman"/>
                <w:sz w:val="20"/>
                <w:szCs w:val="20"/>
              </w:rPr>
            </w:pP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both"/>
              <w:rPr>
                <w:rFonts w:ascii="Times New Roman" w:eastAsia="Times New Roman" w:hAnsi="Times New Roman"/>
                <w:sz w:val="20"/>
                <w:szCs w:val="20"/>
              </w:rPr>
            </w:pPr>
            <w:r w:rsidRPr="00BC49E1">
              <w:rPr>
                <w:rFonts w:ascii="Times New Roman" w:eastAsia="Times New Roman" w:hAnsi="Times New Roman"/>
                <w:b/>
                <w:bCs/>
                <w:sz w:val="20"/>
                <w:szCs w:val="20"/>
                <w:bdr w:val="none" w:sz="0" w:space="0" w:color="auto" w:frame="1"/>
              </w:rPr>
              <w:t>Politikas rezultāts</w:t>
            </w:r>
          </w:p>
        </w:tc>
        <w:tc>
          <w:tcPr>
            <w:tcW w:w="7400" w:type="dxa"/>
            <w:gridSpan w:val="4"/>
            <w:shd w:val="clear" w:color="auto" w:fill="BFBFBF"/>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vMerge w:val="restart"/>
          </w:tcPr>
          <w:p w:rsidR="002E588C" w:rsidRPr="00BC49E1" w:rsidP="00F17AEF">
            <w:pPr>
              <w:numPr>
                <w:ilvl w:val="1"/>
                <w:numId w:val="1"/>
              </w:numPr>
              <w:spacing w:after="0" w:line="240" w:lineRule="auto"/>
              <w:ind w:left="426" w:hanging="426"/>
              <w:contextualSpacing/>
              <w:jc w:val="both"/>
              <w:rPr>
                <w:rFonts w:ascii="Times New Roman" w:hAnsi="Times New Roman"/>
                <w:b/>
                <w:sz w:val="20"/>
                <w:szCs w:val="20"/>
              </w:rPr>
            </w:pPr>
            <w:r w:rsidRPr="00BC49E1">
              <w:rPr>
                <w:rFonts w:ascii="Times New Roman" w:eastAsia="Times New Roman" w:hAnsi="Times New Roman"/>
                <w:b/>
                <w:sz w:val="20"/>
                <w:szCs w:val="20"/>
              </w:rPr>
              <w:t>Veicināta Rīgas starptautiskā konkurētspēja</w:t>
            </w:r>
          </w:p>
        </w:tc>
        <w:tc>
          <w:tcPr>
            <w:tcW w:w="7400" w:type="dxa"/>
            <w:gridSpan w:val="4"/>
          </w:tcPr>
          <w:p w:rsidR="000328CE" w:rsidRPr="00BC49E1" w:rsidP="00F17AEF">
            <w:pPr>
              <w:numPr>
                <w:ilvl w:val="0"/>
                <w:numId w:val="3"/>
              </w:numPr>
              <w:spacing w:after="0" w:line="240" w:lineRule="auto"/>
              <w:jc w:val="both"/>
              <w:rPr>
                <w:rFonts w:ascii="Times New Roman" w:hAnsi="Times New Roman"/>
                <w:sz w:val="20"/>
                <w:szCs w:val="20"/>
              </w:rPr>
            </w:pPr>
            <w:r w:rsidRPr="00BC49E1">
              <w:rPr>
                <w:rFonts w:ascii="Times New Roman" w:hAnsi="Times New Roman"/>
                <w:sz w:val="20"/>
                <w:szCs w:val="20"/>
              </w:rPr>
              <w:t>Attiecībā uz transporta infrastruktūru rezultatīvais rādītājs, tā b</w:t>
            </w:r>
            <w:r w:rsidR="00331AF3">
              <w:rPr>
                <w:rFonts w:ascii="Times New Roman" w:hAnsi="Times New Roman"/>
                <w:sz w:val="20"/>
                <w:szCs w:val="20"/>
              </w:rPr>
              <w:t>āzes un sasniedzamā vērtība</w:t>
            </w:r>
            <w:r w:rsidRPr="00BC49E1">
              <w:rPr>
                <w:rFonts w:ascii="Times New Roman" w:hAnsi="Times New Roman"/>
                <w:sz w:val="20"/>
                <w:szCs w:val="20"/>
              </w:rPr>
              <w:t xml:space="preserve"> noteikta Transporta attīstības pamatnostādnēs 2014.-2020.gadam</w:t>
            </w:r>
            <w:r w:rsidRPr="00BC49E1">
              <w:rPr>
                <w:rFonts w:ascii="Times New Roman" w:hAnsi="Times New Roman"/>
                <w:sz w:val="20"/>
                <w:szCs w:val="20"/>
              </w:rPr>
              <w:t>:</w:t>
            </w:r>
          </w:p>
          <w:p w:rsidR="002E588C" w:rsidRPr="00BC49E1" w:rsidP="000328CE">
            <w:pPr>
              <w:spacing w:after="0" w:line="240" w:lineRule="auto"/>
              <w:ind w:left="360"/>
              <w:jc w:val="both"/>
              <w:rPr>
                <w:rFonts w:ascii="Times New Roman" w:hAnsi="Times New Roman"/>
                <w:sz w:val="20"/>
                <w:szCs w:val="20"/>
              </w:rPr>
            </w:pPr>
            <w:r w:rsidRPr="00BC49E1">
              <w:rPr>
                <w:rFonts w:ascii="Times New Roman" w:hAnsi="Times New Roman"/>
                <w:sz w:val="20"/>
                <w:szCs w:val="20"/>
              </w:rPr>
              <w:t>Rīga – dinamiski augošs Baltijas reģiona un Ziemeļeiropas līmeņa gaisa satiksmes centrs. Ikgadējs apkalpoto pasažieru skaita pieaugums, %</w:t>
            </w:r>
            <w:r w:rsidRPr="00BC49E1">
              <w:rPr>
                <w:rFonts w:ascii="Times New Roman" w:hAnsi="Times New Roman"/>
                <w:sz w:val="20"/>
                <w:szCs w:val="20"/>
              </w:rPr>
              <w:t xml:space="preserve"> </w:t>
            </w:r>
            <w:r w:rsidRPr="00BC49E1">
              <w:rPr>
                <w:rFonts w:ascii="Times New Roman" w:hAnsi="Times New Roman"/>
                <w:bCs/>
                <w:sz w:val="20"/>
                <w:szCs w:val="20"/>
                <w:bdr w:val="none" w:sz="0" w:space="0" w:color="auto" w:frame="1"/>
              </w:rPr>
              <w:t>(prognoze 2016.gadam – 3,5%)</w:t>
            </w:r>
          </w:p>
        </w:tc>
        <w:tc>
          <w:tcPr>
            <w:tcW w:w="1559" w:type="dxa"/>
          </w:tcPr>
          <w:p w:rsidR="002E588C" w:rsidRPr="00BC49E1" w:rsidP="006968BF">
            <w:pPr>
              <w:spacing w:after="0" w:line="240" w:lineRule="auto"/>
              <w:jc w:val="both"/>
              <w:rPr>
                <w:rFonts w:ascii="Times New Roman" w:hAnsi="Times New Roman"/>
                <w:sz w:val="20"/>
                <w:szCs w:val="20"/>
              </w:rPr>
            </w:pPr>
          </w:p>
          <w:p w:rsidR="00E15D07" w:rsidRPr="00BC49E1" w:rsidP="006968BF">
            <w:pPr>
              <w:spacing w:after="0" w:line="240" w:lineRule="auto"/>
              <w:jc w:val="both"/>
              <w:rPr>
                <w:rFonts w:ascii="Times New Roman" w:hAnsi="Times New Roman"/>
                <w:sz w:val="20"/>
                <w:szCs w:val="20"/>
              </w:rPr>
            </w:pPr>
          </w:p>
          <w:p w:rsidR="00E15D07" w:rsidRPr="00BC49E1" w:rsidP="006968BF">
            <w:pPr>
              <w:spacing w:after="0" w:line="240" w:lineRule="auto"/>
              <w:jc w:val="both"/>
              <w:rPr>
                <w:rFonts w:ascii="Times New Roman" w:hAnsi="Times New Roman"/>
                <w:sz w:val="20"/>
                <w:szCs w:val="20"/>
              </w:rPr>
            </w:pPr>
          </w:p>
          <w:p w:rsidR="00E15D07" w:rsidRPr="00BC49E1" w:rsidP="006968BF">
            <w:pPr>
              <w:spacing w:after="0" w:line="240" w:lineRule="auto"/>
              <w:jc w:val="both"/>
              <w:rPr>
                <w:rFonts w:ascii="Times New Roman" w:hAnsi="Times New Roman"/>
                <w:sz w:val="20"/>
                <w:szCs w:val="20"/>
              </w:rPr>
            </w:pPr>
          </w:p>
          <w:p w:rsidR="00E15D07" w:rsidRPr="00BC49E1" w:rsidP="006968BF">
            <w:pPr>
              <w:spacing w:after="0" w:line="240" w:lineRule="auto"/>
              <w:jc w:val="both"/>
              <w:rPr>
                <w:rFonts w:ascii="Times New Roman" w:hAnsi="Times New Roman"/>
                <w:sz w:val="20"/>
                <w:szCs w:val="20"/>
              </w:rPr>
            </w:pPr>
            <w:r w:rsidRPr="00BC49E1">
              <w:rPr>
                <w:rFonts w:ascii="Times New Roman" w:hAnsi="Times New Roman"/>
                <w:sz w:val="20"/>
              </w:rPr>
              <w:t>4,6%</w:t>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SM dati</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Noteikts Transporta attīstības pamatnostādnes 2014.-2020.gadam </w:t>
            </w:r>
          </w:p>
        </w:tc>
      </w:tr>
      <w:tr w:rsidTr="007320AB">
        <w:tblPrEx>
          <w:tblW w:w="14596" w:type="dxa"/>
          <w:tblLayout w:type="fixed"/>
          <w:tblLook w:val="04A0"/>
        </w:tblPrEx>
        <w:tc>
          <w:tcPr>
            <w:tcW w:w="2943" w:type="dxa"/>
            <w:vMerge/>
          </w:tcPr>
          <w:p w:rsidR="002E588C" w:rsidRPr="00BC49E1" w:rsidP="006968BF">
            <w:pPr>
              <w:spacing w:after="0" w:line="240" w:lineRule="auto"/>
              <w:jc w:val="both"/>
              <w:rPr>
                <w:rFonts w:ascii="Times New Roman" w:hAnsi="Times New Roman"/>
                <w:sz w:val="20"/>
                <w:szCs w:val="20"/>
              </w:rPr>
            </w:pPr>
          </w:p>
        </w:tc>
        <w:tc>
          <w:tcPr>
            <w:tcW w:w="3119" w:type="dxa"/>
            <w:shd w:val="clear" w:color="auto" w:fill="auto"/>
          </w:tcPr>
          <w:p w:rsidR="002E588C" w:rsidRPr="00BC49E1" w:rsidP="00F17AEF">
            <w:pPr>
              <w:numPr>
                <w:ilvl w:val="0"/>
                <w:numId w:val="3"/>
              </w:numPr>
              <w:spacing w:after="0" w:line="240" w:lineRule="auto"/>
              <w:jc w:val="both"/>
              <w:rPr>
                <w:rFonts w:ascii="Times New Roman" w:hAnsi="Times New Roman"/>
                <w:sz w:val="20"/>
                <w:szCs w:val="20"/>
              </w:rPr>
            </w:pPr>
            <w:r w:rsidRPr="00BC49E1">
              <w:rPr>
                <w:rFonts w:ascii="Times New Roman" w:hAnsi="Times New Roman"/>
                <w:sz w:val="20"/>
                <w:szCs w:val="20"/>
              </w:rPr>
              <w:t xml:space="preserve">Apmeklējumu skaits atbalstītajos </w:t>
            </w:r>
            <w:r w:rsidRPr="00BC49E1">
              <w:rPr>
                <w:rFonts w:ascii="Times New Roman" w:hAnsi="Times New Roman"/>
                <w:sz w:val="20"/>
                <w:szCs w:val="20"/>
              </w:rPr>
              <w:t>multifunkcionālajos</w:t>
            </w:r>
            <w:r w:rsidRPr="00BC49E1">
              <w:rPr>
                <w:rFonts w:ascii="Times New Roman" w:hAnsi="Times New Roman"/>
                <w:sz w:val="20"/>
                <w:szCs w:val="20"/>
              </w:rPr>
              <w:t xml:space="preserve"> infrastruktūras objektos</w:t>
            </w:r>
          </w:p>
        </w:tc>
        <w:tc>
          <w:tcPr>
            <w:tcW w:w="1304"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1 000 000</w:t>
            </w:r>
          </w:p>
        </w:tc>
        <w:tc>
          <w:tcPr>
            <w:tcW w:w="1276"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1 000 000</w:t>
            </w:r>
          </w:p>
        </w:tc>
        <w:tc>
          <w:tcPr>
            <w:tcW w:w="1701"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1 525 000 </w:t>
            </w:r>
            <w:r w:rsidRPr="00BC49E1">
              <w:rPr>
                <w:rFonts w:ascii="Times New Roman" w:hAnsi="Times New Roman"/>
                <w:sz w:val="20"/>
              </w:rPr>
              <w:t>(</w:t>
            </w:r>
            <w:r w:rsidRPr="00BC49E1">
              <w:rPr>
                <w:rFonts w:ascii="Times New Roman" w:hAnsi="Times New Roman"/>
                <w:sz w:val="20"/>
                <w:szCs w:val="20"/>
              </w:rPr>
              <w:t>35% no pieauguma līdz 2022.gadam; kopā plānots 2 500 000 gadā līdz 2022.gadam)</w:t>
            </w:r>
          </w:p>
        </w:tc>
        <w:tc>
          <w:tcPr>
            <w:tcW w:w="1559" w:type="dxa"/>
          </w:tcPr>
          <w:p w:rsidR="0012763D" w:rsidRPr="00BC49E1" w:rsidP="00FD0C65">
            <w:pPr>
              <w:spacing w:after="0" w:line="240" w:lineRule="auto"/>
              <w:jc w:val="both"/>
              <w:rPr>
                <w:rFonts w:ascii="Times New Roman" w:hAnsi="Times New Roman"/>
                <w:sz w:val="20"/>
                <w:szCs w:val="20"/>
              </w:rPr>
            </w:pPr>
            <w:r w:rsidRPr="00BC49E1">
              <w:rPr>
                <w:rFonts w:ascii="Times New Roman" w:hAnsi="Times New Roman"/>
                <w:sz w:val="20"/>
                <w:szCs w:val="20"/>
              </w:rPr>
              <w:t>0</w:t>
            </w:r>
            <w:r>
              <w:rPr>
                <w:rStyle w:val="FootnoteReference"/>
                <w:rFonts w:ascii="Times New Roman" w:hAnsi="Times New Roman"/>
                <w:sz w:val="20"/>
                <w:szCs w:val="20"/>
              </w:rPr>
              <w:footnoteReference w:id="17"/>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Kultūras nozares statistikas datu bāze www.kulturaskarte.lv </w:t>
            </w:r>
          </w:p>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Latvijas Vieglatlētikas savienības dati</w:t>
            </w:r>
          </w:p>
        </w:tc>
        <w:tc>
          <w:tcPr>
            <w:tcW w:w="1305" w:type="dxa"/>
          </w:tcPr>
          <w:p w:rsidR="002E588C" w:rsidRPr="00BC49E1" w:rsidP="006968BF">
            <w:pPr>
              <w:spacing w:after="60" w:line="240" w:lineRule="auto"/>
              <w:jc w:val="both"/>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both"/>
              <w:rPr>
                <w:rFonts w:ascii="Times New Roman" w:hAnsi="Times New Roman"/>
                <w:b/>
                <w:sz w:val="20"/>
                <w:szCs w:val="20"/>
              </w:rPr>
            </w:pPr>
            <w:r w:rsidRPr="00BC49E1">
              <w:rPr>
                <w:rFonts w:ascii="Times New Roman" w:hAnsi="Times New Roman"/>
                <w:b/>
                <w:sz w:val="20"/>
                <w:szCs w:val="20"/>
              </w:rPr>
              <w:t>Darbības rezultāts</w:t>
            </w:r>
          </w:p>
        </w:tc>
        <w:tc>
          <w:tcPr>
            <w:tcW w:w="7400" w:type="dxa"/>
            <w:gridSpan w:val="4"/>
            <w:shd w:val="clear" w:color="auto" w:fill="BFBFBF"/>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10343" w:type="dxa"/>
            <w:gridSpan w:val="5"/>
          </w:tcPr>
          <w:p w:rsidR="002E588C" w:rsidRPr="00BC49E1" w:rsidP="00F17AEF">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eastAsia="Times New Roman" w:hAnsi="Times New Roman"/>
                <w:sz w:val="20"/>
                <w:szCs w:val="20"/>
              </w:rPr>
              <w:t xml:space="preserve">Attiecībā uz transporta infrastruktūru darbības rezultāts(i), rezultatīvie rādītāji, to bāzes un sasniedzamās vērtības tiks noteiktas Transporta attīstības pamatnostādnēs 2014.-2020.gadam </w:t>
            </w:r>
          </w:p>
        </w:tc>
        <w:tc>
          <w:tcPr>
            <w:tcW w:w="1559" w:type="dxa"/>
          </w:tcPr>
          <w:p w:rsidR="002E588C" w:rsidRPr="00BC49E1" w:rsidP="006968BF">
            <w:pPr>
              <w:spacing w:after="0" w:line="240" w:lineRule="auto"/>
              <w:jc w:val="both"/>
              <w:rPr>
                <w:rFonts w:ascii="Times New Roman" w:hAnsi="Times New Roman"/>
                <w:sz w:val="20"/>
                <w:szCs w:val="20"/>
              </w:rPr>
            </w:pPr>
            <w:r w:rsidRPr="00BC49E1">
              <w:rPr>
                <w:rFonts w:ascii="Times New Roman" w:eastAsia="Times New Roman" w:hAnsi="Times New Roman"/>
                <w:sz w:val="20"/>
                <w:szCs w:val="20"/>
              </w:rPr>
              <w:t xml:space="preserve">Transporta attīstības </w:t>
            </w:r>
            <w:r w:rsidRPr="00BC49E1">
              <w:rPr>
                <w:rFonts w:ascii="Times New Roman" w:eastAsia="Times New Roman" w:hAnsi="Times New Roman"/>
                <w:sz w:val="20"/>
                <w:szCs w:val="20"/>
              </w:rPr>
              <w:t>pamatnostādnēs 2014.-2020.gadam nav noteikti darbības rezultāti</w:t>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SM dati</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Noteikts Transporta </w:t>
            </w:r>
            <w:r w:rsidRPr="00BC49E1">
              <w:rPr>
                <w:rFonts w:ascii="Times New Roman" w:hAnsi="Times New Roman"/>
                <w:sz w:val="20"/>
                <w:szCs w:val="20"/>
              </w:rPr>
              <w:t xml:space="preserve">attīstības pamatnostādnes 2014.-2020.gadam </w:t>
            </w:r>
          </w:p>
        </w:tc>
      </w:tr>
      <w:tr w:rsidTr="007320AB">
        <w:tblPrEx>
          <w:tblW w:w="14596" w:type="dxa"/>
          <w:tblLayout w:type="fixed"/>
          <w:tblLook w:val="04A0"/>
        </w:tblPrEx>
        <w:tc>
          <w:tcPr>
            <w:tcW w:w="2943" w:type="dxa"/>
          </w:tcPr>
          <w:p w:rsidR="002E588C" w:rsidRPr="00BC49E1" w:rsidP="00F17AEF">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eastAsia="Times New Roman" w:hAnsi="Times New Roman"/>
                <w:sz w:val="20"/>
                <w:szCs w:val="20"/>
              </w:rPr>
              <w:t xml:space="preserve">Nacionālas nozīmes </w:t>
            </w:r>
            <w:r w:rsidRPr="00BC49E1">
              <w:rPr>
                <w:rFonts w:ascii="Times New Roman" w:eastAsia="Times New Roman" w:hAnsi="Times New Roman"/>
                <w:sz w:val="20"/>
                <w:szCs w:val="20"/>
              </w:rPr>
              <w:t>multifunkcionālu</w:t>
            </w:r>
            <w:r w:rsidRPr="00BC49E1">
              <w:rPr>
                <w:rFonts w:ascii="Times New Roman" w:eastAsia="Times New Roman" w:hAnsi="Times New Roman"/>
                <w:sz w:val="20"/>
                <w:szCs w:val="20"/>
              </w:rPr>
              <w:t xml:space="preserve"> objektu attīstība</w:t>
            </w:r>
            <w:r w:rsidRPr="00BC49E1">
              <w:rPr>
                <w:rFonts w:ascii="Times New Roman" w:hAnsi="Times New Roman"/>
                <w:sz w:val="20"/>
                <w:szCs w:val="20"/>
              </w:rPr>
              <w:t xml:space="preserve"> </w:t>
            </w:r>
          </w:p>
        </w:tc>
        <w:tc>
          <w:tcPr>
            <w:tcW w:w="3119"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Atbalstīto nacionālas nozīmes </w:t>
            </w:r>
            <w:r w:rsidRPr="00BC49E1">
              <w:rPr>
                <w:rFonts w:ascii="Times New Roman" w:hAnsi="Times New Roman"/>
                <w:sz w:val="20"/>
                <w:szCs w:val="20"/>
              </w:rPr>
              <w:t>multifunkcionālo</w:t>
            </w:r>
            <w:r w:rsidRPr="00BC49E1">
              <w:rPr>
                <w:rFonts w:ascii="Times New Roman" w:hAnsi="Times New Roman"/>
                <w:sz w:val="20"/>
                <w:szCs w:val="20"/>
              </w:rPr>
              <w:t xml:space="preserve"> objektu skaits</w:t>
            </w:r>
          </w:p>
        </w:tc>
        <w:tc>
          <w:tcPr>
            <w:tcW w:w="1304"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w:t>
            </w:r>
          </w:p>
        </w:tc>
        <w:tc>
          <w:tcPr>
            <w:tcW w:w="1276"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0</w:t>
            </w:r>
          </w:p>
        </w:tc>
        <w:tc>
          <w:tcPr>
            <w:tcW w:w="1701"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1 (kopā plānoti 3 līdz 2022.gadam</w:t>
            </w:r>
            <w:r>
              <w:rPr>
                <w:rFonts w:ascii="Times New Roman" w:hAnsi="Times New Roman"/>
                <w:sz w:val="20"/>
                <w:vertAlign w:val="superscript"/>
              </w:rPr>
              <w:footnoteReference w:id="18"/>
            </w:r>
            <w:r w:rsidRPr="00BC49E1">
              <w:rPr>
                <w:rFonts w:ascii="Times New Roman" w:hAnsi="Times New Roman"/>
                <w:sz w:val="20"/>
                <w:szCs w:val="20"/>
              </w:rPr>
              <w:t>)</w:t>
            </w:r>
          </w:p>
        </w:tc>
        <w:tc>
          <w:tcPr>
            <w:tcW w:w="1559" w:type="dxa"/>
          </w:tcPr>
          <w:p w:rsidR="0012763D" w:rsidRPr="00BC49E1" w:rsidP="0012763D">
            <w:pPr>
              <w:spacing w:after="0" w:line="240" w:lineRule="auto"/>
              <w:jc w:val="both"/>
              <w:rPr>
                <w:rFonts w:ascii="Times New Roman" w:hAnsi="Times New Roman"/>
                <w:sz w:val="20"/>
                <w:szCs w:val="20"/>
              </w:rPr>
            </w:pPr>
            <w:r w:rsidRPr="00BC49E1">
              <w:rPr>
                <w:rFonts w:ascii="Times New Roman" w:hAnsi="Times New Roman"/>
                <w:sz w:val="20"/>
                <w:szCs w:val="20"/>
              </w:rPr>
              <w:t>0</w:t>
            </w:r>
          </w:p>
          <w:p w:rsidR="002E588C" w:rsidRPr="00BC49E1" w:rsidP="0012763D">
            <w:pPr>
              <w:spacing w:after="0" w:line="240" w:lineRule="auto"/>
              <w:jc w:val="both"/>
              <w:rPr>
                <w:rFonts w:ascii="Times New Roman" w:hAnsi="Times New Roman"/>
                <w:sz w:val="20"/>
                <w:szCs w:val="20"/>
              </w:rPr>
            </w:pP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Projektu dokumentācija un progresa informācija</w:t>
            </w:r>
          </w:p>
        </w:tc>
        <w:tc>
          <w:tcPr>
            <w:tcW w:w="1305" w:type="dxa"/>
          </w:tcPr>
          <w:p w:rsidR="002E588C" w:rsidRPr="00BC49E1" w:rsidP="006968BF">
            <w:pPr>
              <w:spacing w:after="60" w:line="240" w:lineRule="auto"/>
              <w:jc w:val="both"/>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both"/>
              <w:rPr>
                <w:rFonts w:ascii="Times New Roman" w:eastAsia="Times New Roman" w:hAnsi="Times New Roman"/>
                <w:sz w:val="20"/>
                <w:szCs w:val="20"/>
              </w:rPr>
            </w:pPr>
            <w:r w:rsidRPr="00BC49E1">
              <w:rPr>
                <w:rFonts w:ascii="Times New Roman" w:eastAsia="Times New Roman" w:hAnsi="Times New Roman"/>
                <w:b/>
                <w:bCs/>
                <w:sz w:val="20"/>
                <w:szCs w:val="20"/>
                <w:bdr w:val="none" w:sz="0" w:space="0" w:color="auto" w:frame="1"/>
              </w:rPr>
              <w:t>Politikas rezultāts</w:t>
            </w:r>
          </w:p>
        </w:tc>
        <w:tc>
          <w:tcPr>
            <w:tcW w:w="7400" w:type="dxa"/>
            <w:gridSpan w:val="4"/>
            <w:shd w:val="clear" w:color="auto" w:fill="BFBFBF"/>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vMerge w:val="restart"/>
          </w:tcPr>
          <w:p w:rsidR="002E588C" w:rsidRPr="00BC49E1" w:rsidP="00F17AEF">
            <w:pPr>
              <w:numPr>
                <w:ilvl w:val="1"/>
                <w:numId w:val="1"/>
              </w:numPr>
              <w:spacing w:after="0" w:line="240" w:lineRule="auto"/>
              <w:ind w:left="426" w:hanging="426"/>
              <w:contextualSpacing/>
              <w:jc w:val="both"/>
              <w:rPr>
                <w:rFonts w:ascii="Times New Roman" w:eastAsia="Times New Roman" w:hAnsi="Times New Roman"/>
                <w:b/>
                <w:sz w:val="20"/>
                <w:szCs w:val="20"/>
              </w:rPr>
            </w:pPr>
            <w:r w:rsidRPr="00BC49E1">
              <w:rPr>
                <w:rFonts w:ascii="Times New Roman" w:eastAsia="Times New Roman" w:hAnsi="Times New Roman"/>
                <w:b/>
                <w:sz w:val="20"/>
                <w:szCs w:val="20"/>
              </w:rPr>
              <w:t xml:space="preserve">Veicināts ekonomiskās aktivitātes pieaugums specifiskajās </w:t>
            </w:r>
            <w:r w:rsidRPr="00BC49E1">
              <w:rPr>
                <w:rFonts w:ascii="Times New Roman" w:eastAsia="Times New Roman" w:hAnsi="Times New Roman"/>
                <w:b/>
                <w:sz w:val="20"/>
                <w:szCs w:val="20"/>
              </w:rPr>
              <w:t>mērķteritorijās</w:t>
            </w:r>
            <w:r w:rsidRPr="00BC49E1">
              <w:rPr>
                <w:rFonts w:ascii="Times New Roman" w:eastAsia="Times New Roman" w:hAnsi="Times New Roman"/>
                <w:b/>
                <w:sz w:val="20"/>
                <w:szCs w:val="20"/>
              </w:rPr>
              <w:t xml:space="preserve"> (Baltijas jūras piekraste un Austrumu pierobeža)</w:t>
            </w:r>
          </w:p>
        </w:tc>
        <w:tc>
          <w:tcPr>
            <w:tcW w:w="7400" w:type="dxa"/>
            <w:gridSpan w:val="4"/>
          </w:tcPr>
          <w:p w:rsidR="002E588C" w:rsidRPr="00BC49E1" w:rsidP="00F17AEF">
            <w:pPr>
              <w:numPr>
                <w:ilvl w:val="0"/>
                <w:numId w:val="4"/>
              </w:numPr>
              <w:spacing w:after="0" w:line="240" w:lineRule="auto"/>
              <w:jc w:val="both"/>
              <w:rPr>
                <w:rFonts w:ascii="Times New Roman" w:eastAsia="Times New Roman" w:hAnsi="Times New Roman"/>
                <w:sz w:val="20"/>
                <w:szCs w:val="20"/>
              </w:rPr>
            </w:pPr>
            <w:r w:rsidRPr="00BC49E1">
              <w:rPr>
                <w:rFonts w:ascii="Times New Roman" w:eastAsia="Times New Roman" w:hAnsi="Times New Roman"/>
                <w:sz w:val="20"/>
                <w:szCs w:val="20"/>
              </w:rPr>
              <w:t>Rādītājs par kravu apgrozījuma pieaugumu ostās</w:t>
            </w:r>
          </w:p>
          <w:p w:rsidR="002E588C" w:rsidRPr="00BC49E1" w:rsidP="006968BF">
            <w:pPr>
              <w:spacing w:after="0" w:line="240" w:lineRule="auto"/>
              <w:ind w:left="360"/>
              <w:jc w:val="both"/>
              <w:rPr>
                <w:rFonts w:ascii="Times New Roman" w:hAnsi="Times New Roman"/>
                <w:sz w:val="20"/>
                <w:szCs w:val="20"/>
              </w:rPr>
            </w:pPr>
            <w:r w:rsidRPr="00BC49E1">
              <w:rPr>
                <w:rFonts w:ascii="Times New Roman" w:hAnsi="Times New Roman"/>
                <w:sz w:val="20"/>
                <w:szCs w:val="20"/>
              </w:rPr>
              <w:t>Rezultatīvais rādītājs, tā b</w:t>
            </w:r>
            <w:r w:rsidR="00331AF3">
              <w:rPr>
                <w:rFonts w:ascii="Times New Roman" w:hAnsi="Times New Roman"/>
                <w:sz w:val="20"/>
                <w:szCs w:val="20"/>
              </w:rPr>
              <w:t>āzes un sasniedzamā vērtība</w:t>
            </w:r>
            <w:r w:rsidRPr="00BC49E1">
              <w:rPr>
                <w:rFonts w:ascii="Times New Roman" w:hAnsi="Times New Roman"/>
                <w:sz w:val="20"/>
                <w:szCs w:val="20"/>
              </w:rPr>
              <w:t xml:space="preserve"> noteikta Transporta attīstības pamatnostādnēs 2014.-2020.gadam</w:t>
            </w:r>
            <w:r w:rsidRPr="00BC49E1" w:rsidR="000328CE">
              <w:rPr>
                <w:rFonts w:ascii="Times New Roman" w:hAnsi="Times New Roman"/>
                <w:sz w:val="20"/>
                <w:szCs w:val="20"/>
              </w:rPr>
              <w:t>:</w:t>
            </w:r>
          </w:p>
          <w:p w:rsidR="000328CE" w:rsidRPr="00BC49E1" w:rsidP="000328CE">
            <w:pPr>
              <w:spacing w:after="0" w:line="240" w:lineRule="auto"/>
              <w:ind w:left="360"/>
              <w:jc w:val="both"/>
              <w:rPr>
                <w:rFonts w:ascii="Times New Roman" w:hAnsi="Times New Roman"/>
                <w:bCs/>
                <w:sz w:val="20"/>
                <w:szCs w:val="20"/>
                <w:bdr w:val="none" w:sz="0" w:space="0" w:color="auto" w:frame="1"/>
              </w:rPr>
            </w:pPr>
            <w:r w:rsidRPr="00BC49E1">
              <w:rPr>
                <w:rFonts w:ascii="Times New Roman" w:eastAsia="Times New Roman" w:hAnsi="Times New Roman"/>
                <w:sz w:val="20"/>
                <w:szCs w:val="20"/>
              </w:rPr>
              <w:t xml:space="preserve">Kravu apgrozījuma pieaugums ostās straujāks nekā konkurējošo valstu ostās: </w:t>
            </w:r>
            <w:r w:rsidRPr="00BC49E1" w:rsidR="00F602CF">
              <w:rPr>
                <w:rFonts w:ascii="Times New Roman" w:eastAsia="Times New Roman" w:hAnsi="Times New Roman"/>
                <w:sz w:val="20"/>
                <w:szCs w:val="20"/>
              </w:rPr>
              <w:t xml:space="preserve">Kravu apgrozījuma pieaugums, %, salīdzinot ar iepriekšējo gadu </w:t>
            </w:r>
            <w:r w:rsidRPr="00BC49E1">
              <w:rPr>
                <w:rFonts w:ascii="Times New Roman" w:hAnsi="Times New Roman"/>
                <w:bCs/>
                <w:sz w:val="20"/>
                <w:szCs w:val="20"/>
                <w:bdr w:val="none" w:sz="0" w:space="0" w:color="auto" w:frame="1"/>
              </w:rPr>
              <w:t>(prognoze 2016.gadam – 3%)</w:t>
            </w:r>
          </w:p>
        </w:tc>
        <w:tc>
          <w:tcPr>
            <w:tcW w:w="1559" w:type="dxa"/>
          </w:tcPr>
          <w:p w:rsidR="002E588C" w:rsidRPr="00BC49E1" w:rsidP="006968BF">
            <w:pPr>
              <w:spacing w:after="0" w:line="240" w:lineRule="auto"/>
              <w:jc w:val="both"/>
              <w:rPr>
                <w:rFonts w:ascii="Times New Roman" w:hAnsi="Times New Roman"/>
                <w:sz w:val="20"/>
                <w:szCs w:val="20"/>
              </w:rPr>
            </w:pPr>
          </w:p>
          <w:p w:rsidR="00F602CF" w:rsidRPr="00BC49E1" w:rsidP="006968BF">
            <w:pPr>
              <w:spacing w:after="0" w:line="240" w:lineRule="auto"/>
              <w:jc w:val="both"/>
              <w:rPr>
                <w:rFonts w:ascii="Times New Roman" w:hAnsi="Times New Roman"/>
                <w:sz w:val="20"/>
                <w:szCs w:val="20"/>
              </w:rPr>
            </w:pPr>
          </w:p>
          <w:p w:rsidR="00F602CF" w:rsidRPr="00BC49E1" w:rsidP="006968BF">
            <w:pPr>
              <w:spacing w:after="0" w:line="240" w:lineRule="auto"/>
              <w:jc w:val="both"/>
              <w:rPr>
                <w:rFonts w:ascii="Times New Roman" w:hAnsi="Times New Roman"/>
                <w:sz w:val="20"/>
                <w:szCs w:val="20"/>
              </w:rPr>
            </w:pPr>
          </w:p>
          <w:p w:rsidR="00F602CF" w:rsidRPr="00BC49E1" w:rsidP="006968BF">
            <w:pPr>
              <w:spacing w:after="0" w:line="240" w:lineRule="auto"/>
              <w:jc w:val="both"/>
              <w:rPr>
                <w:rFonts w:ascii="Times New Roman" w:hAnsi="Times New Roman"/>
                <w:sz w:val="20"/>
                <w:szCs w:val="20"/>
              </w:rPr>
            </w:pPr>
          </w:p>
          <w:p w:rsidR="00F602CF" w:rsidRPr="00BC49E1" w:rsidP="006968BF">
            <w:pPr>
              <w:spacing w:after="0" w:line="240" w:lineRule="auto"/>
              <w:jc w:val="both"/>
              <w:rPr>
                <w:rFonts w:ascii="Times New Roman" w:hAnsi="Times New Roman"/>
                <w:sz w:val="20"/>
                <w:szCs w:val="20"/>
              </w:rPr>
            </w:pPr>
          </w:p>
          <w:p w:rsidR="00F602CF" w:rsidRPr="00BC49E1" w:rsidP="006968BF">
            <w:pPr>
              <w:spacing w:after="0" w:line="240" w:lineRule="auto"/>
              <w:jc w:val="both"/>
              <w:rPr>
                <w:rFonts w:ascii="Times New Roman" w:hAnsi="Times New Roman"/>
                <w:sz w:val="20"/>
                <w:szCs w:val="20"/>
              </w:rPr>
            </w:pPr>
          </w:p>
          <w:p w:rsidR="00F602CF" w:rsidRPr="00BC49E1" w:rsidP="006968BF">
            <w:pPr>
              <w:spacing w:after="0" w:line="240" w:lineRule="auto"/>
              <w:jc w:val="both"/>
              <w:rPr>
                <w:rFonts w:ascii="Times New Roman" w:hAnsi="Times New Roman"/>
                <w:sz w:val="20"/>
                <w:szCs w:val="20"/>
              </w:rPr>
            </w:pPr>
            <w:r w:rsidRPr="00BC49E1">
              <w:rPr>
                <w:rFonts w:ascii="Times New Roman" w:hAnsi="Times New Roman"/>
                <w:bCs/>
                <w:sz w:val="20"/>
                <w:szCs w:val="20"/>
              </w:rPr>
              <w:t>-9.3%</w:t>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SM dati</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Noteikts Transporta attīstības pamatnostādnes 2014.-2020.gadam</w:t>
            </w:r>
          </w:p>
        </w:tc>
      </w:tr>
      <w:tr w:rsidTr="007320AB">
        <w:tblPrEx>
          <w:tblW w:w="14596" w:type="dxa"/>
          <w:tblLayout w:type="fixed"/>
          <w:tblLook w:val="04A0"/>
        </w:tblPrEx>
        <w:tc>
          <w:tcPr>
            <w:tcW w:w="2943" w:type="dxa"/>
            <w:vMerge/>
          </w:tcPr>
          <w:p w:rsidR="002E588C" w:rsidRPr="00BC49E1" w:rsidP="006968BF">
            <w:pPr>
              <w:spacing w:after="0" w:line="240" w:lineRule="auto"/>
              <w:jc w:val="both"/>
              <w:rPr>
                <w:rFonts w:ascii="Times New Roman" w:hAnsi="Times New Roman"/>
                <w:sz w:val="20"/>
                <w:szCs w:val="20"/>
              </w:rPr>
            </w:pPr>
          </w:p>
        </w:tc>
        <w:tc>
          <w:tcPr>
            <w:tcW w:w="3119" w:type="dxa"/>
          </w:tcPr>
          <w:p w:rsidR="002E588C" w:rsidRPr="00BC49E1" w:rsidP="00F17AEF">
            <w:pPr>
              <w:numPr>
                <w:ilvl w:val="0"/>
                <w:numId w:val="4"/>
              </w:numPr>
              <w:spacing w:after="0" w:line="240" w:lineRule="auto"/>
              <w:jc w:val="both"/>
              <w:rPr>
                <w:rFonts w:ascii="Times New Roman" w:eastAsia="Times New Roman" w:hAnsi="Times New Roman"/>
                <w:sz w:val="20"/>
                <w:szCs w:val="20"/>
              </w:rPr>
            </w:pPr>
            <w:r w:rsidRPr="00BC49E1">
              <w:rPr>
                <w:rFonts w:ascii="Times New Roman" w:eastAsia="Times New Roman" w:hAnsi="Times New Roman"/>
                <w:sz w:val="20"/>
                <w:szCs w:val="20"/>
              </w:rPr>
              <w:t>Nakšņojumu skaits Baltijas jūras piekrastes novadu viesnīcās un citās tūristu mītnēs</w:t>
            </w:r>
          </w:p>
        </w:tc>
        <w:tc>
          <w:tcPr>
            <w:tcW w:w="1304"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165 231 (2012)</w:t>
            </w:r>
          </w:p>
        </w:tc>
        <w:tc>
          <w:tcPr>
            <w:tcW w:w="1276"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166 470 (15% no pieauguma līdz 2022.gadam)</w:t>
            </w:r>
          </w:p>
        </w:tc>
        <w:tc>
          <w:tcPr>
            <w:tcW w:w="1701"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168 123 (35% no pieauguma līdz 2022.gadam; kopā plānots 173 493 līdz 2022.gadam</w:t>
            </w:r>
            <w:r>
              <w:rPr>
                <w:rFonts w:ascii="Times New Roman" w:hAnsi="Times New Roman"/>
                <w:sz w:val="20"/>
                <w:vertAlign w:val="superscript"/>
              </w:rPr>
              <w:footnoteReference w:id="19"/>
            </w:r>
            <w:r w:rsidRPr="00BC49E1">
              <w:rPr>
                <w:rFonts w:ascii="Times New Roman" w:hAnsi="Times New Roman"/>
                <w:sz w:val="20"/>
                <w:szCs w:val="20"/>
              </w:rPr>
              <w:t>)</w:t>
            </w:r>
          </w:p>
        </w:tc>
        <w:tc>
          <w:tcPr>
            <w:tcW w:w="1559" w:type="dxa"/>
          </w:tcPr>
          <w:p w:rsidR="002E588C" w:rsidRPr="00BC49E1" w:rsidP="00E42C4C">
            <w:pPr>
              <w:spacing w:after="0" w:line="240" w:lineRule="auto"/>
              <w:jc w:val="both"/>
              <w:rPr>
                <w:rFonts w:ascii="Times New Roman" w:hAnsi="Times New Roman"/>
                <w:sz w:val="20"/>
                <w:szCs w:val="20"/>
              </w:rPr>
            </w:pPr>
            <w:r w:rsidRPr="00240D90">
              <w:rPr>
                <w:rFonts w:ascii="Times New Roman" w:hAnsi="Times New Roman"/>
                <w:sz w:val="20"/>
                <w:szCs w:val="20"/>
              </w:rPr>
              <w:t>167</w:t>
            </w:r>
            <w:r>
              <w:rPr>
                <w:rFonts w:ascii="Times New Roman" w:hAnsi="Times New Roman"/>
                <w:sz w:val="20"/>
                <w:szCs w:val="20"/>
              </w:rPr>
              <w:t xml:space="preserve"> </w:t>
            </w:r>
            <w:r w:rsidRPr="00240D90">
              <w:rPr>
                <w:rFonts w:ascii="Times New Roman" w:hAnsi="Times New Roman"/>
                <w:sz w:val="20"/>
                <w:szCs w:val="20"/>
              </w:rPr>
              <w:t>581</w:t>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CSP dati</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Nav</w:t>
            </w:r>
          </w:p>
        </w:tc>
      </w:tr>
      <w:tr w:rsidTr="007320AB">
        <w:tblPrEx>
          <w:tblW w:w="14596" w:type="dxa"/>
          <w:tblLayout w:type="fixed"/>
          <w:tblLook w:val="04A0"/>
        </w:tblPrEx>
        <w:tc>
          <w:tcPr>
            <w:tcW w:w="2943" w:type="dxa"/>
          </w:tcPr>
          <w:p w:rsidR="002E588C" w:rsidRPr="00BC49E1" w:rsidP="006968BF">
            <w:pPr>
              <w:spacing w:after="0" w:line="240" w:lineRule="auto"/>
              <w:jc w:val="both"/>
              <w:rPr>
                <w:rFonts w:ascii="Times New Roman" w:hAnsi="Times New Roman"/>
                <w:sz w:val="20"/>
                <w:szCs w:val="20"/>
              </w:rPr>
            </w:pPr>
          </w:p>
        </w:tc>
        <w:tc>
          <w:tcPr>
            <w:tcW w:w="3119" w:type="dxa"/>
            <w:shd w:val="clear" w:color="auto" w:fill="auto"/>
          </w:tcPr>
          <w:p w:rsidR="002E588C" w:rsidRPr="00BC49E1" w:rsidP="00F17AEF">
            <w:pPr>
              <w:numPr>
                <w:ilvl w:val="0"/>
                <w:numId w:val="4"/>
              </w:numPr>
              <w:spacing w:after="0" w:line="240" w:lineRule="auto"/>
              <w:jc w:val="both"/>
              <w:rPr>
                <w:rFonts w:ascii="Times New Roman" w:hAnsi="Times New Roman"/>
                <w:sz w:val="20"/>
                <w:szCs w:val="20"/>
              </w:rPr>
            </w:pPr>
            <w:r w:rsidRPr="00BC49E1">
              <w:rPr>
                <w:rFonts w:ascii="Times New Roman" w:eastAsia="Times New Roman" w:hAnsi="Times New Roman"/>
                <w:sz w:val="20"/>
                <w:szCs w:val="20"/>
              </w:rPr>
              <w:t>Uzņēmumu skaits Austrumu pierobežas un Baltijas jūras piekrastes pašvaldībās</w:t>
            </w:r>
            <w:r>
              <w:rPr>
                <w:rFonts w:ascii="Times New Roman" w:eastAsia="Times New Roman" w:hAnsi="Times New Roman"/>
                <w:sz w:val="20"/>
                <w:szCs w:val="20"/>
                <w:vertAlign w:val="superscript"/>
              </w:rPr>
              <w:footnoteReference w:id="20"/>
            </w:r>
          </w:p>
        </w:tc>
        <w:tc>
          <w:tcPr>
            <w:tcW w:w="1304" w:type="dxa"/>
            <w:shd w:val="clear" w:color="auto" w:fill="auto"/>
          </w:tcPr>
          <w:p w:rsidR="002E588C" w:rsidRPr="00BC49E1" w:rsidP="006968BF">
            <w:pPr>
              <w:spacing w:after="0" w:line="240" w:lineRule="auto"/>
              <w:jc w:val="both"/>
              <w:rPr>
                <w:rFonts w:ascii="Times New Roman" w:hAnsi="Times New Roman"/>
                <w:sz w:val="20"/>
                <w:szCs w:val="20"/>
                <w:highlight w:val="yellow"/>
              </w:rPr>
            </w:pPr>
            <w:r w:rsidRPr="0078306C">
              <w:rPr>
                <w:rFonts w:ascii="Times New Roman" w:hAnsi="Times New Roman"/>
                <w:sz w:val="20"/>
                <w:szCs w:val="20"/>
              </w:rPr>
              <w:t>85</w:t>
            </w:r>
            <w:r>
              <w:rPr>
                <w:rFonts w:ascii="Times New Roman" w:hAnsi="Times New Roman"/>
                <w:sz w:val="20"/>
                <w:szCs w:val="20"/>
              </w:rPr>
              <w:t xml:space="preserve"> </w:t>
            </w:r>
            <w:r w:rsidRPr="0078306C">
              <w:rPr>
                <w:rFonts w:ascii="Times New Roman" w:hAnsi="Times New Roman"/>
                <w:sz w:val="20"/>
                <w:szCs w:val="20"/>
              </w:rPr>
              <w:t xml:space="preserve">051 </w:t>
            </w:r>
            <w:r w:rsidRPr="00BC49E1">
              <w:rPr>
                <w:rFonts w:ascii="Times New Roman" w:hAnsi="Times New Roman"/>
                <w:sz w:val="20"/>
                <w:szCs w:val="20"/>
              </w:rPr>
              <w:t>(2011)</w:t>
            </w:r>
          </w:p>
        </w:tc>
        <w:tc>
          <w:tcPr>
            <w:tcW w:w="1276" w:type="dxa"/>
            <w:shd w:val="clear" w:color="auto" w:fill="auto"/>
          </w:tcPr>
          <w:p w:rsidR="0069218C" w:rsidRPr="0069218C" w:rsidP="0069218C">
            <w:pPr>
              <w:spacing w:after="0" w:line="240" w:lineRule="auto"/>
              <w:jc w:val="both"/>
              <w:rPr>
                <w:rFonts w:ascii="Times New Roman" w:eastAsia="Times New Roman" w:hAnsi="Times New Roman"/>
                <w:color w:val="000000"/>
                <w:sz w:val="20"/>
                <w:szCs w:val="20"/>
              </w:rPr>
            </w:pPr>
            <w:r w:rsidRPr="0069218C">
              <w:rPr>
                <w:rFonts w:ascii="Times New Roman" w:hAnsi="Times New Roman"/>
                <w:color w:val="000000"/>
                <w:sz w:val="20"/>
                <w:szCs w:val="20"/>
              </w:rPr>
              <w:t>87 156</w:t>
            </w:r>
          </w:p>
          <w:p w:rsidR="002E588C" w:rsidRPr="0069218C" w:rsidP="006968BF">
            <w:pPr>
              <w:spacing w:after="0" w:line="240" w:lineRule="auto"/>
              <w:jc w:val="both"/>
              <w:rPr>
                <w:rFonts w:ascii="Times New Roman" w:hAnsi="Times New Roman"/>
                <w:sz w:val="20"/>
                <w:szCs w:val="20"/>
              </w:rPr>
            </w:pPr>
            <w:r w:rsidRPr="0069218C">
              <w:rPr>
                <w:rFonts w:ascii="Times New Roman" w:hAnsi="Times New Roman"/>
                <w:sz w:val="20"/>
                <w:szCs w:val="20"/>
              </w:rPr>
              <w:t>(15% no pieauguma līdz 2022.gadam)</w:t>
            </w:r>
          </w:p>
        </w:tc>
        <w:tc>
          <w:tcPr>
            <w:tcW w:w="1701" w:type="dxa"/>
            <w:shd w:val="clear" w:color="auto" w:fill="auto"/>
          </w:tcPr>
          <w:p w:rsidR="0069218C" w:rsidRPr="0069218C" w:rsidP="0069218C">
            <w:pPr>
              <w:spacing w:after="0" w:line="240" w:lineRule="auto"/>
              <w:jc w:val="both"/>
              <w:rPr>
                <w:rFonts w:ascii="Times New Roman" w:eastAsia="Times New Roman" w:hAnsi="Times New Roman"/>
                <w:color w:val="000000"/>
                <w:sz w:val="20"/>
                <w:szCs w:val="20"/>
              </w:rPr>
            </w:pPr>
            <w:r w:rsidRPr="0069218C">
              <w:rPr>
                <w:rFonts w:ascii="Times New Roman" w:hAnsi="Times New Roman"/>
                <w:color w:val="000000"/>
                <w:sz w:val="20"/>
                <w:szCs w:val="20"/>
              </w:rPr>
              <w:t>89 963</w:t>
            </w:r>
          </w:p>
          <w:p w:rsidR="0069218C" w:rsidRPr="0069218C" w:rsidP="006968BF">
            <w:pPr>
              <w:spacing w:after="0" w:line="240" w:lineRule="auto"/>
              <w:jc w:val="both"/>
              <w:rPr>
                <w:rFonts w:ascii="Times New Roman" w:hAnsi="Times New Roman"/>
                <w:sz w:val="20"/>
                <w:szCs w:val="20"/>
              </w:rPr>
            </w:pPr>
            <w:r w:rsidRPr="0069218C">
              <w:rPr>
                <w:rFonts w:ascii="Times New Roman" w:hAnsi="Times New Roman"/>
                <w:sz w:val="20"/>
                <w:szCs w:val="20"/>
              </w:rPr>
              <w:t xml:space="preserve">(35% no pieauguma līdz 2022.gadam; kopā plānots </w:t>
            </w:r>
          </w:p>
          <w:p w:rsidR="002E588C" w:rsidRPr="0069218C" w:rsidP="0069218C">
            <w:pPr>
              <w:spacing w:after="0" w:line="240" w:lineRule="auto"/>
              <w:jc w:val="both"/>
              <w:rPr>
                <w:rFonts w:ascii="Times New Roman" w:hAnsi="Times New Roman"/>
                <w:sz w:val="20"/>
                <w:szCs w:val="20"/>
              </w:rPr>
            </w:pPr>
            <w:r w:rsidRPr="0069218C">
              <w:rPr>
                <w:rFonts w:ascii="Times New Roman" w:hAnsi="Times New Roman"/>
                <w:color w:val="000000"/>
                <w:sz w:val="20"/>
                <w:szCs w:val="20"/>
              </w:rPr>
              <w:t>99 085</w:t>
            </w:r>
            <w:r>
              <w:rPr>
                <w:rStyle w:val="FootnoteReference"/>
                <w:rFonts w:ascii="Times New Roman" w:hAnsi="Times New Roman"/>
                <w:sz w:val="20"/>
                <w:szCs w:val="20"/>
              </w:rPr>
              <w:footnoteReference w:id="21"/>
            </w:r>
            <w:r w:rsidRPr="0069218C">
              <w:rPr>
                <w:rFonts w:ascii="Times New Roman" w:hAnsi="Times New Roman"/>
                <w:sz w:val="20"/>
                <w:szCs w:val="20"/>
              </w:rPr>
              <w:t xml:space="preserve"> līdz 2022.gadam</w:t>
            </w:r>
            <w:r>
              <w:rPr>
                <w:rFonts w:ascii="Times New Roman" w:hAnsi="Times New Roman"/>
                <w:sz w:val="20"/>
                <w:szCs w:val="20"/>
              </w:rPr>
              <w:t>)</w:t>
            </w:r>
          </w:p>
        </w:tc>
        <w:tc>
          <w:tcPr>
            <w:tcW w:w="1559" w:type="dxa"/>
          </w:tcPr>
          <w:p w:rsidR="002E588C" w:rsidRPr="00BC49E1" w:rsidP="006968BF">
            <w:pPr>
              <w:spacing w:after="0" w:line="240" w:lineRule="auto"/>
              <w:jc w:val="both"/>
              <w:rPr>
                <w:rFonts w:ascii="Times New Roman" w:hAnsi="Times New Roman"/>
                <w:sz w:val="20"/>
                <w:szCs w:val="20"/>
              </w:rPr>
            </w:pPr>
            <w:r w:rsidRPr="0078306C">
              <w:rPr>
                <w:rFonts w:ascii="Times New Roman" w:hAnsi="Times New Roman"/>
                <w:sz w:val="20"/>
                <w:szCs w:val="20"/>
              </w:rPr>
              <w:t>110</w:t>
            </w:r>
            <w:r>
              <w:rPr>
                <w:rFonts w:ascii="Times New Roman" w:hAnsi="Times New Roman"/>
                <w:sz w:val="20"/>
                <w:szCs w:val="20"/>
              </w:rPr>
              <w:t xml:space="preserve"> </w:t>
            </w:r>
            <w:r w:rsidRPr="0078306C">
              <w:rPr>
                <w:rFonts w:ascii="Times New Roman" w:hAnsi="Times New Roman"/>
                <w:sz w:val="20"/>
                <w:szCs w:val="20"/>
              </w:rPr>
              <w:t>186</w:t>
            </w:r>
            <w:r>
              <w:rPr>
                <w:rStyle w:val="FootnoteReference"/>
                <w:rFonts w:ascii="Times New Roman" w:hAnsi="Times New Roman"/>
                <w:sz w:val="20"/>
                <w:szCs w:val="20"/>
              </w:rPr>
              <w:footnoteReference w:id="22"/>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CSP dati</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Nav</w:t>
            </w:r>
          </w:p>
        </w:tc>
      </w:tr>
      <w:tr w:rsidTr="007320AB">
        <w:tblPrEx>
          <w:tblW w:w="14596" w:type="dxa"/>
          <w:tblLayout w:type="fixed"/>
          <w:tblLook w:val="04A0"/>
        </w:tblPrEx>
        <w:tc>
          <w:tcPr>
            <w:tcW w:w="2943" w:type="dxa"/>
          </w:tcPr>
          <w:p w:rsidR="002E588C" w:rsidRPr="00BC49E1" w:rsidP="006968BF">
            <w:pPr>
              <w:spacing w:after="0" w:line="240" w:lineRule="auto"/>
              <w:jc w:val="both"/>
              <w:rPr>
                <w:rFonts w:ascii="Times New Roman" w:hAnsi="Times New Roman"/>
                <w:sz w:val="20"/>
                <w:szCs w:val="20"/>
              </w:rPr>
            </w:pPr>
          </w:p>
        </w:tc>
        <w:tc>
          <w:tcPr>
            <w:tcW w:w="3119" w:type="dxa"/>
          </w:tcPr>
          <w:p w:rsidR="002E588C" w:rsidRPr="00BC49E1" w:rsidP="00F17AEF">
            <w:pPr>
              <w:numPr>
                <w:ilvl w:val="0"/>
                <w:numId w:val="4"/>
              </w:numPr>
              <w:spacing w:after="0" w:line="240" w:lineRule="auto"/>
              <w:jc w:val="both"/>
              <w:rPr>
                <w:rFonts w:ascii="Times New Roman" w:eastAsia="Times New Roman" w:hAnsi="Times New Roman"/>
                <w:sz w:val="20"/>
                <w:szCs w:val="20"/>
              </w:rPr>
            </w:pPr>
            <w:r w:rsidRPr="00BC49E1">
              <w:rPr>
                <w:rFonts w:ascii="Times New Roman" w:eastAsia="Times New Roman" w:hAnsi="Times New Roman"/>
                <w:sz w:val="20"/>
                <w:szCs w:val="20"/>
              </w:rPr>
              <w:t>Pašvaldību nodokļu (IIN) ieņēmumi uz 1 iedz. Austrumu pierobežas pašvaldībās, LVL</w:t>
            </w:r>
            <w:r>
              <w:rPr>
                <w:rFonts w:ascii="Times New Roman" w:eastAsia="Times New Roman" w:hAnsi="Times New Roman"/>
                <w:sz w:val="20"/>
                <w:vertAlign w:val="superscript"/>
              </w:rPr>
              <w:footnoteReference w:id="23"/>
            </w:r>
          </w:p>
        </w:tc>
        <w:tc>
          <w:tcPr>
            <w:tcW w:w="1304"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174,5 (2012) 248,3 </w:t>
            </w:r>
            <w:r w:rsidRPr="0074005F" w:rsidR="0074005F">
              <w:rPr>
                <w:rFonts w:ascii="Times New Roman" w:hAnsi="Times New Roman"/>
                <w:i/>
                <w:sz w:val="20"/>
                <w:szCs w:val="20"/>
              </w:rPr>
              <w:t>euro</w:t>
            </w:r>
          </w:p>
        </w:tc>
        <w:tc>
          <w:tcPr>
            <w:tcW w:w="1276"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178,4 (15% no pieauguma līdz 2022.gadam)</w:t>
            </w:r>
          </w:p>
          <w:p w:rsidR="00990ADA"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253,8 </w:t>
            </w:r>
            <w:r w:rsidRPr="0074005F" w:rsidR="0074005F">
              <w:rPr>
                <w:rFonts w:ascii="Times New Roman" w:hAnsi="Times New Roman"/>
                <w:i/>
                <w:sz w:val="20"/>
                <w:szCs w:val="20"/>
              </w:rPr>
              <w:t>euro</w:t>
            </w:r>
          </w:p>
        </w:tc>
        <w:tc>
          <w:tcPr>
            <w:tcW w:w="1701"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183,7 (35% no pieauguma līdz 2022.gadam; kopā plānots 200,7 līdz 2022.gadam</w:t>
            </w:r>
            <w:r>
              <w:rPr>
                <w:rFonts w:ascii="Times New Roman" w:hAnsi="Times New Roman"/>
                <w:sz w:val="20"/>
                <w:vertAlign w:val="superscript"/>
              </w:rPr>
              <w:footnoteReference w:id="24"/>
            </w:r>
            <w:r w:rsidRPr="00BC49E1">
              <w:rPr>
                <w:rFonts w:ascii="Times New Roman" w:hAnsi="Times New Roman"/>
                <w:sz w:val="20"/>
                <w:szCs w:val="20"/>
              </w:rPr>
              <w:t>)</w:t>
            </w:r>
          </w:p>
          <w:p w:rsidR="00990ADA"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261,4 </w:t>
            </w:r>
            <w:r w:rsidRPr="0074005F" w:rsidR="0074005F">
              <w:rPr>
                <w:rFonts w:ascii="Times New Roman" w:hAnsi="Times New Roman"/>
                <w:i/>
                <w:sz w:val="20"/>
                <w:szCs w:val="20"/>
              </w:rPr>
              <w:t>euro</w:t>
            </w:r>
          </w:p>
        </w:tc>
        <w:tc>
          <w:tcPr>
            <w:tcW w:w="155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352,71 </w:t>
            </w:r>
            <w:r w:rsidRPr="0074005F" w:rsidR="0074005F">
              <w:rPr>
                <w:rFonts w:ascii="Times New Roman" w:hAnsi="Times New Roman"/>
                <w:i/>
                <w:sz w:val="20"/>
                <w:szCs w:val="20"/>
              </w:rPr>
              <w:t>euro</w:t>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Valsts kase, VRAA</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Noteikts NAP 2020 378.rindkopā (kā attiecība pret vidējo novadu rādītāju)</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both"/>
              <w:rPr>
                <w:rFonts w:ascii="Times New Roman" w:hAnsi="Times New Roman"/>
                <w:b/>
                <w:sz w:val="20"/>
                <w:szCs w:val="20"/>
              </w:rPr>
            </w:pPr>
            <w:r w:rsidRPr="00BC49E1">
              <w:rPr>
                <w:rFonts w:ascii="Times New Roman" w:hAnsi="Times New Roman"/>
                <w:b/>
                <w:sz w:val="20"/>
                <w:szCs w:val="20"/>
              </w:rPr>
              <w:t>Darbības rezultāts</w:t>
            </w:r>
          </w:p>
        </w:tc>
        <w:tc>
          <w:tcPr>
            <w:tcW w:w="7400" w:type="dxa"/>
            <w:gridSpan w:val="4"/>
            <w:shd w:val="clear" w:color="auto" w:fill="BFBFBF"/>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tcPr>
          <w:p w:rsidR="002E588C" w:rsidRPr="00BC49E1" w:rsidP="00F17AEF">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eastAsia="Times New Roman" w:hAnsi="Times New Roman"/>
                <w:sz w:val="20"/>
                <w:szCs w:val="20"/>
              </w:rPr>
              <w:t>Sakārtota un attīstīta pašvaldību infrastruktūra uzņēmējdarbības attīstībai</w:t>
            </w:r>
          </w:p>
        </w:tc>
        <w:tc>
          <w:tcPr>
            <w:tcW w:w="3119"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Izveidotās, rekonstruētās, paplašinātās uzņēmējdarbību veicinošās  publiskās infrastruktūras apjoms (m</w:t>
            </w:r>
            <w:r w:rsidRPr="00BC49E1">
              <w:rPr>
                <w:rFonts w:ascii="Times New Roman" w:hAnsi="Times New Roman"/>
                <w:sz w:val="20"/>
                <w:szCs w:val="20"/>
                <w:vertAlign w:val="superscript"/>
              </w:rPr>
              <w:t>2</w:t>
            </w:r>
            <w:r w:rsidRPr="00BC49E1">
              <w:rPr>
                <w:rFonts w:ascii="Times New Roman" w:hAnsi="Times New Roman"/>
                <w:sz w:val="20"/>
                <w:szCs w:val="20"/>
              </w:rPr>
              <w:t>)</w:t>
            </w:r>
          </w:p>
        </w:tc>
        <w:tc>
          <w:tcPr>
            <w:tcW w:w="1304"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w:t>
            </w:r>
          </w:p>
        </w:tc>
        <w:tc>
          <w:tcPr>
            <w:tcW w:w="1276" w:type="dxa"/>
            <w:shd w:val="clear" w:color="auto" w:fill="auto"/>
          </w:tcPr>
          <w:p w:rsidR="002E588C" w:rsidRPr="00BC49E1" w:rsidP="006968BF">
            <w:pPr>
              <w:spacing w:after="0" w:line="240" w:lineRule="auto"/>
              <w:jc w:val="both"/>
              <w:rPr>
                <w:rFonts w:ascii="Times New Roman" w:hAnsi="Times New Roman"/>
                <w:sz w:val="20"/>
                <w:szCs w:val="20"/>
                <w:highlight w:val="yellow"/>
              </w:rPr>
            </w:pPr>
            <w:r w:rsidRPr="00BC49E1">
              <w:rPr>
                <w:rFonts w:ascii="Times New Roman" w:hAnsi="Times New Roman"/>
                <w:sz w:val="20"/>
                <w:szCs w:val="20"/>
              </w:rPr>
              <w:t>0</w:t>
            </w:r>
          </w:p>
        </w:tc>
        <w:tc>
          <w:tcPr>
            <w:tcW w:w="1701" w:type="dxa"/>
            <w:shd w:val="clear" w:color="auto" w:fill="auto"/>
          </w:tcPr>
          <w:p w:rsidR="002E588C" w:rsidRPr="00BC49E1" w:rsidP="006968BF">
            <w:pPr>
              <w:spacing w:after="0" w:line="240" w:lineRule="auto"/>
              <w:jc w:val="both"/>
              <w:rPr>
                <w:rFonts w:ascii="Times New Roman" w:hAnsi="Times New Roman"/>
                <w:sz w:val="20"/>
                <w:szCs w:val="20"/>
                <w:highlight w:val="yellow"/>
              </w:rPr>
            </w:pPr>
            <w:r w:rsidRPr="00BC49E1">
              <w:rPr>
                <w:rFonts w:ascii="Times New Roman" w:hAnsi="Times New Roman"/>
                <w:sz w:val="20"/>
                <w:szCs w:val="20"/>
              </w:rPr>
              <w:t>187 597 (35% no pieauguma līdz 2022.gadam; kopā plānots 535 991 līdz 2022.gadam</w:t>
            </w:r>
            <w:r>
              <w:rPr>
                <w:rFonts w:ascii="Times New Roman" w:hAnsi="Times New Roman"/>
                <w:sz w:val="20"/>
                <w:vertAlign w:val="superscript"/>
              </w:rPr>
              <w:footnoteReference w:id="25"/>
            </w:r>
            <w:r w:rsidRPr="00BC49E1">
              <w:rPr>
                <w:rFonts w:ascii="Times New Roman" w:hAnsi="Times New Roman"/>
                <w:sz w:val="20"/>
                <w:szCs w:val="20"/>
              </w:rPr>
              <w:t>)</w:t>
            </w:r>
          </w:p>
        </w:tc>
        <w:tc>
          <w:tcPr>
            <w:tcW w:w="1559" w:type="dxa"/>
          </w:tcPr>
          <w:p w:rsidR="002E588C" w:rsidRPr="00BC49E1" w:rsidP="009E2101">
            <w:pPr>
              <w:spacing w:after="0" w:line="240" w:lineRule="auto"/>
              <w:jc w:val="both"/>
              <w:rPr>
                <w:rFonts w:ascii="Times New Roman" w:hAnsi="Times New Roman"/>
                <w:sz w:val="20"/>
                <w:szCs w:val="20"/>
              </w:rPr>
            </w:pPr>
            <w:r w:rsidRPr="00BC49E1">
              <w:rPr>
                <w:rFonts w:ascii="Times New Roman" w:hAnsi="Times New Roman"/>
                <w:sz w:val="20"/>
                <w:szCs w:val="20"/>
                <w:lang w:bidi="lo-LA"/>
              </w:rPr>
              <w:t>830 000</w:t>
            </w:r>
            <w:r>
              <w:rPr>
                <w:rStyle w:val="FootnoteReference"/>
                <w:rFonts w:ascii="Times New Roman" w:hAnsi="Times New Roman"/>
                <w:sz w:val="20"/>
                <w:szCs w:val="20"/>
                <w:lang w:bidi="lo-LA"/>
              </w:rPr>
              <w:footnoteReference w:id="26"/>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Projektu dokumentācija un progresa informācija</w:t>
            </w:r>
          </w:p>
        </w:tc>
        <w:tc>
          <w:tcPr>
            <w:tcW w:w="1305" w:type="dxa"/>
          </w:tcPr>
          <w:p w:rsidR="002E588C" w:rsidRPr="00BC49E1" w:rsidP="006968BF">
            <w:pPr>
              <w:spacing w:after="60" w:line="240" w:lineRule="auto"/>
              <w:jc w:val="both"/>
              <w:rPr>
                <w:rFonts w:ascii="Times New Roman" w:hAnsi="Times New Roman"/>
                <w:sz w:val="20"/>
                <w:szCs w:val="20"/>
              </w:rPr>
            </w:pPr>
            <w:r w:rsidRPr="00BC49E1">
              <w:rPr>
                <w:rFonts w:ascii="Times New Roman" w:hAnsi="Times New Roman"/>
                <w:sz w:val="20"/>
                <w:szCs w:val="20"/>
              </w:rPr>
              <w:t>Nav</w:t>
            </w:r>
          </w:p>
        </w:tc>
      </w:tr>
      <w:tr w:rsidTr="007320AB">
        <w:tblPrEx>
          <w:tblW w:w="14596" w:type="dxa"/>
          <w:tblLayout w:type="fixed"/>
          <w:tblLook w:val="04A0"/>
        </w:tblPrEx>
        <w:tc>
          <w:tcPr>
            <w:tcW w:w="2943" w:type="dxa"/>
          </w:tcPr>
          <w:p w:rsidR="002E588C" w:rsidRPr="00BC49E1" w:rsidP="00F17AEF">
            <w:pPr>
              <w:numPr>
                <w:ilvl w:val="2"/>
                <w:numId w:val="1"/>
              </w:numPr>
              <w:spacing w:after="0" w:line="240" w:lineRule="auto"/>
              <w:ind w:left="567" w:hanging="567"/>
              <w:contextualSpacing/>
              <w:jc w:val="both"/>
              <w:rPr>
                <w:rFonts w:ascii="Times New Roman" w:eastAsia="Times New Roman" w:hAnsi="Times New Roman"/>
                <w:sz w:val="20"/>
                <w:szCs w:val="20"/>
              </w:rPr>
            </w:pPr>
            <w:r w:rsidRPr="00BC49E1">
              <w:rPr>
                <w:rFonts w:ascii="Times New Roman" w:eastAsia="Times New Roman" w:hAnsi="Times New Roman"/>
                <w:sz w:val="20"/>
                <w:szCs w:val="20"/>
              </w:rPr>
              <w:t>Darbvietu skaita palielināšana uzņēmumos</w:t>
            </w:r>
          </w:p>
        </w:tc>
        <w:tc>
          <w:tcPr>
            <w:tcW w:w="3119" w:type="dxa"/>
            <w:shd w:val="clear" w:color="auto" w:fill="auto"/>
          </w:tcPr>
          <w:p w:rsidR="002E588C" w:rsidP="006968BF">
            <w:pPr>
              <w:spacing w:after="0" w:line="240" w:lineRule="auto"/>
              <w:jc w:val="both"/>
              <w:rPr>
                <w:rFonts w:ascii="Times New Roman" w:eastAsia="Times New Roman" w:hAnsi="Times New Roman"/>
                <w:sz w:val="20"/>
                <w:szCs w:val="20"/>
              </w:rPr>
            </w:pPr>
            <w:r w:rsidRPr="00BC49E1">
              <w:rPr>
                <w:rFonts w:ascii="Times New Roman" w:eastAsia="Times New Roman" w:hAnsi="Times New Roman"/>
                <w:sz w:val="20"/>
                <w:szCs w:val="20"/>
              </w:rPr>
              <w:t>Saglabātas vai radītas darbavietas uzņēmumos, kuru ražošanas vai pakalpojuma sniegšanas vieta ir Austrumu pierobežas vai Baltijas jūras piekrastes pašvaldības teritorija</w:t>
            </w:r>
          </w:p>
          <w:p w:rsidR="00EA04A2" w:rsidP="006968BF">
            <w:pPr>
              <w:spacing w:after="0" w:line="240" w:lineRule="auto"/>
              <w:jc w:val="both"/>
              <w:rPr>
                <w:rFonts w:ascii="Times New Roman" w:eastAsia="Times New Roman" w:hAnsi="Times New Roman"/>
                <w:sz w:val="20"/>
                <w:szCs w:val="20"/>
              </w:rPr>
            </w:pPr>
          </w:p>
          <w:p w:rsidR="00EA04A2" w:rsidP="006968BF">
            <w:pPr>
              <w:spacing w:after="0" w:line="240" w:lineRule="auto"/>
              <w:jc w:val="both"/>
              <w:rPr>
                <w:rFonts w:ascii="Times New Roman" w:eastAsia="Times New Roman" w:hAnsi="Times New Roman"/>
                <w:sz w:val="20"/>
                <w:szCs w:val="20"/>
              </w:rPr>
            </w:pPr>
          </w:p>
          <w:p w:rsidR="00EA04A2" w:rsidRPr="00BC49E1" w:rsidP="006968BF">
            <w:pPr>
              <w:spacing w:after="0" w:line="240" w:lineRule="auto"/>
              <w:jc w:val="both"/>
              <w:rPr>
                <w:rFonts w:ascii="Times New Roman" w:eastAsia="Times New Roman" w:hAnsi="Times New Roman"/>
                <w:sz w:val="20"/>
                <w:szCs w:val="20"/>
              </w:rPr>
            </w:pPr>
            <w:bookmarkStart w:id="1" w:name="_GoBack"/>
            <w:bookmarkEnd w:id="1"/>
          </w:p>
        </w:tc>
        <w:tc>
          <w:tcPr>
            <w:tcW w:w="1304"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w:t>
            </w:r>
          </w:p>
        </w:tc>
        <w:tc>
          <w:tcPr>
            <w:tcW w:w="1276"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0</w:t>
            </w:r>
          </w:p>
        </w:tc>
        <w:tc>
          <w:tcPr>
            <w:tcW w:w="1701" w:type="dxa"/>
            <w:shd w:val="clear" w:color="auto" w:fill="auto"/>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830 (35% no pieauguma līdz 2022.gadam; kopā plānots 2370 līdz 2022.gadam</w:t>
            </w:r>
            <w:r>
              <w:rPr>
                <w:rFonts w:ascii="Times New Roman" w:hAnsi="Times New Roman"/>
                <w:sz w:val="20"/>
                <w:vertAlign w:val="superscript"/>
              </w:rPr>
              <w:footnoteReference w:id="27"/>
            </w:r>
            <w:r w:rsidRPr="00BC49E1">
              <w:rPr>
                <w:rFonts w:ascii="Times New Roman" w:hAnsi="Times New Roman"/>
                <w:sz w:val="20"/>
                <w:szCs w:val="20"/>
              </w:rPr>
              <w:t>)</w:t>
            </w:r>
          </w:p>
        </w:tc>
        <w:tc>
          <w:tcPr>
            <w:tcW w:w="155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Latgale - 518 jaunas darba vietas</w:t>
            </w:r>
            <w:r>
              <w:rPr>
                <w:rStyle w:val="FootnoteReference"/>
                <w:rFonts w:ascii="Times New Roman" w:hAnsi="Times New Roman"/>
                <w:sz w:val="20"/>
                <w:szCs w:val="20"/>
              </w:rPr>
              <w:footnoteReference w:id="28"/>
            </w:r>
          </w:p>
          <w:p w:rsidR="00123F0D"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Piekraste </w:t>
            </w:r>
            <w:r w:rsidRPr="00BC49E1" w:rsidR="00574662">
              <w:rPr>
                <w:rFonts w:ascii="Times New Roman" w:hAnsi="Times New Roman"/>
                <w:sz w:val="20"/>
                <w:szCs w:val="20"/>
              </w:rPr>
              <w:t>– nav datu</w:t>
            </w:r>
            <w:r>
              <w:rPr>
                <w:rStyle w:val="FootnoteReference"/>
                <w:rFonts w:ascii="Times New Roman" w:hAnsi="Times New Roman"/>
                <w:sz w:val="20"/>
                <w:szCs w:val="20"/>
              </w:rPr>
              <w:footnoteReference w:id="29"/>
            </w:r>
            <w:r w:rsidRPr="00BC49E1">
              <w:rPr>
                <w:rFonts w:ascii="Times New Roman" w:hAnsi="Times New Roman"/>
                <w:sz w:val="20"/>
                <w:szCs w:val="20"/>
              </w:rPr>
              <w:t xml:space="preserve"> </w:t>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Uzņēmumu reģistra dati</w:t>
            </w:r>
          </w:p>
        </w:tc>
        <w:tc>
          <w:tcPr>
            <w:tcW w:w="1305" w:type="dxa"/>
          </w:tcPr>
          <w:p w:rsidR="002E588C" w:rsidRPr="00BC49E1" w:rsidP="006968BF">
            <w:pPr>
              <w:spacing w:after="60" w:line="240" w:lineRule="auto"/>
              <w:jc w:val="both"/>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both"/>
              <w:rPr>
                <w:rFonts w:ascii="Times New Roman" w:eastAsia="Times New Roman" w:hAnsi="Times New Roman"/>
                <w:sz w:val="20"/>
                <w:szCs w:val="20"/>
              </w:rPr>
            </w:pPr>
            <w:r w:rsidRPr="00BC49E1">
              <w:rPr>
                <w:rFonts w:ascii="Times New Roman" w:eastAsia="Times New Roman" w:hAnsi="Times New Roman"/>
                <w:b/>
                <w:bCs/>
                <w:sz w:val="20"/>
                <w:szCs w:val="20"/>
                <w:bdr w:val="none" w:sz="0" w:space="0" w:color="auto" w:frame="1"/>
              </w:rPr>
              <w:t>Politikas rezultāts</w:t>
            </w:r>
          </w:p>
        </w:tc>
        <w:tc>
          <w:tcPr>
            <w:tcW w:w="7400" w:type="dxa"/>
            <w:gridSpan w:val="4"/>
            <w:shd w:val="clear" w:color="auto" w:fill="BFBFBF"/>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tcPr>
          <w:p w:rsidR="002E588C" w:rsidRPr="00BC49E1" w:rsidP="00F17AEF">
            <w:pPr>
              <w:numPr>
                <w:ilvl w:val="1"/>
                <w:numId w:val="1"/>
              </w:numPr>
              <w:spacing w:after="0" w:line="240" w:lineRule="auto"/>
              <w:ind w:left="426" w:hanging="426"/>
              <w:contextualSpacing/>
              <w:jc w:val="both"/>
              <w:rPr>
                <w:rFonts w:ascii="Times New Roman" w:hAnsi="Times New Roman"/>
                <w:b/>
                <w:sz w:val="20"/>
                <w:szCs w:val="20"/>
              </w:rPr>
            </w:pPr>
            <w:r w:rsidRPr="00BC49E1">
              <w:rPr>
                <w:rFonts w:ascii="Times New Roman" w:eastAsia="Times New Roman" w:hAnsi="Times New Roman"/>
                <w:b/>
                <w:sz w:val="20"/>
                <w:szCs w:val="20"/>
              </w:rPr>
              <w:t>Palielinājusies iedzīvotāju apmierinātība ar pakalpojumu kvalitāti un pieejamību</w:t>
            </w:r>
          </w:p>
        </w:tc>
        <w:tc>
          <w:tcPr>
            <w:tcW w:w="3119" w:type="dxa"/>
          </w:tcPr>
          <w:p w:rsidR="002E588C" w:rsidRPr="00BC49E1" w:rsidP="006968BF">
            <w:pPr>
              <w:spacing w:after="0" w:line="240" w:lineRule="auto"/>
              <w:jc w:val="both"/>
              <w:rPr>
                <w:rFonts w:ascii="Times New Roman" w:eastAsia="Times New Roman" w:hAnsi="Times New Roman"/>
                <w:sz w:val="20"/>
                <w:szCs w:val="20"/>
                <w:lang w:eastAsia="lv-LV"/>
              </w:rPr>
            </w:pPr>
            <w:r w:rsidRPr="00BC49E1">
              <w:rPr>
                <w:rFonts w:ascii="Times New Roman" w:hAnsi="Times New Roman"/>
                <w:sz w:val="20"/>
                <w:szCs w:val="20"/>
              </w:rPr>
              <w:t>Iedzīvotāju īpatsvars, kuri uzskata, ka pakalpojumu pieejamība un kvalitāte ir laba</w:t>
            </w:r>
          </w:p>
        </w:tc>
        <w:tc>
          <w:tcPr>
            <w:tcW w:w="1304" w:type="dxa"/>
          </w:tcPr>
          <w:p w:rsidR="002E588C" w:rsidRPr="00BC49E1" w:rsidP="006968BF">
            <w:pPr>
              <w:spacing w:after="0" w:line="240" w:lineRule="auto"/>
              <w:jc w:val="both"/>
              <w:rPr>
                <w:rFonts w:ascii="Times New Roman" w:eastAsia="Times New Roman" w:hAnsi="Times New Roman"/>
                <w:sz w:val="20"/>
                <w:szCs w:val="20"/>
                <w:lang w:eastAsia="lv-LV"/>
              </w:rPr>
            </w:pPr>
            <w:r w:rsidRPr="00BC49E1">
              <w:rPr>
                <w:rFonts w:ascii="Times New Roman" w:eastAsia="Times New Roman" w:hAnsi="Times New Roman"/>
                <w:sz w:val="20"/>
                <w:szCs w:val="20"/>
                <w:lang w:eastAsia="lv-LV"/>
              </w:rPr>
              <w:t>-</w:t>
            </w:r>
          </w:p>
        </w:tc>
        <w:tc>
          <w:tcPr>
            <w:tcW w:w="1276" w:type="dxa"/>
          </w:tcPr>
          <w:p w:rsidR="002E588C" w:rsidRPr="00BC49E1" w:rsidP="006968BF">
            <w:pPr>
              <w:spacing w:after="0" w:line="240" w:lineRule="auto"/>
              <w:jc w:val="both"/>
              <w:rPr>
                <w:rFonts w:ascii="Times New Roman" w:eastAsia="Times New Roman" w:hAnsi="Times New Roman"/>
                <w:sz w:val="20"/>
                <w:szCs w:val="20"/>
                <w:lang w:eastAsia="lv-LV"/>
              </w:rPr>
            </w:pPr>
            <w:r w:rsidRPr="00BC49E1">
              <w:rPr>
                <w:rFonts w:ascii="Times New Roman" w:eastAsia="Times New Roman" w:hAnsi="Times New Roman"/>
                <w:sz w:val="20"/>
                <w:szCs w:val="20"/>
                <w:lang w:eastAsia="lv-LV"/>
              </w:rPr>
              <w:t xml:space="preserve">- </w:t>
            </w:r>
          </w:p>
        </w:tc>
        <w:tc>
          <w:tcPr>
            <w:tcW w:w="1701" w:type="dxa"/>
          </w:tcPr>
          <w:p w:rsidR="002E588C" w:rsidRPr="00BC49E1" w:rsidP="006968BF">
            <w:pPr>
              <w:spacing w:after="0" w:line="240" w:lineRule="auto"/>
              <w:jc w:val="both"/>
              <w:rPr>
                <w:rFonts w:ascii="Times New Roman" w:eastAsia="Times New Roman" w:hAnsi="Times New Roman"/>
                <w:sz w:val="20"/>
                <w:szCs w:val="20"/>
                <w:lang w:eastAsia="lv-LV"/>
              </w:rPr>
            </w:pPr>
            <w:r w:rsidRPr="00BC49E1">
              <w:rPr>
                <w:rFonts w:ascii="Times New Roman" w:eastAsia="Times New Roman" w:hAnsi="Times New Roman"/>
                <w:sz w:val="20"/>
                <w:szCs w:val="20"/>
                <w:lang w:eastAsia="lv-LV"/>
              </w:rPr>
              <w:t>Palielinājies, salīdzinājumā ar 2013.gadu</w:t>
            </w:r>
          </w:p>
        </w:tc>
        <w:tc>
          <w:tcPr>
            <w:tcW w:w="1559" w:type="dxa"/>
          </w:tcPr>
          <w:p w:rsidR="002E588C" w:rsidRPr="00BC49E1" w:rsidP="00392942">
            <w:pPr>
              <w:spacing w:after="0" w:line="240" w:lineRule="auto"/>
              <w:jc w:val="both"/>
              <w:rPr>
                <w:rFonts w:ascii="Times New Roman" w:hAnsi="Times New Roman"/>
                <w:sz w:val="20"/>
                <w:szCs w:val="20"/>
              </w:rPr>
            </w:pPr>
            <w:r w:rsidRPr="00BC49E1">
              <w:rPr>
                <w:rFonts w:ascii="Times New Roman" w:hAnsi="Times New Roman"/>
                <w:sz w:val="20"/>
                <w:szCs w:val="20"/>
              </w:rPr>
              <w:t>Uz 2016.gadu pētījums nav veikts</w:t>
            </w:r>
            <w:r w:rsidRPr="00BC49E1" w:rsidR="00626002">
              <w:rPr>
                <w:rFonts w:ascii="Times New Roman" w:hAnsi="Times New Roman"/>
                <w:sz w:val="20"/>
                <w:szCs w:val="20"/>
              </w:rPr>
              <w:t xml:space="preserve">, tiks </w:t>
            </w:r>
            <w:r w:rsidRPr="00BC49E1" w:rsidR="00392942">
              <w:rPr>
                <w:rFonts w:ascii="Times New Roman" w:hAnsi="Times New Roman"/>
                <w:sz w:val="20"/>
                <w:szCs w:val="20"/>
              </w:rPr>
              <w:t>veikts, izstrādājot</w:t>
            </w:r>
            <w:r w:rsidRPr="00BC49E1" w:rsidR="00626002">
              <w:rPr>
                <w:rFonts w:ascii="Times New Roman" w:hAnsi="Times New Roman"/>
                <w:sz w:val="20"/>
                <w:szCs w:val="20"/>
              </w:rPr>
              <w:t xml:space="preserve"> pamatnostādņu īstenošanas gala </w:t>
            </w:r>
            <w:r w:rsidRPr="00BC49E1" w:rsidR="00392942">
              <w:rPr>
                <w:rFonts w:ascii="Times New Roman" w:hAnsi="Times New Roman"/>
                <w:sz w:val="20"/>
                <w:szCs w:val="20"/>
              </w:rPr>
              <w:t>ziņojumu</w:t>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Nepieciešams veikt pētījumu</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rPr>
                <w:rFonts w:ascii="Times New Roman" w:hAnsi="Times New Roman"/>
                <w:b/>
                <w:sz w:val="20"/>
                <w:szCs w:val="20"/>
              </w:rPr>
            </w:pPr>
            <w:r w:rsidRPr="00BC49E1">
              <w:rPr>
                <w:rFonts w:ascii="Times New Roman" w:hAnsi="Times New Roman"/>
                <w:b/>
                <w:sz w:val="20"/>
                <w:szCs w:val="20"/>
              </w:rPr>
              <w:t>Darbības rezultāts</w:t>
            </w:r>
          </w:p>
        </w:tc>
        <w:tc>
          <w:tcPr>
            <w:tcW w:w="7400" w:type="dxa"/>
            <w:gridSpan w:val="4"/>
            <w:shd w:val="clear" w:color="auto" w:fill="BFBFBF"/>
          </w:tcPr>
          <w:p w:rsidR="00F17AEF" w:rsidRPr="00BC49E1" w:rsidP="006968BF">
            <w:pPr>
              <w:spacing w:after="0" w:line="240" w:lineRule="auto"/>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tcPr>
          <w:p w:rsidR="002E588C" w:rsidRPr="00BC49E1" w:rsidP="00F17AEF">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eastAsia="Times New Roman" w:hAnsi="Times New Roman"/>
                <w:sz w:val="20"/>
                <w:szCs w:val="20"/>
              </w:rPr>
              <w:t>Uzlabota pašvaldību infrastruktūra publisko individuālo pakalpojumu nodrošināšanai</w:t>
            </w:r>
          </w:p>
        </w:tc>
        <w:tc>
          <w:tcPr>
            <w:tcW w:w="311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Uzbūvēto, paplašināto, rekonstruēto vai renovēto ēku, kurās tiek nodrošināti pakalpojumi atbilstoši publisko individuālo pakalpojumu „grozam”, skaits vidēji pašvaldībā</w:t>
            </w:r>
          </w:p>
        </w:tc>
        <w:tc>
          <w:tcPr>
            <w:tcW w:w="1304"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w:t>
            </w:r>
          </w:p>
        </w:tc>
        <w:tc>
          <w:tcPr>
            <w:tcW w:w="1276"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0</w:t>
            </w:r>
          </w:p>
        </w:tc>
        <w:tc>
          <w:tcPr>
            <w:tcW w:w="1701"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 xml:space="preserve">125 (35% no pieauguma līdz 2022.gadam; kopā plānots vismaz 357 līdz 2022.gadam, vidēji 3 vienā pašvaldībā) </w:t>
            </w:r>
          </w:p>
        </w:tc>
        <w:tc>
          <w:tcPr>
            <w:tcW w:w="155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Tiks apkopots, izstrādājot</w:t>
            </w:r>
            <w:r w:rsidRPr="00BC49E1" w:rsidR="00A10477">
              <w:rPr>
                <w:rFonts w:ascii="Times New Roman" w:hAnsi="Times New Roman"/>
                <w:sz w:val="20"/>
                <w:szCs w:val="20"/>
              </w:rPr>
              <w:t xml:space="preserve"> pamatnostādņu īstenošanas </w:t>
            </w:r>
            <w:r w:rsidRPr="00BC49E1">
              <w:rPr>
                <w:rFonts w:ascii="Times New Roman" w:hAnsi="Times New Roman"/>
                <w:sz w:val="20"/>
                <w:szCs w:val="20"/>
              </w:rPr>
              <w:t>gala ziņojumu</w:t>
            </w:r>
          </w:p>
        </w:tc>
        <w:tc>
          <w:tcPr>
            <w:tcW w:w="1389"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VARAM apkopotā informācija no nozaru ministrijām/ pašvaldībām</w:t>
            </w:r>
          </w:p>
        </w:tc>
        <w:tc>
          <w:tcPr>
            <w:tcW w:w="1305" w:type="dxa"/>
          </w:tcPr>
          <w:p w:rsidR="002E588C" w:rsidRPr="00BC49E1" w:rsidP="006968BF">
            <w:pPr>
              <w:spacing w:after="0" w:line="240" w:lineRule="auto"/>
              <w:jc w:val="both"/>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center"/>
              <w:rPr>
                <w:rFonts w:ascii="Times New Roman" w:hAnsi="Times New Roman"/>
                <w:sz w:val="20"/>
                <w:szCs w:val="20"/>
              </w:rPr>
            </w:pPr>
            <w:r w:rsidRPr="00BC49E1">
              <w:rPr>
                <w:rFonts w:ascii="Times New Roman" w:eastAsia="Times New Roman" w:hAnsi="Times New Roman"/>
                <w:b/>
                <w:bCs/>
                <w:sz w:val="20"/>
                <w:szCs w:val="20"/>
                <w:lang w:eastAsia="lv-LV"/>
              </w:rPr>
              <w:t>Mērķis</w:t>
            </w:r>
          </w:p>
        </w:tc>
        <w:tc>
          <w:tcPr>
            <w:tcW w:w="7400" w:type="dxa"/>
            <w:gridSpan w:val="4"/>
            <w:shd w:val="clear" w:color="auto" w:fill="BFBFBF"/>
            <w:vAlign w:val="center"/>
          </w:tcPr>
          <w:p w:rsidR="00F17AEF" w:rsidRPr="00BC49E1" w:rsidP="006968BF">
            <w:pPr>
              <w:spacing w:after="0" w:line="240" w:lineRule="auto"/>
              <w:jc w:val="center"/>
              <w:rPr>
                <w:rFonts w:ascii="Times New Roman" w:eastAsia="Times New Roman" w:hAnsi="Times New Roman"/>
                <w:b/>
                <w:bCs/>
                <w:sz w:val="20"/>
                <w:szCs w:val="20"/>
                <w:lang w:eastAsia="lv-LV"/>
              </w:rPr>
            </w:pPr>
            <w:r w:rsidRPr="00BC49E1">
              <w:rPr>
                <w:rFonts w:ascii="Times New Roman" w:eastAsia="Times New Roman" w:hAnsi="Times New Roman"/>
                <w:b/>
                <w:bCs/>
                <w:sz w:val="20"/>
                <w:szCs w:val="20"/>
                <w:lang w:eastAsia="lv-LV"/>
              </w:rPr>
              <w:t>2. Stiprināt reģionu un pašvaldību rīcībspēju un lomu savas teritorijas attīstības veicināšanā</w:t>
            </w:r>
          </w:p>
        </w:tc>
        <w:tc>
          <w:tcPr>
            <w:tcW w:w="2948" w:type="dxa"/>
            <w:gridSpan w:val="2"/>
            <w:shd w:val="clear" w:color="auto" w:fill="BFBFBF"/>
          </w:tcPr>
          <w:p w:rsidR="00F17AEF" w:rsidRPr="00BC49E1" w:rsidP="006968BF">
            <w:pPr>
              <w:spacing w:after="0" w:line="240" w:lineRule="auto"/>
              <w:jc w:val="center"/>
              <w:rPr>
                <w:rFonts w:ascii="Times New Roman" w:eastAsia="Times New Roman" w:hAnsi="Times New Roman"/>
                <w:b/>
                <w:bCs/>
                <w:sz w:val="20"/>
                <w:szCs w:val="20"/>
                <w:lang w:eastAsia="lv-LV"/>
              </w:rPr>
            </w:pPr>
          </w:p>
        </w:tc>
        <w:tc>
          <w:tcPr>
            <w:tcW w:w="1305" w:type="dxa"/>
            <w:shd w:val="clear" w:color="auto" w:fill="BFBFBF"/>
          </w:tcPr>
          <w:p w:rsidR="00F17AEF" w:rsidRPr="00BC49E1" w:rsidP="006968BF">
            <w:pPr>
              <w:spacing w:after="0" w:line="240" w:lineRule="auto"/>
              <w:jc w:val="center"/>
              <w:rPr>
                <w:rFonts w:ascii="Times New Roman" w:eastAsia="Times New Roman" w:hAnsi="Times New Roman"/>
                <w:b/>
                <w:bCs/>
                <w:sz w:val="20"/>
                <w:szCs w:val="20"/>
                <w:lang w:eastAsia="lv-LV"/>
              </w:rPr>
            </w:pPr>
          </w:p>
        </w:tc>
      </w:tr>
      <w:tr w:rsidTr="00343DE2">
        <w:tblPrEx>
          <w:tblW w:w="14596" w:type="dxa"/>
          <w:tblLayout w:type="fixed"/>
          <w:tblLook w:val="04A0"/>
        </w:tblPrEx>
        <w:tc>
          <w:tcPr>
            <w:tcW w:w="6062" w:type="dxa"/>
            <w:gridSpan w:val="2"/>
          </w:tcPr>
          <w:p w:rsidR="00343DE2" w:rsidRPr="00BC49E1" w:rsidP="006968BF">
            <w:pPr>
              <w:spacing w:after="0" w:line="240" w:lineRule="auto"/>
              <w:rPr>
                <w:rFonts w:ascii="Times New Roman" w:hAnsi="Times New Roman"/>
                <w:sz w:val="20"/>
                <w:szCs w:val="20"/>
              </w:rPr>
            </w:pPr>
          </w:p>
        </w:tc>
        <w:tc>
          <w:tcPr>
            <w:tcW w:w="1304" w:type="dxa"/>
            <w:vAlign w:val="center"/>
          </w:tcPr>
          <w:p w:rsidR="00343DE2" w:rsidRPr="00BC49E1" w:rsidP="006968BF">
            <w:pPr>
              <w:spacing w:after="0" w:line="240" w:lineRule="auto"/>
              <w:jc w:val="center"/>
              <w:rPr>
                <w:rFonts w:ascii="Times New Roman" w:eastAsia="Times New Roman" w:hAnsi="Times New Roman"/>
                <w:sz w:val="20"/>
                <w:szCs w:val="20"/>
                <w:lang w:eastAsia="lv-LV"/>
              </w:rPr>
            </w:pPr>
            <w:r w:rsidRPr="00BC49E1">
              <w:rPr>
                <w:rFonts w:ascii="Times New Roman" w:eastAsia="Times New Roman" w:hAnsi="Times New Roman"/>
                <w:b/>
                <w:bCs/>
                <w:sz w:val="20"/>
                <w:szCs w:val="20"/>
                <w:lang w:eastAsia="lv-LV"/>
              </w:rPr>
              <w:t>Bāzes vērtība (gads)</w:t>
            </w:r>
          </w:p>
        </w:tc>
        <w:tc>
          <w:tcPr>
            <w:tcW w:w="1276" w:type="dxa"/>
            <w:vAlign w:val="center"/>
          </w:tcPr>
          <w:p w:rsidR="00343DE2" w:rsidRPr="00BC49E1" w:rsidP="006968BF">
            <w:pPr>
              <w:spacing w:after="0" w:line="240" w:lineRule="auto"/>
              <w:jc w:val="center"/>
              <w:rPr>
                <w:rFonts w:ascii="Times New Roman" w:eastAsia="Times New Roman" w:hAnsi="Times New Roman"/>
                <w:sz w:val="20"/>
                <w:szCs w:val="20"/>
                <w:lang w:eastAsia="lv-LV"/>
              </w:rPr>
            </w:pPr>
            <w:r w:rsidRPr="00BC49E1">
              <w:rPr>
                <w:rFonts w:ascii="Times New Roman" w:eastAsia="Times New Roman" w:hAnsi="Times New Roman"/>
                <w:b/>
                <w:bCs/>
                <w:sz w:val="20"/>
                <w:szCs w:val="20"/>
                <w:lang w:eastAsia="lv-LV"/>
              </w:rPr>
              <w:t>2016.gads</w:t>
            </w:r>
          </w:p>
        </w:tc>
        <w:tc>
          <w:tcPr>
            <w:tcW w:w="1701" w:type="dxa"/>
            <w:vAlign w:val="center"/>
          </w:tcPr>
          <w:p w:rsidR="00343DE2" w:rsidRPr="00BC49E1" w:rsidP="006968BF">
            <w:pPr>
              <w:spacing w:after="0" w:line="240" w:lineRule="auto"/>
              <w:jc w:val="center"/>
              <w:rPr>
                <w:rFonts w:ascii="Times New Roman" w:eastAsia="Times New Roman" w:hAnsi="Times New Roman"/>
                <w:sz w:val="20"/>
                <w:szCs w:val="20"/>
                <w:lang w:eastAsia="lv-LV"/>
              </w:rPr>
            </w:pPr>
            <w:r w:rsidRPr="00BC49E1">
              <w:rPr>
                <w:rFonts w:ascii="Times New Roman" w:eastAsia="Times New Roman" w:hAnsi="Times New Roman"/>
                <w:b/>
                <w:bCs/>
                <w:sz w:val="20"/>
                <w:szCs w:val="20"/>
                <w:lang w:eastAsia="lv-LV"/>
              </w:rPr>
              <w:t>2019.gads</w:t>
            </w:r>
          </w:p>
        </w:tc>
        <w:tc>
          <w:tcPr>
            <w:tcW w:w="1559" w:type="dxa"/>
            <w:vAlign w:val="center"/>
          </w:tcPr>
          <w:p w:rsidR="00343DE2" w:rsidRPr="00BC49E1" w:rsidP="006968BF">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2016.gads (izpilde)</w:t>
            </w:r>
          </w:p>
        </w:tc>
        <w:tc>
          <w:tcPr>
            <w:tcW w:w="1389" w:type="dxa"/>
            <w:vAlign w:val="center"/>
          </w:tcPr>
          <w:p w:rsidR="00343DE2" w:rsidRPr="00BC49E1" w:rsidP="006968BF">
            <w:pPr>
              <w:spacing w:after="0" w:line="240" w:lineRule="auto"/>
              <w:jc w:val="center"/>
              <w:rPr>
                <w:rFonts w:ascii="Times New Roman" w:eastAsia="Times New Roman" w:hAnsi="Times New Roman"/>
                <w:b/>
                <w:bCs/>
                <w:sz w:val="20"/>
                <w:szCs w:val="20"/>
                <w:lang w:eastAsia="lv-LV"/>
              </w:rPr>
            </w:pPr>
            <w:r w:rsidRPr="00BC49E1">
              <w:rPr>
                <w:rFonts w:ascii="Times New Roman" w:eastAsia="Times New Roman" w:hAnsi="Times New Roman"/>
                <w:b/>
                <w:bCs/>
                <w:sz w:val="20"/>
                <w:szCs w:val="20"/>
                <w:lang w:eastAsia="lv-LV"/>
              </w:rPr>
              <w:t>Datu avots</w:t>
            </w:r>
          </w:p>
        </w:tc>
        <w:tc>
          <w:tcPr>
            <w:tcW w:w="1305" w:type="dxa"/>
          </w:tcPr>
          <w:p w:rsidR="00343DE2" w:rsidRPr="00BC49E1" w:rsidP="006968BF">
            <w:pPr>
              <w:spacing w:after="0" w:line="240" w:lineRule="auto"/>
              <w:jc w:val="center"/>
              <w:rPr>
                <w:rFonts w:ascii="Times New Roman" w:eastAsia="Times New Roman" w:hAnsi="Times New Roman"/>
                <w:b/>
                <w:bCs/>
                <w:sz w:val="20"/>
                <w:szCs w:val="20"/>
                <w:lang w:eastAsia="lv-LV"/>
              </w:rPr>
            </w:pPr>
            <w:r w:rsidRPr="00BC49E1">
              <w:rPr>
                <w:rFonts w:ascii="Times New Roman" w:eastAsia="Times New Roman" w:hAnsi="Times New Roman"/>
                <w:b/>
                <w:bCs/>
                <w:sz w:val="20"/>
                <w:szCs w:val="20"/>
                <w:lang w:eastAsia="lv-LV"/>
              </w:rPr>
              <w:t>Norāde par sasaisti ar citiem plān. dok., ja ir</w:t>
            </w:r>
          </w:p>
        </w:tc>
      </w:tr>
      <w:tr w:rsidTr="00F17AEF">
        <w:tblPrEx>
          <w:tblW w:w="14596" w:type="dxa"/>
          <w:tblLayout w:type="fixed"/>
          <w:tblLook w:val="04A0"/>
        </w:tblPrEx>
        <w:tc>
          <w:tcPr>
            <w:tcW w:w="2943" w:type="dxa"/>
            <w:shd w:val="clear" w:color="auto" w:fill="BFBFBF"/>
          </w:tcPr>
          <w:p w:rsidR="00F17AEF" w:rsidRPr="00BC49E1" w:rsidP="006968BF">
            <w:pPr>
              <w:spacing w:after="0" w:line="240" w:lineRule="auto"/>
              <w:jc w:val="both"/>
              <w:rPr>
                <w:rFonts w:ascii="Times New Roman" w:eastAsia="Times New Roman" w:hAnsi="Times New Roman"/>
                <w:sz w:val="20"/>
                <w:szCs w:val="20"/>
              </w:rPr>
            </w:pPr>
            <w:r w:rsidRPr="00BC49E1">
              <w:rPr>
                <w:rFonts w:ascii="Times New Roman" w:eastAsia="Times New Roman" w:hAnsi="Times New Roman"/>
                <w:b/>
                <w:bCs/>
                <w:sz w:val="20"/>
                <w:szCs w:val="20"/>
                <w:bdr w:val="none" w:sz="0" w:space="0" w:color="auto" w:frame="1"/>
              </w:rPr>
              <w:t>Politikas rezultāts</w:t>
            </w:r>
          </w:p>
        </w:tc>
        <w:tc>
          <w:tcPr>
            <w:tcW w:w="7400" w:type="dxa"/>
            <w:gridSpan w:val="4"/>
            <w:shd w:val="clear" w:color="auto" w:fill="BFBFBF"/>
          </w:tcPr>
          <w:p w:rsidR="00F17AEF" w:rsidRPr="00BC49E1" w:rsidP="006968BF">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F17AEF" w:rsidRPr="00BC49E1" w:rsidP="006968BF">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rPr>
          <w:hidden/>
        </w:trPr>
        <w:tc>
          <w:tcPr>
            <w:tcW w:w="2943" w:type="dxa"/>
            <w:vMerge w:val="restart"/>
          </w:tcPr>
          <w:p w:rsidR="00CB401A" w:rsidRPr="00BC49E1" w:rsidP="00CB401A">
            <w:pPr>
              <w:numPr>
                <w:ilvl w:val="0"/>
                <w:numId w:val="1"/>
              </w:numPr>
              <w:spacing w:after="0" w:line="240" w:lineRule="auto"/>
              <w:contextualSpacing/>
              <w:jc w:val="both"/>
              <w:rPr>
                <w:rFonts w:ascii="Times New Roman" w:eastAsia="Times New Roman" w:hAnsi="Times New Roman"/>
                <w:b/>
                <w:vanish/>
                <w:sz w:val="20"/>
                <w:szCs w:val="20"/>
              </w:rPr>
            </w:pPr>
          </w:p>
          <w:p w:rsidR="00CB401A" w:rsidRPr="00BC49E1" w:rsidP="00CB401A">
            <w:pPr>
              <w:numPr>
                <w:ilvl w:val="1"/>
                <w:numId w:val="1"/>
              </w:numPr>
              <w:spacing w:after="0" w:line="240" w:lineRule="auto"/>
              <w:ind w:left="432"/>
              <w:contextualSpacing/>
              <w:jc w:val="both"/>
              <w:rPr>
                <w:rFonts w:ascii="Times New Roman" w:hAnsi="Times New Roman"/>
                <w:b/>
                <w:sz w:val="20"/>
                <w:szCs w:val="20"/>
              </w:rPr>
            </w:pPr>
            <w:r w:rsidRPr="00BC49E1">
              <w:rPr>
                <w:rFonts w:ascii="Times New Roman" w:eastAsia="Times New Roman" w:hAnsi="Times New Roman"/>
                <w:b/>
                <w:sz w:val="20"/>
                <w:szCs w:val="20"/>
              </w:rPr>
              <w:t>Sekmēta investoru piesaiste un inovatīvas uzņēmējdarbības attīstība pašvaldībās un reģionos</w:t>
            </w:r>
            <w:r>
              <w:rPr>
                <w:rFonts w:ascii="Times New Roman" w:eastAsia="Times New Roman" w:hAnsi="Times New Roman"/>
                <w:b/>
                <w:sz w:val="20"/>
                <w:vertAlign w:val="superscript"/>
              </w:rPr>
              <w:footnoteReference w:id="30"/>
            </w:r>
          </w:p>
        </w:tc>
        <w:tc>
          <w:tcPr>
            <w:tcW w:w="3119" w:type="dxa"/>
          </w:tcPr>
          <w:p w:rsidR="00CB401A" w:rsidRPr="00BC49E1" w:rsidP="00CB401A">
            <w:pPr>
              <w:numPr>
                <w:ilvl w:val="0"/>
                <w:numId w:val="5"/>
              </w:numPr>
              <w:spacing w:after="0" w:line="240" w:lineRule="auto"/>
              <w:jc w:val="both"/>
              <w:rPr>
                <w:rFonts w:ascii="Times New Roman" w:hAnsi="Times New Roman"/>
                <w:sz w:val="20"/>
                <w:szCs w:val="20"/>
              </w:rPr>
            </w:pPr>
            <w:r w:rsidRPr="00BC49E1">
              <w:rPr>
                <w:rFonts w:ascii="Times New Roman" w:hAnsi="Times New Roman"/>
                <w:sz w:val="20"/>
                <w:szCs w:val="20"/>
              </w:rPr>
              <w:t>Tirgus sektora ekonomiski aktīvās vienības reģionos uz 1000 iedzīvotājiem</w:t>
            </w:r>
          </w:p>
        </w:tc>
        <w:tc>
          <w:tcPr>
            <w:tcW w:w="1304" w:type="dxa"/>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Latvija vidēji 64,2</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Rīga – 70,7</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Vidzeme – 66,5</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Kurzeme – 61,5</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Zemgale – 53,3</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Latgale - 52,8 (2010)</w:t>
            </w:r>
          </w:p>
        </w:tc>
        <w:tc>
          <w:tcPr>
            <w:tcW w:w="1276" w:type="dxa"/>
            <w:shd w:val="clear" w:color="auto" w:fill="auto"/>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 xml:space="preserve">Latvija vidēji </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Rīga – 76,8</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Vidzeme – 72,3</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Kurzeme – 66,8</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Zemgale – 57,9</w:t>
            </w:r>
          </w:p>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Latgale – 57,4</w:t>
            </w:r>
          </w:p>
        </w:tc>
        <w:tc>
          <w:tcPr>
            <w:tcW w:w="1701" w:type="dxa"/>
            <w:shd w:val="clear" w:color="auto" w:fill="auto"/>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 xml:space="preserve">Latvija vidēji </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Rīga – 81,8</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Vidzeme – 77,0</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Kurzeme – 71,2</w:t>
            </w:r>
          </w:p>
          <w:p w:rsidR="00CB401A" w:rsidRPr="00BC49E1" w:rsidP="00CB401A">
            <w:pPr>
              <w:spacing w:after="0" w:line="240" w:lineRule="auto"/>
              <w:jc w:val="both"/>
              <w:rPr>
                <w:rFonts w:ascii="Times New Roman" w:hAnsi="Times New Roman"/>
                <w:sz w:val="20"/>
                <w:szCs w:val="20"/>
              </w:rPr>
            </w:pPr>
            <w:r w:rsidRPr="00BC49E1">
              <w:rPr>
                <w:rFonts w:ascii="Times New Roman" w:hAnsi="Times New Roman"/>
                <w:sz w:val="20"/>
                <w:szCs w:val="20"/>
              </w:rPr>
              <w:t>Zemgale – 61,7</w:t>
            </w:r>
          </w:p>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Latgale – 61,1</w:t>
            </w:r>
          </w:p>
        </w:tc>
        <w:tc>
          <w:tcPr>
            <w:tcW w:w="1559" w:type="dxa"/>
          </w:tcPr>
          <w:p w:rsidR="00CB401A" w:rsidRPr="00BC49E1" w:rsidP="00CB401A">
            <w:pPr>
              <w:spacing w:after="0" w:line="240" w:lineRule="auto"/>
              <w:rPr>
                <w:rFonts w:ascii="Times New Roman" w:eastAsia="Times New Roman" w:hAnsi="Times New Roman"/>
                <w:sz w:val="20"/>
                <w:szCs w:val="20"/>
              </w:rPr>
            </w:pPr>
            <w:r>
              <w:rPr>
                <w:rFonts w:ascii="Times New Roman" w:hAnsi="Times New Roman"/>
                <w:sz w:val="20"/>
                <w:szCs w:val="20"/>
              </w:rPr>
              <w:t>Latvija vidēji – 91,</w:t>
            </w:r>
            <w:r w:rsidRPr="00CB401A">
              <w:rPr>
                <w:rFonts w:ascii="Times New Roman" w:hAnsi="Times New Roman"/>
                <w:sz w:val="20"/>
                <w:szCs w:val="20"/>
              </w:rPr>
              <w:t>6</w:t>
            </w:r>
            <w:r w:rsidRPr="00CB401A">
              <w:rPr>
                <w:rFonts w:ascii="Times New Roman" w:hAnsi="Times New Roman"/>
                <w:sz w:val="20"/>
                <w:szCs w:val="20"/>
              </w:rPr>
              <w:br/>
            </w:r>
            <w:r>
              <w:rPr>
                <w:rFonts w:ascii="Times New Roman" w:hAnsi="Times New Roman"/>
                <w:sz w:val="20"/>
                <w:szCs w:val="20"/>
              </w:rPr>
              <w:t>Rīga – 116,</w:t>
            </w:r>
            <w:r w:rsidRPr="00CB401A">
              <w:rPr>
                <w:rFonts w:ascii="Times New Roman" w:hAnsi="Times New Roman"/>
                <w:sz w:val="20"/>
                <w:szCs w:val="20"/>
              </w:rPr>
              <w:t xml:space="preserve">8 </w:t>
            </w:r>
            <w:r w:rsidRPr="00CB401A">
              <w:rPr>
                <w:rFonts w:ascii="Times New Roman" w:hAnsi="Times New Roman"/>
                <w:sz w:val="20"/>
                <w:szCs w:val="20"/>
              </w:rPr>
              <w:br/>
            </w:r>
            <w:r>
              <w:rPr>
                <w:rFonts w:ascii="Times New Roman" w:hAnsi="Times New Roman"/>
                <w:sz w:val="20"/>
                <w:szCs w:val="20"/>
              </w:rPr>
              <w:t>Vidzeme – 90,</w:t>
            </w:r>
            <w:r w:rsidRPr="00CB401A">
              <w:rPr>
                <w:rFonts w:ascii="Times New Roman" w:hAnsi="Times New Roman"/>
                <w:sz w:val="20"/>
                <w:szCs w:val="20"/>
              </w:rPr>
              <w:t xml:space="preserve">2 </w:t>
            </w:r>
            <w:r w:rsidRPr="00CB401A">
              <w:rPr>
                <w:rFonts w:ascii="Times New Roman" w:hAnsi="Times New Roman"/>
                <w:sz w:val="20"/>
                <w:szCs w:val="20"/>
              </w:rPr>
              <w:br/>
              <w:t xml:space="preserve">Kurzeme – </w:t>
            </w:r>
            <w:r>
              <w:rPr>
                <w:rFonts w:ascii="Times New Roman" w:hAnsi="Times New Roman"/>
                <w:sz w:val="20"/>
                <w:szCs w:val="20"/>
              </w:rPr>
              <w:t>84,</w:t>
            </w:r>
            <w:r w:rsidRPr="00CB401A">
              <w:rPr>
                <w:rFonts w:ascii="Times New Roman" w:hAnsi="Times New Roman"/>
                <w:sz w:val="20"/>
                <w:szCs w:val="20"/>
              </w:rPr>
              <w:t xml:space="preserve">2 </w:t>
            </w:r>
            <w:r w:rsidRPr="00CB401A">
              <w:rPr>
                <w:rFonts w:ascii="Times New Roman" w:hAnsi="Times New Roman"/>
                <w:sz w:val="20"/>
                <w:szCs w:val="20"/>
              </w:rPr>
              <w:br/>
            </w:r>
            <w:r>
              <w:rPr>
                <w:rFonts w:ascii="Times New Roman" w:hAnsi="Times New Roman"/>
                <w:sz w:val="20"/>
                <w:szCs w:val="20"/>
              </w:rPr>
              <w:t>Zemgale – 70,</w:t>
            </w:r>
            <w:r w:rsidRPr="00CB401A">
              <w:rPr>
                <w:rFonts w:ascii="Times New Roman" w:hAnsi="Times New Roman"/>
                <w:sz w:val="20"/>
                <w:szCs w:val="20"/>
              </w:rPr>
              <w:t xml:space="preserve">9 </w:t>
            </w:r>
            <w:r w:rsidRPr="00CB401A">
              <w:rPr>
                <w:rFonts w:ascii="Times New Roman" w:hAnsi="Times New Roman"/>
                <w:sz w:val="20"/>
                <w:szCs w:val="20"/>
              </w:rPr>
              <w:br/>
            </w:r>
            <w:r>
              <w:rPr>
                <w:rFonts w:ascii="Times New Roman" w:hAnsi="Times New Roman"/>
                <w:sz w:val="20"/>
                <w:szCs w:val="20"/>
              </w:rPr>
              <w:t>Latgale – 69,</w:t>
            </w:r>
            <w:r w:rsidRPr="00CB401A">
              <w:rPr>
                <w:rFonts w:ascii="Times New Roman" w:hAnsi="Times New Roman"/>
                <w:sz w:val="20"/>
                <w:szCs w:val="20"/>
              </w:rPr>
              <w:t>3</w:t>
            </w:r>
            <w:r>
              <w:rPr>
                <w:rStyle w:val="FootnoteReference"/>
                <w:rFonts w:ascii="Times New Roman" w:hAnsi="Times New Roman"/>
                <w:sz w:val="20"/>
                <w:szCs w:val="20"/>
              </w:rPr>
              <w:footnoteReference w:id="31"/>
            </w:r>
          </w:p>
          <w:p w:rsidR="00CB401A" w:rsidRPr="00BC49E1" w:rsidP="00CB401A">
            <w:pPr>
              <w:spacing w:after="0" w:line="240" w:lineRule="auto"/>
              <w:rPr>
                <w:rFonts w:ascii="Times New Roman" w:hAnsi="Times New Roman"/>
                <w:sz w:val="20"/>
                <w:szCs w:val="20"/>
              </w:rPr>
            </w:pP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CSP dati</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Noteikts NAP 2020 375.rindkopā</w:t>
            </w:r>
          </w:p>
        </w:tc>
      </w:tr>
      <w:tr w:rsidTr="007320AB">
        <w:tblPrEx>
          <w:tblW w:w="14596" w:type="dxa"/>
          <w:tblLayout w:type="fixed"/>
          <w:tblLook w:val="04A0"/>
        </w:tblPrEx>
        <w:tc>
          <w:tcPr>
            <w:tcW w:w="2943" w:type="dxa"/>
            <w:vMerge/>
          </w:tcPr>
          <w:p w:rsidR="00CB401A" w:rsidRPr="00BC49E1" w:rsidP="00CB401A">
            <w:pPr>
              <w:spacing w:after="0" w:line="240" w:lineRule="auto"/>
              <w:rPr>
                <w:rFonts w:ascii="Times New Roman" w:hAnsi="Times New Roman"/>
                <w:sz w:val="20"/>
                <w:szCs w:val="20"/>
              </w:rPr>
            </w:pPr>
          </w:p>
        </w:tc>
        <w:tc>
          <w:tcPr>
            <w:tcW w:w="3119" w:type="dxa"/>
          </w:tcPr>
          <w:p w:rsidR="00CB401A" w:rsidRPr="00BC49E1" w:rsidP="00CB401A">
            <w:pPr>
              <w:numPr>
                <w:ilvl w:val="0"/>
                <w:numId w:val="5"/>
              </w:numPr>
              <w:spacing w:after="0" w:line="240" w:lineRule="auto"/>
              <w:jc w:val="both"/>
              <w:rPr>
                <w:rFonts w:ascii="Times New Roman" w:hAnsi="Times New Roman"/>
                <w:sz w:val="20"/>
                <w:szCs w:val="20"/>
              </w:rPr>
            </w:pPr>
            <w:r>
              <w:rPr>
                <w:rFonts w:ascii="Times New Roman" w:hAnsi="Times New Roman"/>
                <w:sz w:val="20"/>
                <w:szCs w:val="20"/>
              </w:rPr>
              <w:t>Bezdarba līmenis</w:t>
            </w:r>
            <w:r w:rsidRPr="00BC49E1">
              <w:rPr>
                <w:rFonts w:ascii="Times New Roman" w:hAnsi="Times New Roman"/>
                <w:sz w:val="20"/>
                <w:szCs w:val="20"/>
              </w:rPr>
              <w:t xml:space="preserve"> statistiskajos reģionos ārpus Rīgas (%)</w:t>
            </w:r>
          </w:p>
        </w:tc>
        <w:tc>
          <w:tcPr>
            <w:tcW w:w="1304" w:type="dxa"/>
          </w:tcPr>
          <w:p w:rsidR="00CB401A" w:rsidRPr="001574CA" w:rsidP="00CB401A">
            <w:pPr>
              <w:spacing w:after="0" w:line="240" w:lineRule="auto"/>
              <w:jc w:val="both"/>
              <w:rPr>
                <w:rFonts w:ascii="Times New Roman" w:hAnsi="Times New Roman"/>
                <w:sz w:val="20"/>
                <w:szCs w:val="20"/>
              </w:rPr>
            </w:pPr>
            <w:r w:rsidRPr="001574CA">
              <w:rPr>
                <w:rFonts w:ascii="Times New Roman" w:hAnsi="Times New Roman"/>
                <w:sz w:val="20"/>
                <w:szCs w:val="20"/>
              </w:rPr>
              <w:t>Pierīga – 14,4</w:t>
            </w:r>
          </w:p>
          <w:p w:rsidR="00CB401A" w:rsidRPr="001574CA" w:rsidP="00CB401A">
            <w:pPr>
              <w:spacing w:after="0" w:line="240" w:lineRule="auto"/>
              <w:jc w:val="both"/>
              <w:rPr>
                <w:rFonts w:ascii="Times New Roman" w:hAnsi="Times New Roman"/>
                <w:sz w:val="20"/>
                <w:szCs w:val="20"/>
              </w:rPr>
            </w:pPr>
            <w:r w:rsidRPr="001574CA">
              <w:rPr>
                <w:rFonts w:ascii="Times New Roman" w:hAnsi="Times New Roman"/>
                <w:sz w:val="20"/>
                <w:szCs w:val="20"/>
              </w:rPr>
              <w:t>Vidzeme – 12,7</w:t>
            </w:r>
          </w:p>
          <w:p w:rsidR="00CB401A" w:rsidRPr="001574CA" w:rsidP="00CB401A">
            <w:pPr>
              <w:spacing w:after="0" w:line="240" w:lineRule="auto"/>
              <w:jc w:val="both"/>
              <w:rPr>
                <w:rFonts w:ascii="Times New Roman" w:hAnsi="Times New Roman"/>
                <w:sz w:val="20"/>
                <w:szCs w:val="20"/>
              </w:rPr>
            </w:pPr>
            <w:r w:rsidRPr="001574CA">
              <w:rPr>
                <w:rFonts w:ascii="Times New Roman" w:hAnsi="Times New Roman"/>
                <w:sz w:val="20"/>
                <w:szCs w:val="20"/>
              </w:rPr>
              <w:t>Kurzeme – 15,1</w:t>
            </w:r>
          </w:p>
          <w:p w:rsidR="00CB401A" w:rsidRPr="001574CA" w:rsidP="00CB401A">
            <w:pPr>
              <w:spacing w:after="0" w:line="240" w:lineRule="auto"/>
              <w:jc w:val="both"/>
              <w:rPr>
                <w:rFonts w:ascii="Times New Roman" w:hAnsi="Times New Roman"/>
                <w:sz w:val="20"/>
                <w:szCs w:val="20"/>
              </w:rPr>
            </w:pPr>
            <w:r w:rsidRPr="001574CA">
              <w:rPr>
                <w:rFonts w:ascii="Times New Roman" w:hAnsi="Times New Roman"/>
                <w:sz w:val="20"/>
                <w:szCs w:val="20"/>
              </w:rPr>
              <w:t>Zemgale -18,5</w:t>
            </w:r>
          </w:p>
          <w:p w:rsidR="00CB401A" w:rsidRPr="001574CA" w:rsidP="00CB401A">
            <w:pPr>
              <w:spacing w:after="0" w:line="240" w:lineRule="auto"/>
              <w:jc w:val="both"/>
              <w:rPr>
                <w:rFonts w:ascii="Times New Roman" w:hAnsi="Times New Roman"/>
                <w:sz w:val="20"/>
                <w:szCs w:val="20"/>
              </w:rPr>
            </w:pPr>
            <w:r w:rsidRPr="001574CA">
              <w:rPr>
                <w:rFonts w:ascii="Times New Roman" w:hAnsi="Times New Roman"/>
                <w:sz w:val="20"/>
                <w:szCs w:val="20"/>
              </w:rPr>
              <w:t>Latgale – 18,7 (2011)</w:t>
            </w:r>
          </w:p>
        </w:tc>
        <w:tc>
          <w:tcPr>
            <w:tcW w:w="1276" w:type="dxa"/>
          </w:tcPr>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Pierīga – 12,4</w:t>
            </w:r>
          </w:p>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Vidzeme – 10,9</w:t>
            </w:r>
          </w:p>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Kurzeme – 13,0</w:t>
            </w:r>
          </w:p>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Zemgale – 15,9</w:t>
            </w:r>
          </w:p>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Latgale – 16,1</w:t>
            </w:r>
          </w:p>
        </w:tc>
        <w:tc>
          <w:tcPr>
            <w:tcW w:w="1701" w:type="dxa"/>
          </w:tcPr>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Pierīga – 11,3</w:t>
            </w:r>
          </w:p>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Vidzeme – 10,0</w:t>
            </w:r>
          </w:p>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Kurzeme – 11,8</w:t>
            </w:r>
          </w:p>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Zemgale – 14,5</w:t>
            </w:r>
          </w:p>
          <w:p w:rsidR="00CB401A" w:rsidRPr="001574CA" w:rsidP="00CB401A">
            <w:pPr>
              <w:spacing w:after="0" w:line="240" w:lineRule="auto"/>
              <w:rPr>
                <w:rFonts w:ascii="Times New Roman" w:hAnsi="Times New Roman"/>
                <w:sz w:val="20"/>
                <w:szCs w:val="20"/>
              </w:rPr>
            </w:pPr>
            <w:r w:rsidRPr="001574CA">
              <w:rPr>
                <w:rFonts w:ascii="Times New Roman" w:hAnsi="Times New Roman"/>
                <w:sz w:val="20"/>
                <w:szCs w:val="20"/>
              </w:rPr>
              <w:t>Latgale – 14,7</w:t>
            </w:r>
          </w:p>
        </w:tc>
        <w:tc>
          <w:tcPr>
            <w:tcW w:w="1559" w:type="dxa"/>
          </w:tcPr>
          <w:p w:rsidR="00CB401A" w:rsidRPr="001574CA" w:rsidP="00CB401A">
            <w:pPr>
              <w:spacing w:after="0" w:line="240" w:lineRule="auto"/>
              <w:rPr>
                <w:rFonts w:ascii="Times New Roman" w:eastAsia="Times New Roman" w:hAnsi="Times New Roman"/>
                <w:sz w:val="20"/>
                <w:szCs w:val="20"/>
              </w:rPr>
            </w:pPr>
            <w:r w:rsidRPr="001574CA">
              <w:rPr>
                <w:rFonts w:ascii="Times New Roman" w:hAnsi="Times New Roman"/>
                <w:sz w:val="20"/>
                <w:szCs w:val="20"/>
              </w:rPr>
              <w:t xml:space="preserve">Pierīga –  6,4 </w:t>
            </w:r>
            <w:r w:rsidRPr="001574CA">
              <w:rPr>
                <w:rFonts w:ascii="Times New Roman" w:hAnsi="Times New Roman"/>
                <w:sz w:val="20"/>
                <w:szCs w:val="20"/>
              </w:rPr>
              <w:br/>
              <w:t xml:space="preserve">Vidzeme –  9,2 </w:t>
            </w:r>
            <w:r w:rsidRPr="001574CA">
              <w:rPr>
                <w:rFonts w:ascii="Times New Roman" w:hAnsi="Times New Roman"/>
                <w:sz w:val="20"/>
                <w:szCs w:val="20"/>
              </w:rPr>
              <w:br/>
              <w:t xml:space="preserve">Kurzeme –  9,8 </w:t>
            </w:r>
            <w:r w:rsidRPr="001574CA">
              <w:rPr>
                <w:rFonts w:ascii="Times New Roman" w:hAnsi="Times New Roman"/>
                <w:sz w:val="20"/>
                <w:szCs w:val="20"/>
              </w:rPr>
              <w:br/>
              <w:t xml:space="preserve">Zemgale – 12,0 </w:t>
            </w:r>
            <w:r w:rsidRPr="001574CA">
              <w:rPr>
                <w:rFonts w:ascii="Times New Roman" w:hAnsi="Times New Roman"/>
                <w:sz w:val="20"/>
                <w:szCs w:val="20"/>
              </w:rPr>
              <w:br/>
              <w:t>Latgale –  17,5</w:t>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CSP dati</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Noteikts NAP 2020 374.rindkopā</w:t>
            </w:r>
          </w:p>
        </w:tc>
      </w:tr>
      <w:tr w:rsidTr="007320AB">
        <w:tblPrEx>
          <w:tblW w:w="14596" w:type="dxa"/>
          <w:tblLayout w:type="fixed"/>
          <w:tblLook w:val="04A0"/>
        </w:tblPrEx>
        <w:tc>
          <w:tcPr>
            <w:tcW w:w="2943" w:type="dxa"/>
            <w:vMerge/>
          </w:tcPr>
          <w:p w:rsidR="00CB401A" w:rsidRPr="00BC49E1" w:rsidP="00CB401A">
            <w:pPr>
              <w:spacing w:after="0" w:line="240" w:lineRule="auto"/>
              <w:rPr>
                <w:rFonts w:ascii="Times New Roman" w:hAnsi="Times New Roman"/>
                <w:sz w:val="20"/>
                <w:szCs w:val="20"/>
              </w:rPr>
            </w:pPr>
          </w:p>
        </w:tc>
        <w:tc>
          <w:tcPr>
            <w:tcW w:w="3119" w:type="dxa"/>
          </w:tcPr>
          <w:p w:rsidR="00CB401A" w:rsidRPr="00BC49E1" w:rsidP="00CB401A">
            <w:pPr>
              <w:numPr>
                <w:ilvl w:val="0"/>
                <w:numId w:val="3"/>
              </w:numPr>
              <w:spacing w:after="0" w:line="240" w:lineRule="auto"/>
              <w:rPr>
                <w:rFonts w:ascii="Times New Roman" w:hAnsi="Times New Roman"/>
                <w:sz w:val="20"/>
                <w:szCs w:val="20"/>
              </w:rPr>
            </w:pPr>
            <w:r w:rsidRPr="00BC49E1">
              <w:rPr>
                <w:rFonts w:ascii="Times New Roman" w:hAnsi="Times New Roman"/>
                <w:sz w:val="20"/>
                <w:szCs w:val="20"/>
                <w:lang w:bidi="lo-LA"/>
              </w:rPr>
              <w:t>Administratīvo</w:t>
            </w:r>
            <w:r w:rsidRPr="00BC49E1">
              <w:rPr>
                <w:rFonts w:ascii="Times New Roman" w:eastAsia="Times New Roman" w:hAnsi="Times New Roman"/>
                <w:sz w:val="20"/>
                <w:szCs w:val="20"/>
                <w:lang w:eastAsia="lv-LV"/>
              </w:rPr>
              <w:t xml:space="preserve"> procedūru skaits pašvaldībās</w:t>
            </w:r>
            <w:r>
              <w:rPr>
                <w:rStyle w:val="FootnoteReference"/>
                <w:rFonts w:ascii="Times New Roman" w:eastAsia="Times New Roman" w:hAnsi="Times New Roman"/>
                <w:sz w:val="20"/>
                <w:szCs w:val="20"/>
                <w:lang w:eastAsia="lv-LV"/>
              </w:rPr>
              <w:footnoteReference w:id="32"/>
            </w:r>
          </w:p>
        </w:tc>
        <w:tc>
          <w:tcPr>
            <w:tcW w:w="1304"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276"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701"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lang w:bidi="lo-LA"/>
              </w:rPr>
              <w:t>Samazinājies, salīdzinājumā ar 2010.gadu</w:t>
            </w:r>
          </w:p>
        </w:tc>
        <w:tc>
          <w:tcPr>
            <w:tcW w:w="155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 datu</w:t>
            </w:r>
            <w:r>
              <w:rPr>
                <w:rStyle w:val="FootnoteReference"/>
                <w:rFonts w:ascii="Times New Roman" w:hAnsi="Times New Roman"/>
                <w:sz w:val="20"/>
                <w:szCs w:val="20"/>
              </w:rPr>
              <w:footnoteReference w:id="33"/>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VARAM analīze</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CB401A" w:rsidRPr="00BC49E1" w:rsidP="00CB401A">
            <w:pPr>
              <w:spacing w:after="0" w:line="240" w:lineRule="auto"/>
              <w:jc w:val="both"/>
              <w:rPr>
                <w:rFonts w:ascii="Times New Roman" w:hAnsi="Times New Roman"/>
                <w:b/>
                <w:sz w:val="20"/>
                <w:szCs w:val="20"/>
              </w:rPr>
            </w:pPr>
            <w:r w:rsidRPr="00BC49E1">
              <w:rPr>
                <w:rFonts w:ascii="Times New Roman" w:hAnsi="Times New Roman"/>
                <w:b/>
                <w:sz w:val="20"/>
                <w:szCs w:val="20"/>
              </w:rPr>
              <w:t>Darbības rezultāts</w:t>
            </w:r>
          </w:p>
        </w:tc>
        <w:tc>
          <w:tcPr>
            <w:tcW w:w="7400" w:type="dxa"/>
            <w:gridSpan w:val="4"/>
            <w:shd w:val="clear" w:color="auto" w:fill="BFBFBF"/>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tcPr>
          <w:p w:rsidR="00CB401A" w:rsidRPr="00BC49E1" w:rsidP="00CB401A">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eastAsia="Times New Roman" w:hAnsi="Times New Roman"/>
                <w:sz w:val="20"/>
                <w:szCs w:val="20"/>
              </w:rPr>
              <w:t>Stiprināta pašvaldību kapacitāte darbā ar investoriem</w:t>
            </w:r>
          </w:p>
        </w:tc>
        <w:tc>
          <w:tcPr>
            <w:tcW w:w="311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Apmācīto speciālistu darbam ar investoriem skaits</w:t>
            </w:r>
            <w:r>
              <w:rPr>
                <w:rFonts w:ascii="Times New Roman" w:hAnsi="Times New Roman"/>
                <w:sz w:val="20"/>
                <w:vertAlign w:val="superscript"/>
              </w:rPr>
              <w:footnoteReference w:id="34"/>
            </w:r>
          </w:p>
        </w:tc>
        <w:tc>
          <w:tcPr>
            <w:tcW w:w="1304"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276"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9 (15% no pieauguma līdz 2022.gadam)</w:t>
            </w:r>
          </w:p>
        </w:tc>
        <w:tc>
          <w:tcPr>
            <w:tcW w:w="1701"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36 (60% no pieauguma līdz 2022.gadam; kopā plānots 60 līdz 2022.gadam</w:t>
            </w:r>
            <w:r>
              <w:rPr>
                <w:rFonts w:ascii="Times New Roman" w:hAnsi="Times New Roman"/>
                <w:sz w:val="20"/>
                <w:vertAlign w:val="superscript"/>
              </w:rPr>
              <w:footnoteReference w:id="35"/>
            </w:r>
          </w:p>
        </w:tc>
        <w:tc>
          <w:tcPr>
            <w:tcW w:w="155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466</w:t>
            </w:r>
            <w:r>
              <w:rPr>
                <w:rStyle w:val="FootnoteReference"/>
                <w:rFonts w:ascii="Times New Roman" w:hAnsi="Times New Roman"/>
                <w:sz w:val="20"/>
                <w:szCs w:val="20"/>
              </w:rPr>
              <w:footnoteReference w:id="36"/>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Projektu dokumentācija un progresa informācija</w:t>
            </w:r>
          </w:p>
        </w:tc>
        <w:tc>
          <w:tcPr>
            <w:tcW w:w="1305" w:type="dxa"/>
          </w:tcPr>
          <w:p w:rsidR="00CB401A" w:rsidRPr="00BC49E1" w:rsidP="00CB401A">
            <w:pPr>
              <w:spacing w:after="60" w:line="240" w:lineRule="auto"/>
              <w:jc w:val="both"/>
              <w:rPr>
                <w:rFonts w:ascii="Times New Roman" w:hAnsi="Times New Roman"/>
                <w:sz w:val="20"/>
                <w:szCs w:val="20"/>
              </w:rPr>
            </w:pPr>
            <w:r w:rsidRPr="00BC49E1">
              <w:rPr>
                <w:rFonts w:ascii="Times New Roman" w:hAnsi="Times New Roman"/>
                <w:sz w:val="20"/>
                <w:szCs w:val="20"/>
              </w:rPr>
              <w:t>Nav</w:t>
            </w:r>
          </w:p>
          <w:p w:rsidR="00CB401A" w:rsidRPr="00BC49E1" w:rsidP="00CB401A">
            <w:pPr>
              <w:spacing w:after="0" w:line="240" w:lineRule="auto"/>
              <w:rPr>
                <w:rFonts w:ascii="Times New Roman" w:hAnsi="Times New Roman"/>
                <w:sz w:val="20"/>
                <w:szCs w:val="20"/>
              </w:rPr>
            </w:pPr>
          </w:p>
        </w:tc>
      </w:tr>
      <w:tr w:rsidTr="007320AB">
        <w:tblPrEx>
          <w:tblW w:w="14596" w:type="dxa"/>
          <w:tblLayout w:type="fixed"/>
          <w:tblLook w:val="04A0"/>
        </w:tblPrEx>
        <w:tc>
          <w:tcPr>
            <w:tcW w:w="2943" w:type="dxa"/>
          </w:tcPr>
          <w:p w:rsidR="00CB401A" w:rsidRPr="00BC49E1" w:rsidP="00CB401A">
            <w:pPr>
              <w:numPr>
                <w:ilvl w:val="2"/>
                <w:numId w:val="1"/>
              </w:numPr>
              <w:spacing w:after="0" w:line="240" w:lineRule="auto"/>
              <w:ind w:left="567" w:hanging="567"/>
              <w:contextualSpacing/>
              <w:jc w:val="both"/>
              <w:rPr>
                <w:rFonts w:ascii="Times New Roman" w:eastAsia="Times New Roman" w:hAnsi="Times New Roman"/>
                <w:sz w:val="20"/>
                <w:szCs w:val="20"/>
              </w:rPr>
            </w:pPr>
            <w:r w:rsidRPr="00BC49E1">
              <w:rPr>
                <w:rFonts w:ascii="Times New Roman" w:eastAsia="Times New Roman" w:hAnsi="Times New Roman"/>
                <w:sz w:val="20"/>
                <w:szCs w:val="20"/>
              </w:rPr>
              <w:t xml:space="preserve">Nodrošināta </w:t>
            </w:r>
            <w:r w:rsidRPr="00BC49E1">
              <w:rPr>
                <w:rFonts w:ascii="Times New Roman" w:hAnsi="Times New Roman"/>
                <w:sz w:val="20"/>
                <w:szCs w:val="20"/>
                <w:lang w:bidi="lo-LA"/>
              </w:rPr>
              <w:t>investīciju projektu sagatavošana potenciālajiem investoriem reģionos pilotprojektu veidā noteiktās pašvaldībās</w:t>
            </w:r>
          </w:p>
        </w:tc>
        <w:tc>
          <w:tcPr>
            <w:tcW w:w="311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Sagatavoti vismaz 30 investīciju projekti</w:t>
            </w:r>
          </w:p>
        </w:tc>
        <w:tc>
          <w:tcPr>
            <w:tcW w:w="1304"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276"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30</w:t>
            </w:r>
          </w:p>
        </w:tc>
        <w:tc>
          <w:tcPr>
            <w:tcW w:w="1701"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30</w:t>
            </w:r>
          </w:p>
        </w:tc>
        <w:tc>
          <w:tcPr>
            <w:tcW w:w="155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32</w:t>
            </w:r>
            <w:r>
              <w:rPr>
                <w:rStyle w:val="FootnoteReference"/>
                <w:rFonts w:ascii="Times New Roman" w:hAnsi="Times New Roman"/>
                <w:sz w:val="20"/>
                <w:szCs w:val="20"/>
              </w:rPr>
              <w:footnoteReference w:id="37"/>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VARAM</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Norvēģijas finanšu instrumenta projekts</w:t>
            </w:r>
            <w:r>
              <w:rPr>
                <w:rFonts w:ascii="Times New Roman" w:hAnsi="Times New Roman"/>
                <w:sz w:val="20"/>
                <w:vertAlign w:val="superscript"/>
              </w:rPr>
              <w:footnoteReference w:id="38"/>
            </w:r>
          </w:p>
        </w:tc>
      </w:tr>
      <w:tr w:rsidTr="007320AB">
        <w:tblPrEx>
          <w:tblW w:w="14596" w:type="dxa"/>
          <w:tblLayout w:type="fixed"/>
          <w:tblLook w:val="04A0"/>
        </w:tblPrEx>
        <w:tc>
          <w:tcPr>
            <w:tcW w:w="2943" w:type="dxa"/>
          </w:tcPr>
          <w:p w:rsidR="00CB401A" w:rsidRPr="00BC49E1" w:rsidP="00CB401A">
            <w:pPr>
              <w:numPr>
                <w:ilvl w:val="2"/>
                <w:numId w:val="1"/>
              </w:numPr>
              <w:spacing w:after="0" w:line="240" w:lineRule="auto"/>
              <w:ind w:left="567" w:hanging="567"/>
              <w:contextualSpacing/>
              <w:jc w:val="both"/>
              <w:rPr>
                <w:rFonts w:ascii="Times New Roman" w:eastAsia="Times New Roman" w:hAnsi="Times New Roman"/>
                <w:sz w:val="20"/>
                <w:szCs w:val="20"/>
              </w:rPr>
            </w:pPr>
            <w:r w:rsidRPr="00BC49E1">
              <w:rPr>
                <w:rFonts w:ascii="Times New Roman" w:hAnsi="Times New Roman"/>
                <w:sz w:val="20"/>
                <w:szCs w:val="20"/>
                <w:lang w:bidi="lo-LA"/>
              </w:rPr>
              <w:t>Nodrošināts konsultatīvs atbalsts par uzņēmējdarbības uzsākšanu un ar to saistītiem jautājumiem (LUC)</w:t>
            </w:r>
          </w:p>
        </w:tc>
        <w:tc>
          <w:tcPr>
            <w:tcW w:w="311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Konsultēto personu skaits</w:t>
            </w:r>
          </w:p>
        </w:tc>
        <w:tc>
          <w:tcPr>
            <w:tcW w:w="1304"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276"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Vismaz 180 personas gadā</w:t>
            </w:r>
          </w:p>
        </w:tc>
        <w:tc>
          <w:tcPr>
            <w:tcW w:w="1701"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Vismaz 180 personas gadā</w:t>
            </w:r>
          </w:p>
        </w:tc>
        <w:tc>
          <w:tcPr>
            <w:tcW w:w="155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430</w:t>
            </w:r>
            <w:r>
              <w:rPr>
                <w:rStyle w:val="FootnoteReference"/>
                <w:rFonts w:ascii="Times New Roman" w:hAnsi="Times New Roman"/>
                <w:sz w:val="20"/>
                <w:szCs w:val="20"/>
              </w:rPr>
              <w:footnoteReference w:id="39"/>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Latgales plānošanas reģions (LUC)</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Vienošanās ar Latgales plānošanas reģionu par valsts budžeta dotāciju izlietojumu</w:t>
            </w:r>
          </w:p>
        </w:tc>
      </w:tr>
      <w:tr w:rsidTr="007320AB">
        <w:tblPrEx>
          <w:tblW w:w="14596" w:type="dxa"/>
          <w:tblLayout w:type="fixed"/>
          <w:tblLook w:val="04A0"/>
        </w:tblPrEx>
        <w:tc>
          <w:tcPr>
            <w:tcW w:w="2943" w:type="dxa"/>
            <w:shd w:val="clear" w:color="auto" w:fill="auto"/>
          </w:tcPr>
          <w:p w:rsidR="00CB401A" w:rsidRPr="00BC49E1" w:rsidP="00CB401A">
            <w:pPr>
              <w:numPr>
                <w:ilvl w:val="2"/>
                <w:numId w:val="1"/>
              </w:numPr>
              <w:spacing w:after="0" w:line="240" w:lineRule="auto"/>
              <w:ind w:left="567" w:hanging="567"/>
              <w:contextualSpacing/>
              <w:jc w:val="both"/>
              <w:rPr>
                <w:rFonts w:ascii="Times New Roman" w:eastAsia="Times New Roman" w:hAnsi="Times New Roman"/>
                <w:sz w:val="20"/>
                <w:szCs w:val="20"/>
              </w:rPr>
            </w:pPr>
            <w:r w:rsidRPr="00BC49E1">
              <w:rPr>
                <w:rFonts w:ascii="Times New Roman" w:eastAsia="Times New Roman" w:hAnsi="Times New Roman"/>
                <w:sz w:val="20"/>
                <w:szCs w:val="20"/>
              </w:rPr>
              <w:t>Administratīvais slogs</w:t>
            </w:r>
          </w:p>
        </w:tc>
        <w:tc>
          <w:tcPr>
            <w:tcW w:w="3119"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Pastāvīgi sniegtas rekomendācijas pašvaldībām normatīvo aktu (saistošo noteikumu) pilnveidošanai administratīvā sloga mazināšanai</w:t>
            </w:r>
          </w:p>
          <w:p w:rsidR="00CB401A" w:rsidRPr="00BC49E1" w:rsidP="00CB401A">
            <w:pPr>
              <w:spacing w:after="0" w:line="240" w:lineRule="auto"/>
              <w:rPr>
                <w:rFonts w:ascii="Times New Roman" w:hAnsi="Times New Roman"/>
                <w:sz w:val="20"/>
                <w:szCs w:val="20"/>
              </w:rPr>
            </w:pPr>
          </w:p>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Pastāvīgi pārskatīti normatīvie akti administratīvā sloga mazināšanai valsts un pašvaldību līmenī</w:t>
            </w:r>
          </w:p>
        </w:tc>
        <w:tc>
          <w:tcPr>
            <w:tcW w:w="1304"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276"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701"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559"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Pastāvīgi sniegtas rekomendācijas pašvaldībām normatīvo aktu (saistošo noteikumu) pilnveidošanai administratīvā sloga mazināšanai</w:t>
            </w:r>
          </w:p>
          <w:p w:rsidR="00CB401A" w:rsidRPr="00BC49E1" w:rsidP="00CB401A">
            <w:pPr>
              <w:spacing w:after="0" w:line="240" w:lineRule="auto"/>
              <w:rPr>
                <w:rFonts w:ascii="Times New Roman" w:hAnsi="Times New Roman"/>
                <w:sz w:val="20"/>
                <w:szCs w:val="20"/>
              </w:rPr>
            </w:pPr>
          </w:p>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Pastāvīgi pārskatīti normatīvie akti administratīvā sloga mazināšanai valsts un pašvaldību līmenī</w:t>
            </w:r>
            <w:r>
              <w:rPr>
                <w:rStyle w:val="FootnoteReference"/>
                <w:rFonts w:ascii="Times New Roman" w:hAnsi="Times New Roman"/>
                <w:sz w:val="20"/>
                <w:szCs w:val="20"/>
              </w:rPr>
              <w:footnoteReference w:id="40"/>
            </w:r>
          </w:p>
        </w:tc>
        <w:tc>
          <w:tcPr>
            <w:tcW w:w="1389"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VARAM</w:t>
            </w:r>
          </w:p>
        </w:tc>
        <w:tc>
          <w:tcPr>
            <w:tcW w:w="1305"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CB401A" w:rsidRPr="00BC49E1" w:rsidP="00CB401A">
            <w:pPr>
              <w:spacing w:after="0" w:line="240" w:lineRule="auto"/>
              <w:jc w:val="both"/>
              <w:rPr>
                <w:rFonts w:ascii="Times New Roman" w:eastAsia="Times New Roman" w:hAnsi="Times New Roman"/>
                <w:sz w:val="20"/>
                <w:szCs w:val="20"/>
              </w:rPr>
            </w:pPr>
            <w:r w:rsidRPr="00BC49E1">
              <w:rPr>
                <w:rFonts w:ascii="Times New Roman" w:eastAsia="Times New Roman" w:hAnsi="Times New Roman"/>
                <w:b/>
                <w:bCs/>
                <w:sz w:val="20"/>
                <w:szCs w:val="20"/>
                <w:bdr w:val="none" w:sz="0" w:space="0" w:color="auto" w:frame="1"/>
              </w:rPr>
              <w:t>Politikas rezultāts</w:t>
            </w:r>
          </w:p>
        </w:tc>
        <w:tc>
          <w:tcPr>
            <w:tcW w:w="7400" w:type="dxa"/>
            <w:gridSpan w:val="4"/>
            <w:shd w:val="clear" w:color="auto" w:fill="BFBFBF"/>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vMerge w:val="restart"/>
            <w:shd w:val="clear" w:color="auto" w:fill="auto"/>
          </w:tcPr>
          <w:p w:rsidR="00CB401A" w:rsidRPr="00BC49E1" w:rsidP="00CB401A">
            <w:pPr>
              <w:numPr>
                <w:ilvl w:val="1"/>
                <w:numId w:val="1"/>
              </w:numPr>
              <w:spacing w:after="0" w:line="240" w:lineRule="auto"/>
              <w:ind w:left="432"/>
              <w:contextualSpacing/>
              <w:jc w:val="both"/>
              <w:rPr>
                <w:rFonts w:ascii="Times New Roman" w:eastAsia="Times New Roman" w:hAnsi="Times New Roman"/>
                <w:b/>
                <w:sz w:val="20"/>
                <w:szCs w:val="20"/>
              </w:rPr>
            </w:pPr>
            <w:r w:rsidRPr="00BC49E1">
              <w:rPr>
                <w:rFonts w:ascii="Times New Roman" w:eastAsia="Times New Roman" w:hAnsi="Times New Roman"/>
                <w:b/>
                <w:bCs/>
                <w:sz w:val="20"/>
                <w:szCs w:val="20"/>
              </w:rPr>
              <w:t>Palielināta pašvaldību finansiālā rīcībspēja</w:t>
            </w:r>
          </w:p>
        </w:tc>
        <w:tc>
          <w:tcPr>
            <w:tcW w:w="3119" w:type="dxa"/>
            <w:shd w:val="clear" w:color="auto" w:fill="auto"/>
          </w:tcPr>
          <w:p w:rsidR="00CB401A" w:rsidRPr="00BC49E1" w:rsidP="00CB401A">
            <w:pPr>
              <w:numPr>
                <w:ilvl w:val="0"/>
                <w:numId w:val="6"/>
              </w:numPr>
              <w:spacing w:after="0" w:line="240" w:lineRule="auto"/>
              <w:rPr>
                <w:rFonts w:ascii="Times New Roman" w:hAnsi="Times New Roman"/>
                <w:sz w:val="20"/>
                <w:szCs w:val="20"/>
              </w:rPr>
            </w:pPr>
            <w:r w:rsidRPr="00BC49E1">
              <w:rPr>
                <w:rFonts w:ascii="Times New Roman" w:hAnsi="Times New Roman"/>
                <w:sz w:val="20"/>
                <w:szCs w:val="20"/>
              </w:rPr>
              <w:t>Pašvaldību finansiālās kapacitātes novērtējums autonomo funkciju veikšanai (%)</w:t>
            </w:r>
          </w:p>
        </w:tc>
        <w:tc>
          <w:tcPr>
            <w:tcW w:w="1304"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34 (2011)</w:t>
            </w:r>
            <w:r>
              <w:rPr>
                <w:rFonts w:ascii="Times New Roman" w:hAnsi="Times New Roman"/>
                <w:sz w:val="20"/>
                <w:vertAlign w:val="superscript"/>
              </w:rPr>
              <w:footnoteReference w:id="41"/>
            </w:r>
          </w:p>
        </w:tc>
        <w:tc>
          <w:tcPr>
            <w:tcW w:w="1276"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37</w:t>
            </w:r>
          </w:p>
        </w:tc>
        <w:tc>
          <w:tcPr>
            <w:tcW w:w="1701"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39 (līdz 2020.gadam plānots sasniegt 39)</w:t>
            </w:r>
          </w:p>
        </w:tc>
        <w:tc>
          <w:tcPr>
            <w:tcW w:w="1559"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2016.gadā ziņojums nav sagatavots</w:t>
            </w:r>
          </w:p>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2013.gadā – 30%</w:t>
            </w:r>
            <w:r>
              <w:rPr>
                <w:rStyle w:val="FootnoteReference"/>
                <w:rFonts w:ascii="Times New Roman" w:hAnsi="Times New Roman"/>
                <w:sz w:val="20"/>
                <w:szCs w:val="20"/>
              </w:rPr>
              <w:footnoteReference w:id="42"/>
            </w:r>
          </w:p>
        </w:tc>
        <w:tc>
          <w:tcPr>
            <w:tcW w:w="1389"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i/>
                <w:sz w:val="20"/>
                <w:szCs w:val="20"/>
              </w:rPr>
              <w:t xml:space="preserve">Pētījums „Latvijas vietējo pašvaldību pašvērtējumi” </w:t>
            </w:r>
            <w:r w:rsidRPr="00BC49E1">
              <w:rPr>
                <w:rFonts w:ascii="Times New Roman" w:hAnsi="Times New Roman"/>
                <w:sz w:val="20"/>
                <w:szCs w:val="20"/>
              </w:rPr>
              <w:t>(CSP)</w:t>
            </w:r>
          </w:p>
        </w:tc>
        <w:tc>
          <w:tcPr>
            <w:tcW w:w="1305"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Noteikts NAP 2020 381.rindkopā</w:t>
            </w:r>
          </w:p>
        </w:tc>
      </w:tr>
      <w:tr w:rsidTr="007320AB">
        <w:tblPrEx>
          <w:tblW w:w="14596" w:type="dxa"/>
          <w:tblLayout w:type="fixed"/>
          <w:tblLook w:val="04A0"/>
        </w:tblPrEx>
        <w:tc>
          <w:tcPr>
            <w:tcW w:w="2943" w:type="dxa"/>
            <w:vMerge/>
            <w:shd w:val="clear" w:color="auto" w:fill="auto"/>
          </w:tcPr>
          <w:p w:rsidR="00CB401A" w:rsidRPr="00BC49E1" w:rsidP="00CB401A">
            <w:pPr>
              <w:spacing w:after="0" w:line="240" w:lineRule="auto"/>
              <w:jc w:val="both"/>
              <w:rPr>
                <w:rFonts w:ascii="Times New Roman" w:eastAsia="Times New Roman" w:hAnsi="Times New Roman"/>
                <w:sz w:val="20"/>
                <w:szCs w:val="20"/>
              </w:rPr>
            </w:pPr>
          </w:p>
        </w:tc>
        <w:tc>
          <w:tcPr>
            <w:tcW w:w="3119" w:type="dxa"/>
            <w:shd w:val="clear" w:color="auto" w:fill="auto"/>
          </w:tcPr>
          <w:p w:rsidR="00CB401A" w:rsidRPr="00BC49E1" w:rsidP="00CB401A">
            <w:pPr>
              <w:numPr>
                <w:ilvl w:val="0"/>
                <w:numId w:val="6"/>
              </w:numPr>
              <w:spacing w:after="0" w:line="240" w:lineRule="auto"/>
              <w:rPr>
                <w:rFonts w:ascii="Times New Roman" w:hAnsi="Times New Roman"/>
                <w:sz w:val="20"/>
                <w:szCs w:val="20"/>
              </w:rPr>
            </w:pPr>
            <w:r w:rsidRPr="00BC49E1">
              <w:rPr>
                <w:rFonts w:ascii="Times New Roman" w:hAnsi="Times New Roman"/>
                <w:sz w:val="20"/>
                <w:szCs w:val="20"/>
              </w:rPr>
              <w:t>Iedzīvotāju ienākuma nodokļa ieņēmumi pašvaldību budžetos uz 1 iedz., LVL</w:t>
            </w:r>
          </w:p>
        </w:tc>
        <w:tc>
          <w:tcPr>
            <w:tcW w:w="1304"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285 (2010)</w:t>
            </w:r>
          </w:p>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 xml:space="preserve">405,5 </w:t>
            </w:r>
            <w:r w:rsidRPr="0074005F" w:rsidR="0074005F">
              <w:rPr>
                <w:rFonts w:ascii="Times New Roman" w:hAnsi="Times New Roman"/>
                <w:i/>
                <w:sz w:val="20"/>
                <w:szCs w:val="20"/>
              </w:rPr>
              <w:t>euro</w:t>
            </w:r>
          </w:p>
        </w:tc>
        <w:tc>
          <w:tcPr>
            <w:tcW w:w="1276"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302</w:t>
            </w:r>
          </w:p>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 xml:space="preserve">429,7 </w:t>
            </w:r>
            <w:r w:rsidRPr="0074005F" w:rsidR="0074005F">
              <w:rPr>
                <w:rFonts w:ascii="Times New Roman" w:hAnsi="Times New Roman"/>
                <w:i/>
                <w:sz w:val="20"/>
                <w:szCs w:val="20"/>
              </w:rPr>
              <w:t>euro</w:t>
            </w:r>
          </w:p>
        </w:tc>
        <w:tc>
          <w:tcPr>
            <w:tcW w:w="1701"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311 (līdz 2020.gadam plānots sasniegt 314)</w:t>
            </w:r>
          </w:p>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 xml:space="preserve">442,5 </w:t>
            </w:r>
            <w:r w:rsidRPr="0074005F" w:rsidR="0074005F">
              <w:rPr>
                <w:rFonts w:ascii="Times New Roman" w:hAnsi="Times New Roman"/>
                <w:i/>
                <w:sz w:val="20"/>
                <w:szCs w:val="20"/>
              </w:rPr>
              <w:t>euro</w:t>
            </w:r>
          </w:p>
        </w:tc>
        <w:tc>
          <w:tcPr>
            <w:tcW w:w="1559"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 xml:space="preserve">574,98 </w:t>
            </w:r>
            <w:r w:rsidRPr="0074005F" w:rsidR="0074005F">
              <w:rPr>
                <w:rFonts w:ascii="Times New Roman" w:hAnsi="Times New Roman"/>
                <w:i/>
                <w:sz w:val="20"/>
                <w:szCs w:val="20"/>
              </w:rPr>
              <w:t>euro</w:t>
            </w:r>
          </w:p>
        </w:tc>
        <w:tc>
          <w:tcPr>
            <w:tcW w:w="1389"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Valsts kase, VRAA</w:t>
            </w:r>
          </w:p>
        </w:tc>
        <w:tc>
          <w:tcPr>
            <w:tcW w:w="1305"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Noteikts NAP 2020 382.rindkopā</w:t>
            </w:r>
          </w:p>
        </w:tc>
      </w:tr>
      <w:tr w:rsidTr="00F17AEF">
        <w:tblPrEx>
          <w:tblW w:w="14596" w:type="dxa"/>
          <w:tblLayout w:type="fixed"/>
          <w:tblLook w:val="04A0"/>
        </w:tblPrEx>
        <w:tc>
          <w:tcPr>
            <w:tcW w:w="2943" w:type="dxa"/>
            <w:shd w:val="clear" w:color="auto" w:fill="BFBFBF"/>
          </w:tcPr>
          <w:p w:rsidR="00CB401A" w:rsidRPr="00BC49E1" w:rsidP="00CB401A">
            <w:pPr>
              <w:spacing w:after="0" w:line="240" w:lineRule="auto"/>
              <w:jc w:val="both"/>
              <w:rPr>
                <w:rFonts w:ascii="Times New Roman" w:hAnsi="Times New Roman"/>
                <w:b/>
                <w:sz w:val="20"/>
                <w:szCs w:val="20"/>
              </w:rPr>
            </w:pPr>
            <w:r w:rsidRPr="00BC49E1">
              <w:rPr>
                <w:rFonts w:ascii="Times New Roman" w:hAnsi="Times New Roman"/>
                <w:b/>
                <w:sz w:val="20"/>
                <w:szCs w:val="20"/>
              </w:rPr>
              <w:t>Darbības rezultāts</w:t>
            </w:r>
          </w:p>
        </w:tc>
        <w:tc>
          <w:tcPr>
            <w:tcW w:w="7400" w:type="dxa"/>
            <w:gridSpan w:val="4"/>
            <w:shd w:val="clear" w:color="auto" w:fill="BFBFBF"/>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shd w:val="clear" w:color="auto" w:fill="auto"/>
          </w:tcPr>
          <w:p w:rsidR="00CB401A" w:rsidRPr="00BC49E1" w:rsidP="00CB401A">
            <w:pPr>
              <w:numPr>
                <w:ilvl w:val="2"/>
                <w:numId w:val="1"/>
              </w:numPr>
              <w:spacing w:after="0" w:line="240" w:lineRule="auto"/>
              <w:ind w:left="567" w:hanging="567"/>
              <w:contextualSpacing/>
              <w:jc w:val="both"/>
              <w:rPr>
                <w:rFonts w:ascii="Times New Roman" w:eastAsia="Times New Roman" w:hAnsi="Times New Roman"/>
                <w:sz w:val="20"/>
                <w:szCs w:val="20"/>
              </w:rPr>
            </w:pPr>
            <w:r w:rsidRPr="00BC49E1">
              <w:rPr>
                <w:rFonts w:ascii="Times New Roman" w:eastAsia="Times New Roman" w:hAnsi="Times New Roman"/>
                <w:sz w:val="20"/>
                <w:szCs w:val="20"/>
              </w:rPr>
              <w:t>Veikta pašvaldību finanšu izlīdzināšanas sistēmas pilnveidošana</w:t>
            </w:r>
          </w:p>
        </w:tc>
        <w:tc>
          <w:tcPr>
            <w:tcW w:w="3119" w:type="dxa"/>
            <w:shd w:val="clear" w:color="auto" w:fill="auto"/>
          </w:tcPr>
          <w:p w:rsidR="00CB401A" w:rsidRPr="00BC49E1" w:rsidP="00460C19">
            <w:pPr>
              <w:spacing w:after="0" w:line="240" w:lineRule="auto"/>
              <w:rPr>
                <w:rFonts w:ascii="Times New Roman" w:hAnsi="Times New Roman"/>
                <w:sz w:val="20"/>
                <w:szCs w:val="20"/>
              </w:rPr>
            </w:pPr>
            <w:r w:rsidRPr="00BC49E1">
              <w:rPr>
                <w:rFonts w:ascii="Times New Roman" w:hAnsi="Times New Roman"/>
                <w:sz w:val="20"/>
                <w:szCs w:val="20"/>
              </w:rPr>
              <w:t xml:space="preserve">Sagatavoti </w:t>
            </w:r>
            <w:r w:rsidR="00E80DEF">
              <w:rPr>
                <w:rFonts w:ascii="Times New Roman" w:hAnsi="Times New Roman"/>
                <w:sz w:val="20"/>
                <w:szCs w:val="20"/>
              </w:rPr>
              <w:t xml:space="preserve">VARAM priekšlikumi </w:t>
            </w:r>
            <w:r w:rsidR="00460C19">
              <w:rPr>
                <w:rFonts w:ascii="Times New Roman" w:hAnsi="Times New Roman"/>
                <w:sz w:val="20"/>
                <w:szCs w:val="20"/>
              </w:rPr>
              <w:t>FM</w:t>
            </w:r>
            <w:r w:rsidRPr="00BC49E1">
              <w:rPr>
                <w:rFonts w:ascii="Times New Roman" w:hAnsi="Times New Roman"/>
                <w:sz w:val="20"/>
                <w:szCs w:val="20"/>
              </w:rPr>
              <w:t xml:space="preserve"> priekšlikumi pašvaldību finanšu izlīdzināšanas sistēmas pilnveidošanai (plānots 2013.gadā)</w:t>
            </w:r>
          </w:p>
        </w:tc>
        <w:tc>
          <w:tcPr>
            <w:tcW w:w="1304"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276"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701"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559" w:type="dxa"/>
            <w:shd w:val="clear" w:color="auto" w:fill="auto"/>
          </w:tcPr>
          <w:p w:rsidR="00CB401A" w:rsidRPr="00BC49E1" w:rsidP="00460C19">
            <w:pPr>
              <w:spacing w:after="0" w:line="240" w:lineRule="auto"/>
              <w:rPr>
                <w:rFonts w:ascii="Times New Roman" w:hAnsi="Times New Roman"/>
                <w:sz w:val="20"/>
                <w:szCs w:val="20"/>
              </w:rPr>
            </w:pPr>
            <w:r w:rsidRPr="00E80DEF">
              <w:rPr>
                <w:rFonts w:ascii="Times New Roman" w:hAnsi="Times New Roman"/>
                <w:sz w:val="20"/>
                <w:szCs w:val="20"/>
              </w:rPr>
              <w:t>Izstrādāts likumprojekts pašvaldību finanšu  izlīdzin</w:t>
            </w:r>
            <w:r w:rsidRPr="00E80DEF">
              <w:rPr>
                <w:rFonts w:ascii="Times New Roman" w:hAnsi="Times New Roman"/>
                <w:sz w:val="20"/>
                <w:szCs w:val="20"/>
              </w:rPr>
              <w:t>āšanas sistēmas pilnveidošanai</w:t>
            </w:r>
            <w:r>
              <w:rPr>
                <w:rStyle w:val="FootnoteReference"/>
                <w:rFonts w:ascii="Times New Roman" w:hAnsi="Times New Roman"/>
                <w:sz w:val="20"/>
                <w:szCs w:val="20"/>
              </w:rPr>
              <w:footnoteReference w:id="43"/>
            </w:r>
          </w:p>
        </w:tc>
        <w:tc>
          <w:tcPr>
            <w:tcW w:w="1389"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VARAM</w:t>
            </w:r>
          </w:p>
        </w:tc>
        <w:tc>
          <w:tcPr>
            <w:tcW w:w="1305"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CB401A" w:rsidRPr="00BC49E1" w:rsidP="00CB401A">
            <w:pPr>
              <w:spacing w:after="0" w:line="240" w:lineRule="auto"/>
              <w:jc w:val="both"/>
              <w:rPr>
                <w:rFonts w:ascii="Times New Roman" w:eastAsia="Times New Roman" w:hAnsi="Times New Roman"/>
                <w:sz w:val="20"/>
                <w:szCs w:val="20"/>
              </w:rPr>
            </w:pPr>
            <w:r w:rsidRPr="00BC49E1">
              <w:rPr>
                <w:rFonts w:ascii="Times New Roman" w:eastAsia="Times New Roman" w:hAnsi="Times New Roman"/>
                <w:b/>
                <w:bCs/>
                <w:sz w:val="20"/>
                <w:szCs w:val="20"/>
                <w:bdr w:val="none" w:sz="0" w:space="0" w:color="auto" w:frame="1"/>
              </w:rPr>
              <w:t>Politikas rezultāts</w:t>
            </w:r>
          </w:p>
        </w:tc>
        <w:tc>
          <w:tcPr>
            <w:tcW w:w="7400" w:type="dxa"/>
            <w:gridSpan w:val="4"/>
            <w:shd w:val="clear" w:color="auto" w:fill="BFBFBF"/>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vMerge w:val="restart"/>
          </w:tcPr>
          <w:p w:rsidR="00CB401A" w:rsidRPr="00BC49E1" w:rsidP="00CB401A">
            <w:pPr>
              <w:numPr>
                <w:ilvl w:val="1"/>
                <w:numId w:val="1"/>
              </w:numPr>
              <w:spacing w:after="0" w:line="240" w:lineRule="auto"/>
              <w:ind w:left="432"/>
              <w:contextualSpacing/>
              <w:jc w:val="both"/>
              <w:rPr>
                <w:rFonts w:ascii="Times New Roman" w:hAnsi="Times New Roman"/>
                <w:b/>
                <w:sz w:val="20"/>
                <w:szCs w:val="20"/>
              </w:rPr>
            </w:pPr>
            <w:r w:rsidRPr="00BC49E1">
              <w:rPr>
                <w:rFonts w:ascii="Times New Roman" w:eastAsia="Times New Roman" w:hAnsi="Times New Roman"/>
                <w:b/>
                <w:sz w:val="20"/>
                <w:szCs w:val="20"/>
              </w:rPr>
              <w:t>Palielināta pašvaldību loma demogrāfiskās situācijas uzlabošanā vietējā līmenī</w:t>
            </w:r>
          </w:p>
        </w:tc>
        <w:tc>
          <w:tcPr>
            <w:tcW w:w="3119" w:type="dxa"/>
          </w:tcPr>
          <w:p w:rsidR="00CB401A" w:rsidRPr="00BC49E1" w:rsidP="00CB401A">
            <w:pPr>
              <w:numPr>
                <w:ilvl w:val="0"/>
                <w:numId w:val="7"/>
              </w:numPr>
              <w:spacing w:after="0" w:line="240" w:lineRule="auto"/>
              <w:rPr>
                <w:rFonts w:ascii="Times New Roman" w:hAnsi="Times New Roman"/>
                <w:sz w:val="20"/>
                <w:szCs w:val="20"/>
              </w:rPr>
            </w:pPr>
            <w:r w:rsidRPr="00BC49E1">
              <w:rPr>
                <w:rFonts w:ascii="Times New Roman" w:hAnsi="Times New Roman"/>
                <w:sz w:val="20"/>
                <w:szCs w:val="20"/>
              </w:rPr>
              <w:t>Pašvaldību īpatsvars, kas piešķir NĪN atvieglojumus ģimenēm ar bērniem līdz pirmsskolas vecumam un ģimenēm, kurās bērnus aprūpē viens vecāks (%)</w:t>
            </w:r>
          </w:p>
        </w:tc>
        <w:tc>
          <w:tcPr>
            <w:tcW w:w="1304"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276"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25%</w:t>
            </w:r>
          </w:p>
        </w:tc>
        <w:tc>
          <w:tcPr>
            <w:tcW w:w="1701"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50%</w:t>
            </w:r>
          </w:p>
        </w:tc>
        <w:tc>
          <w:tcPr>
            <w:tcW w:w="155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32,77%</w:t>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VARAM veikts informācijas apkopojums</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w:t>
            </w:r>
          </w:p>
        </w:tc>
      </w:tr>
      <w:tr w:rsidTr="007320AB">
        <w:tblPrEx>
          <w:tblW w:w="14596" w:type="dxa"/>
          <w:tblLayout w:type="fixed"/>
          <w:tblLook w:val="04A0"/>
        </w:tblPrEx>
        <w:tc>
          <w:tcPr>
            <w:tcW w:w="2943" w:type="dxa"/>
            <w:vMerge/>
          </w:tcPr>
          <w:p w:rsidR="00CB401A" w:rsidRPr="00BC49E1" w:rsidP="00CB401A">
            <w:pPr>
              <w:spacing w:after="0" w:line="240" w:lineRule="auto"/>
              <w:rPr>
                <w:rFonts w:ascii="Times New Roman" w:hAnsi="Times New Roman"/>
                <w:sz w:val="20"/>
                <w:szCs w:val="20"/>
              </w:rPr>
            </w:pPr>
          </w:p>
        </w:tc>
        <w:tc>
          <w:tcPr>
            <w:tcW w:w="3119" w:type="dxa"/>
          </w:tcPr>
          <w:p w:rsidR="00CB401A" w:rsidRPr="00BC49E1" w:rsidP="00CB401A">
            <w:pPr>
              <w:numPr>
                <w:ilvl w:val="0"/>
                <w:numId w:val="7"/>
              </w:numPr>
              <w:spacing w:after="0" w:line="240" w:lineRule="auto"/>
              <w:rPr>
                <w:rFonts w:ascii="Times New Roman" w:hAnsi="Times New Roman"/>
                <w:sz w:val="20"/>
                <w:szCs w:val="20"/>
              </w:rPr>
            </w:pPr>
            <w:r w:rsidRPr="00BC49E1">
              <w:rPr>
                <w:rFonts w:ascii="Times New Roman" w:hAnsi="Times New Roman"/>
                <w:sz w:val="20"/>
                <w:szCs w:val="20"/>
              </w:rPr>
              <w:t>Bērnu skaits, kuri ir rindā uz pirmsskolas izglītības iestādēm</w:t>
            </w:r>
          </w:p>
        </w:tc>
        <w:tc>
          <w:tcPr>
            <w:tcW w:w="1304"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8047 (2012)</w:t>
            </w:r>
            <w:r>
              <w:rPr>
                <w:rFonts w:ascii="Times New Roman" w:hAnsi="Times New Roman"/>
                <w:sz w:val="20"/>
                <w:vertAlign w:val="superscript"/>
              </w:rPr>
              <w:footnoteReference w:id="44"/>
            </w:r>
          </w:p>
        </w:tc>
        <w:tc>
          <w:tcPr>
            <w:tcW w:w="1276"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0</w:t>
            </w:r>
          </w:p>
        </w:tc>
        <w:tc>
          <w:tcPr>
            <w:tcW w:w="1701"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0</w:t>
            </w:r>
          </w:p>
        </w:tc>
        <w:tc>
          <w:tcPr>
            <w:tcW w:w="1559" w:type="dxa"/>
          </w:tcPr>
          <w:p w:rsidR="00CB401A" w:rsidRPr="00BC49E1" w:rsidP="00CB401A">
            <w:pPr>
              <w:spacing w:after="0" w:line="240" w:lineRule="auto"/>
              <w:rPr>
                <w:rFonts w:ascii="Times New Roman" w:hAnsi="Times New Roman"/>
                <w:sz w:val="20"/>
                <w:szCs w:val="20"/>
              </w:rPr>
            </w:pPr>
            <w:r w:rsidRPr="003C229E">
              <w:rPr>
                <w:rFonts w:ascii="Times New Roman" w:hAnsi="Times New Roman"/>
                <w:sz w:val="20"/>
                <w:szCs w:val="20"/>
              </w:rPr>
              <w:t>10 303</w:t>
            </w:r>
            <w:r>
              <w:rPr>
                <w:rStyle w:val="FootnoteReference"/>
                <w:rFonts w:ascii="Times New Roman" w:hAnsi="Times New Roman"/>
                <w:sz w:val="20"/>
                <w:szCs w:val="20"/>
              </w:rPr>
              <w:footnoteReference w:id="45"/>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VARAM veikts informācijas apkopojums</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w:t>
            </w:r>
          </w:p>
        </w:tc>
      </w:tr>
      <w:tr w:rsidTr="007320AB">
        <w:tblPrEx>
          <w:tblW w:w="14596" w:type="dxa"/>
          <w:tblLayout w:type="fixed"/>
          <w:tblLook w:val="04A0"/>
        </w:tblPrEx>
        <w:tc>
          <w:tcPr>
            <w:tcW w:w="2943" w:type="dxa"/>
            <w:vMerge/>
          </w:tcPr>
          <w:p w:rsidR="00CB401A" w:rsidRPr="00BC49E1" w:rsidP="00CB401A">
            <w:pPr>
              <w:spacing w:after="0" w:line="240" w:lineRule="auto"/>
              <w:rPr>
                <w:rFonts w:ascii="Times New Roman" w:hAnsi="Times New Roman"/>
                <w:sz w:val="20"/>
                <w:szCs w:val="20"/>
              </w:rPr>
            </w:pPr>
          </w:p>
        </w:tc>
        <w:tc>
          <w:tcPr>
            <w:tcW w:w="3119" w:type="dxa"/>
          </w:tcPr>
          <w:p w:rsidR="00CB401A" w:rsidRPr="00BC49E1" w:rsidP="00CB401A">
            <w:pPr>
              <w:numPr>
                <w:ilvl w:val="0"/>
                <w:numId w:val="7"/>
              </w:numPr>
              <w:spacing w:after="0" w:line="240" w:lineRule="auto"/>
              <w:rPr>
                <w:rFonts w:ascii="Times New Roman" w:hAnsi="Times New Roman"/>
                <w:sz w:val="20"/>
                <w:szCs w:val="20"/>
              </w:rPr>
            </w:pPr>
            <w:r w:rsidRPr="00BC49E1">
              <w:rPr>
                <w:rFonts w:ascii="Times New Roman" w:hAnsi="Times New Roman"/>
                <w:sz w:val="20"/>
                <w:szCs w:val="20"/>
              </w:rPr>
              <w:t>Pašvaldību izmaksāto brīvprātīgo pabalstu apjoma īpatsvars no pašvaldību izdevumiem sociālajiem pabalstiem (visās pašvaldībās kopā)</w:t>
            </w:r>
          </w:p>
        </w:tc>
        <w:tc>
          <w:tcPr>
            <w:tcW w:w="1304"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15,5 (2012)</w:t>
            </w:r>
          </w:p>
        </w:tc>
        <w:tc>
          <w:tcPr>
            <w:tcW w:w="1276"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Pieaudzis salīdzinājumā ar 2012.gadu</w:t>
            </w:r>
          </w:p>
        </w:tc>
        <w:tc>
          <w:tcPr>
            <w:tcW w:w="1701"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Pieaudzis salīdzinājumā ar 2016.gadu</w:t>
            </w:r>
          </w:p>
        </w:tc>
        <w:tc>
          <w:tcPr>
            <w:tcW w:w="1559" w:type="dxa"/>
          </w:tcPr>
          <w:p w:rsidR="00CB401A" w:rsidRPr="00BC49E1" w:rsidP="00CB401A">
            <w:pPr>
              <w:spacing w:after="0" w:line="240" w:lineRule="auto"/>
              <w:rPr>
                <w:rFonts w:ascii="Times New Roman" w:hAnsi="Times New Roman"/>
                <w:sz w:val="20"/>
                <w:szCs w:val="20"/>
              </w:rPr>
            </w:pPr>
            <w:r>
              <w:rPr>
                <w:rFonts w:ascii="Times New Roman" w:hAnsi="Times New Roman"/>
                <w:sz w:val="20"/>
                <w:szCs w:val="20"/>
              </w:rPr>
              <w:t>31,</w:t>
            </w:r>
            <w:r w:rsidRPr="00577154">
              <w:rPr>
                <w:rFonts w:ascii="Times New Roman" w:hAnsi="Times New Roman"/>
                <w:sz w:val="20"/>
                <w:szCs w:val="20"/>
              </w:rPr>
              <w:t>86 %</w:t>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LM dati</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CB401A" w:rsidRPr="00BC49E1" w:rsidP="00CB401A">
            <w:pPr>
              <w:spacing w:after="0" w:line="240" w:lineRule="auto"/>
              <w:jc w:val="both"/>
              <w:rPr>
                <w:rFonts w:ascii="Times New Roman" w:hAnsi="Times New Roman"/>
                <w:b/>
                <w:sz w:val="20"/>
                <w:szCs w:val="20"/>
              </w:rPr>
            </w:pPr>
            <w:r w:rsidRPr="00BC49E1">
              <w:rPr>
                <w:rFonts w:ascii="Times New Roman" w:hAnsi="Times New Roman"/>
                <w:b/>
                <w:sz w:val="20"/>
                <w:szCs w:val="20"/>
              </w:rPr>
              <w:t>Darbības rezultāts</w:t>
            </w:r>
          </w:p>
        </w:tc>
        <w:tc>
          <w:tcPr>
            <w:tcW w:w="7400" w:type="dxa"/>
            <w:gridSpan w:val="4"/>
            <w:shd w:val="clear" w:color="auto" w:fill="BFBFBF"/>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tcPr>
          <w:p w:rsidR="00CB401A" w:rsidP="00CB401A">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hAnsi="Times New Roman"/>
                <w:sz w:val="20"/>
                <w:szCs w:val="20"/>
              </w:rPr>
              <w:t>Nodrošināts normatīvais regulējums par risinājumiem rindu uz pirmsskolas izglītības iestādēm likvidēšanai</w:t>
            </w:r>
          </w:p>
          <w:p w:rsidR="00047612" w:rsidP="00047612">
            <w:pPr>
              <w:spacing w:after="0" w:line="240" w:lineRule="auto"/>
              <w:contextualSpacing/>
              <w:jc w:val="both"/>
              <w:rPr>
                <w:rFonts w:ascii="Times New Roman" w:hAnsi="Times New Roman"/>
                <w:sz w:val="20"/>
                <w:szCs w:val="20"/>
              </w:rPr>
            </w:pPr>
          </w:p>
          <w:p w:rsidR="00047612" w:rsidP="00047612">
            <w:pPr>
              <w:spacing w:after="0" w:line="240" w:lineRule="auto"/>
              <w:contextualSpacing/>
              <w:jc w:val="both"/>
              <w:rPr>
                <w:rFonts w:ascii="Times New Roman" w:hAnsi="Times New Roman"/>
                <w:sz w:val="20"/>
                <w:szCs w:val="20"/>
              </w:rPr>
            </w:pPr>
          </w:p>
          <w:p w:rsidR="00047612" w:rsidRPr="00BC49E1" w:rsidP="00047612">
            <w:pPr>
              <w:spacing w:after="0" w:line="240" w:lineRule="auto"/>
              <w:contextualSpacing/>
              <w:jc w:val="both"/>
              <w:rPr>
                <w:rFonts w:ascii="Times New Roman" w:hAnsi="Times New Roman"/>
                <w:sz w:val="20"/>
                <w:szCs w:val="20"/>
              </w:rPr>
            </w:pPr>
          </w:p>
        </w:tc>
        <w:tc>
          <w:tcPr>
            <w:tcW w:w="311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Izstrādāti un apstiprināti Ministru kabineta noteikumi (2013.gadā)</w:t>
            </w:r>
          </w:p>
        </w:tc>
        <w:tc>
          <w:tcPr>
            <w:tcW w:w="1304"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276"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701"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55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 xml:space="preserve">Izstrādāti un apstiprināti Ministru kabineta </w:t>
            </w:r>
            <w:r w:rsidRPr="00BC49E1">
              <w:rPr>
                <w:rFonts w:ascii="Times New Roman" w:hAnsi="Times New Roman"/>
                <w:sz w:val="20"/>
                <w:szCs w:val="20"/>
              </w:rPr>
              <w:t>noteikumi (2015)</w:t>
            </w:r>
            <w:r>
              <w:rPr>
                <w:rStyle w:val="FootnoteReference"/>
                <w:rFonts w:ascii="Times New Roman" w:hAnsi="Times New Roman"/>
                <w:sz w:val="20"/>
                <w:szCs w:val="20"/>
              </w:rPr>
              <w:footnoteReference w:id="46"/>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VARAM, IZM, LM</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CB401A" w:rsidRPr="00BC49E1" w:rsidP="00CB401A">
            <w:pPr>
              <w:spacing w:after="0" w:line="240" w:lineRule="auto"/>
              <w:jc w:val="both"/>
              <w:rPr>
                <w:rFonts w:ascii="Times New Roman" w:eastAsia="Times New Roman" w:hAnsi="Times New Roman"/>
                <w:sz w:val="20"/>
                <w:szCs w:val="20"/>
              </w:rPr>
            </w:pPr>
            <w:r w:rsidRPr="00BC49E1">
              <w:rPr>
                <w:rFonts w:ascii="Times New Roman" w:eastAsia="Times New Roman" w:hAnsi="Times New Roman"/>
                <w:b/>
                <w:bCs/>
                <w:sz w:val="20"/>
                <w:szCs w:val="20"/>
                <w:bdr w:val="none" w:sz="0" w:space="0" w:color="auto" w:frame="1"/>
              </w:rPr>
              <w:t>Politikas rezultāts</w:t>
            </w:r>
          </w:p>
        </w:tc>
        <w:tc>
          <w:tcPr>
            <w:tcW w:w="7400" w:type="dxa"/>
            <w:gridSpan w:val="4"/>
            <w:shd w:val="clear" w:color="auto" w:fill="BFBFBF"/>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tcPr>
          <w:p w:rsidR="00CB401A" w:rsidRPr="00BC49E1" w:rsidP="00CB401A">
            <w:pPr>
              <w:numPr>
                <w:ilvl w:val="1"/>
                <w:numId w:val="1"/>
              </w:numPr>
              <w:spacing w:after="0" w:line="240" w:lineRule="auto"/>
              <w:ind w:left="432"/>
              <w:contextualSpacing/>
              <w:jc w:val="both"/>
              <w:rPr>
                <w:rFonts w:ascii="Times New Roman" w:hAnsi="Times New Roman"/>
                <w:b/>
                <w:sz w:val="20"/>
                <w:szCs w:val="20"/>
              </w:rPr>
            </w:pPr>
            <w:r w:rsidRPr="00BC49E1">
              <w:rPr>
                <w:rFonts w:ascii="Times New Roman" w:hAnsi="Times New Roman"/>
                <w:b/>
                <w:sz w:val="20"/>
                <w:szCs w:val="20"/>
              </w:rPr>
              <w:t>Palielinājusies pieejamās statistikas bāze Latvijas teritoriālajā iedalījumā</w:t>
            </w:r>
          </w:p>
        </w:tc>
        <w:tc>
          <w:tcPr>
            <w:tcW w:w="3119"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Nodrošināta VARAM identificētās pašvaldībām nepieciešamās statistikas apkopošana (minimālais maksas rādītāju saraksts -nepieciešams nodrošināt 7 rādītāju iegūšanu)</w:t>
            </w:r>
          </w:p>
        </w:tc>
        <w:tc>
          <w:tcPr>
            <w:tcW w:w="1304"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 xml:space="preserve">0 rādītāji (2013) </w:t>
            </w:r>
          </w:p>
        </w:tc>
        <w:tc>
          <w:tcPr>
            <w:tcW w:w="1276"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3 rādītāji</w:t>
            </w:r>
          </w:p>
        </w:tc>
        <w:tc>
          <w:tcPr>
            <w:tcW w:w="1701"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7 rādītāji</w:t>
            </w:r>
          </w:p>
        </w:tc>
        <w:tc>
          <w:tcPr>
            <w:tcW w:w="1559" w:type="dxa"/>
            <w:shd w:val="clear" w:color="auto" w:fill="auto"/>
          </w:tcPr>
          <w:p w:rsidR="00CB401A" w:rsidRPr="00BC49E1" w:rsidP="00CB401A">
            <w:pPr>
              <w:spacing w:after="0" w:line="240" w:lineRule="auto"/>
              <w:rPr>
                <w:rFonts w:ascii="Times New Roman" w:hAnsi="Times New Roman"/>
                <w:sz w:val="20"/>
                <w:szCs w:val="20"/>
              </w:rPr>
            </w:pPr>
            <w:r>
              <w:rPr>
                <w:rFonts w:ascii="Times New Roman" w:hAnsi="Times New Roman"/>
                <w:sz w:val="20"/>
                <w:szCs w:val="20"/>
              </w:rPr>
              <w:t>5</w:t>
            </w:r>
            <w:r w:rsidRPr="00BC49E1">
              <w:rPr>
                <w:rFonts w:ascii="Times New Roman" w:hAnsi="Times New Roman"/>
                <w:sz w:val="20"/>
                <w:szCs w:val="20"/>
              </w:rPr>
              <w:t xml:space="preserve"> rādītāji</w:t>
            </w:r>
            <w:r>
              <w:rPr>
                <w:rStyle w:val="FootnoteReference"/>
                <w:rFonts w:ascii="Times New Roman" w:hAnsi="Times New Roman"/>
                <w:sz w:val="20"/>
                <w:szCs w:val="20"/>
              </w:rPr>
              <w:footnoteReference w:id="47"/>
            </w:r>
          </w:p>
        </w:tc>
        <w:tc>
          <w:tcPr>
            <w:tcW w:w="1389" w:type="dxa"/>
            <w:shd w:val="clear" w:color="auto" w:fill="auto"/>
          </w:tcPr>
          <w:p w:rsidR="00CB401A" w:rsidRPr="00BC49E1" w:rsidP="00CB401A">
            <w:pPr>
              <w:spacing w:after="0" w:line="240" w:lineRule="auto"/>
              <w:rPr>
                <w:rFonts w:ascii="Times New Roman" w:hAnsi="Times New Roman"/>
                <w:sz w:val="20"/>
                <w:szCs w:val="20"/>
              </w:rPr>
            </w:pPr>
            <w:r>
              <w:rPr>
                <w:rFonts w:ascii="Times New Roman" w:hAnsi="Times New Roman"/>
                <w:sz w:val="20"/>
                <w:szCs w:val="20"/>
              </w:rPr>
              <w:t>CSP</w:t>
            </w:r>
          </w:p>
        </w:tc>
        <w:tc>
          <w:tcPr>
            <w:tcW w:w="1305" w:type="dxa"/>
            <w:shd w:val="clear" w:color="auto" w:fill="auto"/>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w:t>
            </w:r>
          </w:p>
        </w:tc>
      </w:tr>
      <w:tr w:rsidTr="00F17AEF">
        <w:tblPrEx>
          <w:tblW w:w="14596" w:type="dxa"/>
          <w:tblLayout w:type="fixed"/>
          <w:tblLook w:val="04A0"/>
        </w:tblPrEx>
        <w:tc>
          <w:tcPr>
            <w:tcW w:w="2943" w:type="dxa"/>
            <w:shd w:val="clear" w:color="auto" w:fill="BFBFBF"/>
          </w:tcPr>
          <w:p w:rsidR="00CB401A" w:rsidRPr="00BC49E1" w:rsidP="00CB401A">
            <w:pPr>
              <w:spacing w:after="0" w:line="240" w:lineRule="auto"/>
              <w:jc w:val="both"/>
              <w:rPr>
                <w:rFonts w:ascii="Times New Roman" w:hAnsi="Times New Roman"/>
                <w:b/>
                <w:sz w:val="20"/>
                <w:szCs w:val="20"/>
              </w:rPr>
            </w:pPr>
            <w:r w:rsidRPr="00BC49E1">
              <w:rPr>
                <w:rFonts w:ascii="Times New Roman" w:hAnsi="Times New Roman"/>
                <w:b/>
                <w:sz w:val="20"/>
                <w:szCs w:val="20"/>
              </w:rPr>
              <w:t>Darbības rezultāts</w:t>
            </w:r>
          </w:p>
        </w:tc>
        <w:tc>
          <w:tcPr>
            <w:tcW w:w="7400" w:type="dxa"/>
            <w:gridSpan w:val="4"/>
            <w:shd w:val="clear" w:color="auto" w:fill="BFBFBF"/>
          </w:tcPr>
          <w:p w:rsidR="00CB401A" w:rsidRPr="00BC49E1" w:rsidP="00CB401A">
            <w:pPr>
              <w:spacing w:after="0" w:line="240" w:lineRule="auto"/>
              <w:jc w:val="both"/>
              <w:rPr>
                <w:rFonts w:ascii="Times New Roman" w:hAnsi="Times New Roman"/>
                <w:sz w:val="20"/>
                <w:szCs w:val="20"/>
              </w:rPr>
            </w:pPr>
            <w:r w:rsidRPr="00BC49E1">
              <w:rPr>
                <w:rFonts w:ascii="Times New Roman" w:hAnsi="Times New Roman"/>
                <w:b/>
                <w:bCs/>
                <w:sz w:val="20"/>
                <w:szCs w:val="20"/>
                <w:bdr w:val="none" w:sz="0" w:space="0" w:color="auto" w:frame="1"/>
              </w:rPr>
              <w:t>Rezultatīvais rādītājs</w:t>
            </w:r>
            <w:r w:rsidRPr="00BC49E1">
              <w:rPr>
                <w:rFonts w:ascii="Times New Roman" w:hAnsi="Times New Roman"/>
                <w:sz w:val="20"/>
              </w:rPr>
              <w:t> </w:t>
            </w:r>
          </w:p>
        </w:tc>
        <w:tc>
          <w:tcPr>
            <w:tcW w:w="2948" w:type="dxa"/>
            <w:gridSpan w:val="2"/>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c>
          <w:tcPr>
            <w:tcW w:w="1305" w:type="dxa"/>
            <w:shd w:val="clear" w:color="auto" w:fill="BFBFBF"/>
          </w:tcPr>
          <w:p w:rsidR="00CB401A" w:rsidRPr="00BC49E1" w:rsidP="00CB401A">
            <w:pPr>
              <w:spacing w:after="0" w:line="240" w:lineRule="auto"/>
              <w:jc w:val="both"/>
              <w:rPr>
                <w:rFonts w:ascii="Times New Roman" w:hAnsi="Times New Roman"/>
                <w:b/>
                <w:bCs/>
                <w:sz w:val="20"/>
                <w:szCs w:val="20"/>
                <w:bdr w:val="none" w:sz="0" w:space="0" w:color="auto" w:frame="1"/>
              </w:rPr>
            </w:pPr>
          </w:p>
        </w:tc>
      </w:tr>
      <w:tr w:rsidTr="007320AB">
        <w:tblPrEx>
          <w:tblW w:w="14596" w:type="dxa"/>
          <w:tblLayout w:type="fixed"/>
          <w:tblLook w:val="04A0"/>
        </w:tblPrEx>
        <w:tc>
          <w:tcPr>
            <w:tcW w:w="2943" w:type="dxa"/>
          </w:tcPr>
          <w:p w:rsidR="00CB401A" w:rsidRPr="00BC49E1" w:rsidP="00CB401A">
            <w:pPr>
              <w:numPr>
                <w:ilvl w:val="2"/>
                <w:numId w:val="1"/>
              </w:numPr>
              <w:spacing w:after="0" w:line="240" w:lineRule="auto"/>
              <w:ind w:left="567" w:hanging="567"/>
              <w:contextualSpacing/>
              <w:jc w:val="both"/>
              <w:rPr>
                <w:rFonts w:ascii="Times New Roman" w:hAnsi="Times New Roman"/>
                <w:sz w:val="20"/>
                <w:szCs w:val="20"/>
              </w:rPr>
            </w:pPr>
            <w:r w:rsidRPr="00BC49E1">
              <w:rPr>
                <w:rFonts w:ascii="Times New Roman" w:hAnsi="Times New Roman"/>
                <w:sz w:val="20"/>
                <w:szCs w:val="20"/>
              </w:rPr>
              <w:t>Apzinātas pašvaldību vajadzības pēc teritoriālās statistikas</w:t>
            </w:r>
          </w:p>
        </w:tc>
        <w:tc>
          <w:tcPr>
            <w:tcW w:w="311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Ikgadēji izstrādāts saraksts ar pašvaldībām nepieciešamo statistiku iekļaušanai Valsts statistikas programmā (sākot no 2015.gada)</w:t>
            </w:r>
          </w:p>
        </w:tc>
        <w:tc>
          <w:tcPr>
            <w:tcW w:w="1304"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276"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701"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w:t>
            </w:r>
          </w:p>
        </w:tc>
        <w:tc>
          <w:tcPr>
            <w:tcW w:w="155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VARAM ikgadēji sniedz atzinumu par Oficiālās statistikas programmu  ar mērķi virzīties uz modeli, kas pēc iespējas vairāk nodrošina statistiku teritoriālā līmenī.</w:t>
            </w:r>
            <w:r>
              <w:rPr>
                <w:rStyle w:val="FootnoteReference"/>
                <w:rFonts w:ascii="Times New Roman" w:hAnsi="Times New Roman"/>
                <w:sz w:val="20"/>
                <w:szCs w:val="20"/>
              </w:rPr>
              <w:footnoteReference w:id="48"/>
            </w:r>
          </w:p>
        </w:tc>
        <w:tc>
          <w:tcPr>
            <w:tcW w:w="1389"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VARAM</w:t>
            </w:r>
          </w:p>
        </w:tc>
        <w:tc>
          <w:tcPr>
            <w:tcW w:w="1305" w:type="dxa"/>
          </w:tcPr>
          <w:p w:rsidR="00CB401A" w:rsidRPr="00BC49E1" w:rsidP="00CB401A">
            <w:pPr>
              <w:spacing w:after="0" w:line="240" w:lineRule="auto"/>
              <w:rPr>
                <w:rFonts w:ascii="Times New Roman" w:hAnsi="Times New Roman"/>
                <w:sz w:val="20"/>
                <w:szCs w:val="20"/>
              </w:rPr>
            </w:pPr>
            <w:r w:rsidRPr="00BC49E1">
              <w:rPr>
                <w:rFonts w:ascii="Times New Roman" w:hAnsi="Times New Roman"/>
                <w:sz w:val="20"/>
                <w:szCs w:val="20"/>
              </w:rPr>
              <w:t>Nav</w:t>
            </w:r>
          </w:p>
        </w:tc>
      </w:tr>
    </w:tbl>
    <w:p w:rsidR="00F17AEF" w:rsidRPr="00BC49E1"/>
    <w:sectPr w:rsidSect="003F6CD7">
      <w:headerReference w:type="default" r:id="rId6"/>
      <w:footerReference w:type="default" r:id="rId7"/>
      <w:headerReference w:type="first" r:id="rId8"/>
      <w:footerReference w:type="first" r:id="rId9"/>
      <w:pgSz w:w="16838" w:h="11906" w:orient="landscape"/>
      <w:pgMar w:top="1800" w:right="1440" w:bottom="180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E58" w:rsidRPr="00F40447" w:rsidP="00F40447">
    <w:pPr>
      <w:pStyle w:val="Footer"/>
      <w:rPr>
        <w:sz w:val="20"/>
        <w:szCs w:val="20"/>
      </w:rPr>
    </w:pPr>
    <w:r>
      <w:rPr>
        <w:rFonts w:ascii="Times New Roman" w:hAnsi="Times New Roman"/>
        <w:sz w:val="20"/>
      </w:rPr>
      <w:t>VARAMZinp2_</w:t>
    </w:r>
    <w:r w:rsidR="00300EF1">
      <w:rPr>
        <w:rFonts w:ascii="Times New Roman" w:hAnsi="Times New Roman"/>
        <w:sz w:val="20"/>
      </w:rPr>
      <w:t>20</w:t>
    </w:r>
    <w:r w:rsidR="004F3CB0">
      <w:rPr>
        <w:rFonts w:ascii="Times New Roman" w:hAnsi="Times New Roman"/>
        <w:sz w:val="20"/>
      </w:rPr>
      <w:t>02</w:t>
    </w:r>
    <w:r>
      <w:rPr>
        <w:rFonts w:ascii="Times New Roman" w:hAnsi="Times New Roman"/>
        <w:sz w:val="20"/>
      </w:rPr>
      <w:t>18</w:t>
    </w:r>
    <w:r w:rsidRPr="00D74646">
      <w:rPr>
        <w:rFonts w:ascii="Times New Roman" w:hAnsi="Times New Roman"/>
        <w:sz w:val="20"/>
      </w:rPr>
      <w:t>_pamn_novert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E58" w:rsidRPr="00D74646">
    <w:pPr>
      <w:pStyle w:val="Footer"/>
      <w:rPr>
        <w:sz w:val="20"/>
        <w:szCs w:val="20"/>
      </w:rPr>
    </w:pPr>
    <w:r>
      <w:rPr>
        <w:rFonts w:ascii="Times New Roman" w:hAnsi="Times New Roman"/>
        <w:sz w:val="20"/>
      </w:rPr>
      <w:t>VARAMZinp2_20</w:t>
    </w:r>
    <w:r w:rsidR="004F3CB0">
      <w:rPr>
        <w:rFonts w:ascii="Times New Roman" w:hAnsi="Times New Roman"/>
        <w:sz w:val="20"/>
      </w:rPr>
      <w:t>02</w:t>
    </w:r>
    <w:r>
      <w:rPr>
        <w:rFonts w:ascii="Times New Roman" w:hAnsi="Times New Roman"/>
        <w:sz w:val="20"/>
      </w:rPr>
      <w:t>18</w:t>
    </w:r>
    <w:r w:rsidRPr="00D74646">
      <w:rPr>
        <w:rFonts w:ascii="Times New Roman" w:hAnsi="Times New Roman"/>
        <w:sz w:val="20"/>
      </w:rPr>
      <w:t>_pamn_novert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7ACB" w:rsidP="00F17AEF">
      <w:pPr>
        <w:spacing w:after="0" w:line="240" w:lineRule="auto"/>
      </w:pPr>
      <w:r>
        <w:separator/>
      </w:r>
    </w:p>
  </w:footnote>
  <w:footnote w:type="continuationSeparator" w:id="1">
    <w:p w:rsidR="00C37ACB" w:rsidP="00F17AEF">
      <w:pPr>
        <w:spacing w:after="0" w:line="240" w:lineRule="auto"/>
      </w:pPr>
      <w:r>
        <w:continuationSeparator/>
      </w:r>
    </w:p>
  </w:footnote>
  <w:footnote w:id="2">
    <w:p w:rsidR="00A57E58" w:rsidRPr="00970FA9" w:rsidP="00F17AEF">
      <w:pPr>
        <w:pStyle w:val="FootnoteText"/>
        <w:jc w:val="both"/>
        <w:rPr>
          <w:lang w:val="lv-LV"/>
        </w:rPr>
      </w:pPr>
      <w:r w:rsidRPr="00970FA9">
        <w:rPr>
          <w:rStyle w:val="FootnoteReference"/>
          <w:lang w:val="lv-LV"/>
        </w:rPr>
        <w:footnoteRef/>
      </w:r>
      <w:r w:rsidRPr="00970FA9">
        <w:rPr>
          <w:lang w:val="lv-LV"/>
        </w:rPr>
        <w:t xml:space="preserve"> Daļai rādītāju netiek paredzēta bāzes vērtība, ja rādītājs attiecas uz jaunām darbībām, kas izriet no pamatnostādnēm.</w:t>
      </w:r>
    </w:p>
  </w:footnote>
  <w:footnote w:id="3">
    <w:p w:rsidR="00A57E58" w:rsidRPr="00970FA9" w:rsidP="00F17AEF">
      <w:pPr>
        <w:pStyle w:val="FootnoteText"/>
        <w:jc w:val="both"/>
        <w:rPr>
          <w:lang w:val="lv-LV"/>
        </w:rPr>
      </w:pPr>
      <w:r w:rsidRPr="00970FA9">
        <w:rPr>
          <w:rStyle w:val="FootnoteReference"/>
          <w:lang w:val="lv-LV"/>
        </w:rPr>
        <w:footnoteRef/>
      </w:r>
      <w:r w:rsidRPr="00970FA9">
        <w:rPr>
          <w:lang w:val="lv-LV"/>
        </w:rPr>
        <w:t xml:space="preserve"> Šim un pārējiem rādītājiem, kas sniegti kā priekšlikums arī ES struktūrfondu un Kohēzijas fonda darbības programmas „Izaugsme un nodarbinātība” proj</w:t>
      </w:r>
      <w:r>
        <w:rPr>
          <w:lang w:val="lv-LV"/>
        </w:rPr>
        <w:t>ektam</w:t>
      </w:r>
      <w:r w:rsidRPr="00970FA9">
        <w:rPr>
          <w:lang w:val="lv-LV"/>
        </w:rPr>
        <w:t>,  politikas rezultātu un darbības rezultātu rādītājiem sasniedzamās vērtības noteikšanai izmantota šāda plānotā finansējuma apguves (noslēgti līgumi u.tml.) shēma pa gadiem – 2014.g. – 0, 2015.g. – 0, 2016.g. – 15%, 2017.g. – 20%, 2018.g. – 25%, 2019.g. -25%, 2020.g. – 15%, 2021.g. – 0%, 2022.g. – 0%. Ņemot vērā, ka paredzams, ka pirmie būvniecības līgumi būs noslēgti 2016.gadā, uz 2019.gadu sasniedzamās rezultatīvo rādītāju vērtības tiek plānotas 35% apmērā no uz 2022.gadu sasniedzamajām vērtībām.</w:t>
      </w:r>
    </w:p>
  </w:footnote>
  <w:footnote w:id="4">
    <w:p w:rsidR="00A57E58" w:rsidRPr="00970FA9" w:rsidP="00F17AEF">
      <w:pPr>
        <w:pStyle w:val="FootnoteText"/>
        <w:jc w:val="both"/>
        <w:rPr>
          <w:lang w:val="lv-LV"/>
        </w:rPr>
      </w:pPr>
      <w:r w:rsidRPr="00970FA9">
        <w:rPr>
          <w:rStyle w:val="FootnoteReference"/>
          <w:lang w:val="lv-LV"/>
        </w:rPr>
        <w:footnoteRef/>
      </w:r>
      <w:r w:rsidRPr="00970FA9">
        <w:rPr>
          <w:lang w:val="lv-LV"/>
        </w:rPr>
        <w:t xml:space="preserve"> Vidēji 1 investors papildus katrā attīstības centrā. Piesaistīto investīciju kopējais apjoms vismaz 30 milj. LVL</w:t>
      </w:r>
      <w:r>
        <w:rPr>
          <w:lang w:val="lv-LV"/>
        </w:rPr>
        <w:t xml:space="preserve"> (43 milj. </w:t>
      </w:r>
      <w:r w:rsidRPr="00DD199F">
        <w:rPr>
          <w:i/>
          <w:lang w:val="lv-LV"/>
        </w:rPr>
        <w:t>euro</w:t>
      </w:r>
      <w:r>
        <w:rPr>
          <w:lang w:val="lv-LV"/>
        </w:rPr>
        <w:t>)</w:t>
      </w:r>
      <w:r w:rsidRPr="00970FA9">
        <w:rPr>
          <w:lang w:val="lv-LV"/>
        </w:rPr>
        <w:t>.</w:t>
      </w:r>
    </w:p>
  </w:footnote>
  <w:footnote w:id="5">
    <w:p w:rsidR="00A57E58" w:rsidRPr="00545BC9">
      <w:pPr>
        <w:pStyle w:val="FootnoteText"/>
        <w:rPr>
          <w:lang w:val="lv-LV"/>
        </w:rPr>
      </w:pPr>
      <w:r>
        <w:rPr>
          <w:rStyle w:val="FootnoteReference"/>
        </w:rPr>
        <w:footnoteRef/>
      </w:r>
      <w:r w:rsidRPr="00046E41">
        <w:rPr>
          <w:lang w:val="lv-LV"/>
        </w:rPr>
        <w:t xml:space="preserve"> </w:t>
      </w:r>
      <w:r>
        <w:rPr>
          <w:lang w:val="lv-LV"/>
        </w:rPr>
        <w:t xml:space="preserve">Plānotais piesaistīto </w:t>
      </w:r>
      <w:r w:rsidRPr="00545BC9">
        <w:rPr>
          <w:lang w:val="lv-LV"/>
        </w:rPr>
        <w:t>k</w:t>
      </w:r>
      <w:r>
        <w:rPr>
          <w:lang w:val="lv-LV"/>
        </w:rPr>
        <w:t xml:space="preserve">omersantu nefinanšu investīciju apjoms projektos, </w:t>
      </w:r>
      <w:r w:rsidRPr="00317159">
        <w:rPr>
          <w:lang w:val="lv-LV"/>
        </w:rPr>
        <w:t xml:space="preserve">kas bija iesniegti vai apstiprināti nacionālas un reģionālas nozīmes centru pašvaldībās 3.3.1. </w:t>
      </w:r>
      <w:r>
        <w:rPr>
          <w:lang w:val="lv-LV"/>
        </w:rPr>
        <w:t>SAM “</w:t>
      </w:r>
      <w:r w:rsidRPr="001A4D2A">
        <w:rPr>
          <w:lang w:val="lv-LV"/>
        </w:rPr>
        <w:t>Publiskā infrastruktūra uzņēmējdarbībai</w:t>
      </w:r>
      <w:r>
        <w:rPr>
          <w:lang w:val="lv-LV"/>
        </w:rPr>
        <w:t xml:space="preserve">” </w:t>
      </w:r>
      <w:r w:rsidRPr="00317159">
        <w:rPr>
          <w:lang w:val="lv-LV"/>
        </w:rPr>
        <w:t xml:space="preserve">un 5.6.2. SAM </w:t>
      </w:r>
      <w:r>
        <w:rPr>
          <w:lang w:val="lv-LV"/>
        </w:rPr>
        <w:t>“</w:t>
      </w:r>
      <w:r w:rsidRPr="001A4D2A">
        <w:rPr>
          <w:lang w:val="lv-LV"/>
        </w:rPr>
        <w:t>Degradēto teritoriju atjaunošana</w:t>
      </w:r>
      <w:r>
        <w:rPr>
          <w:lang w:val="lv-LV"/>
        </w:rPr>
        <w:t>” uz 2018.gada 1.janvāri</w:t>
      </w:r>
      <w:r w:rsidRPr="00317159">
        <w:rPr>
          <w:lang w:val="lv-LV"/>
        </w:rPr>
        <w:t>.</w:t>
      </w:r>
    </w:p>
  </w:footnote>
  <w:footnote w:id="6">
    <w:p w:rsidR="00A57E58" w:rsidRPr="00970FA9" w:rsidP="00F17AEF">
      <w:pPr>
        <w:pStyle w:val="FootnoteText"/>
        <w:jc w:val="both"/>
        <w:rPr>
          <w:lang w:val="lv-LV"/>
        </w:rPr>
      </w:pPr>
      <w:r w:rsidRPr="00970FA9">
        <w:rPr>
          <w:rStyle w:val="FootnoteReference"/>
          <w:lang w:val="lv-LV"/>
        </w:rPr>
        <w:footnoteRef/>
      </w:r>
      <w:r w:rsidRPr="00970FA9">
        <w:rPr>
          <w:lang w:val="lv-LV"/>
        </w:rPr>
        <w:t xml:space="preserve"> Lai nodrošinātu, ka pamatnostādnēs un atbilstošajās ES fondu aktivitātēs rezultāti tiek mērīti ar vieniem un tiem pašiem rādītājiem, VARAM sniegusi attiecīgu priekšlikumu par rādītājiem arī atbilstošajām aktivitātēm ES struktūrfondu un Kohēzijas fonda darbības programmas „Izaugsme un nodarbinātība” projektā. Iepriekšminētais attiecas uz šādiem rādītājiem: 1.1.politikas rezultāta a) un b) rādītāji, 1.1.1. darbības rezultāta rādītājs, 1.1.2.darbības rezultāta  rādītājs, 1.3.politikas rezultāta b) rādītājs, 1.3.2.darbības rezultāta rādītājs, 1.4. politikas rezultāta c) rādītājs; 1.4.1.darbības rezultāta rādītājs, 1.4.2. darbības rezultāta rādītājs. Vienlaikus, ņemot vērā, ka sarunas Eiropas Komisiju par darbības programmas saturu pamatnostādņu izstrādes laikā vēl turpinās, darbības programmā norādītie rādītāji vēl var tikt mainīti. </w:t>
      </w:r>
    </w:p>
  </w:footnote>
  <w:footnote w:id="7">
    <w:p w:rsidR="00A57E58" w:rsidRPr="00970FA9" w:rsidP="00F17AEF">
      <w:pPr>
        <w:pStyle w:val="FootnoteText"/>
        <w:jc w:val="both"/>
        <w:rPr>
          <w:lang w:val="lv-LV"/>
        </w:rPr>
      </w:pPr>
      <w:r w:rsidRPr="00970FA9">
        <w:rPr>
          <w:rStyle w:val="FootnoteReference"/>
          <w:lang w:val="lv-LV"/>
        </w:rPr>
        <w:footnoteRef/>
      </w:r>
      <w:r w:rsidRPr="00970FA9">
        <w:rPr>
          <w:lang w:val="lv-LV"/>
        </w:rPr>
        <w:t xml:space="preserve"> Paplašināto vai no jauna izveidoto industriālo zonu/teritoriju platība nacionālas un reģionālas nozīmes attīstības centros vai industriālo zonu platība, kurām uzlabota sasniedzamība (t.sk. kam sakārtoti pievadceļi, inženierkomunikācijas un veikti citi uzlabojumi publiskajā satiksmes infrastruktūrā). Sasniedzamais rezultāts noteikts 15% no VARAM veiktajā nacionālas un reģionālas nozīmes attīstības centru pašvaldību aptaujā konstatētā brīvo platību (5826 ha), kas piemērotas industriālās zonas paplašināšanai/izveidei, apjoma.</w:t>
      </w:r>
    </w:p>
  </w:footnote>
  <w:footnote w:id="8">
    <w:p w:rsidR="00A57E58" w:rsidRPr="00317159">
      <w:pPr>
        <w:pStyle w:val="FootnoteText"/>
        <w:rPr>
          <w:lang w:val="lv-LV"/>
        </w:rPr>
      </w:pPr>
      <w:r>
        <w:rPr>
          <w:rStyle w:val="FootnoteReference"/>
        </w:rPr>
        <w:footnoteRef/>
      </w:r>
      <w:r w:rsidRPr="00046E41">
        <w:rPr>
          <w:lang w:val="lv-LV"/>
        </w:rPr>
        <w:t xml:space="preserve"> </w:t>
      </w:r>
      <w:r>
        <w:rPr>
          <w:lang w:val="lv-LV"/>
        </w:rPr>
        <w:t>Plānotais atlikušais degradēto teritoriju apjoms</w:t>
      </w:r>
      <w:r w:rsidRPr="00317159">
        <w:rPr>
          <w:lang w:val="lv-LV"/>
        </w:rPr>
        <w:t xml:space="preserve"> </w:t>
      </w:r>
      <w:r>
        <w:rPr>
          <w:lang w:val="lv-LV"/>
        </w:rPr>
        <w:t>nacionālas un reģionālas nozīmes centru pašvaldībās, kas bija iesniegti vai apstiprināti 5.6.2. SAM “</w:t>
      </w:r>
      <w:r w:rsidRPr="003D156D">
        <w:rPr>
          <w:lang w:val="lv-LV"/>
        </w:rPr>
        <w:t>Degradēto teritoriju atjaunošana</w:t>
      </w:r>
      <w:r>
        <w:rPr>
          <w:lang w:val="lv-LV"/>
        </w:rPr>
        <w:t>” uz 2018.gada 1.janvāri.</w:t>
      </w:r>
    </w:p>
  </w:footnote>
  <w:footnote w:id="9">
    <w:p w:rsidR="00A57E58" w:rsidRPr="00AE5905">
      <w:pPr>
        <w:pStyle w:val="FootnoteText"/>
        <w:rPr>
          <w:lang w:val="lv-LV"/>
        </w:rPr>
      </w:pPr>
      <w:r w:rsidRPr="00AE5905">
        <w:rPr>
          <w:rStyle w:val="FootnoteReference"/>
          <w:lang w:val="lv-LV"/>
        </w:rPr>
        <w:footnoteRef/>
      </w:r>
      <w:r w:rsidRPr="00AE5905">
        <w:rPr>
          <w:lang w:val="lv-LV"/>
        </w:rPr>
        <w:t xml:space="preserve"> Latvijas Lauku attīstības programmas 2014.-2020. gadam ietvaros pasākumā “Pamatpakalpojumi un ciematu atjaunošana lauku apvidos” noteikt tikai viens rezultatīvais rādītājs - </w:t>
      </w:r>
      <w:r w:rsidRPr="00AE5905">
        <w:rPr>
          <w:szCs w:val="24"/>
          <w:lang w:val="lv-LV"/>
        </w:rPr>
        <w:t>sakārtoto ceļu garums lauku teritorijās (km), sk. zemāk darbības rezultātus.</w:t>
      </w:r>
    </w:p>
  </w:footnote>
  <w:footnote w:id="10">
    <w:p w:rsidR="00A57E58" w:rsidRPr="00970FA9" w:rsidP="00F17AEF">
      <w:pPr>
        <w:pStyle w:val="FootnoteText"/>
        <w:jc w:val="both"/>
        <w:rPr>
          <w:lang w:val="lv-LV"/>
        </w:rPr>
      </w:pPr>
      <w:r w:rsidRPr="00970FA9">
        <w:rPr>
          <w:rStyle w:val="FootnoteReference"/>
          <w:lang w:val="lv-LV"/>
        </w:rPr>
        <w:footnoteRef/>
      </w:r>
      <w:r w:rsidRPr="00970FA9">
        <w:rPr>
          <w:lang w:val="lv-LV"/>
        </w:rPr>
        <w:t xml:space="preserve"> Paplašināto vai no jauna izveidoto industriālo zonu/teritoriju platība nacionālas un reģionālas nozīmes attīstības centros vai industriālo zonu platība, kurām uzlabota sasniedzamība (t.sk. kam sakārtoti pievadceļi, inženierkomunikācijas un veikti citi uzlabojumi publiskajā satiksmes infrastruktūrā). Sasniedzamais rezultāts noteikts 15% no VARAM veiktajā nacionālas un reģionālas nozīmes attīstības centru pašvaldību aptaujā konstatētā brīvo platību (5826 ha), kas piemērotas industriālās zonas paplašināšanai/izveidei, apjoma.</w:t>
      </w:r>
    </w:p>
  </w:footnote>
  <w:footnote w:id="11">
    <w:p w:rsidR="00A57E58" w:rsidRPr="00053FE6">
      <w:pPr>
        <w:pStyle w:val="FootnoteText"/>
        <w:rPr>
          <w:lang w:val="lv-LV"/>
        </w:rPr>
      </w:pPr>
      <w:r>
        <w:rPr>
          <w:rStyle w:val="FootnoteReference"/>
        </w:rPr>
        <w:footnoteRef/>
      </w:r>
      <w:r w:rsidRPr="00046E41">
        <w:rPr>
          <w:lang w:val="lv-LV"/>
        </w:rPr>
        <w:t xml:space="preserve"> </w:t>
      </w:r>
      <w:r>
        <w:rPr>
          <w:lang w:val="lv-LV"/>
        </w:rPr>
        <w:t>Plānotais sakārtojamo teritoriju apjoms projektos, kas bija iesniegti vai apstiprināti nacionālas un reģionālas nozīmes centru pašvaldībās 5.6.2. SAM “</w:t>
      </w:r>
      <w:r w:rsidRPr="003D156D">
        <w:rPr>
          <w:lang w:val="lv-LV"/>
        </w:rPr>
        <w:t>Degradēto teritoriju atjaunošana</w:t>
      </w:r>
      <w:r>
        <w:rPr>
          <w:lang w:val="lv-LV"/>
        </w:rPr>
        <w:t>” uz 2018.gada 1.janvāri.</w:t>
      </w:r>
    </w:p>
  </w:footnote>
  <w:footnote w:id="12">
    <w:p w:rsidR="00A57E58" w:rsidRPr="00970FA9" w:rsidP="00F17AEF">
      <w:pPr>
        <w:pStyle w:val="FootnoteText"/>
        <w:jc w:val="both"/>
        <w:rPr>
          <w:lang w:val="lv-LV"/>
        </w:rPr>
      </w:pPr>
      <w:r w:rsidRPr="00970FA9">
        <w:rPr>
          <w:rStyle w:val="FootnoteReference"/>
          <w:lang w:val="lv-LV"/>
        </w:rPr>
        <w:footnoteRef/>
      </w:r>
      <w:r w:rsidRPr="00970FA9">
        <w:rPr>
          <w:lang w:val="lv-LV"/>
        </w:rPr>
        <w:t xml:space="preserve"> Vidēji 1 darbavieta uz 15,5 tūkst. LVL </w:t>
      </w:r>
      <w:r>
        <w:rPr>
          <w:lang w:val="lv-LV"/>
        </w:rPr>
        <w:t xml:space="preserve">(22,1 tūkst. </w:t>
      </w:r>
      <w:r w:rsidRPr="008B1AC0">
        <w:rPr>
          <w:i/>
          <w:lang w:val="lv-LV"/>
        </w:rPr>
        <w:t>euro</w:t>
      </w:r>
      <w:r>
        <w:rPr>
          <w:lang w:val="lv-LV"/>
        </w:rPr>
        <w:t xml:space="preserve">) </w:t>
      </w:r>
      <w:r w:rsidRPr="00970FA9">
        <w:rPr>
          <w:lang w:val="lv-LV"/>
        </w:rPr>
        <w:t>publisko investīciju.</w:t>
      </w:r>
    </w:p>
  </w:footnote>
  <w:footnote w:id="13">
    <w:p w:rsidR="00A57E58" w:rsidRPr="00317159">
      <w:pPr>
        <w:pStyle w:val="FootnoteText"/>
        <w:rPr>
          <w:lang w:val="lv-LV"/>
        </w:rPr>
      </w:pPr>
      <w:r w:rsidRPr="00317159">
        <w:rPr>
          <w:rStyle w:val="FootnoteReference"/>
          <w:lang w:val="lv-LV"/>
        </w:rPr>
        <w:footnoteRef/>
      </w:r>
      <w:r w:rsidRPr="00317159">
        <w:rPr>
          <w:lang w:val="lv-LV"/>
        </w:rPr>
        <w:t xml:space="preserve"> Plānotais jaunradīto darbavietu skaits projektos, kas bija iesniegti vai apstiprināti nacionālas un reģionālas nozīmes centru pašvaldībās 3.3.1. </w:t>
      </w:r>
      <w:r>
        <w:rPr>
          <w:lang w:val="lv-LV"/>
        </w:rPr>
        <w:t>SAM “</w:t>
      </w:r>
      <w:r w:rsidRPr="006660C7">
        <w:rPr>
          <w:lang w:val="lv-LV"/>
        </w:rPr>
        <w:t>Publiskā infrastruktūra uzņēmējdarbībai</w:t>
      </w:r>
      <w:r>
        <w:rPr>
          <w:lang w:val="lv-LV"/>
        </w:rPr>
        <w:t xml:space="preserve">” </w:t>
      </w:r>
      <w:r w:rsidRPr="00317159">
        <w:rPr>
          <w:lang w:val="lv-LV"/>
        </w:rPr>
        <w:t xml:space="preserve">un 5.6.2. SAM </w:t>
      </w:r>
      <w:r>
        <w:rPr>
          <w:lang w:val="lv-LV"/>
        </w:rPr>
        <w:t>“</w:t>
      </w:r>
      <w:r w:rsidRPr="006660C7">
        <w:rPr>
          <w:lang w:val="lv-LV"/>
        </w:rPr>
        <w:t>Degradēto teritoriju atjaunošana</w:t>
      </w:r>
      <w:r>
        <w:rPr>
          <w:lang w:val="lv-LV"/>
        </w:rPr>
        <w:t>” uz 2018</w:t>
      </w:r>
      <w:r w:rsidRPr="00317159">
        <w:rPr>
          <w:lang w:val="lv-LV"/>
        </w:rPr>
        <w:t xml:space="preserve">.gada </w:t>
      </w:r>
      <w:r>
        <w:rPr>
          <w:lang w:val="lv-LV"/>
        </w:rPr>
        <w:t>1.janvāri</w:t>
      </w:r>
      <w:r w:rsidRPr="00317159">
        <w:rPr>
          <w:lang w:val="lv-LV"/>
        </w:rPr>
        <w:t>.</w:t>
      </w:r>
    </w:p>
  </w:footnote>
  <w:footnote w:id="14">
    <w:p w:rsidR="00A57E58" w:rsidRPr="006536F8">
      <w:pPr>
        <w:pStyle w:val="FootnoteText"/>
        <w:rPr>
          <w:lang w:val="lv-LV"/>
        </w:rPr>
      </w:pPr>
      <w:r w:rsidRPr="006536F8">
        <w:rPr>
          <w:rStyle w:val="FootnoteReference"/>
        </w:rPr>
        <w:footnoteRef/>
      </w:r>
      <w:r w:rsidRPr="00046E41">
        <w:rPr>
          <w:lang w:val="lv-LV"/>
        </w:rPr>
        <w:t xml:space="preserve"> Uz 2017.gada 1.augustu.</w:t>
      </w:r>
    </w:p>
  </w:footnote>
  <w:footnote w:id="15">
    <w:p w:rsidR="00A57E58" w:rsidRPr="00970FA9" w:rsidP="00F17AEF">
      <w:pPr>
        <w:pStyle w:val="FootnoteText"/>
        <w:jc w:val="both"/>
        <w:rPr>
          <w:lang w:val="lv-LV"/>
        </w:rPr>
      </w:pPr>
      <w:r w:rsidRPr="00970FA9">
        <w:rPr>
          <w:rStyle w:val="FootnoteReference"/>
          <w:lang w:val="lv-LV"/>
        </w:rPr>
        <w:footnoteRef/>
      </w:r>
      <w:r w:rsidRPr="00970FA9">
        <w:rPr>
          <w:lang w:val="lv-LV"/>
        </w:rPr>
        <w:t xml:space="preserve"> Izsludinātas Valsts sekretāru sanāksmē 2013.gada 18.aprīlī, VSS-376.</w:t>
      </w:r>
    </w:p>
  </w:footnote>
  <w:footnote w:id="16">
    <w:p w:rsidR="00A57E58" w:rsidRPr="006968BF">
      <w:pPr>
        <w:pStyle w:val="FootnoteText"/>
        <w:rPr>
          <w:lang w:val="lv-LV"/>
        </w:rPr>
      </w:pPr>
      <w:r>
        <w:rPr>
          <w:rStyle w:val="FootnoteReference"/>
        </w:rPr>
        <w:footnoteRef/>
      </w:r>
      <w:r w:rsidRPr="00046E41">
        <w:rPr>
          <w:lang w:val="lv-LV"/>
        </w:rPr>
        <w:t xml:space="preserve"> </w:t>
      </w:r>
      <w:r>
        <w:rPr>
          <w:lang w:val="lv-LV"/>
        </w:rPr>
        <w:t xml:space="preserve">2012.gadā 49,7% </w:t>
      </w:r>
    </w:p>
  </w:footnote>
  <w:footnote w:id="17">
    <w:p w:rsidR="00A57E58" w:rsidRPr="00FD0C65" w:rsidP="002A0BB8">
      <w:pPr>
        <w:pStyle w:val="FootnoteText"/>
        <w:jc w:val="both"/>
        <w:rPr>
          <w:lang w:val="lv-LV"/>
        </w:rPr>
      </w:pPr>
      <w:r w:rsidRPr="00FD0C65">
        <w:rPr>
          <w:rStyle w:val="FootnoteReference"/>
          <w:lang w:val="lv-LV"/>
        </w:rPr>
        <w:footnoteRef/>
      </w:r>
      <w:r w:rsidRPr="00FD0C65">
        <w:rPr>
          <w:lang w:val="lv-LV"/>
        </w:rPr>
        <w:t xml:space="preserve"> 5.6.1.SAM </w:t>
      </w:r>
      <w:r>
        <w:rPr>
          <w:lang w:val="lv-LV"/>
        </w:rPr>
        <w:t>“</w:t>
      </w:r>
      <w:r w:rsidRPr="00765F6E">
        <w:rPr>
          <w:lang w:val="lv-LV"/>
        </w:rPr>
        <w:t xml:space="preserve">Rīgas </w:t>
      </w:r>
      <w:r w:rsidRPr="00765F6E">
        <w:rPr>
          <w:lang w:val="lv-LV"/>
        </w:rPr>
        <w:t>revitalizācija</w:t>
      </w:r>
      <w:r>
        <w:rPr>
          <w:lang w:val="lv-LV"/>
        </w:rPr>
        <w:t>”</w:t>
      </w:r>
      <w:r w:rsidRPr="00FD0C65">
        <w:rPr>
          <w:lang w:val="lv-LV"/>
        </w:rPr>
        <w:t xml:space="preserve"> ieviešana tika uzsākta 2016.gada 2.pusē, 2017.gada 1.pusē apstiprināti šādi projekti: „Kultūras un sporta kvartāla izveide Grīziņkalnā” un „VEF Kultūras pils rekonstrukcija”. Ņemot vērā, ka būvdarbi tika uzsākti 2017.gada vasarā, apmeklējuma pieaugums 2016. un 2017.gadā minētajos objektos nav plānots.</w:t>
      </w:r>
    </w:p>
  </w:footnote>
  <w:footnote w:id="18">
    <w:p w:rsidR="00A57E58" w:rsidRPr="00970FA9" w:rsidP="002A0BB8">
      <w:pPr>
        <w:pStyle w:val="FootnoteText"/>
        <w:jc w:val="both"/>
        <w:rPr>
          <w:lang w:val="lv-LV"/>
        </w:rPr>
      </w:pPr>
      <w:r w:rsidRPr="00970FA9">
        <w:rPr>
          <w:rStyle w:val="FootnoteReference"/>
          <w:lang w:val="lv-LV"/>
        </w:rPr>
        <w:footnoteRef/>
      </w:r>
      <w:r w:rsidRPr="00970FA9">
        <w:rPr>
          <w:lang w:val="lv-LV"/>
        </w:rPr>
        <w:t xml:space="preserve"> NAP 2020 definēti šādi nacionāla mēroga objekti </w:t>
      </w:r>
      <w:r>
        <w:rPr>
          <w:lang w:val="lv-LV"/>
        </w:rPr>
        <w:t>– modernās mākslas muzejs, akustiskā koncertzāle un</w:t>
      </w:r>
      <w:r w:rsidRPr="00970FA9">
        <w:rPr>
          <w:lang w:val="lv-LV"/>
        </w:rPr>
        <w:t xml:space="preserve"> Daugavas stadions. Plānotais izveidoto vai attīstīto nacionālās nozīmes </w:t>
      </w:r>
      <w:r>
        <w:rPr>
          <w:lang w:val="lv-LV"/>
        </w:rPr>
        <w:t>multifunkcionālās</w:t>
      </w:r>
      <w:r>
        <w:rPr>
          <w:lang w:val="lv-LV"/>
        </w:rPr>
        <w:t xml:space="preserve"> </w:t>
      </w:r>
      <w:r w:rsidRPr="00970FA9">
        <w:rPr>
          <w:lang w:val="lv-LV"/>
        </w:rPr>
        <w:t xml:space="preserve"> infrastruktūras  objektu apjoms – 74 000 m</w:t>
      </w:r>
      <w:r w:rsidRPr="00970FA9">
        <w:rPr>
          <w:vertAlign w:val="superscript"/>
          <w:lang w:val="lv-LV"/>
        </w:rPr>
        <w:t>2</w:t>
      </w:r>
      <w:r w:rsidRPr="00970FA9">
        <w:rPr>
          <w:lang w:val="lv-LV"/>
        </w:rPr>
        <w:t>.</w:t>
      </w:r>
    </w:p>
  </w:footnote>
  <w:footnote w:id="19">
    <w:p w:rsidR="00A57E58" w:rsidRPr="00AA5C8A" w:rsidP="00046E41">
      <w:pPr>
        <w:pStyle w:val="FootnoteText"/>
        <w:jc w:val="both"/>
        <w:rPr>
          <w:lang w:val="lv-LV"/>
        </w:rPr>
      </w:pPr>
      <w:r w:rsidRPr="00AA5C8A">
        <w:rPr>
          <w:rStyle w:val="FootnoteReference"/>
          <w:lang w:val="lv-LV"/>
        </w:rPr>
        <w:footnoteRef/>
      </w:r>
      <w:r w:rsidRPr="00AA5C8A">
        <w:rPr>
          <w:lang w:val="lv-LV"/>
        </w:rPr>
        <w:t xml:space="preserve"> Pieaugums par 5% attiecībā pret 2012.gada rādītāju.</w:t>
      </w:r>
    </w:p>
  </w:footnote>
  <w:footnote w:id="20">
    <w:p w:rsidR="00A57E58" w:rsidRPr="00AA5C8A" w:rsidP="002A0BB8">
      <w:pPr>
        <w:pStyle w:val="FootnoteText"/>
        <w:jc w:val="both"/>
        <w:rPr>
          <w:lang w:val="lv-LV"/>
        </w:rPr>
      </w:pPr>
      <w:r w:rsidRPr="00AA5C8A">
        <w:rPr>
          <w:rStyle w:val="FootnoteReference"/>
          <w:lang w:val="lv-LV"/>
        </w:rPr>
        <w:footnoteRef/>
      </w:r>
      <w:r w:rsidRPr="00AA5C8A">
        <w:rPr>
          <w:lang w:val="lv-LV"/>
        </w:rPr>
        <w:t xml:space="preserve"> Rādītājs ietver: pašnodarbināto personu, individuālo komersantu, komercsabiedrību un zemnieku un zvejnieku saimniecību skaitu.</w:t>
      </w:r>
    </w:p>
  </w:footnote>
  <w:footnote w:id="21">
    <w:p w:rsidR="00A57E58" w:rsidRPr="00AA5C8A" w:rsidP="002A0BB8">
      <w:pPr>
        <w:pStyle w:val="FootnoteText"/>
        <w:jc w:val="both"/>
        <w:rPr>
          <w:lang w:val="lv-LV"/>
        </w:rPr>
      </w:pPr>
      <w:r w:rsidRPr="00AA5C8A">
        <w:rPr>
          <w:rStyle w:val="FootnoteReference"/>
        </w:rPr>
        <w:footnoteRef/>
      </w:r>
      <w:r w:rsidRPr="00C762BB">
        <w:rPr>
          <w:lang w:val="lv-LV"/>
        </w:rPr>
        <w:t xml:space="preserve"> </w:t>
      </w:r>
      <w:r w:rsidRPr="00AA5C8A">
        <w:rPr>
          <w:lang w:val="lv-LV"/>
        </w:rPr>
        <w:t>1,5% pieaugums gadā</w:t>
      </w:r>
      <w:r>
        <w:rPr>
          <w:lang w:val="lv-LV"/>
        </w:rPr>
        <w:t>, pārrēķināts 2018.gadā pēc CSP sniegtajiem precizējumiem</w:t>
      </w:r>
      <w:r w:rsidRPr="00AA5C8A">
        <w:rPr>
          <w:lang w:val="lv-LV"/>
        </w:rPr>
        <w:t>.</w:t>
      </w:r>
    </w:p>
  </w:footnote>
  <w:footnote w:id="22">
    <w:p w:rsidR="00A57E58" w:rsidRPr="00DC6D04" w:rsidP="002A0BB8">
      <w:pPr>
        <w:pStyle w:val="FootnoteText"/>
        <w:jc w:val="both"/>
        <w:rPr>
          <w:lang w:val="lv-LV"/>
        </w:rPr>
      </w:pPr>
      <w:r>
        <w:rPr>
          <w:rStyle w:val="FootnoteReference"/>
        </w:rPr>
        <w:footnoteRef/>
      </w:r>
      <w:r w:rsidRPr="00046E41">
        <w:rPr>
          <w:lang w:val="lv-LV"/>
        </w:rPr>
        <w:t xml:space="preserve"> </w:t>
      </w:r>
      <w:r w:rsidRPr="0078306C">
        <w:rPr>
          <w:lang w:val="lv-LV"/>
        </w:rPr>
        <w:t>Provizoriskie dati par 2016.gadu</w:t>
      </w:r>
      <w:r w:rsidRPr="00DC6D04">
        <w:rPr>
          <w:lang w:val="lv-LV"/>
        </w:rPr>
        <w:t>.</w:t>
      </w:r>
    </w:p>
  </w:footnote>
  <w:footnote w:id="23">
    <w:p w:rsidR="00A57E58" w:rsidRPr="00970FA9" w:rsidP="00F17AEF">
      <w:pPr>
        <w:pStyle w:val="FootnoteText"/>
        <w:rPr>
          <w:lang w:val="lv-LV"/>
        </w:rPr>
      </w:pPr>
      <w:r w:rsidRPr="00970FA9">
        <w:rPr>
          <w:rStyle w:val="FootnoteReference"/>
          <w:lang w:val="lv-LV"/>
        </w:rPr>
        <w:footnoteRef/>
      </w:r>
      <w:r w:rsidRPr="00970FA9">
        <w:rPr>
          <w:lang w:val="lv-LV"/>
        </w:rPr>
        <w:t xml:space="preserve"> Jāņem vērā, ka šo rādītāju ietekmēs tuvākajos gados plānotā nodokļa likmes samazināšana, līdz ar to paredzēts mērens pieaugums.</w:t>
      </w:r>
    </w:p>
  </w:footnote>
  <w:footnote w:id="24">
    <w:p w:rsidR="00A57E58" w:rsidRPr="00970FA9" w:rsidP="00F17AEF">
      <w:pPr>
        <w:pStyle w:val="FootnoteText"/>
        <w:rPr>
          <w:lang w:val="lv-LV"/>
        </w:rPr>
      </w:pPr>
      <w:r w:rsidRPr="00970FA9">
        <w:rPr>
          <w:rStyle w:val="FootnoteReference"/>
          <w:lang w:val="lv-LV"/>
        </w:rPr>
        <w:footnoteRef/>
      </w:r>
      <w:r w:rsidRPr="00970FA9">
        <w:rPr>
          <w:lang w:val="lv-LV"/>
        </w:rPr>
        <w:t xml:space="preserve"> Pieaugums par 15% attiecībā pret 2012.gada rādītāju.</w:t>
      </w:r>
    </w:p>
  </w:footnote>
  <w:footnote w:id="25">
    <w:p w:rsidR="00A57E58" w:rsidRPr="00970FA9" w:rsidP="00F17AEF">
      <w:pPr>
        <w:snapToGrid w:val="0"/>
        <w:spacing w:after="0" w:line="240" w:lineRule="auto"/>
        <w:jc w:val="both"/>
        <w:rPr>
          <w:rFonts w:ascii="Times New Roman" w:hAnsi="Times New Roman"/>
          <w:sz w:val="20"/>
          <w:szCs w:val="20"/>
        </w:rPr>
      </w:pPr>
      <w:r w:rsidRPr="00970FA9">
        <w:rPr>
          <w:rStyle w:val="FootnoteReference"/>
          <w:rFonts w:ascii="Times New Roman" w:hAnsi="Times New Roman"/>
          <w:sz w:val="20"/>
          <w:szCs w:val="20"/>
        </w:rPr>
        <w:footnoteRef/>
      </w:r>
      <w:r w:rsidRPr="00970FA9">
        <w:rPr>
          <w:rFonts w:ascii="Times New Roman" w:hAnsi="Times New Roman"/>
          <w:sz w:val="20"/>
          <w:szCs w:val="20"/>
        </w:rPr>
        <w:t xml:space="preserve"> 26 LVL</w:t>
      </w:r>
      <w:r>
        <w:rPr>
          <w:rFonts w:ascii="Times New Roman" w:hAnsi="Times New Roman"/>
          <w:sz w:val="20"/>
          <w:szCs w:val="20"/>
        </w:rPr>
        <w:t xml:space="preserve"> (37 </w:t>
      </w:r>
      <w:r w:rsidRPr="008B1AC0">
        <w:rPr>
          <w:rFonts w:ascii="Times New Roman" w:hAnsi="Times New Roman"/>
          <w:i/>
          <w:sz w:val="20"/>
          <w:szCs w:val="20"/>
        </w:rPr>
        <w:t>euro</w:t>
      </w:r>
      <w:r>
        <w:rPr>
          <w:rFonts w:ascii="Times New Roman" w:hAnsi="Times New Roman"/>
          <w:sz w:val="20"/>
          <w:szCs w:val="20"/>
        </w:rPr>
        <w:t>)</w:t>
      </w:r>
      <w:r w:rsidRPr="00970FA9">
        <w:rPr>
          <w:rFonts w:ascii="Times New Roman" w:hAnsi="Times New Roman"/>
          <w:sz w:val="20"/>
          <w:szCs w:val="20"/>
        </w:rPr>
        <w:t>/m</w:t>
      </w:r>
      <w:r w:rsidRPr="00970FA9">
        <w:rPr>
          <w:rFonts w:ascii="Times New Roman" w:hAnsi="Times New Roman"/>
          <w:sz w:val="20"/>
          <w:szCs w:val="20"/>
          <w:vertAlign w:val="superscript"/>
        </w:rPr>
        <w:t>2</w:t>
      </w:r>
      <w:r w:rsidRPr="00970FA9">
        <w:rPr>
          <w:rFonts w:ascii="Times New Roman" w:hAnsi="Times New Roman"/>
          <w:sz w:val="20"/>
          <w:szCs w:val="20"/>
        </w:rPr>
        <w:t xml:space="preserve"> – vidējās izmaksas, t.sk., infrastruktūras izmaksas pieejas nodrošināšanai cilvēkiem ar funkcionāliem traucējumiem.</w:t>
      </w:r>
    </w:p>
  </w:footnote>
  <w:footnote w:id="26">
    <w:p w:rsidR="00A57E58" w:rsidRPr="009E2101">
      <w:pPr>
        <w:pStyle w:val="FootnoteText"/>
        <w:rPr>
          <w:lang w:val="lv-LV"/>
        </w:rPr>
      </w:pPr>
      <w:r>
        <w:rPr>
          <w:rStyle w:val="FootnoteReference"/>
        </w:rPr>
        <w:footnoteRef/>
      </w:r>
      <w:r w:rsidRPr="00046E41">
        <w:rPr>
          <w:lang w:val="lv-LV"/>
        </w:rPr>
        <w:t xml:space="preserve"> </w:t>
      </w:r>
      <w:r>
        <w:rPr>
          <w:lang w:val="lv-LV"/>
        </w:rPr>
        <w:t>Plānotais sakārtojamo teritoriju apjoms projektos, kas bija iesniegti vai apstiprināti Latgales plānošanas reģiona pašvaldībās 5.6.2. SAM 3.kārtas ietvaros uz 2017.gada 1.septembri.</w:t>
      </w:r>
    </w:p>
  </w:footnote>
  <w:footnote w:id="27">
    <w:p w:rsidR="00A57E58" w:rsidRPr="00970FA9" w:rsidP="00F17AEF">
      <w:pPr>
        <w:pStyle w:val="FootnoteText"/>
        <w:rPr>
          <w:lang w:val="lv-LV"/>
        </w:rPr>
      </w:pPr>
      <w:r w:rsidRPr="00970FA9">
        <w:rPr>
          <w:rStyle w:val="FootnoteReference"/>
          <w:lang w:val="lv-LV"/>
        </w:rPr>
        <w:footnoteRef/>
      </w:r>
      <w:r w:rsidRPr="00970FA9">
        <w:rPr>
          <w:lang w:val="lv-LV"/>
        </w:rPr>
        <w:t xml:space="preserve"> Vidēji 1 darbavieta uz 50 tūkst. LVL </w:t>
      </w:r>
      <w:r>
        <w:rPr>
          <w:lang w:val="lv-LV"/>
        </w:rPr>
        <w:t xml:space="preserve">(71 tūkst. </w:t>
      </w:r>
      <w:r w:rsidRPr="008B1AC0">
        <w:rPr>
          <w:i/>
          <w:lang w:val="lv-LV"/>
        </w:rPr>
        <w:t>euro</w:t>
      </w:r>
      <w:r>
        <w:rPr>
          <w:lang w:val="lv-LV"/>
        </w:rPr>
        <w:t xml:space="preserve">) </w:t>
      </w:r>
      <w:r w:rsidRPr="00970FA9">
        <w:rPr>
          <w:lang w:val="lv-LV"/>
        </w:rPr>
        <w:t>publisko investīciju.</w:t>
      </w:r>
    </w:p>
  </w:footnote>
  <w:footnote w:id="28">
    <w:p w:rsidR="00A57E58" w:rsidRPr="00F24287">
      <w:pPr>
        <w:pStyle w:val="FootnoteText"/>
        <w:rPr>
          <w:lang w:val="lv-LV"/>
        </w:rPr>
      </w:pPr>
      <w:r>
        <w:rPr>
          <w:rStyle w:val="FootnoteReference"/>
        </w:rPr>
        <w:footnoteRef/>
      </w:r>
      <w:r w:rsidRPr="00046E41">
        <w:rPr>
          <w:lang w:val="lv-LV"/>
        </w:rPr>
        <w:t xml:space="preserve"> </w:t>
      </w:r>
      <w:r w:rsidRPr="00317159">
        <w:rPr>
          <w:lang w:val="lv-LV"/>
        </w:rPr>
        <w:t xml:space="preserve">Plānotais jaunradīto darbavietu skaits projektos, kas bija iesniegti vai apstiprināti </w:t>
      </w:r>
      <w:r>
        <w:rPr>
          <w:lang w:val="lv-LV"/>
        </w:rPr>
        <w:t xml:space="preserve">Latgales plānošanas reģiona </w:t>
      </w:r>
      <w:r w:rsidRPr="00317159">
        <w:rPr>
          <w:lang w:val="lv-LV"/>
        </w:rPr>
        <w:t xml:space="preserve">pašvaldībās 5.6.2. SAM </w:t>
      </w:r>
      <w:r>
        <w:rPr>
          <w:lang w:val="lv-LV"/>
        </w:rPr>
        <w:t xml:space="preserve">3.kārtā </w:t>
      </w:r>
      <w:r w:rsidRPr="00317159">
        <w:rPr>
          <w:lang w:val="lv-LV"/>
        </w:rPr>
        <w:t>uz 2017.gada 1.septembri</w:t>
      </w:r>
      <w:r>
        <w:rPr>
          <w:lang w:val="lv-LV"/>
        </w:rPr>
        <w:t>.</w:t>
      </w:r>
    </w:p>
  </w:footnote>
  <w:footnote w:id="29">
    <w:p w:rsidR="00A57E58" w:rsidRPr="00574662">
      <w:pPr>
        <w:pStyle w:val="FootnoteText"/>
        <w:rPr>
          <w:lang w:val="lv-LV"/>
        </w:rPr>
      </w:pPr>
      <w:r>
        <w:rPr>
          <w:rStyle w:val="FootnoteReference"/>
        </w:rPr>
        <w:footnoteRef/>
      </w:r>
      <w:r w:rsidRPr="00046E41">
        <w:rPr>
          <w:lang w:val="lv-LV"/>
        </w:rPr>
        <w:t xml:space="preserve"> </w:t>
      </w:r>
      <w:r>
        <w:rPr>
          <w:lang w:val="lv-LV"/>
        </w:rPr>
        <w:t>5.5.1. SAM īstenošanas ietvaros netiek uzkrāta informācija par jaunradītajām vai saglabātajām darba vietām.</w:t>
      </w:r>
    </w:p>
  </w:footnote>
  <w:footnote w:id="30">
    <w:p w:rsidR="00A57E58" w:rsidRPr="00970FA9" w:rsidP="00F17AEF">
      <w:pPr>
        <w:pStyle w:val="FootnoteText"/>
        <w:jc w:val="both"/>
        <w:rPr>
          <w:lang w:val="lv-LV"/>
        </w:rPr>
      </w:pPr>
      <w:r w:rsidRPr="00970FA9">
        <w:rPr>
          <w:rStyle w:val="FootnoteReference"/>
          <w:lang w:val="lv-LV"/>
        </w:rPr>
        <w:footnoteRef/>
      </w:r>
      <w:r w:rsidRPr="00970FA9">
        <w:rPr>
          <w:lang w:val="lv-LV"/>
        </w:rPr>
        <w:t xml:space="preserve"> Uz šo politikas rezultātu attiecas arī rezultatīvie rādītāji un darbības rezultāti, kas noteikti 1.1.politikas rezultātam – attiecīgās darbības ietvertas vienā darbības programmas projekta sadaļā un ir savstarpēji papildinošas.</w:t>
      </w:r>
    </w:p>
  </w:footnote>
  <w:footnote w:id="31">
    <w:p w:rsidR="00A57E58" w:rsidRPr="00A67171" w:rsidP="00A57E58">
      <w:pPr>
        <w:pStyle w:val="FootnoteText"/>
        <w:rPr>
          <w:lang w:val="lv-LV"/>
        </w:rPr>
      </w:pPr>
      <w:r>
        <w:rPr>
          <w:rStyle w:val="FootnoteReference"/>
        </w:rPr>
        <w:footnoteRef/>
      </w:r>
      <w:r w:rsidRPr="00046E41">
        <w:rPr>
          <w:lang w:val="lv-LV"/>
        </w:rPr>
        <w:t xml:space="preserve"> </w:t>
      </w:r>
      <w:r w:rsidRPr="00A67171">
        <w:rPr>
          <w:lang w:val="lv-LV"/>
        </w:rPr>
        <w:t>Provizoriskie dati par 2016.gadu</w:t>
      </w:r>
      <w:r>
        <w:rPr>
          <w:lang w:val="lv-LV"/>
        </w:rPr>
        <w:t>.</w:t>
      </w:r>
    </w:p>
  </w:footnote>
  <w:footnote w:id="32">
    <w:p w:rsidR="00A57E58" w:rsidRPr="00970FA9" w:rsidP="002A0BB8">
      <w:pPr>
        <w:pStyle w:val="FootnoteText"/>
        <w:jc w:val="both"/>
        <w:rPr>
          <w:lang w:val="lv-LV"/>
        </w:rPr>
      </w:pPr>
      <w:r w:rsidRPr="00970FA9">
        <w:rPr>
          <w:rStyle w:val="FootnoteReference"/>
          <w:lang w:val="lv-LV"/>
        </w:rPr>
        <w:footnoteRef/>
      </w:r>
      <w:r w:rsidRPr="00970FA9">
        <w:rPr>
          <w:lang w:val="lv-LV"/>
        </w:rPr>
        <w:t xml:space="preserve"> Mērījums tiks attiecināts uz pašvaldību funkcijām, kas ir spēkā pamatnostādņu apstiprināšanas brīdī. Sagatavojot pamatnostādņu īstenošanas starpposma novērtējumu, tiks norādīts pa jomām, par cik </w:t>
      </w:r>
      <w:r>
        <w:rPr>
          <w:lang w:val="lv-LV"/>
        </w:rPr>
        <w:t xml:space="preserve">vienībām </w:t>
      </w:r>
      <w:r w:rsidRPr="00970FA9">
        <w:rPr>
          <w:lang w:val="lv-LV"/>
        </w:rPr>
        <w:t>samazinājies dokumentu skaits.</w:t>
      </w:r>
    </w:p>
  </w:footnote>
  <w:footnote w:id="33">
    <w:p w:rsidR="00A57E58" w:rsidRPr="002F0339" w:rsidP="002A0BB8">
      <w:pPr>
        <w:pStyle w:val="FootnoteText"/>
        <w:jc w:val="both"/>
        <w:rPr>
          <w:lang w:val="lv-LV"/>
        </w:rPr>
      </w:pPr>
      <w:r>
        <w:rPr>
          <w:rStyle w:val="FootnoteReference"/>
        </w:rPr>
        <w:footnoteRef/>
      </w:r>
      <w:r w:rsidRPr="00046E41">
        <w:rPr>
          <w:lang w:val="lv-LV"/>
        </w:rPr>
        <w:t xml:space="preserve"> </w:t>
      </w:r>
      <w:r w:rsidRPr="002F0339">
        <w:rPr>
          <w:lang w:val="lv-LV"/>
        </w:rPr>
        <w:t>Mērījumi administratīvo procedūru skaita noteikšanai VARAM ierobežotās kapacitātes dēļ netiek veikti.</w:t>
      </w:r>
    </w:p>
  </w:footnote>
  <w:footnote w:id="34">
    <w:p w:rsidR="00A57E58" w:rsidRPr="00970FA9" w:rsidP="002A0BB8">
      <w:pPr>
        <w:pStyle w:val="FootnoteText"/>
        <w:jc w:val="both"/>
        <w:rPr>
          <w:lang w:val="lv-LV"/>
        </w:rPr>
      </w:pPr>
      <w:r w:rsidRPr="00970FA9">
        <w:rPr>
          <w:rStyle w:val="FootnoteReference"/>
          <w:lang w:val="lv-LV"/>
        </w:rPr>
        <w:footnoteRef/>
      </w:r>
      <w:r w:rsidRPr="00970FA9">
        <w:rPr>
          <w:lang w:val="lv-LV"/>
        </w:rPr>
        <w:t xml:space="preserve"> Finansējuma saņēmējam tiek dota iespēja stiprināt kapacitāti darbam ar uzņēmējiem, bet šī nav obligāti projektā iekļaujamā darbība.</w:t>
      </w:r>
    </w:p>
  </w:footnote>
  <w:footnote w:id="35">
    <w:p w:rsidR="00A57E58" w:rsidRPr="00970FA9" w:rsidP="002A0BB8">
      <w:pPr>
        <w:pStyle w:val="FootnoteText"/>
        <w:jc w:val="both"/>
        <w:rPr>
          <w:lang w:val="lv-LV"/>
        </w:rPr>
      </w:pPr>
      <w:r w:rsidRPr="00970FA9">
        <w:rPr>
          <w:rStyle w:val="FootnoteReference"/>
          <w:lang w:val="lv-LV"/>
        </w:rPr>
        <w:footnoteRef/>
      </w:r>
      <w:r w:rsidRPr="00970FA9">
        <w:rPr>
          <w:lang w:val="lv-LV"/>
        </w:rPr>
        <w:t xml:space="preserve"> Vidēji divi speciālisti katrā nacionālas un reģionālas nozīmes attīstības centrā.</w:t>
      </w:r>
    </w:p>
  </w:footnote>
  <w:footnote w:id="36">
    <w:p w:rsidR="00A57E58" w:rsidRPr="00A5228D" w:rsidP="002A0BB8">
      <w:pPr>
        <w:pStyle w:val="FootnoteText"/>
        <w:jc w:val="both"/>
        <w:rPr>
          <w:lang w:val="lv-LV"/>
        </w:rPr>
      </w:pPr>
      <w:r>
        <w:rPr>
          <w:rStyle w:val="FootnoteReference"/>
        </w:rPr>
        <w:footnoteRef/>
      </w:r>
      <w:r w:rsidRPr="00046E41">
        <w:rPr>
          <w:lang w:val="lv-LV"/>
        </w:rPr>
        <w:t xml:space="preserve"> </w:t>
      </w:r>
      <w:r>
        <w:rPr>
          <w:lang w:val="lv-LV"/>
        </w:rPr>
        <w:t>NFI projekta ietvaros</w:t>
      </w:r>
      <w:r w:rsidRPr="00A5228D">
        <w:rPr>
          <w:lang w:val="lv-LV"/>
        </w:rPr>
        <w:t xml:space="preserve"> 2015.gadā tika nodrošināta 466 speciālistu apmācība programmā “Zināšanu eņģeļi”; mērķis bija stiprināt pašvaldību darbinieku kapacitāti to spējām patstāvīgi sniegt konsultatīvu atbalstu par konkurētspējīgas uzņēmējdarbības izveides un attīstības pamatprincipiem, jaunu biznesa modeļu formām idejas komercializēšanai, risku pārvaldību uzņēmējdarbībā, radošas domāšanas metodēm biznesa idejas pilnveidei, investīciju piesaistes un inovācijas atbalsta instrumentiem u.c. jautājumiem.</w:t>
      </w:r>
    </w:p>
  </w:footnote>
  <w:footnote w:id="37">
    <w:p w:rsidR="00A57E58" w:rsidRPr="008F5879" w:rsidP="002A0BB8">
      <w:pPr>
        <w:pStyle w:val="FootnoteText"/>
        <w:jc w:val="both"/>
        <w:rPr>
          <w:lang w:val="lv-LV"/>
        </w:rPr>
      </w:pPr>
      <w:r>
        <w:rPr>
          <w:rStyle w:val="FootnoteReference"/>
        </w:rPr>
        <w:footnoteRef/>
      </w:r>
      <w:r w:rsidRPr="00046E41">
        <w:rPr>
          <w:lang w:val="lv-LV"/>
        </w:rPr>
        <w:t xml:space="preserve"> </w:t>
      </w:r>
      <w:r w:rsidRPr="008F5879">
        <w:rPr>
          <w:lang w:val="lv-LV"/>
        </w:rPr>
        <w:t>Izstrādāti 32 investīciju materiāli (kopā ar 2017.gadu, kad tika izstrādāti pēdējie investīciju piedāvājumi). No tiem 7 materiāli izstrādāti Vidzemes reģionam, 5 Zemgales reģionam, 6 Rīgas reģionam, 7 Kurzemes reģionam un 7 Latgales reģionam.  Investīciju piesaistes materiālu izstrādes mērķis ir palīdzēt pašvaldībai apzināt savas iespējas, izvērtējot konkrētā objekta potenciālu investīciju piesaistei.</w:t>
      </w:r>
    </w:p>
  </w:footnote>
  <w:footnote w:id="38">
    <w:p w:rsidR="00A57E58" w:rsidRPr="00970FA9" w:rsidP="002A0BB8">
      <w:pPr>
        <w:pStyle w:val="FootnoteText"/>
        <w:jc w:val="both"/>
        <w:rPr>
          <w:lang w:val="lv-LV"/>
        </w:rPr>
      </w:pPr>
      <w:r w:rsidRPr="00970FA9">
        <w:rPr>
          <w:rStyle w:val="FootnoteReference"/>
          <w:lang w:val="lv-LV"/>
        </w:rPr>
        <w:footnoteRef/>
      </w:r>
      <w:r w:rsidRPr="00970FA9">
        <w:rPr>
          <w:lang w:val="lv-LV"/>
        </w:rPr>
        <w:t xml:space="preserve"> 2012.gada 11.septembrī Norvēģijas Ārlietu ministrija apstiprināja Norvēģijas finanšu instrumenta 2009.-2014.gadam programmu LV07 „Kapacitātes stiprināšana un institucionālā sadarbība starp Latvijas un Norvēģijas valsts institūcijām, vietējām un reģionālajām iestādēm”. Programmas ietvaros VARAM realizē iepriekš noteiktu projektu „Reģionālās politikas aktivitāšu īstenošana Latvijā un reģionālās attīstības pasākumu izs</w:t>
      </w:r>
      <w:r>
        <w:rPr>
          <w:lang w:val="lv-LV"/>
        </w:rPr>
        <w:t>trāde” ar kopējo finansējumu</w:t>
      </w:r>
      <w:r w:rsidRPr="00970FA9">
        <w:rPr>
          <w:lang w:val="lv-LV"/>
        </w:rPr>
        <w:t xml:space="preserve"> 1 172</w:t>
      </w:r>
      <w:r>
        <w:rPr>
          <w:lang w:val="lv-LV"/>
        </w:rPr>
        <w:t> </w:t>
      </w:r>
      <w:r w:rsidRPr="00970FA9">
        <w:rPr>
          <w:lang w:val="lv-LV"/>
        </w:rPr>
        <w:t>029</w:t>
      </w:r>
      <w:r>
        <w:rPr>
          <w:lang w:val="lv-LV"/>
        </w:rPr>
        <w:t xml:space="preserve"> </w:t>
      </w:r>
      <w:r w:rsidRPr="0074005F">
        <w:rPr>
          <w:i/>
          <w:lang w:val="lv-LV"/>
        </w:rPr>
        <w:t>euro</w:t>
      </w:r>
      <w:r w:rsidRPr="00970FA9">
        <w:rPr>
          <w:lang w:val="lv-LV"/>
        </w:rPr>
        <w:t>.</w:t>
      </w:r>
    </w:p>
  </w:footnote>
  <w:footnote w:id="39">
    <w:p w:rsidR="00A57E58" w:rsidRPr="00F00F88" w:rsidP="002A0BB8">
      <w:pPr>
        <w:pStyle w:val="FootnoteText"/>
        <w:jc w:val="both"/>
        <w:rPr>
          <w:lang w:val="lv-LV"/>
        </w:rPr>
      </w:pPr>
      <w:r>
        <w:rPr>
          <w:rStyle w:val="FootnoteReference"/>
        </w:rPr>
        <w:footnoteRef/>
      </w:r>
      <w:r w:rsidRPr="00046E41">
        <w:rPr>
          <w:lang w:val="lv-LV"/>
        </w:rPr>
        <w:t xml:space="preserve"> </w:t>
      </w:r>
      <w:r>
        <w:rPr>
          <w:lang w:val="lv-LV"/>
        </w:rPr>
        <w:t xml:space="preserve">LUC sniegto konsultāciju </w:t>
      </w:r>
      <w:r w:rsidRPr="00F00F88">
        <w:rPr>
          <w:iCs/>
          <w:lang w:val="lv-LV"/>
        </w:rPr>
        <w:t>klātienē, e-pastā, pa tālruni par uzņēmējdarbības atbalsta iespējām</w:t>
      </w:r>
      <w:r w:rsidRPr="00F00F88">
        <w:rPr>
          <w:lang w:val="lv-LV"/>
        </w:rPr>
        <w:t xml:space="preserve"> </w:t>
      </w:r>
      <w:r>
        <w:rPr>
          <w:lang w:val="lv-LV"/>
        </w:rPr>
        <w:t>skaits.</w:t>
      </w:r>
    </w:p>
  </w:footnote>
  <w:footnote w:id="40">
    <w:p w:rsidR="00A57E58" w:rsidRPr="009C313D" w:rsidP="002A0BB8">
      <w:pPr>
        <w:pStyle w:val="FootnoteText"/>
        <w:jc w:val="both"/>
        <w:rPr>
          <w:lang w:val="lv-LV"/>
        </w:rPr>
      </w:pPr>
      <w:r>
        <w:rPr>
          <w:rStyle w:val="FootnoteReference"/>
        </w:rPr>
        <w:footnoteRef/>
      </w:r>
      <w:r w:rsidRPr="00046E41">
        <w:rPr>
          <w:lang w:val="lv-LV"/>
        </w:rPr>
        <w:t xml:space="preserve"> </w:t>
      </w:r>
      <w:r w:rsidRPr="009C313D">
        <w:rPr>
          <w:lang w:val="lv-LV"/>
        </w:rPr>
        <w:t>Normatīvo aktu sagatavošanas un atzinumu sniegšanas procesā par citu institūciju sagatavotajiem normatīvajiem aktiem tiek vērsta uzmanība uz administratīvā sloga mazināšanu. Kā būtisks piemērs ir Latgales speciālas ekonomiskās zonas likums, kas izstrādāts atbilstoši labajai praksei, pēc iespējas minimizējot administratīvo slogu kā pakalpojuma sniedzējiem, tā pakalpojuma saņēmējiem.</w:t>
      </w:r>
    </w:p>
  </w:footnote>
  <w:footnote w:id="41">
    <w:p w:rsidR="00A57E58" w:rsidRPr="00970FA9" w:rsidP="002A0BB8">
      <w:pPr>
        <w:pStyle w:val="FootnoteText"/>
        <w:jc w:val="both"/>
        <w:rPr>
          <w:lang w:val="lv-LV"/>
        </w:rPr>
      </w:pPr>
      <w:r w:rsidRPr="00970FA9">
        <w:rPr>
          <w:rStyle w:val="FootnoteReference"/>
          <w:lang w:val="lv-LV"/>
        </w:rPr>
        <w:footnoteRef/>
      </w:r>
      <w:r w:rsidRPr="00970FA9">
        <w:rPr>
          <w:lang w:val="lv-LV"/>
        </w:rPr>
        <w:t xml:space="preserve"> Visu pašvaldību vadītāju atbildes uz pašnovērtējumā ietverto jautājumu „Vai pašvaldībai ir pietiekami finanšu līdzekļi savu autonomo funkciju veikšanai?” (</w:t>
      </w:r>
      <w:r w:rsidRPr="00970FA9">
        <w:rPr>
          <w:i/>
          <w:lang w:val="lv-LV"/>
        </w:rPr>
        <w:t>Pētījums „</w:t>
      </w:r>
      <w:r w:rsidRPr="00DE34D5">
        <w:rPr>
          <w:i/>
          <w:lang w:val="lv-LV"/>
        </w:rPr>
        <w:t>Latvijas vietējo pašvaldību pašvērtējumi 2012.gadā</w:t>
      </w:r>
      <w:r w:rsidRPr="00970FA9">
        <w:rPr>
          <w:i/>
          <w:lang w:val="lv-LV"/>
        </w:rPr>
        <w:t>”.</w:t>
      </w:r>
      <w:r w:rsidRPr="00970FA9">
        <w:rPr>
          <w:lang w:val="lv-LV"/>
        </w:rPr>
        <w:t xml:space="preserve"> Rīga, CSP, 2012.)</w:t>
      </w:r>
    </w:p>
  </w:footnote>
  <w:footnote w:id="42">
    <w:p w:rsidR="00A57E58" w:rsidRPr="000B058C" w:rsidP="002A0BB8">
      <w:pPr>
        <w:pStyle w:val="FootnoteText"/>
        <w:jc w:val="both"/>
        <w:rPr>
          <w:lang w:val="lv-LV"/>
        </w:rPr>
      </w:pPr>
      <w:r>
        <w:rPr>
          <w:rStyle w:val="FootnoteReference"/>
        </w:rPr>
        <w:footnoteRef/>
      </w:r>
      <w:r w:rsidRPr="00046E41">
        <w:rPr>
          <w:lang w:val="lv-LV"/>
        </w:rPr>
        <w:t xml:space="preserve"> </w:t>
      </w:r>
      <w:r>
        <w:rPr>
          <w:lang w:val="lv-LV"/>
        </w:rPr>
        <w:t>Pēdējais pašvaldību pašnovērtējuma ziņojums tika sagatavots 2013.gadā.</w:t>
      </w:r>
    </w:p>
  </w:footnote>
  <w:footnote w:id="43">
    <w:p w:rsidR="00A57E58" w:rsidRPr="003C3BAE" w:rsidP="002A0BB8">
      <w:pPr>
        <w:pStyle w:val="FootnoteText"/>
        <w:jc w:val="both"/>
        <w:rPr>
          <w:lang w:val="lv-LV"/>
        </w:rPr>
      </w:pPr>
      <w:r w:rsidRPr="003C3BAE">
        <w:rPr>
          <w:rStyle w:val="FootnoteReference"/>
          <w:lang w:val="lv-LV"/>
        </w:rPr>
        <w:footnoteRef/>
      </w:r>
      <w:r w:rsidRPr="003C3BAE">
        <w:rPr>
          <w:lang w:val="lv-LV"/>
        </w:rPr>
        <w:t xml:space="preserve"> </w:t>
      </w:r>
      <w:r w:rsidRPr="008A0E93">
        <w:rPr>
          <w:lang w:val="lv-LV"/>
        </w:rPr>
        <w:t>Uz Finanšu ministrijas izstrādātajiem pašvaldību finanšu izlīdzināšanas modeļa pamatprincipiem balstītais likumprojekts “Pašvaldību finanšu izlīdzināšanas likums”, kas tika pieņemts Saeimā 2015.gada 4.jūnijā, stājies spēkā 2015.gada 2.jūlijā. Jauna pašvaldību finanšu izlīdzināšanas modeļa izstrādes procesa ietvaros tika saglabāti esošās pašvaldību finanšu izlīdzināšanas sistēmas laika gaitā pārbaudītās pamatvērtības, kā arī ieviesti pilnīgi jauni inovatīvi risinājumi. Jaunais pašvaldību finanšu izlīdzināšanas aprēķins tika piemērots sākot ar 2016.gadu</w:t>
      </w:r>
      <w:r w:rsidRPr="00046E41">
        <w:rPr>
          <w:lang w:val="lv-LV"/>
        </w:rPr>
        <w:t>.</w:t>
      </w:r>
    </w:p>
  </w:footnote>
  <w:footnote w:id="44">
    <w:p w:rsidR="00A57E58" w:rsidRPr="00970FA9" w:rsidP="002A0BB8">
      <w:pPr>
        <w:pStyle w:val="FootnoteText"/>
        <w:jc w:val="both"/>
        <w:rPr>
          <w:lang w:val="lv-LV"/>
        </w:rPr>
      </w:pPr>
      <w:r w:rsidRPr="00970FA9">
        <w:rPr>
          <w:rStyle w:val="FootnoteReference"/>
          <w:lang w:val="lv-LV"/>
        </w:rPr>
        <w:footnoteRef/>
      </w:r>
      <w:r w:rsidRPr="00970FA9">
        <w:rPr>
          <w:lang w:val="lv-LV"/>
        </w:rPr>
        <w:t xml:space="preserve"> Bērnu skaits, kas reģistrējušies uzņemšanai pašvaldības pirmsskolas izglītības iestādē. Tajā ieskaitīti arī bērni, kuri izglītojas privātajās pirmskolas izglītības iestādēs, bet vēlas izglītoties pašvaldības pirmskolas izglītības iestādē. Dati iegūti VARAM 2012.gadā veiktajā pašvaldību aptaujā.</w:t>
      </w:r>
    </w:p>
  </w:footnote>
  <w:footnote w:id="45">
    <w:p w:rsidR="00A57E58" w:rsidRPr="00C25259">
      <w:pPr>
        <w:pStyle w:val="FootnoteText"/>
        <w:rPr>
          <w:lang w:val="lv-LV"/>
        </w:rPr>
      </w:pPr>
      <w:r w:rsidRPr="00C25259">
        <w:rPr>
          <w:rStyle w:val="FootnoteReference"/>
          <w:lang w:val="lv-LV"/>
        </w:rPr>
        <w:footnoteRef/>
      </w:r>
      <w:r w:rsidRPr="00C25259">
        <w:rPr>
          <w:lang w:val="lv-LV"/>
        </w:rPr>
        <w:t xml:space="preserve"> Rindas uz vietu pašvaldību </w:t>
      </w:r>
      <w:r>
        <w:rPr>
          <w:lang w:val="lv-LV"/>
        </w:rPr>
        <w:t>pirmsskolas izglītības iestādēs 2017.gada maijā.</w:t>
      </w:r>
    </w:p>
  </w:footnote>
  <w:footnote w:id="46">
    <w:p w:rsidR="00A57E58" w:rsidRPr="000516C8" w:rsidP="002A0BB8">
      <w:pPr>
        <w:pStyle w:val="FootnoteText"/>
        <w:jc w:val="both"/>
        <w:rPr>
          <w:lang w:val="lv-LV"/>
        </w:rPr>
      </w:pPr>
      <w:r w:rsidRPr="000516C8">
        <w:rPr>
          <w:rStyle w:val="FootnoteReference"/>
        </w:rPr>
        <w:footnoteRef/>
      </w:r>
      <w:r w:rsidRPr="00046E41">
        <w:rPr>
          <w:lang w:val="lv-LV"/>
        </w:rPr>
        <w:t xml:space="preserve"> </w:t>
      </w:r>
      <w:r w:rsidRPr="000516C8">
        <w:rPr>
          <w:bCs/>
          <w:lang w:val="lv-LV"/>
        </w:rPr>
        <w:t>Ministru kabineta </w:t>
      </w:r>
      <w:r>
        <w:rPr>
          <w:bCs/>
          <w:lang w:val="lv-LV"/>
        </w:rPr>
        <w:t>2015.gada 8.</w:t>
      </w:r>
      <w:r w:rsidRPr="000516C8">
        <w:rPr>
          <w:bCs/>
          <w:lang w:val="lv-LV"/>
        </w:rPr>
        <w:t>decembra noteikumi Nr. 709 “Noteikumi par izmaksu noteikšanas metodiku un kārtību, kādā pašvaldība atbilstoši tās noteiktajām vidējām izmaksām sedz pirmsskolas izglītības programmas izmaksas privātai izglītības iestādei”</w:t>
      </w:r>
      <w:r>
        <w:rPr>
          <w:bCs/>
          <w:lang w:val="lv-LV"/>
        </w:rPr>
        <w:t>.</w:t>
      </w:r>
    </w:p>
  </w:footnote>
  <w:footnote w:id="47">
    <w:p w:rsidR="00A57E58" w:rsidRPr="00C473E7" w:rsidP="002A0BB8">
      <w:pPr>
        <w:pStyle w:val="FootnoteText"/>
        <w:jc w:val="both"/>
        <w:rPr>
          <w:lang w:val="lv-LV"/>
        </w:rPr>
      </w:pPr>
      <w:r w:rsidRPr="00C473E7">
        <w:rPr>
          <w:rStyle w:val="FootnoteReference"/>
          <w:lang w:val="lv-LV"/>
        </w:rPr>
        <w:footnoteRef/>
      </w:r>
      <w:r>
        <w:rPr>
          <w:lang w:val="lv-LV"/>
        </w:rPr>
        <w:t xml:space="preserve"> </w:t>
      </w:r>
      <w:r w:rsidRPr="00343DE2">
        <w:rPr>
          <w:lang w:val="lv-LV"/>
        </w:rPr>
        <w:t>2015.gadā ar galvenajiem datu lietotājiem (LPS, VARAM) tika panākta vienošanās, ka viņi izmantos PMLP informāciju attiecībā uz 2 rādītājiem. Līdz ar to 7 rādītāju vietā CSP jānodrošina 5 un to,</w:t>
      </w:r>
      <w:r>
        <w:rPr>
          <w:lang w:val="lv-LV"/>
        </w:rPr>
        <w:t xml:space="preserve"> </w:t>
      </w:r>
      <w:r w:rsidRPr="00343DE2">
        <w:rPr>
          <w:lang w:val="lv-LV"/>
        </w:rPr>
        <w:t>sākot ar VSIP 2016.gadam, CSP ir nodrošinājusi (CSP datubāzēs ir publicēti 5 papildu rādītāji, bez papildu finansējuma).</w:t>
      </w:r>
    </w:p>
  </w:footnote>
  <w:footnote w:id="48">
    <w:p w:rsidR="00A57E58" w:rsidRPr="00756549" w:rsidP="002A0BB8">
      <w:pPr>
        <w:pStyle w:val="FootnoteText"/>
        <w:jc w:val="both"/>
        <w:rPr>
          <w:lang w:val="lv-LV"/>
        </w:rPr>
      </w:pPr>
      <w:r w:rsidRPr="00756549">
        <w:rPr>
          <w:rStyle w:val="FootnoteReference"/>
          <w:lang w:val="lv-LV"/>
        </w:rPr>
        <w:footnoteRef/>
      </w:r>
      <w:r w:rsidRPr="00756549">
        <w:rPr>
          <w:lang w:val="lv-LV"/>
        </w:rPr>
        <w:t xml:space="preserve"> Ņemot vērā dažādus apstākļus (normatīvā regulējuma ierobežojumi attiecībā uz oficiālo statistiku, finanšu līdzekļu trūkums, u.tml.) jauni statistikas dati pēc iespējas zemākā teritoriālā līmenī netiek nodrošināti atbilstoši VARAM un pašvaldību, kā arī reģionu vajadzībām. </w:t>
      </w:r>
    </w:p>
    <w:p w:rsidR="00A57E58" w:rsidRPr="00756549" w:rsidP="002A0BB8">
      <w:pPr>
        <w:pStyle w:val="FootnoteText"/>
        <w:jc w:val="both"/>
        <w:rPr>
          <w:lang w:val="lv-LV"/>
        </w:rPr>
      </w:pPr>
      <w:r w:rsidRPr="00756549">
        <w:rPr>
          <w:lang w:val="lv-LV"/>
        </w:rPr>
        <w:t>Vienlaikus Oficiālās statistikas programmas 2018.-2020. saskaņošanas procesā tika panākta vienošanās, ka VARAM un LPS ir aicināti iesniegt priekšlikumus konkrētu rādītāju nodrošināšanai pašvaldību līmenī (republikas pilsētu un novadu, kā arī to pagastu un pilsētu), lai varētu izvērtēt to nodrošināšanas iespējas Oficiālajā statistikas programmā 2019. –2021. gadam.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6412992"/>
      <w:docPartObj>
        <w:docPartGallery w:val="Page Numbers (Top of Page)"/>
        <w:docPartUnique/>
      </w:docPartObj>
    </w:sdtPr>
    <w:sdtEndPr>
      <w:rPr>
        <w:rFonts w:ascii="Times New Roman" w:hAnsi="Times New Roman"/>
        <w:noProof/>
        <w:sz w:val="24"/>
        <w:szCs w:val="24"/>
      </w:rPr>
    </w:sdtEndPr>
    <w:sdtContent>
      <w:p w:rsidR="00A57E58" w:rsidRPr="003F6CD7">
        <w:pPr>
          <w:pStyle w:val="Header"/>
          <w:jc w:val="center"/>
          <w:rPr>
            <w:rFonts w:ascii="Times New Roman" w:hAnsi="Times New Roman"/>
            <w:sz w:val="24"/>
            <w:szCs w:val="24"/>
          </w:rPr>
        </w:pPr>
        <w:r w:rsidRPr="003F6CD7">
          <w:rPr>
            <w:rFonts w:ascii="Times New Roman" w:hAnsi="Times New Roman"/>
            <w:sz w:val="24"/>
            <w:szCs w:val="24"/>
          </w:rPr>
          <w:fldChar w:fldCharType="begin"/>
        </w:r>
        <w:r w:rsidRPr="003F6CD7">
          <w:rPr>
            <w:rFonts w:ascii="Times New Roman" w:hAnsi="Times New Roman"/>
            <w:sz w:val="24"/>
            <w:szCs w:val="24"/>
          </w:rPr>
          <w:instrText xml:space="preserve"> PAGE   \* MERGEFORMAT </w:instrText>
        </w:r>
        <w:r w:rsidRPr="003F6CD7">
          <w:rPr>
            <w:rFonts w:ascii="Times New Roman" w:hAnsi="Times New Roman"/>
            <w:sz w:val="24"/>
            <w:szCs w:val="24"/>
          </w:rPr>
          <w:fldChar w:fldCharType="separate"/>
        </w:r>
        <w:r w:rsidR="00EA04A2">
          <w:rPr>
            <w:rFonts w:ascii="Times New Roman" w:hAnsi="Times New Roman"/>
            <w:noProof/>
            <w:sz w:val="24"/>
            <w:szCs w:val="24"/>
          </w:rPr>
          <w:t>13</w:t>
        </w:r>
        <w:r w:rsidRPr="003F6CD7">
          <w:rPr>
            <w:rFonts w:ascii="Times New Roman" w:hAnsi="Times New Roman"/>
            <w:noProof/>
            <w:sz w:val="24"/>
            <w:szCs w:val="24"/>
          </w:rPr>
          <w:fldChar w:fldCharType="end"/>
        </w:r>
      </w:p>
    </w:sdtContent>
  </w:sdt>
  <w:p w:rsidR="00A5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E58" w:rsidRPr="00D74646" w:rsidP="00D74646">
    <w:pPr>
      <w:pStyle w:val="Header"/>
      <w:jc w:val="right"/>
      <w:rPr>
        <w:rFonts w:ascii="Times New Roman" w:hAnsi="Times New Roman"/>
        <w:sz w:val="24"/>
      </w:rPr>
    </w:pPr>
    <w:r w:rsidRPr="00D74646">
      <w:rPr>
        <w:rFonts w:ascii="Times New Roman" w:hAnsi="Times New Roman"/>
        <w:sz w:val="24"/>
      </w:rPr>
      <w:t>2.pielikums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2507F2"/>
    <w:multiLevelType w:val="hybridMultilevel"/>
    <w:tmpl w:val="0A583F3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E080A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2E482C8E"/>
    <w:multiLevelType w:val="hybridMultilevel"/>
    <w:tmpl w:val="F6ACDB3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1">
    <w:nsid w:val="3D1352F8"/>
    <w:multiLevelType w:val="hybridMultilevel"/>
    <w:tmpl w:val="8318A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51D51C5C"/>
    <w:multiLevelType w:val="hybridMultilevel"/>
    <w:tmpl w:val="2216EA46"/>
    <w:lvl w:ilvl="0">
      <w:start w:val="33"/>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54D708EC"/>
    <w:multiLevelType w:val="hybridMultilevel"/>
    <w:tmpl w:val="182EDE06"/>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6F167864"/>
    <w:multiLevelType w:val="hybridMultilevel"/>
    <w:tmpl w:val="64A0D746"/>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6F864A2A"/>
    <w:multiLevelType w:val="hybridMultilevel"/>
    <w:tmpl w:val="ECD694A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1">
    <w:nsid w:val="78ED7102"/>
    <w:multiLevelType w:val="multilevel"/>
    <w:tmpl w:val="708C07F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7DD1106D"/>
    <w:multiLevelType w:val="hybridMultilevel"/>
    <w:tmpl w:val="C54EBB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5"/>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EF"/>
    <w:rsid w:val="00025A5D"/>
    <w:rsid w:val="000328CE"/>
    <w:rsid w:val="0003670B"/>
    <w:rsid w:val="000410DB"/>
    <w:rsid w:val="00041F2E"/>
    <w:rsid w:val="00046E41"/>
    <w:rsid w:val="00047612"/>
    <w:rsid w:val="000516C8"/>
    <w:rsid w:val="00053FE6"/>
    <w:rsid w:val="00096B48"/>
    <w:rsid w:val="000A26D6"/>
    <w:rsid w:val="000B058C"/>
    <w:rsid w:val="000C58C1"/>
    <w:rsid w:val="000F7DD6"/>
    <w:rsid w:val="00107366"/>
    <w:rsid w:val="00115449"/>
    <w:rsid w:val="00123F0D"/>
    <w:rsid w:val="0012763D"/>
    <w:rsid w:val="001574CA"/>
    <w:rsid w:val="001A4D2A"/>
    <w:rsid w:val="001C154A"/>
    <w:rsid w:val="001E0949"/>
    <w:rsid w:val="00236C53"/>
    <w:rsid w:val="00240D90"/>
    <w:rsid w:val="00281241"/>
    <w:rsid w:val="00284326"/>
    <w:rsid w:val="002A0BB8"/>
    <w:rsid w:val="002A2403"/>
    <w:rsid w:val="002D0C2F"/>
    <w:rsid w:val="002E588C"/>
    <w:rsid w:val="002F0339"/>
    <w:rsid w:val="00300EF1"/>
    <w:rsid w:val="00317159"/>
    <w:rsid w:val="00327395"/>
    <w:rsid w:val="00331AF3"/>
    <w:rsid w:val="00343DE2"/>
    <w:rsid w:val="003862C8"/>
    <w:rsid w:val="00392942"/>
    <w:rsid w:val="003A49B9"/>
    <w:rsid w:val="003B6D12"/>
    <w:rsid w:val="003C229E"/>
    <w:rsid w:val="003C3BAE"/>
    <w:rsid w:val="003D156D"/>
    <w:rsid w:val="003F2561"/>
    <w:rsid w:val="003F6CD7"/>
    <w:rsid w:val="00400B76"/>
    <w:rsid w:val="00423635"/>
    <w:rsid w:val="00423942"/>
    <w:rsid w:val="0042610F"/>
    <w:rsid w:val="00431B87"/>
    <w:rsid w:val="004551ED"/>
    <w:rsid w:val="00460C19"/>
    <w:rsid w:val="004677FD"/>
    <w:rsid w:val="004F3CB0"/>
    <w:rsid w:val="00545BC9"/>
    <w:rsid w:val="005527B8"/>
    <w:rsid w:val="00574662"/>
    <w:rsid w:val="00577154"/>
    <w:rsid w:val="005B45CD"/>
    <w:rsid w:val="005B66E2"/>
    <w:rsid w:val="005E0A2F"/>
    <w:rsid w:val="005E6444"/>
    <w:rsid w:val="00601BDC"/>
    <w:rsid w:val="00626002"/>
    <w:rsid w:val="0063398F"/>
    <w:rsid w:val="00641238"/>
    <w:rsid w:val="006536F8"/>
    <w:rsid w:val="006660C7"/>
    <w:rsid w:val="006670E5"/>
    <w:rsid w:val="00681B46"/>
    <w:rsid w:val="006917B0"/>
    <w:rsid w:val="0069218C"/>
    <w:rsid w:val="006968BF"/>
    <w:rsid w:val="006B033C"/>
    <w:rsid w:val="006B5965"/>
    <w:rsid w:val="006C4CDD"/>
    <w:rsid w:val="006F1883"/>
    <w:rsid w:val="00727D1C"/>
    <w:rsid w:val="007320AB"/>
    <w:rsid w:val="0074005F"/>
    <w:rsid w:val="00756549"/>
    <w:rsid w:val="0075669C"/>
    <w:rsid w:val="00765F6E"/>
    <w:rsid w:val="00775615"/>
    <w:rsid w:val="0078306C"/>
    <w:rsid w:val="00797E03"/>
    <w:rsid w:val="007B0036"/>
    <w:rsid w:val="007C44BC"/>
    <w:rsid w:val="007D4288"/>
    <w:rsid w:val="007D696C"/>
    <w:rsid w:val="00813176"/>
    <w:rsid w:val="008A0E93"/>
    <w:rsid w:val="008B1AC0"/>
    <w:rsid w:val="008B655F"/>
    <w:rsid w:val="008C4E21"/>
    <w:rsid w:val="008D12DE"/>
    <w:rsid w:val="008F5879"/>
    <w:rsid w:val="008F5ECC"/>
    <w:rsid w:val="00932DAE"/>
    <w:rsid w:val="0095093F"/>
    <w:rsid w:val="0095313D"/>
    <w:rsid w:val="00954B34"/>
    <w:rsid w:val="00967F8C"/>
    <w:rsid w:val="00970FA9"/>
    <w:rsid w:val="00990ADA"/>
    <w:rsid w:val="009B7463"/>
    <w:rsid w:val="009C313D"/>
    <w:rsid w:val="009C3ABC"/>
    <w:rsid w:val="009C5883"/>
    <w:rsid w:val="009E2101"/>
    <w:rsid w:val="00A10477"/>
    <w:rsid w:val="00A11635"/>
    <w:rsid w:val="00A129B1"/>
    <w:rsid w:val="00A26875"/>
    <w:rsid w:val="00A26DB3"/>
    <w:rsid w:val="00A5228D"/>
    <w:rsid w:val="00A57E58"/>
    <w:rsid w:val="00A67171"/>
    <w:rsid w:val="00A76C0B"/>
    <w:rsid w:val="00AA5C8A"/>
    <w:rsid w:val="00AC3F2F"/>
    <w:rsid w:val="00AE5905"/>
    <w:rsid w:val="00AE6C24"/>
    <w:rsid w:val="00B07A7B"/>
    <w:rsid w:val="00B1180F"/>
    <w:rsid w:val="00B75B87"/>
    <w:rsid w:val="00B9359D"/>
    <w:rsid w:val="00BC49E1"/>
    <w:rsid w:val="00C15421"/>
    <w:rsid w:val="00C25259"/>
    <w:rsid w:val="00C37ACB"/>
    <w:rsid w:val="00C473E7"/>
    <w:rsid w:val="00C762BB"/>
    <w:rsid w:val="00C907D1"/>
    <w:rsid w:val="00C9104F"/>
    <w:rsid w:val="00CA0D6E"/>
    <w:rsid w:val="00CB401A"/>
    <w:rsid w:val="00CF30CE"/>
    <w:rsid w:val="00CF6CD6"/>
    <w:rsid w:val="00CF7FCE"/>
    <w:rsid w:val="00D37911"/>
    <w:rsid w:val="00D74646"/>
    <w:rsid w:val="00DB4001"/>
    <w:rsid w:val="00DC6D04"/>
    <w:rsid w:val="00DD199F"/>
    <w:rsid w:val="00DE11F0"/>
    <w:rsid w:val="00DE34D5"/>
    <w:rsid w:val="00DE7D7F"/>
    <w:rsid w:val="00E052AB"/>
    <w:rsid w:val="00E15D07"/>
    <w:rsid w:val="00E30FAD"/>
    <w:rsid w:val="00E42C4C"/>
    <w:rsid w:val="00E70D7B"/>
    <w:rsid w:val="00E80DEF"/>
    <w:rsid w:val="00E92D3B"/>
    <w:rsid w:val="00EA04A2"/>
    <w:rsid w:val="00EA1B08"/>
    <w:rsid w:val="00EE51E9"/>
    <w:rsid w:val="00EF05B4"/>
    <w:rsid w:val="00F00F88"/>
    <w:rsid w:val="00F17AEF"/>
    <w:rsid w:val="00F24287"/>
    <w:rsid w:val="00F40447"/>
    <w:rsid w:val="00F4365A"/>
    <w:rsid w:val="00F602CF"/>
    <w:rsid w:val="00F712B9"/>
    <w:rsid w:val="00FA26E1"/>
    <w:rsid w:val="00FD0C65"/>
    <w:rsid w:val="00FF0156"/>
    <w:rsid w:val="00FF49D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E25EB3C-6E93-404D-91D9-635C8404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EF"/>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 Char Char,Footnote Text Char Char Char Char Char,Footnote Text Char Char Char Char Char Char Char Char,Footnote Text Char1 Char,Footnote Text Char1 Char Char1 Char,f"/>
    <w:basedOn w:val="Normal"/>
    <w:link w:val="FollowedHyperlink"/>
    <w:rsid w:val="00F17AEF"/>
    <w:pPr>
      <w:spacing w:after="0" w:line="240" w:lineRule="auto"/>
    </w:pPr>
    <w:rPr>
      <w:rFonts w:ascii="Times New Roman" w:eastAsia="Times New Roman" w:hAnsi="Times New Roman"/>
      <w:sz w:val="20"/>
      <w:szCs w:val="20"/>
      <w:lang w:val="en-AU"/>
    </w:rPr>
  </w:style>
  <w:style w:type="character" w:customStyle="1" w:styleId="FootnoteTextChar">
    <w:name w:val="Footnote Text Char"/>
    <w:basedOn w:val="DefaultParagraphFont"/>
    <w:uiPriority w:val="99"/>
    <w:semiHidden/>
    <w:rsid w:val="00F17AEF"/>
    <w:rPr>
      <w:rFonts w:ascii="Calibri" w:eastAsia="Calibri" w:hAnsi="Calibri"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F17AEF"/>
    <w:rPr>
      <w:vertAlign w:val="superscript"/>
    </w:rPr>
  </w:style>
  <w:style w:type="character" w:styleId="FollowedHyperlink">
    <w:name w:val="FollowedHyperlink"/>
    <w:aliases w:val="Footnote Text Char Char Char Char,Footnote Text Char Char Char Char Char Char,Footnote Text Char Char Char Char Char Char Char Char Char,Footnote Text Char1,Footnote Text Char1 Char Char,Footnote Text Char1 Char Char1 Char Char,f Char"/>
    <w:link w:val="FootnoteText"/>
    <w:rsid w:val="00F17AEF"/>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7320AB"/>
    <w:pPr>
      <w:ind w:left="720"/>
      <w:contextualSpacing/>
    </w:pPr>
  </w:style>
  <w:style w:type="character" w:styleId="CommentReference">
    <w:name w:val="annotation reference"/>
    <w:basedOn w:val="DefaultParagraphFont"/>
    <w:uiPriority w:val="99"/>
    <w:semiHidden/>
    <w:unhideWhenUsed/>
    <w:rsid w:val="00FD0C65"/>
    <w:rPr>
      <w:sz w:val="16"/>
      <w:szCs w:val="16"/>
    </w:rPr>
  </w:style>
  <w:style w:type="paragraph" w:styleId="CommentText">
    <w:name w:val="annotation text"/>
    <w:basedOn w:val="Normal"/>
    <w:link w:val="CommentTextChar"/>
    <w:uiPriority w:val="99"/>
    <w:semiHidden/>
    <w:unhideWhenUsed/>
    <w:rsid w:val="00FD0C65"/>
    <w:pPr>
      <w:spacing w:line="240" w:lineRule="auto"/>
    </w:pPr>
    <w:rPr>
      <w:sz w:val="20"/>
      <w:szCs w:val="20"/>
    </w:rPr>
  </w:style>
  <w:style w:type="character" w:customStyle="1" w:styleId="CommentTextChar">
    <w:name w:val="Comment Text Char"/>
    <w:basedOn w:val="DefaultParagraphFont"/>
    <w:link w:val="CommentText"/>
    <w:uiPriority w:val="99"/>
    <w:semiHidden/>
    <w:rsid w:val="00FD0C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0C65"/>
    <w:rPr>
      <w:b/>
      <w:bCs/>
    </w:rPr>
  </w:style>
  <w:style w:type="character" w:customStyle="1" w:styleId="CommentSubjectChar">
    <w:name w:val="Comment Subject Char"/>
    <w:basedOn w:val="CommentTextChar"/>
    <w:link w:val="CommentSubject"/>
    <w:uiPriority w:val="99"/>
    <w:semiHidden/>
    <w:rsid w:val="00FD0C6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0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65"/>
    <w:rPr>
      <w:rFonts w:ascii="Segoe UI" w:eastAsia="Calibri" w:hAnsi="Segoe UI" w:cs="Segoe UI"/>
      <w:sz w:val="18"/>
      <w:szCs w:val="18"/>
    </w:rPr>
  </w:style>
  <w:style w:type="paragraph" w:styleId="Header">
    <w:name w:val="header"/>
    <w:basedOn w:val="Normal"/>
    <w:link w:val="HeaderChar"/>
    <w:uiPriority w:val="99"/>
    <w:unhideWhenUsed/>
    <w:rsid w:val="003F6C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6CD7"/>
    <w:rPr>
      <w:rFonts w:ascii="Calibri" w:eastAsia="Calibri" w:hAnsi="Calibri" w:cs="Times New Roman"/>
    </w:rPr>
  </w:style>
  <w:style w:type="paragraph" w:styleId="Footer">
    <w:name w:val="footer"/>
    <w:basedOn w:val="Normal"/>
    <w:link w:val="FooterChar"/>
    <w:uiPriority w:val="99"/>
    <w:unhideWhenUsed/>
    <w:rsid w:val="003F6C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6CD7"/>
    <w:rPr>
      <w:rFonts w:ascii="Calibri" w:eastAsia="Calibri" w:hAnsi="Calibri" w:cs="Times New Roman"/>
    </w:rPr>
  </w:style>
  <w:style w:type="paragraph" w:customStyle="1" w:styleId="h2">
    <w:name w:val="h2"/>
    <w:basedOn w:val="Normal"/>
    <w:uiPriority w:val="99"/>
    <w:rsid w:val="00423635"/>
    <w:pPr>
      <w:spacing w:before="100" w:beforeAutospacing="1" w:after="100" w:afterAutospacing="1" w:line="240" w:lineRule="auto"/>
    </w:pPr>
    <w:rPr>
      <w:rFonts w:ascii="Times New Roman" w:eastAsia="Times New Roman" w:hAnsi="Times New Roman"/>
      <w:color w:val="30606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2956-6BBF-4967-B6DA-D950C722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9041</Words>
  <Characters>5154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Reģionālās politikas pamatnostādņu 2013.-2019. gadam īstenošanas 2013.-2017. gadā starpposma novērtējumu” 2.pielikums</dc:title>
  <dc:subject>Pielikums</dc:subject>
  <dc:creator>Ilze Jureviča</dc:creator>
  <dc:description>66016791, ilze.jurevica@varam.gov.lv</dc:description>
  <cp:lastModifiedBy>Ilze Jureviča</cp:lastModifiedBy>
  <cp:revision>5</cp:revision>
  <dcterms:created xsi:type="dcterms:W3CDTF">2018-02-14T12:45:00Z</dcterms:created>
  <dcterms:modified xsi:type="dcterms:W3CDTF">2018-02-20T13:40:00Z</dcterms:modified>
</cp:coreProperties>
</file>