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72784A" w:rsidP="0072784A">
      <w:pPr>
        <w:shd w:val="clear" w:color="auto" w:fill="FFFFFF"/>
        <w:spacing w:after="0" w:line="240" w:lineRule="auto"/>
        <w:jc w:val="center"/>
        <w:rPr>
          <w:rFonts w:ascii="Times New Roman" w:eastAsia="Times New Roman" w:hAnsi="Times New Roman" w:cs="Times New Roman"/>
          <w:b/>
          <w:bCs/>
          <w:sz w:val="28"/>
          <w:szCs w:val="24"/>
          <w:lang w:eastAsia="lv-LV"/>
        </w:rPr>
      </w:pPr>
      <w:r w:rsidRPr="0072784A">
        <w:rPr>
          <w:rFonts w:ascii="Times New Roman" w:eastAsia="Times New Roman" w:hAnsi="Times New Roman" w:cs="Times New Roman"/>
          <w:b/>
          <w:bCs/>
          <w:sz w:val="28"/>
          <w:szCs w:val="24"/>
          <w:lang w:eastAsia="lv-LV"/>
        </w:rPr>
        <w:t>Ministru kabineta rīkojuma “Par Veselības ministrijas padotībā esošo valsts pārvaldes iestāžu reorganizāciju” projekta</w:t>
      </w:r>
      <w:r w:rsidRPr="0072784A" w:rsidR="003B0BF9">
        <w:rPr>
          <w:rFonts w:ascii="Times New Roman" w:eastAsia="Times New Roman" w:hAnsi="Times New Roman" w:cs="Times New Roman"/>
          <w:b/>
          <w:bCs/>
          <w:sz w:val="28"/>
          <w:szCs w:val="24"/>
          <w:lang w:eastAsia="lv-LV"/>
        </w:rPr>
        <w:br/>
      </w:r>
      <w:r w:rsidRPr="0072784A">
        <w:rPr>
          <w:rFonts w:ascii="Times New Roman" w:eastAsia="Times New Roman" w:hAnsi="Times New Roman" w:cs="Times New Roman"/>
          <w:b/>
          <w:bCs/>
          <w:sz w:val="28"/>
          <w:szCs w:val="24"/>
          <w:lang w:eastAsia="lv-LV"/>
        </w:rPr>
        <w:t>sākotnējās ietekmes novērtējuma ziņojums (anotācija)</w:t>
      </w:r>
    </w:p>
    <w:p w:rsidR="00E5323B" w:rsidRPr="0072784A"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2784A" w:rsidP="00E5323B">
            <w:pPr>
              <w:spacing w:after="0" w:line="240" w:lineRule="auto"/>
              <w:rPr>
                <w:rFonts w:ascii="Times New Roman" w:eastAsia="Times New Roman" w:hAnsi="Times New Roman" w:cs="Times New Roman"/>
                <w:b/>
                <w:bCs/>
                <w:iCs/>
                <w:sz w:val="24"/>
                <w:szCs w:val="24"/>
                <w:lang w:val="sv-SE" w:eastAsia="lv-LV"/>
              </w:rPr>
            </w:pPr>
            <w:r w:rsidRPr="0072784A">
              <w:rPr>
                <w:rFonts w:ascii="Times New Roman" w:eastAsia="Times New Roman" w:hAnsi="Times New Roman" w:cs="Times New Roman"/>
                <w:b/>
                <w:bCs/>
                <w:iCs/>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2784A" w:rsidP="00E5323B">
            <w:pPr>
              <w:spacing w:after="0" w:line="240" w:lineRule="auto"/>
              <w:rPr>
                <w:rFonts w:ascii="Times New Roman" w:eastAsia="Times New Roman" w:hAnsi="Times New Roman" w:cs="Times New Roman"/>
                <w:iCs/>
                <w:sz w:val="24"/>
                <w:szCs w:val="24"/>
                <w:lang w:val="sv-SE" w:eastAsia="lv-LV"/>
              </w:rPr>
            </w:pPr>
            <w:r w:rsidRPr="0072784A">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D6DEE" w:rsidRPr="001D6DEE" w:rsidP="001D6DEE">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Projekts paredz ar 2018.gada 1.jūliju reorganizēt vairākas Veselības ministrijas padotībā esošās iestādes – Nacionālo veselības dienestu, Valsts sporta medicīnas centru un Veselības inspekciju</w:t>
            </w:r>
            <w:r w:rsidR="00596C81">
              <w:rPr>
                <w:rFonts w:ascii="Times New Roman" w:eastAsia="Times New Roman" w:hAnsi="Times New Roman" w:cs="Times New Roman"/>
                <w:iCs/>
                <w:sz w:val="24"/>
                <w:szCs w:val="24"/>
                <w:lang w:val="sv-SE" w:eastAsia="lv-LV"/>
              </w:rPr>
              <w:t xml:space="preserve">, lai uzlabotu </w:t>
            </w:r>
            <w:r w:rsidR="00596C81">
              <w:rPr>
                <w:rFonts w:ascii="Times New Roman" w:hAnsi="Times New Roman" w:cs="Times New Roman"/>
                <w:sz w:val="24"/>
                <w:szCs w:val="24"/>
              </w:rPr>
              <w:t>stratēģiskā iepirkuma organizāciju, datu analīzes kapacitātes konsolidāciju un stiprināšanu, kā arī uzraudzības funkcijas atbilstoši pacientu interesēm un kvalitatīvai veselības aprūpes procesa organizācijai, kā arī izveidotu Pasaules antidopinga kodeksam atbilstošu antidopinga organizāciju Latvijā.</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2784A" w:rsidP="00E5323B">
            <w:pPr>
              <w:spacing w:after="0" w:line="240" w:lineRule="auto"/>
              <w:rPr>
                <w:rFonts w:ascii="Times New Roman" w:eastAsia="Times New Roman" w:hAnsi="Times New Roman" w:cs="Times New Roman"/>
                <w:b/>
                <w:bCs/>
                <w:iCs/>
                <w:sz w:val="24"/>
                <w:szCs w:val="24"/>
                <w:lang w:val="sv-SE" w:eastAsia="lv-LV"/>
              </w:rPr>
            </w:pPr>
            <w:r w:rsidRPr="0072784A">
              <w:rPr>
                <w:rFonts w:ascii="Times New Roman" w:eastAsia="Times New Roman" w:hAnsi="Times New Roman" w:cs="Times New Roman"/>
                <w:b/>
                <w:bCs/>
                <w:iCs/>
                <w:sz w:val="24"/>
                <w:szCs w:val="24"/>
                <w:lang w:val="sv-SE" w:eastAsia="lv-LV"/>
              </w:rPr>
              <w:t>I. Tiesību akta projekta izstrādes nepieciešamība</w:t>
            </w:r>
          </w:p>
        </w:tc>
      </w:tr>
      <w:tr w:rsidTr="0072784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2784A" w:rsidP="00E5323B">
            <w:pPr>
              <w:spacing w:after="0" w:line="240" w:lineRule="auto"/>
              <w:rPr>
                <w:rFonts w:ascii="Times New Roman" w:eastAsia="Times New Roman" w:hAnsi="Times New Roman" w:cs="Times New Roman"/>
                <w:iCs/>
                <w:sz w:val="24"/>
                <w:szCs w:val="24"/>
                <w:lang w:eastAsia="lv-LV"/>
              </w:rPr>
            </w:pPr>
            <w:r w:rsidRPr="0072784A">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Valsts pārvaldes iekārtas likuma 15.panta trešās daļas 4.punkts</w:t>
            </w:r>
            <w:r w:rsidR="00881CA8">
              <w:rPr>
                <w:rFonts w:ascii="Times New Roman" w:eastAsia="Times New Roman" w:hAnsi="Times New Roman" w:cs="Times New Roman"/>
                <w:iCs/>
                <w:sz w:val="24"/>
                <w:szCs w:val="24"/>
                <w:lang w:val="en-US" w:eastAsia="lv-LV"/>
              </w:rPr>
              <w:t>.</w:t>
            </w:r>
          </w:p>
          <w:p w:rsidR="001D6DEE" w:rsidP="001D6DEE">
            <w:pPr>
              <w:spacing w:after="0" w:line="240" w:lineRule="auto"/>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 xml:space="preserve">Ministru kabineta </w:t>
            </w:r>
            <w:r>
              <w:rPr>
                <w:rFonts w:ascii="Times New Roman" w:eastAsia="Times New Roman" w:hAnsi="Times New Roman" w:cs="Times New Roman"/>
                <w:iCs/>
                <w:sz w:val="24"/>
                <w:szCs w:val="24"/>
                <w:lang w:eastAsia="lv-LV"/>
              </w:rPr>
              <w:t>2017.gada 26.septembra rīkojums</w:t>
            </w:r>
            <w:r w:rsidRPr="003C15B8">
              <w:rPr>
                <w:rFonts w:ascii="Times New Roman" w:eastAsia="Times New Roman" w:hAnsi="Times New Roman" w:cs="Times New Roman"/>
                <w:iCs/>
                <w:sz w:val="24"/>
                <w:szCs w:val="24"/>
                <w:lang w:eastAsia="lv-LV"/>
              </w:rPr>
              <w:t xml:space="preserve"> Nr.539 “Konceptuālais ziņojums “Par situāciju antidopinga jomā Latvijā u</w:t>
            </w:r>
            <w:r>
              <w:rPr>
                <w:rFonts w:ascii="Times New Roman" w:eastAsia="Times New Roman" w:hAnsi="Times New Roman" w:cs="Times New Roman"/>
                <w:iCs/>
                <w:sz w:val="24"/>
                <w:szCs w:val="24"/>
                <w:lang w:eastAsia="lv-LV"/>
              </w:rPr>
              <w:t>n nepieciešamajām izmaiņām””</w:t>
            </w:r>
            <w:r w:rsidR="00881CA8">
              <w:rPr>
                <w:rFonts w:ascii="Times New Roman" w:eastAsia="Times New Roman" w:hAnsi="Times New Roman" w:cs="Times New Roman"/>
                <w:iCs/>
                <w:sz w:val="24"/>
                <w:szCs w:val="24"/>
                <w:lang w:eastAsia="lv-LV"/>
              </w:rPr>
              <w:t>.</w:t>
            </w:r>
          </w:p>
          <w:p w:rsidR="001D6DEE" w:rsidP="001D6DEE">
            <w:pPr>
              <w:spacing w:after="0" w:line="240" w:lineRule="auto"/>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Ministru kabine</w:t>
            </w:r>
            <w:r>
              <w:rPr>
                <w:rFonts w:ascii="Times New Roman" w:eastAsia="Times New Roman" w:hAnsi="Times New Roman" w:cs="Times New Roman"/>
                <w:iCs/>
                <w:sz w:val="24"/>
                <w:szCs w:val="24"/>
                <w:lang w:eastAsia="lv-LV"/>
              </w:rPr>
              <w:t>ta 2017.gada 7.augusta rīkojums</w:t>
            </w:r>
            <w:r w:rsidRPr="003C15B8">
              <w:rPr>
                <w:rFonts w:ascii="Times New Roman" w:eastAsia="Times New Roman" w:hAnsi="Times New Roman" w:cs="Times New Roman"/>
                <w:iCs/>
                <w:sz w:val="24"/>
                <w:szCs w:val="24"/>
                <w:lang w:eastAsia="lv-LV"/>
              </w:rPr>
              <w:t xml:space="preserve"> Nr.394 “Konceptuālais ziņojums “Par veselības aprūpes sistēmas reformu””.</w:t>
            </w:r>
          </w:p>
          <w:p w:rsidR="00881CA8" w:rsidRPr="00881CA8" w:rsidP="001D6DEE">
            <w:pPr>
              <w:spacing w:after="0" w:line="240" w:lineRule="auto"/>
              <w:jc w:val="both"/>
              <w:rPr>
                <w:rFonts w:ascii="Times New Roman" w:eastAsia="Times New Roman" w:hAnsi="Times New Roman" w:cs="Times New Roman"/>
                <w:iCs/>
                <w:sz w:val="24"/>
                <w:szCs w:val="24"/>
                <w:lang w:val="en-US" w:eastAsia="lv-LV"/>
              </w:rPr>
            </w:pPr>
            <w:r w:rsidRPr="00881CA8">
              <w:rPr>
                <w:rFonts w:ascii="Times New Roman" w:hAnsi="Times New Roman" w:cs="Times New Roman"/>
                <w:color w:val="000000"/>
                <w:sz w:val="24"/>
                <w:szCs w:val="24"/>
                <w:shd w:val="clear" w:color="auto" w:fill="FFFFFF"/>
              </w:rPr>
              <w:t>Ministru kabineta 2016.gada</w:t>
            </w:r>
            <w:r>
              <w:rPr>
                <w:rFonts w:ascii="Times New Roman" w:hAnsi="Times New Roman" w:cs="Times New Roman"/>
                <w:color w:val="000000"/>
                <w:sz w:val="24"/>
                <w:szCs w:val="24"/>
                <w:shd w:val="clear" w:color="auto" w:fill="FFFFFF"/>
              </w:rPr>
              <w:t xml:space="preserve"> 31.maija sēdes protokols Nr.26,  </w:t>
            </w:r>
            <w:r w:rsidRPr="00881CA8">
              <w:rPr>
                <w:rFonts w:ascii="Times New Roman" w:hAnsi="Times New Roman" w:cs="Times New Roman"/>
                <w:color w:val="000000"/>
                <w:sz w:val="24"/>
                <w:szCs w:val="24"/>
                <w:shd w:val="clear" w:color="auto" w:fill="FFFFFF"/>
              </w:rPr>
              <w:t>39</w:t>
            </w:r>
            <w:r>
              <w:rPr>
                <w:rFonts w:ascii="Times New Roman" w:hAnsi="Times New Roman" w:cs="Times New Roman"/>
                <w:color w:val="000000"/>
                <w:sz w:val="24"/>
                <w:szCs w:val="24"/>
                <w:shd w:val="clear" w:color="auto" w:fill="FFFFFF"/>
              </w:rPr>
              <w:t xml:space="preserve">§ </w:t>
            </w:r>
            <w:r w:rsidRPr="00881CA8">
              <w:rPr>
                <w:rFonts w:ascii="Times New Roman" w:hAnsi="Times New Roman" w:cs="Times New Roman"/>
                <w:color w:val="000000"/>
                <w:sz w:val="24"/>
                <w:szCs w:val="24"/>
                <w:shd w:val="clear" w:color="auto" w:fill="FFFFFF"/>
              </w:rPr>
              <w:t xml:space="preserve"> 16.punkts</w:t>
            </w:r>
            <w:r>
              <w:rPr>
                <w:rFonts w:ascii="Times New Roman" w:hAnsi="Times New Roman" w:cs="Times New Roman"/>
                <w:color w:val="000000"/>
                <w:sz w:val="24"/>
                <w:szCs w:val="24"/>
                <w:shd w:val="clear" w:color="auto" w:fill="FFFFFF"/>
              </w:rPr>
              <w:t>.</w:t>
            </w:r>
          </w:p>
        </w:tc>
      </w:tr>
      <w:tr w:rsidTr="0072784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84A" w:rsidRPr="00E5323B" w:rsidP="0072784A">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2784A" w:rsidRPr="0072784A" w:rsidP="0072784A">
            <w:pPr>
              <w:spacing w:after="0" w:line="240" w:lineRule="auto"/>
              <w:rPr>
                <w:rFonts w:ascii="Times New Roman" w:eastAsia="Times New Roman" w:hAnsi="Times New Roman" w:cs="Times New Roman"/>
                <w:iCs/>
                <w:sz w:val="24"/>
                <w:szCs w:val="24"/>
                <w:lang w:eastAsia="lv-LV"/>
              </w:rPr>
            </w:pPr>
            <w:r w:rsidRPr="0072784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72784A" w:rsidP="0072784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Veselības aprūpes sistēmas organizatoriskajā pārvaldībā pēdējos 15 gadus notikušas būtiskas izmaiņas, saistītas ar administrējošo iestāžu skaita samazināšanu un struktūras optimizāciju un, lai gan pašreizējo Veselības ministrijas padotībā esošo iestāžu struktūru varētu uzskatīt par optimālu, tomēr pašreizējā situācija un nepieciešamība veikt būtiskas strukturālas reformas nozares pārvaldībā pieprasa daļu iestāžu funkciju pārskatīt. Galvenās izmaiņas plānotas uz stratēģiskā iepirkuma organizāciju, datu analīzes kapacitātes konsolidāciju un stiprināšanu, kā arī uzraudzības funkciju uzlabošanu atbilstoši pacientu interesēm un kvalitatīvai veselības aprūpes procesa organizācijai</w:t>
            </w:r>
            <w:r w:rsidR="009A2F4B">
              <w:rPr>
                <w:rFonts w:ascii="Times New Roman" w:hAnsi="Times New Roman" w:cs="Times New Roman"/>
                <w:sz w:val="24"/>
                <w:szCs w:val="24"/>
              </w:rPr>
              <w:t>. Veselības ministrijas padotība</w:t>
            </w:r>
            <w:r>
              <w:rPr>
                <w:rFonts w:ascii="Times New Roman" w:hAnsi="Times New Roman" w:cs="Times New Roman"/>
                <w:sz w:val="24"/>
                <w:szCs w:val="24"/>
              </w:rPr>
              <w:t xml:space="preserve">s iestāžu reorganizācija tiek veikta ar mērķi uzlabot veselības aprūpes pakalpojumu administrēšanu un veselības datu analīzi, kā arī nodrošināt atbalstu ārstniecības iestādēm ārstniecības kvalitātes un pacientu drošības jautājumos. </w:t>
            </w:r>
          </w:p>
          <w:p w:rsidR="0072784A" w:rsidP="0072784A">
            <w:pPr>
              <w:shd w:val="clear" w:color="auto" w:fill="FFFFFF"/>
              <w:spacing w:after="0" w:line="240" w:lineRule="auto"/>
              <w:jc w:val="both"/>
              <w:rPr>
                <w:rFonts w:ascii="Times New Roman" w:hAnsi="Times New Roman" w:cs="Times New Roman"/>
                <w:sz w:val="24"/>
                <w:szCs w:val="24"/>
              </w:rPr>
            </w:pPr>
          </w:p>
          <w:p w:rsidR="0072784A" w:rsidP="0072784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Šobrīd līgumus par tādu veselības aprūpes pakalpojumu sniegšanu, kurus apmaksā no valsts budžeta līdzekļiem, ar ārstniecības iestādēm slēdz Nacionālais veselības dienests, savukārt minēto līgumu izpildes uzraudzību saskaņā ar Ministru kabineta 2013.gada 17.decembra noteikumiem Nr.1529 “Veselības aprūpes organizēšanas un finansēšanas kārtība” nodrošina Veselības inspekcija. Tajā pašā laikā Nacionālais veselības dienests nodrošina veselības aprūpes nodrošināšanai piešķirto valsts budžeta līdzekļu administrēšanu un veselības aprūpei paredzēto valsts budžeta līdzekļu izlietojuma uzraudzību ārstniecības iestādēs. Lai veiktu efektīvu un optimālu valsts budžeta līdzekļu administrēšanu un valsts budžeta līdzekļu izlietojuma uzraudzību, Nacionālajam veselības dienestam ir nepieciešams nodot arī līgumu par no valsts budžeta līdzekļiem apmaksājamu veselības aprūpes pakalpojumu izpildes uzraudzību.</w:t>
            </w:r>
            <w:r w:rsidR="009A2F4B">
              <w:rPr>
                <w:rFonts w:ascii="Times New Roman" w:hAnsi="Times New Roman" w:cs="Times New Roman"/>
                <w:sz w:val="24"/>
                <w:szCs w:val="24"/>
              </w:rPr>
              <w:t xml:space="preserve"> Tādējādi jautājumus, kas saistīti ar valsts budžeta līdzekļu izlietojuma analīzi, kontrolētu Nacionālais veselības dienests, savukārt Veselības inspekcija uzraudzību ārstniecības iestāžu atbilstību obligātajām prasībām, kā arī izvērtētu sniegto veselības aprūpes pakalpojumu kvalitāti ārstniecības iestādēs.</w:t>
            </w:r>
          </w:p>
          <w:p w:rsidR="0072784A" w:rsidP="0072784A">
            <w:pPr>
              <w:shd w:val="clear" w:color="auto" w:fill="FFFFFF"/>
              <w:spacing w:after="0" w:line="240" w:lineRule="auto"/>
              <w:jc w:val="both"/>
              <w:rPr>
                <w:rFonts w:ascii="Times New Roman" w:hAnsi="Times New Roman" w:cs="Times New Roman"/>
                <w:sz w:val="24"/>
                <w:szCs w:val="24"/>
              </w:rPr>
            </w:pPr>
          </w:p>
          <w:p w:rsidR="0072784A" w:rsidP="0072784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Ministru kabineta 2013.gada 5.novembra noteikumiem Nr.1268 “Ārstniecības riska fonda darbības noteikumi” lēmumu par atlīdzības izmaksu vai atteikumu izmaksāt pieņem Nacionālais veselības dienests balstoties uz Veselības inspekcijas sagatavoto atzinumu, kurā ir norāda kaitējuma esību vai neesību, kaitējuma apmēru, izteiktu procentos un vai ir konstatēts kāds no apstākļiem, kad atlīdzība nav izmaksājama. Ņemot vērā to, ka Nacionālā veselības dienesta lēmuma pamatā ir Veselības inspekcijas sniegtais atzinums, lai efektizētu iestāžu resursus un optimizētu lēmumu pieņemšanas procesu, atlīdzības prasījumu izskatīšana un lēmumu pieņemšana būtu jānodrošina vienai iestādei – Veselības inspekcijai būtu nododama gala lēmuma pieņemšana par atlīdzības izmaksu vai atteikumu izmaksāt. Savukārt Nacionālais veselības dienests turpinātu Ārstniecības riska fonda finanšu administrēšanu un veiktu atlīdzības izmaksu saskaņā ar Veselības inspekcijas lēmumu.</w:t>
            </w:r>
          </w:p>
          <w:p w:rsidR="0072784A" w:rsidP="0072784A">
            <w:pPr>
              <w:shd w:val="clear" w:color="auto" w:fill="FFFFFF"/>
              <w:spacing w:after="0" w:line="240" w:lineRule="auto"/>
              <w:jc w:val="both"/>
              <w:rPr>
                <w:rFonts w:ascii="Times New Roman" w:hAnsi="Times New Roman" w:cs="Times New Roman"/>
                <w:sz w:val="24"/>
                <w:szCs w:val="24"/>
              </w:rPr>
            </w:pPr>
          </w:p>
          <w:p w:rsidR="0072784A" w:rsidP="0072784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Šobrīd klīnisko vadlīniju izvērtēšanu un reģistrēšanu, nodrošina Nacionālais veselības dienests. Tajā pašā laikā  Slimību profilakses un kontroles centrs turpmāk tiks attīstīts kā metodiskais atbalsts ārstniecības iestādēm ārstniecības kvalitātes un pacientu drošības jautājumos. Ņemot vērā, ka ārstniecības kvalitātes un </w:t>
            </w:r>
            <w:r>
              <w:rPr>
                <w:rFonts w:ascii="Times New Roman" w:hAnsi="Times New Roman" w:cs="Times New Roman"/>
                <w:sz w:val="24"/>
                <w:szCs w:val="24"/>
              </w:rPr>
              <w:t>pacientu drošības jautājumi ir cieši saistīti ar ārstniecībā izmantojamām klīniskajām vadlīnijām, klīniskiem algoritmiem, klīniskiem ceļiem un indikatoriem, lai nodrošinātu pilnvērtīgu metodiskā atbalsta funkciju, Slimību profilakses un kontroles centram no Nacionālā veselības dienesta būtu nododama klīnisko vadlīniju izvērtēšana un reģistrēšana.</w:t>
            </w:r>
          </w:p>
          <w:p w:rsidR="0072784A" w:rsidP="0072784A">
            <w:pPr>
              <w:shd w:val="clear" w:color="auto" w:fill="FFFFFF"/>
              <w:spacing w:after="0" w:line="240" w:lineRule="auto"/>
              <w:jc w:val="both"/>
              <w:rPr>
                <w:rFonts w:ascii="Times New Roman" w:hAnsi="Times New Roman" w:cs="Times New Roman"/>
                <w:sz w:val="24"/>
                <w:szCs w:val="24"/>
              </w:rPr>
            </w:pPr>
          </w:p>
          <w:p w:rsidR="007244B4" w:rsidP="0072784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Nacionālais veselības dienests šobrīd nodrošina arī ārstniecībā izmantojamo medicīnisko tehnoloģiju a</w:t>
            </w:r>
            <w:r w:rsidR="009A2F4B">
              <w:rPr>
                <w:rFonts w:ascii="Times New Roman" w:hAnsi="Times New Roman" w:cs="Times New Roman"/>
                <w:sz w:val="24"/>
                <w:szCs w:val="24"/>
              </w:rPr>
              <w:t>pstiprināšanu un izvērtēšanu</w:t>
            </w:r>
            <w:r>
              <w:rPr>
                <w:rFonts w:ascii="Times New Roman" w:hAnsi="Times New Roman" w:cs="Times New Roman"/>
                <w:sz w:val="24"/>
                <w:szCs w:val="24"/>
              </w:rPr>
              <w:t>, kā arī novērtē ārstniecībā lietojamo zāļu, medicīnisko ierīču un medicīnisko tehnoloģiju izmaksu efektivitāti. Saskaņā ar Ārstniecības likumu medicīniskās tehnoloģijas ir ārstniecībā izmantojamās metodes, medicīni</w:t>
            </w:r>
            <w:r>
              <w:rPr>
                <w:rFonts w:ascii="Times New Roman" w:hAnsi="Times New Roman" w:cs="Times New Roman"/>
                <w:sz w:val="24"/>
                <w:szCs w:val="24"/>
              </w:rPr>
              <w:t>skās ierīces un zāles. Z</w:t>
            </w:r>
            <w:r>
              <w:rPr>
                <w:rFonts w:ascii="Times New Roman" w:hAnsi="Times New Roman" w:cs="Times New Roman"/>
                <w:sz w:val="24"/>
                <w:szCs w:val="24"/>
              </w:rPr>
              <w:t xml:space="preserve">āļu un medicīnisko ierīču novērtēšanu un reģistrēšanu nodrošina Zāļu valsts aģentūra (Ministru kabineta </w:t>
            </w:r>
            <w:r>
              <w:rPr>
                <w:rFonts w:ascii="Times New Roman" w:hAnsi="Times New Roman" w:cs="Times New Roman"/>
                <w:sz w:val="24"/>
                <w:szCs w:val="24"/>
              </w:rPr>
              <w:t>2012. gada 31. jūlija noteikumi Nr.537 “Zāļu valsts aģentūras nolikums”) un saskaņā ar Ministru kabineta 2005. gada 28. jūnija noteikumu Nr.468 “Ārstniecībā izmantojamo medicīnisko tehnoloģiju apstiprināšanas un jaunu medicīnisko tehnoloģiju i</w:t>
            </w:r>
            <w:r w:rsidR="00590B7A">
              <w:rPr>
                <w:rFonts w:ascii="Times New Roman" w:hAnsi="Times New Roman" w:cs="Times New Roman"/>
                <w:sz w:val="24"/>
                <w:szCs w:val="24"/>
              </w:rPr>
              <w:t xml:space="preserve">eviešanas kārtība” 2.punktu </w:t>
            </w:r>
            <w:r>
              <w:rPr>
                <w:rFonts w:ascii="Times New Roman" w:hAnsi="Times New Roman" w:cs="Times New Roman"/>
                <w:sz w:val="24"/>
                <w:szCs w:val="24"/>
              </w:rPr>
              <w:t>Nacionālais veselības dienests nenovērtē un neapstiprina zāles un medicīniskās ierīces. Ņemot vērā, ka lielāko daļu medicīnisko tehnoloģiju (zāļu un medicīnisko ierīču) novērtēšanu un apstiprināšanu veic Zāļu valsts aģentūra, ir lietderīgāk un efektīvāk nodot Zāļu valsts aģentūrai novērtēšanai un apstiprināšanai arī pārējās medicīniskās tehnoloģijas (ārstniecībā izmantojamās metodes).</w:t>
            </w:r>
          </w:p>
          <w:p w:rsidR="0072784A" w:rsidP="0072784A">
            <w:pPr>
              <w:shd w:val="clear" w:color="auto" w:fill="FFFFFF"/>
              <w:spacing w:after="0" w:line="240" w:lineRule="auto"/>
              <w:jc w:val="both"/>
              <w:rPr>
                <w:rFonts w:ascii="Times New Roman" w:hAnsi="Times New Roman" w:cs="Times New Roman"/>
                <w:sz w:val="24"/>
                <w:szCs w:val="24"/>
              </w:rPr>
            </w:pPr>
          </w:p>
          <w:p w:rsidR="007244B4" w:rsidRPr="00555989" w:rsidP="0072784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grozījumiem Sporta likumā (2018. gada 1. februārī izskatīti Saeimā 1.lasījumā) ar 2018. gada 1. jūliju tiek izveidots Latvijas Antidopinga birojs. Tā kā līdz šim antidopinga jautājumi bija Valsts sporta medicīnas centra kompetencē, tad Latvijas Antidopinga birojs tiek veidots Valsts sporta medicīna centra bāzes, ņemot vērā, ka šajā centrā strādājošajiem jau ir plašas zināšanas un pieredze antidopinga jautājumos.</w:t>
            </w:r>
          </w:p>
        </w:tc>
      </w:tr>
      <w:tr w:rsidTr="0072784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84A" w:rsidRPr="0072784A" w:rsidP="0072784A">
            <w:pPr>
              <w:spacing w:after="0" w:line="240" w:lineRule="auto"/>
              <w:rPr>
                <w:rFonts w:ascii="Times New Roman" w:eastAsia="Times New Roman" w:hAnsi="Times New Roman" w:cs="Times New Roman"/>
                <w:iCs/>
                <w:color w:val="414142"/>
                <w:sz w:val="24"/>
                <w:szCs w:val="24"/>
                <w:lang w:eastAsia="lv-LV"/>
              </w:rPr>
            </w:pPr>
            <w:r w:rsidRPr="0072784A">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2784A" w:rsidRPr="0072784A" w:rsidP="0072784A">
            <w:pPr>
              <w:spacing w:after="0" w:line="240" w:lineRule="auto"/>
              <w:rPr>
                <w:rFonts w:ascii="Times New Roman" w:eastAsia="Times New Roman" w:hAnsi="Times New Roman" w:cs="Times New Roman"/>
                <w:iCs/>
                <w:sz w:val="24"/>
                <w:szCs w:val="24"/>
                <w:lang w:eastAsia="lv-LV"/>
              </w:rPr>
            </w:pPr>
            <w:r w:rsidRPr="0072784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2784A" w:rsidRPr="0072784A" w:rsidP="007244B4">
            <w:pPr>
              <w:spacing w:after="0" w:line="240" w:lineRule="auto"/>
              <w:jc w:val="both"/>
              <w:rPr>
                <w:rFonts w:ascii="Times New Roman" w:eastAsia="Times New Roman" w:hAnsi="Times New Roman" w:cs="Times New Roman"/>
                <w:iCs/>
                <w:sz w:val="24"/>
                <w:szCs w:val="24"/>
                <w:lang w:eastAsia="lv-LV"/>
              </w:rPr>
            </w:pPr>
            <w:r w:rsidRPr="0072784A">
              <w:rPr>
                <w:rFonts w:ascii="Times New Roman" w:eastAsia="Times New Roman" w:hAnsi="Times New Roman" w:cs="Times New Roman"/>
                <w:iCs/>
                <w:sz w:val="24"/>
                <w:szCs w:val="24"/>
                <w:lang w:eastAsia="lv-LV"/>
              </w:rPr>
              <w:t xml:space="preserve">Veselības ministrija, Nacionālais veselības dienests, Veselības inspekcija, Zāļu valsts aģentūra, Slimību profilakses un kontroles centrs un VSIA “Bērnu klīniskā universitātes slimnīca” </w:t>
            </w:r>
          </w:p>
        </w:tc>
      </w:tr>
      <w:tr w:rsidTr="0072784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84A" w:rsidRPr="0072784A" w:rsidP="0072784A">
            <w:pPr>
              <w:spacing w:after="0" w:line="240" w:lineRule="auto"/>
              <w:rPr>
                <w:rFonts w:ascii="Times New Roman" w:eastAsia="Times New Roman" w:hAnsi="Times New Roman" w:cs="Times New Roman"/>
                <w:iCs/>
                <w:color w:val="414142"/>
                <w:sz w:val="24"/>
                <w:szCs w:val="24"/>
                <w:lang w:eastAsia="lv-LV"/>
              </w:rPr>
            </w:pPr>
            <w:r w:rsidRPr="0072784A">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2784A" w:rsidRPr="0072784A" w:rsidP="0072784A">
            <w:pPr>
              <w:spacing w:after="0" w:line="240" w:lineRule="auto"/>
              <w:rPr>
                <w:rFonts w:ascii="Times New Roman" w:eastAsia="Times New Roman" w:hAnsi="Times New Roman" w:cs="Times New Roman"/>
                <w:iCs/>
                <w:sz w:val="24"/>
                <w:szCs w:val="24"/>
                <w:lang w:eastAsia="lv-LV"/>
              </w:rPr>
            </w:pPr>
            <w:r w:rsidRPr="0072784A">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2784A" w:rsidRPr="0072784A" w:rsidP="0072784A">
            <w:pPr>
              <w:spacing w:after="0" w:line="240" w:lineRule="auto"/>
              <w:rPr>
                <w:rFonts w:ascii="Times New Roman" w:eastAsia="Times New Roman" w:hAnsi="Times New Roman" w:cs="Times New Roman"/>
                <w:iCs/>
                <w:sz w:val="24"/>
                <w:szCs w:val="24"/>
                <w:lang w:eastAsia="lv-LV"/>
              </w:rPr>
            </w:pPr>
            <w:r w:rsidRPr="0072784A">
              <w:rPr>
                <w:rFonts w:ascii="Times New Roman" w:eastAsia="Times New Roman" w:hAnsi="Times New Roman" w:cs="Times New Roman"/>
                <w:iCs/>
                <w:sz w:val="24"/>
                <w:szCs w:val="24"/>
                <w:lang w:eastAsia="lv-LV"/>
              </w:rPr>
              <w:t>Nav</w:t>
            </w:r>
          </w:p>
        </w:tc>
      </w:tr>
    </w:tbl>
    <w:p w:rsidR="00E5323B" w:rsidRPr="0072784A" w:rsidP="00E5323B">
      <w:pPr>
        <w:spacing w:after="0" w:line="240" w:lineRule="auto"/>
        <w:rPr>
          <w:rFonts w:ascii="Times New Roman" w:eastAsia="Times New Roman" w:hAnsi="Times New Roman" w:cs="Times New Roman"/>
          <w:iCs/>
          <w:color w:val="414142"/>
          <w:sz w:val="24"/>
          <w:szCs w:val="24"/>
          <w:lang w:eastAsia="lv-LV"/>
        </w:rPr>
      </w:pPr>
      <w:r w:rsidRPr="0072784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2784A" w:rsidP="00E5323B">
            <w:pPr>
              <w:spacing w:after="0" w:line="240" w:lineRule="auto"/>
              <w:rPr>
                <w:rFonts w:ascii="Times New Roman" w:eastAsia="Times New Roman" w:hAnsi="Times New Roman" w:cs="Times New Roman"/>
                <w:b/>
                <w:bCs/>
                <w:iCs/>
                <w:sz w:val="24"/>
                <w:szCs w:val="24"/>
                <w:lang w:eastAsia="lv-LV"/>
              </w:rPr>
            </w:pPr>
            <w:r w:rsidRPr="0072784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784A" w:rsidP="00E5323B">
            <w:pPr>
              <w:spacing w:after="0" w:line="240" w:lineRule="auto"/>
              <w:rPr>
                <w:rFonts w:ascii="Times New Roman" w:eastAsia="Times New Roman" w:hAnsi="Times New Roman" w:cs="Times New Roman"/>
                <w:iCs/>
                <w:color w:val="414142"/>
                <w:sz w:val="24"/>
                <w:szCs w:val="24"/>
                <w:lang w:eastAsia="lv-LV"/>
              </w:rPr>
            </w:pPr>
            <w:r w:rsidRPr="0072784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2784A" w:rsidP="00E5323B">
            <w:pPr>
              <w:spacing w:after="0" w:line="240" w:lineRule="auto"/>
              <w:rPr>
                <w:rFonts w:ascii="Times New Roman" w:eastAsia="Times New Roman" w:hAnsi="Times New Roman" w:cs="Times New Roman"/>
                <w:iCs/>
                <w:sz w:val="24"/>
                <w:szCs w:val="24"/>
                <w:lang w:eastAsia="lv-LV"/>
              </w:rPr>
            </w:pPr>
            <w:r w:rsidRPr="0072784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7244B4" w:rsidRPr="007244B4" w:rsidP="007244B4">
            <w:pPr>
              <w:pStyle w:val="NoSpacing"/>
              <w:jc w:val="both"/>
              <w:rPr>
                <w:lang w:val="lv-LV"/>
              </w:rPr>
            </w:pPr>
            <w:r w:rsidRPr="007244B4">
              <w:rPr>
                <w:lang w:val="lv-LV"/>
              </w:rPr>
              <w:t>Ārstniecības iestādes, kuras ir līgumattiecībās ar Nacionālo veselības dienestu</w:t>
            </w:r>
          </w:p>
          <w:p w:rsidR="007244B4" w:rsidRPr="007244B4" w:rsidP="007244B4">
            <w:pPr>
              <w:pStyle w:val="NoSpacing"/>
              <w:jc w:val="both"/>
              <w:rPr>
                <w:lang w:val="lv-LV"/>
              </w:rPr>
            </w:pPr>
            <w:r w:rsidRPr="007244B4">
              <w:rPr>
                <w:lang w:val="lv-LV"/>
              </w:rPr>
              <w:t>Pacienti, kuri vēlas saņemt atlīdzību par pacienta dzīvībai vai veselības nodarīto kaitējumu, kā arī atlīdzību par ārstniecības izdevumiem</w:t>
            </w:r>
          </w:p>
          <w:p w:rsidR="00E5323B" w:rsidP="007244B4">
            <w:pPr>
              <w:spacing w:after="0" w:line="240" w:lineRule="auto"/>
              <w:jc w:val="both"/>
              <w:rPr>
                <w:rFonts w:ascii="Times New Roman" w:hAnsi="Times New Roman" w:cs="Times New Roman"/>
                <w:sz w:val="24"/>
                <w:szCs w:val="24"/>
              </w:rPr>
            </w:pPr>
            <w:r w:rsidRPr="007244B4">
              <w:rPr>
                <w:rFonts w:ascii="Times New Roman" w:hAnsi="Times New Roman" w:cs="Times New Roman"/>
                <w:sz w:val="24"/>
                <w:szCs w:val="24"/>
              </w:rPr>
              <w:t>Ārstniecības personu profesionālās organizācijas, ārstniecības iestādes un augstskolas, kuras īsteno akadēmiskās un otrā līmeņa profesionālās studiju programmas medicīnā</w:t>
            </w:r>
            <w:r w:rsidR="00391B0D">
              <w:rPr>
                <w:rFonts w:ascii="Times New Roman" w:hAnsi="Times New Roman" w:cs="Times New Roman"/>
                <w:sz w:val="24"/>
                <w:szCs w:val="24"/>
              </w:rPr>
              <w:t xml:space="preserve"> un vēlas reģistrēt klīniskās vadlīnijas vai medicīniskās tehnoloģijas</w:t>
            </w:r>
          </w:p>
          <w:p w:rsidR="00391B0D" w:rsidP="00391B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Sportisti un sporta darbinieki</w:t>
            </w:r>
          </w:p>
          <w:p w:rsidR="00391B0D" w:rsidRPr="00391B0D" w:rsidP="00391B0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Nepilngadīgi sportisti un bērni ar paaugstinātu fizisku slodzi</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784A" w:rsidP="00E5323B">
            <w:pPr>
              <w:spacing w:after="0" w:line="240" w:lineRule="auto"/>
              <w:rPr>
                <w:rFonts w:ascii="Times New Roman" w:eastAsia="Times New Roman" w:hAnsi="Times New Roman" w:cs="Times New Roman"/>
                <w:iCs/>
                <w:color w:val="414142"/>
                <w:sz w:val="24"/>
                <w:szCs w:val="24"/>
                <w:lang w:eastAsia="lv-LV"/>
              </w:rPr>
            </w:pPr>
            <w:r w:rsidRPr="0072784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2784A" w:rsidP="00E5323B">
            <w:pPr>
              <w:spacing w:after="0" w:line="240" w:lineRule="auto"/>
              <w:rPr>
                <w:rFonts w:ascii="Times New Roman" w:eastAsia="Times New Roman" w:hAnsi="Times New Roman" w:cs="Times New Roman"/>
                <w:iCs/>
                <w:sz w:val="24"/>
                <w:szCs w:val="24"/>
                <w:lang w:eastAsia="lv-LV"/>
              </w:rPr>
            </w:pPr>
            <w:r w:rsidRPr="0072784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391B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784A" w:rsidP="00E5323B">
            <w:pPr>
              <w:spacing w:after="0" w:line="240" w:lineRule="auto"/>
              <w:rPr>
                <w:rFonts w:ascii="Times New Roman" w:eastAsia="Times New Roman" w:hAnsi="Times New Roman" w:cs="Times New Roman"/>
                <w:iCs/>
                <w:color w:val="414142"/>
                <w:sz w:val="24"/>
                <w:szCs w:val="24"/>
                <w:lang w:eastAsia="lv-LV"/>
              </w:rPr>
            </w:pPr>
            <w:r w:rsidRPr="0072784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2784A" w:rsidP="00E5323B">
            <w:pPr>
              <w:spacing w:after="0" w:line="240" w:lineRule="auto"/>
              <w:rPr>
                <w:rFonts w:ascii="Times New Roman" w:eastAsia="Times New Roman" w:hAnsi="Times New Roman" w:cs="Times New Roman"/>
                <w:iCs/>
                <w:sz w:val="24"/>
                <w:szCs w:val="24"/>
                <w:lang w:eastAsia="lv-LV"/>
              </w:rPr>
            </w:pPr>
            <w:r w:rsidRPr="0072784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91B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2784A" w:rsidP="00E5323B">
            <w:pPr>
              <w:spacing w:after="0" w:line="240" w:lineRule="auto"/>
              <w:rPr>
                <w:rFonts w:ascii="Times New Roman" w:eastAsia="Times New Roman" w:hAnsi="Times New Roman" w:cs="Times New Roman"/>
                <w:iCs/>
                <w:color w:val="414142"/>
                <w:sz w:val="24"/>
                <w:szCs w:val="24"/>
                <w:lang w:eastAsia="lv-LV"/>
              </w:rPr>
            </w:pPr>
            <w:r w:rsidRPr="0072784A">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2784A" w:rsidP="00E5323B">
            <w:pPr>
              <w:spacing w:after="0" w:line="240" w:lineRule="auto"/>
              <w:rPr>
                <w:rFonts w:ascii="Times New Roman" w:eastAsia="Times New Roman" w:hAnsi="Times New Roman" w:cs="Times New Roman"/>
                <w:iCs/>
                <w:sz w:val="24"/>
                <w:szCs w:val="24"/>
                <w:lang w:eastAsia="lv-LV"/>
              </w:rPr>
            </w:pPr>
            <w:r w:rsidRPr="0072784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91B0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2784A" w:rsidP="00E5323B">
            <w:pPr>
              <w:spacing w:after="0" w:line="240" w:lineRule="auto"/>
              <w:rPr>
                <w:rFonts w:ascii="Times New Roman" w:eastAsia="Times New Roman" w:hAnsi="Times New Roman" w:cs="Times New Roman"/>
                <w:iCs/>
                <w:sz w:val="24"/>
                <w:szCs w:val="24"/>
                <w:lang w:val="en-US" w:eastAsia="lv-LV"/>
              </w:rPr>
            </w:pPr>
            <w:r w:rsidRPr="0072784A">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91B0D"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48"/>
        <w:gridCol w:w="1150"/>
        <w:gridCol w:w="1054"/>
        <w:gridCol w:w="867"/>
        <w:gridCol w:w="1054"/>
        <w:gridCol w:w="867"/>
        <w:gridCol w:w="1054"/>
        <w:gridCol w:w="1261"/>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050C6A" w:rsidP="00E5323B">
            <w:pPr>
              <w:spacing w:after="0" w:line="240" w:lineRule="auto"/>
              <w:rPr>
                <w:rFonts w:ascii="Times New Roman" w:eastAsia="Times New Roman" w:hAnsi="Times New Roman" w:cs="Times New Roman"/>
                <w:b/>
                <w:bCs/>
                <w:iCs/>
                <w:sz w:val="24"/>
                <w:szCs w:val="24"/>
                <w:lang w:eastAsia="lv-LV"/>
              </w:rPr>
            </w:pPr>
            <w:r w:rsidRPr="00050C6A">
              <w:rPr>
                <w:rFonts w:ascii="Times New Roman" w:eastAsia="Times New Roman" w:hAnsi="Times New Roman" w:cs="Times New Roman"/>
                <w:b/>
                <w:bCs/>
                <w:iCs/>
                <w:sz w:val="24"/>
                <w:szCs w:val="24"/>
                <w:lang w:eastAsia="lv-LV"/>
              </w:rPr>
              <w:t>III. Tiesību akta projekta ietekme uz valsts budžetu un pašvaldību budžetiem</w:t>
            </w:r>
          </w:p>
        </w:tc>
      </w:tr>
      <w:tr w:rsidTr="002917ED">
        <w:tblPrEx>
          <w:tblW w:w="5000" w:type="pct"/>
          <w:tblCellSpacing w:w="15" w:type="dxa"/>
          <w:tblCellMar>
            <w:top w:w="30" w:type="dxa"/>
            <w:left w:w="30" w:type="dxa"/>
            <w:bottom w:w="30" w:type="dxa"/>
            <w:right w:w="30" w:type="dxa"/>
          </w:tblCellMar>
          <w:tblLook w:val="04A0"/>
        </w:tblPrEx>
        <w:trPr>
          <w:tblCellSpacing w:w="15" w:type="dxa"/>
        </w:trPr>
        <w:tc>
          <w:tcPr>
            <w:tcW w:w="923"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DE335B" w:rsidP="00DE335B">
            <w:pPr>
              <w:spacing w:after="0" w:line="240" w:lineRule="auto"/>
              <w:jc w:val="center"/>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Rādītāji</w:t>
            </w:r>
          </w:p>
        </w:tc>
        <w:tc>
          <w:tcPr>
            <w:tcW w:w="107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050C6A" w:rsidP="00DE335B">
            <w:pPr>
              <w:spacing w:after="0" w:line="240" w:lineRule="auto"/>
              <w:jc w:val="center"/>
              <w:rPr>
                <w:rFonts w:ascii="Times New Roman" w:eastAsia="Times New Roman" w:hAnsi="Times New Roman" w:cs="Times New Roman"/>
                <w:iCs/>
                <w:sz w:val="24"/>
                <w:szCs w:val="24"/>
                <w:lang w:eastAsia="lv-LV"/>
              </w:rPr>
            </w:pPr>
            <w:r w:rsidRPr="00050C6A">
              <w:rPr>
                <w:rFonts w:ascii="Times New Roman" w:eastAsia="Times New Roman" w:hAnsi="Times New Roman" w:cs="Times New Roman"/>
                <w:iCs/>
                <w:sz w:val="24"/>
                <w:szCs w:val="24"/>
                <w:lang w:eastAsia="lv-LV"/>
              </w:rPr>
              <w:t>2018.</w:t>
            </w:r>
            <w:r w:rsidRPr="00050C6A" w:rsidR="00E5323B">
              <w:rPr>
                <w:rFonts w:ascii="Times New Roman" w:eastAsia="Times New Roman" w:hAnsi="Times New Roman" w:cs="Times New Roman"/>
                <w:iCs/>
                <w:sz w:val="24"/>
                <w:szCs w:val="24"/>
                <w:lang w:eastAsia="lv-LV"/>
              </w:rPr>
              <w:t>gads</w:t>
            </w:r>
          </w:p>
        </w:tc>
        <w:tc>
          <w:tcPr>
            <w:tcW w:w="2936" w:type="pct"/>
            <w:gridSpan w:val="5"/>
            <w:tcBorders>
              <w:top w:val="outset" w:sz="6" w:space="0" w:color="auto"/>
              <w:left w:val="outset" w:sz="6" w:space="0" w:color="auto"/>
              <w:bottom w:val="outset" w:sz="6" w:space="0" w:color="auto"/>
              <w:right w:val="outset" w:sz="6" w:space="0" w:color="auto"/>
            </w:tcBorders>
            <w:vAlign w:val="center"/>
            <w:hideMark/>
          </w:tcPr>
          <w:p w:rsidR="00655F2C" w:rsidRPr="00050C6A" w:rsidP="00DE335B">
            <w:pPr>
              <w:spacing w:after="0" w:line="240" w:lineRule="auto"/>
              <w:jc w:val="center"/>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Turpmākie trīs gadi (</w:t>
            </w:r>
            <w:r w:rsidRPr="00050C6A">
              <w:rPr>
                <w:rFonts w:ascii="Times New Roman" w:eastAsia="Times New Roman" w:hAnsi="Times New Roman" w:cs="Times New Roman"/>
                <w:i/>
                <w:iCs/>
                <w:sz w:val="24"/>
                <w:szCs w:val="24"/>
                <w:lang w:val="en-US" w:eastAsia="lv-LV"/>
              </w:rPr>
              <w:t>euro</w:t>
            </w:r>
            <w:r w:rsidRPr="00050C6A">
              <w:rPr>
                <w:rFonts w:ascii="Times New Roman" w:eastAsia="Times New Roman" w:hAnsi="Times New Roman" w:cs="Times New Roman"/>
                <w:iCs/>
                <w:sz w:val="24"/>
                <w:szCs w:val="24"/>
                <w:lang w:val="en-US" w:eastAsia="lv-LV"/>
              </w:rPr>
              <w:t>)</w:t>
            </w:r>
          </w:p>
        </w:tc>
      </w:tr>
      <w:tr w:rsidTr="00E123E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DE335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050C6A" w:rsidP="00E5323B">
            <w:pPr>
              <w:spacing w:after="0" w:line="240" w:lineRule="auto"/>
              <w:rPr>
                <w:rFonts w:ascii="Times New Roman" w:eastAsia="Times New Roman" w:hAnsi="Times New Roman" w:cs="Times New Roman"/>
                <w:iCs/>
                <w:sz w:val="24"/>
                <w:szCs w:val="24"/>
                <w:lang w:eastAsia="lv-LV"/>
              </w:rPr>
            </w:pPr>
          </w:p>
        </w:tc>
        <w:tc>
          <w:tcPr>
            <w:tcW w:w="1076" w:type="pct"/>
            <w:gridSpan w:val="2"/>
            <w:tcBorders>
              <w:top w:val="outset" w:sz="6" w:space="0" w:color="auto"/>
              <w:left w:val="outset" w:sz="6" w:space="0" w:color="auto"/>
              <w:bottom w:val="outset" w:sz="6" w:space="0" w:color="auto"/>
              <w:right w:val="outset" w:sz="6" w:space="0" w:color="auto"/>
            </w:tcBorders>
            <w:vAlign w:val="center"/>
            <w:hideMark/>
          </w:tcPr>
          <w:p w:rsidR="00655F2C" w:rsidRPr="00050C6A" w:rsidP="00DE335B">
            <w:pPr>
              <w:spacing w:after="0" w:line="240" w:lineRule="auto"/>
              <w:jc w:val="center"/>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2019.gads</w:t>
            </w:r>
          </w:p>
        </w:tc>
        <w:tc>
          <w:tcPr>
            <w:tcW w:w="1076" w:type="pct"/>
            <w:gridSpan w:val="2"/>
            <w:tcBorders>
              <w:top w:val="outset" w:sz="6" w:space="0" w:color="auto"/>
              <w:left w:val="outset" w:sz="6" w:space="0" w:color="auto"/>
              <w:bottom w:val="outset" w:sz="6" w:space="0" w:color="auto"/>
              <w:right w:val="outset" w:sz="6" w:space="0" w:color="auto"/>
            </w:tcBorders>
            <w:vAlign w:val="center"/>
            <w:hideMark/>
          </w:tcPr>
          <w:p w:rsidR="00655F2C" w:rsidRPr="00050C6A" w:rsidP="00DE335B">
            <w:pPr>
              <w:spacing w:after="0" w:line="240" w:lineRule="auto"/>
              <w:jc w:val="center"/>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2020.gads</w:t>
            </w:r>
          </w:p>
        </w:tc>
        <w:tc>
          <w:tcPr>
            <w:tcW w:w="752" w:type="pct"/>
            <w:tcBorders>
              <w:top w:val="outset" w:sz="6" w:space="0" w:color="auto"/>
              <w:left w:val="outset" w:sz="6" w:space="0" w:color="auto"/>
              <w:bottom w:val="outset" w:sz="6" w:space="0" w:color="auto"/>
              <w:right w:val="outset" w:sz="6" w:space="0" w:color="auto"/>
            </w:tcBorders>
            <w:vAlign w:val="center"/>
            <w:hideMark/>
          </w:tcPr>
          <w:p w:rsidR="00655F2C" w:rsidRPr="00050C6A" w:rsidP="00DE335B">
            <w:pPr>
              <w:spacing w:after="0" w:line="240" w:lineRule="auto"/>
              <w:jc w:val="center"/>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2021.gads</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DE335B" w:rsidP="00E5323B">
            <w:pPr>
              <w:spacing w:after="0" w:line="240" w:lineRule="auto"/>
              <w:rPr>
                <w:rFonts w:ascii="Times New Roman" w:eastAsia="Times New Roman" w:hAnsi="Times New Roman" w:cs="Times New Roman"/>
                <w:iCs/>
                <w:sz w:val="24"/>
                <w:szCs w:val="24"/>
                <w:lang w:eastAsia="lv-LV"/>
              </w:rPr>
            </w:pPr>
          </w:p>
        </w:tc>
        <w:tc>
          <w:tcPr>
            <w:tcW w:w="691" w:type="pct"/>
            <w:tcBorders>
              <w:top w:val="outset" w:sz="6" w:space="0" w:color="auto"/>
              <w:left w:val="outset" w:sz="6" w:space="0" w:color="auto"/>
              <w:bottom w:val="outset" w:sz="6" w:space="0" w:color="auto"/>
              <w:right w:val="outset" w:sz="6" w:space="0" w:color="auto"/>
            </w:tcBorders>
            <w:vAlign w:val="center"/>
            <w:hideMark/>
          </w:tcPr>
          <w:p w:rsidR="00655F2C" w:rsidRPr="00050C6A" w:rsidP="00DE335B">
            <w:pPr>
              <w:spacing w:after="0" w:line="240" w:lineRule="auto"/>
              <w:jc w:val="center"/>
              <w:rPr>
                <w:rFonts w:ascii="Times New Roman" w:eastAsia="Times New Roman" w:hAnsi="Times New Roman" w:cs="Times New Roman"/>
                <w:iCs/>
                <w:sz w:val="24"/>
                <w:szCs w:val="24"/>
                <w:lang w:eastAsia="lv-LV"/>
              </w:rPr>
            </w:pPr>
            <w:r w:rsidRPr="00050C6A">
              <w:rPr>
                <w:rFonts w:ascii="Times New Roman" w:eastAsia="Times New Roman" w:hAnsi="Times New Roman" w:cs="Times New Roman"/>
                <w:iCs/>
                <w:sz w:val="24"/>
                <w:szCs w:val="24"/>
                <w:lang w:eastAsia="lv-LV"/>
              </w:rPr>
              <w:t>saskaņā ar valsts budžetu kārtējam gadam</w:t>
            </w:r>
          </w:p>
        </w:tc>
        <w:tc>
          <w:tcPr>
            <w:tcW w:w="369" w:type="pct"/>
            <w:tcBorders>
              <w:top w:val="outset" w:sz="6" w:space="0" w:color="auto"/>
              <w:left w:val="outset" w:sz="6" w:space="0" w:color="auto"/>
              <w:bottom w:val="outset" w:sz="6" w:space="0" w:color="auto"/>
              <w:right w:val="outset" w:sz="6" w:space="0" w:color="auto"/>
            </w:tcBorders>
            <w:vAlign w:val="center"/>
            <w:hideMark/>
          </w:tcPr>
          <w:p w:rsidR="00655F2C" w:rsidRPr="00050C6A" w:rsidP="00DE335B">
            <w:pPr>
              <w:spacing w:after="0" w:line="240" w:lineRule="auto"/>
              <w:jc w:val="center"/>
              <w:rPr>
                <w:rFonts w:ascii="Times New Roman" w:eastAsia="Times New Roman" w:hAnsi="Times New Roman" w:cs="Times New Roman"/>
                <w:iCs/>
                <w:sz w:val="24"/>
                <w:szCs w:val="24"/>
                <w:lang w:eastAsia="lv-LV"/>
              </w:rPr>
            </w:pPr>
            <w:r w:rsidRPr="00050C6A">
              <w:rPr>
                <w:rFonts w:ascii="Times New Roman" w:eastAsia="Times New Roman" w:hAnsi="Times New Roman" w:cs="Times New Roman"/>
                <w:iCs/>
                <w:sz w:val="24"/>
                <w:szCs w:val="24"/>
                <w:lang w:eastAsia="lv-LV"/>
              </w:rPr>
              <w:t>izmaiņas kārtējā gadā, salīdzinot ar valsts budžetu kārtējam gadam</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050C6A" w:rsidP="00DE335B">
            <w:pPr>
              <w:spacing w:after="0" w:line="240" w:lineRule="auto"/>
              <w:jc w:val="center"/>
              <w:rPr>
                <w:rFonts w:ascii="Times New Roman" w:eastAsia="Times New Roman" w:hAnsi="Times New Roman" w:cs="Times New Roman"/>
                <w:iCs/>
                <w:sz w:val="24"/>
                <w:szCs w:val="24"/>
                <w:lang w:val="sv-SE" w:eastAsia="lv-LV"/>
              </w:rPr>
            </w:pPr>
            <w:r w:rsidRPr="00050C6A">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050C6A" w:rsidP="00DE335B">
            <w:pPr>
              <w:spacing w:after="0" w:line="240" w:lineRule="auto"/>
              <w:jc w:val="center"/>
              <w:rPr>
                <w:rFonts w:ascii="Times New Roman" w:eastAsia="Times New Roman" w:hAnsi="Times New Roman" w:cs="Times New Roman"/>
                <w:iCs/>
                <w:sz w:val="24"/>
                <w:szCs w:val="24"/>
                <w:lang w:val="sv-SE" w:eastAsia="lv-LV"/>
              </w:rPr>
            </w:pPr>
            <w:r w:rsidRPr="00050C6A">
              <w:rPr>
                <w:rFonts w:ascii="Times New Roman" w:eastAsia="Times New Roman" w:hAnsi="Times New Roman" w:cs="Times New Roman"/>
                <w:iCs/>
                <w:sz w:val="24"/>
                <w:szCs w:val="24"/>
                <w:lang w:val="sv-SE" w:eastAsia="lv-LV"/>
              </w:rPr>
              <w:t>izmaiņas, salīdzinot ar vidēja termiņa budžeta ietvaru n+1 gadam</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050C6A" w:rsidP="00DE335B">
            <w:pPr>
              <w:spacing w:after="0" w:line="240" w:lineRule="auto"/>
              <w:jc w:val="center"/>
              <w:rPr>
                <w:rFonts w:ascii="Times New Roman" w:eastAsia="Times New Roman" w:hAnsi="Times New Roman" w:cs="Times New Roman"/>
                <w:iCs/>
                <w:sz w:val="24"/>
                <w:szCs w:val="24"/>
                <w:lang w:val="sv-SE" w:eastAsia="lv-LV"/>
              </w:rPr>
            </w:pPr>
            <w:r w:rsidRPr="00050C6A">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050C6A" w:rsidP="00DE335B">
            <w:pPr>
              <w:spacing w:after="0" w:line="240" w:lineRule="auto"/>
              <w:jc w:val="center"/>
              <w:rPr>
                <w:rFonts w:ascii="Times New Roman" w:eastAsia="Times New Roman" w:hAnsi="Times New Roman" w:cs="Times New Roman"/>
                <w:iCs/>
                <w:sz w:val="24"/>
                <w:szCs w:val="24"/>
                <w:lang w:val="sv-SE" w:eastAsia="lv-LV"/>
              </w:rPr>
            </w:pPr>
            <w:r w:rsidRPr="00050C6A">
              <w:rPr>
                <w:rFonts w:ascii="Times New Roman" w:eastAsia="Times New Roman" w:hAnsi="Times New Roman" w:cs="Times New Roman"/>
                <w:iCs/>
                <w:sz w:val="24"/>
                <w:szCs w:val="24"/>
                <w:lang w:val="sv-SE" w:eastAsia="lv-LV"/>
              </w:rPr>
              <w:t>izmaiņas, salīdzinot ar vidēja termiņa budžeta ietvaru n+2 gadam</w:t>
            </w:r>
          </w:p>
        </w:tc>
        <w:tc>
          <w:tcPr>
            <w:tcW w:w="752" w:type="pct"/>
            <w:tcBorders>
              <w:top w:val="outset" w:sz="6" w:space="0" w:color="auto"/>
              <w:left w:val="outset" w:sz="6" w:space="0" w:color="auto"/>
              <w:bottom w:val="outset" w:sz="6" w:space="0" w:color="auto"/>
              <w:right w:val="outset" w:sz="6" w:space="0" w:color="auto"/>
            </w:tcBorders>
            <w:vAlign w:val="center"/>
            <w:hideMark/>
          </w:tcPr>
          <w:p w:rsidR="00655F2C" w:rsidRPr="00050C6A" w:rsidP="00DE335B">
            <w:pPr>
              <w:spacing w:after="0" w:line="240" w:lineRule="auto"/>
              <w:jc w:val="center"/>
              <w:rPr>
                <w:rFonts w:ascii="Times New Roman" w:eastAsia="Times New Roman" w:hAnsi="Times New Roman" w:cs="Times New Roman"/>
                <w:iCs/>
                <w:sz w:val="24"/>
                <w:szCs w:val="24"/>
                <w:lang w:val="sv-SE" w:eastAsia="lv-LV"/>
              </w:rPr>
            </w:pPr>
            <w:r w:rsidRPr="00050C6A">
              <w:rPr>
                <w:rFonts w:ascii="Times New Roman" w:eastAsia="Times New Roman" w:hAnsi="Times New Roman" w:cs="Times New Roman"/>
                <w:iCs/>
                <w:sz w:val="24"/>
                <w:szCs w:val="24"/>
                <w:lang w:val="sv-SE" w:eastAsia="lv-LV"/>
              </w:rPr>
              <w:t>izmaiņas, salīdzinot ar vidēja termiņa budžeta ietvaru n+2 gadam</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vAlign w:val="center"/>
            <w:hideMark/>
          </w:tcPr>
          <w:p w:rsidR="00655F2C" w:rsidRPr="006B16EB" w:rsidP="006B16EB">
            <w:pPr>
              <w:spacing w:after="0" w:line="240" w:lineRule="auto"/>
              <w:jc w:val="center"/>
              <w:rPr>
                <w:rFonts w:ascii="Times New Roman" w:eastAsia="Times New Roman" w:hAnsi="Times New Roman" w:cs="Times New Roman"/>
                <w:iCs/>
                <w:sz w:val="20"/>
                <w:szCs w:val="20"/>
                <w:lang w:eastAsia="lv-LV"/>
              </w:rPr>
            </w:pPr>
            <w:r w:rsidRPr="006B16EB">
              <w:rPr>
                <w:rFonts w:ascii="Times New Roman" w:eastAsia="Times New Roman" w:hAnsi="Times New Roman" w:cs="Times New Roman"/>
                <w:iCs/>
                <w:sz w:val="20"/>
                <w:szCs w:val="20"/>
                <w:lang w:eastAsia="lv-LV"/>
              </w:rPr>
              <w:t>1</w:t>
            </w:r>
          </w:p>
        </w:tc>
        <w:tc>
          <w:tcPr>
            <w:tcW w:w="691" w:type="pct"/>
            <w:tcBorders>
              <w:top w:val="outset" w:sz="6" w:space="0" w:color="auto"/>
              <w:left w:val="outset" w:sz="6" w:space="0" w:color="auto"/>
              <w:bottom w:val="outset" w:sz="6" w:space="0" w:color="auto"/>
              <w:right w:val="outset" w:sz="6" w:space="0" w:color="auto"/>
            </w:tcBorders>
            <w:vAlign w:val="center"/>
            <w:hideMark/>
          </w:tcPr>
          <w:p w:rsidR="00655F2C" w:rsidRPr="00050C6A" w:rsidP="006B16EB">
            <w:pPr>
              <w:spacing w:after="0" w:line="240" w:lineRule="auto"/>
              <w:jc w:val="center"/>
              <w:rPr>
                <w:rFonts w:ascii="Times New Roman" w:eastAsia="Times New Roman" w:hAnsi="Times New Roman" w:cs="Times New Roman"/>
                <w:iCs/>
                <w:sz w:val="20"/>
                <w:szCs w:val="20"/>
                <w:lang w:eastAsia="lv-LV"/>
              </w:rPr>
            </w:pPr>
            <w:r w:rsidRPr="00050C6A">
              <w:rPr>
                <w:rFonts w:ascii="Times New Roman" w:eastAsia="Times New Roman" w:hAnsi="Times New Roman" w:cs="Times New Roman"/>
                <w:iCs/>
                <w:sz w:val="20"/>
                <w:szCs w:val="20"/>
                <w:lang w:eastAsia="lv-LV"/>
              </w:rPr>
              <w:t>2</w:t>
            </w:r>
          </w:p>
        </w:tc>
        <w:tc>
          <w:tcPr>
            <w:tcW w:w="369" w:type="pct"/>
            <w:tcBorders>
              <w:top w:val="outset" w:sz="6" w:space="0" w:color="auto"/>
              <w:left w:val="outset" w:sz="6" w:space="0" w:color="auto"/>
              <w:bottom w:val="outset" w:sz="6" w:space="0" w:color="auto"/>
              <w:right w:val="outset" w:sz="6" w:space="0" w:color="auto"/>
            </w:tcBorders>
            <w:vAlign w:val="center"/>
            <w:hideMark/>
          </w:tcPr>
          <w:p w:rsidR="00655F2C" w:rsidRPr="00050C6A" w:rsidP="006B16EB">
            <w:pPr>
              <w:spacing w:after="0" w:line="240" w:lineRule="auto"/>
              <w:jc w:val="center"/>
              <w:rPr>
                <w:rFonts w:ascii="Times New Roman" w:eastAsia="Times New Roman" w:hAnsi="Times New Roman" w:cs="Times New Roman"/>
                <w:iCs/>
                <w:sz w:val="20"/>
                <w:szCs w:val="20"/>
                <w:lang w:eastAsia="lv-LV"/>
              </w:rPr>
            </w:pPr>
            <w:r w:rsidRPr="00050C6A">
              <w:rPr>
                <w:rFonts w:ascii="Times New Roman" w:eastAsia="Times New Roman" w:hAnsi="Times New Roman" w:cs="Times New Roman"/>
                <w:iCs/>
                <w:sz w:val="20"/>
                <w:szCs w:val="20"/>
                <w:lang w:eastAsia="lv-LV"/>
              </w:rPr>
              <w:t>3</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050C6A" w:rsidP="006B16EB">
            <w:pPr>
              <w:spacing w:after="0" w:line="240" w:lineRule="auto"/>
              <w:jc w:val="center"/>
              <w:rPr>
                <w:rFonts w:ascii="Times New Roman" w:eastAsia="Times New Roman" w:hAnsi="Times New Roman" w:cs="Times New Roman"/>
                <w:iCs/>
                <w:sz w:val="20"/>
                <w:szCs w:val="20"/>
                <w:lang w:val="en-US" w:eastAsia="lv-LV"/>
              </w:rPr>
            </w:pPr>
            <w:r w:rsidRPr="00050C6A">
              <w:rPr>
                <w:rFonts w:ascii="Times New Roman" w:eastAsia="Times New Roman" w:hAnsi="Times New Roman" w:cs="Times New Roman"/>
                <w:iCs/>
                <w:sz w:val="20"/>
                <w:szCs w:val="20"/>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050C6A" w:rsidP="006B16EB">
            <w:pPr>
              <w:spacing w:after="0" w:line="240" w:lineRule="auto"/>
              <w:jc w:val="center"/>
              <w:rPr>
                <w:rFonts w:ascii="Times New Roman" w:eastAsia="Times New Roman" w:hAnsi="Times New Roman" w:cs="Times New Roman"/>
                <w:iCs/>
                <w:sz w:val="20"/>
                <w:szCs w:val="20"/>
                <w:lang w:val="en-US" w:eastAsia="lv-LV"/>
              </w:rPr>
            </w:pPr>
            <w:r w:rsidRPr="00050C6A">
              <w:rPr>
                <w:rFonts w:ascii="Times New Roman" w:eastAsia="Times New Roman" w:hAnsi="Times New Roman" w:cs="Times New Roman"/>
                <w:iCs/>
                <w:sz w:val="20"/>
                <w:szCs w:val="20"/>
                <w:lang w:val="en-US" w:eastAsia="lv-LV"/>
              </w:rPr>
              <w:t>5</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050C6A" w:rsidP="006B16EB">
            <w:pPr>
              <w:spacing w:after="0" w:line="240" w:lineRule="auto"/>
              <w:jc w:val="center"/>
              <w:rPr>
                <w:rFonts w:ascii="Times New Roman" w:eastAsia="Times New Roman" w:hAnsi="Times New Roman" w:cs="Times New Roman"/>
                <w:iCs/>
                <w:sz w:val="20"/>
                <w:szCs w:val="20"/>
                <w:lang w:val="en-US" w:eastAsia="lv-LV"/>
              </w:rPr>
            </w:pPr>
            <w:r w:rsidRPr="00050C6A">
              <w:rPr>
                <w:rFonts w:ascii="Times New Roman" w:eastAsia="Times New Roman" w:hAnsi="Times New Roman" w:cs="Times New Roman"/>
                <w:iCs/>
                <w:sz w:val="20"/>
                <w:szCs w:val="20"/>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050C6A" w:rsidP="006B16EB">
            <w:pPr>
              <w:spacing w:after="0" w:line="240" w:lineRule="auto"/>
              <w:jc w:val="center"/>
              <w:rPr>
                <w:rFonts w:ascii="Times New Roman" w:eastAsia="Times New Roman" w:hAnsi="Times New Roman" w:cs="Times New Roman"/>
                <w:iCs/>
                <w:sz w:val="20"/>
                <w:szCs w:val="20"/>
                <w:lang w:val="en-US" w:eastAsia="lv-LV"/>
              </w:rPr>
            </w:pPr>
            <w:r w:rsidRPr="00050C6A">
              <w:rPr>
                <w:rFonts w:ascii="Times New Roman" w:eastAsia="Times New Roman" w:hAnsi="Times New Roman" w:cs="Times New Roman"/>
                <w:iCs/>
                <w:sz w:val="20"/>
                <w:szCs w:val="20"/>
                <w:lang w:val="en-US" w:eastAsia="lv-LV"/>
              </w:rPr>
              <w:t>7</w:t>
            </w:r>
          </w:p>
        </w:tc>
        <w:tc>
          <w:tcPr>
            <w:tcW w:w="752" w:type="pct"/>
            <w:tcBorders>
              <w:top w:val="outset" w:sz="6" w:space="0" w:color="auto"/>
              <w:left w:val="outset" w:sz="6" w:space="0" w:color="auto"/>
              <w:bottom w:val="outset" w:sz="6" w:space="0" w:color="auto"/>
              <w:right w:val="outset" w:sz="6" w:space="0" w:color="auto"/>
            </w:tcBorders>
            <w:vAlign w:val="center"/>
            <w:hideMark/>
          </w:tcPr>
          <w:p w:rsidR="00655F2C" w:rsidRPr="00050C6A" w:rsidP="006B16EB">
            <w:pPr>
              <w:spacing w:after="0" w:line="240" w:lineRule="auto"/>
              <w:jc w:val="center"/>
              <w:rPr>
                <w:rFonts w:ascii="Times New Roman" w:eastAsia="Times New Roman" w:hAnsi="Times New Roman" w:cs="Times New Roman"/>
                <w:iCs/>
                <w:sz w:val="20"/>
                <w:szCs w:val="20"/>
                <w:lang w:val="en-US" w:eastAsia="lv-LV"/>
              </w:rPr>
            </w:pPr>
            <w:r w:rsidRPr="00050C6A">
              <w:rPr>
                <w:rFonts w:ascii="Times New Roman" w:eastAsia="Times New Roman" w:hAnsi="Times New Roman" w:cs="Times New Roman"/>
                <w:iCs/>
                <w:sz w:val="20"/>
                <w:szCs w:val="20"/>
                <w:lang w:val="en-US" w:eastAsia="lv-LV"/>
              </w:rPr>
              <w:t>8</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1. Budžeta ieņēmumi</w:t>
            </w:r>
          </w:p>
        </w:tc>
        <w:tc>
          <w:tcPr>
            <w:tcW w:w="691"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240 642 620</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185 950 686</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185 950 686</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91"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240 642 620</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jc w:val="both"/>
              <w:rPr>
                <w:rFonts w:ascii="Times New Roman" w:eastAsia="Times New Roman" w:hAnsi="Times New Roman" w:cs="Times New Roman"/>
                <w:iCs/>
                <w:sz w:val="20"/>
                <w:szCs w:val="20"/>
                <w:lang w:eastAsia="lv-LV"/>
              </w:rPr>
            </w:pPr>
          </w:p>
          <w:p w:rsidR="00E123EF" w:rsidRPr="00B74682" w:rsidP="00E123EF">
            <w:pPr>
              <w:spacing w:after="0" w:line="240" w:lineRule="auto"/>
              <w:jc w:val="both"/>
              <w:rPr>
                <w:rFonts w:ascii="Times New Roman" w:eastAsia="Times New Roman" w:hAnsi="Times New Roman" w:cs="Times New Roman"/>
                <w:iCs/>
                <w:sz w:val="20"/>
                <w:szCs w:val="20"/>
                <w:lang w:eastAsia="lv-LV"/>
              </w:rPr>
            </w:pPr>
          </w:p>
          <w:p w:rsidR="00E123EF" w:rsidRPr="00B74682" w:rsidP="00E123EF">
            <w:pPr>
              <w:spacing w:after="0" w:line="240" w:lineRule="auto"/>
              <w:jc w:val="both"/>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-127 988</w:t>
            </w:r>
          </w:p>
          <w:p w:rsidR="00E123EF" w:rsidRPr="00B74682" w:rsidP="00E123EF">
            <w:pPr>
              <w:spacing w:after="0" w:line="240" w:lineRule="auto"/>
              <w:jc w:val="both"/>
              <w:rPr>
                <w:rFonts w:ascii="Times New Roman" w:eastAsia="Times New Roman" w:hAnsi="Times New Roman" w:cs="Times New Roman"/>
                <w:iCs/>
                <w:sz w:val="20"/>
                <w:szCs w:val="20"/>
                <w:lang w:eastAsia="lv-LV"/>
              </w:rPr>
            </w:pPr>
          </w:p>
          <w:p w:rsidR="00E123EF" w:rsidRPr="00B74682" w:rsidP="00E123EF">
            <w:pPr>
              <w:spacing w:after="0" w:line="240" w:lineRule="auto"/>
              <w:jc w:val="both"/>
              <w:rPr>
                <w:rFonts w:ascii="Times New Roman" w:eastAsia="Times New Roman" w:hAnsi="Times New Roman" w:cs="Times New Roman"/>
                <w:iCs/>
                <w:sz w:val="20"/>
                <w:szCs w:val="20"/>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185 950 686</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p>
          <w:p w:rsidR="00E123EF" w:rsidRPr="00B74682" w:rsidP="00E123EF">
            <w:pPr>
              <w:spacing w:after="0" w:line="240" w:lineRule="auto"/>
              <w:rPr>
                <w:rFonts w:ascii="Times New Roman" w:eastAsia="Times New Roman" w:hAnsi="Times New Roman" w:cs="Times New Roman"/>
                <w:iCs/>
                <w:sz w:val="20"/>
                <w:szCs w:val="20"/>
                <w:lang w:val="en-US" w:eastAsia="lv-LV"/>
              </w:rPr>
            </w:pPr>
          </w:p>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-255 975</w:t>
            </w:r>
          </w:p>
          <w:p w:rsidR="00E123EF" w:rsidRPr="00B74682" w:rsidP="00E123EF">
            <w:pPr>
              <w:spacing w:after="0" w:line="240" w:lineRule="auto"/>
              <w:rPr>
                <w:rFonts w:ascii="Times New Roman" w:eastAsia="Times New Roman" w:hAnsi="Times New Roman" w:cs="Times New Roman"/>
                <w:iCs/>
                <w:sz w:val="20"/>
                <w:szCs w:val="20"/>
                <w:lang w:val="en-US" w:eastAsia="lv-LV"/>
              </w:rPr>
            </w:pPr>
          </w:p>
          <w:p w:rsidR="00E123EF" w:rsidRPr="00B74682" w:rsidP="00E123EF">
            <w:pPr>
              <w:spacing w:after="0" w:line="240" w:lineRule="auto"/>
              <w:rPr>
                <w:rFonts w:ascii="Times New Roman" w:eastAsia="Times New Roman" w:hAnsi="Times New Roman" w:cs="Times New Roman"/>
                <w:iCs/>
                <w:sz w:val="20"/>
                <w:szCs w:val="20"/>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185 950 686</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p>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-255 975</w:t>
            </w:r>
          </w:p>
          <w:p w:rsidR="00E123EF" w:rsidRPr="00B74682" w:rsidP="00E123EF">
            <w:pPr>
              <w:spacing w:after="0" w:line="240" w:lineRule="auto"/>
              <w:rPr>
                <w:rFonts w:ascii="Times New Roman" w:eastAsia="Times New Roman" w:hAnsi="Times New Roman" w:cs="Times New Roman"/>
                <w:iCs/>
                <w:sz w:val="24"/>
                <w:szCs w:val="24"/>
                <w:lang w:val="en-US" w:eastAsia="lv-LV"/>
              </w:rPr>
            </w:pPr>
          </w:p>
          <w:p w:rsidR="00E123EF" w:rsidRPr="00B74682" w:rsidP="00E123EF">
            <w:pPr>
              <w:spacing w:after="0" w:line="240" w:lineRule="auto"/>
              <w:rPr>
                <w:rFonts w:ascii="Times New Roman" w:eastAsia="Times New Roman" w:hAnsi="Times New Roman" w:cs="Times New Roman"/>
                <w:iCs/>
                <w:sz w:val="24"/>
                <w:szCs w:val="24"/>
                <w:lang w:val="en-US" w:eastAsia="lv-LV"/>
              </w:rPr>
            </w:pP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p w:rsidR="00E123EF" w:rsidRPr="00B74682" w:rsidP="00E123EF">
            <w:pPr>
              <w:spacing w:after="0" w:line="240" w:lineRule="auto"/>
              <w:rPr>
                <w:rFonts w:ascii="Times New Roman" w:eastAsia="Times New Roman" w:hAnsi="Times New Roman" w:cs="Times New Roman"/>
                <w:iCs/>
                <w:sz w:val="24"/>
                <w:szCs w:val="24"/>
                <w:lang w:val="en-US" w:eastAsia="lv-LV"/>
              </w:rPr>
            </w:pPr>
          </w:p>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-255 975</w:t>
            </w:r>
          </w:p>
          <w:p w:rsidR="00E123EF" w:rsidRPr="00B74682" w:rsidP="00E123EF">
            <w:pPr>
              <w:spacing w:after="0" w:line="240" w:lineRule="auto"/>
              <w:rPr>
                <w:rFonts w:ascii="Times New Roman" w:eastAsia="Times New Roman" w:hAnsi="Times New Roman" w:cs="Times New Roman"/>
                <w:iCs/>
                <w:sz w:val="24"/>
                <w:szCs w:val="24"/>
                <w:lang w:val="en-US" w:eastAsia="lv-LV"/>
              </w:rPr>
            </w:pPr>
          </w:p>
          <w:p w:rsidR="00E123EF" w:rsidRPr="00B74682" w:rsidP="00E123EF">
            <w:pPr>
              <w:spacing w:after="0" w:line="240" w:lineRule="auto"/>
              <w:rPr>
                <w:rFonts w:ascii="Times New Roman" w:eastAsia="Times New Roman" w:hAnsi="Times New Roman" w:cs="Times New Roman"/>
                <w:iCs/>
                <w:sz w:val="24"/>
                <w:szCs w:val="24"/>
                <w:lang w:val="en-US" w:eastAsia="lv-LV"/>
              </w:rPr>
            </w:pP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 xml:space="preserve">apakšprogramma </w:t>
            </w:r>
            <w:r>
              <w:rPr>
                <w:rFonts w:ascii="Times New Roman" w:eastAsia="Times New Roman" w:hAnsi="Times New Roman" w:cs="Times New Roman"/>
                <w:iCs/>
                <w:sz w:val="24"/>
                <w:szCs w:val="24"/>
                <w:lang w:eastAsia="lv-LV"/>
              </w:rPr>
              <w:t>02.04</w:t>
            </w:r>
            <w:r w:rsidRPr="00DE335B">
              <w:rPr>
                <w:rFonts w:ascii="Times New Roman" w:eastAsia="Times New Roman" w:hAnsi="Times New Roman" w:cs="Times New Roman"/>
                <w:iCs/>
                <w:sz w:val="24"/>
                <w:szCs w:val="24"/>
                <w:lang w:eastAsia="lv-LV"/>
              </w:rPr>
              <w:t>.00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11 946 867</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9 739 469</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9 739 469</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 xml:space="preserve">apakšprogramma </w:t>
            </w:r>
            <w:r>
              <w:rPr>
                <w:rFonts w:ascii="Times New Roman" w:eastAsia="Times New Roman" w:hAnsi="Times New Roman" w:cs="Times New Roman"/>
                <w:iCs/>
                <w:sz w:val="24"/>
                <w:szCs w:val="24"/>
                <w:lang w:eastAsia="lv-LV"/>
              </w:rPr>
              <w:t>33.16</w:t>
            </w:r>
            <w:r w:rsidRPr="00DE335B">
              <w:rPr>
                <w:rFonts w:ascii="Times New Roman" w:eastAsia="Times New Roman" w:hAnsi="Times New Roman" w:cs="Times New Roman"/>
                <w:iCs/>
                <w:sz w:val="24"/>
                <w:szCs w:val="24"/>
                <w:lang w:eastAsia="lv-LV"/>
              </w:rPr>
              <w:t>.00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209 472 242</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235 498</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157 907 996</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694 890</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157 907 996</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694 890</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694 890</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 xml:space="preserve">apakšprogramma </w:t>
            </w:r>
            <w:r w:rsidRPr="00DE335B">
              <w:rPr>
                <w:rFonts w:ascii="Times New Roman" w:eastAsia="Times New Roman" w:hAnsi="Times New Roman" w:cs="Times New Roman"/>
                <w:iCs/>
                <w:sz w:val="24"/>
                <w:szCs w:val="24"/>
                <w:lang w:eastAsia="lv-LV"/>
              </w:rPr>
              <w:t>39.02.00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1 768 048</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-359 928</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1 643 691</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-1 643 691</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1 643 691</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-1 643 691</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-1 643 691</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Jaunizveidojamā</w:t>
            </w:r>
            <w:r w:rsidRPr="00DE335B">
              <w:rPr>
                <w:rFonts w:ascii="Times New Roman" w:hAnsi="Times New Roman" w:cs="Times New Roman"/>
                <w:color w:val="000000"/>
              </w:rPr>
              <w:t xml:space="preserve"> apakšprogramma</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699 943</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699 943</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699 943</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apakšprogramma</w:t>
            </w:r>
            <w:r w:rsidRPr="00DE335B">
              <w:rPr>
                <w:rFonts w:ascii="Times New Roman" w:eastAsia="Times New Roman" w:hAnsi="Times New Roman" w:cs="Times New Roman"/>
                <w:iCs/>
                <w:sz w:val="24"/>
                <w:szCs w:val="24"/>
                <w:lang w:eastAsia="lv-LV"/>
              </w:rPr>
              <w:t xml:space="preserve"> 45.01.00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6 436 525</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52 434</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6 204 096</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104 869</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6 204 096</w:t>
            </w:r>
          </w:p>
        </w:tc>
        <w:tc>
          <w:tcPr>
            <w:tcW w:w="555" w:type="pct"/>
            <w:tcBorders>
              <w:top w:val="outset" w:sz="6" w:space="0" w:color="auto"/>
              <w:left w:val="outset" w:sz="6" w:space="0" w:color="auto"/>
              <w:bottom w:val="outset" w:sz="6" w:space="0" w:color="auto"/>
              <w:right w:val="outset" w:sz="6" w:space="0" w:color="auto"/>
            </w:tcBorders>
          </w:tcPr>
          <w:p w:rsidR="00E123EF" w:rsidRPr="00B74682" w:rsidP="00E123EF">
            <w:pPr>
              <w:rPr>
                <w:sz w:val="24"/>
                <w:szCs w:val="24"/>
              </w:rPr>
            </w:pPr>
            <w:r w:rsidRPr="00B74682">
              <w:rPr>
                <w:rFonts w:ascii="Times New Roman" w:eastAsia="Times New Roman" w:hAnsi="Times New Roman" w:cs="Times New Roman"/>
                <w:iCs/>
                <w:sz w:val="24"/>
                <w:szCs w:val="24"/>
                <w:lang w:val="en-US" w:eastAsia="lv-LV"/>
              </w:rPr>
              <w:t>104 869</w:t>
            </w:r>
          </w:p>
        </w:tc>
        <w:tc>
          <w:tcPr>
            <w:tcW w:w="752" w:type="pct"/>
            <w:tcBorders>
              <w:top w:val="outset" w:sz="6" w:space="0" w:color="auto"/>
              <w:left w:val="outset" w:sz="6" w:space="0" w:color="auto"/>
              <w:bottom w:val="outset" w:sz="6" w:space="0" w:color="auto"/>
              <w:right w:val="outset" w:sz="6" w:space="0" w:color="auto"/>
            </w:tcBorders>
          </w:tcPr>
          <w:p w:rsidR="00E123EF" w:rsidRPr="00B74682" w:rsidP="00E123EF">
            <w:pPr>
              <w:rPr>
                <w:sz w:val="24"/>
                <w:szCs w:val="24"/>
              </w:rPr>
            </w:pPr>
            <w:r w:rsidRPr="00B74682">
              <w:rPr>
                <w:rFonts w:ascii="Times New Roman" w:eastAsia="Times New Roman" w:hAnsi="Times New Roman" w:cs="Times New Roman"/>
                <w:iCs/>
                <w:sz w:val="24"/>
                <w:szCs w:val="24"/>
                <w:lang w:val="en-US" w:eastAsia="lv-LV"/>
              </w:rPr>
              <w:t>104 869</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 xml:space="preserve">apakšprogramma </w:t>
            </w:r>
            <w:r w:rsidRPr="00DE335B">
              <w:rPr>
                <w:rFonts w:ascii="Times New Roman" w:eastAsia="Times New Roman" w:hAnsi="Times New Roman" w:cs="Times New Roman"/>
                <w:iCs/>
                <w:sz w:val="24"/>
                <w:szCs w:val="24"/>
                <w:lang w:eastAsia="lv-LV"/>
              </w:rPr>
              <w:t>46.01.00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4 443 076</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-97 259</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4 172 184</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-194 518</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4 172 184</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-194 518</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-194 518</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 xml:space="preserve">apakšprogramma </w:t>
            </w:r>
            <w:r w:rsidRPr="00DE335B">
              <w:rPr>
                <w:rFonts w:ascii="Times New Roman" w:eastAsia="Times New Roman" w:hAnsi="Times New Roman" w:cs="Times New Roman"/>
                <w:iCs/>
                <w:sz w:val="24"/>
                <w:szCs w:val="24"/>
                <w:lang w:eastAsia="lv-LV"/>
              </w:rPr>
              <w:t>46.03.00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3 347 749</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12 372</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3 347 749</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24 743</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3 347 749</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24 743</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24 743</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 xml:space="preserve">programma </w:t>
            </w:r>
            <w:r w:rsidRPr="00DE335B">
              <w:rPr>
                <w:rFonts w:ascii="Times New Roman" w:eastAsia="Times New Roman" w:hAnsi="Times New Roman" w:cs="Times New Roman"/>
                <w:iCs/>
                <w:sz w:val="24"/>
                <w:szCs w:val="24"/>
                <w:lang w:eastAsia="lv-LV"/>
              </w:rPr>
              <w:t>97.00.00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3 226 337</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28 895</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2 935 501</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57 789</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2 935 501</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57 789</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57 789</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1.2. valsts speciālais budžets</w:t>
            </w:r>
          </w:p>
        </w:tc>
        <w:tc>
          <w:tcPr>
            <w:tcW w:w="691"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1.3. pašvaldību budžets</w:t>
            </w:r>
          </w:p>
        </w:tc>
        <w:tc>
          <w:tcPr>
            <w:tcW w:w="691"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2. Budžeta izdevumi</w:t>
            </w:r>
          </w:p>
        </w:tc>
        <w:tc>
          <w:tcPr>
            <w:tcW w:w="691"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240 642 620</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jc w:val="both"/>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-127 988</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185 950 686</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-255 975</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185 950 686</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-255 975</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-255 975</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2.1. valsts pamatbudžets</w:t>
            </w:r>
          </w:p>
        </w:tc>
        <w:tc>
          <w:tcPr>
            <w:tcW w:w="691"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240 642 620</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jc w:val="both"/>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-127 988</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185 950 686</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-255 975</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185 950 686</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-255 975</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-255 975</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 xml:space="preserve">apakšprogramma </w:t>
            </w:r>
            <w:r>
              <w:rPr>
                <w:rFonts w:ascii="Times New Roman" w:eastAsia="Times New Roman" w:hAnsi="Times New Roman" w:cs="Times New Roman"/>
                <w:iCs/>
                <w:sz w:val="24"/>
                <w:szCs w:val="24"/>
                <w:lang w:eastAsia="lv-LV"/>
              </w:rPr>
              <w:t>02.04</w:t>
            </w:r>
            <w:r w:rsidRPr="00DE335B">
              <w:rPr>
                <w:rFonts w:ascii="Times New Roman" w:eastAsia="Times New Roman" w:hAnsi="Times New Roman" w:cs="Times New Roman"/>
                <w:iCs/>
                <w:sz w:val="24"/>
                <w:szCs w:val="24"/>
                <w:lang w:eastAsia="lv-LV"/>
              </w:rPr>
              <w:t>.00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11 946 867</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9 739 469</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9 739 469</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 xml:space="preserve">apakšprogramma </w:t>
            </w:r>
            <w:r>
              <w:rPr>
                <w:rFonts w:ascii="Times New Roman" w:eastAsia="Times New Roman" w:hAnsi="Times New Roman" w:cs="Times New Roman"/>
                <w:iCs/>
                <w:sz w:val="24"/>
                <w:szCs w:val="24"/>
                <w:lang w:eastAsia="lv-LV"/>
              </w:rPr>
              <w:t>33.16</w:t>
            </w:r>
            <w:r w:rsidRPr="00DE335B">
              <w:rPr>
                <w:rFonts w:ascii="Times New Roman" w:eastAsia="Times New Roman" w:hAnsi="Times New Roman" w:cs="Times New Roman"/>
                <w:iCs/>
                <w:sz w:val="24"/>
                <w:szCs w:val="24"/>
                <w:lang w:eastAsia="lv-LV"/>
              </w:rPr>
              <w:t>.00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209 472 242</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235 498</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157 907 996</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694 890</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157 907 996</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694 890</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694 890</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 xml:space="preserve">apakšprogramma </w:t>
            </w:r>
            <w:r w:rsidRPr="00DE335B">
              <w:rPr>
                <w:rFonts w:ascii="Times New Roman" w:eastAsia="Times New Roman" w:hAnsi="Times New Roman" w:cs="Times New Roman"/>
                <w:iCs/>
                <w:sz w:val="24"/>
                <w:szCs w:val="24"/>
                <w:lang w:eastAsia="lv-LV"/>
              </w:rPr>
              <w:t>39.02.00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1 768 048</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-359 928</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1 643 691</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-1 643 691</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1 643 691</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-1 643 691</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-1 643 691</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Jaunizveidojamā</w:t>
            </w:r>
            <w:r w:rsidRPr="00DE335B">
              <w:rPr>
                <w:rFonts w:ascii="Times New Roman" w:hAnsi="Times New Roman" w:cs="Times New Roman"/>
                <w:color w:val="000000"/>
              </w:rPr>
              <w:t xml:space="preserve"> apakšprogramma</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699 943</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699 943</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699 943</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apakšprogramma</w:t>
            </w:r>
            <w:r w:rsidRPr="00DE335B">
              <w:rPr>
                <w:rFonts w:ascii="Times New Roman" w:eastAsia="Times New Roman" w:hAnsi="Times New Roman" w:cs="Times New Roman"/>
                <w:iCs/>
                <w:sz w:val="24"/>
                <w:szCs w:val="24"/>
                <w:lang w:eastAsia="lv-LV"/>
              </w:rPr>
              <w:t xml:space="preserve"> 45.01.00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6 436 525</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52 434</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6 204 096</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104 869</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6 204 096</w:t>
            </w:r>
          </w:p>
        </w:tc>
        <w:tc>
          <w:tcPr>
            <w:tcW w:w="555" w:type="pct"/>
            <w:tcBorders>
              <w:top w:val="outset" w:sz="6" w:space="0" w:color="auto"/>
              <w:left w:val="outset" w:sz="6" w:space="0" w:color="auto"/>
              <w:bottom w:val="outset" w:sz="6" w:space="0" w:color="auto"/>
              <w:right w:val="outset" w:sz="6" w:space="0" w:color="auto"/>
            </w:tcBorders>
          </w:tcPr>
          <w:p w:rsidR="00E123EF" w:rsidRPr="00B74682" w:rsidP="00E123EF">
            <w:pPr>
              <w:rPr>
                <w:sz w:val="24"/>
                <w:szCs w:val="24"/>
              </w:rPr>
            </w:pPr>
            <w:r w:rsidRPr="00B74682">
              <w:rPr>
                <w:rFonts w:ascii="Times New Roman" w:eastAsia="Times New Roman" w:hAnsi="Times New Roman" w:cs="Times New Roman"/>
                <w:iCs/>
                <w:sz w:val="24"/>
                <w:szCs w:val="24"/>
                <w:lang w:val="en-US" w:eastAsia="lv-LV"/>
              </w:rPr>
              <w:t>104 869</w:t>
            </w:r>
          </w:p>
        </w:tc>
        <w:tc>
          <w:tcPr>
            <w:tcW w:w="752" w:type="pct"/>
            <w:tcBorders>
              <w:top w:val="outset" w:sz="6" w:space="0" w:color="auto"/>
              <w:left w:val="outset" w:sz="6" w:space="0" w:color="auto"/>
              <w:bottom w:val="outset" w:sz="6" w:space="0" w:color="auto"/>
              <w:right w:val="outset" w:sz="6" w:space="0" w:color="auto"/>
            </w:tcBorders>
          </w:tcPr>
          <w:p w:rsidR="00E123EF" w:rsidRPr="00B74682" w:rsidP="00E123EF">
            <w:pPr>
              <w:rPr>
                <w:sz w:val="24"/>
                <w:szCs w:val="24"/>
              </w:rPr>
            </w:pPr>
            <w:r w:rsidRPr="00B74682">
              <w:rPr>
                <w:rFonts w:ascii="Times New Roman" w:eastAsia="Times New Roman" w:hAnsi="Times New Roman" w:cs="Times New Roman"/>
                <w:iCs/>
                <w:sz w:val="24"/>
                <w:szCs w:val="24"/>
                <w:lang w:val="en-US" w:eastAsia="lv-LV"/>
              </w:rPr>
              <w:t>104 869</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 xml:space="preserve">apakšprogramma </w:t>
            </w:r>
            <w:r w:rsidRPr="00DE335B">
              <w:rPr>
                <w:rFonts w:ascii="Times New Roman" w:eastAsia="Times New Roman" w:hAnsi="Times New Roman" w:cs="Times New Roman"/>
                <w:iCs/>
                <w:sz w:val="24"/>
                <w:szCs w:val="24"/>
                <w:lang w:eastAsia="lv-LV"/>
              </w:rPr>
              <w:t>46.01.00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4 443 076</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-97 259</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4 172 184</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-194 518</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4 172 184</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-194 518</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-194 518</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 xml:space="preserve">apakšprogramma </w:t>
            </w:r>
            <w:r w:rsidRPr="00DE335B">
              <w:rPr>
                <w:rFonts w:ascii="Times New Roman" w:eastAsia="Times New Roman" w:hAnsi="Times New Roman" w:cs="Times New Roman"/>
                <w:iCs/>
                <w:sz w:val="24"/>
                <w:szCs w:val="24"/>
                <w:lang w:eastAsia="lv-LV"/>
              </w:rPr>
              <w:t>46.03.00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3 347 749</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12 372</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3 347 749</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24 743</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3 347 749</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24 743</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24 743</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hAnsi="Times New Roman" w:cs="Times New Roman"/>
                <w:color w:val="000000"/>
              </w:rPr>
              <w:t xml:space="preserve">programma </w:t>
            </w:r>
            <w:r w:rsidRPr="00DE335B">
              <w:rPr>
                <w:rFonts w:ascii="Times New Roman" w:eastAsia="Times New Roman" w:hAnsi="Times New Roman" w:cs="Times New Roman"/>
                <w:iCs/>
                <w:sz w:val="24"/>
                <w:szCs w:val="24"/>
                <w:lang w:eastAsia="lv-LV"/>
              </w:rPr>
              <w:t>97.00.00</w:t>
            </w:r>
          </w:p>
        </w:tc>
        <w:tc>
          <w:tcPr>
            <w:tcW w:w="691"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3 226 337</w:t>
            </w:r>
          </w:p>
        </w:tc>
        <w:tc>
          <w:tcPr>
            <w:tcW w:w="369"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28 895</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2 935 501</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57 789</w:t>
            </w:r>
          </w:p>
        </w:tc>
        <w:tc>
          <w:tcPr>
            <w:tcW w:w="504"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2 935 501</w:t>
            </w:r>
          </w:p>
        </w:tc>
        <w:tc>
          <w:tcPr>
            <w:tcW w:w="555"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57 789</w:t>
            </w:r>
          </w:p>
        </w:tc>
        <w:tc>
          <w:tcPr>
            <w:tcW w:w="752" w:type="pct"/>
            <w:tcBorders>
              <w:top w:val="outset" w:sz="6" w:space="0" w:color="auto"/>
              <w:left w:val="outset" w:sz="6" w:space="0" w:color="auto"/>
              <w:bottom w:val="outset" w:sz="6" w:space="0" w:color="auto"/>
              <w:right w:val="outset" w:sz="6" w:space="0" w:color="auto"/>
            </w:tcBorders>
            <w:vAlign w:val="center"/>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57 789</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2.2. valsts speciālais budžets</w:t>
            </w:r>
          </w:p>
        </w:tc>
        <w:tc>
          <w:tcPr>
            <w:tcW w:w="691"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2.3. pašvaldību budžets</w:t>
            </w:r>
          </w:p>
        </w:tc>
        <w:tc>
          <w:tcPr>
            <w:tcW w:w="691"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3. Finansiālā ietekme</w:t>
            </w:r>
          </w:p>
        </w:tc>
        <w:tc>
          <w:tcPr>
            <w:tcW w:w="691"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4"/>
                <w:szCs w:val="24"/>
                <w:lang w:val="en-US" w:eastAsia="lv-LV"/>
              </w:rPr>
            </w:pPr>
            <w:r w:rsidRPr="00B74682">
              <w:rPr>
                <w:rFonts w:ascii="Times New Roman" w:eastAsia="Times New Roman" w:hAnsi="Times New Roman" w:cs="Times New Roman"/>
                <w:iCs/>
                <w:sz w:val="24"/>
                <w:szCs w:val="24"/>
                <w:lang w:val="en-US" w:eastAsia="lv-LV"/>
              </w:rPr>
              <w:t> </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3.1. valsts pamatbudžets</w:t>
            </w:r>
          </w:p>
        </w:tc>
        <w:tc>
          <w:tcPr>
            <w:tcW w:w="691"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3.2. speciālais budžets</w:t>
            </w:r>
          </w:p>
        </w:tc>
        <w:tc>
          <w:tcPr>
            <w:tcW w:w="691"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3.3. pašvaldību budžets</w:t>
            </w:r>
          </w:p>
        </w:tc>
        <w:tc>
          <w:tcPr>
            <w:tcW w:w="691"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91"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jc w:val="center"/>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X</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jc w:val="center"/>
              <w:rPr>
                <w:rFonts w:ascii="Times New Roman" w:eastAsia="Times New Roman" w:hAnsi="Times New Roman" w:cs="Times New Roman"/>
                <w:iCs/>
                <w:sz w:val="20"/>
                <w:szCs w:val="20"/>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5. Precizēta finansiālā ietekme</w:t>
            </w:r>
          </w:p>
        </w:tc>
        <w:tc>
          <w:tcPr>
            <w:tcW w:w="691" w:type="pct"/>
            <w:vMerge w:val="restar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jc w:val="center"/>
              <w:rPr>
                <w:rFonts w:ascii="Times New Roman" w:eastAsia="Times New Roman" w:hAnsi="Times New Roman" w:cs="Times New Roman"/>
                <w:iCs/>
                <w:sz w:val="20"/>
                <w:szCs w:val="20"/>
                <w:lang w:eastAsia="lv-LV"/>
              </w:rPr>
            </w:pPr>
          </w:p>
          <w:p w:rsidR="00E123EF" w:rsidRPr="00B74682" w:rsidP="00E123EF">
            <w:pPr>
              <w:spacing w:after="0" w:line="240" w:lineRule="auto"/>
              <w:jc w:val="center"/>
              <w:rPr>
                <w:rFonts w:ascii="Times New Roman" w:eastAsia="Times New Roman" w:hAnsi="Times New Roman" w:cs="Times New Roman"/>
                <w:iCs/>
                <w:sz w:val="20"/>
                <w:szCs w:val="20"/>
                <w:lang w:eastAsia="lv-LV"/>
              </w:rPr>
            </w:pPr>
          </w:p>
          <w:p w:rsidR="00E123EF" w:rsidRPr="00B74682" w:rsidP="00E123EF">
            <w:pPr>
              <w:spacing w:after="0" w:line="240" w:lineRule="auto"/>
              <w:jc w:val="center"/>
              <w:rPr>
                <w:rFonts w:ascii="Times New Roman" w:eastAsia="Times New Roman" w:hAnsi="Times New Roman" w:cs="Times New Roman"/>
                <w:iCs/>
                <w:sz w:val="20"/>
                <w:szCs w:val="20"/>
                <w:lang w:eastAsia="lv-LV"/>
              </w:rPr>
            </w:pPr>
          </w:p>
          <w:p w:rsidR="00E123EF" w:rsidRPr="00B74682" w:rsidP="00E123EF">
            <w:pPr>
              <w:spacing w:after="0" w:line="240" w:lineRule="auto"/>
              <w:jc w:val="center"/>
              <w:rPr>
                <w:rFonts w:ascii="Times New Roman" w:eastAsia="Times New Roman" w:hAnsi="Times New Roman" w:cs="Times New Roman"/>
                <w:iCs/>
                <w:sz w:val="20"/>
                <w:szCs w:val="20"/>
                <w:lang w:eastAsia="lv-LV"/>
              </w:rPr>
            </w:pPr>
          </w:p>
          <w:p w:rsidR="00E123EF" w:rsidRPr="00B74682" w:rsidP="00E123EF">
            <w:pPr>
              <w:spacing w:after="0" w:line="240" w:lineRule="auto"/>
              <w:jc w:val="center"/>
              <w:rPr>
                <w:rFonts w:ascii="Times New Roman" w:eastAsia="Times New Roman" w:hAnsi="Times New Roman" w:cs="Times New Roman"/>
                <w:iCs/>
                <w:sz w:val="20"/>
                <w:szCs w:val="20"/>
                <w:lang w:eastAsia="lv-LV"/>
              </w:rPr>
            </w:pPr>
          </w:p>
          <w:p w:rsidR="00E123EF" w:rsidRPr="00B74682" w:rsidP="00E123EF">
            <w:pPr>
              <w:spacing w:after="0" w:line="240" w:lineRule="auto"/>
              <w:jc w:val="center"/>
              <w:rPr>
                <w:rFonts w:ascii="Times New Roman" w:eastAsia="Times New Roman" w:hAnsi="Times New Roman" w:cs="Times New Roman"/>
                <w:iCs/>
                <w:sz w:val="20"/>
                <w:szCs w:val="20"/>
                <w:lang w:eastAsia="lv-LV"/>
              </w:rPr>
            </w:pPr>
            <w:r w:rsidRPr="00B74682">
              <w:rPr>
                <w:rFonts w:ascii="Times New Roman" w:eastAsia="Times New Roman" w:hAnsi="Times New Roman" w:cs="Times New Roman"/>
                <w:iCs/>
                <w:sz w:val="20"/>
                <w:szCs w:val="20"/>
                <w:lang w:eastAsia="lv-LV"/>
              </w:rPr>
              <w:t>X</w:t>
            </w: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jc w:val="center"/>
              <w:rPr>
                <w:rFonts w:ascii="Times New Roman" w:eastAsia="Times New Roman" w:hAnsi="Times New Roman" w:cs="Times New Roman"/>
                <w:iCs/>
                <w:sz w:val="20"/>
                <w:szCs w:val="20"/>
                <w:lang w:eastAsia="lv-LV"/>
              </w:rPr>
            </w:pP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p>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p>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p>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p>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p>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p>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p>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p>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p>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p>
          <w:p w:rsidR="00E123EF" w:rsidRPr="00B74682" w:rsidP="00E123EF">
            <w:pPr>
              <w:spacing w:after="0" w:line="240" w:lineRule="auto"/>
              <w:jc w:val="center"/>
              <w:rPr>
                <w:rFonts w:ascii="Times New Roman" w:eastAsia="Times New Roman" w:hAnsi="Times New Roman" w:cs="Times New Roman"/>
                <w:iCs/>
                <w:sz w:val="20"/>
                <w:szCs w:val="20"/>
                <w:lang w:val="en-US" w:eastAsia="lv-LV"/>
              </w:rPr>
            </w:pPr>
            <w:r w:rsidRPr="00B74682">
              <w:rPr>
                <w:rFonts w:ascii="Times New Roman" w:eastAsia="Times New Roman" w:hAnsi="Times New Roman" w:cs="Times New Roman"/>
                <w:iCs/>
                <w:sz w:val="20"/>
                <w:szCs w:val="20"/>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5.1. valsts pamatbudžets</w:t>
            </w:r>
          </w:p>
        </w:tc>
        <w:tc>
          <w:tcPr>
            <w:tcW w:w="691" w:type="pct"/>
            <w:vMerge/>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eastAsia="lv-LV"/>
              </w:rPr>
            </w:pP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eastAsia="lv-LV"/>
              </w:rPr>
            </w:pPr>
            <w:r w:rsidRPr="00050C6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5.2. speciālais budžets</w:t>
            </w:r>
          </w:p>
        </w:tc>
        <w:tc>
          <w:tcPr>
            <w:tcW w:w="691" w:type="pct"/>
            <w:vMerge/>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eastAsia="lv-LV"/>
              </w:rPr>
            </w:pP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eastAsia="lv-LV"/>
              </w:rPr>
            </w:pPr>
            <w:r w:rsidRPr="00050C6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r>
      <w:tr w:rsidTr="00B74682">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DE335B" w:rsidP="00E123EF">
            <w:pPr>
              <w:spacing w:after="0" w:line="240" w:lineRule="auto"/>
              <w:rPr>
                <w:rFonts w:ascii="Times New Roman" w:eastAsia="Times New Roman" w:hAnsi="Times New Roman" w:cs="Times New Roman"/>
                <w:iCs/>
                <w:sz w:val="24"/>
                <w:szCs w:val="24"/>
                <w:lang w:eastAsia="lv-LV"/>
              </w:rPr>
            </w:pPr>
            <w:r w:rsidRPr="00DE335B">
              <w:rPr>
                <w:rFonts w:ascii="Times New Roman" w:eastAsia="Times New Roman" w:hAnsi="Times New Roman" w:cs="Times New Roman"/>
                <w:iCs/>
                <w:sz w:val="24"/>
                <w:szCs w:val="24"/>
                <w:lang w:eastAsia="lv-LV"/>
              </w:rPr>
              <w:t>5.3. pašvaldību budžets</w:t>
            </w:r>
          </w:p>
        </w:tc>
        <w:tc>
          <w:tcPr>
            <w:tcW w:w="691" w:type="pct"/>
            <w:vMerge/>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eastAsia="lv-LV"/>
              </w:rPr>
            </w:pPr>
          </w:p>
        </w:tc>
        <w:tc>
          <w:tcPr>
            <w:tcW w:w="369"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eastAsia="lv-LV"/>
              </w:rPr>
            </w:pPr>
            <w:r w:rsidRPr="00050C6A">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c>
          <w:tcPr>
            <w:tcW w:w="752" w:type="pc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r w:rsidRPr="00050C6A">
              <w:rPr>
                <w:rFonts w:ascii="Times New Roman" w:eastAsia="Times New Roman" w:hAnsi="Times New Roman" w:cs="Times New Roman"/>
                <w:iCs/>
                <w:sz w:val="24"/>
                <w:szCs w:val="24"/>
                <w:lang w:val="en-US" w:eastAsia="lv-LV"/>
              </w:rPr>
              <w:t> </w:t>
            </w:r>
          </w:p>
        </w:tc>
      </w:tr>
      <w:tr w:rsidTr="00ED24E7">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72784A" w:rsidP="00E123EF">
            <w:pPr>
              <w:spacing w:after="0" w:line="240" w:lineRule="auto"/>
              <w:rPr>
                <w:rFonts w:ascii="Times New Roman" w:eastAsia="Times New Roman" w:hAnsi="Times New Roman" w:cs="Times New Roman"/>
                <w:iCs/>
                <w:sz w:val="24"/>
                <w:szCs w:val="24"/>
                <w:lang w:eastAsia="lv-LV"/>
              </w:rPr>
            </w:pPr>
            <w:r w:rsidRPr="007278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28"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ind w:right="135"/>
              <w:jc w:val="both"/>
              <w:rPr>
                <w:rFonts w:ascii="Times New Roman" w:hAnsi="Times New Roman" w:cs="Times New Roman"/>
                <w:sz w:val="24"/>
                <w:szCs w:val="24"/>
                <w:u w:val="single"/>
              </w:rPr>
            </w:pPr>
            <w:r w:rsidRPr="00050C6A">
              <w:rPr>
                <w:rFonts w:ascii="Times New Roman" w:hAnsi="Times New Roman" w:cs="Times New Roman"/>
                <w:sz w:val="24"/>
                <w:szCs w:val="24"/>
                <w:u w:val="single"/>
              </w:rPr>
              <w:t xml:space="preserve">Finansējums 2018.gadam atbilstoši likumam „Par valsts budžetu 2018.gadam” un Finanšu ministrijas rīkojumiem t.sk.: </w:t>
            </w:r>
          </w:p>
          <w:p w:rsidR="00E123EF" w:rsidRPr="00050C6A" w:rsidP="00E123EF">
            <w:pPr>
              <w:pStyle w:val="ListParagraph"/>
              <w:numPr>
                <w:ilvl w:val="0"/>
                <w:numId w:val="1"/>
              </w:numPr>
              <w:spacing w:after="0" w:line="240" w:lineRule="auto"/>
              <w:ind w:left="228" w:right="135" w:hanging="141"/>
              <w:jc w:val="both"/>
              <w:rPr>
                <w:rFonts w:ascii="Times New Roman" w:hAnsi="Times New Roman" w:cs="Times New Roman"/>
                <w:sz w:val="24"/>
                <w:szCs w:val="24"/>
              </w:rPr>
            </w:pPr>
            <w:r w:rsidRPr="00050C6A">
              <w:rPr>
                <w:rFonts w:ascii="Times New Roman" w:hAnsi="Times New Roman" w:cs="Times New Roman"/>
                <w:sz w:val="24"/>
                <w:szCs w:val="24"/>
              </w:rPr>
              <w:t>Veselības ministrijas budžeta programmas 39.00.00 „Specializētās veselības aprūpes nodrošināšana” apakšprogrammā 39.02.00 „Sporta medicīnas nodrošināšana”:</w:t>
            </w:r>
          </w:p>
          <w:p w:rsidR="00E123EF" w:rsidRPr="00050C6A" w:rsidP="00E123EF">
            <w:p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rPr>
              <w:t xml:space="preserve">Resursi izdevumu segšanai 1 768 048 euro, tai skaitā: ieņēmumi no maksas pakalpojumiem un citi pašu ieņēmumi 216 276  euro, dotācija no vispārējiem ieņēmumiem 1 551 772 euro. </w:t>
            </w:r>
          </w:p>
          <w:p w:rsidR="00E123EF" w:rsidRPr="00050C6A" w:rsidP="00E123EF">
            <w:p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rPr>
              <w:t xml:space="preserve">Izdevumi 1 768 048 euro, tai skaitā, atlīdzībai 1 157 486 euro, precēm un pakalpojumiem 574 673 euro un pamatkapitāla veidošanai 35 889 euro. </w:t>
            </w:r>
          </w:p>
          <w:p w:rsidR="00E123EF" w:rsidRPr="00050C6A" w:rsidP="00E123EF">
            <w:pPr>
              <w:spacing w:after="0" w:line="240" w:lineRule="auto"/>
              <w:jc w:val="both"/>
              <w:rPr>
                <w:rFonts w:ascii="Times New Roman" w:hAnsi="Times New Roman" w:cs="Times New Roman"/>
                <w:sz w:val="24"/>
                <w:szCs w:val="24"/>
              </w:rPr>
            </w:pPr>
            <w:r w:rsidRPr="00050C6A">
              <w:rPr>
                <w:rFonts w:ascii="Times New Roman" w:hAnsi="Times New Roman" w:cs="Times New Roman"/>
                <w:sz w:val="24"/>
                <w:szCs w:val="24"/>
              </w:rPr>
              <w:t>Tai skaitā 600 000 euro ik gadu pamatojoties uz lēmumiem (Ministru kabineta 2017. gada 8.septembra sēde (protokols Nr.44) un Ministru kabineta 2017. gada 12.septembra sēde (protokols Nr.45)), kad  konceptuāli tika atbalstīti valdību veidojošās koalīcijas sadarbības partneru darba grupas izvirzītie priekšlikumi iesniegtajiem prioritārajiem pasākumiem t.sk. Veselības ministrijai tika atbalstīts finansējums prioritārajam pasākumam “Neatkarīga un efektīva Antidopinga biroja izveide” 600 000 euro apmērā ik gadu t.sk.:</w:t>
            </w:r>
          </w:p>
          <w:p w:rsidR="00E123EF" w:rsidRPr="00050C6A" w:rsidP="00E123EF">
            <w:pPr>
              <w:spacing w:after="0" w:line="240" w:lineRule="auto"/>
              <w:jc w:val="both"/>
              <w:rPr>
                <w:rFonts w:ascii="Times New Roman" w:hAnsi="Times New Roman" w:cs="Times New Roman"/>
                <w:sz w:val="24"/>
                <w:szCs w:val="24"/>
              </w:rPr>
            </w:pPr>
            <w:r w:rsidRPr="00050C6A">
              <w:rPr>
                <w:rFonts w:ascii="Times New Roman" w:hAnsi="Times New Roman" w:cs="Times New Roman"/>
                <w:sz w:val="24"/>
                <w:szCs w:val="24"/>
              </w:rPr>
              <w:t>2018.gadā:</w:t>
            </w:r>
          </w:p>
          <w:p w:rsidR="00E123EF" w:rsidRPr="00050C6A" w:rsidP="00E123EF">
            <w:pPr>
              <w:spacing w:after="0" w:line="240" w:lineRule="auto"/>
              <w:rPr>
                <w:rFonts w:ascii="Times New Roman" w:hAnsi="Times New Roman" w:cs="Times New Roman"/>
                <w:sz w:val="24"/>
                <w:szCs w:val="24"/>
              </w:rPr>
            </w:pPr>
            <w:r w:rsidRPr="00050C6A">
              <w:rPr>
                <w:rFonts w:ascii="Times New Roman" w:hAnsi="Times New Roman" w:cs="Times New Roman"/>
                <w:sz w:val="24"/>
                <w:szCs w:val="24"/>
              </w:rPr>
              <w:t xml:space="preserve">EKK 1000 (Atlīdzība) 244 728 euro; </w:t>
            </w:r>
          </w:p>
          <w:p w:rsidR="00E123EF" w:rsidRPr="00050C6A" w:rsidP="00E123EF">
            <w:pPr>
              <w:spacing w:after="0" w:line="240" w:lineRule="auto"/>
              <w:jc w:val="both"/>
              <w:rPr>
                <w:rFonts w:ascii="Times New Roman" w:hAnsi="Times New Roman" w:cs="Times New Roman"/>
                <w:sz w:val="24"/>
                <w:szCs w:val="24"/>
              </w:rPr>
            </w:pPr>
            <w:r w:rsidRPr="00050C6A">
              <w:rPr>
                <w:rFonts w:ascii="Times New Roman" w:hAnsi="Times New Roman" w:cs="Times New Roman"/>
                <w:sz w:val="24"/>
                <w:szCs w:val="24"/>
              </w:rPr>
              <w:t>EKK 2000 (Preces un pakalpojumi) 321 517 euro;</w:t>
            </w:r>
          </w:p>
          <w:p w:rsidR="00E123EF" w:rsidRPr="00050C6A" w:rsidP="00E123EF">
            <w:pPr>
              <w:spacing w:after="0" w:line="240" w:lineRule="auto"/>
              <w:jc w:val="both"/>
              <w:rPr>
                <w:rFonts w:ascii="Times New Roman" w:hAnsi="Times New Roman" w:cs="Times New Roman"/>
                <w:sz w:val="24"/>
                <w:szCs w:val="24"/>
              </w:rPr>
            </w:pPr>
            <w:r w:rsidRPr="00050C6A">
              <w:rPr>
                <w:rFonts w:ascii="Times New Roman" w:hAnsi="Times New Roman" w:cs="Times New Roman"/>
                <w:sz w:val="24"/>
                <w:szCs w:val="24"/>
              </w:rPr>
              <w:t>EKK 5000 (Kapitālie izdevumi) 33 755 euro.</w:t>
            </w:r>
          </w:p>
          <w:p w:rsidR="00E123EF" w:rsidRPr="00050C6A" w:rsidP="00E123EF">
            <w:pPr>
              <w:spacing w:after="0" w:line="240" w:lineRule="auto"/>
              <w:jc w:val="both"/>
              <w:rPr>
                <w:rFonts w:ascii="Times New Roman" w:hAnsi="Times New Roman" w:cs="Times New Roman"/>
                <w:sz w:val="24"/>
                <w:szCs w:val="24"/>
              </w:rPr>
            </w:pPr>
          </w:p>
          <w:p w:rsidR="00E123EF" w:rsidRPr="00050C6A" w:rsidP="00E123EF">
            <w:pPr>
              <w:spacing w:after="0" w:line="240" w:lineRule="auto"/>
              <w:jc w:val="both"/>
              <w:rPr>
                <w:rFonts w:ascii="Times New Roman" w:hAnsi="Times New Roman" w:cs="Times New Roman"/>
                <w:sz w:val="24"/>
                <w:szCs w:val="24"/>
              </w:rPr>
            </w:pPr>
            <w:r w:rsidRPr="00050C6A">
              <w:rPr>
                <w:rFonts w:ascii="Times New Roman" w:hAnsi="Times New Roman" w:cs="Times New Roman"/>
                <w:sz w:val="24"/>
                <w:szCs w:val="24"/>
              </w:rPr>
              <w:t>2019.gadā un turpmāk ik gadu:</w:t>
            </w:r>
          </w:p>
          <w:p w:rsidR="00E123EF" w:rsidRPr="00050C6A" w:rsidP="00E123EF">
            <w:pPr>
              <w:spacing w:after="0" w:line="240" w:lineRule="auto"/>
              <w:rPr>
                <w:rFonts w:ascii="Times New Roman" w:hAnsi="Times New Roman" w:cs="Times New Roman"/>
                <w:sz w:val="24"/>
                <w:szCs w:val="24"/>
              </w:rPr>
            </w:pPr>
            <w:r w:rsidRPr="00050C6A">
              <w:rPr>
                <w:rFonts w:ascii="Times New Roman" w:hAnsi="Times New Roman" w:cs="Times New Roman"/>
                <w:sz w:val="24"/>
                <w:szCs w:val="24"/>
              </w:rPr>
              <w:t xml:space="preserve">EKK 1000 (Atlīdzība) 244 728 euro; </w:t>
            </w:r>
          </w:p>
          <w:p w:rsidR="00E123EF" w:rsidP="00E123EF">
            <w:pPr>
              <w:spacing w:after="0" w:line="240" w:lineRule="auto"/>
              <w:jc w:val="both"/>
              <w:rPr>
                <w:rFonts w:ascii="Times New Roman" w:hAnsi="Times New Roman" w:cs="Times New Roman"/>
                <w:sz w:val="24"/>
                <w:szCs w:val="24"/>
              </w:rPr>
            </w:pPr>
            <w:r w:rsidRPr="00050C6A">
              <w:rPr>
                <w:rFonts w:ascii="Times New Roman" w:hAnsi="Times New Roman" w:cs="Times New Roman"/>
                <w:sz w:val="24"/>
                <w:szCs w:val="24"/>
              </w:rPr>
              <w:t>EKK 2000 (Preces un pakalpojumi) 355 272 euro.</w:t>
            </w:r>
          </w:p>
          <w:p w:rsidR="00E123EF" w:rsidRPr="00050C6A" w:rsidP="00E123EF">
            <w:pPr>
              <w:spacing w:after="0" w:line="240" w:lineRule="auto"/>
              <w:jc w:val="both"/>
              <w:rPr>
                <w:rFonts w:ascii="Times New Roman" w:hAnsi="Times New Roman" w:cs="Times New Roman"/>
                <w:sz w:val="24"/>
                <w:szCs w:val="24"/>
              </w:rPr>
            </w:pPr>
          </w:p>
          <w:p w:rsidR="00E123EF" w:rsidRPr="00050C6A" w:rsidP="00E123EF">
            <w:pPr>
              <w:pStyle w:val="ListParagraph"/>
              <w:numPr>
                <w:ilvl w:val="0"/>
                <w:numId w:val="1"/>
              </w:numPr>
              <w:spacing w:after="0" w:line="240" w:lineRule="auto"/>
              <w:ind w:left="245" w:right="135" w:hanging="142"/>
              <w:jc w:val="both"/>
              <w:rPr>
                <w:rFonts w:ascii="Times New Roman" w:hAnsi="Times New Roman" w:cs="Times New Roman"/>
                <w:sz w:val="24"/>
                <w:szCs w:val="24"/>
              </w:rPr>
            </w:pPr>
            <w:r w:rsidRPr="00050C6A">
              <w:rPr>
                <w:rFonts w:ascii="Times New Roman" w:hAnsi="Times New Roman" w:cs="Times New Roman"/>
                <w:sz w:val="24"/>
                <w:szCs w:val="24"/>
              </w:rPr>
              <w:t>Veselības m</w:t>
            </w:r>
            <w:r>
              <w:rPr>
                <w:rFonts w:ascii="Times New Roman" w:hAnsi="Times New Roman" w:cs="Times New Roman"/>
                <w:sz w:val="24"/>
                <w:szCs w:val="24"/>
              </w:rPr>
              <w:t>inistrijas budžeta programmas 02</w:t>
            </w:r>
            <w:r w:rsidRPr="00050C6A">
              <w:rPr>
                <w:rFonts w:ascii="Times New Roman" w:hAnsi="Times New Roman" w:cs="Times New Roman"/>
                <w:sz w:val="24"/>
                <w:szCs w:val="24"/>
              </w:rPr>
              <w:t>.00.00 „</w:t>
            </w:r>
            <w:r>
              <w:t xml:space="preserve"> </w:t>
            </w:r>
            <w:r w:rsidRPr="00880CC2">
              <w:rPr>
                <w:rFonts w:ascii="Times New Roman" w:hAnsi="Times New Roman" w:cs="Times New Roman"/>
                <w:sz w:val="24"/>
                <w:szCs w:val="24"/>
              </w:rPr>
              <w:t>Medicīnas izglītība</w:t>
            </w:r>
            <w:r>
              <w:rPr>
                <w:rFonts w:ascii="Times New Roman" w:hAnsi="Times New Roman" w:cs="Times New Roman"/>
                <w:sz w:val="24"/>
                <w:szCs w:val="24"/>
              </w:rPr>
              <w:t>” apakšprogrammā 02.04</w:t>
            </w:r>
            <w:r w:rsidRPr="00050C6A">
              <w:rPr>
                <w:rFonts w:ascii="Times New Roman" w:hAnsi="Times New Roman" w:cs="Times New Roman"/>
                <w:sz w:val="24"/>
                <w:szCs w:val="24"/>
              </w:rPr>
              <w:t>.00 „</w:t>
            </w:r>
            <w:r>
              <w:t xml:space="preserve"> </w:t>
            </w:r>
            <w:r w:rsidRPr="00880CC2">
              <w:rPr>
                <w:rFonts w:ascii="Times New Roman" w:hAnsi="Times New Roman" w:cs="Times New Roman"/>
                <w:sz w:val="24"/>
                <w:szCs w:val="24"/>
              </w:rPr>
              <w:t>Rezidentu apmācība</w:t>
            </w:r>
            <w:r w:rsidRPr="00050C6A">
              <w:rPr>
                <w:rFonts w:ascii="Times New Roman" w:hAnsi="Times New Roman" w:cs="Times New Roman"/>
                <w:sz w:val="24"/>
                <w:szCs w:val="24"/>
              </w:rPr>
              <w:t>”:</w:t>
            </w:r>
          </w:p>
          <w:p w:rsidR="00E123EF" w:rsidRPr="00050C6A" w:rsidP="00E123EF">
            <w:p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rPr>
              <w:t xml:space="preserve">Resursi izdevumu segšanai </w:t>
            </w:r>
            <w:r>
              <w:rPr>
                <w:rFonts w:ascii="Times New Roman" w:hAnsi="Times New Roman" w:cs="Times New Roman"/>
                <w:sz w:val="24"/>
                <w:szCs w:val="24"/>
              </w:rPr>
              <w:t>11 948 643</w:t>
            </w:r>
            <w:r w:rsidRPr="00050C6A">
              <w:rPr>
                <w:rFonts w:ascii="Times New Roman" w:hAnsi="Times New Roman" w:cs="Times New Roman"/>
                <w:sz w:val="24"/>
                <w:szCs w:val="24"/>
              </w:rPr>
              <w:t xml:space="preserve"> euro, tai skaitā: </w:t>
            </w:r>
            <w:r>
              <w:rPr>
                <w:rFonts w:ascii="Times New Roman" w:hAnsi="Times New Roman" w:cs="Times New Roman"/>
                <w:sz w:val="24"/>
                <w:szCs w:val="24"/>
              </w:rPr>
              <w:t>n</w:t>
            </w:r>
            <w:r w:rsidRPr="00D849BE">
              <w:rPr>
                <w:rFonts w:ascii="Times New Roman" w:hAnsi="Times New Roman" w:cs="Times New Roman"/>
                <w:sz w:val="24"/>
                <w:szCs w:val="24"/>
              </w:rPr>
              <w:t>o valsts budžeta daļēji finansētu atvasināto publisko personu un budžeta nefinansēto iestāžu transferti</w:t>
            </w:r>
            <w:r w:rsidRPr="00050C6A">
              <w:rPr>
                <w:rFonts w:ascii="Times New Roman" w:hAnsi="Times New Roman" w:cs="Times New Roman"/>
                <w:sz w:val="24"/>
                <w:szCs w:val="24"/>
              </w:rPr>
              <w:t xml:space="preserve"> </w:t>
            </w:r>
            <w:r>
              <w:rPr>
                <w:rFonts w:ascii="Times New Roman" w:hAnsi="Times New Roman" w:cs="Times New Roman"/>
                <w:sz w:val="24"/>
                <w:szCs w:val="24"/>
              </w:rPr>
              <w:t xml:space="preserve">1 776 </w:t>
            </w:r>
            <w:r w:rsidRPr="00050C6A">
              <w:rPr>
                <w:rFonts w:ascii="Times New Roman" w:hAnsi="Times New Roman" w:cs="Times New Roman"/>
                <w:sz w:val="24"/>
                <w:szCs w:val="24"/>
              </w:rPr>
              <w:t xml:space="preserve">euro, dotācija no </w:t>
            </w:r>
            <w:r>
              <w:rPr>
                <w:rFonts w:ascii="Times New Roman" w:hAnsi="Times New Roman" w:cs="Times New Roman"/>
                <w:sz w:val="24"/>
                <w:szCs w:val="24"/>
              </w:rPr>
              <w:t>vispārējiem ieņēmumiem 11 946 867</w:t>
            </w:r>
            <w:r w:rsidRPr="00050C6A">
              <w:rPr>
                <w:rFonts w:ascii="Times New Roman" w:hAnsi="Times New Roman" w:cs="Times New Roman"/>
                <w:sz w:val="24"/>
                <w:szCs w:val="24"/>
              </w:rPr>
              <w:t xml:space="preserve"> euro. </w:t>
            </w:r>
          </w:p>
          <w:p w:rsidR="00E123EF" w:rsidRPr="00050C6A" w:rsidP="00E123EF">
            <w:p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rPr>
              <w:t xml:space="preserve">Izdevumi </w:t>
            </w:r>
            <w:r>
              <w:rPr>
                <w:rFonts w:ascii="Times New Roman" w:hAnsi="Times New Roman" w:cs="Times New Roman"/>
                <w:sz w:val="24"/>
                <w:szCs w:val="24"/>
              </w:rPr>
              <w:t>11 948 643</w:t>
            </w:r>
            <w:r w:rsidRPr="00050C6A">
              <w:rPr>
                <w:rFonts w:ascii="Times New Roman" w:hAnsi="Times New Roman" w:cs="Times New Roman"/>
                <w:sz w:val="24"/>
                <w:szCs w:val="24"/>
              </w:rPr>
              <w:t xml:space="preserve"> euro, tai skaitā, atlīdzībai </w:t>
            </w:r>
            <w:r>
              <w:rPr>
                <w:rFonts w:ascii="Times New Roman" w:hAnsi="Times New Roman" w:cs="Times New Roman"/>
                <w:sz w:val="24"/>
                <w:szCs w:val="24"/>
              </w:rPr>
              <w:t>23 781</w:t>
            </w:r>
            <w:r w:rsidRPr="00050C6A">
              <w:rPr>
                <w:rFonts w:ascii="Times New Roman" w:hAnsi="Times New Roman" w:cs="Times New Roman"/>
                <w:sz w:val="24"/>
                <w:szCs w:val="24"/>
              </w:rPr>
              <w:t xml:space="preserve"> euro, precēm un pakalpojumiem </w:t>
            </w:r>
            <w:r>
              <w:rPr>
                <w:rFonts w:ascii="Times New Roman" w:hAnsi="Times New Roman" w:cs="Times New Roman"/>
                <w:sz w:val="24"/>
                <w:szCs w:val="24"/>
              </w:rPr>
              <w:t>28 443</w:t>
            </w:r>
            <w:r w:rsidRPr="00050C6A">
              <w:rPr>
                <w:rFonts w:ascii="Times New Roman" w:hAnsi="Times New Roman" w:cs="Times New Roman"/>
                <w:sz w:val="24"/>
                <w:szCs w:val="24"/>
              </w:rPr>
              <w:t xml:space="preserve"> euro un </w:t>
            </w:r>
            <w:r>
              <w:rPr>
                <w:rFonts w:ascii="Times New Roman" w:hAnsi="Times New Roman" w:cs="Times New Roman"/>
                <w:sz w:val="24"/>
                <w:szCs w:val="24"/>
              </w:rPr>
              <w:t>v</w:t>
            </w:r>
            <w:r w:rsidRPr="00D849BE">
              <w:rPr>
                <w:rFonts w:ascii="Times New Roman" w:hAnsi="Times New Roman" w:cs="Times New Roman"/>
                <w:sz w:val="24"/>
                <w:szCs w:val="24"/>
              </w:rPr>
              <w:t>alsts budžeta transferti</w:t>
            </w:r>
            <w:r>
              <w:rPr>
                <w:rFonts w:ascii="Times New Roman" w:hAnsi="Times New Roman" w:cs="Times New Roman"/>
                <w:sz w:val="24"/>
                <w:szCs w:val="24"/>
              </w:rPr>
              <w:t>em</w:t>
            </w:r>
            <w:r w:rsidRPr="00D849BE">
              <w:rPr>
                <w:rFonts w:ascii="Times New Roman" w:hAnsi="Times New Roman" w:cs="Times New Roman"/>
                <w:sz w:val="24"/>
                <w:szCs w:val="24"/>
              </w:rPr>
              <w:t xml:space="preserve"> valsts budžeta daļēji finansētām atvasinātajām publiskajām personām un budžeta nefinansētām iestādēm noteiktam mērķim</w:t>
            </w:r>
            <w:r>
              <w:rPr>
                <w:rFonts w:ascii="Times New Roman" w:hAnsi="Times New Roman" w:cs="Times New Roman"/>
                <w:sz w:val="24"/>
                <w:szCs w:val="24"/>
              </w:rPr>
              <w:t xml:space="preserve"> 11 688 419 </w:t>
            </w:r>
            <w:r w:rsidRPr="00050C6A">
              <w:rPr>
                <w:rFonts w:ascii="Times New Roman" w:hAnsi="Times New Roman" w:cs="Times New Roman"/>
                <w:sz w:val="24"/>
                <w:szCs w:val="24"/>
              </w:rPr>
              <w:t xml:space="preserve">euro. </w:t>
            </w:r>
          </w:p>
          <w:p w:rsidR="00E123EF" w:rsidRPr="00050C6A" w:rsidP="00E123EF">
            <w:pPr>
              <w:spacing w:after="0" w:line="240" w:lineRule="auto"/>
              <w:ind w:right="135"/>
              <w:jc w:val="both"/>
              <w:rPr>
                <w:rFonts w:ascii="Times New Roman" w:hAnsi="Times New Roman" w:cs="Times New Roman"/>
                <w:sz w:val="24"/>
                <w:szCs w:val="24"/>
              </w:rPr>
            </w:pPr>
          </w:p>
          <w:p w:rsidR="00E123EF" w:rsidRPr="00050C6A" w:rsidP="00E123EF">
            <w:pPr>
              <w:pStyle w:val="ListParagraph"/>
              <w:numPr>
                <w:ilvl w:val="0"/>
                <w:numId w:val="1"/>
              </w:numPr>
              <w:spacing w:after="0" w:line="240" w:lineRule="auto"/>
              <w:ind w:left="228" w:right="135" w:hanging="141"/>
              <w:jc w:val="both"/>
              <w:rPr>
                <w:rFonts w:ascii="Times New Roman" w:hAnsi="Times New Roman" w:cs="Times New Roman"/>
                <w:sz w:val="24"/>
                <w:szCs w:val="24"/>
              </w:rPr>
            </w:pPr>
            <w:r w:rsidRPr="00050C6A">
              <w:rPr>
                <w:rFonts w:ascii="Times New Roman" w:hAnsi="Times New Roman" w:cs="Times New Roman"/>
                <w:sz w:val="24"/>
                <w:szCs w:val="24"/>
              </w:rPr>
              <w:t>Veselības ministrijas budžeta programmas 45.00.00 „Veselības aprūpes finansējuma administrēšana” apakšprogrammā 45.01.00 „Veselības aprūpes finansējuma administrēšana un ekonomiskā novērtēšana”:</w:t>
            </w:r>
          </w:p>
          <w:p w:rsidR="00E123EF" w:rsidRPr="00050C6A" w:rsidP="00E123EF">
            <w:p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rPr>
              <w:t xml:space="preserve">Resursi izdevumu segšanai 6 436 525 euro, tai skaitā: ieņēmumi no maksas pakalpojumiem un citi pašu ieņēmumi 1 519 729 euro, dotācija no vispārējiem ieņēmumiem 4 916 796 euro. </w:t>
            </w:r>
          </w:p>
          <w:p w:rsidR="00E123EF" w:rsidRPr="00050C6A" w:rsidP="00E123EF">
            <w:p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rPr>
              <w:t xml:space="preserve">Izdevumi 6 436 525 euro, tai skaitā, atlīdzībai 3 435 576 euro, precēm un pakalpojumiem 245 876 euro un pamatkapitāla veidošanai 110 471 euro. </w:t>
            </w:r>
          </w:p>
          <w:p w:rsidR="00E123EF" w:rsidRPr="00050C6A" w:rsidP="00E123EF">
            <w:pPr>
              <w:spacing w:after="0" w:line="240" w:lineRule="auto"/>
              <w:ind w:right="135"/>
              <w:jc w:val="both"/>
              <w:rPr>
                <w:rFonts w:ascii="Times New Roman" w:hAnsi="Times New Roman" w:cs="Times New Roman"/>
                <w:sz w:val="24"/>
                <w:szCs w:val="24"/>
              </w:rPr>
            </w:pPr>
          </w:p>
          <w:p w:rsidR="00E123EF" w:rsidRPr="00050C6A" w:rsidP="00E123EF">
            <w:pPr>
              <w:pStyle w:val="ListParagraph"/>
              <w:numPr>
                <w:ilvl w:val="0"/>
                <w:numId w:val="1"/>
              </w:numPr>
              <w:spacing w:after="0" w:line="240" w:lineRule="auto"/>
              <w:ind w:left="228" w:right="135" w:hanging="141"/>
              <w:jc w:val="both"/>
              <w:rPr>
                <w:rFonts w:ascii="Times New Roman" w:hAnsi="Times New Roman" w:cs="Times New Roman"/>
                <w:sz w:val="24"/>
                <w:szCs w:val="24"/>
              </w:rPr>
            </w:pPr>
            <w:r w:rsidRPr="00050C6A">
              <w:rPr>
                <w:rFonts w:ascii="Times New Roman" w:hAnsi="Times New Roman" w:cs="Times New Roman"/>
                <w:sz w:val="24"/>
                <w:szCs w:val="24"/>
              </w:rPr>
              <w:t>Veselības ministrijas budžeta programmas 46.00.00 „Veselības nozares uzraudzība” apakšprogrammā 46.01.00 „Uzraudzība un kontrole”:</w:t>
            </w:r>
          </w:p>
          <w:p w:rsidR="00E123EF" w:rsidRPr="00050C6A" w:rsidP="00E123EF">
            <w:p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rPr>
              <w:t xml:space="preserve">Resursi izdevumu segšanai 4 443 076 euro, tai skaitā: ieņēmumi no maksas pakalpojumiem un citi pašu ieņēmumi 338 597 euro, dotācija no vispārējiem ieņēmumiem 4 104 479 euro. </w:t>
            </w:r>
          </w:p>
          <w:p w:rsidR="00E123EF" w:rsidRPr="00050C6A" w:rsidP="00E123EF">
            <w:p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rPr>
              <w:t xml:space="preserve">Izdevumi 4 443 076 euro, tai skaitā, atlīdzībai 3 703 966 euro, precēm un pakalpojumiem 681 656 euro un pamatkapitāla veidošanai 57 454 euro. </w:t>
            </w:r>
          </w:p>
          <w:p w:rsidR="00E123EF" w:rsidRPr="00050C6A" w:rsidP="00E123EF">
            <w:pPr>
              <w:spacing w:after="0" w:line="240" w:lineRule="auto"/>
              <w:ind w:right="135"/>
              <w:jc w:val="both"/>
              <w:rPr>
                <w:rFonts w:ascii="Times New Roman" w:hAnsi="Times New Roman" w:cs="Times New Roman"/>
                <w:sz w:val="24"/>
                <w:szCs w:val="24"/>
              </w:rPr>
            </w:pPr>
          </w:p>
          <w:p w:rsidR="00E123EF" w:rsidRPr="00050C6A" w:rsidP="00E123EF">
            <w:pPr>
              <w:pStyle w:val="ListParagraph"/>
              <w:numPr>
                <w:ilvl w:val="0"/>
                <w:numId w:val="1"/>
              </w:numPr>
              <w:spacing w:after="0" w:line="240" w:lineRule="auto"/>
              <w:ind w:left="370" w:right="135" w:hanging="283"/>
              <w:jc w:val="both"/>
              <w:rPr>
                <w:rFonts w:ascii="Times New Roman" w:hAnsi="Times New Roman" w:cs="Times New Roman"/>
                <w:sz w:val="24"/>
                <w:szCs w:val="24"/>
              </w:rPr>
            </w:pPr>
            <w:r w:rsidRPr="00050C6A">
              <w:rPr>
                <w:rFonts w:ascii="Times New Roman" w:hAnsi="Times New Roman" w:cs="Times New Roman"/>
                <w:sz w:val="24"/>
                <w:szCs w:val="24"/>
              </w:rPr>
              <w:t>Veselības ministrijas budžeta programmas 46.00.00 „Veselības nozares uzraudzība” apakšprogrammā 46.03.00 „Slimību profilakses nodrošināšana”:</w:t>
            </w:r>
          </w:p>
          <w:p w:rsidR="00E123EF" w:rsidRPr="00050C6A" w:rsidP="00E123EF">
            <w:p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rPr>
              <w:t xml:space="preserve">Resursi izdevumu segšanai 3 347 749 euro, tai skaitā: ieņēmumi no maksas pakalpojumiem un citi pašu ieņēmumi 13 715 euro, dotācija no vispārējiem ieņēmumiem 3 334 034 euro. </w:t>
            </w:r>
          </w:p>
          <w:p w:rsidR="00E123EF" w:rsidRPr="00050C6A" w:rsidP="00E123EF">
            <w:p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rPr>
              <w:t xml:space="preserve">Izdevumi 3 347 749 euro, tai skaitā, atlīdzībai 2 339 333 euro, precēm un pakalpojumiem 926 556 euro un pamatkapitāla veidošanai 81 860 euro. </w:t>
            </w:r>
          </w:p>
          <w:p w:rsidR="00E123EF" w:rsidRPr="00050C6A" w:rsidP="00E123EF">
            <w:pPr>
              <w:spacing w:after="0" w:line="240" w:lineRule="auto"/>
              <w:ind w:right="135"/>
              <w:jc w:val="both"/>
              <w:rPr>
                <w:rFonts w:ascii="Times New Roman" w:hAnsi="Times New Roman" w:cs="Times New Roman"/>
                <w:sz w:val="24"/>
                <w:szCs w:val="24"/>
              </w:rPr>
            </w:pPr>
          </w:p>
          <w:p w:rsidR="00E123EF" w:rsidRPr="00050C6A" w:rsidP="00E123EF">
            <w:pPr>
              <w:pStyle w:val="ListParagraph"/>
              <w:numPr>
                <w:ilvl w:val="0"/>
                <w:numId w:val="1"/>
              </w:numPr>
              <w:spacing w:after="0" w:line="240" w:lineRule="auto"/>
              <w:ind w:left="370" w:right="135" w:hanging="283"/>
              <w:jc w:val="both"/>
              <w:rPr>
                <w:rFonts w:ascii="Times New Roman" w:hAnsi="Times New Roman" w:cs="Times New Roman"/>
                <w:sz w:val="24"/>
                <w:szCs w:val="24"/>
              </w:rPr>
            </w:pPr>
            <w:r w:rsidRPr="00050C6A">
              <w:rPr>
                <w:rFonts w:ascii="Times New Roman" w:hAnsi="Times New Roman" w:cs="Times New Roman"/>
                <w:sz w:val="24"/>
                <w:szCs w:val="24"/>
              </w:rPr>
              <w:t>Veselības ministrijas budžeta programmā 97.00.00 „Nozares vadība un politikas plānošana”:</w:t>
            </w:r>
          </w:p>
          <w:p w:rsidR="00E123EF" w:rsidRPr="00050C6A" w:rsidP="00E123EF">
            <w:p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rPr>
              <w:t xml:space="preserve">Resursi izdevumu segšanai 3 226 337 euro, (dotācija no vispārējiem ieņēmumiem). </w:t>
            </w:r>
          </w:p>
          <w:p w:rsidR="00E123EF" w:rsidRPr="00050C6A" w:rsidP="00E123EF">
            <w:p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rPr>
              <w:t xml:space="preserve">Izdevumi 3 226 337 euro, tai skaitā, atlīdzībai 2 597 123 euro, precēm un pakalpojumiem 623 645 euro un pamatkapitāla veidošanai 5 569 euro. </w:t>
            </w:r>
          </w:p>
          <w:p w:rsidR="00E123EF" w:rsidRPr="00050C6A" w:rsidP="00E123EF">
            <w:pPr>
              <w:spacing w:after="0" w:line="240" w:lineRule="auto"/>
              <w:ind w:right="135"/>
              <w:jc w:val="both"/>
              <w:rPr>
                <w:rFonts w:ascii="Times New Roman" w:hAnsi="Times New Roman" w:cs="Times New Roman"/>
                <w:sz w:val="24"/>
                <w:szCs w:val="24"/>
              </w:rPr>
            </w:pPr>
          </w:p>
          <w:p w:rsidR="00E123EF" w:rsidRPr="00050C6A" w:rsidP="00E123EF">
            <w:pPr>
              <w:spacing w:after="0" w:line="240" w:lineRule="auto"/>
              <w:ind w:right="135"/>
              <w:jc w:val="both"/>
              <w:rPr>
                <w:rFonts w:ascii="Times New Roman" w:hAnsi="Times New Roman" w:cs="Times New Roman"/>
                <w:sz w:val="24"/>
                <w:szCs w:val="24"/>
              </w:rPr>
            </w:pPr>
          </w:p>
          <w:p w:rsidR="00E123EF" w:rsidRPr="00050C6A" w:rsidP="00E123EF">
            <w:pPr>
              <w:spacing w:after="0" w:line="240" w:lineRule="auto"/>
              <w:ind w:right="136"/>
              <w:jc w:val="both"/>
              <w:rPr>
                <w:rFonts w:ascii="Times New Roman" w:hAnsi="Times New Roman" w:cs="Times New Roman"/>
                <w:b/>
                <w:sz w:val="24"/>
                <w:szCs w:val="24"/>
                <w:u w:val="single"/>
              </w:rPr>
            </w:pPr>
            <w:r w:rsidRPr="00050C6A">
              <w:rPr>
                <w:rFonts w:ascii="Times New Roman" w:hAnsi="Times New Roman" w:cs="Times New Roman"/>
                <w:b/>
                <w:sz w:val="24"/>
                <w:szCs w:val="24"/>
                <w:u w:val="single"/>
              </w:rPr>
              <w:t>2018.gada 2.pusgada plānotā finansējuma izmaiņas tai skaitā pārdale:</w:t>
            </w:r>
          </w:p>
          <w:p w:rsidR="00E123EF" w:rsidRPr="00050C6A" w:rsidP="00E123EF">
            <w:pPr>
              <w:pStyle w:val="ListParagraph"/>
              <w:numPr>
                <w:ilvl w:val="0"/>
                <w:numId w:val="2"/>
              </w:numPr>
              <w:tabs>
                <w:tab w:val="left" w:pos="370"/>
              </w:tabs>
              <w:spacing w:after="0" w:line="240" w:lineRule="auto"/>
              <w:ind w:left="87" w:right="136" w:firstLine="0"/>
              <w:jc w:val="both"/>
              <w:rPr>
                <w:rFonts w:ascii="Times New Roman" w:hAnsi="Times New Roman" w:cs="Times New Roman"/>
                <w:b/>
                <w:sz w:val="24"/>
                <w:szCs w:val="24"/>
              </w:rPr>
            </w:pPr>
            <w:r w:rsidRPr="00050C6A">
              <w:rPr>
                <w:rFonts w:ascii="Times New Roman" w:hAnsi="Times New Roman" w:cs="Times New Roman"/>
                <w:b/>
                <w:sz w:val="24"/>
                <w:szCs w:val="24"/>
              </w:rPr>
              <w:t>no VSMC (apakšprogramma 39.02.00):</w:t>
            </w:r>
          </w:p>
          <w:p w:rsidR="00E123EF" w:rsidRPr="00050C6A" w:rsidP="00E123EF">
            <w:pPr>
              <w:pStyle w:val="ListParagraph"/>
              <w:numPr>
                <w:ilvl w:val="1"/>
                <w:numId w:val="2"/>
              </w:numPr>
              <w:spacing w:after="0" w:line="240" w:lineRule="auto"/>
              <w:ind w:left="512" w:right="135" w:hanging="425"/>
              <w:jc w:val="both"/>
              <w:rPr>
                <w:rFonts w:ascii="Times New Roman" w:hAnsi="Times New Roman" w:cs="Times New Roman"/>
                <w:sz w:val="24"/>
                <w:szCs w:val="24"/>
              </w:rPr>
            </w:pPr>
            <w:r w:rsidRPr="00050C6A">
              <w:rPr>
                <w:rFonts w:ascii="Times New Roman" w:hAnsi="Times New Roman" w:cs="Times New Roman"/>
                <w:sz w:val="24"/>
                <w:szCs w:val="24"/>
                <w:u w:val="single"/>
              </w:rPr>
              <w:t xml:space="preserve">pārdalot uz </w:t>
            </w:r>
            <w:r w:rsidR="00376DD4">
              <w:rPr>
                <w:rFonts w:ascii="Times New Roman" w:hAnsi="Times New Roman" w:cs="Times New Roman"/>
                <w:sz w:val="24"/>
                <w:szCs w:val="24"/>
                <w:u w:val="single"/>
              </w:rPr>
              <w:t xml:space="preserve">Latvijas </w:t>
            </w:r>
            <w:r w:rsidRPr="00050C6A">
              <w:rPr>
                <w:rFonts w:ascii="Times New Roman" w:hAnsi="Times New Roman" w:cs="Times New Roman"/>
                <w:sz w:val="24"/>
                <w:szCs w:val="24"/>
                <w:u w:val="single"/>
              </w:rPr>
              <w:t>Antidopinga biroju (apakšprogramma 39.02.00)</w:t>
            </w:r>
            <w:r w:rsidRPr="00050C6A">
              <w:rPr>
                <w:rFonts w:ascii="Times New Roman" w:hAnsi="Times New Roman" w:cs="Times New Roman"/>
                <w:sz w:val="24"/>
                <w:szCs w:val="24"/>
              </w:rPr>
              <w:t xml:space="preserve"> resursus izdevumu segšanai (dotāciju no vispārējiem ieņēmumiem) 395 821 euro un atbilstošos izdevumus 395 821 euro, tai skaitā, atlīdzībai 153 261 euro, precēm un pakalpojumiem 225 683 euro un pamatkapitāla veidošanai 16 877 euro. Vienlaicīgi tiek pārdalītas 10 amata vietas.</w:t>
            </w:r>
          </w:p>
          <w:p w:rsidR="00E123EF" w:rsidRPr="00050C6A" w:rsidP="00E123EF">
            <w:pPr>
              <w:pStyle w:val="ListParagraph"/>
              <w:numPr>
                <w:ilvl w:val="1"/>
                <w:numId w:val="2"/>
              </w:numPr>
              <w:tabs>
                <w:tab w:val="left" w:pos="512"/>
              </w:tabs>
              <w:spacing w:after="0" w:line="240" w:lineRule="auto"/>
              <w:ind w:left="370" w:right="136" w:hanging="283"/>
              <w:jc w:val="both"/>
              <w:rPr>
                <w:rFonts w:ascii="Times New Roman" w:hAnsi="Times New Roman" w:cs="Times New Roman"/>
                <w:sz w:val="24"/>
                <w:szCs w:val="24"/>
              </w:rPr>
            </w:pPr>
            <w:r w:rsidRPr="00050C6A">
              <w:rPr>
                <w:rFonts w:ascii="Times New Roman" w:hAnsi="Times New Roman" w:cs="Times New Roman"/>
                <w:sz w:val="24"/>
                <w:szCs w:val="24"/>
                <w:u w:val="single"/>
              </w:rPr>
              <w:t>pārdalot uz NVD (apakšprogramma 33.16.00)</w:t>
            </w:r>
            <w:r w:rsidRPr="00050C6A">
              <w:rPr>
                <w:rFonts w:ascii="Times New Roman" w:hAnsi="Times New Roman" w:cs="Times New Roman"/>
                <w:sz w:val="24"/>
                <w:szCs w:val="24"/>
              </w:rPr>
              <w:t>, lai Valsts sabiedrība ar ierobežotu atbildību “Bērnu klīniskā universitātes slimnīca” no VSMC varētu nodrošināt pārņemtās jomas:</w:t>
            </w:r>
          </w:p>
          <w:p w:rsidR="00E123EF" w:rsidRPr="00050C6A" w:rsidP="00E123EF">
            <w:pPr>
              <w:pStyle w:val="ListParagraph"/>
              <w:numPr>
                <w:ilvl w:val="0"/>
                <w:numId w:val="1"/>
              </w:numPr>
              <w:tabs>
                <w:tab w:val="left" w:pos="512"/>
              </w:tabs>
              <w:spacing w:after="0" w:line="240" w:lineRule="auto"/>
              <w:ind w:left="512" w:right="136" w:hanging="152"/>
              <w:jc w:val="both"/>
              <w:rPr>
                <w:rFonts w:ascii="Times New Roman" w:hAnsi="Times New Roman" w:cs="Times New Roman"/>
                <w:sz w:val="24"/>
                <w:szCs w:val="24"/>
              </w:rPr>
            </w:pPr>
            <w:r w:rsidRPr="00050C6A">
              <w:rPr>
                <w:rFonts w:ascii="Times New Roman" w:hAnsi="Times New Roman" w:cs="Times New Roman"/>
                <w:sz w:val="24"/>
                <w:szCs w:val="24"/>
              </w:rPr>
              <w:t>apkopot un analizēt datus, kas saistīti ar nepilngadīgu sportistu un bērnu ar paaugstinātu fizisku slodzi fizisko attīstību un sagatavotību;</w:t>
            </w:r>
          </w:p>
          <w:p w:rsidR="00E123EF" w:rsidRPr="00050C6A" w:rsidP="00E123EF">
            <w:pPr>
              <w:pStyle w:val="ListParagraph"/>
              <w:numPr>
                <w:ilvl w:val="0"/>
                <w:numId w:val="1"/>
              </w:numPr>
              <w:tabs>
                <w:tab w:val="left" w:pos="512"/>
              </w:tabs>
              <w:spacing w:after="0" w:line="240" w:lineRule="auto"/>
              <w:ind w:left="512" w:right="136" w:hanging="152"/>
              <w:jc w:val="both"/>
              <w:rPr>
                <w:rFonts w:ascii="Times New Roman" w:hAnsi="Times New Roman" w:cs="Times New Roman"/>
                <w:sz w:val="24"/>
                <w:szCs w:val="24"/>
              </w:rPr>
            </w:pPr>
            <w:r w:rsidRPr="00050C6A">
              <w:rPr>
                <w:rFonts w:ascii="Times New Roman" w:hAnsi="Times New Roman" w:cs="Times New Roman"/>
                <w:sz w:val="24"/>
                <w:szCs w:val="24"/>
              </w:rPr>
              <w:t>nodrošināt veselības aprūpi un medicīnisko uzraudzību sportistiem un bērniem ar paaugstinātu fizisko slodzi, koordinēt veselības aprūpes un medicīniskās uzraudzības pasākumus un īstenot sporta medicīnas un iedzīvotāju fiziskās veselības aprūpes programmas;</w:t>
            </w:r>
          </w:p>
          <w:p w:rsidR="00E123EF" w:rsidRPr="00050C6A" w:rsidP="00E123EF">
            <w:pPr>
              <w:pStyle w:val="ListParagraph"/>
              <w:numPr>
                <w:ilvl w:val="0"/>
                <w:numId w:val="1"/>
              </w:numPr>
              <w:tabs>
                <w:tab w:val="left" w:pos="512"/>
              </w:tabs>
              <w:spacing w:after="0" w:line="240" w:lineRule="auto"/>
              <w:ind w:left="512" w:right="136" w:hanging="142"/>
              <w:jc w:val="both"/>
              <w:rPr>
                <w:rFonts w:ascii="Times New Roman" w:hAnsi="Times New Roman" w:cs="Times New Roman"/>
                <w:sz w:val="24"/>
                <w:szCs w:val="24"/>
              </w:rPr>
            </w:pPr>
            <w:r w:rsidRPr="00050C6A">
              <w:rPr>
                <w:rFonts w:ascii="Times New Roman" w:hAnsi="Times New Roman" w:cs="Times New Roman"/>
                <w:sz w:val="24"/>
                <w:szCs w:val="24"/>
              </w:rPr>
              <w:t>sniegt valsts un pašvaldību iestādēm, kā arī privātpersonām sporta medicīnas, iedzīvotāju fiziskās veselības aprūpes un medicīniskās rehabilitācijas pakalpojumus,</w:t>
            </w:r>
          </w:p>
          <w:p w:rsidR="00E123EF" w:rsidRPr="00376DD4" w:rsidP="00E123EF">
            <w:pPr>
              <w:tabs>
                <w:tab w:val="left" w:pos="512"/>
              </w:tabs>
              <w:spacing w:after="0" w:line="240" w:lineRule="auto"/>
              <w:ind w:left="208" w:right="136"/>
              <w:jc w:val="both"/>
              <w:rPr>
                <w:rFonts w:ascii="Times New Roman" w:hAnsi="Times New Roman" w:cs="Times New Roman"/>
                <w:sz w:val="24"/>
                <w:szCs w:val="24"/>
              </w:rPr>
            </w:pPr>
            <w:r w:rsidRPr="00050C6A">
              <w:rPr>
                <w:rFonts w:ascii="Times New Roman" w:hAnsi="Times New Roman" w:cs="Times New Roman"/>
                <w:sz w:val="24"/>
                <w:szCs w:val="24"/>
              </w:rPr>
              <w:t xml:space="preserve">resursus izdevumu segšanai (dotāciju no vispārējiem ieņēmumiem) 235 498 euro un atbilstošos izdevumus 235 498 euro (subsīdijas un dotācijas) samazinot apakšprogrammā 39.02.00 izdevumus atlīdzībai 171 779 euro un precēm un pakalpojumiem 63 719 euro. Vienlaicīgi nozarē samazinot 63 amata vietas. </w:t>
            </w:r>
            <w:r w:rsidRPr="00376DD4">
              <w:rPr>
                <w:rFonts w:ascii="Times New Roman" w:hAnsi="Times New Roman" w:cs="Times New Roman"/>
                <w:sz w:val="24"/>
                <w:szCs w:val="24"/>
              </w:rPr>
              <w:t xml:space="preserve">Indikatīvi tiek </w:t>
            </w:r>
            <w:r w:rsidRPr="00376DD4" w:rsidR="00B74682">
              <w:rPr>
                <w:rFonts w:ascii="Times New Roman" w:hAnsi="Times New Roman" w:cs="Times New Roman"/>
                <w:sz w:val="24"/>
                <w:szCs w:val="24"/>
              </w:rPr>
              <w:t>plānots, ka  valsts sabiedrībā</w:t>
            </w:r>
            <w:r w:rsidRPr="00376DD4">
              <w:rPr>
                <w:rFonts w:ascii="Times New Roman" w:hAnsi="Times New Roman" w:cs="Times New Roman"/>
                <w:sz w:val="24"/>
                <w:szCs w:val="24"/>
              </w:rPr>
              <w:t xml:space="preserve"> ar ierobežotu atbildību “Bērnu klīniskā universitātes slimnīca” darba attiecības turpinās 40 darbinieki un saistībā ar reorganizāciju pārtrauktas darba attiecības ar 23 darbiniekiem. </w:t>
            </w:r>
            <w:r w:rsidRPr="00376DD4" w:rsidR="00B74682">
              <w:rPr>
                <w:rFonts w:ascii="Times New Roman" w:hAnsi="Times New Roman" w:cs="Times New Roman"/>
                <w:sz w:val="24"/>
                <w:szCs w:val="24"/>
              </w:rPr>
              <w:t>Šo</w:t>
            </w:r>
            <w:r w:rsidRPr="00376DD4">
              <w:rPr>
                <w:rFonts w:ascii="Times New Roman" w:hAnsi="Times New Roman" w:cs="Times New Roman"/>
                <w:sz w:val="24"/>
                <w:szCs w:val="24"/>
              </w:rPr>
              <w:t>brīd provizoriski plānotās izmaksas (atlaišanas pabalsti un kompensācijas par neizmantoto atvaļinājumu) saistībā ar VSMC reorganizāciju varē</w:t>
            </w:r>
            <w:r w:rsidRPr="00376DD4" w:rsidR="00B74682">
              <w:rPr>
                <w:rFonts w:ascii="Times New Roman" w:hAnsi="Times New Roman" w:cs="Times New Roman"/>
                <w:sz w:val="24"/>
                <w:szCs w:val="24"/>
              </w:rPr>
              <w:t>tu veidoties 96 773 euro apmērā un tās tiks veiktas VSMC 2018.gada budžeta ievaros</w:t>
            </w:r>
          </w:p>
          <w:p w:rsidR="00E123EF" w:rsidRPr="00050C6A" w:rsidP="00E123EF">
            <w:pPr>
              <w:tabs>
                <w:tab w:val="left" w:pos="512"/>
              </w:tabs>
              <w:spacing w:after="0" w:line="240" w:lineRule="auto"/>
              <w:ind w:left="87" w:right="136"/>
              <w:jc w:val="both"/>
              <w:rPr>
                <w:rFonts w:ascii="Times New Roman" w:hAnsi="Times New Roman" w:cs="Times New Roman"/>
                <w:sz w:val="24"/>
                <w:szCs w:val="24"/>
              </w:rPr>
            </w:pPr>
            <w:r w:rsidRPr="00376DD4">
              <w:rPr>
                <w:rFonts w:ascii="Times New Roman" w:hAnsi="Times New Roman" w:cs="Times New Roman"/>
                <w:sz w:val="24"/>
                <w:szCs w:val="24"/>
              </w:rPr>
              <w:t>Plānots, ka 2018.gadā</w:t>
            </w:r>
            <w:r w:rsidRPr="00376DD4" w:rsidR="00B74682">
              <w:rPr>
                <w:rFonts w:ascii="Times New Roman" w:hAnsi="Times New Roman" w:cs="Times New Roman"/>
                <w:sz w:val="24"/>
                <w:szCs w:val="24"/>
              </w:rPr>
              <w:t xml:space="preserve"> no VSMC pārņemto darbības jomu</w:t>
            </w:r>
            <w:r w:rsidRPr="00376DD4">
              <w:rPr>
                <w:rFonts w:ascii="Times New Roman" w:hAnsi="Times New Roman" w:cs="Times New Roman"/>
                <w:sz w:val="24"/>
                <w:szCs w:val="24"/>
              </w:rPr>
              <w:t xml:space="preserve"> apmaksa VSIA “Bērnu klīniskā universitātes slimnīca” tiks veikta pēc tāmes finansējuma.  </w:t>
            </w:r>
            <w:r w:rsidRPr="00376DD4" w:rsidR="00B74682">
              <w:rPr>
                <w:rFonts w:ascii="Times New Roman" w:hAnsi="Times New Roman" w:cs="Times New Roman"/>
                <w:sz w:val="24"/>
                <w:szCs w:val="24"/>
              </w:rPr>
              <w:t>2019.gadam un turpmāk</w:t>
            </w:r>
            <w:r w:rsidRPr="00376DD4">
              <w:rPr>
                <w:rFonts w:ascii="Times New Roman" w:hAnsi="Times New Roman" w:cs="Times New Roman"/>
                <w:sz w:val="24"/>
                <w:szCs w:val="24"/>
              </w:rPr>
              <w:t xml:space="preserve"> tiks izstrādāts normatīvai</w:t>
            </w:r>
            <w:r w:rsidRPr="00376DD4" w:rsidR="00B74682">
              <w:rPr>
                <w:rFonts w:ascii="Times New Roman" w:hAnsi="Times New Roman" w:cs="Times New Roman"/>
                <w:sz w:val="24"/>
                <w:szCs w:val="24"/>
              </w:rPr>
              <w:t>s</w:t>
            </w:r>
            <w:r w:rsidRPr="00376DD4">
              <w:rPr>
                <w:rFonts w:ascii="Times New Roman" w:hAnsi="Times New Roman" w:cs="Times New Roman"/>
                <w:sz w:val="24"/>
                <w:szCs w:val="24"/>
              </w:rPr>
              <w:t xml:space="preserve"> regulējums no valsts budžeta apmaksājamiem veselības aprūpes pakalpojumiem, kurus turpmāk sniegs  VSIA “Bērnu klīniskā universitātes slimnīca”. Iepriekš minētās izmaiņas tiks detalizēti aprakstītas  izstrādātā normatīvā regulējuma anotācijā.</w:t>
            </w:r>
          </w:p>
          <w:p w:rsidR="00E123EF" w:rsidRPr="00050C6A" w:rsidP="00E123EF">
            <w:pPr>
              <w:pStyle w:val="ListParagraph"/>
              <w:numPr>
                <w:ilvl w:val="1"/>
                <w:numId w:val="2"/>
              </w:numPr>
              <w:tabs>
                <w:tab w:val="left" w:pos="512"/>
              </w:tabs>
              <w:spacing w:after="0" w:line="240" w:lineRule="auto"/>
              <w:ind w:left="370" w:right="136" w:hanging="283"/>
              <w:jc w:val="both"/>
              <w:rPr>
                <w:rFonts w:ascii="Times New Roman" w:hAnsi="Times New Roman" w:cs="Times New Roman"/>
                <w:sz w:val="24"/>
                <w:szCs w:val="24"/>
              </w:rPr>
            </w:pPr>
            <w:r w:rsidRPr="00050C6A">
              <w:rPr>
                <w:rFonts w:ascii="Times New Roman" w:hAnsi="Times New Roman" w:cs="Times New Roman"/>
                <w:sz w:val="24"/>
                <w:szCs w:val="24"/>
                <w:u w:val="single"/>
              </w:rPr>
              <w:t>pārdalot uz SPKC (apakšprogramma 46.03.00)</w:t>
            </w:r>
            <w:r w:rsidRPr="00050C6A">
              <w:rPr>
                <w:rFonts w:ascii="Times New Roman" w:hAnsi="Times New Roman" w:cs="Times New Roman"/>
                <w:sz w:val="24"/>
                <w:szCs w:val="24"/>
              </w:rPr>
              <w:t xml:space="preserve"> piemaksām divām amatu vietām, lai SPKC nodrošinātu no VSMC pārņemto jomu - sniegt informatīvo atbalstu valsts pārvaldes institūcijām iedzīvotāju fiziskās veselības aprūpes īstenošanā  resursus izdevumu segšanai (dotāciju no vispārējiem ieņēmumiem) 4 511 euro un atbilstošos izdevumus 4 511 euro (atlīdzībai);</w:t>
            </w:r>
          </w:p>
          <w:p w:rsidR="00E123EF" w:rsidRPr="00050C6A" w:rsidP="00E123EF">
            <w:pPr>
              <w:pStyle w:val="ListParagraph"/>
              <w:numPr>
                <w:ilvl w:val="1"/>
                <w:numId w:val="2"/>
              </w:numPr>
              <w:tabs>
                <w:tab w:val="left" w:pos="512"/>
              </w:tabs>
              <w:spacing w:after="0" w:line="240" w:lineRule="auto"/>
              <w:ind w:left="370" w:right="136" w:hanging="283"/>
              <w:jc w:val="both"/>
              <w:rPr>
                <w:rFonts w:ascii="Times New Roman" w:hAnsi="Times New Roman" w:cs="Times New Roman"/>
                <w:sz w:val="24"/>
                <w:szCs w:val="24"/>
              </w:rPr>
            </w:pPr>
            <w:r w:rsidRPr="00050C6A">
              <w:rPr>
                <w:rFonts w:ascii="Times New Roman" w:hAnsi="Times New Roman" w:cs="Times New Roman"/>
                <w:sz w:val="24"/>
                <w:szCs w:val="24"/>
              </w:rPr>
              <w:t>pārdalot uz VM (programma 97.00.00) piemaksām četrām amatu vietām, lai VM nodrošinātu no VSMC pārņemto jomu - koordinēt sporta medicīnas stratēģijas īstenošanu resursus izdevumu segšanai (dotāciju no vispārējiem ieņēmumiem) 11 781 euro un atbilstošos izdevumus 11 781 euro (atlīdzībai).</w:t>
            </w:r>
          </w:p>
          <w:p w:rsidR="00E123EF" w:rsidRPr="00050C6A" w:rsidP="00E123EF">
            <w:pPr>
              <w:tabs>
                <w:tab w:val="left" w:pos="512"/>
              </w:tabs>
              <w:spacing w:after="0" w:line="240" w:lineRule="auto"/>
              <w:ind w:right="136"/>
              <w:jc w:val="both"/>
              <w:rPr>
                <w:rFonts w:ascii="Times New Roman" w:hAnsi="Times New Roman" w:cs="Times New Roman"/>
                <w:sz w:val="24"/>
                <w:szCs w:val="24"/>
                <w:highlight w:val="yellow"/>
              </w:rPr>
            </w:pPr>
            <w:r w:rsidRPr="00050C6A">
              <w:rPr>
                <w:rFonts w:ascii="Times New Roman" w:hAnsi="Times New Roman" w:cs="Times New Roman"/>
                <w:sz w:val="24"/>
                <w:szCs w:val="24"/>
              </w:rPr>
              <w:t xml:space="preserve">2018.gadā VSMC apakšprogrammā 39.02.00 būs  ieņēmumu no maksas pakalpojumiem un citiem pašu ieņēmumiem un atbilstošo izdevumu neizpilde 108 138 euro apmērā,  tai skaitā  atlīdzībai 62 221 euro un precēm un pakalpojumiem 45 917 euro. </w:t>
            </w:r>
          </w:p>
          <w:p w:rsidR="00E123EF" w:rsidRPr="00050C6A" w:rsidP="00E123EF">
            <w:pPr>
              <w:tabs>
                <w:tab w:val="left" w:pos="512"/>
              </w:tabs>
              <w:spacing w:after="0" w:line="240" w:lineRule="auto"/>
              <w:ind w:right="136"/>
              <w:jc w:val="both"/>
              <w:rPr>
                <w:rFonts w:ascii="Times New Roman" w:hAnsi="Times New Roman" w:cs="Times New Roman"/>
                <w:sz w:val="24"/>
                <w:szCs w:val="24"/>
                <w:highlight w:val="green"/>
              </w:rPr>
            </w:pPr>
          </w:p>
          <w:p w:rsidR="00E123EF" w:rsidRPr="00050C6A" w:rsidP="00E123EF">
            <w:pPr>
              <w:pStyle w:val="ListParagraph"/>
              <w:numPr>
                <w:ilvl w:val="0"/>
                <w:numId w:val="2"/>
              </w:numPr>
              <w:spacing w:after="0" w:line="240" w:lineRule="auto"/>
              <w:ind w:left="370" w:right="136" w:hanging="283"/>
              <w:jc w:val="both"/>
              <w:rPr>
                <w:rFonts w:ascii="Times New Roman" w:hAnsi="Times New Roman" w:cs="Times New Roman"/>
                <w:b/>
                <w:sz w:val="24"/>
                <w:szCs w:val="24"/>
              </w:rPr>
            </w:pPr>
            <w:r w:rsidRPr="00050C6A">
              <w:rPr>
                <w:rFonts w:ascii="Times New Roman" w:hAnsi="Times New Roman" w:cs="Times New Roman"/>
                <w:b/>
                <w:sz w:val="24"/>
                <w:szCs w:val="24"/>
              </w:rPr>
              <w:t>no NVD (apakšprogramma 45.01.00):</w:t>
            </w:r>
          </w:p>
          <w:p w:rsidR="00E123EF" w:rsidRPr="00050C6A" w:rsidP="00E123EF">
            <w:pPr>
              <w:pStyle w:val="ListParagraph"/>
              <w:numPr>
                <w:ilvl w:val="1"/>
                <w:numId w:val="2"/>
              </w:numPr>
              <w:ind w:left="512" w:hanging="425"/>
              <w:jc w:val="both"/>
              <w:rPr>
                <w:rFonts w:ascii="Times New Roman" w:hAnsi="Times New Roman" w:cs="Times New Roman"/>
                <w:sz w:val="24"/>
                <w:szCs w:val="24"/>
              </w:rPr>
            </w:pPr>
            <w:r w:rsidRPr="00050C6A">
              <w:rPr>
                <w:rFonts w:ascii="Times New Roman" w:hAnsi="Times New Roman" w:cs="Times New Roman"/>
                <w:sz w:val="24"/>
                <w:szCs w:val="24"/>
                <w:u w:val="single"/>
              </w:rPr>
              <w:t>pārdalot uz VI (apakšprogramma 46.01.00)</w:t>
            </w:r>
            <w:r w:rsidRPr="00050C6A">
              <w:rPr>
                <w:rFonts w:ascii="Times New Roman" w:hAnsi="Times New Roman" w:cs="Times New Roman"/>
                <w:sz w:val="24"/>
                <w:szCs w:val="24"/>
              </w:rPr>
              <w:t xml:space="preserve"> lēmumu par pacientam izmaksājamo atlīdzību no Ārstniecības riska fonda pieņemšanai resursus izdevumu segšanai (dotācija no vispārējiem ieņēmumiem) 18 421 euro  un atbilstošos izdevumus 18 421 euro, tai skaitā, atlīdzībai 17 507 euro un precēm un pakalpojumiem 914 euro. Vienlaicīgi tiek pārdalītas 2 amata vietas.</w:t>
            </w:r>
          </w:p>
          <w:p w:rsidR="00E123EF" w:rsidRPr="00050C6A" w:rsidP="00E123EF">
            <w:pPr>
              <w:pStyle w:val="ListParagraph"/>
              <w:numPr>
                <w:ilvl w:val="1"/>
                <w:numId w:val="2"/>
              </w:numPr>
              <w:spacing w:after="0" w:line="240" w:lineRule="auto"/>
              <w:ind w:left="512" w:hanging="425"/>
              <w:jc w:val="both"/>
              <w:rPr>
                <w:rFonts w:ascii="Times New Roman" w:hAnsi="Times New Roman" w:cs="Times New Roman"/>
                <w:sz w:val="24"/>
                <w:szCs w:val="24"/>
              </w:rPr>
            </w:pPr>
            <w:r w:rsidRPr="00050C6A">
              <w:rPr>
                <w:rFonts w:ascii="Times New Roman" w:hAnsi="Times New Roman" w:cs="Times New Roman"/>
                <w:sz w:val="24"/>
                <w:szCs w:val="24"/>
                <w:u w:val="single"/>
              </w:rPr>
              <w:t>pārdalot uz SPKC (apakšprogramma 46.03.00)</w:t>
            </w:r>
            <w:r w:rsidRPr="00050C6A">
              <w:rPr>
                <w:rFonts w:ascii="Times New Roman" w:hAnsi="Times New Roman" w:cs="Times New Roman"/>
                <w:sz w:val="24"/>
                <w:szCs w:val="24"/>
              </w:rPr>
              <w:t xml:space="preserve"> izstrādājamo klīnisko vadlīniju sarakstu sagatavošanai, klīnisko vadlīniju izvērtēšanai un to ieviešanas metodisko vadību nodrošināšanai resursus izdevumu segšanai (dotācija no vispārējiem ieņēmumiem) 7 861 euro  un atbilstošos izdevumus 7 861 euro, tai skaitā, atlīdzībai 7 404 euro un precēm un pakalpojumiem 457 euro. Vienlaicīgi tiek pārdalīta 1 amata vieta.</w:t>
            </w:r>
          </w:p>
          <w:p w:rsidR="00E123EF" w:rsidRPr="00050C6A" w:rsidP="00E123EF">
            <w:pPr>
              <w:pStyle w:val="ListParagraph"/>
              <w:numPr>
                <w:ilvl w:val="1"/>
                <w:numId w:val="2"/>
              </w:numPr>
              <w:spacing w:after="0" w:line="240" w:lineRule="auto"/>
              <w:ind w:left="512" w:hanging="425"/>
              <w:jc w:val="both"/>
              <w:rPr>
                <w:rFonts w:ascii="Times New Roman" w:hAnsi="Times New Roman" w:cs="Times New Roman"/>
                <w:sz w:val="24"/>
                <w:szCs w:val="24"/>
              </w:rPr>
            </w:pPr>
            <w:r w:rsidRPr="00050C6A">
              <w:rPr>
                <w:rFonts w:ascii="Times New Roman" w:hAnsi="Times New Roman" w:cs="Times New Roman"/>
                <w:sz w:val="24"/>
                <w:szCs w:val="24"/>
                <w:u w:val="single"/>
              </w:rPr>
              <w:t>pārdalot uz VM (programma 97.00.00)</w:t>
            </w:r>
            <w:r w:rsidRPr="00050C6A">
              <w:rPr>
                <w:rFonts w:ascii="Times New Roman" w:hAnsi="Times New Roman" w:cs="Times New Roman"/>
                <w:sz w:val="24"/>
                <w:szCs w:val="24"/>
              </w:rPr>
              <w:t xml:space="preserve"> </w:t>
            </w:r>
            <w:r w:rsidRPr="00050C6A">
              <w:rPr>
                <w:rFonts w:ascii="Times New Roman" w:hAnsi="Times New Roman" w:cs="Times New Roman"/>
                <w:sz w:val="24"/>
                <w:szCs w:val="24"/>
                <w:u w:val="single"/>
              </w:rPr>
              <w:t>veicot pārdali starp izdevumu kodiem</w:t>
            </w:r>
            <w:r w:rsidRPr="00050C6A">
              <w:rPr>
                <w:rFonts w:ascii="Times New Roman" w:hAnsi="Times New Roman" w:cs="Times New Roman"/>
                <w:sz w:val="24"/>
                <w:szCs w:val="24"/>
              </w:rPr>
              <w:t>, VM ieplānojot EKK 7350 “Valsts budžeta transferti valsts budžeta daļēji finansētām atvasinātajām publiskajām personām un budžeta nefinansētām iestādēm noteiktam mērķim”, lai nodrošinātu finanšu līdzekļus 17 114 euro apmērā ZVA valsts pārvaldes uzdevuma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īstenošanai samazinot 16 200 euro atlīdzībai un 914 euro no precēm un pakalpojumiem. Vienlaicīgi tiek pārdalītas 2 amata vietas uz ZVA.</w:t>
            </w:r>
          </w:p>
          <w:p w:rsidR="00E123EF" w:rsidRPr="00050C6A" w:rsidP="00E123EF">
            <w:pPr>
              <w:spacing w:after="0" w:line="240" w:lineRule="auto"/>
              <w:jc w:val="both"/>
              <w:rPr>
                <w:rFonts w:ascii="Times New Roman" w:hAnsi="Times New Roman" w:cs="Times New Roman"/>
                <w:sz w:val="24"/>
                <w:szCs w:val="24"/>
              </w:rPr>
            </w:pPr>
            <w:r w:rsidRPr="00050C6A">
              <w:rPr>
                <w:rFonts w:ascii="Times New Roman" w:hAnsi="Times New Roman" w:cs="Times New Roman"/>
                <w:sz w:val="24"/>
                <w:szCs w:val="24"/>
              </w:rPr>
              <w:t>2018.gadā NVD apakšprogrammā 45.01.00 būs  ieņēmumu no maksas pakalpojumiem un citiem pašu ieņēmumiem un atbilstošo izdevumu neizpilde 19 850 euro apmērā,  tai skaitā  atlīdzībai 18 936 euro un precēm un pakalpojumiem 914 euro, jo no 2018.gada 1.jūlija ZVA nodrošinās no NVD pārņemto jomu - novērtēt ārstniecībā lietojamo zāļu, medicīnisko ierīču un medicīnisko tehnoloģiju izmaksu efektivitāti, kas ir maksas pakalpojumi.</w:t>
            </w:r>
          </w:p>
          <w:p w:rsidR="00E123EF" w:rsidRPr="00050C6A" w:rsidP="00E123EF">
            <w:pPr>
              <w:spacing w:after="0" w:line="240" w:lineRule="auto"/>
              <w:jc w:val="both"/>
              <w:rPr>
                <w:rFonts w:ascii="Times New Roman" w:hAnsi="Times New Roman" w:cs="Times New Roman"/>
                <w:sz w:val="24"/>
                <w:szCs w:val="24"/>
              </w:rPr>
            </w:pPr>
          </w:p>
          <w:p w:rsidR="00E123EF" w:rsidRPr="00050C6A" w:rsidP="00E123EF">
            <w:pPr>
              <w:pStyle w:val="ListParagraph"/>
              <w:numPr>
                <w:ilvl w:val="0"/>
                <w:numId w:val="2"/>
              </w:numPr>
              <w:tabs>
                <w:tab w:val="left" w:pos="228"/>
              </w:tabs>
              <w:spacing w:after="0" w:line="240" w:lineRule="auto"/>
              <w:ind w:left="370" w:hanging="283"/>
              <w:jc w:val="both"/>
              <w:rPr>
                <w:rFonts w:ascii="Times New Roman" w:hAnsi="Times New Roman" w:cs="Times New Roman"/>
                <w:b/>
                <w:sz w:val="24"/>
                <w:szCs w:val="24"/>
              </w:rPr>
            </w:pPr>
            <w:r w:rsidRPr="00050C6A">
              <w:rPr>
                <w:rFonts w:ascii="Times New Roman" w:hAnsi="Times New Roman" w:cs="Times New Roman"/>
                <w:b/>
                <w:sz w:val="24"/>
                <w:szCs w:val="24"/>
              </w:rPr>
              <w:t xml:space="preserve">no VI (apakšprogramma 46.01.00) </w:t>
            </w:r>
            <w:r w:rsidRPr="00050C6A">
              <w:rPr>
                <w:rFonts w:ascii="Times New Roman" w:hAnsi="Times New Roman" w:cs="Times New Roman"/>
                <w:sz w:val="24"/>
                <w:szCs w:val="24"/>
              </w:rPr>
              <w:t xml:space="preserve">pārdalot uz NVD (apakšprogramma 45.01.00) noslēgto līgumu ar ārstniecības iestādēm par valsts apmaksāto veselības aprūpes pakalpojumu sniegšanu uzraudzībai resursus izdevumu segšanai (dotācija no vispārējiem ieņēmumiem) 115 680 euro  un atbilstošos izdevumus 115 680 euro, tai skaitā atlīdzībai 109 297 euro un precēm un pakalpojumiem 6 383 euro samazinot izdevumus apakšprogrammā par 115 680 euro, tai skaitā </w:t>
            </w:r>
            <w:r w:rsidRPr="00050C6A">
              <w:rPr>
                <w:rFonts w:ascii="Times New Roman" w:hAnsi="Times New Roman" w:cs="Times New Roman"/>
                <w:sz w:val="24"/>
                <w:szCs w:val="24"/>
              </w:rPr>
              <w:t>atlīdzībai 109 297 euro, precēm un pakalpojumiem 5 705 un pamatkapitāla veidošanai 678 euro. Vienlaicīgi tiek pārdalītas 15 amata vietas.</w:t>
            </w:r>
          </w:p>
          <w:p w:rsidR="00E123EF" w:rsidRPr="00050C6A" w:rsidP="00E123EF">
            <w:pPr>
              <w:pStyle w:val="ListParagraph"/>
              <w:tabs>
                <w:tab w:val="left" w:pos="228"/>
              </w:tabs>
              <w:spacing w:after="0" w:line="240" w:lineRule="auto"/>
              <w:ind w:left="370"/>
              <w:jc w:val="both"/>
              <w:rPr>
                <w:rFonts w:ascii="Times New Roman" w:hAnsi="Times New Roman" w:cs="Times New Roman"/>
                <w:b/>
                <w:sz w:val="24"/>
                <w:szCs w:val="24"/>
              </w:rPr>
            </w:pPr>
          </w:p>
          <w:p w:rsidR="00E123EF" w:rsidRPr="00050C6A" w:rsidP="00E123EF">
            <w:pPr>
              <w:pStyle w:val="ListParagraph"/>
              <w:numPr>
                <w:ilvl w:val="0"/>
                <w:numId w:val="2"/>
              </w:numPr>
              <w:tabs>
                <w:tab w:val="left" w:pos="228"/>
              </w:tabs>
              <w:spacing w:after="0" w:line="240" w:lineRule="auto"/>
              <w:ind w:left="370" w:hanging="283"/>
              <w:jc w:val="both"/>
              <w:rPr>
                <w:rFonts w:ascii="Times New Roman" w:hAnsi="Times New Roman" w:cs="Times New Roman"/>
                <w:b/>
                <w:sz w:val="24"/>
                <w:szCs w:val="24"/>
              </w:rPr>
            </w:pPr>
            <w:r w:rsidRPr="00050C6A">
              <w:rPr>
                <w:rFonts w:ascii="Times New Roman" w:hAnsi="Times New Roman" w:cs="Times New Roman"/>
                <w:b/>
                <w:sz w:val="24"/>
                <w:szCs w:val="24"/>
              </w:rPr>
              <w:t>nepieciešama finansējuma pārdale apakšprogrammas 02.04.00 ietvaros</w:t>
            </w:r>
            <w:r w:rsidRPr="00050C6A">
              <w:rPr>
                <w:rFonts w:ascii="Times New Roman" w:hAnsi="Times New Roman" w:cs="Times New Roman"/>
                <w:sz w:val="24"/>
                <w:szCs w:val="24"/>
              </w:rPr>
              <w:t xml:space="preserve">, </w:t>
            </w:r>
            <w:r w:rsidRPr="00050C6A">
              <w:rPr>
                <w:rFonts w:ascii="Times New Roman" w:hAnsi="Times New Roman" w:cs="Times New Roman"/>
                <w:sz w:val="24"/>
                <w:szCs w:val="24"/>
                <w:u w:val="single"/>
              </w:rPr>
              <w:t>veicot pārdali starp izdevumu kodiem</w:t>
            </w:r>
            <w:r w:rsidRPr="00050C6A">
              <w:rPr>
                <w:rFonts w:ascii="Times New Roman" w:hAnsi="Times New Roman" w:cs="Times New Roman"/>
                <w:sz w:val="24"/>
                <w:szCs w:val="24"/>
              </w:rPr>
              <w:t xml:space="preserve">, ieplānojot EKK 7350 “Valsts budžeta transferti valsts budžeta daļēji finansētām atvasinātajām publiskajām personām un budžeta nefinansētām iestādēm noteiktam mērķim” 28 493 euro apmērā, lai nodrošinātu finanšu līdzekļus reizdentu turpmākai apmācībai, kuri rezidentūru pēc VSMC reorganizācijas turpinās VSIA “Bērnu klīniskā universitātes slimnīca”,  samazinot izdevumus 24 156 euro atlīdzībai un 4 337 euro precēm un pakalpojumiem. </w:t>
            </w:r>
          </w:p>
          <w:p w:rsidR="00E123EF" w:rsidRPr="00050C6A" w:rsidP="00E123EF">
            <w:pPr>
              <w:spacing w:after="0" w:line="240" w:lineRule="auto"/>
              <w:ind w:right="135"/>
              <w:jc w:val="both"/>
              <w:rPr>
                <w:rFonts w:ascii="Times New Roman" w:hAnsi="Times New Roman" w:cs="Times New Roman"/>
                <w:sz w:val="24"/>
                <w:szCs w:val="24"/>
              </w:rPr>
            </w:pPr>
          </w:p>
          <w:p w:rsidR="00E123EF" w:rsidRPr="00050C6A" w:rsidP="00E123EF">
            <w:pPr>
              <w:spacing w:after="0" w:line="240" w:lineRule="auto"/>
              <w:jc w:val="both"/>
              <w:rPr>
                <w:rFonts w:ascii="Times New Roman" w:eastAsia="Times New Roman" w:hAnsi="Times New Roman" w:cs="Times New Roman"/>
                <w:bCs/>
                <w:sz w:val="24"/>
                <w:szCs w:val="24"/>
                <w:lang w:eastAsia="lv-LV"/>
              </w:rPr>
            </w:pPr>
          </w:p>
          <w:p w:rsidR="00E123EF" w:rsidRPr="00050C6A" w:rsidP="00E123EF">
            <w:pPr>
              <w:spacing w:after="0" w:line="240" w:lineRule="auto"/>
              <w:jc w:val="both"/>
              <w:rPr>
                <w:rFonts w:ascii="Times New Roman" w:eastAsia="Times New Roman" w:hAnsi="Times New Roman" w:cs="Times New Roman"/>
                <w:bCs/>
                <w:sz w:val="24"/>
                <w:szCs w:val="24"/>
                <w:lang w:eastAsia="lv-LV"/>
              </w:rPr>
            </w:pPr>
          </w:p>
          <w:p w:rsidR="00E123EF" w:rsidRPr="00050C6A" w:rsidP="00E123EF">
            <w:pPr>
              <w:spacing w:after="0" w:line="240" w:lineRule="auto"/>
              <w:ind w:right="136"/>
              <w:jc w:val="both"/>
              <w:rPr>
                <w:rFonts w:ascii="Times New Roman" w:hAnsi="Times New Roman" w:cs="Times New Roman"/>
                <w:b/>
                <w:sz w:val="24"/>
                <w:szCs w:val="24"/>
                <w:u w:val="single"/>
              </w:rPr>
            </w:pPr>
            <w:r w:rsidRPr="00050C6A">
              <w:rPr>
                <w:rFonts w:ascii="Times New Roman" w:hAnsi="Times New Roman" w:cs="Times New Roman"/>
                <w:b/>
                <w:sz w:val="24"/>
                <w:szCs w:val="24"/>
                <w:u w:val="single"/>
              </w:rPr>
              <w:t>2019.gada un turpmāk ik gadu finansējuma izmaiņas pret likumu “Par vidēja termiņa budžeta ietvaru 2018., 2019. un 2020. gadam” tai skaitā pārdale:</w:t>
            </w:r>
          </w:p>
          <w:p w:rsidR="00E123EF" w:rsidRPr="00050C6A" w:rsidP="00E123EF">
            <w:pPr>
              <w:pStyle w:val="ListParagraph"/>
              <w:numPr>
                <w:ilvl w:val="0"/>
                <w:numId w:val="13"/>
              </w:numPr>
              <w:tabs>
                <w:tab w:val="left" w:pos="370"/>
              </w:tabs>
              <w:spacing w:after="0" w:line="240" w:lineRule="auto"/>
              <w:ind w:right="136" w:hanging="633"/>
              <w:jc w:val="both"/>
              <w:rPr>
                <w:rFonts w:ascii="Times New Roman" w:hAnsi="Times New Roman" w:cs="Times New Roman"/>
                <w:b/>
                <w:sz w:val="24"/>
                <w:szCs w:val="24"/>
              </w:rPr>
            </w:pPr>
            <w:r w:rsidRPr="00050C6A">
              <w:rPr>
                <w:rFonts w:ascii="Times New Roman" w:hAnsi="Times New Roman" w:cs="Times New Roman"/>
                <w:b/>
                <w:sz w:val="24"/>
                <w:szCs w:val="24"/>
              </w:rPr>
              <w:t>no VSMC (apakšprogramma 39.02.00):</w:t>
            </w:r>
          </w:p>
          <w:p w:rsidR="00E123EF" w:rsidRPr="00050C6A" w:rsidP="00E123EF">
            <w:pPr>
              <w:pStyle w:val="ListParagraph"/>
              <w:numPr>
                <w:ilvl w:val="1"/>
                <w:numId w:val="14"/>
              </w:num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u w:val="single"/>
              </w:rPr>
              <w:t>pārdalot uz</w:t>
            </w:r>
            <w:r w:rsidR="00596C81">
              <w:rPr>
                <w:rFonts w:ascii="Times New Roman" w:hAnsi="Times New Roman" w:cs="Times New Roman"/>
                <w:sz w:val="24"/>
                <w:szCs w:val="24"/>
                <w:u w:val="single"/>
              </w:rPr>
              <w:t xml:space="preserve"> Latvijas</w:t>
            </w:r>
            <w:r w:rsidRPr="00050C6A">
              <w:rPr>
                <w:rFonts w:ascii="Times New Roman" w:hAnsi="Times New Roman" w:cs="Times New Roman"/>
                <w:sz w:val="24"/>
                <w:szCs w:val="24"/>
                <w:u w:val="single"/>
              </w:rPr>
              <w:t xml:space="preserve"> Antidopinga biroju (jaunizveidojamā apakšprogramma)</w:t>
            </w:r>
            <w:r w:rsidRPr="00050C6A">
              <w:rPr>
                <w:rFonts w:ascii="Times New Roman" w:hAnsi="Times New Roman" w:cs="Times New Roman"/>
                <w:sz w:val="24"/>
                <w:szCs w:val="24"/>
              </w:rPr>
              <w:t xml:space="preserve"> resursus izdevumu segšanai (dotāciju no vispārējiem ieņēmumiem) 699 943 euro un atbilstošos izdevumus 395 821 euro, tai skaitā, atlīdzībai 306 524 euro un precēm un pakalpojumiem 393 419 euro.</w:t>
            </w:r>
          </w:p>
          <w:p w:rsidR="00E123EF" w:rsidRPr="00050C6A" w:rsidP="00E123EF">
            <w:pPr>
              <w:pStyle w:val="ListParagraph"/>
              <w:numPr>
                <w:ilvl w:val="1"/>
                <w:numId w:val="14"/>
              </w:num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u w:val="single"/>
              </w:rPr>
              <w:t>samazinot VSMC ieņēmumus no maksas pakalpojumiem un citiem pašu ieņēmumiem</w:t>
            </w:r>
            <w:r w:rsidRPr="00050C6A">
              <w:rPr>
                <w:rFonts w:ascii="Times New Roman" w:hAnsi="Times New Roman" w:cs="Times New Roman"/>
                <w:sz w:val="24"/>
                <w:szCs w:val="24"/>
              </w:rPr>
              <w:t xml:space="preserve"> un tiem atbilstošos izdevumus 216 276 euro,  tai skaitā  atlīdzībai 124 442 euro un precēm un pakalpojumiem 91 834 euro.</w:t>
            </w:r>
          </w:p>
          <w:p w:rsidR="00E123EF" w:rsidRPr="00050C6A" w:rsidP="00E123EF">
            <w:pPr>
              <w:pStyle w:val="ListParagraph"/>
              <w:numPr>
                <w:ilvl w:val="1"/>
                <w:numId w:val="14"/>
              </w:numPr>
              <w:spacing w:after="0" w:line="240" w:lineRule="auto"/>
              <w:ind w:right="135"/>
              <w:jc w:val="both"/>
              <w:rPr>
                <w:rFonts w:ascii="Times New Roman" w:hAnsi="Times New Roman" w:cs="Times New Roman"/>
                <w:sz w:val="24"/>
                <w:szCs w:val="24"/>
              </w:rPr>
            </w:pPr>
            <w:r w:rsidRPr="00050C6A">
              <w:rPr>
                <w:rFonts w:ascii="Times New Roman" w:hAnsi="Times New Roman" w:cs="Times New Roman"/>
                <w:sz w:val="24"/>
                <w:szCs w:val="24"/>
                <w:u w:val="single"/>
              </w:rPr>
              <w:t>pārdalot uz NVD (apakšprogramma 33.16.00)</w:t>
            </w:r>
            <w:r w:rsidRPr="00050C6A">
              <w:rPr>
                <w:rFonts w:ascii="Times New Roman" w:hAnsi="Times New Roman" w:cs="Times New Roman"/>
                <w:sz w:val="24"/>
                <w:szCs w:val="24"/>
              </w:rPr>
              <w:t>, lai Valsts sabiedrība ar ierobežotu atbildību “Bērnu klīniskā universitātes slimnīca” no VSMC varētu nodrošināt pārņemtās jomas:</w:t>
            </w:r>
          </w:p>
          <w:p w:rsidR="00E123EF" w:rsidRPr="00050C6A" w:rsidP="00E123EF">
            <w:pPr>
              <w:pStyle w:val="ListParagraph"/>
              <w:numPr>
                <w:ilvl w:val="0"/>
                <w:numId w:val="1"/>
              </w:numPr>
              <w:tabs>
                <w:tab w:val="left" w:pos="512"/>
              </w:tabs>
              <w:spacing w:after="0" w:line="240" w:lineRule="auto"/>
              <w:ind w:left="512" w:right="136" w:hanging="152"/>
              <w:jc w:val="both"/>
              <w:rPr>
                <w:rFonts w:ascii="Times New Roman" w:hAnsi="Times New Roman" w:cs="Times New Roman"/>
                <w:sz w:val="24"/>
                <w:szCs w:val="24"/>
              </w:rPr>
            </w:pPr>
            <w:r w:rsidRPr="00050C6A">
              <w:rPr>
                <w:rFonts w:ascii="Times New Roman" w:hAnsi="Times New Roman" w:cs="Times New Roman"/>
                <w:sz w:val="24"/>
                <w:szCs w:val="24"/>
              </w:rPr>
              <w:t>apkopot un analizēt datus, kas saistīti ar nepilngadīgu sportistu un bērnu ar paaugstinātu fizisku slodzi fizisko attīstību un sagatavotību;</w:t>
            </w:r>
          </w:p>
          <w:p w:rsidR="00E123EF" w:rsidRPr="00050C6A" w:rsidP="00E123EF">
            <w:pPr>
              <w:pStyle w:val="ListParagraph"/>
              <w:numPr>
                <w:ilvl w:val="0"/>
                <w:numId w:val="1"/>
              </w:numPr>
              <w:tabs>
                <w:tab w:val="left" w:pos="512"/>
              </w:tabs>
              <w:spacing w:after="0" w:line="240" w:lineRule="auto"/>
              <w:ind w:left="512" w:right="136" w:hanging="152"/>
              <w:jc w:val="both"/>
              <w:rPr>
                <w:rFonts w:ascii="Times New Roman" w:hAnsi="Times New Roman" w:cs="Times New Roman"/>
                <w:sz w:val="24"/>
                <w:szCs w:val="24"/>
              </w:rPr>
            </w:pPr>
            <w:r w:rsidRPr="00050C6A">
              <w:rPr>
                <w:rFonts w:ascii="Times New Roman" w:hAnsi="Times New Roman" w:cs="Times New Roman"/>
                <w:sz w:val="24"/>
                <w:szCs w:val="24"/>
              </w:rPr>
              <w:t>nodrošināt veselības aprūpi un medicīnisko uzraudzību sportistiem un bērniem ar paaugstinātu fizisko slodzi, koordinēt veselības aprūpes un medicīniskās uzraudzības pasākumus un īstenot sporta medicīnas un iedzīvotāju fiziskās veselības aprūpes programmas;</w:t>
            </w:r>
          </w:p>
          <w:p w:rsidR="00E123EF" w:rsidRPr="00050C6A" w:rsidP="00E123EF">
            <w:pPr>
              <w:pStyle w:val="ListParagraph"/>
              <w:numPr>
                <w:ilvl w:val="0"/>
                <w:numId w:val="1"/>
              </w:numPr>
              <w:tabs>
                <w:tab w:val="left" w:pos="512"/>
              </w:tabs>
              <w:spacing w:after="0" w:line="240" w:lineRule="auto"/>
              <w:ind w:left="512" w:right="136" w:hanging="142"/>
              <w:jc w:val="both"/>
              <w:rPr>
                <w:rFonts w:ascii="Times New Roman" w:hAnsi="Times New Roman" w:cs="Times New Roman"/>
                <w:sz w:val="24"/>
                <w:szCs w:val="24"/>
              </w:rPr>
            </w:pPr>
            <w:r w:rsidRPr="00050C6A">
              <w:rPr>
                <w:rFonts w:ascii="Times New Roman" w:hAnsi="Times New Roman" w:cs="Times New Roman"/>
                <w:sz w:val="24"/>
                <w:szCs w:val="24"/>
              </w:rPr>
              <w:t>sniegt valsts un pašvaldību iestādēm, kā arī privātpersonām sporta medicīnas, iedzīvotāju fiziskās veselības aprūpes un medicīniskās rehabilitācijas pakalpojumus,</w:t>
            </w:r>
          </w:p>
          <w:p w:rsidR="00E123EF" w:rsidRPr="00050C6A" w:rsidP="00E123EF">
            <w:pPr>
              <w:tabs>
                <w:tab w:val="left" w:pos="512"/>
              </w:tabs>
              <w:spacing w:after="0" w:line="240" w:lineRule="auto"/>
              <w:ind w:left="208" w:right="136"/>
              <w:jc w:val="both"/>
              <w:rPr>
                <w:rFonts w:ascii="Times New Roman" w:hAnsi="Times New Roman" w:cs="Times New Roman"/>
                <w:sz w:val="24"/>
                <w:szCs w:val="24"/>
              </w:rPr>
            </w:pPr>
            <w:r w:rsidRPr="00050C6A">
              <w:rPr>
                <w:rFonts w:ascii="Times New Roman" w:hAnsi="Times New Roman" w:cs="Times New Roman"/>
                <w:sz w:val="24"/>
                <w:szCs w:val="24"/>
              </w:rPr>
              <w:t xml:space="preserve">resursus izdevumu segšanai (dotāciju no vispārējiem ieņēmumiem) 694 890 euro un atbilstošos izdevumus 694 890 euro (subsīdijas un dotācijas) samazinot apakšprogrammā 39.02.00 izdevumus atlīdzībai 569 581 euro, precēm un pakalpojumiem 123 175 euro un pamatkapitāla veidošanai 2 134 euro. </w:t>
            </w:r>
          </w:p>
          <w:p w:rsidR="00E123EF" w:rsidRPr="00050C6A" w:rsidP="00E123EF">
            <w:pPr>
              <w:pStyle w:val="ListParagraph"/>
              <w:numPr>
                <w:ilvl w:val="1"/>
                <w:numId w:val="14"/>
              </w:numPr>
              <w:tabs>
                <w:tab w:val="left" w:pos="512"/>
              </w:tabs>
              <w:spacing w:after="0" w:line="240" w:lineRule="auto"/>
              <w:ind w:right="136"/>
              <w:jc w:val="both"/>
              <w:rPr>
                <w:rFonts w:ascii="Times New Roman" w:hAnsi="Times New Roman" w:cs="Times New Roman"/>
                <w:sz w:val="24"/>
                <w:szCs w:val="24"/>
              </w:rPr>
            </w:pPr>
            <w:r w:rsidRPr="00050C6A">
              <w:rPr>
                <w:rFonts w:ascii="Times New Roman" w:hAnsi="Times New Roman" w:cs="Times New Roman"/>
                <w:sz w:val="24"/>
                <w:szCs w:val="24"/>
                <w:u w:val="single"/>
              </w:rPr>
              <w:t>pārdalot uz SPKC (apakšprogramma 46.03.00)</w:t>
            </w:r>
            <w:r w:rsidRPr="00050C6A">
              <w:rPr>
                <w:rFonts w:ascii="Times New Roman" w:hAnsi="Times New Roman" w:cs="Times New Roman"/>
                <w:sz w:val="24"/>
                <w:szCs w:val="24"/>
              </w:rPr>
              <w:t xml:space="preserve"> piemaksām divām amatu vietām, lai SPKC nodrošinātu no VSMC pārņemto jomu - sniegt informatīvo atbalstu valsts pārvaldes institūcijām iedzīvotāju fiziskās veselības aprūpes īstenošanā  resursus izdevumu segšanai </w:t>
            </w:r>
            <w:r w:rsidRPr="00050C6A">
              <w:rPr>
                <w:rFonts w:ascii="Times New Roman" w:hAnsi="Times New Roman" w:cs="Times New Roman"/>
                <w:sz w:val="24"/>
                <w:szCs w:val="24"/>
              </w:rPr>
              <w:t>(dotāciju no vispārējiem ieņēmumiem) 9 021 euro un atbilstošos izdevumus 9 021 euro (atlīdzībai);</w:t>
            </w:r>
          </w:p>
          <w:p w:rsidR="00E123EF" w:rsidRPr="00050C6A" w:rsidP="00E123EF">
            <w:pPr>
              <w:pStyle w:val="ListParagraph"/>
              <w:numPr>
                <w:ilvl w:val="1"/>
                <w:numId w:val="14"/>
              </w:numPr>
              <w:tabs>
                <w:tab w:val="left" w:pos="512"/>
              </w:tabs>
              <w:spacing w:after="0" w:line="240" w:lineRule="auto"/>
              <w:ind w:left="370" w:right="136" w:hanging="283"/>
              <w:jc w:val="both"/>
              <w:rPr>
                <w:rFonts w:ascii="Times New Roman" w:hAnsi="Times New Roman" w:cs="Times New Roman"/>
                <w:sz w:val="24"/>
                <w:szCs w:val="24"/>
              </w:rPr>
            </w:pPr>
            <w:r w:rsidRPr="00050C6A">
              <w:rPr>
                <w:rFonts w:ascii="Times New Roman" w:hAnsi="Times New Roman" w:cs="Times New Roman"/>
                <w:sz w:val="24"/>
                <w:szCs w:val="24"/>
              </w:rPr>
              <w:t>pārdalot uz VM (programma 97.00.00) piemaksām četrām amatu vietām, lai VM nodrošinātu no VSMC pārņemto jomu - koordinēt sporta medicīnas stratēģijas īstenošanu resursus izdevumu segšanai (dotāciju no vispārējiem ieņēmumiem) 23 561 euro un atbilstošos izdevumus 23 561 euro (atlīdzībai).</w:t>
            </w:r>
          </w:p>
          <w:p w:rsidR="00E123EF" w:rsidRPr="00050C6A" w:rsidP="00E123EF">
            <w:pPr>
              <w:tabs>
                <w:tab w:val="left" w:pos="512"/>
              </w:tabs>
              <w:spacing w:after="0" w:line="240" w:lineRule="auto"/>
              <w:ind w:right="136"/>
              <w:jc w:val="both"/>
              <w:rPr>
                <w:rFonts w:ascii="Times New Roman" w:hAnsi="Times New Roman" w:cs="Times New Roman"/>
                <w:sz w:val="24"/>
                <w:szCs w:val="24"/>
                <w:highlight w:val="green"/>
              </w:rPr>
            </w:pPr>
          </w:p>
          <w:p w:rsidR="00E123EF" w:rsidRPr="00050C6A" w:rsidP="00E123EF">
            <w:pPr>
              <w:pStyle w:val="ListParagraph"/>
              <w:numPr>
                <w:ilvl w:val="0"/>
                <w:numId w:val="14"/>
              </w:numPr>
              <w:spacing w:after="0" w:line="240" w:lineRule="auto"/>
              <w:ind w:left="370" w:right="136" w:hanging="283"/>
              <w:jc w:val="both"/>
              <w:rPr>
                <w:rFonts w:ascii="Times New Roman" w:hAnsi="Times New Roman" w:cs="Times New Roman"/>
                <w:b/>
                <w:sz w:val="24"/>
                <w:szCs w:val="24"/>
              </w:rPr>
            </w:pPr>
            <w:r w:rsidRPr="00050C6A">
              <w:rPr>
                <w:rFonts w:ascii="Times New Roman" w:hAnsi="Times New Roman" w:cs="Times New Roman"/>
                <w:b/>
                <w:sz w:val="24"/>
                <w:szCs w:val="24"/>
              </w:rPr>
              <w:t>no NVD (apakšprogramma 45.01.00):</w:t>
            </w:r>
          </w:p>
          <w:p w:rsidR="00E123EF" w:rsidRPr="00050C6A" w:rsidP="00E123EF">
            <w:pPr>
              <w:pStyle w:val="ListParagraph"/>
              <w:numPr>
                <w:ilvl w:val="1"/>
                <w:numId w:val="14"/>
              </w:numPr>
              <w:ind w:left="512" w:hanging="425"/>
              <w:jc w:val="both"/>
              <w:rPr>
                <w:rFonts w:ascii="Times New Roman" w:hAnsi="Times New Roman" w:cs="Times New Roman"/>
                <w:sz w:val="24"/>
                <w:szCs w:val="24"/>
              </w:rPr>
            </w:pPr>
            <w:r w:rsidRPr="00050C6A">
              <w:rPr>
                <w:rFonts w:ascii="Times New Roman" w:hAnsi="Times New Roman" w:cs="Times New Roman"/>
                <w:sz w:val="24"/>
                <w:szCs w:val="24"/>
                <w:u w:val="single"/>
              </w:rPr>
              <w:t>pārdalot uz VI (apakšprogramma 46.01.00)</w:t>
            </w:r>
            <w:r w:rsidRPr="00050C6A">
              <w:rPr>
                <w:rFonts w:ascii="Times New Roman" w:hAnsi="Times New Roman" w:cs="Times New Roman"/>
                <w:sz w:val="24"/>
                <w:szCs w:val="24"/>
              </w:rPr>
              <w:t xml:space="preserve"> lēmumu par pacientam izmaksājamo atlīdzību no Ārstniecības riska fonda pieņemšanai resursus izdevumu segšanai (dotācija no vispārējiem ieņēmumiem) 36 841 euro  un atbilstošos izdevumus 36 841 euro, tai skaitā, atlīdzībai 35 013 euro un precēm un pakalpojumiem 1 828 euro. </w:t>
            </w:r>
          </w:p>
          <w:p w:rsidR="00E123EF" w:rsidRPr="00050C6A" w:rsidP="00E123EF">
            <w:pPr>
              <w:pStyle w:val="ListParagraph"/>
              <w:numPr>
                <w:ilvl w:val="1"/>
                <w:numId w:val="14"/>
              </w:numPr>
              <w:spacing w:after="0" w:line="240" w:lineRule="auto"/>
              <w:ind w:left="512" w:hanging="425"/>
              <w:jc w:val="both"/>
              <w:rPr>
                <w:rFonts w:ascii="Times New Roman" w:hAnsi="Times New Roman" w:cs="Times New Roman"/>
                <w:sz w:val="24"/>
                <w:szCs w:val="24"/>
              </w:rPr>
            </w:pPr>
            <w:r w:rsidRPr="00050C6A">
              <w:rPr>
                <w:rFonts w:ascii="Times New Roman" w:hAnsi="Times New Roman" w:cs="Times New Roman"/>
                <w:sz w:val="24"/>
                <w:szCs w:val="24"/>
                <w:u w:val="single"/>
              </w:rPr>
              <w:t>pārdalot uz SPKC (apakšprogramma 46.03.00)</w:t>
            </w:r>
            <w:r w:rsidRPr="00050C6A">
              <w:rPr>
                <w:rFonts w:ascii="Times New Roman" w:hAnsi="Times New Roman" w:cs="Times New Roman"/>
                <w:sz w:val="24"/>
                <w:szCs w:val="24"/>
              </w:rPr>
              <w:t xml:space="preserve"> izstrādājamo klīnisko vadlīniju sarakstu sagatavošanai, klīnisko vadlīniju izvērtēšanai un to ieviešanas metodisko vadību nodrošināšanai resursus izdevumu segšanai (dotācija no vispārējiem ieņēmumiem) 15 722 euro  un atbilstošos izdevumus 15 722 euro, tai skaitā, atlīdzībai 14 808 euro un precēm un pakalpojumiem 914 euro. </w:t>
            </w:r>
          </w:p>
          <w:p w:rsidR="00E123EF" w:rsidRPr="00050C6A" w:rsidP="00E123EF">
            <w:pPr>
              <w:pStyle w:val="ListParagraph"/>
              <w:numPr>
                <w:ilvl w:val="1"/>
                <w:numId w:val="14"/>
              </w:numPr>
              <w:ind w:left="528" w:hanging="425"/>
              <w:jc w:val="both"/>
              <w:rPr>
                <w:rFonts w:ascii="Times New Roman" w:hAnsi="Times New Roman" w:cs="Times New Roman"/>
                <w:sz w:val="24"/>
                <w:szCs w:val="24"/>
              </w:rPr>
            </w:pPr>
            <w:r w:rsidRPr="00050C6A">
              <w:rPr>
                <w:rFonts w:ascii="Times New Roman" w:hAnsi="Times New Roman" w:cs="Times New Roman"/>
                <w:sz w:val="24"/>
                <w:szCs w:val="24"/>
              </w:rPr>
              <w:t xml:space="preserve">pārdalot uz VM (programma 97.00.00) veicot pārdali starp izdevumu kodiem, VM ieplānojot EKK 7350 “Valsts budžeta transferti valsts budžeta daļēji finansētām atvasinātajām publiskajām personām un budžeta nefinansētām iestādēm noteiktam mērķim”, lai nodrošinātu finanšu līdzekļus 34 228 euro apmērā ZVA valsts pārvaldes uzdevuma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īstenošanai samazinot 32 400 euro atlīdzībai un 1 828 euro no precēm un pakalpojumiem. </w:t>
            </w:r>
          </w:p>
          <w:p w:rsidR="00E123EF" w:rsidRPr="00050C6A" w:rsidP="00E123EF">
            <w:pPr>
              <w:pStyle w:val="ListParagraph"/>
              <w:numPr>
                <w:ilvl w:val="1"/>
                <w:numId w:val="14"/>
              </w:numPr>
              <w:spacing w:after="0" w:line="240" w:lineRule="auto"/>
              <w:ind w:left="512" w:hanging="425"/>
              <w:jc w:val="both"/>
              <w:rPr>
                <w:rFonts w:ascii="Times New Roman" w:hAnsi="Times New Roman" w:cs="Times New Roman"/>
                <w:sz w:val="24"/>
                <w:szCs w:val="24"/>
              </w:rPr>
            </w:pPr>
            <w:r w:rsidRPr="00050C6A">
              <w:rPr>
                <w:rFonts w:ascii="Times New Roman" w:hAnsi="Times New Roman" w:cs="Times New Roman"/>
                <w:sz w:val="24"/>
                <w:szCs w:val="24"/>
                <w:u w:val="single"/>
              </w:rPr>
              <w:t>samazinot NVD ieņēmumus no maksas pakalpojumiem un citiem pašu ieņēmumiem</w:t>
            </w:r>
            <w:r w:rsidRPr="00050C6A">
              <w:rPr>
                <w:rFonts w:ascii="Times New Roman" w:hAnsi="Times New Roman" w:cs="Times New Roman"/>
                <w:sz w:val="24"/>
                <w:szCs w:val="24"/>
              </w:rPr>
              <w:t xml:space="preserve"> un tiem atbilstošos izdevumus 39 699 euro,  tai skaitā  atlīdzībai 37 871 euro un precēm un pakalpojumiem 1 828 euro, jo no 2018.gada 1.jūlija ZVA nodrošinās no NVD pārņemto jomu - novērtēt ārstniecībā lietojamo zāļu, medicīnisko ierīču un medicīnisko tehnoloģiju izmaksu efektivitāti, kas ir maksas pakalpojumi.</w:t>
            </w:r>
          </w:p>
          <w:p w:rsidR="00E123EF" w:rsidRPr="00050C6A" w:rsidP="00E123EF">
            <w:pPr>
              <w:spacing w:after="0" w:line="240" w:lineRule="auto"/>
              <w:jc w:val="both"/>
              <w:rPr>
                <w:rFonts w:ascii="Times New Roman" w:hAnsi="Times New Roman" w:cs="Times New Roman"/>
                <w:sz w:val="24"/>
                <w:szCs w:val="24"/>
              </w:rPr>
            </w:pPr>
          </w:p>
          <w:p w:rsidR="00E123EF" w:rsidRPr="00050C6A" w:rsidP="00E123EF">
            <w:pPr>
              <w:spacing w:after="0" w:line="240" w:lineRule="auto"/>
              <w:jc w:val="both"/>
              <w:rPr>
                <w:rFonts w:ascii="Times New Roman" w:hAnsi="Times New Roman" w:cs="Times New Roman"/>
                <w:sz w:val="24"/>
                <w:szCs w:val="24"/>
              </w:rPr>
            </w:pPr>
          </w:p>
          <w:p w:rsidR="00E123EF" w:rsidRPr="00050C6A" w:rsidP="00E123EF">
            <w:pPr>
              <w:pStyle w:val="ListParagraph"/>
              <w:numPr>
                <w:ilvl w:val="0"/>
                <w:numId w:val="14"/>
              </w:numPr>
              <w:tabs>
                <w:tab w:val="left" w:pos="228"/>
              </w:tabs>
              <w:spacing w:after="0" w:line="240" w:lineRule="auto"/>
              <w:ind w:left="370" w:hanging="283"/>
              <w:jc w:val="both"/>
              <w:rPr>
                <w:rFonts w:ascii="Times New Roman" w:hAnsi="Times New Roman" w:cs="Times New Roman"/>
                <w:b/>
                <w:sz w:val="24"/>
                <w:szCs w:val="24"/>
              </w:rPr>
            </w:pPr>
            <w:r w:rsidRPr="00050C6A">
              <w:rPr>
                <w:rFonts w:ascii="Times New Roman" w:hAnsi="Times New Roman" w:cs="Times New Roman"/>
                <w:b/>
                <w:sz w:val="24"/>
                <w:szCs w:val="24"/>
              </w:rPr>
              <w:t xml:space="preserve">no VI (apakšprogramma 46.01.00) </w:t>
            </w:r>
            <w:r w:rsidRPr="00050C6A">
              <w:rPr>
                <w:rFonts w:ascii="Times New Roman" w:hAnsi="Times New Roman" w:cs="Times New Roman"/>
                <w:sz w:val="24"/>
                <w:szCs w:val="24"/>
              </w:rPr>
              <w:t xml:space="preserve">pārdalot uz NVD (apakšprogramma 45.01.00) noslēgto līgumu ar ārstniecības iestādēm par valsts apmaksāto veselības aprūpes pakalpojumu sniegšanu uzraudzībai resursus izdevumu segšanai (dotācija no vispārējiem ieņēmumiem) 231 359 euro  un atbilstošos izdevumus 231 359 euro, tai skaitā atlīdzībai 218 594 euro un precēm un pakalpojumiem 12 765 euro samazinot izdevumus apakšprogrammā par 231 359 euro, tai skaitā atlīdzībai 218 594 euro, precēm un pakalpojumiem 11 410 un pamatkapitāla veidošanai 1 355 euro. </w:t>
            </w:r>
          </w:p>
          <w:p w:rsidR="00E123EF" w:rsidRPr="00050C6A" w:rsidP="00E123EF">
            <w:pPr>
              <w:pStyle w:val="ListParagraph"/>
              <w:tabs>
                <w:tab w:val="left" w:pos="228"/>
              </w:tabs>
              <w:spacing w:after="0" w:line="240" w:lineRule="auto"/>
              <w:ind w:left="370"/>
              <w:jc w:val="both"/>
              <w:rPr>
                <w:rFonts w:ascii="Times New Roman" w:hAnsi="Times New Roman" w:cs="Times New Roman"/>
                <w:b/>
                <w:sz w:val="24"/>
                <w:szCs w:val="24"/>
              </w:rPr>
            </w:pPr>
          </w:p>
          <w:p w:rsidR="00E123EF" w:rsidRPr="00050C6A" w:rsidP="00E123EF">
            <w:pPr>
              <w:spacing w:after="0" w:line="240" w:lineRule="auto"/>
              <w:jc w:val="both"/>
              <w:rPr>
                <w:rFonts w:ascii="Times New Roman" w:eastAsia="Times New Roman" w:hAnsi="Times New Roman" w:cs="Times New Roman"/>
                <w:bCs/>
                <w:sz w:val="24"/>
                <w:szCs w:val="24"/>
                <w:lang w:eastAsia="lv-LV"/>
              </w:rPr>
            </w:pPr>
            <w:r w:rsidRPr="00050C6A">
              <w:rPr>
                <w:rFonts w:ascii="Times New Roman" w:hAnsi="Times New Roman" w:cs="Times New Roman"/>
                <w:b/>
                <w:sz w:val="24"/>
                <w:szCs w:val="24"/>
              </w:rPr>
              <w:t>nepieciešama finansējuma pārdale apakšprogrammas 02.04.00 ietvaros</w:t>
            </w:r>
            <w:r w:rsidRPr="00050C6A">
              <w:rPr>
                <w:rFonts w:ascii="Times New Roman" w:hAnsi="Times New Roman" w:cs="Times New Roman"/>
                <w:sz w:val="24"/>
                <w:szCs w:val="24"/>
              </w:rPr>
              <w:t xml:space="preserve">, </w:t>
            </w:r>
            <w:r w:rsidRPr="00050C6A">
              <w:rPr>
                <w:rFonts w:ascii="Times New Roman" w:hAnsi="Times New Roman" w:cs="Times New Roman"/>
                <w:sz w:val="24"/>
                <w:szCs w:val="24"/>
                <w:u w:val="single"/>
              </w:rPr>
              <w:t>veicot pārdali starp izdevumu kodiem</w:t>
            </w:r>
            <w:r w:rsidRPr="00050C6A">
              <w:rPr>
                <w:rFonts w:ascii="Times New Roman" w:hAnsi="Times New Roman" w:cs="Times New Roman"/>
                <w:sz w:val="24"/>
                <w:szCs w:val="24"/>
              </w:rPr>
              <w:t>, ieplānojot EKK 7350 “Valsts budžeta transferti valsts budžeta daļēji finansētām atvasinātajām publiskajām personām un budžeta nefinansētām iestādēm noteiktam mērķim” 76 015 euro apmērā, lai nodrošinātu finanšu līdzekļus reizdentu turpmākai apmācībai, kuri rezidentūru pēc VSMC reorganizācijas turpinās VSIA “Bērnu klīniskā universitātes slimnīca”,  samazinot izdevumus 67 648 euro atlīdzībai un 8 367 euro precēm un pakalpojumiem.</w:t>
            </w:r>
          </w:p>
          <w:p w:rsidR="00E123EF" w:rsidRPr="00050C6A" w:rsidP="00E123EF">
            <w:pPr>
              <w:spacing w:after="0" w:line="240" w:lineRule="auto"/>
              <w:ind w:right="135"/>
              <w:jc w:val="both"/>
              <w:rPr>
                <w:rFonts w:ascii="Times New Roman" w:eastAsia="Times New Roman" w:hAnsi="Times New Roman" w:cs="Times New Roman"/>
                <w:iCs/>
                <w:sz w:val="24"/>
                <w:szCs w:val="24"/>
                <w:lang w:eastAsia="lv-LV"/>
              </w:rPr>
            </w:pPr>
          </w:p>
          <w:p w:rsidR="00E123EF" w:rsidRPr="00050C6A" w:rsidP="00E123EF">
            <w:pPr>
              <w:spacing w:after="0" w:line="240" w:lineRule="auto"/>
              <w:ind w:right="135"/>
              <w:jc w:val="both"/>
              <w:rPr>
                <w:rFonts w:ascii="Times New Roman" w:eastAsia="Times New Roman" w:hAnsi="Times New Roman" w:cs="Times New Roman"/>
                <w:iCs/>
                <w:sz w:val="24"/>
                <w:szCs w:val="24"/>
                <w:lang w:eastAsia="lv-LV"/>
              </w:rPr>
            </w:pPr>
            <w:r w:rsidRPr="00050C6A">
              <w:rPr>
                <w:rFonts w:ascii="Times New Roman" w:eastAsia="Times New Roman" w:hAnsi="Times New Roman" w:cs="Times New Roman"/>
                <w:iCs/>
                <w:sz w:val="24"/>
                <w:szCs w:val="24"/>
                <w:lang w:eastAsia="lv-LV"/>
              </w:rPr>
              <w:t xml:space="preserve">Veselības ministrija iesniegs Finanšu ministrijai priekšlikumus par  valsts pamatbudžeta bāzes izdevumu 2019.-2021.gadam izmaiņām tai skaitā par finansējuma pārdali starp budžeta programmām /apakšprogrammām, starp izdevumu kodiem, ieņēmumu no maksas pakalpojumiem un citi pašu ieņēmumu un to attiecīgo izdevumu samazināšanu turpmāk ik gadu, kā arī par jaunizveidojamo budžeta apakšprogrammu Antidopinga birojam. </w:t>
            </w:r>
          </w:p>
          <w:p w:rsidR="00E123EF" w:rsidRPr="00050C6A" w:rsidP="00E123EF">
            <w:pPr>
              <w:spacing w:after="0" w:line="240" w:lineRule="auto"/>
              <w:ind w:right="135"/>
              <w:jc w:val="both"/>
              <w:rPr>
                <w:rFonts w:ascii="Times New Roman" w:eastAsia="Times New Roman" w:hAnsi="Times New Roman" w:cs="Times New Roman"/>
                <w:iCs/>
                <w:sz w:val="24"/>
                <w:szCs w:val="24"/>
                <w:lang w:eastAsia="lv-LV"/>
              </w:rPr>
            </w:pPr>
          </w:p>
          <w:p w:rsidR="00E123EF" w:rsidRPr="00050C6A" w:rsidP="00E123EF">
            <w:pPr>
              <w:spacing w:after="0" w:line="240" w:lineRule="auto"/>
              <w:ind w:right="135"/>
              <w:jc w:val="both"/>
              <w:rPr>
                <w:rFonts w:ascii="Times New Roman" w:eastAsia="Times New Roman" w:hAnsi="Times New Roman" w:cs="Times New Roman"/>
                <w:iCs/>
                <w:sz w:val="24"/>
                <w:szCs w:val="24"/>
                <w:lang w:eastAsia="lv-LV"/>
              </w:rPr>
            </w:pPr>
            <w:r w:rsidRPr="00050C6A">
              <w:rPr>
                <w:rFonts w:ascii="Times New Roman" w:eastAsia="Times New Roman" w:hAnsi="Times New Roman" w:cs="Times New Roman"/>
                <w:iCs/>
                <w:sz w:val="24"/>
                <w:szCs w:val="24"/>
                <w:lang w:eastAsia="lv-LV"/>
              </w:rPr>
              <w:t>Veselības ministrija izstrādās un iesniegts izskatīšanai un apstiprināšanai Ministru kabineta sēdē Ministru kabineta rīkojuma projektu “Grozījumi Ministru kabineta 2017.gada 4.oktobra rīkojums Nr.552 “Par Zāļu valsts aģentūras 2018. gada budžeta apstiprināšanu””.</w:t>
            </w:r>
          </w:p>
          <w:p w:rsidR="00E123EF" w:rsidRPr="00050C6A" w:rsidP="00E123EF">
            <w:pPr>
              <w:spacing w:after="0" w:line="240" w:lineRule="auto"/>
              <w:ind w:right="135"/>
              <w:jc w:val="both"/>
              <w:rPr>
                <w:rFonts w:ascii="Times New Roman" w:eastAsia="Times New Roman" w:hAnsi="Times New Roman" w:cs="Times New Roman"/>
                <w:iCs/>
                <w:sz w:val="24"/>
                <w:szCs w:val="24"/>
                <w:lang w:eastAsia="lv-LV"/>
              </w:rPr>
            </w:pPr>
          </w:p>
          <w:p w:rsidR="00E123EF" w:rsidRPr="00050C6A" w:rsidP="00E123EF">
            <w:pPr>
              <w:shd w:val="clear" w:color="auto" w:fill="FFFFFF"/>
              <w:spacing w:after="0" w:line="240" w:lineRule="auto"/>
              <w:jc w:val="both"/>
              <w:rPr>
                <w:rFonts w:ascii="Arial" w:eastAsia="Times New Roman" w:hAnsi="Arial" w:cs="Arial"/>
                <w:b/>
                <w:bCs/>
                <w:sz w:val="35"/>
                <w:szCs w:val="35"/>
                <w:lang w:eastAsia="lv-LV"/>
              </w:rPr>
            </w:pPr>
            <w:r w:rsidRPr="00050C6A">
              <w:rPr>
                <w:rFonts w:ascii="Times New Roman" w:eastAsia="Times New Roman" w:hAnsi="Times New Roman" w:cs="Times New Roman"/>
                <w:iCs/>
                <w:sz w:val="24"/>
                <w:szCs w:val="24"/>
                <w:lang w:eastAsia="lv-LV"/>
              </w:rPr>
              <w:t>Veselības ministrija izstrādās un iesniegts izskatīšanai un apstiprināšanai Ministru kabineta sēdē Ministru kabineta noteikumu projektu “Grozījumi Ministru kabineta 2013.gada 3.septembra noteikumi Nr.744 “Nacionālā veselības dienesta maksas pakalpojumu cenrādis””.</w:t>
            </w:r>
          </w:p>
          <w:p w:rsidR="00E123EF" w:rsidRPr="00050C6A" w:rsidP="00E123EF">
            <w:pPr>
              <w:spacing w:after="0" w:line="240" w:lineRule="auto"/>
              <w:ind w:right="135"/>
              <w:jc w:val="both"/>
              <w:rPr>
                <w:rFonts w:ascii="Times New Roman" w:eastAsia="Times New Roman" w:hAnsi="Times New Roman" w:cs="Times New Roman"/>
                <w:iCs/>
                <w:sz w:val="24"/>
                <w:szCs w:val="24"/>
                <w:lang w:eastAsia="lv-LV"/>
              </w:rPr>
            </w:pPr>
          </w:p>
          <w:p w:rsidR="00E123EF" w:rsidRPr="00050C6A" w:rsidP="00E123EF">
            <w:pPr>
              <w:spacing w:after="0" w:line="240" w:lineRule="auto"/>
              <w:jc w:val="both"/>
              <w:rPr>
                <w:rFonts w:ascii="Times New Roman" w:eastAsia="Times New Roman" w:hAnsi="Times New Roman" w:cs="Times New Roman"/>
                <w:iCs/>
                <w:sz w:val="24"/>
                <w:szCs w:val="24"/>
                <w:lang w:eastAsia="lv-LV"/>
              </w:rPr>
            </w:pPr>
            <w:r w:rsidRPr="00050C6A">
              <w:rPr>
                <w:rFonts w:ascii="Times New Roman" w:eastAsia="Times New Roman" w:hAnsi="Times New Roman" w:cs="Times New Roman"/>
                <w:iCs/>
                <w:sz w:val="24"/>
                <w:szCs w:val="24"/>
                <w:lang w:eastAsia="lv-LV"/>
              </w:rPr>
              <w:t xml:space="preserve">Veselības ministrija normatīvajos aktos noteiktajā kārtībā sagatavos un iesniegs Finanšu ministrijā pieprasījumu par apropriācijas pārdali starp programmām/apakšprogrammām un izdevumu kodiem atbilstoši ekonomiskajām kategorijām atbilstoši anotācijas III sadaļā norādītajām plānotajām izmaiņām. Gadījumā, ja faktiskajam finansējuma izlietojumam 2018.gada 1.pusgadā būs nobīdes pret anotācijas III sadaļā norādītajām plānotajām izmaiņām, tad Veselības ministrija  normatīvajos aktos noteiktajā kārtībā sagatavos un iesniegs Finanšu ministrijā  pieprasījumu par apropriācijas pārdali starp programmām/apakšprogrammām un izdevumu kodiem atbilstoši ekonomiskajām kategorijām atbilstoši aktuālajai informācijai. </w:t>
            </w:r>
          </w:p>
        </w:tc>
      </w:tr>
      <w:tr w:rsidTr="00ED24E7">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72784A" w:rsidP="00E123EF">
            <w:pPr>
              <w:spacing w:after="0" w:line="240" w:lineRule="auto"/>
              <w:rPr>
                <w:rFonts w:ascii="Times New Roman" w:eastAsia="Times New Roman" w:hAnsi="Times New Roman" w:cs="Times New Roman"/>
                <w:iCs/>
                <w:sz w:val="24"/>
                <w:szCs w:val="24"/>
                <w:lang w:val="en-US" w:eastAsia="lv-LV"/>
              </w:rPr>
            </w:pPr>
            <w:r w:rsidRPr="0072784A">
              <w:rPr>
                <w:rFonts w:ascii="Times New Roman" w:eastAsia="Times New Roman" w:hAnsi="Times New Roman" w:cs="Times New Roman"/>
                <w:iCs/>
                <w:sz w:val="24"/>
                <w:szCs w:val="24"/>
                <w:lang w:val="en-US"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p>
        </w:tc>
      </w:tr>
      <w:tr w:rsidTr="00ED24E7">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72784A" w:rsidP="00E123EF">
            <w:pPr>
              <w:spacing w:after="0" w:line="240" w:lineRule="auto"/>
              <w:rPr>
                <w:rFonts w:ascii="Times New Roman" w:eastAsia="Times New Roman" w:hAnsi="Times New Roman" w:cs="Times New Roman"/>
                <w:iCs/>
                <w:sz w:val="24"/>
                <w:szCs w:val="24"/>
                <w:lang w:val="en-US" w:eastAsia="lv-LV"/>
              </w:rPr>
            </w:pPr>
            <w:r w:rsidRPr="0072784A">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123EF" w:rsidRPr="00050C6A" w:rsidP="00E123EF">
            <w:pPr>
              <w:spacing w:after="0" w:line="240" w:lineRule="auto"/>
              <w:rPr>
                <w:rFonts w:ascii="Times New Roman" w:eastAsia="Times New Roman" w:hAnsi="Times New Roman" w:cs="Times New Roman"/>
                <w:iCs/>
                <w:sz w:val="24"/>
                <w:szCs w:val="24"/>
                <w:lang w:val="en-US" w:eastAsia="lv-LV"/>
              </w:rPr>
            </w:pPr>
          </w:p>
        </w:tc>
      </w:tr>
      <w:tr w:rsidTr="00ED24E7">
        <w:tblPrEx>
          <w:tblW w:w="5000" w:type="pct"/>
          <w:tblCellSpacing w:w="15" w:type="dxa"/>
          <w:tblCellMar>
            <w:top w:w="30" w:type="dxa"/>
            <w:left w:w="30" w:type="dxa"/>
            <w:bottom w:w="30" w:type="dxa"/>
            <w:right w:w="30" w:type="dxa"/>
          </w:tblCellMar>
          <w:tblLook w:val="04A0"/>
        </w:tblPrEx>
        <w:trPr>
          <w:trHeight w:val="501"/>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72784A" w:rsidP="00E123EF">
            <w:pPr>
              <w:spacing w:after="0" w:line="240" w:lineRule="auto"/>
              <w:rPr>
                <w:rFonts w:ascii="Times New Roman" w:eastAsia="Times New Roman" w:hAnsi="Times New Roman" w:cs="Times New Roman"/>
                <w:iCs/>
                <w:sz w:val="24"/>
                <w:szCs w:val="24"/>
                <w:lang w:val="en-US" w:eastAsia="lv-LV"/>
              </w:rPr>
            </w:pPr>
            <w:r w:rsidRPr="0072784A">
              <w:rPr>
                <w:rFonts w:ascii="Times New Roman" w:eastAsia="Times New Roman" w:hAnsi="Times New Roman" w:cs="Times New Roman"/>
                <w:iCs/>
                <w:sz w:val="24"/>
                <w:szCs w:val="24"/>
                <w:lang w:val="en-US" w:eastAsia="lv-LV"/>
              </w:rPr>
              <w:t>7. Amata vietu skaita izmaiņas</w:t>
            </w:r>
          </w:p>
        </w:tc>
        <w:tc>
          <w:tcPr>
            <w:tcW w:w="4028" w:type="pct"/>
            <w:gridSpan w:val="7"/>
            <w:tcBorders>
              <w:top w:val="outset" w:sz="6" w:space="0" w:color="auto"/>
              <w:left w:val="outset" w:sz="6" w:space="0" w:color="auto"/>
              <w:bottom w:val="outset" w:sz="6" w:space="0" w:color="auto"/>
              <w:right w:val="outset" w:sz="6" w:space="0" w:color="auto"/>
            </w:tcBorders>
            <w:hideMark/>
          </w:tcPr>
          <w:p w:rsidR="00E123EF" w:rsidRPr="00050C6A" w:rsidP="00E123EF">
            <w:pPr>
              <w:spacing w:after="0" w:line="240" w:lineRule="auto"/>
              <w:ind w:right="135"/>
              <w:jc w:val="both"/>
              <w:rPr>
                <w:rFonts w:ascii="Times New Roman" w:eastAsia="Calibri" w:hAnsi="Times New Roman" w:cs="Times New Roman"/>
                <w:noProof/>
                <w:sz w:val="24"/>
                <w:szCs w:val="24"/>
              </w:rPr>
            </w:pPr>
            <w:r w:rsidRPr="00050C6A">
              <w:rPr>
                <w:rFonts w:ascii="Times New Roman" w:eastAsia="Calibri" w:hAnsi="Times New Roman" w:cs="Times New Roman"/>
                <w:noProof/>
                <w:sz w:val="24"/>
                <w:szCs w:val="24"/>
              </w:rPr>
              <w:t>Izveidojot Antidopinga biroju un reorganizējot Veselības ministrijas padotībā</w:t>
            </w:r>
            <w:r w:rsidRPr="00050C6A">
              <w:t xml:space="preserve"> </w:t>
            </w:r>
            <w:r w:rsidRPr="00050C6A">
              <w:rPr>
                <w:rFonts w:ascii="Times New Roman" w:eastAsia="Calibri" w:hAnsi="Times New Roman" w:cs="Times New Roman"/>
                <w:noProof/>
                <w:sz w:val="24"/>
                <w:szCs w:val="24"/>
              </w:rPr>
              <w:t>esošās valsts pārvaldes iestādes, plānots veikt amata vietu samazinājumu nozarē.</w:t>
            </w:r>
          </w:p>
          <w:p w:rsidR="00E123EF" w:rsidRPr="00050C6A" w:rsidP="00E123EF">
            <w:pPr>
              <w:spacing w:after="0" w:line="240" w:lineRule="auto"/>
              <w:ind w:right="135"/>
              <w:jc w:val="both"/>
              <w:rPr>
                <w:rFonts w:ascii="Times New Roman" w:eastAsia="Times New Roman" w:hAnsi="Times New Roman" w:cs="Times New Roman"/>
                <w:iCs/>
                <w:sz w:val="24"/>
                <w:szCs w:val="24"/>
                <w:highlight w:val="lightGray"/>
                <w:lang w:eastAsia="lv-LV"/>
              </w:rPr>
            </w:pPr>
          </w:p>
          <w:p w:rsidR="00E123EF" w:rsidRPr="00050C6A" w:rsidP="00E123EF">
            <w:pPr>
              <w:spacing w:after="0" w:line="240" w:lineRule="auto"/>
              <w:rPr>
                <w:rFonts w:ascii="Times New Roman" w:eastAsia="Calibri" w:hAnsi="Times New Roman" w:cs="Times New Roman"/>
                <w:noProof/>
                <w:sz w:val="24"/>
                <w:szCs w:val="24"/>
              </w:rPr>
            </w:pPr>
            <w:r w:rsidRPr="00050C6A">
              <w:rPr>
                <w:rFonts w:ascii="Times New Roman" w:eastAsia="Calibri" w:hAnsi="Times New Roman" w:cs="Times New Roman"/>
                <w:noProof/>
                <w:sz w:val="24"/>
                <w:szCs w:val="24"/>
              </w:rPr>
              <w:t>Rīkojuma projekts rada izmaiņas amata vietu skaitā – tiek samazinātas amatu vietas saistībā ar VSMC reorganizāciju.</w:t>
            </w:r>
          </w:p>
          <w:tbl>
            <w:tblPr>
              <w:tblW w:w="6140" w:type="dxa"/>
              <w:tblLook w:val="04A0"/>
            </w:tblPr>
            <w:tblGrid>
              <w:gridCol w:w="1216"/>
              <w:gridCol w:w="1355"/>
              <w:gridCol w:w="1240"/>
              <w:gridCol w:w="1240"/>
              <w:gridCol w:w="1240"/>
            </w:tblGrid>
            <w:tr w:rsidTr="00C4452D">
              <w:tblPrEx>
                <w:tblW w:w="6140" w:type="dxa"/>
                <w:tblLook w:val="04A0"/>
              </w:tblPrEx>
              <w:trPr>
                <w:trHeight w:val="1785"/>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23EF" w:rsidRPr="00050C6A" w:rsidP="00E123EF">
                  <w:pPr>
                    <w:spacing w:after="0" w:line="240" w:lineRule="auto"/>
                    <w:jc w:val="center"/>
                    <w:rPr>
                      <w:rFonts w:ascii="Times New Roman" w:eastAsia="Times New Roman" w:hAnsi="Times New Roman" w:cs="Times New Roman"/>
                      <w:b/>
                      <w:bCs/>
                      <w:sz w:val="20"/>
                      <w:szCs w:val="20"/>
                      <w:lang w:eastAsia="lv-LV"/>
                    </w:rPr>
                  </w:pPr>
                  <w:r w:rsidRPr="00050C6A">
                    <w:rPr>
                      <w:rFonts w:ascii="Times New Roman" w:eastAsia="Times New Roman" w:hAnsi="Times New Roman" w:cs="Times New Roman"/>
                      <w:b/>
                      <w:bCs/>
                      <w:sz w:val="20"/>
                      <w:szCs w:val="20"/>
                      <w:lang w:eastAsia="lv-LV"/>
                    </w:rPr>
                    <w:t>Iestāde</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E123EF" w:rsidRPr="00050C6A" w:rsidP="00E123EF">
                  <w:pPr>
                    <w:spacing w:after="0" w:line="240" w:lineRule="auto"/>
                    <w:jc w:val="center"/>
                    <w:rPr>
                      <w:rFonts w:ascii="Times New Roman" w:eastAsia="Times New Roman" w:hAnsi="Times New Roman" w:cs="Times New Roman"/>
                      <w:b/>
                      <w:bCs/>
                      <w:sz w:val="20"/>
                      <w:szCs w:val="20"/>
                      <w:lang w:eastAsia="lv-LV"/>
                    </w:rPr>
                  </w:pPr>
                  <w:r w:rsidRPr="00050C6A">
                    <w:rPr>
                      <w:rFonts w:ascii="Times New Roman" w:eastAsia="Times New Roman" w:hAnsi="Times New Roman" w:cs="Times New Roman"/>
                      <w:b/>
                      <w:bCs/>
                      <w:sz w:val="20"/>
                      <w:szCs w:val="20"/>
                      <w:lang w:eastAsia="lv-LV"/>
                    </w:rPr>
                    <w:t>Amatu vietu skaits atbilstoši  likumam "Par valsts budžetu 2018.gadam"</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E123EF" w:rsidRPr="00050C6A" w:rsidP="00E123EF">
                  <w:pPr>
                    <w:spacing w:after="0" w:line="240" w:lineRule="auto"/>
                    <w:jc w:val="center"/>
                    <w:rPr>
                      <w:rFonts w:ascii="Times New Roman" w:eastAsia="Times New Roman" w:hAnsi="Times New Roman" w:cs="Times New Roman"/>
                      <w:b/>
                      <w:bCs/>
                      <w:sz w:val="20"/>
                      <w:szCs w:val="20"/>
                      <w:lang w:eastAsia="lv-LV"/>
                    </w:rPr>
                  </w:pPr>
                  <w:r w:rsidRPr="00050C6A">
                    <w:rPr>
                      <w:rFonts w:ascii="Times New Roman" w:eastAsia="Times New Roman" w:hAnsi="Times New Roman" w:cs="Times New Roman"/>
                      <w:b/>
                      <w:bCs/>
                      <w:sz w:val="20"/>
                      <w:szCs w:val="20"/>
                      <w:lang w:eastAsia="lv-LV"/>
                    </w:rPr>
                    <w:t>Amatu vietu skaita izmaiņas 2018.gada laikā</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E123EF" w:rsidRPr="00050C6A" w:rsidP="00E123EF">
                  <w:pPr>
                    <w:spacing w:after="0" w:line="240" w:lineRule="auto"/>
                    <w:jc w:val="center"/>
                    <w:rPr>
                      <w:rFonts w:ascii="Times New Roman" w:eastAsia="Times New Roman" w:hAnsi="Times New Roman" w:cs="Times New Roman"/>
                      <w:b/>
                      <w:bCs/>
                      <w:sz w:val="20"/>
                      <w:szCs w:val="20"/>
                      <w:lang w:eastAsia="lv-LV"/>
                    </w:rPr>
                  </w:pPr>
                  <w:r w:rsidRPr="00050C6A">
                    <w:rPr>
                      <w:rFonts w:ascii="Times New Roman" w:eastAsia="Times New Roman" w:hAnsi="Times New Roman" w:cs="Times New Roman"/>
                      <w:b/>
                      <w:bCs/>
                      <w:sz w:val="20"/>
                      <w:szCs w:val="20"/>
                      <w:lang w:eastAsia="lv-LV"/>
                    </w:rPr>
                    <w:t>Amatu vietu skaita izmaiņas saistībā ar MK rīkojuma projektu</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E123EF" w:rsidRPr="00050C6A" w:rsidP="00E123EF">
                  <w:pPr>
                    <w:spacing w:after="0" w:line="240" w:lineRule="auto"/>
                    <w:jc w:val="center"/>
                    <w:rPr>
                      <w:rFonts w:ascii="Times New Roman" w:eastAsia="Times New Roman" w:hAnsi="Times New Roman" w:cs="Times New Roman"/>
                      <w:b/>
                      <w:bCs/>
                      <w:sz w:val="20"/>
                      <w:szCs w:val="20"/>
                      <w:lang w:eastAsia="lv-LV"/>
                    </w:rPr>
                  </w:pPr>
                  <w:r w:rsidRPr="00050C6A">
                    <w:rPr>
                      <w:rFonts w:ascii="Times New Roman" w:eastAsia="Times New Roman" w:hAnsi="Times New Roman" w:cs="Times New Roman"/>
                      <w:b/>
                      <w:bCs/>
                      <w:sz w:val="20"/>
                      <w:szCs w:val="20"/>
                      <w:lang w:eastAsia="lv-LV"/>
                    </w:rPr>
                    <w:t>Amatu vietu skaits pēc izmaiņām</w:t>
                  </w:r>
                </w:p>
              </w:tc>
            </w:tr>
            <w:tr w:rsidTr="00C4452D">
              <w:tblPrEx>
                <w:tblW w:w="6140" w:type="dxa"/>
                <w:tblLook w:val="04A0"/>
              </w:tblPrEx>
              <w:trPr>
                <w:trHeight w:val="510"/>
              </w:trPr>
              <w:tc>
                <w:tcPr>
                  <w:tcW w:w="1180" w:type="dxa"/>
                  <w:tcBorders>
                    <w:top w:val="nil"/>
                    <w:left w:val="single" w:sz="4" w:space="0" w:color="auto"/>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NVD</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204</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8</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212</w:t>
                  </w:r>
                </w:p>
              </w:tc>
            </w:tr>
            <w:tr w:rsidTr="00C4452D">
              <w:tblPrEx>
                <w:tblW w:w="6140" w:type="dxa"/>
                <w:tblLook w:val="04A0"/>
              </w:tblPrEx>
              <w:trPr>
                <w:trHeight w:val="255"/>
              </w:trPr>
              <w:tc>
                <w:tcPr>
                  <w:tcW w:w="1180" w:type="dxa"/>
                  <w:tcBorders>
                    <w:top w:val="nil"/>
                    <w:left w:val="single" w:sz="4" w:space="0" w:color="auto"/>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SPKC</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159</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1</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160</w:t>
                  </w:r>
                </w:p>
              </w:tc>
            </w:tr>
            <w:tr w:rsidTr="00C4452D">
              <w:tblPrEx>
                <w:tblW w:w="6140" w:type="dxa"/>
                <w:tblLook w:val="04A0"/>
              </w:tblPrEx>
              <w:trPr>
                <w:trHeight w:val="255"/>
              </w:trPr>
              <w:tc>
                <w:tcPr>
                  <w:tcW w:w="1180" w:type="dxa"/>
                  <w:tcBorders>
                    <w:top w:val="nil"/>
                    <w:left w:val="single" w:sz="4" w:space="0" w:color="auto"/>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VI</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246</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-13</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233</w:t>
                  </w:r>
                </w:p>
              </w:tc>
            </w:tr>
            <w:tr w:rsidTr="00C4452D">
              <w:tblPrEx>
                <w:tblW w:w="6140" w:type="dxa"/>
                <w:tblLook w:val="04A0"/>
              </w:tblPrEx>
              <w:trPr>
                <w:trHeight w:val="255"/>
              </w:trPr>
              <w:tc>
                <w:tcPr>
                  <w:tcW w:w="1180" w:type="dxa"/>
                  <w:tcBorders>
                    <w:top w:val="nil"/>
                    <w:left w:val="single" w:sz="4" w:space="0" w:color="auto"/>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VSMC</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74</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-1</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-73</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0</w:t>
                  </w:r>
                </w:p>
              </w:tc>
            </w:tr>
            <w:tr w:rsidTr="00C4452D">
              <w:tblPrEx>
                <w:tblW w:w="6140" w:type="dxa"/>
                <w:tblLook w:val="04A0"/>
              </w:tblPrEx>
              <w:trPr>
                <w:trHeight w:val="510"/>
              </w:trPr>
              <w:tc>
                <w:tcPr>
                  <w:tcW w:w="1180" w:type="dxa"/>
                  <w:tcBorders>
                    <w:top w:val="nil"/>
                    <w:left w:val="single" w:sz="4" w:space="0" w:color="auto"/>
                    <w:bottom w:val="single" w:sz="4" w:space="0" w:color="auto"/>
                    <w:right w:val="single" w:sz="4" w:space="0" w:color="auto"/>
                  </w:tcBorders>
                  <w:shd w:val="clear" w:color="auto" w:fill="auto"/>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Antidopinga birojs</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10</w:t>
                  </w:r>
                </w:p>
              </w:tc>
              <w:tc>
                <w:tcPr>
                  <w:tcW w:w="1240" w:type="dxa"/>
                  <w:tcBorders>
                    <w:top w:val="nil"/>
                    <w:left w:val="nil"/>
                    <w:bottom w:val="single" w:sz="4" w:space="0" w:color="auto"/>
                    <w:right w:val="single" w:sz="4" w:space="0" w:color="auto"/>
                  </w:tcBorders>
                  <w:shd w:val="clear" w:color="auto" w:fill="auto"/>
                  <w:noWrap/>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r w:rsidRPr="00050C6A">
                    <w:rPr>
                      <w:rFonts w:ascii="Times New Roman" w:eastAsia="Times New Roman" w:hAnsi="Times New Roman" w:cs="Times New Roman"/>
                      <w:sz w:val="20"/>
                      <w:szCs w:val="20"/>
                      <w:lang w:eastAsia="lv-LV"/>
                    </w:rPr>
                    <w:t>10</w:t>
                  </w:r>
                </w:p>
              </w:tc>
            </w:tr>
            <w:tr w:rsidTr="00C4452D">
              <w:tblPrEx>
                <w:tblW w:w="6140" w:type="dxa"/>
                <w:tblLook w:val="04A0"/>
              </w:tblPrEx>
              <w:trPr>
                <w:trHeight w:val="255"/>
              </w:trPr>
              <w:tc>
                <w:tcPr>
                  <w:tcW w:w="1180" w:type="dxa"/>
                  <w:tcBorders>
                    <w:top w:val="nil"/>
                    <w:left w:val="nil"/>
                    <w:bottom w:val="nil"/>
                    <w:right w:val="nil"/>
                  </w:tcBorders>
                  <w:shd w:val="clear" w:color="auto" w:fill="auto"/>
                  <w:noWrap/>
                  <w:vAlign w:val="bottom"/>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p>
              </w:tc>
              <w:tc>
                <w:tcPr>
                  <w:tcW w:w="1240" w:type="dxa"/>
                  <w:tcBorders>
                    <w:top w:val="nil"/>
                    <w:left w:val="nil"/>
                    <w:bottom w:val="nil"/>
                    <w:right w:val="nil"/>
                  </w:tcBorders>
                  <w:shd w:val="clear" w:color="auto" w:fill="auto"/>
                  <w:noWrap/>
                  <w:vAlign w:val="bottom"/>
                  <w:hideMark/>
                </w:tcPr>
                <w:p w:rsidR="00E123EF" w:rsidRPr="00050C6A" w:rsidP="00E123EF">
                  <w:pPr>
                    <w:spacing w:after="0" w:line="240" w:lineRule="auto"/>
                    <w:jc w:val="center"/>
                    <w:rPr>
                      <w:rFonts w:ascii="Times New Roman" w:eastAsia="Times New Roman" w:hAnsi="Times New Roman" w:cs="Times New Roman"/>
                      <w:sz w:val="20"/>
                      <w:szCs w:val="20"/>
                      <w:lang w:eastAsia="lv-LV"/>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123EF" w:rsidRPr="00050C6A" w:rsidP="00E123EF">
                  <w:pPr>
                    <w:spacing w:after="0" w:line="240" w:lineRule="auto"/>
                    <w:jc w:val="center"/>
                    <w:rPr>
                      <w:rFonts w:ascii="Times New Roman" w:eastAsia="Times New Roman" w:hAnsi="Times New Roman" w:cs="Times New Roman"/>
                      <w:b/>
                      <w:bCs/>
                      <w:sz w:val="20"/>
                      <w:szCs w:val="20"/>
                      <w:lang w:eastAsia="lv-LV"/>
                    </w:rPr>
                  </w:pPr>
                  <w:r w:rsidRPr="00050C6A">
                    <w:rPr>
                      <w:rFonts w:ascii="Times New Roman" w:eastAsia="Times New Roman" w:hAnsi="Times New Roman" w:cs="Times New Roman"/>
                      <w:b/>
                      <w:bCs/>
                      <w:sz w:val="20"/>
                      <w:szCs w:val="20"/>
                      <w:lang w:eastAsia="lv-LV"/>
                    </w:rPr>
                    <w:t>-1</w:t>
                  </w:r>
                </w:p>
              </w:tc>
              <w:tc>
                <w:tcPr>
                  <w:tcW w:w="1240" w:type="dxa"/>
                  <w:tcBorders>
                    <w:top w:val="nil"/>
                    <w:left w:val="nil"/>
                    <w:bottom w:val="single" w:sz="4" w:space="0" w:color="auto"/>
                    <w:right w:val="single" w:sz="4" w:space="0" w:color="auto"/>
                  </w:tcBorders>
                  <w:shd w:val="clear" w:color="auto" w:fill="auto"/>
                  <w:noWrap/>
                  <w:vAlign w:val="bottom"/>
                  <w:hideMark/>
                </w:tcPr>
                <w:p w:rsidR="00E123EF" w:rsidRPr="00050C6A" w:rsidP="00E123EF">
                  <w:pPr>
                    <w:spacing w:after="0" w:line="240" w:lineRule="auto"/>
                    <w:jc w:val="center"/>
                    <w:rPr>
                      <w:rFonts w:ascii="Times New Roman" w:eastAsia="Times New Roman" w:hAnsi="Times New Roman" w:cs="Times New Roman"/>
                      <w:b/>
                      <w:bCs/>
                      <w:sz w:val="20"/>
                      <w:szCs w:val="20"/>
                      <w:lang w:eastAsia="lv-LV"/>
                    </w:rPr>
                  </w:pPr>
                  <w:r w:rsidRPr="00050C6A">
                    <w:rPr>
                      <w:rFonts w:ascii="Times New Roman" w:eastAsia="Times New Roman" w:hAnsi="Times New Roman" w:cs="Times New Roman"/>
                      <w:b/>
                      <w:bCs/>
                      <w:sz w:val="20"/>
                      <w:szCs w:val="20"/>
                      <w:lang w:eastAsia="lv-LV"/>
                    </w:rPr>
                    <w:t>-67</w:t>
                  </w:r>
                </w:p>
              </w:tc>
              <w:tc>
                <w:tcPr>
                  <w:tcW w:w="1240" w:type="dxa"/>
                  <w:tcBorders>
                    <w:top w:val="nil"/>
                    <w:left w:val="nil"/>
                    <w:bottom w:val="single" w:sz="4" w:space="0" w:color="auto"/>
                    <w:right w:val="single" w:sz="4" w:space="0" w:color="auto"/>
                  </w:tcBorders>
                  <w:shd w:val="clear" w:color="auto" w:fill="auto"/>
                  <w:noWrap/>
                  <w:vAlign w:val="bottom"/>
                  <w:hideMark/>
                </w:tcPr>
                <w:p w:rsidR="00E123EF" w:rsidRPr="00050C6A" w:rsidP="00E123EF">
                  <w:pPr>
                    <w:spacing w:after="0" w:line="240" w:lineRule="auto"/>
                    <w:jc w:val="center"/>
                    <w:rPr>
                      <w:rFonts w:ascii="Times New Roman" w:eastAsia="Times New Roman" w:hAnsi="Times New Roman" w:cs="Times New Roman"/>
                      <w:b/>
                      <w:bCs/>
                      <w:sz w:val="20"/>
                      <w:szCs w:val="20"/>
                      <w:lang w:eastAsia="lv-LV"/>
                    </w:rPr>
                  </w:pPr>
                  <w:r w:rsidRPr="00050C6A">
                    <w:rPr>
                      <w:rFonts w:ascii="Times New Roman" w:eastAsia="Times New Roman" w:hAnsi="Times New Roman" w:cs="Times New Roman"/>
                      <w:b/>
                      <w:bCs/>
                      <w:sz w:val="20"/>
                      <w:szCs w:val="20"/>
                      <w:lang w:eastAsia="lv-LV"/>
                    </w:rPr>
                    <w:t>615</w:t>
                  </w:r>
                </w:p>
              </w:tc>
            </w:tr>
          </w:tbl>
          <w:p w:rsidR="00E123EF" w:rsidRPr="00050C6A" w:rsidP="00E123EF">
            <w:pPr>
              <w:spacing w:after="0" w:line="240" w:lineRule="auto"/>
              <w:rPr>
                <w:rFonts w:ascii="Times New Roman" w:eastAsia="Calibri" w:hAnsi="Times New Roman" w:cs="Times New Roman"/>
                <w:noProof/>
                <w:sz w:val="24"/>
                <w:szCs w:val="24"/>
              </w:rPr>
            </w:pPr>
          </w:p>
        </w:tc>
      </w:tr>
      <w:tr w:rsidTr="00ED24E7">
        <w:tblPrEx>
          <w:tblW w:w="5000" w:type="pct"/>
          <w:tblCellSpacing w:w="15" w:type="dxa"/>
          <w:tblCellMar>
            <w:top w:w="30" w:type="dxa"/>
            <w:left w:w="30" w:type="dxa"/>
            <w:bottom w:w="30" w:type="dxa"/>
            <w:right w:w="30" w:type="dxa"/>
          </w:tblCellMar>
          <w:tblLook w:val="04A0"/>
        </w:tblPrEx>
        <w:trPr>
          <w:tblCellSpacing w:w="15" w:type="dxa"/>
        </w:trPr>
        <w:tc>
          <w:tcPr>
            <w:tcW w:w="923" w:type="pct"/>
            <w:tcBorders>
              <w:top w:val="outset" w:sz="6" w:space="0" w:color="auto"/>
              <w:left w:val="outset" w:sz="6" w:space="0" w:color="auto"/>
              <w:bottom w:val="outset" w:sz="6" w:space="0" w:color="auto"/>
              <w:right w:val="outset" w:sz="6" w:space="0" w:color="auto"/>
            </w:tcBorders>
            <w:hideMark/>
          </w:tcPr>
          <w:p w:rsidR="00E123EF" w:rsidRPr="0072784A" w:rsidP="00E123EF">
            <w:pPr>
              <w:spacing w:after="0" w:line="240" w:lineRule="auto"/>
              <w:rPr>
                <w:rFonts w:ascii="Times New Roman" w:eastAsia="Times New Roman" w:hAnsi="Times New Roman" w:cs="Times New Roman"/>
                <w:iCs/>
                <w:sz w:val="24"/>
                <w:szCs w:val="24"/>
                <w:lang w:val="en-US" w:eastAsia="lv-LV"/>
              </w:rPr>
            </w:pPr>
            <w:r w:rsidRPr="0072784A">
              <w:rPr>
                <w:rFonts w:ascii="Times New Roman" w:eastAsia="Times New Roman" w:hAnsi="Times New Roman" w:cs="Times New Roman"/>
                <w:iCs/>
                <w:sz w:val="24"/>
                <w:szCs w:val="24"/>
                <w:lang w:val="en-US" w:eastAsia="lv-LV"/>
              </w:rPr>
              <w:t>8. Cita informācija</w:t>
            </w:r>
          </w:p>
        </w:tc>
        <w:tc>
          <w:tcPr>
            <w:tcW w:w="4028" w:type="pct"/>
            <w:gridSpan w:val="7"/>
            <w:tcBorders>
              <w:top w:val="outset" w:sz="6" w:space="0" w:color="auto"/>
              <w:left w:val="outset" w:sz="6" w:space="0" w:color="auto"/>
              <w:bottom w:val="outset" w:sz="6" w:space="0" w:color="auto"/>
              <w:right w:val="outset" w:sz="6" w:space="0" w:color="auto"/>
            </w:tcBorders>
            <w:hideMark/>
          </w:tcPr>
          <w:p w:rsidR="00E123EF" w:rsidRPr="00050C6A" w:rsidP="00E123EF">
            <w:pPr>
              <w:tabs>
                <w:tab w:val="left" w:pos="5940"/>
              </w:tabs>
              <w:jc w:val="both"/>
              <w:rPr>
                <w:rFonts w:ascii="Times New Roman" w:eastAsia="Calibri" w:hAnsi="Times New Roman" w:cs="Times New Roman"/>
                <w:noProof/>
                <w:sz w:val="24"/>
                <w:szCs w:val="24"/>
              </w:rPr>
            </w:pPr>
            <w:r w:rsidRPr="00050C6A">
              <w:rPr>
                <w:rFonts w:ascii="Times New Roman" w:eastAsia="Calibri" w:hAnsi="Times New Roman" w:cs="Times New Roman"/>
                <w:noProof/>
                <w:sz w:val="24"/>
                <w:szCs w:val="24"/>
              </w:rPr>
              <w:t>Rīkojuma projekts nerada tiešu ietekmi uz valsts budžetu.</w:t>
            </w:r>
          </w:p>
          <w:p w:rsidR="00E123EF" w:rsidRPr="00050C6A" w:rsidP="00E123EF">
            <w:pPr>
              <w:spacing w:before="40" w:after="40"/>
              <w:ind w:right="135"/>
              <w:jc w:val="both"/>
              <w:rPr>
                <w:rFonts w:ascii="Times New Roman" w:eastAsia="Calibri" w:hAnsi="Times New Roman" w:cs="Times New Roman"/>
                <w:noProof/>
                <w:sz w:val="24"/>
                <w:szCs w:val="24"/>
              </w:rPr>
            </w:pPr>
            <w:r w:rsidRPr="00050C6A">
              <w:rPr>
                <w:rFonts w:ascii="Times New Roman" w:eastAsia="Calibri" w:hAnsi="Times New Roman" w:cs="Times New Roman"/>
                <w:noProof/>
                <w:sz w:val="24"/>
                <w:szCs w:val="24"/>
              </w:rPr>
              <w:t>Rīkojuma projekta īstenošana tiks nodrošināta ministrijas nozarei piešķirto valsts budžeta finanšu līdzekļu ietvaros.</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2784A" w:rsidP="00E5323B">
            <w:pPr>
              <w:spacing w:after="0" w:line="240" w:lineRule="auto"/>
              <w:rPr>
                <w:rFonts w:ascii="Times New Roman" w:eastAsia="Times New Roman" w:hAnsi="Times New Roman" w:cs="Times New Roman"/>
                <w:b/>
                <w:bCs/>
                <w:iCs/>
                <w:sz w:val="24"/>
                <w:szCs w:val="24"/>
                <w:lang w:val="en-US" w:eastAsia="lv-LV"/>
              </w:rPr>
            </w:pPr>
            <w:r w:rsidRPr="0072784A">
              <w:rPr>
                <w:rFonts w:ascii="Times New Roman" w:eastAsia="Times New Roman" w:hAnsi="Times New Roman" w:cs="Times New Roman"/>
                <w:b/>
                <w:bCs/>
                <w:iCs/>
                <w:sz w:val="24"/>
                <w:szCs w:val="24"/>
                <w:lang w:val="en-US"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2784A" w:rsidP="00E5323B">
            <w:pPr>
              <w:spacing w:after="0" w:line="240" w:lineRule="auto"/>
              <w:rPr>
                <w:rFonts w:ascii="Times New Roman" w:eastAsia="Times New Roman" w:hAnsi="Times New Roman" w:cs="Times New Roman"/>
                <w:iCs/>
                <w:sz w:val="24"/>
                <w:szCs w:val="24"/>
                <w:lang w:val="en-US" w:eastAsia="lv-LV"/>
              </w:rPr>
            </w:pPr>
            <w:r w:rsidRPr="0072784A">
              <w:rPr>
                <w:rFonts w:ascii="Times New Roman" w:eastAsia="Times New Roman" w:hAnsi="Times New Roman" w:cs="Times New Roman"/>
                <w:iCs/>
                <w:sz w:val="24"/>
                <w:szCs w:val="24"/>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3C15B8" w:rsidP="003C15B8">
            <w:pPr>
              <w:spacing w:after="0" w:line="240" w:lineRule="auto"/>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Grozījumi Sporta likumā</w:t>
            </w:r>
          </w:p>
          <w:p w:rsidR="00391B0D" w:rsidRPr="003C15B8" w:rsidP="003C15B8">
            <w:pPr>
              <w:spacing w:after="0" w:line="240" w:lineRule="auto"/>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Grozījumi Pacientu tiesību likumā</w:t>
            </w:r>
          </w:p>
          <w:p w:rsidR="00881229" w:rsidRPr="003C15B8" w:rsidP="003C15B8">
            <w:pPr>
              <w:spacing w:after="0" w:line="240" w:lineRule="auto"/>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Gro</w:t>
            </w:r>
            <w:r w:rsidRPr="003C15B8">
              <w:rPr>
                <w:rFonts w:ascii="Times New Roman" w:eastAsia="Times New Roman" w:hAnsi="Times New Roman" w:cs="Times New Roman"/>
                <w:iCs/>
                <w:sz w:val="24"/>
                <w:szCs w:val="24"/>
                <w:lang w:eastAsia="lv-LV"/>
              </w:rPr>
              <w:t>zījumi Ministru kabineta 2008.gada 5.februāra noteikumos Nr.76 “Veselības inspekcijas nolikums”</w:t>
            </w:r>
          </w:p>
          <w:p w:rsidR="00881229" w:rsidRPr="003C15B8" w:rsidP="003C15B8">
            <w:pPr>
              <w:spacing w:after="0" w:line="240" w:lineRule="auto"/>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 xml:space="preserve">Grozījumi Ministru kabineta 2011.gada 1.novembra noteikumos Nr.850 “Nacionālā veselības dienesta nolikums” </w:t>
            </w:r>
          </w:p>
          <w:p w:rsidR="00881229" w:rsidRPr="003C15B8" w:rsidP="003C15B8">
            <w:pPr>
              <w:spacing w:after="0" w:line="240" w:lineRule="auto"/>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Grozījumi Ministru kabineta 2012.gada 31.jūlija noteikumos Nr.537 “Zāļu valsts aģentūras nolikums”</w:t>
            </w:r>
          </w:p>
          <w:p w:rsidR="00881229" w:rsidRPr="003C15B8" w:rsidP="003C15B8">
            <w:pPr>
              <w:spacing w:after="0" w:line="240" w:lineRule="auto"/>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Grozījumi Ministru kabineta 2012.gada 3.aprīļa noteikumos Nr.241 “Slimību profilakses un kontroles centra nolikums”</w:t>
            </w:r>
          </w:p>
          <w:p w:rsidR="00881229" w:rsidRPr="003C15B8" w:rsidP="003C15B8">
            <w:pPr>
              <w:spacing w:after="0" w:line="240" w:lineRule="auto"/>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Grozījumi Ministru kabineta 2005.gada 28.jūnija noteikumos Nr.468 “Ārstniecībā izmantojamo medicīnisko tehnoloģiju apstiprināšanas un jaunu medicīnisko tehnoloģiju ieviešanas kārtība”</w:t>
            </w:r>
          </w:p>
          <w:p w:rsidR="00881229" w:rsidRPr="003C15B8" w:rsidP="003C15B8">
            <w:pPr>
              <w:spacing w:after="0" w:line="240" w:lineRule="auto"/>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 xml:space="preserve">Grozījumi </w:t>
            </w:r>
            <w:r w:rsidRPr="003C15B8" w:rsidR="001774D5">
              <w:rPr>
                <w:rFonts w:ascii="Times New Roman" w:eastAsia="Times New Roman" w:hAnsi="Times New Roman" w:cs="Times New Roman"/>
                <w:iCs/>
                <w:sz w:val="24"/>
                <w:szCs w:val="24"/>
                <w:lang w:eastAsia="lv-LV"/>
              </w:rPr>
              <w:t>Ministru kabineta 2010.gada 25.maija noteikumos Nr.469 “Kārtība, kādā izstrādā, izvērtē, reģistrē un ievieš klīniskās vadlīnijas”</w:t>
            </w:r>
          </w:p>
          <w:p w:rsidR="001774D5" w:rsidRPr="005B6F32" w:rsidP="003C15B8">
            <w:pPr>
              <w:spacing w:after="0" w:line="240" w:lineRule="auto"/>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Ministru kabineta noteikumu projekts “Latvijas Antidopinga biroja nolikums”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2784A" w:rsidP="00E5323B">
            <w:pPr>
              <w:spacing w:after="0" w:line="240" w:lineRule="auto"/>
              <w:rPr>
                <w:rFonts w:ascii="Times New Roman" w:eastAsia="Times New Roman" w:hAnsi="Times New Roman" w:cs="Times New Roman"/>
                <w:iCs/>
                <w:sz w:val="24"/>
                <w:szCs w:val="24"/>
                <w:lang w:val="en-US" w:eastAsia="lv-LV"/>
              </w:rPr>
            </w:pPr>
            <w:r w:rsidRPr="0072784A">
              <w:rPr>
                <w:rFonts w:ascii="Times New Roman" w:eastAsia="Times New Roman" w:hAnsi="Times New Roman" w:cs="Times New Roman"/>
                <w:iCs/>
                <w:sz w:val="24"/>
                <w:szCs w:val="24"/>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91B0D"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Veselības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2784A" w:rsidP="00E5323B">
            <w:pPr>
              <w:spacing w:after="0" w:line="240" w:lineRule="auto"/>
              <w:rPr>
                <w:rFonts w:ascii="Times New Roman" w:eastAsia="Times New Roman" w:hAnsi="Times New Roman" w:cs="Times New Roman"/>
                <w:iCs/>
                <w:sz w:val="24"/>
                <w:szCs w:val="24"/>
                <w:lang w:val="en-US" w:eastAsia="lv-LV"/>
              </w:rPr>
            </w:pPr>
            <w:r w:rsidRPr="0072784A">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91B0D"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72784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C15B8" w:rsidP="00E5323B">
            <w:pPr>
              <w:spacing w:after="0" w:line="240" w:lineRule="auto"/>
              <w:rPr>
                <w:rFonts w:ascii="Times New Roman" w:eastAsia="Times New Roman" w:hAnsi="Times New Roman" w:cs="Times New Roman"/>
                <w:b/>
                <w:bCs/>
                <w:iCs/>
                <w:sz w:val="24"/>
                <w:szCs w:val="24"/>
                <w:lang w:eastAsia="lv-LV"/>
              </w:rPr>
            </w:pPr>
            <w:r w:rsidRPr="003C15B8">
              <w:rPr>
                <w:rFonts w:ascii="Times New Roman" w:eastAsia="Times New Roman" w:hAnsi="Times New Roman" w:cs="Times New Roman"/>
                <w:b/>
                <w:bCs/>
                <w:iCs/>
                <w:sz w:val="24"/>
                <w:szCs w:val="24"/>
                <w:lang w:eastAsia="lv-LV"/>
              </w:rPr>
              <w:t>V. Tiesību akta projekta atbilstība Latvijas Republikas starptautiskajām saistībām</w:t>
            </w:r>
          </w:p>
        </w:tc>
      </w:tr>
      <w:tr w:rsidTr="0072784A">
        <w:tblPrEx>
          <w:tblW w:w="5000" w:type="pct"/>
          <w:tblCellSpacing w:w="15" w:type="dxa"/>
          <w:tblCellMar>
            <w:top w:w="30" w:type="dxa"/>
            <w:left w:w="30" w:type="dxa"/>
            <w:bottom w:w="30" w:type="dxa"/>
            <w:right w:w="30" w:type="dxa"/>
          </w:tblCellMar>
          <w:tblLook w:val="04A0"/>
        </w:tblPrEx>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2784A"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Projekts šo jomu neskar</w:t>
            </w:r>
          </w:p>
        </w:tc>
      </w:tr>
    </w:tbl>
    <w:p w:rsidR="00E5323B" w:rsidRPr="003C15B8" w:rsidP="00E5323B">
      <w:pPr>
        <w:spacing w:after="0" w:line="240" w:lineRule="auto"/>
        <w:rPr>
          <w:rFonts w:ascii="Times New Roman" w:eastAsia="Times New Roman" w:hAnsi="Times New Roman" w:cs="Times New Roman"/>
          <w:iCs/>
          <w:color w:val="414142"/>
          <w:sz w:val="24"/>
          <w:szCs w:val="24"/>
          <w:lang w:eastAsia="lv-LV"/>
        </w:rPr>
      </w:pPr>
      <w:r w:rsidRPr="003C15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C15B8" w:rsidP="00E5323B">
            <w:pPr>
              <w:spacing w:after="0" w:line="240" w:lineRule="auto"/>
              <w:rPr>
                <w:rFonts w:ascii="Times New Roman" w:eastAsia="Times New Roman" w:hAnsi="Times New Roman" w:cs="Times New Roman"/>
                <w:b/>
                <w:bCs/>
                <w:iCs/>
                <w:sz w:val="24"/>
                <w:szCs w:val="24"/>
                <w:lang w:eastAsia="lv-LV"/>
              </w:rPr>
            </w:pPr>
            <w:r w:rsidRPr="003C15B8">
              <w:rPr>
                <w:rFonts w:ascii="Times New Roman" w:eastAsia="Times New Roman" w:hAnsi="Times New Roman" w:cs="Times New Roman"/>
                <w:b/>
                <w:bCs/>
                <w:iCs/>
                <w:sz w:val="24"/>
                <w:szCs w:val="24"/>
                <w:lang w:eastAsia="lv-LV"/>
              </w:rPr>
              <w:t>VI. Sabiedrības līdzdalība un komunikācijas aktivitātes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3C15B8" w:rsidRPr="003C15B8" w:rsidP="003C15B8">
            <w:pPr>
              <w:spacing w:after="0" w:line="240" w:lineRule="auto"/>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 xml:space="preserve">Ņemot vērā, ka projekts attiecas uz valsts pārvaldes iekšējo reorganizāciju, sabiedrības līdzdalība nav plānota. </w:t>
            </w:r>
          </w:p>
          <w:p w:rsidR="00E5323B" w:rsidRPr="003C15B8" w:rsidP="003C15B8">
            <w:pPr>
              <w:spacing w:after="0" w:line="240" w:lineRule="auto"/>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 xml:space="preserve">Vienlaikus projektā noteiktā institūciju reorganizācija ir veikta atbilstoši </w:t>
            </w:r>
            <w:r w:rsidRPr="003C15B8" w:rsidR="003C15B8">
              <w:rPr>
                <w:rFonts w:ascii="Times New Roman" w:eastAsia="Times New Roman" w:hAnsi="Times New Roman" w:cs="Times New Roman"/>
                <w:iCs/>
                <w:sz w:val="24"/>
                <w:szCs w:val="24"/>
                <w:lang w:eastAsia="lv-LV"/>
              </w:rPr>
              <w:t xml:space="preserve">Ministru kabineta 2017.gada 26.septembra rīkojumam Nr.539 “Konceptuālais ziņojums “Par situāciju antidopinga jomā Latvijā un nepieciešamajām izmaiņām”” un Ministru kabineta 2017.gada 7.augusta rīkojumam Nr.394 “Konceptuālais ziņojums “Par veselības aprūpes sistēmas reformu””.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3C15B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C15B8">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3C15B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C15B8">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C15B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C15B8">
              <w:rPr>
                <w:rFonts w:ascii="Times New Roman" w:eastAsia="Times New Roman" w:hAnsi="Times New Roman" w:cs="Times New Roman"/>
                <w:iCs/>
                <w:sz w:val="24"/>
                <w:szCs w:val="24"/>
                <w:lang w:eastAsia="lv-LV"/>
              </w:rPr>
              <w:t>Nav</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C15B8" w:rsidP="00E5323B">
            <w:pPr>
              <w:spacing w:after="0" w:line="240" w:lineRule="auto"/>
              <w:rPr>
                <w:rFonts w:ascii="Times New Roman" w:eastAsia="Times New Roman" w:hAnsi="Times New Roman" w:cs="Times New Roman"/>
                <w:b/>
                <w:bCs/>
                <w:iCs/>
                <w:sz w:val="24"/>
                <w:szCs w:val="24"/>
                <w:lang w:eastAsia="lv-LV"/>
              </w:rPr>
            </w:pPr>
            <w:r w:rsidRPr="003C15B8">
              <w:rPr>
                <w:rFonts w:ascii="Times New Roman" w:eastAsia="Times New Roman" w:hAnsi="Times New Roman" w:cs="Times New Roman"/>
                <w:b/>
                <w:bCs/>
                <w:iCs/>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C15B8" w:rsidP="00E5323B">
            <w:pPr>
              <w:spacing w:after="0" w:line="240" w:lineRule="auto"/>
              <w:rPr>
                <w:rFonts w:ascii="Times New Roman" w:eastAsia="Times New Roman" w:hAnsi="Times New Roman" w:cs="Times New Roman"/>
                <w:iCs/>
                <w:color w:val="414142"/>
                <w:sz w:val="24"/>
                <w:szCs w:val="24"/>
                <w:lang w:eastAsia="lv-LV"/>
              </w:rPr>
            </w:pPr>
            <w:r w:rsidRPr="003C15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Nacionālais veselības dienests</w:t>
            </w:r>
          </w:p>
          <w:p w:rsidR="009D3345"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Slimību profilakses un kontroles centrs</w:t>
            </w:r>
          </w:p>
          <w:p w:rsidR="009D3345"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Zāļu valsts aģentūra</w:t>
            </w:r>
          </w:p>
          <w:p w:rsidR="009D3345"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Veselības inspekcija</w:t>
            </w:r>
          </w:p>
          <w:p w:rsidR="009D3345"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Valsts sporta medicīnas centrs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C15B8" w:rsidP="00E5323B">
            <w:pPr>
              <w:spacing w:after="0" w:line="240" w:lineRule="auto"/>
              <w:rPr>
                <w:rFonts w:ascii="Times New Roman" w:eastAsia="Times New Roman" w:hAnsi="Times New Roman" w:cs="Times New Roman"/>
                <w:iCs/>
                <w:color w:val="414142"/>
                <w:sz w:val="24"/>
                <w:szCs w:val="24"/>
                <w:lang w:eastAsia="lv-LV"/>
              </w:rPr>
            </w:pPr>
            <w:r w:rsidRPr="003C15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Projekta izpildes ietekme uz pārvaldes funkcijām un institucionālo struktūru.</w:t>
            </w:r>
            <w:r w:rsidRPr="003C15B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C15B8" w:rsidP="003C15B8">
            <w:pPr>
              <w:spacing w:after="0" w:line="240" w:lineRule="auto"/>
              <w:ind w:right="135"/>
              <w:jc w:val="both"/>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Projekts paredz reorganizēt minētās institūcijas. Ņemot vērā, ka projekts reorganizācijas rezultātā neparedz atteikties no līdzšinējām valsts pārvaldes funkcijām, nav plānota būtiska ietekme uz institūciju cilvēkresursiem</w:t>
            </w:r>
            <w:r>
              <w:rPr>
                <w:rFonts w:ascii="Times New Roman" w:eastAsia="Times New Roman" w:hAnsi="Times New Roman" w:cs="Times New Roman"/>
                <w:iCs/>
                <w:sz w:val="24"/>
                <w:szCs w:val="24"/>
                <w:lang w:eastAsia="lv-LV"/>
              </w:rPr>
              <w:t xml:space="preserve">. </w:t>
            </w:r>
          </w:p>
          <w:p w:rsidR="003C15B8" w:rsidRPr="003C15B8" w:rsidP="003C15B8">
            <w:pPr>
              <w:spacing w:after="0" w:line="240" w:lineRule="auto"/>
              <w:ind w:right="135"/>
              <w:jc w:val="both"/>
              <w:rPr>
                <w:rFonts w:ascii="Times New Roman" w:eastAsia="Calibri" w:hAnsi="Times New Roman" w:cs="Times New Roman"/>
                <w:noProof/>
                <w:sz w:val="24"/>
                <w:szCs w:val="24"/>
              </w:rPr>
            </w:pPr>
            <w:r>
              <w:rPr>
                <w:rFonts w:ascii="Times New Roman" w:eastAsia="Times New Roman" w:hAnsi="Times New Roman" w:cs="Times New Roman"/>
                <w:iCs/>
                <w:sz w:val="24"/>
                <w:szCs w:val="24"/>
                <w:lang w:eastAsia="lv-LV"/>
              </w:rPr>
              <w:t>A</w:t>
            </w:r>
            <w:r>
              <w:rPr>
                <w:rFonts w:ascii="Times New Roman" w:eastAsia="Calibri" w:hAnsi="Times New Roman" w:cs="Times New Roman"/>
                <w:noProof/>
                <w:sz w:val="24"/>
                <w:szCs w:val="24"/>
              </w:rPr>
              <w:t xml:space="preserve">mata vietu samazinājumu nozarē plānots veikt ar </w:t>
            </w:r>
            <w:r>
              <w:rPr>
                <w:rFonts w:ascii="Times New Roman" w:eastAsia="Times New Roman" w:hAnsi="Times New Roman" w:cs="Times New Roman"/>
                <w:iCs/>
                <w:sz w:val="24"/>
                <w:szCs w:val="24"/>
                <w:lang w:eastAsia="lv-LV"/>
              </w:rPr>
              <w:t xml:space="preserve">Valsts sporta medicīnas centra reorganizāciju un Latvijas </w:t>
            </w:r>
            <w:r>
              <w:rPr>
                <w:rFonts w:ascii="Times New Roman" w:eastAsia="Calibri" w:hAnsi="Times New Roman" w:cs="Times New Roman"/>
                <w:noProof/>
                <w:sz w:val="24"/>
                <w:szCs w:val="24"/>
              </w:rPr>
              <w:t>Antidopinga biroja izveidošanu.</w:t>
            </w:r>
          </w:p>
          <w:p w:rsidR="00E5323B" w:rsidRPr="003C15B8" w:rsidP="003C15B8">
            <w:pPr>
              <w:spacing w:after="0" w:line="240" w:lineRule="auto"/>
              <w:jc w:val="both"/>
              <w:rPr>
                <w:rFonts w:ascii="Times New Roman" w:eastAsia="Times New Roman" w:hAnsi="Times New Roman" w:cs="Times New Roman"/>
                <w:iCs/>
                <w:sz w:val="24"/>
                <w:szCs w:val="24"/>
                <w:lang w:eastAsia="lv-LV"/>
              </w:rPr>
            </w:pP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C15B8" w:rsidP="00E5323B">
            <w:pPr>
              <w:spacing w:after="0" w:line="240" w:lineRule="auto"/>
              <w:rPr>
                <w:rFonts w:ascii="Times New Roman" w:eastAsia="Times New Roman" w:hAnsi="Times New Roman" w:cs="Times New Roman"/>
                <w:iCs/>
                <w:color w:val="414142"/>
                <w:sz w:val="24"/>
                <w:szCs w:val="24"/>
                <w:lang w:eastAsia="lv-LV"/>
              </w:rPr>
            </w:pPr>
            <w:r w:rsidRPr="003C15B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C15B8" w:rsidP="00E5323B">
            <w:pPr>
              <w:spacing w:after="0" w:line="240" w:lineRule="auto"/>
              <w:rPr>
                <w:rFonts w:ascii="Times New Roman" w:eastAsia="Times New Roman" w:hAnsi="Times New Roman" w:cs="Times New Roman"/>
                <w:iCs/>
                <w:sz w:val="24"/>
                <w:szCs w:val="24"/>
                <w:lang w:eastAsia="lv-LV"/>
              </w:rPr>
            </w:pPr>
            <w:r w:rsidRPr="003C15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C15B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C15B8">
              <w:rPr>
                <w:rFonts w:ascii="Times New Roman" w:eastAsia="Times New Roman" w:hAnsi="Times New Roman" w:cs="Times New Roman"/>
                <w:iCs/>
                <w:sz w:val="24"/>
                <w:szCs w:val="24"/>
                <w:lang w:eastAsia="lv-LV"/>
              </w:rPr>
              <w:t>Nav</w:t>
            </w:r>
          </w:p>
        </w:tc>
      </w:tr>
    </w:tbl>
    <w:p w:rsidR="00C25B49"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894C55" w:rsidRPr="00894C55" w:rsidP="003C15B8">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 ministre</w:t>
      </w:r>
      <w:r w:rsidR="003C15B8">
        <w:rPr>
          <w:rFonts w:ascii="Times New Roman" w:hAnsi="Times New Roman" w:cs="Times New Roman"/>
          <w:sz w:val="28"/>
          <w:szCs w:val="28"/>
        </w:rPr>
        <w:tab/>
      </w:r>
      <w:r w:rsidR="003C15B8">
        <w:rPr>
          <w:rFonts w:ascii="Times New Roman" w:hAnsi="Times New Roman" w:cs="Times New Roman"/>
          <w:sz w:val="28"/>
          <w:szCs w:val="28"/>
        </w:rPr>
        <w:tab/>
      </w:r>
      <w:r w:rsidR="003C15B8">
        <w:rPr>
          <w:rFonts w:ascii="Times New Roman" w:hAnsi="Times New Roman" w:cs="Times New Roman"/>
          <w:sz w:val="28"/>
          <w:szCs w:val="28"/>
        </w:rPr>
        <w:tab/>
      </w:r>
      <w:r>
        <w:rPr>
          <w:rFonts w:ascii="Times New Roman" w:hAnsi="Times New Roman" w:cs="Times New Roman"/>
          <w:sz w:val="28"/>
          <w:szCs w:val="28"/>
        </w:rPr>
        <w:t xml:space="preserve">     </w:t>
      </w:r>
      <w:r w:rsidR="003C15B8">
        <w:rPr>
          <w:rFonts w:ascii="Times New Roman" w:hAnsi="Times New Roman" w:cs="Times New Roman"/>
          <w:sz w:val="28"/>
          <w:szCs w:val="28"/>
        </w:rPr>
        <w:t>A</w:t>
      </w:r>
      <w:r>
        <w:rPr>
          <w:rFonts w:ascii="Times New Roman" w:hAnsi="Times New Roman" w:cs="Times New Roman"/>
          <w:sz w:val="28"/>
          <w:szCs w:val="28"/>
        </w:rPr>
        <w:t xml:space="preserve">nda </w:t>
      </w:r>
      <w:r w:rsidR="003C15B8">
        <w:rPr>
          <w:rFonts w:ascii="Times New Roman" w:hAnsi="Times New Roman" w:cs="Times New Roman"/>
          <w:sz w:val="28"/>
          <w:szCs w:val="28"/>
        </w:rPr>
        <w:t>Čakša</w:t>
      </w:r>
    </w:p>
    <w:p w:rsidR="00894C55" w:rsidRPr="00894C55" w:rsidP="00894C55">
      <w:pPr>
        <w:spacing w:after="0" w:line="240" w:lineRule="auto"/>
        <w:ind w:firstLine="720"/>
        <w:rPr>
          <w:rFonts w:ascii="Times New Roman" w:hAnsi="Times New Roman" w:cs="Times New Roman"/>
          <w:sz w:val="28"/>
          <w:szCs w:val="28"/>
        </w:rPr>
      </w:pPr>
    </w:p>
    <w:p w:rsidR="00894C55" w:rsidP="00894C55">
      <w:pPr>
        <w:spacing w:after="0" w:line="240" w:lineRule="auto"/>
        <w:ind w:firstLine="720"/>
        <w:rPr>
          <w:rFonts w:ascii="Times New Roman" w:hAnsi="Times New Roman" w:cs="Times New Roman"/>
          <w:sz w:val="28"/>
          <w:szCs w:val="28"/>
        </w:rPr>
      </w:pPr>
    </w:p>
    <w:p w:rsidR="00894C55" w:rsidP="00894C55">
      <w:pPr>
        <w:tabs>
          <w:tab w:val="left" w:pos="6237"/>
        </w:tabs>
        <w:spacing w:after="0" w:line="240" w:lineRule="auto"/>
        <w:ind w:firstLine="720"/>
        <w:rPr>
          <w:rFonts w:ascii="Times New Roman" w:hAnsi="Times New Roman" w:cs="Times New Roman"/>
          <w:sz w:val="28"/>
          <w:szCs w:val="28"/>
        </w:rPr>
      </w:pPr>
    </w:p>
    <w:p w:rsidR="00894C55" w:rsidRPr="00894C5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Anita.Jursevica</w:t>
      </w:r>
      <w:r w:rsidR="00D133F8">
        <w:rPr>
          <w:rFonts w:ascii="Times New Roman" w:hAnsi="Times New Roman" w:cs="Times New Roman"/>
          <w:sz w:val="24"/>
          <w:szCs w:val="28"/>
        </w:rPr>
        <w:t xml:space="preserve"> </w:t>
      </w:r>
      <w:r>
        <w:rPr>
          <w:rFonts w:ascii="Times New Roman" w:hAnsi="Times New Roman" w:cs="Times New Roman"/>
          <w:sz w:val="24"/>
          <w:szCs w:val="28"/>
        </w:rPr>
        <w:t>67876186</w:t>
      </w:r>
    </w:p>
    <w:p w:rsidR="00894C55" w:rsidP="00894C55">
      <w:pPr>
        <w:tabs>
          <w:tab w:val="left" w:pos="6237"/>
        </w:tabs>
        <w:spacing w:after="0" w:line="240" w:lineRule="auto"/>
        <w:rPr>
          <w:rFonts w:ascii="Times New Roman" w:hAnsi="Times New Roman" w:cs="Times New Roman"/>
          <w:sz w:val="24"/>
          <w:szCs w:val="28"/>
        </w:rPr>
      </w:pPr>
      <w:r>
        <w:fldChar w:fldCharType="begin"/>
      </w:r>
      <w:r>
        <w:instrText xml:space="preserve"> HYPERLINK "mailto:Anita.Jurševica@vm.gov.lv" </w:instrText>
      </w:r>
      <w:r>
        <w:fldChar w:fldCharType="separate"/>
      </w:r>
      <w:r w:rsidRPr="005C2BF1">
        <w:rPr>
          <w:rStyle w:val="Hyperlink"/>
          <w:rFonts w:ascii="Times New Roman" w:hAnsi="Times New Roman" w:cs="Times New Roman"/>
          <w:sz w:val="24"/>
          <w:szCs w:val="28"/>
        </w:rPr>
        <w:t>Anita.Jurševica@vm.gov.lv</w:t>
      </w:r>
      <w:r>
        <w:fldChar w:fldCharType="end"/>
      </w:r>
    </w:p>
    <w:p w:rsidR="00C029D9" w:rsidP="00894C55">
      <w:pPr>
        <w:tabs>
          <w:tab w:val="left" w:pos="6237"/>
        </w:tabs>
        <w:spacing w:after="0" w:line="240" w:lineRule="auto"/>
        <w:rPr>
          <w:rFonts w:ascii="Times New Roman" w:hAnsi="Times New Roman" w:cs="Times New Roman"/>
          <w:sz w:val="24"/>
          <w:szCs w:val="28"/>
        </w:rPr>
      </w:pPr>
      <w:bookmarkStart w:id="0" w:name="_GoBack"/>
      <w:bookmarkEnd w:id="0"/>
    </w:p>
    <w:p w:rsidR="00C029D9"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Sandra.Kasparenko 67876147</w:t>
      </w:r>
    </w:p>
    <w:p w:rsidR="00C029D9" w:rsidP="00894C55">
      <w:pPr>
        <w:tabs>
          <w:tab w:val="left" w:pos="6237"/>
        </w:tabs>
        <w:spacing w:after="0" w:line="240" w:lineRule="auto"/>
        <w:rPr>
          <w:rFonts w:ascii="Times New Roman" w:hAnsi="Times New Roman" w:cs="Times New Roman"/>
          <w:sz w:val="24"/>
          <w:szCs w:val="28"/>
        </w:rPr>
      </w:pPr>
      <w:r>
        <w:fldChar w:fldCharType="begin"/>
      </w:r>
      <w:r>
        <w:instrText xml:space="preserve"> HYPERLINK "mailto:Sandra.Kasparenko@vm.gov.lv" </w:instrText>
      </w:r>
      <w:r>
        <w:fldChar w:fldCharType="separate"/>
      </w:r>
      <w:r w:rsidRPr="005C2BF1">
        <w:rPr>
          <w:rStyle w:val="Hyperlink"/>
          <w:rFonts w:ascii="Times New Roman" w:hAnsi="Times New Roman" w:cs="Times New Roman"/>
          <w:sz w:val="24"/>
          <w:szCs w:val="28"/>
        </w:rPr>
        <w:t>Sandra.Kasparenko@vm.gov.lv</w:t>
      </w:r>
      <w:r>
        <w:fldChar w:fldCharType="end"/>
      </w:r>
    </w:p>
    <w:p w:rsidR="00C029D9" w:rsidRPr="00894C55" w:rsidP="00894C55">
      <w:pPr>
        <w:tabs>
          <w:tab w:val="left" w:pos="6237"/>
        </w:tabs>
        <w:spacing w:after="0" w:line="240" w:lineRule="auto"/>
        <w:rPr>
          <w:rFonts w:ascii="Times New Roman" w:hAnsi="Times New Roman" w:cs="Times New Roman"/>
          <w:sz w:val="24"/>
          <w:szCs w:val="28"/>
        </w:rPr>
      </w:pP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B2E" w:rsidRPr="005D67E7" w:rsidP="005D67E7">
    <w:pPr>
      <w:pStyle w:val="Footer"/>
      <w:rPr>
        <w:rFonts w:ascii="Times New Roman" w:hAnsi="Times New Roman" w:cs="Times New Roman"/>
        <w:sz w:val="20"/>
        <w:szCs w:val="20"/>
      </w:rPr>
    </w:pPr>
    <w:r>
      <w:rPr>
        <w:rFonts w:ascii="Times New Roman" w:hAnsi="Times New Roman" w:cs="Times New Roman"/>
        <w:sz w:val="20"/>
        <w:szCs w:val="20"/>
      </w:rPr>
      <w:t>VManot_100418_reorg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B2E" w:rsidRPr="009A2654">
    <w:pPr>
      <w:pStyle w:val="Footer"/>
      <w:rPr>
        <w:rFonts w:ascii="Times New Roman" w:hAnsi="Times New Roman" w:cs="Times New Roman"/>
        <w:sz w:val="20"/>
        <w:szCs w:val="20"/>
      </w:rPr>
    </w:pPr>
    <w:r>
      <w:rPr>
        <w:rFonts w:ascii="Times New Roman" w:hAnsi="Times New Roman" w:cs="Times New Roman"/>
        <w:sz w:val="20"/>
        <w:szCs w:val="20"/>
      </w:rPr>
      <w:t>VManot_100418_reorg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24848"/>
      <w:docPartObj>
        <w:docPartGallery w:val="Page Numbers (Top of Page)"/>
        <w:docPartUnique/>
      </w:docPartObj>
    </w:sdtPr>
    <w:sdtEndPr>
      <w:rPr>
        <w:rFonts w:ascii="Times New Roman" w:hAnsi="Times New Roman" w:cs="Times New Roman"/>
        <w:noProof/>
        <w:sz w:val="24"/>
        <w:szCs w:val="20"/>
      </w:rPr>
    </w:sdtEndPr>
    <w:sdtContent>
      <w:p w:rsidR="00C37B2E"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029D9">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BA7962"/>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AE52B94"/>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024584A"/>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40068B2"/>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15F74EDF"/>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2F231124"/>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40314E6E"/>
    <w:multiLevelType w:val="hybridMultilevel"/>
    <w:tmpl w:val="224661A6"/>
    <w:lvl w:ilvl="0">
      <w:start w:val="46"/>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40931242"/>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487B5891"/>
    <w:multiLevelType w:val="hybridMultilevel"/>
    <w:tmpl w:val="B76C6034"/>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53CB6B47"/>
    <w:multiLevelType w:val="hybridMultilevel"/>
    <w:tmpl w:val="D354CCE2"/>
    <w:lvl w:ilvl="0">
      <w:start w:val="2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540E6220"/>
    <w:multiLevelType w:val="hybridMultilevel"/>
    <w:tmpl w:val="84CC03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565658D2"/>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62577182"/>
    <w:multiLevelType w:val="hybridMultilevel"/>
    <w:tmpl w:val="C2247F4E"/>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hAnsi="Times New Roman" w:eastAsiaTheme="minorHAnsi"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76E33569"/>
    <w:multiLevelType w:val="multilevel"/>
    <w:tmpl w:val="5F165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1"/>
  </w:num>
  <w:num w:numId="3">
    <w:abstractNumId w:val="10"/>
  </w:num>
  <w:num w:numId="4">
    <w:abstractNumId w:val="8"/>
  </w:num>
  <w:num w:numId="5">
    <w:abstractNumId w:val="4"/>
  </w:num>
  <w:num w:numId="6">
    <w:abstractNumId w:val="0"/>
  </w:num>
  <w:num w:numId="7">
    <w:abstractNumId w:val="14"/>
  </w:num>
  <w:num w:numId="8">
    <w:abstractNumId w:val="5"/>
  </w:num>
  <w:num w:numId="9">
    <w:abstractNumId w:val="1"/>
  </w:num>
  <w:num w:numId="10">
    <w:abstractNumId w:val="3"/>
  </w:num>
  <w:num w:numId="11">
    <w:abstractNumId w:val="7"/>
  </w:num>
  <w:num w:numId="12">
    <w:abstractNumId w:val="2"/>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1CB9"/>
    <w:rsid w:val="00050C6A"/>
    <w:rsid w:val="00061542"/>
    <w:rsid w:val="00066A54"/>
    <w:rsid w:val="00066F4C"/>
    <w:rsid w:val="00082E6B"/>
    <w:rsid w:val="00085139"/>
    <w:rsid w:val="000913C3"/>
    <w:rsid w:val="000A6A8F"/>
    <w:rsid w:val="000E14C5"/>
    <w:rsid w:val="000E3AC4"/>
    <w:rsid w:val="000E7969"/>
    <w:rsid w:val="00115B7E"/>
    <w:rsid w:val="00171BD1"/>
    <w:rsid w:val="001739BC"/>
    <w:rsid w:val="001774D5"/>
    <w:rsid w:val="0018164F"/>
    <w:rsid w:val="00181EDA"/>
    <w:rsid w:val="001B2935"/>
    <w:rsid w:val="001B2C4B"/>
    <w:rsid w:val="001B526E"/>
    <w:rsid w:val="001C47E1"/>
    <w:rsid w:val="001D6DEE"/>
    <w:rsid w:val="001F1FC9"/>
    <w:rsid w:val="001F7FBB"/>
    <w:rsid w:val="00213D17"/>
    <w:rsid w:val="00217F4A"/>
    <w:rsid w:val="002339D6"/>
    <w:rsid w:val="00243426"/>
    <w:rsid w:val="00246672"/>
    <w:rsid w:val="00261C3C"/>
    <w:rsid w:val="002917ED"/>
    <w:rsid w:val="002C54CC"/>
    <w:rsid w:val="002E1C05"/>
    <w:rsid w:val="003133E2"/>
    <w:rsid w:val="00325132"/>
    <w:rsid w:val="0033523C"/>
    <w:rsid w:val="00341F8F"/>
    <w:rsid w:val="0035136A"/>
    <w:rsid w:val="0035607D"/>
    <w:rsid w:val="003562C1"/>
    <w:rsid w:val="00376DD4"/>
    <w:rsid w:val="00391B0D"/>
    <w:rsid w:val="003B0BF9"/>
    <w:rsid w:val="003C15B8"/>
    <w:rsid w:val="003D3AE3"/>
    <w:rsid w:val="003E0791"/>
    <w:rsid w:val="003E7716"/>
    <w:rsid w:val="003F28AC"/>
    <w:rsid w:val="00404A4E"/>
    <w:rsid w:val="00421B47"/>
    <w:rsid w:val="00430488"/>
    <w:rsid w:val="004454FE"/>
    <w:rsid w:val="00456E40"/>
    <w:rsid w:val="0046665A"/>
    <w:rsid w:val="00471F27"/>
    <w:rsid w:val="00482857"/>
    <w:rsid w:val="0049212B"/>
    <w:rsid w:val="004D6191"/>
    <w:rsid w:val="0050178F"/>
    <w:rsid w:val="005019FE"/>
    <w:rsid w:val="0050369D"/>
    <w:rsid w:val="005072C9"/>
    <w:rsid w:val="00555989"/>
    <w:rsid w:val="00584C3D"/>
    <w:rsid w:val="00590B7A"/>
    <w:rsid w:val="00592C8C"/>
    <w:rsid w:val="00596C81"/>
    <w:rsid w:val="005B6F32"/>
    <w:rsid w:val="005C2BF1"/>
    <w:rsid w:val="005C547A"/>
    <w:rsid w:val="005C785C"/>
    <w:rsid w:val="005D3A96"/>
    <w:rsid w:val="005D67E7"/>
    <w:rsid w:val="006363F3"/>
    <w:rsid w:val="00655F2C"/>
    <w:rsid w:val="00656653"/>
    <w:rsid w:val="00677973"/>
    <w:rsid w:val="006B16EB"/>
    <w:rsid w:val="006E1081"/>
    <w:rsid w:val="007110EB"/>
    <w:rsid w:val="00713056"/>
    <w:rsid w:val="00720585"/>
    <w:rsid w:val="00721119"/>
    <w:rsid w:val="007244B4"/>
    <w:rsid w:val="0072784A"/>
    <w:rsid w:val="00727A61"/>
    <w:rsid w:val="007443A8"/>
    <w:rsid w:val="0075015D"/>
    <w:rsid w:val="00761C9B"/>
    <w:rsid w:val="00773AF6"/>
    <w:rsid w:val="00795F71"/>
    <w:rsid w:val="007A3651"/>
    <w:rsid w:val="007C511C"/>
    <w:rsid w:val="007D77D9"/>
    <w:rsid w:val="007E5F7A"/>
    <w:rsid w:val="007E73AB"/>
    <w:rsid w:val="007F07E1"/>
    <w:rsid w:val="00816C11"/>
    <w:rsid w:val="008458F0"/>
    <w:rsid w:val="00870C10"/>
    <w:rsid w:val="00875D6F"/>
    <w:rsid w:val="00880CC2"/>
    <w:rsid w:val="00881229"/>
    <w:rsid w:val="00881CA8"/>
    <w:rsid w:val="00894C55"/>
    <w:rsid w:val="008B44B2"/>
    <w:rsid w:val="008D3E9F"/>
    <w:rsid w:val="008F74AB"/>
    <w:rsid w:val="0093288C"/>
    <w:rsid w:val="00933EA9"/>
    <w:rsid w:val="009414A8"/>
    <w:rsid w:val="0095408A"/>
    <w:rsid w:val="009A2654"/>
    <w:rsid w:val="009A2F4B"/>
    <w:rsid w:val="009A67D2"/>
    <w:rsid w:val="009C021F"/>
    <w:rsid w:val="009C3CDD"/>
    <w:rsid w:val="009D3345"/>
    <w:rsid w:val="009F044A"/>
    <w:rsid w:val="009F434B"/>
    <w:rsid w:val="00A03918"/>
    <w:rsid w:val="00A10FC3"/>
    <w:rsid w:val="00A11CCA"/>
    <w:rsid w:val="00A22D54"/>
    <w:rsid w:val="00A46E17"/>
    <w:rsid w:val="00A6073E"/>
    <w:rsid w:val="00AA4905"/>
    <w:rsid w:val="00AC3007"/>
    <w:rsid w:val="00AE5567"/>
    <w:rsid w:val="00AF1239"/>
    <w:rsid w:val="00B01E91"/>
    <w:rsid w:val="00B16480"/>
    <w:rsid w:val="00B2165C"/>
    <w:rsid w:val="00B30ABB"/>
    <w:rsid w:val="00B74682"/>
    <w:rsid w:val="00B8314A"/>
    <w:rsid w:val="00BA20AA"/>
    <w:rsid w:val="00BD4425"/>
    <w:rsid w:val="00C029D9"/>
    <w:rsid w:val="00C0534A"/>
    <w:rsid w:val="00C25B49"/>
    <w:rsid w:val="00C27248"/>
    <w:rsid w:val="00C33A9A"/>
    <w:rsid w:val="00C37B2E"/>
    <w:rsid w:val="00C4452D"/>
    <w:rsid w:val="00C60A53"/>
    <w:rsid w:val="00C61F45"/>
    <w:rsid w:val="00CC0D2D"/>
    <w:rsid w:val="00CC12A8"/>
    <w:rsid w:val="00CE5657"/>
    <w:rsid w:val="00CE5A6D"/>
    <w:rsid w:val="00CF3051"/>
    <w:rsid w:val="00CF4D61"/>
    <w:rsid w:val="00CF7473"/>
    <w:rsid w:val="00D133F8"/>
    <w:rsid w:val="00D14A3E"/>
    <w:rsid w:val="00D42982"/>
    <w:rsid w:val="00D560A7"/>
    <w:rsid w:val="00D849BE"/>
    <w:rsid w:val="00DE0002"/>
    <w:rsid w:val="00DE335B"/>
    <w:rsid w:val="00DF0CC2"/>
    <w:rsid w:val="00E105C4"/>
    <w:rsid w:val="00E123EF"/>
    <w:rsid w:val="00E12664"/>
    <w:rsid w:val="00E3716B"/>
    <w:rsid w:val="00E5323B"/>
    <w:rsid w:val="00E8749E"/>
    <w:rsid w:val="00E90C01"/>
    <w:rsid w:val="00E975ED"/>
    <w:rsid w:val="00EA486E"/>
    <w:rsid w:val="00EA49FC"/>
    <w:rsid w:val="00EC7680"/>
    <w:rsid w:val="00ED24E7"/>
    <w:rsid w:val="00EE6E66"/>
    <w:rsid w:val="00EF679A"/>
    <w:rsid w:val="00F0131C"/>
    <w:rsid w:val="00F36101"/>
    <w:rsid w:val="00F47CBC"/>
    <w:rsid w:val="00F54C00"/>
    <w:rsid w:val="00F57B0C"/>
    <w:rsid w:val="00F753EA"/>
    <w:rsid w:val="00FA3AB5"/>
    <w:rsid w:val="00FB5358"/>
    <w:rsid w:val="00FB7328"/>
    <w:rsid w:val="00FC08AF"/>
    <w:rsid w:val="00FF2242"/>
    <w:rsid w:val="00FF5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C422D62-E086-420B-B76B-3D54E9B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7244B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7244B4"/>
    <w:rPr>
      <w:rFonts w:ascii="Times New Roman" w:eastAsia="Times New Roman" w:hAnsi="Times New Roman" w:cs="Times New Roman"/>
      <w:sz w:val="24"/>
      <w:szCs w:val="24"/>
      <w:lang w:val="en-US"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C08AF"/>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875D6F"/>
  </w:style>
  <w:style w:type="paragraph" w:styleId="NormalWeb">
    <w:name w:val="Normal (Web)"/>
    <w:basedOn w:val="Normal"/>
    <w:uiPriority w:val="99"/>
    <w:unhideWhenUsed/>
    <w:rsid w:val="000913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C029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E63EA-F71A-446E-9DA2-D8FBB5F6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20358</Words>
  <Characters>11605</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Ministru kabineta rīkojuma “Par Veselības ministrijas padotībā esošo valsts pārvaldes iestāžu reorganizāciju” projekta sākotnējās ietekmes novērtējuma ziņojums (anotācija)</vt:lpstr>
    </vt:vector>
  </TitlesOfParts>
  <Company>Veselības ministrija</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Veselības ministrijas padotībā esošo valsts pārvaldes iestāžu reorganizāciju” projekta sākotnējās ietekmes novērtējuma ziņojums (anotācija)</dc:title>
  <dc:subject>Anotācija</dc:subject>
  <dc:creator>Anita Jurševica, Sandra Kasparenko</dc:creator>
  <dc:description>67876186, Anita.Jursevica@vm.gov.lv_x000D_
67876147, Sandra.Kasparenko@vm.gov.lv</dc:description>
  <cp:lastModifiedBy>Lāsma Zandberga</cp:lastModifiedBy>
  <cp:revision>8</cp:revision>
  <dcterms:created xsi:type="dcterms:W3CDTF">2018-04-10T05:57:00Z</dcterms:created>
  <dcterms:modified xsi:type="dcterms:W3CDTF">2018-04-10T06:15:00Z</dcterms:modified>
</cp:coreProperties>
</file>