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rsidR="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tblPr>
      <w:tblGrid>
        <w:gridCol w:w="9356"/>
      </w:tblGrid>
      <w:tr w:rsidTr="006936E5">
        <w:tblPrEx>
          <w:tblW w:w="9356" w:type="dxa"/>
          <w:tblInd w:w="-147" w:type="dxa"/>
          <w:tblLook w:val="04A0"/>
        </w:tblPrEx>
        <w:tc>
          <w:tcPr>
            <w:tcW w:w="9356" w:type="dxa"/>
          </w:tcPr>
          <w:p w:rsidR="00EC6E12" w:rsidRPr="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Tr="006936E5">
        <w:tblPrEx>
          <w:tblW w:w="9356" w:type="dxa"/>
          <w:tblInd w:w="-147" w:type="dxa"/>
          <w:tblLook w:val="04A0"/>
        </w:tblPrEx>
        <w:tc>
          <w:tcPr>
            <w:tcW w:w="9356" w:type="dxa"/>
          </w:tcPr>
          <w:p w:rsidR="00130487" w:rsidP="00EC6E12">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tblPr>
      <w:tblGrid>
        <w:gridCol w:w="568"/>
        <w:gridCol w:w="1559"/>
        <w:gridCol w:w="7229"/>
      </w:tblGrid>
      <w:tr w:rsidTr="0079260F">
        <w:tblPrEx>
          <w:tblW w:w="9356" w:type="dxa"/>
          <w:tblInd w:w="-147" w:type="dxa"/>
          <w:tblLayout w:type="fixed"/>
          <w:tblLook w:val="04A0"/>
        </w:tblPrEx>
        <w:tc>
          <w:tcPr>
            <w:tcW w:w="9356" w:type="dxa"/>
            <w:gridSpan w:val="3"/>
          </w:tcPr>
          <w:p w:rsidR="00EC6E12" w:rsidRPr="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Tr="0079260F">
        <w:tblPrEx>
          <w:tblW w:w="9356" w:type="dxa"/>
          <w:tblInd w:w="-147" w:type="dxa"/>
          <w:tblLayout w:type="fixed"/>
          <w:tblLook w:val="04A0"/>
        </w:tblPrEx>
        <w:tc>
          <w:tcPr>
            <w:tcW w:w="568" w:type="dxa"/>
          </w:tcPr>
          <w:p w:rsidR="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79260F" w:rsidRPr="0079260F" w:rsidP="00155578">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rsidR="0079260F" w:rsidRPr="0079260F" w:rsidP="00AA4209">
            <w:pPr>
              <w:pStyle w:val="NoSpacing"/>
              <w:ind w:firstLine="311"/>
              <w:jc w:val="both"/>
              <w:rPr>
                <w:rFonts w:ascii="Times New Roman" w:hAnsi="Times New Roman" w:cs="Times New Roman"/>
                <w:sz w:val="24"/>
              </w:rPr>
            </w:pPr>
            <w:r w:rsidRPr="0079260F">
              <w:rPr>
                <w:rFonts w:ascii="Times New Roman" w:hAnsi="Times New Roman" w:cs="Times New Roman"/>
                <w:sz w:val="24"/>
              </w:rPr>
              <w:t>- Ministru kabineta 2009.gada 22.decembra noteikumu Nr.1644 „Kārtība, kādā pieprasa un izlieto budžeta programmas “Līdzekļi neparedzētiem gadījumiem” līdzekļus” 3.punktu,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rsidR="0079260F" w:rsidRPr="002549F5" w:rsidP="00AA4209">
            <w:pPr>
              <w:pStyle w:val="NoSpacing"/>
              <w:ind w:firstLine="311"/>
              <w:jc w:val="both"/>
              <w:rPr>
                <w:rFonts w:ascii="Times New Roman" w:hAnsi="Times New Roman" w:cs="Times New Roman"/>
                <w:sz w:val="24"/>
              </w:rPr>
            </w:pPr>
            <w:r w:rsidRPr="002549F5">
              <w:rPr>
                <w:rFonts w:ascii="Times New Roman" w:hAnsi="Times New Roman" w:cs="Times New Roman"/>
                <w:sz w:val="24"/>
              </w:rPr>
              <w:t>- Ministru kabineta 201</w:t>
            </w:r>
            <w:r w:rsidRPr="002549F5" w:rsidR="002549F5">
              <w:rPr>
                <w:rFonts w:ascii="Times New Roman" w:hAnsi="Times New Roman" w:cs="Times New Roman"/>
                <w:sz w:val="24"/>
              </w:rPr>
              <w:t>7</w:t>
            </w:r>
            <w:r w:rsidRPr="002549F5">
              <w:rPr>
                <w:rFonts w:ascii="Times New Roman" w:hAnsi="Times New Roman" w:cs="Times New Roman"/>
                <w:sz w:val="24"/>
              </w:rPr>
              <w:t xml:space="preserve">.gada </w:t>
            </w:r>
            <w:r w:rsidRPr="002549F5" w:rsidR="002549F5">
              <w:rPr>
                <w:rFonts w:ascii="Times New Roman" w:hAnsi="Times New Roman" w:cs="Times New Roman"/>
                <w:sz w:val="24"/>
              </w:rPr>
              <w:t>14</w:t>
            </w:r>
            <w:r w:rsidRPr="002549F5">
              <w:rPr>
                <w:rFonts w:ascii="Times New Roman" w:hAnsi="Times New Roman" w:cs="Times New Roman"/>
                <w:sz w:val="24"/>
              </w:rPr>
              <w:t xml:space="preserve">.novembra </w:t>
            </w:r>
            <w:r w:rsidR="00051EE3">
              <w:rPr>
                <w:rFonts w:ascii="Times New Roman" w:hAnsi="Times New Roman" w:cs="Times New Roman"/>
                <w:sz w:val="24"/>
              </w:rPr>
              <w:t>sēdē tika pieņemts zināšanai iesniegt</w:t>
            </w:r>
            <w:r w:rsidR="00282312">
              <w:rPr>
                <w:rFonts w:ascii="Times New Roman" w:hAnsi="Times New Roman" w:cs="Times New Roman"/>
                <w:sz w:val="24"/>
              </w:rPr>
              <w:t>ais</w:t>
            </w:r>
            <w:r w:rsidR="00051EE3">
              <w:rPr>
                <w:rFonts w:ascii="Times New Roman" w:hAnsi="Times New Roman" w:cs="Times New Roman"/>
                <w:sz w:val="24"/>
              </w:rPr>
              <w:t xml:space="preserve"> </w:t>
            </w:r>
            <w:r w:rsidRPr="00282312" w:rsidR="00282312">
              <w:rPr>
                <w:rFonts w:ascii="Times New Roman" w:hAnsi="Times New Roman" w:cs="Times New Roman"/>
                <w:sz w:val="24"/>
              </w:rPr>
              <w:t>Iekšlietu</w:t>
            </w:r>
            <w:r w:rsidRPr="00282312" w:rsidR="00282312">
              <w:rPr>
                <w:rFonts w:ascii="Times New Roman" w:hAnsi="Times New Roman" w:cs="Times New Roman"/>
                <w:sz w:val="24"/>
              </w:rPr>
              <w:t xml:space="preserve"> ministrij</w:t>
            </w:r>
            <w:r w:rsidR="00282312">
              <w:rPr>
                <w:rFonts w:ascii="Times New Roman" w:hAnsi="Times New Roman" w:cs="Times New Roman"/>
                <w:sz w:val="24"/>
              </w:rPr>
              <w:t xml:space="preserve">as </w:t>
            </w:r>
            <w:r w:rsidR="00051EE3">
              <w:rPr>
                <w:rFonts w:ascii="Times New Roman" w:hAnsi="Times New Roman" w:cs="Times New Roman"/>
                <w:sz w:val="24"/>
              </w:rPr>
              <w:t>informatīv</w:t>
            </w:r>
            <w:r w:rsidR="00282312">
              <w:rPr>
                <w:rFonts w:ascii="Times New Roman" w:hAnsi="Times New Roman" w:cs="Times New Roman"/>
                <w:sz w:val="24"/>
              </w:rPr>
              <w:t>ais</w:t>
            </w:r>
            <w:r w:rsidR="00051EE3">
              <w:rPr>
                <w:rFonts w:ascii="Times New Roman" w:hAnsi="Times New Roman" w:cs="Times New Roman"/>
                <w:sz w:val="24"/>
              </w:rPr>
              <w:t xml:space="preserve"> ziņojums</w:t>
            </w:r>
            <w:r w:rsidR="00282312">
              <w:rPr>
                <w:rFonts w:ascii="Times New Roman" w:hAnsi="Times New Roman" w:cs="Times New Roman"/>
                <w:sz w:val="24"/>
              </w:rPr>
              <w:t xml:space="preserve"> “</w:t>
            </w:r>
            <w:r w:rsidRPr="00282312" w:rsidR="00282312">
              <w:rPr>
                <w:rFonts w:ascii="Times New Roman" w:hAnsi="Times New Roman" w:cs="Times New Roman"/>
                <w:sz w:val="24"/>
              </w:rPr>
              <w:t>Par Rīcības plānā personu, kurām nepieciešama starptautiskā aizsardzība, pārvietošanai un uzņemšanai Latvijā, paredzēto pasākumu izpildi</w:t>
            </w:r>
            <w:r w:rsidR="00282312">
              <w:rPr>
                <w:rFonts w:ascii="Times New Roman" w:hAnsi="Times New Roman" w:cs="Times New Roman"/>
                <w:sz w:val="24"/>
              </w:rPr>
              <w:t>”</w:t>
            </w:r>
            <w:r w:rsidR="006B221B">
              <w:rPr>
                <w:rFonts w:ascii="Times New Roman" w:hAnsi="Times New Roman" w:cs="Times New Roman"/>
                <w:sz w:val="24"/>
              </w:rPr>
              <w:t xml:space="preserve"> (</w:t>
            </w:r>
            <w:r w:rsidRPr="002549F5" w:rsidR="006B221B">
              <w:rPr>
                <w:rFonts w:ascii="Times New Roman" w:hAnsi="Times New Roman" w:cs="Times New Roman"/>
                <w:sz w:val="24"/>
              </w:rPr>
              <w:t>prot. Nr.57 49.§</w:t>
            </w:r>
            <w:r w:rsidR="006B221B">
              <w:rPr>
                <w:rFonts w:ascii="Times New Roman" w:hAnsi="Times New Roman" w:cs="Times New Roman"/>
                <w:sz w:val="24"/>
              </w:rPr>
              <w:t xml:space="preserve"> 1</w:t>
            </w:r>
            <w:r w:rsidRPr="002549F5" w:rsidR="006B221B">
              <w:rPr>
                <w:rFonts w:ascii="Times New Roman" w:hAnsi="Times New Roman" w:cs="Times New Roman"/>
                <w:sz w:val="24"/>
              </w:rPr>
              <w:t>.punkt</w:t>
            </w:r>
            <w:r w:rsidR="006B221B">
              <w:rPr>
                <w:rFonts w:ascii="Times New Roman" w:hAnsi="Times New Roman" w:cs="Times New Roman"/>
                <w:sz w:val="24"/>
              </w:rPr>
              <w:t>s</w:t>
            </w:r>
            <w:r w:rsidR="006B221B">
              <w:rPr>
                <w:rFonts w:ascii="Times New Roman" w:hAnsi="Times New Roman" w:cs="Times New Roman"/>
                <w:sz w:val="24"/>
              </w:rPr>
              <w:t>)</w:t>
            </w:r>
            <w:r w:rsidR="00282312">
              <w:rPr>
                <w:rFonts w:ascii="Times New Roman" w:hAnsi="Times New Roman" w:cs="Times New Roman"/>
                <w:sz w:val="24"/>
              </w:rPr>
              <w:t xml:space="preserve">, kā arī </w:t>
            </w:r>
            <w:r w:rsidRPr="00282312" w:rsidR="00282312">
              <w:rPr>
                <w:rFonts w:ascii="Times New Roman" w:hAnsi="Times New Roman" w:cs="Times New Roman"/>
                <w:sz w:val="24"/>
              </w:rPr>
              <w:t>Ministru kabineta 2017.gada 14.novembra</w:t>
            </w:r>
            <w:r w:rsidR="00282312">
              <w:rPr>
                <w:rFonts w:ascii="Times New Roman" w:hAnsi="Times New Roman" w:cs="Times New Roman"/>
                <w:sz w:val="24"/>
              </w:rPr>
              <w:t xml:space="preserve"> </w:t>
            </w:r>
            <w:r w:rsidRPr="002549F5">
              <w:rPr>
                <w:rFonts w:ascii="Times New Roman" w:hAnsi="Times New Roman" w:cs="Times New Roman"/>
                <w:sz w:val="24"/>
              </w:rPr>
              <w:t xml:space="preserve">sēdes </w:t>
            </w:r>
            <w:r w:rsidRPr="002549F5">
              <w:rPr>
                <w:rFonts w:ascii="Times New Roman" w:hAnsi="Times New Roman" w:cs="Times New Roman"/>
                <w:sz w:val="24"/>
              </w:rPr>
              <w:t>protokollēmuma</w:t>
            </w:r>
            <w:r w:rsidRPr="002549F5">
              <w:rPr>
                <w:rFonts w:ascii="Times New Roman" w:hAnsi="Times New Roman" w:cs="Times New Roman"/>
                <w:sz w:val="24"/>
              </w:rPr>
              <w:t xml:space="preserve"> (prot. Nr.57 </w:t>
            </w:r>
            <w:r w:rsidRPr="002549F5" w:rsidR="002549F5">
              <w:rPr>
                <w:rFonts w:ascii="Times New Roman" w:hAnsi="Times New Roman" w:cs="Times New Roman"/>
                <w:sz w:val="24"/>
              </w:rPr>
              <w:t>49</w:t>
            </w:r>
            <w:r w:rsidRPr="002549F5">
              <w:rPr>
                <w:rFonts w:ascii="Times New Roman" w:hAnsi="Times New Roman" w:cs="Times New Roman"/>
                <w:sz w:val="24"/>
              </w:rPr>
              <w:t xml:space="preserve">.§) </w:t>
            </w:r>
            <w:r w:rsidRPr="002549F5" w:rsidR="002549F5">
              <w:rPr>
                <w:rFonts w:ascii="Times New Roman" w:hAnsi="Times New Roman" w:cs="Times New Roman"/>
                <w:sz w:val="24"/>
              </w:rPr>
              <w:t>2</w:t>
            </w:r>
            <w:r w:rsidRPr="002549F5">
              <w:rPr>
                <w:rFonts w:ascii="Times New Roman" w:hAnsi="Times New Roman" w:cs="Times New Roman"/>
                <w:sz w:val="24"/>
              </w:rPr>
              <w:t>.</w:t>
            </w:r>
            <w:r w:rsidRPr="002549F5" w:rsidR="002549F5">
              <w:rPr>
                <w:rFonts w:ascii="Times New Roman" w:hAnsi="Times New Roman" w:cs="Times New Roman"/>
                <w:sz w:val="24"/>
              </w:rPr>
              <w:t>p</w:t>
            </w:r>
            <w:r w:rsidRPr="002549F5">
              <w:rPr>
                <w:rFonts w:ascii="Times New Roman" w:hAnsi="Times New Roman" w:cs="Times New Roman"/>
                <w:sz w:val="24"/>
              </w:rPr>
              <w:t>unkt</w:t>
            </w:r>
            <w:r w:rsidR="00282312">
              <w:rPr>
                <w:rFonts w:ascii="Times New Roman" w:hAnsi="Times New Roman" w:cs="Times New Roman"/>
                <w:sz w:val="24"/>
              </w:rPr>
              <w:t>s</w:t>
            </w:r>
            <w:r w:rsidRPr="002549F5">
              <w:rPr>
                <w:rFonts w:ascii="Times New Roman" w:hAnsi="Times New Roman" w:cs="Times New Roman"/>
                <w:sz w:val="24"/>
              </w:rPr>
              <w:t xml:space="preserve"> nosaka, ka </w:t>
            </w:r>
            <w:r w:rsidRPr="002549F5" w:rsidR="002549F5">
              <w:rPr>
                <w:rFonts w:ascii="Times New Roman" w:hAnsi="Times New Roman" w:cs="Times New Roman"/>
                <w:sz w:val="24"/>
              </w:rPr>
              <w:t xml:space="preserve">Rīcības plāna izpildē iesaistītajām institūcijām turpināt plānā paredzēto uzdevumu izpildi to pamatfunkciju izpildei, kā arī Eiropas Savienības fondu un projektu īstenošanai piešķirtā finansējuma ietvaros, nepieciešamības gadījumā sagatavojot un noteiktajā kārtībā virzot finansējuma pieprasījumu no valsts budžeta programmas 02.00.00 </w:t>
            </w:r>
            <w:r w:rsidR="00DF776E">
              <w:rPr>
                <w:rFonts w:ascii="Times New Roman" w:hAnsi="Times New Roman" w:cs="Times New Roman"/>
                <w:sz w:val="24"/>
              </w:rPr>
              <w:t>“</w:t>
            </w:r>
            <w:r w:rsidRPr="002549F5" w:rsidR="002549F5">
              <w:rPr>
                <w:rFonts w:ascii="Times New Roman" w:hAnsi="Times New Roman" w:cs="Times New Roman"/>
                <w:sz w:val="24"/>
              </w:rPr>
              <w:t>Līdzekļi neparedzētiem</w:t>
            </w:r>
            <w:r w:rsidR="00DF776E">
              <w:rPr>
                <w:rFonts w:ascii="Times New Roman" w:hAnsi="Times New Roman" w:cs="Times New Roman"/>
                <w:sz w:val="24"/>
              </w:rPr>
              <w:t xml:space="preserve"> gadījumiem”</w:t>
            </w:r>
            <w:r w:rsidRPr="002549F5" w:rsidR="002549F5">
              <w:rPr>
                <w:rFonts w:ascii="Times New Roman" w:hAnsi="Times New Roman" w:cs="Times New Roman"/>
                <w:sz w:val="24"/>
              </w:rPr>
              <w:t>, kurā ir atspoguļots detalizēts nepieciešamā finansējuma aprēķins un tā nepieciešamības pamatojums</w:t>
            </w:r>
            <w:r w:rsidRPr="002549F5">
              <w:rPr>
                <w:rFonts w:ascii="Times New Roman" w:hAnsi="Times New Roman" w:cs="Times New Roman"/>
                <w:sz w:val="24"/>
              </w:rPr>
              <w:t>;</w:t>
            </w:r>
          </w:p>
          <w:p w:rsidR="00130487" w:rsidRPr="009E47B9" w:rsidP="00AA4209">
            <w:pPr>
              <w:pStyle w:val="NoSpacing"/>
              <w:ind w:firstLine="311"/>
              <w:jc w:val="both"/>
              <w:rPr>
                <w:rFonts w:ascii="Times New Roman" w:hAnsi="Times New Roman" w:cs="Times New Roman"/>
                <w:sz w:val="24"/>
                <w:szCs w:val="24"/>
                <w:lang w:eastAsia="lv-LV"/>
              </w:rPr>
            </w:pPr>
            <w:r w:rsidRPr="002549F5">
              <w:rPr>
                <w:rFonts w:ascii="Times New Roman" w:hAnsi="Times New Roman" w:cs="Times New Roman"/>
                <w:sz w:val="24"/>
              </w:rPr>
              <w:t>- Ministru kabineta 2</w:t>
            </w:r>
            <w:bookmarkStart w:id="0" w:name="_GoBack"/>
            <w:bookmarkEnd w:id="0"/>
            <w:r w:rsidRPr="002549F5">
              <w:rPr>
                <w:rFonts w:ascii="Times New Roman" w:hAnsi="Times New Roman" w:cs="Times New Roman"/>
                <w:sz w:val="24"/>
              </w:rPr>
              <w:t>015.gada 2.decembra rīkojumu Nr.759 „Rīcības plāns personu, kurām nepieciešama starptautiskā aizsardzība, pārvietošanai un uzņemšanai Latvijā” kurā noteikts, ka apstiprināt Rīcības plānu personu, kurām nepieciešama starptautiskā aizsardzība, pārvietošanai un uzņemšanai Latvijā (turpmāk - plāns) un plānā minētajām atbildīgajām institūcijām nodrošināt plānā paredzēto pasākumu īstenošanu noteiktajos termiņos.</w:t>
            </w:r>
          </w:p>
        </w:tc>
      </w:tr>
      <w:tr w:rsidTr="0079260F">
        <w:tblPrEx>
          <w:tblW w:w="9356" w:type="dxa"/>
          <w:tblInd w:w="-147" w:type="dxa"/>
          <w:tblLayout w:type="fixed"/>
          <w:tblLook w:val="04A0"/>
        </w:tblPrEx>
        <w:tc>
          <w:tcPr>
            <w:tcW w:w="568" w:type="dxa"/>
          </w:tcPr>
          <w:p w:rsidR="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Pašreizējā situācija un problēmas, kuru risināšanai tiesību akta projekts izstrādāts, tiesiskā regulējuma </w:t>
            </w:r>
            <w:r w:rsidRPr="00EC6E12">
              <w:rPr>
                <w:rFonts w:ascii="Times New Roman" w:hAnsi="Times New Roman" w:cs="Times New Roman"/>
                <w:iCs/>
                <w:sz w:val="24"/>
                <w:szCs w:val="24"/>
                <w:lang w:eastAsia="lv-LV"/>
              </w:rPr>
              <w:t>mērķis un būtība</w:t>
            </w:r>
          </w:p>
          <w:p w:rsidR="0079260F" w:rsidRPr="00152501" w:rsidP="00152501">
            <w:pPr>
              <w:jc w:val="center"/>
            </w:pPr>
          </w:p>
        </w:tc>
        <w:tc>
          <w:tcPr>
            <w:tcW w:w="7229" w:type="dxa"/>
          </w:tcPr>
          <w:p w:rsidR="0079260F" w:rsidRPr="003523F6" w:rsidP="00155578">
            <w:pPr>
              <w:shd w:val="clear" w:color="auto" w:fill="FFFFFF"/>
              <w:ind w:firstLine="311"/>
              <w:jc w:val="both"/>
              <w:rPr>
                <w:kern w:val="1"/>
                <w:lang w:eastAsia="ar-SA"/>
              </w:rPr>
            </w:pPr>
            <w:r w:rsidRPr="003523F6">
              <w:rPr>
                <w:kern w:val="1"/>
                <w:lang w:eastAsia="ar-SA"/>
              </w:rPr>
              <w:t>A</w:t>
            </w:r>
            <w:r w:rsidR="002549F5">
              <w:rPr>
                <w:kern w:val="1"/>
                <w:lang w:eastAsia="ar-SA"/>
              </w:rPr>
              <w:t xml:space="preserve">tbilstoši </w:t>
            </w:r>
            <w:r w:rsidRPr="002549F5" w:rsidR="002549F5">
              <w:rPr>
                <w:kern w:val="1"/>
                <w:lang w:eastAsia="ar-SA"/>
              </w:rPr>
              <w:t>Ministru kabineta 2017</w:t>
            </w:r>
            <w:r w:rsidRPr="002549F5">
              <w:rPr>
                <w:kern w:val="1"/>
                <w:lang w:eastAsia="ar-SA"/>
              </w:rPr>
              <w:t xml:space="preserve">.gada </w:t>
            </w:r>
            <w:r w:rsidRPr="002549F5" w:rsidR="002549F5">
              <w:rPr>
                <w:kern w:val="1"/>
                <w:lang w:eastAsia="ar-SA"/>
              </w:rPr>
              <w:t>14</w:t>
            </w:r>
            <w:r w:rsidRPr="002549F5">
              <w:rPr>
                <w:kern w:val="1"/>
                <w:lang w:eastAsia="ar-SA"/>
              </w:rPr>
              <w:t xml:space="preserve">.novembra sēdes </w:t>
            </w:r>
            <w:r w:rsidRPr="002549F5">
              <w:rPr>
                <w:kern w:val="1"/>
                <w:lang w:eastAsia="ar-SA"/>
              </w:rPr>
              <w:t>protokollēmuma</w:t>
            </w:r>
            <w:r w:rsidRPr="002549F5">
              <w:rPr>
                <w:kern w:val="1"/>
                <w:lang w:eastAsia="ar-SA"/>
              </w:rPr>
              <w:t xml:space="preserve"> (prot. Nr.57 </w:t>
            </w:r>
            <w:r w:rsidRPr="002549F5" w:rsidR="002549F5">
              <w:rPr>
                <w:kern w:val="1"/>
                <w:lang w:eastAsia="ar-SA"/>
              </w:rPr>
              <w:t>49</w:t>
            </w:r>
            <w:r w:rsidRPr="002549F5">
              <w:rPr>
                <w:kern w:val="1"/>
                <w:lang w:eastAsia="ar-SA"/>
              </w:rPr>
              <w:t xml:space="preserve">.§) </w:t>
            </w:r>
            <w:r w:rsidRPr="002549F5" w:rsidR="002549F5">
              <w:rPr>
                <w:kern w:val="1"/>
                <w:lang w:eastAsia="ar-SA"/>
              </w:rPr>
              <w:t>2</w:t>
            </w:r>
            <w:r w:rsidRPr="002549F5">
              <w:rPr>
                <w:kern w:val="1"/>
                <w:lang w:eastAsia="ar-SA"/>
              </w:rPr>
              <w:t xml:space="preserve">. punktā noteiktajam, </w:t>
            </w:r>
            <w:r w:rsidRPr="002549F5">
              <w:t xml:space="preserve">Ministru kabineta 2015.gada 2.decembra rīkojumam Nr.759 </w:t>
            </w:r>
            <w:r w:rsidRPr="002549F5">
              <w:rPr>
                <w:bCs/>
                <w:kern w:val="1"/>
                <w:lang w:eastAsia="ar-SA"/>
              </w:rPr>
              <w:t>“</w:t>
            </w:r>
            <w:r w:rsidRPr="002549F5">
              <w:t xml:space="preserve">Rīcības plāns personu, kurām nepieciešama starptautiskā </w:t>
            </w:r>
            <w:r w:rsidRPr="003523F6">
              <w:t xml:space="preserve">aizsardzība, pārvietošanai un uzņemšanai Latvijā”, </w:t>
            </w:r>
            <w:r w:rsidRPr="003523F6">
              <w:rPr>
                <w:kern w:val="1"/>
                <w:lang w:eastAsia="ar-SA"/>
              </w:rPr>
              <w:t xml:space="preserve">un, lai nodrošinātu neatliekamo medicīnisko palīdzību, kā arī primārās, sekundārās un ambulatorās veselības aprūpi personām, kurām nepieciešama starptautiskā aizsardzība, pārvietošanai un uzņemšanai Latvijā (turpmāk – patvēruma meklētāji), ir iesaistītas divas  </w:t>
            </w:r>
            <w:bookmarkStart w:id="1" w:name="nvd"/>
            <w:bookmarkEnd w:id="1"/>
            <w:r w:rsidRPr="003523F6">
              <w:rPr>
                <w:rFonts w:eastAsia="Calibri"/>
                <w:lang w:eastAsia="en-US"/>
              </w:rPr>
              <w:t>Veselības ministrijas padotības iestādes –</w:t>
            </w:r>
            <w:r w:rsidRPr="003523F6">
              <w:rPr>
                <w:bCs/>
                <w:kern w:val="1"/>
                <w:lang w:eastAsia="ar-SA"/>
              </w:rPr>
              <w:t xml:space="preserve"> Nacionālais veselības dienests </w:t>
            </w:r>
            <w:r w:rsidRPr="003523F6">
              <w:rPr>
                <w:rFonts w:eastAsia="Calibri"/>
                <w:lang w:eastAsia="en-US"/>
              </w:rPr>
              <w:t xml:space="preserve">(turpmāk - NVD) </w:t>
            </w:r>
            <w:r w:rsidRPr="003523F6">
              <w:rPr>
                <w:bCs/>
                <w:kern w:val="1"/>
                <w:lang w:eastAsia="ar-SA"/>
              </w:rPr>
              <w:t xml:space="preserve">un </w:t>
            </w:r>
            <w:bookmarkStart w:id="2" w:name="nmpd"/>
            <w:bookmarkEnd w:id="2"/>
            <w:r w:rsidRPr="003523F6">
              <w:rPr>
                <w:bCs/>
                <w:kern w:val="1"/>
                <w:lang w:eastAsia="ar-SA"/>
              </w:rPr>
              <w:t>Neatliekamās medicīniskās palīdzības dienests (</w:t>
            </w:r>
            <w:r w:rsidRPr="003523F6">
              <w:rPr>
                <w:rFonts w:eastAsia="Calibri"/>
                <w:lang w:eastAsia="en-US"/>
              </w:rPr>
              <w:t>turpmāk - NMPD</w:t>
            </w:r>
            <w:r w:rsidRPr="003523F6">
              <w:rPr>
                <w:bCs/>
                <w:kern w:val="1"/>
                <w:lang w:eastAsia="ar-SA"/>
              </w:rPr>
              <w:t>).</w:t>
            </w:r>
          </w:p>
          <w:p w:rsidR="0079260F" w:rsidP="00155578">
            <w:pPr>
              <w:shd w:val="clear" w:color="auto" w:fill="FFFFFF"/>
              <w:ind w:right="39" w:firstLine="311"/>
              <w:jc w:val="both"/>
              <w:rPr>
                <w:bCs/>
                <w:kern w:val="1"/>
                <w:lang w:eastAsia="ar-SA"/>
              </w:rPr>
            </w:pPr>
            <w:r w:rsidRPr="003523F6">
              <w:rPr>
                <w:bCs/>
                <w:kern w:val="1"/>
                <w:lang w:eastAsia="ar-SA"/>
              </w:rPr>
              <w:t>Ar Ministru kabineta 201</w:t>
            </w:r>
            <w:r>
              <w:rPr>
                <w:bCs/>
                <w:kern w:val="1"/>
                <w:lang w:eastAsia="ar-SA"/>
              </w:rPr>
              <w:t>7</w:t>
            </w:r>
            <w:r w:rsidRPr="003523F6">
              <w:rPr>
                <w:bCs/>
                <w:kern w:val="1"/>
                <w:lang w:eastAsia="ar-SA"/>
              </w:rPr>
              <w:t xml:space="preserve">.gada </w:t>
            </w:r>
            <w:r>
              <w:rPr>
                <w:bCs/>
                <w:kern w:val="1"/>
                <w:lang w:eastAsia="ar-SA"/>
              </w:rPr>
              <w:t>5</w:t>
            </w:r>
            <w:r w:rsidRPr="003523F6">
              <w:rPr>
                <w:bCs/>
                <w:kern w:val="1"/>
                <w:lang w:eastAsia="ar-SA"/>
              </w:rPr>
              <w:t>.</w:t>
            </w:r>
            <w:r>
              <w:rPr>
                <w:bCs/>
                <w:kern w:val="1"/>
                <w:lang w:eastAsia="ar-SA"/>
              </w:rPr>
              <w:t>jūlija</w:t>
            </w:r>
            <w:r w:rsidRPr="003523F6">
              <w:rPr>
                <w:bCs/>
                <w:kern w:val="1"/>
                <w:lang w:eastAsia="ar-SA"/>
              </w:rPr>
              <w:t xml:space="preserve"> rīkojumu Nr.</w:t>
            </w:r>
            <w:r>
              <w:rPr>
                <w:bCs/>
                <w:kern w:val="1"/>
                <w:lang w:eastAsia="ar-SA"/>
              </w:rPr>
              <w:t>344 (prot. Nr.33 36.</w:t>
            </w:r>
            <w:r w:rsidRPr="00C863E1">
              <w:rPr>
                <w:bCs/>
                <w:kern w:val="1"/>
                <w:lang w:eastAsia="ar-SA"/>
              </w:rPr>
              <w:t>§)</w:t>
            </w:r>
            <w:r w:rsidRPr="003523F6">
              <w:rPr>
                <w:bCs/>
                <w:kern w:val="1"/>
                <w:lang w:eastAsia="ar-SA"/>
              </w:rPr>
              <w:t xml:space="preserve"> “Par finanšu līdzekļu piešķiršanu no valsts budžeta programmas “Līdzekļi neparedzētiem gadījumiem”” no valsts budžeta programmas </w:t>
            </w:r>
            <w:smartTag w:uri="schemas-tilde-lv/tildestengine" w:element="date">
              <w:smartTagPr>
                <w:attr w:name="Day" w:val="30"/>
                <w:attr w:name="Month" w:val="11"/>
                <w:attr w:name="Year" w:val="2001"/>
              </w:smartTagPr>
              <w:r w:rsidRPr="003523F6">
                <w:rPr>
                  <w:bCs/>
                  <w:kern w:val="1"/>
                  <w:lang w:eastAsia="ar-SA"/>
                </w:rPr>
                <w:t>02.00.00</w:t>
              </w:r>
            </w:smartTag>
            <w:r w:rsidRPr="003523F6">
              <w:rPr>
                <w:bCs/>
                <w:kern w:val="1"/>
                <w:lang w:eastAsia="ar-SA"/>
              </w:rPr>
              <w:t xml:space="preserve"> “Līdzekļi neparedzētiem gadījumiem” Veselības ministrijai tika piešķirti </w:t>
            </w:r>
            <w:r>
              <w:rPr>
                <w:bCs/>
                <w:kern w:val="1"/>
                <w:lang w:eastAsia="ar-SA"/>
              </w:rPr>
              <w:t>17 447</w:t>
            </w:r>
            <w:r w:rsidRPr="001545F3">
              <w:rPr>
                <w:bCs/>
                <w:kern w:val="1"/>
                <w:lang w:eastAsia="ar-SA"/>
              </w:rPr>
              <w:t> </w:t>
            </w:r>
            <w:r w:rsidRPr="001545F3">
              <w:rPr>
                <w:bCs/>
                <w:i/>
                <w:kern w:val="1"/>
                <w:lang w:eastAsia="ar-SA"/>
              </w:rPr>
              <w:t>euro</w:t>
            </w:r>
            <w:r w:rsidRPr="001545F3">
              <w:rPr>
                <w:bCs/>
                <w:kern w:val="1"/>
                <w:lang w:eastAsia="ar-SA"/>
              </w:rPr>
              <w:t>,</w:t>
            </w:r>
            <w:r w:rsidRPr="003523F6">
              <w:rPr>
                <w:bCs/>
                <w:kern w:val="1"/>
                <w:lang w:eastAsia="ar-SA"/>
              </w:rPr>
              <w:t xml:space="preserve"> tai skaitā: 1</w:t>
            </w:r>
            <w:r>
              <w:rPr>
                <w:bCs/>
                <w:kern w:val="1"/>
                <w:lang w:eastAsia="ar-SA"/>
              </w:rPr>
              <w:t>2</w:t>
            </w:r>
            <w:r w:rsidRPr="003523F6">
              <w:rPr>
                <w:bCs/>
                <w:kern w:val="1"/>
                <w:lang w:eastAsia="ar-SA"/>
              </w:rPr>
              <w:t> </w:t>
            </w:r>
            <w:r>
              <w:rPr>
                <w:bCs/>
                <w:kern w:val="1"/>
                <w:lang w:eastAsia="ar-SA"/>
              </w:rPr>
              <w:t>247</w:t>
            </w:r>
            <w:r w:rsidRPr="003523F6">
              <w:rPr>
                <w:bCs/>
                <w:kern w:val="1"/>
                <w:lang w:eastAsia="ar-SA"/>
              </w:rPr>
              <w:t> </w:t>
            </w:r>
            <w:r w:rsidRPr="003523F6">
              <w:rPr>
                <w:bCs/>
                <w:i/>
                <w:kern w:val="1"/>
                <w:lang w:eastAsia="ar-SA"/>
              </w:rPr>
              <w:t>euro</w:t>
            </w:r>
            <w:r w:rsidRPr="003523F6">
              <w:rPr>
                <w:bCs/>
                <w:kern w:val="1"/>
                <w:lang w:eastAsia="ar-SA"/>
              </w:rPr>
              <w:t xml:space="preserve">, lai NVD segtu izdevumus, kas radušies laikposmā no </w:t>
            </w:r>
            <w:r w:rsidRPr="00C863E1">
              <w:rPr>
                <w:bCs/>
                <w:kern w:val="1"/>
                <w:lang w:eastAsia="ar-SA"/>
              </w:rPr>
              <w:t xml:space="preserve">2017.gada 1.janvāra līdz 2017.gada 30.aprīlim </w:t>
            </w:r>
            <w:r w:rsidRPr="003523F6">
              <w:rPr>
                <w:bCs/>
                <w:kern w:val="1"/>
                <w:lang w:eastAsia="ar-SA"/>
              </w:rPr>
              <w:t xml:space="preserve">saistībā ar patvēruma meklētāju ārstēšanu Latvijas ārstniecības iestādēs; </w:t>
            </w:r>
            <w:r>
              <w:rPr>
                <w:bCs/>
                <w:kern w:val="1"/>
                <w:lang w:eastAsia="ar-SA"/>
              </w:rPr>
              <w:t>5 200</w:t>
            </w:r>
            <w:r w:rsidRPr="003523F6">
              <w:rPr>
                <w:bCs/>
                <w:kern w:val="1"/>
                <w:lang w:eastAsia="ar-SA"/>
              </w:rPr>
              <w:t xml:space="preserve"> </w:t>
            </w:r>
            <w:r w:rsidRPr="003523F6">
              <w:rPr>
                <w:bCs/>
                <w:i/>
                <w:kern w:val="1"/>
                <w:lang w:eastAsia="ar-SA"/>
              </w:rPr>
              <w:t>euro</w:t>
            </w:r>
            <w:r w:rsidRPr="003523F6">
              <w:rPr>
                <w:bCs/>
                <w:kern w:val="1"/>
                <w:lang w:eastAsia="ar-SA"/>
              </w:rPr>
              <w:t xml:space="preserve">, lai NMPD segtu izdevumus, kas radušies laikposmā no </w:t>
            </w:r>
            <w:r w:rsidRPr="00C863E1">
              <w:rPr>
                <w:bCs/>
                <w:kern w:val="1"/>
                <w:lang w:eastAsia="ar-SA"/>
              </w:rPr>
              <w:t>2017.gada 1.janvāra līdz 2017.gada 31.maijam</w:t>
            </w:r>
            <w:r w:rsidRPr="003523F6">
              <w:rPr>
                <w:bCs/>
                <w:kern w:val="1"/>
                <w:lang w:eastAsia="ar-SA"/>
              </w:rPr>
              <w:t xml:space="preserve"> saistībā ar </w:t>
            </w:r>
            <w:r>
              <w:rPr>
                <w:bCs/>
                <w:kern w:val="1"/>
                <w:lang w:eastAsia="ar-SA"/>
              </w:rPr>
              <w:t>4</w:t>
            </w:r>
            <w:r w:rsidRPr="003523F6">
              <w:rPr>
                <w:bCs/>
                <w:kern w:val="1"/>
                <w:lang w:eastAsia="ar-SA"/>
              </w:rPr>
              <w:t>8 izsaukumiem pie patvēruma meklētājiem.</w:t>
            </w:r>
          </w:p>
          <w:p w:rsidR="00B67377" w:rsidP="00155578">
            <w:pPr>
              <w:shd w:val="clear" w:color="auto" w:fill="FFFFFF"/>
              <w:ind w:right="39" w:firstLine="311"/>
              <w:jc w:val="both"/>
              <w:rPr>
                <w:bCs/>
                <w:kern w:val="1"/>
                <w:lang w:eastAsia="ar-SA"/>
              </w:rPr>
            </w:pPr>
            <w:r w:rsidRPr="00B67377">
              <w:rPr>
                <w:bCs/>
                <w:kern w:val="1"/>
                <w:lang w:eastAsia="ar-SA"/>
              </w:rPr>
              <w:t xml:space="preserve">Ar Ministru kabineta 2017.gada </w:t>
            </w:r>
            <w:r>
              <w:rPr>
                <w:bCs/>
                <w:kern w:val="1"/>
                <w:lang w:eastAsia="ar-SA"/>
              </w:rPr>
              <w:t>1</w:t>
            </w:r>
            <w:r w:rsidRPr="00B67377">
              <w:rPr>
                <w:bCs/>
                <w:kern w:val="1"/>
                <w:lang w:eastAsia="ar-SA"/>
              </w:rPr>
              <w:t>5.</w:t>
            </w:r>
            <w:r>
              <w:rPr>
                <w:bCs/>
                <w:kern w:val="1"/>
                <w:lang w:eastAsia="ar-SA"/>
              </w:rPr>
              <w:t>novembra</w:t>
            </w:r>
            <w:r w:rsidRPr="00B67377">
              <w:rPr>
                <w:bCs/>
                <w:kern w:val="1"/>
                <w:lang w:eastAsia="ar-SA"/>
              </w:rPr>
              <w:t xml:space="preserve"> rīkojumu Nr.</w:t>
            </w:r>
            <w:r>
              <w:rPr>
                <w:bCs/>
                <w:kern w:val="1"/>
                <w:lang w:eastAsia="ar-SA"/>
              </w:rPr>
              <w:t>676</w:t>
            </w:r>
            <w:r w:rsidRPr="00B67377">
              <w:rPr>
                <w:bCs/>
                <w:kern w:val="1"/>
                <w:lang w:eastAsia="ar-SA"/>
              </w:rPr>
              <w:t xml:space="preserve"> (prot. Nr.</w:t>
            </w:r>
            <w:r>
              <w:rPr>
                <w:bCs/>
                <w:kern w:val="1"/>
                <w:lang w:eastAsia="ar-SA"/>
              </w:rPr>
              <w:t>57 39</w:t>
            </w:r>
            <w:r w:rsidRPr="00B67377">
              <w:rPr>
                <w:bCs/>
                <w:kern w:val="1"/>
                <w:lang w:eastAsia="ar-SA"/>
              </w:rPr>
              <w:t xml:space="preserve">.§) “Par finanšu līdzekļu piešķiršanu no valsts budžeta programmas “Līdzekļi neparedzētiem gadījumiem”” no valsts budžeta programmas 02.00.00 “Līdzekļi neparedzētiem gadījumiem” Veselības ministrijai tika piešķirti 18 471  </w:t>
            </w:r>
            <w:r w:rsidRPr="00B67377">
              <w:rPr>
                <w:bCs/>
                <w:i/>
                <w:kern w:val="1"/>
                <w:lang w:eastAsia="ar-SA"/>
              </w:rPr>
              <w:t>euro</w:t>
            </w:r>
            <w:r w:rsidRPr="00B67377">
              <w:rPr>
                <w:bCs/>
                <w:kern w:val="1"/>
                <w:lang w:eastAsia="ar-SA"/>
              </w:rPr>
              <w:t xml:space="preserve">, tai skaitā: 15 546 </w:t>
            </w:r>
            <w:r w:rsidRPr="00B67377">
              <w:rPr>
                <w:bCs/>
                <w:i/>
                <w:kern w:val="1"/>
                <w:lang w:eastAsia="ar-SA"/>
              </w:rPr>
              <w:t>euro</w:t>
            </w:r>
            <w:r w:rsidRPr="00B67377">
              <w:rPr>
                <w:bCs/>
                <w:kern w:val="1"/>
                <w:lang w:eastAsia="ar-SA"/>
              </w:rPr>
              <w:t xml:space="preserve">, lai NVD segtu izdevumus, kas radušies laikposmā no 2017.gada 1.maija līdz 2017.gada 30.septembrim saistībā ar patvēruma meklētāju ārstēšanu Latvijas ārstniecības iestādēs; </w:t>
            </w:r>
            <w:r>
              <w:rPr>
                <w:bCs/>
                <w:kern w:val="1"/>
                <w:lang w:eastAsia="ar-SA"/>
              </w:rPr>
              <w:t>2 925</w:t>
            </w:r>
            <w:r w:rsidRPr="00B67377">
              <w:rPr>
                <w:bCs/>
                <w:kern w:val="1"/>
                <w:lang w:eastAsia="ar-SA"/>
              </w:rPr>
              <w:t xml:space="preserve"> </w:t>
            </w:r>
            <w:r w:rsidRPr="00B67377">
              <w:rPr>
                <w:bCs/>
                <w:i/>
                <w:kern w:val="1"/>
                <w:lang w:eastAsia="ar-SA"/>
              </w:rPr>
              <w:t>euro</w:t>
            </w:r>
            <w:r w:rsidRPr="00B67377">
              <w:rPr>
                <w:bCs/>
                <w:kern w:val="1"/>
                <w:lang w:eastAsia="ar-SA"/>
              </w:rPr>
              <w:t>, lai NMPD segtu izdevumus, kas radušies laikposmā no 2017.gada 1.jūnija līdz 2017.gada 30.septembrim saistībā ar 27 izsaukumiem pie patvēruma meklētājiem.</w:t>
            </w:r>
          </w:p>
          <w:p w:rsidR="00B67377" w:rsidRPr="00B67377" w:rsidP="00B67377">
            <w:pPr>
              <w:shd w:val="clear" w:color="auto" w:fill="FFFFFF"/>
              <w:ind w:right="39" w:firstLine="311"/>
              <w:jc w:val="both"/>
              <w:rPr>
                <w:bCs/>
                <w:kern w:val="1"/>
                <w:lang w:eastAsia="ar-SA"/>
              </w:rPr>
            </w:pPr>
          </w:p>
          <w:p w:rsidR="0079260F" w:rsidRPr="000B7351" w:rsidP="00B67377">
            <w:pPr>
              <w:ind w:firstLine="311"/>
              <w:jc w:val="both"/>
            </w:pPr>
            <w:r>
              <w:rPr>
                <w:kern w:val="1"/>
                <w:lang w:eastAsia="ar-SA"/>
              </w:rPr>
              <w:t>N</w:t>
            </w:r>
            <w:r w:rsidRPr="003523F6">
              <w:rPr>
                <w:kern w:val="1"/>
                <w:lang w:eastAsia="ar-SA"/>
              </w:rPr>
              <w:t xml:space="preserve">eatliekamā medicīniskā palīdzība, kā arī primārā, sekundārā un ambulatorā veselības aprūpe </w:t>
            </w:r>
            <w:r w:rsidRPr="003523F6">
              <w:rPr>
                <w:b/>
                <w:kern w:val="1"/>
                <w:lang w:eastAsia="ar-SA"/>
              </w:rPr>
              <w:t>patvēruma meklētājiem</w:t>
            </w:r>
            <w:r w:rsidR="00681F74">
              <w:rPr>
                <w:b/>
                <w:kern w:val="1"/>
                <w:lang w:eastAsia="ar-SA"/>
              </w:rPr>
              <w:t>,</w:t>
            </w:r>
            <w:r w:rsidR="001B6C59">
              <w:rPr>
                <w:b/>
                <w:kern w:val="1"/>
                <w:lang w:eastAsia="ar-SA"/>
              </w:rPr>
              <w:t xml:space="preserve"> </w:t>
            </w:r>
            <w:r w:rsidRPr="000B7351" w:rsidR="001B6C59">
              <w:t xml:space="preserve">laikposmā no </w:t>
            </w:r>
            <w:r w:rsidRPr="003523F6" w:rsidR="001B6C59">
              <w:t>201</w:t>
            </w:r>
            <w:r w:rsidR="001B6C59">
              <w:t>7</w:t>
            </w:r>
            <w:r w:rsidRPr="003523F6" w:rsidR="001B6C59">
              <w:t>.gada</w:t>
            </w:r>
            <w:r w:rsidR="001B6C59">
              <w:t xml:space="preserve"> </w:t>
            </w:r>
            <w:r w:rsidRPr="000B7351" w:rsidR="001B6C59">
              <w:t>1</w:t>
            </w:r>
            <w:r w:rsidR="001B6C59">
              <w:t>.oktobra līdz 2017.gada 31.decembim</w:t>
            </w:r>
            <w:r w:rsidRPr="003523F6">
              <w:rPr>
                <w:kern w:val="1"/>
                <w:lang w:eastAsia="ar-SA"/>
              </w:rPr>
              <w:t xml:space="preserve">, </w:t>
            </w:r>
            <w:r>
              <w:rPr>
                <w:kern w:val="1"/>
                <w:lang w:eastAsia="ar-SA"/>
              </w:rPr>
              <w:t>t</w:t>
            </w:r>
            <w:r w:rsidRPr="003523F6">
              <w:rPr>
                <w:rFonts w:eastAsia="Calibri"/>
                <w:lang w:eastAsia="en-US"/>
              </w:rPr>
              <w:t>ika nodrošināt</w:t>
            </w:r>
            <w:r w:rsidR="00681F74">
              <w:rPr>
                <w:rFonts w:eastAsia="Calibri"/>
                <w:lang w:eastAsia="en-US"/>
              </w:rPr>
              <w:t xml:space="preserve">a </w:t>
            </w:r>
            <w:r w:rsidRPr="003523F6">
              <w:rPr>
                <w:kern w:val="1"/>
                <w:lang w:eastAsia="ar-SA"/>
              </w:rPr>
              <w:t xml:space="preserve">atbilstoši </w:t>
            </w:r>
            <w:r w:rsidRPr="003523F6">
              <w:rPr>
                <w:b/>
                <w:kern w:val="1"/>
                <w:lang w:eastAsia="ar-SA"/>
              </w:rPr>
              <w:t xml:space="preserve">faktiskajiem </w:t>
            </w:r>
            <w:r w:rsidRPr="00B52623">
              <w:rPr>
                <w:b/>
                <w:kern w:val="1"/>
                <w:lang w:eastAsia="ar-SA"/>
              </w:rPr>
              <w:t>izdevumiem</w:t>
            </w:r>
            <w:r w:rsidRPr="00B52623">
              <w:rPr>
                <w:kern w:val="1"/>
                <w:lang w:eastAsia="ar-SA"/>
              </w:rPr>
              <w:t xml:space="preserve">  </w:t>
            </w:r>
            <w:r w:rsidR="005F7BA4">
              <w:rPr>
                <w:b/>
                <w:kern w:val="1"/>
                <w:lang w:eastAsia="ar-SA"/>
              </w:rPr>
              <w:t>7 007</w:t>
            </w:r>
            <w:r w:rsidRPr="000B7351">
              <w:rPr>
                <w:kern w:val="1"/>
                <w:lang w:eastAsia="ar-SA"/>
              </w:rPr>
              <w:t xml:space="preserve"> </w:t>
            </w:r>
            <w:r w:rsidRPr="000B7351">
              <w:rPr>
                <w:b/>
                <w:i/>
                <w:kern w:val="1"/>
                <w:lang w:eastAsia="ar-SA"/>
              </w:rPr>
              <w:t>euro</w:t>
            </w:r>
            <w:r w:rsidRPr="000B7351">
              <w:rPr>
                <w:kern w:val="1"/>
                <w:lang w:eastAsia="ar-SA"/>
              </w:rPr>
              <w:t xml:space="preserve"> apmērā:</w:t>
            </w:r>
          </w:p>
          <w:p w:rsidR="0079260F" w:rsidP="00B67377">
            <w:pPr>
              <w:numPr>
                <w:ilvl w:val="0"/>
                <w:numId w:val="3"/>
              </w:numPr>
              <w:tabs>
                <w:tab w:val="left" w:pos="595"/>
              </w:tabs>
              <w:ind w:left="0" w:firstLine="311"/>
              <w:jc w:val="both"/>
            </w:pPr>
            <w:r w:rsidRPr="000B7351">
              <w:rPr>
                <w:rFonts w:eastAsia="Calibri"/>
                <w:lang w:eastAsia="en-US"/>
              </w:rPr>
              <w:t>NVD</w:t>
            </w:r>
            <w:r w:rsidRPr="000B7351">
              <w:t xml:space="preserve"> nodrošināja ārstniecības iestādēs sekundāro un ambulatoro veselības aprūpes pakalpojumu </w:t>
            </w:r>
            <w:r w:rsidR="005F7BA4">
              <w:rPr>
                <w:b/>
              </w:rPr>
              <w:t>5 707</w:t>
            </w:r>
            <w:r w:rsidRPr="000B7351">
              <w:rPr>
                <w:b/>
              </w:rPr>
              <w:t> </w:t>
            </w:r>
            <w:r w:rsidRPr="000B7351">
              <w:rPr>
                <w:b/>
                <w:i/>
              </w:rPr>
              <w:t>euro</w:t>
            </w:r>
            <w:r w:rsidRPr="000B7351">
              <w:t xml:space="preserve"> apmērā (anotācijas III. Tiesību akta projekta ietekme uz valsts budžetu un pašvaldību budžetiem </w:t>
            </w:r>
            <w:r>
              <w:t>T</w:t>
            </w:r>
            <w:r w:rsidRPr="000B7351">
              <w:t>abula</w:t>
            </w:r>
            <w:r>
              <w:t xml:space="preserve"> </w:t>
            </w:r>
            <w:r w:rsidRPr="000B7351">
              <w:t xml:space="preserve">un Pielikums). </w:t>
            </w:r>
          </w:p>
          <w:p w:rsidR="0079260F" w:rsidRPr="0078722D" w:rsidP="00681F74">
            <w:pPr>
              <w:numPr>
                <w:ilvl w:val="0"/>
                <w:numId w:val="3"/>
              </w:numPr>
              <w:tabs>
                <w:tab w:val="left" w:pos="631"/>
                <w:tab w:val="left" w:pos="856"/>
              </w:tabs>
              <w:ind w:left="0" w:firstLine="311"/>
              <w:jc w:val="both"/>
            </w:pPr>
            <w:r w:rsidRPr="000B7351">
              <w:rPr>
                <w:rFonts w:eastAsia="Calibri"/>
                <w:lang w:eastAsia="en-US"/>
              </w:rPr>
              <w:t xml:space="preserve">NMPD </w:t>
            </w:r>
            <w:r w:rsidRPr="000B7351">
              <w:t>brigādes ir izpildījušas </w:t>
            </w:r>
            <w:r w:rsidRPr="005F7BA4" w:rsidR="005F7BA4">
              <w:rPr>
                <w:b/>
                <w:u w:val="single"/>
              </w:rPr>
              <w:t>1</w:t>
            </w:r>
            <w:r>
              <w:rPr>
                <w:b/>
                <w:bCs/>
                <w:u w:val="single"/>
              </w:rPr>
              <w:t>2</w:t>
            </w:r>
            <w:r w:rsidRPr="000B7351">
              <w:rPr>
                <w:b/>
                <w:bCs/>
                <w:u w:val="single"/>
              </w:rPr>
              <w:t xml:space="preserve"> izsaukumus</w:t>
            </w:r>
            <w:r w:rsidRPr="000B7351">
              <w:t xml:space="preserve"> </w:t>
            </w:r>
            <w:r w:rsidR="005F7BA4">
              <w:rPr>
                <w:b/>
              </w:rPr>
              <w:t>1 300</w:t>
            </w:r>
            <w:r w:rsidRPr="000B7351">
              <w:t xml:space="preserve"> </w:t>
            </w:r>
            <w:r w:rsidRPr="000B7351">
              <w:rPr>
                <w:b/>
                <w:i/>
              </w:rPr>
              <w:t>euro</w:t>
            </w:r>
            <w:r w:rsidR="00681F74">
              <w:t xml:space="preserve"> apmērā.</w:t>
            </w:r>
          </w:p>
          <w:p w:rsidR="0079260F" w:rsidRPr="003523F6" w:rsidP="00155578">
            <w:pPr>
              <w:tabs>
                <w:tab w:val="left" w:pos="631"/>
                <w:tab w:val="left" w:pos="1026"/>
              </w:tabs>
              <w:ind w:firstLine="311"/>
              <w:jc w:val="both"/>
              <w:rPr>
                <w:kern w:val="1"/>
                <w:lang w:eastAsia="ar-SA"/>
              </w:rPr>
            </w:pPr>
            <w:r w:rsidRPr="003523F6">
              <w:rPr>
                <w:kern w:val="1"/>
                <w:lang w:eastAsia="ar-SA"/>
              </w:rPr>
              <w:t xml:space="preserve">Lai nodrošinātu neatliekamo medicīnisko palīdzību, kā arī ārstniecības iestādēm radušos izdevumu kompensāciju par </w:t>
            </w:r>
            <w:r w:rsidRPr="003523F6">
              <w:t>sekundāro un ambulatoro</w:t>
            </w:r>
            <w:r w:rsidRPr="003523F6">
              <w:rPr>
                <w:kern w:val="1"/>
                <w:lang w:eastAsia="ar-SA"/>
              </w:rPr>
              <w:t xml:space="preserve"> veselības aprūpes </w:t>
            </w:r>
            <w:r w:rsidRPr="000E7FA7">
              <w:rPr>
                <w:kern w:val="1"/>
                <w:lang w:eastAsia="ar-SA"/>
              </w:rPr>
              <w:t xml:space="preserve">pakalpojumu apjomu </w:t>
            </w:r>
            <w:r w:rsidRPr="000E7FA7">
              <w:t xml:space="preserve">laikposmā no 2017.gada </w:t>
            </w:r>
            <w:bookmarkStart w:id="3" w:name="_Hlk508267575"/>
            <w:r w:rsidRPr="000B7351" w:rsidR="001B6C59">
              <w:t>1</w:t>
            </w:r>
            <w:r w:rsidR="001B6C59">
              <w:t>.oktobra līdz 2017.gada 31.decembim</w:t>
            </w:r>
            <w:bookmarkEnd w:id="3"/>
            <w:r w:rsidRPr="000E7FA7">
              <w:rPr>
                <w:kern w:val="1"/>
                <w:lang w:eastAsia="ar-SA"/>
              </w:rPr>
              <w:t>,</w:t>
            </w:r>
            <w:r w:rsidRPr="00B52623">
              <w:rPr>
                <w:kern w:val="1"/>
                <w:lang w:eastAsia="ar-SA"/>
              </w:rPr>
              <w:t xml:space="preserve"> kas tika sniegts patvēruma meklētājiem, ir nepieciešams</w:t>
            </w:r>
            <w:r w:rsidRPr="003523F6">
              <w:rPr>
                <w:kern w:val="1"/>
                <w:lang w:eastAsia="ar-SA"/>
              </w:rPr>
              <w:t xml:space="preserve"> pieņemt rīkojuma projektu.</w:t>
            </w:r>
          </w:p>
          <w:p w:rsidR="0079260F" w:rsidRPr="003523F6" w:rsidP="00155578">
            <w:pPr>
              <w:tabs>
                <w:tab w:val="left" w:pos="631"/>
              </w:tabs>
              <w:ind w:firstLine="311"/>
              <w:jc w:val="both"/>
            </w:pPr>
          </w:p>
          <w:p w:rsidR="007E3BCE" w:rsidP="007E3BCE">
            <w:pPr>
              <w:tabs>
                <w:tab w:val="left" w:pos="631"/>
              </w:tabs>
              <w:ind w:firstLine="311"/>
              <w:jc w:val="both"/>
            </w:pPr>
            <w:r w:rsidRPr="003523F6">
              <w:t xml:space="preserve">Rīkojuma projekts paredz </w:t>
            </w:r>
            <w:r>
              <w:t xml:space="preserve">Finanšu ministrijai no valsts budžeta programmas 02.00.00 "Līdzekļi neparedzētiem gadījumiem" piešķirt Veselības ministrijai 7 007 </w:t>
            </w:r>
            <w:r w:rsidRPr="007E3BCE">
              <w:rPr>
                <w:i/>
              </w:rPr>
              <w:t>euro</w:t>
            </w:r>
            <w:r>
              <w:t>, tai skaitā:</w:t>
            </w:r>
          </w:p>
          <w:p w:rsidR="007E3BCE" w:rsidP="007E3BCE">
            <w:pPr>
              <w:tabs>
                <w:tab w:val="left" w:pos="631"/>
              </w:tabs>
              <w:ind w:firstLine="311"/>
              <w:jc w:val="both"/>
            </w:pPr>
            <w:r>
              <w:t xml:space="preserve">1.  5 707 </w:t>
            </w:r>
            <w:r w:rsidRPr="007E3BCE">
              <w:rPr>
                <w:i/>
              </w:rPr>
              <w:t>euro</w:t>
            </w:r>
            <w:r>
              <w:t xml:space="preserve">, lai Nacionālais veselības dienestam segtu izdevumus, kas radušies laika posmā no 2017. gada 1. oktobra līdz 2017. gada 31. decembrim saistībā ar patvēruma meklētāju ārstēšanu Latvijas ārstniecības iestādēs. </w:t>
            </w:r>
          </w:p>
          <w:p w:rsidR="0079260F" w:rsidRPr="003523F6" w:rsidP="007E3BCE">
            <w:pPr>
              <w:tabs>
                <w:tab w:val="left" w:pos="631"/>
              </w:tabs>
              <w:ind w:firstLine="311"/>
              <w:jc w:val="both"/>
              <w:rPr>
                <w:b/>
              </w:rPr>
            </w:pPr>
            <w:r>
              <w:t xml:space="preserve">2. 1 300 </w:t>
            </w:r>
            <w:r w:rsidRPr="007E3BCE">
              <w:rPr>
                <w:i/>
              </w:rPr>
              <w:t>euro</w:t>
            </w:r>
            <w:r>
              <w:t>, lai Neatliekamās medicīniskās palīdzības dienestam segtu izdevumus, kas radušies laika posmā no 2017. gada 1. oktobra līdz 2017. gada 31. decembrim  saistībā ar 12 izsaukumiem pie patvēruma meklētājiem.</w:t>
            </w:r>
          </w:p>
        </w:tc>
      </w:tr>
      <w:tr w:rsidTr="0079260F">
        <w:tblPrEx>
          <w:tblW w:w="9356" w:type="dxa"/>
          <w:tblInd w:w="-147" w:type="dxa"/>
          <w:tblLayout w:type="fixed"/>
          <w:tblLook w:val="04A0"/>
        </w:tblPrEx>
        <w:tc>
          <w:tcPr>
            <w:tcW w:w="568" w:type="dxa"/>
          </w:tcPr>
          <w:p w:rsidR="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1559" w:type="dxa"/>
          </w:tcPr>
          <w:p w:rsidR="00130487" w:rsidRPr="00EC6E12"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w:t>
            </w:r>
            <w:r w:rsidRPr="00EC6E12">
              <w:rPr>
                <w:rFonts w:ascii="Times New Roman" w:hAnsi="Times New Roman" w:cs="Times New Roman"/>
                <w:iCs/>
                <w:sz w:val="24"/>
                <w:szCs w:val="24"/>
                <w:lang w:eastAsia="lv-LV"/>
              </w:rPr>
              <w:t>publiskas personas kapitālsabiedrības</w:t>
            </w:r>
          </w:p>
        </w:tc>
        <w:tc>
          <w:tcPr>
            <w:tcW w:w="7229" w:type="dxa"/>
          </w:tcPr>
          <w:p w:rsidR="00130487"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 xml:space="preserve">Veselības ministrija, NVD un NMPD.  </w:t>
            </w:r>
          </w:p>
        </w:tc>
      </w:tr>
      <w:tr w:rsidTr="0079260F">
        <w:tblPrEx>
          <w:tblW w:w="9356" w:type="dxa"/>
          <w:tblInd w:w="-147" w:type="dxa"/>
          <w:tblLayout w:type="fixed"/>
          <w:tblLook w:val="04A0"/>
        </w:tblPrEx>
        <w:tc>
          <w:tcPr>
            <w:tcW w:w="568" w:type="dxa"/>
          </w:tcPr>
          <w:p w:rsidR="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tblPr>
      <w:tblGrid>
        <w:gridCol w:w="9356"/>
      </w:tblGrid>
      <w:tr w:rsidTr="006936E5">
        <w:tblPrEx>
          <w:tblW w:w="9356" w:type="dxa"/>
          <w:tblInd w:w="-147" w:type="dxa"/>
          <w:tblLook w:val="04A0"/>
        </w:tblPrEx>
        <w:tc>
          <w:tcPr>
            <w:tcW w:w="9356" w:type="dxa"/>
          </w:tcPr>
          <w:p w:rsidR="00EC6E12" w:rsidRPr="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Tr="006936E5">
        <w:tblPrEx>
          <w:tblW w:w="9356" w:type="dxa"/>
          <w:tblInd w:w="-147" w:type="dxa"/>
          <w:tblLook w:val="04A0"/>
        </w:tblPrEx>
        <w:tc>
          <w:tcPr>
            <w:tcW w:w="9356" w:type="dxa"/>
          </w:tcPr>
          <w:p w:rsidR="00155578" w:rsidRPr="00842AD1"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tblPr>
      <w:tblGrid>
        <w:gridCol w:w="1702"/>
        <w:gridCol w:w="992"/>
        <w:gridCol w:w="1268"/>
        <w:gridCol w:w="1000"/>
        <w:gridCol w:w="1134"/>
        <w:gridCol w:w="992"/>
        <w:gridCol w:w="992"/>
        <w:gridCol w:w="1276"/>
      </w:tblGrid>
      <w:tr w:rsidTr="006936E5">
        <w:tblPrEx>
          <w:tblW w:w="9356" w:type="dxa"/>
          <w:tblInd w:w="-147" w:type="dxa"/>
          <w:tblLayout w:type="fixed"/>
          <w:tblLook w:val="04A0"/>
        </w:tblPrEx>
        <w:tc>
          <w:tcPr>
            <w:tcW w:w="9356" w:type="dxa"/>
            <w:gridSpan w:val="8"/>
          </w:tcPr>
          <w:p w:rsidR="00842AD1" w:rsidRPr="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Tr="006936E5">
        <w:tblPrEx>
          <w:tblW w:w="9356" w:type="dxa"/>
          <w:tblInd w:w="-147" w:type="dxa"/>
          <w:tblLayout w:type="fixed"/>
          <w:tblLook w:val="04A0"/>
        </w:tblPrEx>
        <w:tc>
          <w:tcPr>
            <w:tcW w:w="1702" w:type="dxa"/>
            <w:vMerge w:val="restart"/>
          </w:tcPr>
          <w:p w:rsidR="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2018. gads</w:t>
            </w:r>
          </w:p>
        </w:tc>
        <w:tc>
          <w:tcPr>
            <w:tcW w:w="5394" w:type="dxa"/>
            <w:gridSpan w:val="5"/>
          </w:tcPr>
          <w:p w:rsidR="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Tr="006936E5">
        <w:tblPrEx>
          <w:tblW w:w="9356" w:type="dxa"/>
          <w:tblInd w:w="-147" w:type="dxa"/>
          <w:tblLayout w:type="fixed"/>
          <w:tblLook w:val="04A0"/>
        </w:tblPrEx>
        <w:tc>
          <w:tcPr>
            <w:tcW w:w="1702" w:type="dxa"/>
            <w:vMerge/>
          </w:tcPr>
          <w:p w:rsidR="00842AD1" w:rsidP="00EC6E12">
            <w:pPr>
              <w:pStyle w:val="NoSpacing"/>
              <w:rPr>
                <w:rFonts w:ascii="Times New Roman" w:hAnsi="Times New Roman" w:cs="Times New Roman"/>
                <w:iCs/>
                <w:sz w:val="24"/>
                <w:szCs w:val="24"/>
                <w:lang w:eastAsia="lv-LV"/>
              </w:rPr>
            </w:pPr>
          </w:p>
        </w:tc>
        <w:tc>
          <w:tcPr>
            <w:tcW w:w="2260" w:type="dxa"/>
            <w:gridSpan w:val="2"/>
            <w:vMerge/>
          </w:tcPr>
          <w:p w:rsidR="00842AD1" w:rsidP="00EC6E12">
            <w:pPr>
              <w:pStyle w:val="NoSpacing"/>
              <w:rPr>
                <w:rFonts w:ascii="Times New Roman" w:hAnsi="Times New Roman" w:cs="Times New Roman"/>
                <w:iCs/>
                <w:sz w:val="24"/>
                <w:szCs w:val="24"/>
                <w:lang w:eastAsia="lv-LV"/>
              </w:rPr>
            </w:pPr>
          </w:p>
        </w:tc>
        <w:tc>
          <w:tcPr>
            <w:tcW w:w="2134" w:type="dxa"/>
            <w:gridSpan w:val="2"/>
          </w:tcPr>
          <w:p w:rsidR="00842AD1"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2019. gads</w:t>
            </w:r>
          </w:p>
        </w:tc>
        <w:tc>
          <w:tcPr>
            <w:tcW w:w="1984" w:type="dxa"/>
            <w:gridSpan w:val="2"/>
          </w:tcPr>
          <w:p w:rsidR="00842AD1"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2020. gads</w:t>
            </w:r>
          </w:p>
        </w:tc>
        <w:tc>
          <w:tcPr>
            <w:tcW w:w="1276" w:type="dxa"/>
          </w:tcPr>
          <w:p w:rsidR="00842AD1"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2021. gads</w:t>
            </w:r>
          </w:p>
        </w:tc>
      </w:tr>
      <w:tr w:rsidTr="006936E5">
        <w:tblPrEx>
          <w:tblW w:w="9356" w:type="dxa"/>
          <w:tblInd w:w="-147" w:type="dxa"/>
          <w:tblLayout w:type="fixed"/>
          <w:tblLook w:val="04A0"/>
        </w:tblPrEx>
        <w:tc>
          <w:tcPr>
            <w:tcW w:w="1702" w:type="dxa"/>
            <w:vMerge/>
          </w:tcPr>
          <w:p w:rsidR="00842AD1" w:rsidP="00EC6E12">
            <w:pPr>
              <w:pStyle w:val="NoSpacing"/>
              <w:rPr>
                <w:rFonts w:ascii="Times New Roman" w:hAnsi="Times New Roman" w:cs="Times New Roman"/>
                <w:iCs/>
                <w:sz w:val="24"/>
                <w:szCs w:val="24"/>
                <w:lang w:eastAsia="lv-LV"/>
              </w:rPr>
            </w:pPr>
          </w:p>
        </w:tc>
        <w:tc>
          <w:tcPr>
            <w:tcW w:w="992" w:type="dxa"/>
          </w:tcPr>
          <w:p w:rsidR="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rsidR="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not</w:t>
            </w:r>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w:t>
            </w:r>
            <w:r w:rsidRPr="00EC6E12" w:rsidR="00842AD1">
              <w:rPr>
                <w:rFonts w:ascii="Times New Roman" w:hAnsi="Times New Roman" w:cs="Times New Roman"/>
                <w:iCs/>
                <w:sz w:val="24"/>
                <w:szCs w:val="24"/>
                <w:lang w:eastAsia="lv-LV"/>
              </w:rPr>
              <w:t>zmai</w:t>
            </w:r>
            <w:r>
              <w:rPr>
                <w:rFonts w:ascii="Times New Roman" w:hAnsi="Times New Roman" w:cs="Times New Roman"/>
                <w:iCs/>
                <w:sz w:val="24"/>
                <w:szCs w:val="24"/>
                <w:lang w:eastAsia="lv-LV"/>
              </w:rPr>
              <w:t>-</w:t>
            </w:r>
          </w:p>
          <w:p w:rsidR="006E71F7"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w:t>
            </w:r>
            <w:r w:rsidRPr="00EC6E12">
              <w:rPr>
                <w:rFonts w:ascii="Times New Roman" w:hAnsi="Times New Roman" w:cs="Times New Roman"/>
                <w:iCs/>
                <w:sz w:val="24"/>
                <w:szCs w:val="24"/>
                <w:lang w:eastAsia="lv-LV"/>
              </w:rPr>
              <w:t>, salīdzi</w:t>
            </w:r>
            <w:r>
              <w:rPr>
                <w:rFonts w:ascii="Times New Roman" w:hAnsi="Times New Roman" w:cs="Times New Roman"/>
                <w:iCs/>
                <w:sz w:val="24"/>
                <w:szCs w:val="24"/>
                <w:lang w:eastAsia="lv-LV"/>
              </w:rPr>
              <w:t>-</w:t>
            </w:r>
          </w:p>
          <w:p w:rsidR="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not</w:t>
            </w:r>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rsidR="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not</w:t>
            </w:r>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Tr="006936E5">
        <w:tblPrEx>
          <w:tblW w:w="9356" w:type="dxa"/>
          <w:tblInd w:w="-147" w:type="dxa"/>
          <w:tblLayout w:type="fixed"/>
          <w:tblLook w:val="04A0"/>
        </w:tblPrEx>
        <w:tc>
          <w:tcPr>
            <w:tcW w:w="1702"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7 007</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7 007</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D24501">
            <w:pPr>
              <w:pStyle w:val="NoSpacing"/>
              <w:rPr>
                <w:rFonts w:ascii="Times New Roman" w:hAnsi="Times New Roman" w:cs="Times New Roman"/>
                <w:iCs/>
                <w:sz w:val="24"/>
                <w:szCs w:val="24"/>
                <w:lang w:eastAsia="lv-LV"/>
              </w:rPr>
            </w:pPr>
            <w:r w:rsidRPr="00A1496F">
              <w:rPr>
                <w:rFonts w:ascii="Times New Roman" w:hAnsi="Times New Roman" w:cs="Times New Roman"/>
                <w:sz w:val="24"/>
              </w:rPr>
              <w:t>–</w:t>
            </w:r>
            <w:r w:rsidR="005F7BA4">
              <w:rPr>
                <w:rFonts w:ascii="Times New Roman" w:hAnsi="Times New Roman" w:cs="Times New Roman"/>
                <w:iCs/>
                <w:sz w:val="24"/>
                <w:szCs w:val="24"/>
                <w:lang w:eastAsia="lv-LV"/>
              </w:rPr>
              <w:t>7 007</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842AD1" w:rsidRPr="00EC6E12"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P="006936E5">
            <w:pPr>
              <w:pStyle w:val="NoSpacing"/>
              <w:rPr>
                <w:rFonts w:ascii="Times New Roman" w:hAnsi="Times New Roman" w:cs="Times New Roman"/>
                <w:iCs/>
                <w:sz w:val="24"/>
                <w:szCs w:val="24"/>
                <w:lang w:eastAsia="lv-LV"/>
              </w:rPr>
            </w:pPr>
            <w:r w:rsidRPr="00A1496F">
              <w:rPr>
                <w:rFonts w:ascii="Times New Roman" w:hAnsi="Times New Roman" w:cs="Times New Roman"/>
                <w:sz w:val="24"/>
              </w:rPr>
              <w:t>–</w:t>
            </w:r>
            <w:r w:rsidR="005F7BA4">
              <w:rPr>
                <w:rFonts w:ascii="Times New Roman" w:hAnsi="Times New Roman" w:cs="Times New Roman"/>
                <w:iCs/>
                <w:sz w:val="24"/>
                <w:szCs w:val="24"/>
                <w:lang w:eastAsia="lv-LV"/>
              </w:rPr>
              <w:t>7 007</w:t>
            </w:r>
          </w:p>
        </w:tc>
        <w:tc>
          <w:tcPr>
            <w:tcW w:w="1000"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7 007</w:t>
            </w:r>
          </w:p>
        </w:tc>
        <w:tc>
          <w:tcPr>
            <w:tcW w:w="1000"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155578" w:rsidRPr="00EC6E12" w:rsidP="00155578">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155578" w:rsidRPr="00EC6E12"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155578" w:rsidRPr="00EC6E12"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6936E5">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155578" w:rsidRPr="00EC6E12"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Tr="009547D2">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155578" w:rsidRPr="000B7351" w:rsidP="00155578">
            <w:pPr>
              <w:ind w:left="147" w:firstLine="426"/>
              <w:jc w:val="both"/>
            </w:pPr>
            <w:r w:rsidRPr="00896AEE">
              <w:t xml:space="preserve">Rīkojuma </w:t>
            </w:r>
            <w:r w:rsidRPr="000B7351">
              <w:t xml:space="preserve">projekts paredz Finanšu ministrijai no valsts budžeta programmas 02.00.00 „Līdzekļi neparedzētiem gadījumiem” piešķirt Veselības ministrijai </w:t>
            </w:r>
            <w:r w:rsidR="008C1794">
              <w:rPr>
                <w:b/>
              </w:rPr>
              <w:t>7 007</w:t>
            </w:r>
            <w:r w:rsidRPr="000B7351">
              <w:t> </w:t>
            </w:r>
            <w:r w:rsidRPr="000B7351">
              <w:rPr>
                <w:b/>
                <w:i/>
              </w:rPr>
              <w:t>euro</w:t>
            </w:r>
            <w:r w:rsidRPr="000B7351">
              <w:t>, tai skaitā:</w:t>
            </w:r>
          </w:p>
          <w:p w:rsidR="00155578" w:rsidP="00155578">
            <w:pPr>
              <w:widowControl w:val="0"/>
              <w:ind w:left="51" w:firstLine="374"/>
              <w:contextualSpacing/>
              <w:jc w:val="both"/>
            </w:pPr>
            <w:r w:rsidRPr="000B7351">
              <w:rPr>
                <w:lang w:eastAsia="en-US"/>
              </w:rPr>
              <w:t xml:space="preserve">1. NVD </w:t>
            </w:r>
            <w:r>
              <w:rPr>
                <w:b/>
                <w:lang w:eastAsia="en-US"/>
              </w:rPr>
              <w:t>5</w:t>
            </w:r>
            <w:r w:rsidRPr="000B7351">
              <w:rPr>
                <w:b/>
                <w:lang w:eastAsia="en-US"/>
              </w:rPr>
              <w:t xml:space="preserve"> </w:t>
            </w:r>
            <w:r w:rsidR="008C1794">
              <w:rPr>
                <w:b/>
                <w:lang w:eastAsia="en-US"/>
              </w:rPr>
              <w:t>707</w:t>
            </w:r>
            <w:r w:rsidRPr="000B7351">
              <w:rPr>
                <w:b/>
                <w:lang w:eastAsia="en-US"/>
              </w:rPr>
              <w:t xml:space="preserve"> </w:t>
            </w:r>
            <w:r w:rsidRPr="000B7351">
              <w:rPr>
                <w:b/>
                <w:i/>
                <w:lang w:eastAsia="en-US"/>
              </w:rPr>
              <w:t>euro</w:t>
            </w:r>
            <w:r w:rsidRPr="000B7351">
              <w:rPr>
                <w:lang w:eastAsia="en-US"/>
              </w:rPr>
              <w:t>, lai segtu izdevumus, kas radušies laikposmā </w:t>
            </w:r>
            <w:r w:rsidRPr="000B7351">
              <w:rPr>
                <w:bCs/>
                <w:lang w:eastAsia="en-US"/>
              </w:rPr>
              <w:t xml:space="preserve">no </w:t>
            </w:r>
            <w:r w:rsidRPr="000B7351">
              <w:t>2017.gada 1</w:t>
            </w:r>
            <w:r>
              <w:t>.</w:t>
            </w:r>
            <w:r w:rsidR="005856D9">
              <w:t>oktobra</w:t>
            </w:r>
            <w:r>
              <w:t xml:space="preserve"> līdz 2017.gada 3</w:t>
            </w:r>
            <w:r w:rsidR="005856D9">
              <w:t>1</w:t>
            </w:r>
            <w:r>
              <w:t>.</w:t>
            </w:r>
            <w:r w:rsidR="005856D9">
              <w:t>d</w:t>
            </w:r>
            <w:r>
              <w:t>e</w:t>
            </w:r>
            <w:r w:rsidR="005856D9">
              <w:t>c</w:t>
            </w:r>
            <w:r>
              <w:t>embim</w:t>
            </w:r>
            <w:r w:rsidRPr="00175D0A">
              <w:rPr>
                <w:kern w:val="1"/>
                <w:lang w:eastAsia="ar-SA"/>
              </w:rPr>
              <w:t xml:space="preserve"> saistībā </w:t>
            </w:r>
            <w:r w:rsidRPr="00175D0A">
              <w:rPr>
                <w:lang w:eastAsia="en-US"/>
              </w:rPr>
              <w:t>ar patvēruma meklētāju ārstēšanu Latvijas ārstniecības iestādēs</w:t>
            </w:r>
            <w:r>
              <w:t xml:space="preserve"> </w:t>
            </w:r>
            <w:r w:rsidRPr="00073948">
              <w:t>(3000</w:t>
            </w:r>
            <w:r>
              <w:t xml:space="preserve"> kods</w:t>
            </w:r>
            <w:r w:rsidRPr="00073948">
              <w:t xml:space="preserve"> Subsīdijas un dotācijas)</w:t>
            </w:r>
            <w:r w:rsidR="00B24C87">
              <w:t xml:space="preserve"> (skatīt anotācijas Tabulu</w:t>
            </w:r>
            <w:r>
              <w:t xml:space="preserve"> un Pielikumu – </w:t>
            </w:r>
            <w:r w:rsidRPr="00140644" w:rsidR="00140644">
              <w:t>3</w:t>
            </w:r>
            <w:r w:rsidR="00140644">
              <w:t> </w:t>
            </w:r>
            <w:r w:rsidRPr="00140644" w:rsidR="00140644">
              <w:t>886</w:t>
            </w:r>
            <w:r w:rsidR="00140644">
              <w:t>,</w:t>
            </w:r>
            <w:r w:rsidRPr="00140644" w:rsidR="00140644">
              <w:t>96</w:t>
            </w:r>
            <w:r w:rsidRPr="000E7FA7">
              <w:t>+</w:t>
            </w:r>
            <w:r w:rsidR="00140644">
              <w:t>1</w:t>
            </w:r>
            <w:r w:rsidRPr="000E7FA7">
              <w:t> </w:t>
            </w:r>
            <w:r w:rsidR="00140644">
              <w:t>819</w:t>
            </w:r>
            <w:r w:rsidRPr="000E7FA7">
              <w:t>,</w:t>
            </w:r>
            <w:r w:rsidR="00140644">
              <w:t>19</w:t>
            </w:r>
            <w:r>
              <w:t xml:space="preserve"> </w:t>
            </w:r>
            <w:r w:rsidR="00140644">
              <w:t>=</w:t>
            </w:r>
            <w:r w:rsidRPr="000E7FA7">
              <w:t>5 </w:t>
            </w:r>
            <w:r w:rsidR="00140644">
              <w:t>706</w:t>
            </w:r>
            <w:r w:rsidRPr="000E7FA7">
              <w:t>,</w:t>
            </w:r>
            <w:r w:rsidR="00140644">
              <w:t>15</w:t>
            </w:r>
            <w:r>
              <w:t> </w:t>
            </w:r>
            <w:r w:rsidRPr="00E9413A">
              <w:rPr>
                <w:i/>
              </w:rPr>
              <w:t>euro</w:t>
            </w:r>
            <w:r>
              <w:t>).</w:t>
            </w:r>
          </w:p>
          <w:p w:rsidR="00155578" w:rsidP="00155578">
            <w:pPr>
              <w:ind w:left="147" w:firstLine="426"/>
              <w:jc w:val="right"/>
            </w:pPr>
            <w:r>
              <w:t xml:space="preserve">Tabula </w:t>
            </w:r>
          </w:p>
          <w:p w:rsidR="00155578" w:rsidRPr="00466F00" w:rsidP="00155578">
            <w:pPr>
              <w:ind w:left="147" w:firstLine="426"/>
              <w:jc w:val="center"/>
              <w:rPr>
                <w:b/>
                <w:i/>
              </w:rPr>
            </w:pPr>
            <w:r w:rsidRPr="00C3058A">
              <w:rPr>
                <w:b/>
                <w:i/>
                <w:lang w:eastAsia="en-US"/>
              </w:rPr>
              <w:t>Laikposmā </w:t>
            </w:r>
            <w:r w:rsidRPr="00C3058A">
              <w:rPr>
                <w:b/>
                <w:bCs/>
                <w:i/>
                <w:lang w:eastAsia="en-US"/>
              </w:rPr>
              <w:t xml:space="preserve">no </w:t>
            </w:r>
            <w:r w:rsidRPr="00C3058A">
              <w:rPr>
                <w:b/>
                <w:i/>
              </w:rPr>
              <w:t>2017.gada 1.</w:t>
            </w:r>
            <w:r w:rsidR="004E1BA2">
              <w:rPr>
                <w:b/>
                <w:i/>
              </w:rPr>
              <w:t>oktobr</w:t>
            </w:r>
            <w:r w:rsidRPr="00C3058A">
              <w:rPr>
                <w:b/>
                <w:i/>
              </w:rPr>
              <w:t>a līdz 2017.gada 3</w:t>
            </w:r>
            <w:r w:rsidR="004E1BA2">
              <w:rPr>
                <w:b/>
                <w:i/>
              </w:rPr>
              <w:t>1</w:t>
            </w:r>
            <w:r w:rsidRPr="00C3058A">
              <w:rPr>
                <w:b/>
                <w:i/>
              </w:rPr>
              <w:t>.</w:t>
            </w:r>
            <w:r w:rsidR="004E1BA2">
              <w:rPr>
                <w:b/>
                <w:i/>
              </w:rPr>
              <w:t>d</w:t>
            </w:r>
            <w:r>
              <w:rPr>
                <w:b/>
                <w:i/>
              </w:rPr>
              <w:t>e</w:t>
            </w:r>
            <w:r w:rsidR="004E1BA2">
              <w:rPr>
                <w:b/>
                <w:i/>
              </w:rPr>
              <w:t>c</w:t>
            </w:r>
            <w:r>
              <w:rPr>
                <w:b/>
                <w:i/>
              </w:rPr>
              <w:t>embr</w:t>
            </w:r>
            <w:r w:rsidRPr="00C3058A">
              <w:rPr>
                <w:b/>
                <w:i/>
              </w:rPr>
              <w:t>im</w:t>
            </w:r>
            <w:r w:rsidRPr="00466F00">
              <w:rPr>
                <w:b/>
                <w:i/>
              </w:rPr>
              <w:t xml:space="preserve"> sniegtie stacionārie veselības aprūpes pakalpojumi </w:t>
            </w:r>
            <w:r>
              <w:rPr>
                <w:b/>
                <w:i/>
              </w:rPr>
              <w:t>patvēruma meklētājiem</w:t>
            </w:r>
          </w:p>
          <w:tbl>
            <w:tblPr>
              <w:tblW w:w="7476" w:type="dxa"/>
              <w:jc w:val="center"/>
              <w:tblLayout w:type="fixed"/>
              <w:tblLook w:val="04A0"/>
            </w:tblPr>
            <w:tblGrid>
              <w:gridCol w:w="938"/>
              <w:gridCol w:w="1166"/>
              <w:gridCol w:w="882"/>
              <w:gridCol w:w="1158"/>
              <w:gridCol w:w="1199"/>
              <w:gridCol w:w="1045"/>
              <w:gridCol w:w="1088"/>
            </w:tblGrid>
            <w:tr w:rsidTr="006F753F">
              <w:tblPrEx>
                <w:tblW w:w="7476" w:type="dxa"/>
                <w:jc w:val="center"/>
                <w:tblLayout w:type="fixed"/>
                <w:tblLook w:val="04A0"/>
              </w:tblPrEx>
              <w:trPr>
                <w:trHeight w:val="1619"/>
                <w:jc w:val="center"/>
              </w:trPr>
              <w:tc>
                <w:tcPr>
                  <w:tcW w:w="93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55578" w:rsidP="00155578">
                  <w:pPr>
                    <w:jc w:val="center"/>
                    <w:rPr>
                      <w:b/>
                      <w:bCs/>
                      <w:color w:val="000000"/>
                      <w:sz w:val="18"/>
                      <w:szCs w:val="18"/>
                    </w:rPr>
                  </w:pPr>
                  <w:r>
                    <w:rPr>
                      <w:b/>
                      <w:bCs/>
                      <w:color w:val="000000"/>
                      <w:sz w:val="18"/>
                      <w:szCs w:val="18"/>
                    </w:rPr>
                    <w:t>Rīcības plāna pasākuma Nr. (MK rīkojums Nr. 759)</w:t>
                  </w:r>
                </w:p>
              </w:tc>
              <w:tc>
                <w:tcPr>
                  <w:tcW w:w="116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55578" w:rsidP="00155578">
                  <w:pPr>
                    <w:jc w:val="center"/>
                    <w:rPr>
                      <w:b/>
                      <w:bCs/>
                      <w:color w:val="000000"/>
                      <w:sz w:val="18"/>
                      <w:szCs w:val="18"/>
                    </w:rPr>
                  </w:pPr>
                  <w:r>
                    <w:rPr>
                      <w:b/>
                      <w:bCs/>
                      <w:color w:val="000000"/>
                      <w:sz w:val="18"/>
                      <w:szCs w:val="18"/>
                    </w:rPr>
                    <w:t>Rīcības plāna pasākums/ Ārstniecības iestāde</w:t>
                  </w:r>
                </w:p>
              </w:tc>
              <w:tc>
                <w:tcPr>
                  <w:tcW w:w="88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55578" w:rsidP="00155578">
                  <w:pPr>
                    <w:jc w:val="center"/>
                    <w:rPr>
                      <w:b/>
                      <w:bCs/>
                      <w:color w:val="000000"/>
                      <w:sz w:val="18"/>
                      <w:szCs w:val="18"/>
                    </w:rPr>
                  </w:pPr>
                  <w:r>
                    <w:rPr>
                      <w:b/>
                      <w:bCs/>
                      <w:color w:val="000000"/>
                      <w:sz w:val="18"/>
                      <w:szCs w:val="18"/>
                    </w:rPr>
                    <w:t xml:space="preserve">Bērni/ </w:t>
                  </w:r>
                  <w:r w:rsidRPr="00560FB1">
                    <w:rPr>
                      <w:b/>
                      <w:bCs/>
                      <w:color w:val="000000"/>
                      <w:sz w:val="16"/>
                      <w:szCs w:val="16"/>
                    </w:rPr>
                    <w:t>Pieaugušie</w:t>
                  </w:r>
                </w:p>
              </w:tc>
              <w:tc>
                <w:tcPr>
                  <w:tcW w:w="1158" w:type="dxa"/>
                  <w:tcBorders>
                    <w:top w:val="single" w:sz="4" w:space="0" w:color="auto"/>
                    <w:left w:val="nil"/>
                    <w:bottom w:val="single" w:sz="4" w:space="0" w:color="auto"/>
                    <w:right w:val="single" w:sz="4" w:space="0" w:color="auto"/>
                  </w:tcBorders>
                  <w:shd w:val="clear" w:color="000000" w:fill="D8D8D8"/>
                  <w:vAlign w:val="center"/>
                  <w:hideMark/>
                </w:tcPr>
                <w:p w:rsidR="00155578" w:rsidP="00155578">
                  <w:pPr>
                    <w:jc w:val="center"/>
                    <w:rPr>
                      <w:b/>
                      <w:bCs/>
                      <w:color w:val="000000"/>
                      <w:sz w:val="18"/>
                      <w:szCs w:val="18"/>
                    </w:rPr>
                  </w:pPr>
                  <w:r w:rsidRPr="00560FB1">
                    <w:rPr>
                      <w:b/>
                      <w:bCs/>
                      <w:color w:val="000000"/>
                      <w:sz w:val="16"/>
                      <w:szCs w:val="16"/>
                    </w:rPr>
                    <w:t xml:space="preserve">Hospitalizāciju </w:t>
                  </w:r>
                  <w:r>
                    <w:rPr>
                      <w:b/>
                      <w:bCs/>
                      <w:color w:val="000000"/>
                      <w:sz w:val="18"/>
                      <w:szCs w:val="18"/>
                    </w:rPr>
                    <w:t>skaits</w:t>
                  </w:r>
                </w:p>
              </w:tc>
              <w:tc>
                <w:tcPr>
                  <w:tcW w:w="1199" w:type="dxa"/>
                  <w:tcBorders>
                    <w:top w:val="single" w:sz="4" w:space="0" w:color="auto"/>
                    <w:left w:val="nil"/>
                    <w:bottom w:val="single" w:sz="4" w:space="0" w:color="auto"/>
                    <w:right w:val="single" w:sz="4" w:space="0" w:color="auto"/>
                  </w:tcBorders>
                  <w:shd w:val="clear" w:color="000000" w:fill="D8D8D8"/>
                  <w:vAlign w:val="center"/>
                  <w:hideMark/>
                </w:tcPr>
                <w:p w:rsidR="00155578" w:rsidP="00155578">
                  <w:pPr>
                    <w:jc w:val="center"/>
                    <w:rPr>
                      <w:b/>
                      <w:bCs/>
                      <w:sz w:val="18"/>
                      <w:szCs w:val="18"/>
                    </w:rPr>
                  </w:pPr>
                  <w:r>
                    <w:rPr>
                      <w:b/>
                      <w:bCs/>
                      <w:sz w:val="18"/>
                      <w:szCs w:val="18"/>
                    </w:rPr>
                    <w:t xml:space="preserve">Summa par pakalpojumu, EUR </w:t>
                  </w:r>
                </w:p>
              </w:tc>
              <w:tc>
                <w:tcPr>
                  <w:tcW w:w="1045" w:type="dxa"/>
                  <w:tcBorders>
                    <w:top w:val="single" w:sz="4" w:space="0" w:color="auto"/>
                    <w:left w:val="nil"/>
                    <w:bottom w:val="single" w:sz="4" w:space="0" w:color="auto"/>
                    <w:right w:val="single" w:sz="4" w:space="0" w:color="auto"/>
                  </w:tcBorders>
                  <w:shd w:val="clear" w:color="000000" w:fill="D8D8D8"/>
                  <w:vAlign w:val="center"/>
                  <w:hideMark/>
                </w:tcPr>
                <w:p w:rsidR="00155578" w:rsidP="00155578">
                  <w:pPr>
                    <w:jc w:val="center"/>
                    <w:rPr>
                      <w:b/>
                      <w:bCs/>
                      <w:color w:val="000000"/>
                      <w:sz w:val="18"/>
                      <w:szCs w:val="18"/>
                    </w:rPr>
                  </w:pPr>
                  <w:r>
                    <w:rPr>
                      <w:b/>
                      <w:bCs/>
                      <w:color w:val="000000"/>
                      <w:sz w:val="18"/>
                      <w:szCs w:val="18"/>
                    </w:rPr>
                    <w:t>Valsts kompensētās pacienta iemaksas EUR</w:t>
                  </w:r>
                </w:p>
              </w:tc>
              <w:tc>
                <w:tcPr>
                  <w:tcW w:w="1088" w:type="dxa"/>
                  <w:tcBorders>
                    <w:top w:val="single" w:sz="4" w:space="0" w:color="auto"/>
                    <w:left w:val="nil"/>
                    <w:bottom w:val="single" w:sz="4" w:space="0" w:color="auto"/>
                    <w:right w:val="single" w:sz="4" w:space="0" w:color="auto"/>
                  </w:tcBorders>
                  <w:shd w:val="clear" w:color="000000" w:fill="D8D8D8"/>
                  <w:vAlign w:val="center"/>
                  <w:hideMark/>
                </w:tcPr>
                <w:p w:rsidR="00155578" w:rsidP="00155578">
                  <w:pPr>
                    <w:jc w:val="center"/>
                    <w:rPr>
                      <w:b/>
                      <w:bCs/>
                      <w:color w:val="000000"/>
                      <w:sz w:val="18"/>
                      <w:szCs w:val="18"/>
                    </w:rPr>
                  </w:pPr>
                  <w:r>
                    <w:rPr>
                      <w:b/>
                      <w:bCs/>
                      <w:color w:val="000000"/>
                      <w:sz w:val="18"/>
                      <w:szCs w:val="18"/>
                    </w:rPr>
                    <w:t>Izdevumi  kopā, EUR</w:t>
                  </w:r>
                </w:p>
              </w:tc>
            </w:tr>
            <w:tr w:rsidTr="006F753F">
              <w:tblPrEx>
                <w:tblW w:w="7476" w:type="dxa"/>
                <w:jc w:val="center"/>
                <w:tblLayout w:type="fixed"/>
                <w:tblLook w:val="04A0"/>
              </w:tblPrEx>
              <w:trPr>
                <w:trHeight w:val="735"/>
                <w:jc w:val="center"/>
              </w:trPr>
              <w:tc>
                <w:tcPr>
                  <w:tcW w:w="938" w:type="dxa"/>
                  <w:tcBorders>
                    <w:top w:val="nil"/>
                    <w:left w:val="single" w:sz="4" w:space="0" w:color="auto"/>
                    <w:bottom w:val="single" w:sz="4" w:space="0" w:color="auto"/>
                    <w:right w:val="single" w:sz="4" w:space="0" w:color="auto"/>
                  </w:tcBorders>
                  <w:shd w:val="clear" w:color="000000" w:fill="F2F2F2"/>
                  <w:vAlign w:val="bottom"/>
                  <w:hideMark/>
                </w:tcPr>
                <w:p w:rsidR="00155578" w:rsidP="00155578">
                  <w:pPr>
                    <w:rPr>
                      <w:b/>
                      <w:bCs/>
                      <w:color w:val="000000"/>
                      <w:sz w:val="18"/>
                      <w:szCs w:val="18"/>
                    </w:rPr>
                  </w:pPr>
                </w:p>
              </w:tc>
              <w:tc>
                <w:tcPr>
                  <w:tcW w:w="1166" w:type="dxa"/>
                  <w:tcBorders>
                    <w:top w:val="single" w:sz="4" w:space="0" w:color="auto"/>
                    <w:left w:val="nil"/>
                    <w:bottom w:val="single" w:sz="4" w:space="0" w:color="auto"/>
                    <w:right w:val="single" w:sz="4" w:space="0" w:color="auto"/>
                  </w:tcBorders>
                  <w:shd w:val="clear" w:color="000000" w:fill="F2F2F2"/>
                  <w:vAlign w:val="bottom"/>
                  <w:hideMark/>
                </w:tcPr>
                <w:p w:rsidR="00155578" w:rsidP="00155578">
                  <w:pPr>
                    <w:rPr>
                      <w:b/>
                      <w:bCs/>
                      <w:color w:val="000000"/>
                      <w:sz w:val="18"/>
                      <w:szCs w:val="18"/>
                    </w:rPr>
                  </w:pPr>
                  <w:r>
                    <w:rPr>
                      <w:b/>
                      <w:bCs/>
                      <w:color w:val="000000"/>
                      <w:sz w:val="18"/>
                      <w:szCs w:val="18"/>
                    </w:rPr>
                    <w:t>Neatliekamās medicīniskās palīdzības sniegšana, t.sk.:</w:t>
                  </w:r>
                </w:p>
              </w:tc>
              <w:tc>
                <w:tcPr>
                  <w:tcW w:w="882" w:type="dxa"/>
                  <w:tcBorders>
                    <w:top w:val="nil"/>
                    <w:left w:val="nil"/>
                    <w:bottom w:val="single" w:sz="4" w:space="0" w:color="auto"/>
                    <w:right w:val="single" w:sz="4" w:space="0" w:color="auto"/>
                  </w:tcBorders>
                  <w:shd w:val="clear" w:color="000000" w:fill="F2F2F2"/>
                  <w:noWrap/>
                  <w:vAlign w:val="bottom"/>
                  <w:hideMark/>
                </w:tcPr>
                <w:p w:rsidR="00155578" w:rsidP="00155578">
                  <w:pPr>
                    <w:rPr>
                      <w:rFonts w:ascii="Calibri" w:hAnsi="Calibri"/>
                      <w:color w:val="000000"/>
                      <w:sz w:val="18"/>
                      <w:szCs w:val="18"/>
                    </w:rPr>
                  </w:pPr>
                  <w:r>
                    <w:rPr>
                      <w:rFonts w:ascii="Calibri" w:hAnsi="Calibri"/>
                      <w:color w:val="000000"/>
                      <w:sz w:val="18"/>
                      <w:szCs w:val="18"/>
                    </w:rPr>
                    <w:t> </w:t>
                  </w:r>
                </w:p>
              </w:tc>
              <w:tc>
                <w:tcPr>
                  <w:tcW w:w="1158" w:type="dxa"/>
                  <w:tcBorders>
                    <w:top w:val="nil"/>
                    <w:left w:val="nil"/>
                    <w:bottom w:val="single" w:sz="4" w:space="0" w:color="auto"/>
                    <w:right w:val="single" w:sz="4" w:space="0" w:color="auto"/>
                  </w:tcBorders>
                  <w:shd w:val="clear" w:color="000000" w:fill="F2F2F2"/>
                  <w:noWrap/>
                  <w:vAlign w:val="bottom"/>
                </w:tcPr>
                <w:p w:rsidR="00155578" w:rsidP="00155578">
                  <w:pPr>
                    <w:jc w:val="center"/>
                    <w:rPr>
                      <w:color w:val="000000"/>
                      <w:sz w:val="18"/>
                      <w:szCs w:val="18"/>
                    </w:rPr>
                  </w:pPr>
                </w:p>
              </w:tc>
              <w:tc>
                <w:tcPr>
                  <w:tcW w:w="1199" w:type="dxa"/>
                  <w:tcBorders>
                    <w:top w:val="nil"/>
                    <w:left w:val="nil"/>
                    <w:bottom w:val="single" w:sz="4" w:space="0" w:color="auto"/>
                    <w:right w:val="single" w:sz="4" w:space="0" w:color="auto"/>
                  </w:tcBorders>
                  <w:shd w:val="clear" w:color="000000" w:fill="F2F2F2"/>
                  <w:noWrap/>
                  <w:vAlign w:val="bottom"/>
                </w:tcPr>
                <w:p w:rsidR="00155578" w:rsidP="00155578">
                  <w:pPr>
                    <w:rPr>
                      <w:color w:val="000000"/>
                      <w:sz w:val="18"/>
                      <w:szCs w:val="18"/>
                    </w:rPr>
                  </w:pPr>
                </w:p>
              </w:tc>
              <w:tc>
                <w:tcPr>
                  <w:tcW w:w="1045" w:type="dxa"/>
                  <w:tcBorders>
                    <w:top w:val="nil"/>
                    <w:left w:val="nil"/>
                    <w:bottom w:val="single" w:sz="4" w:space="0" w:color="auto"/>
                    <w:right w:val="single" w:sz="4" w:space="0" w:color="auto"/>
                  </w:tcBorders>
                  <w:shd w:val="clear" w:color="000000" w:fill="F2F2F2"/>
                  <w:noWrap/>
                  <w:vAlign w:val="bottom"/>
                </w:tcPr>
                <w:p w:rsidR="00155578" w:rsidP="00155578">
                  <w:pPr>
                    <w:rPr>
                      <w:color w:val="000000"/>
                      <w:sz w:val="18"/>
                      <w:szCs w:val="18"/>
                    </w:rPr>
                  </w:pPr>
                </w:p>
              </w:tc>
              <w:tc>
                <w:tcPr>
                  <w:tcW w:w="1088" w:type="dxa"/>
                  <w:tcBorders>
                    <w:top w:val="nil"/>
                    <w:left w:val="nil"/>
                    <w:bottom w:val="single" w:sz="4" w:space="0" w:color="auto"/>
                    <w:right w:val="single" w:sz="4" w:space="0" w:color="auto"/>
                  </w:tcBorders>
                  <w:shd w:val="clear" w:color="000000" w:fill="F2F2F2"/>
                  <w:noWrap/>
                  <w:vAlign w:val="bottom"/>
                </w:tcPr>
                <w:p w:rsidR="00155578" w:rsidP="00155578">
                  <w:pPr>
                    <w:ind w:hanging="177"/>
                    <w:rPr>
                      <w:color w:val="000000"/>
                      <w:sz w:val="18"/>
                      <w:szCs w:val="18"/>
                    </w:rPr>
                  </w:pPr>
                </w:p>
              </w:tc>
            </w:tr>
            <w:tr w:rsidTr="006F753F">
              <w:tblPrEx>
                <w:tblW w:w="7476" w:type="dxa"/>
                <w:jc w:val="center"/>
                <w:tblLayout w:type="fixed"/>
                <w:tblLook w:val="04A0"/>
              </w:tblPrEx>
              <w:trPr>
                <w:trHeight w:val="495"/>
                <w:jc w:val="center"/>
              </w:trPr>
              <w:tc>
                <w:tcPr>
                  <w:tcW w:w="938" w:type="dxa"/>
                  <w:tcBorders>
                    <w:top w:val="nil"/>
                    <w:left w:val="single" w:sz="4" w:space="0" w:color="auto"/>
                    <w:bottom w:val="single" w:sz="4" w:space="0" w:color="auto"/>
                    <w:right w:val="single" w:sz="4" w:space="0" w:color="auto"/>
                  </w:tcBorders>
                  <w:shd w:val="clear" w:color="000000" w:fill="FFFFFF"/>
                  <w:vAlign w:val="bottom"/>
                  <w:hideMark/>
                </w:tcPr>
                <w:p w:rsidR="00155578" w:rsidP="00155578">
                  <w:pPr>
                    <w:rPr>
                      <w:b/>
                      <w:bCs/>
                      <w:color w:val="000000"/>
                      <w:sz w:val="18"/>
                      <w:szCs w:val="18"/>
                    </w:rPr>
                  </w:pPr>
                  <w:r>
                    <w:rPr>
                      <w:b/>
                      <w:bCs/>
                      <w:color w:val="000000"/>
                      <w:sz w:val="18"/>
                      <w:szCs w:val="18"/>
                    </w:rPr>
                    <w:t>2.7.1.</w:t>
                  </w:r>
                </w:p>
              </w:tc>
              <w:tc>
                <w:tcPr>
                  <w:tcW w:w="1166" w:type="dxa"/>
                  <w:tcBorders>
                    <w:top w:val="nil"/>
                    <w:left w:val="nil"/>
                    <w:bottom w:val="single" w:sz="4" w:space="0" w:color="auto"/>
                    <w:right w:val="single" w:sz="4" w:space="0" w:color="auto"/>
                  </w:tcBorders>
                  <w:shd w:val="clear" w:color="auto" w:fill="auto"/>
                  <w:vAlign w:val="bottom"/>
                  <w:hideMark/>
                </w:tcPr>
                <w:p w:rsidR="00155578" w:rsidP="00155578">
                  <w:pPr>
                    <w:rPr>
                      <w:color w:val="000000"/>
                      <w:sz w:val="18"/>
                      <w:szCs w:val="18"/>
                    </w:rPr>
                  </w:pPr>
                  <w:r>
                    <w:rPr>
                      <w:color w:val="000000"/>
                      <w:sz w:val="18"/>
                      <w:szCs w:val="18"/>
                    </w:rPr>
                    <w:t>Bērnu klīniskā universitātes slimnīca</w:t>
                  </w:r>
                </w:p>
              </w:tc>
              <w:tc>
                <w:tcPr>
                  <w:tcW w:w="882" w:type="dxa"/>
                  <w:tcBorders>
                    <w:top w:val="nil"/>
                    <w:left w:val="nil"/>
                    <w:bottom w:val="single" w:sz="4" w:space="0" w:color="auto"/>
                    <w:right w:val="single" w:sz="4" w:space="0" w:color="auto"/>
                  </w:tcBorders>
                  <w:shd w:val="clear" w:color="auto" w:fill="auto"/>
                  <w:noWrap/>
                  <w:vAlign w:val="bottom"/>
                  <w:hideMark/>
                </w:tcPr>
                <w:p w:rsidR="00155578" w:rsidP="00155578">
                  <w:pPr>
                    <w:rPr>
                      <w:i/>
                      <w:iCs/>
                      <w:color w:val="000000"/>
                      <w:sz w:val="18"/>
                      <w:szCs w:val="18"/>
                    </w:rPr>
                  </w:pPr>
                  <w:r>
                    <w:rPr>
                      <w:i/>
                      <w:iCs/>
                      <w:color w:val="000000"/>
                      <w:sz w:val="18"/>
                      <w:szCs w:val="18"/>
                    </w:rPr>
                    <w:t>Bērni</w:t>
                  </w:r>
                </w:p>
              </w:tc>
              <w:tc>
                <w:tcPr>
                  <w:tcW w:w="1158" w:type="dxa"/>
                  <w:tcBorders>
                    <w:top w:val="nil"/>
                    <w:left w:val="nil"/>
                    <w:bottom w:val="single" w:sz="4" w:space="0" w:color="auto"/>
                    <w:right w:val="single" w:sz="4" w:space="0" w:color="auto"/>
                  </w:tcBorders>
                  <w:shd w:val="clear" w:color="auto" w:fill="auto"/>
                  <w:noWrap/>
                  <w:vAlign w:val="center"/>
                  <w:hideMark/>
                </w:tcPr>
                <w:p w:rsidR="00155578" w:rsidRPr="005F7F97" w:rsidP="00155578">
                  <w:pPr>
                    <w:jc w:val="right"/>
                    <w:rPr>
                      <w:sz w:val="18"/>
                      <w:szCs w:val="18"/>
                    </w:rPr>
                  </w:pPr>
                  <w:r>
                    <w:rPr>
                      <w:sz w:val="18"/>
                      <w:szCs w:val="18"/>
                    </w:rPr>
                    <w:t>2</w:t>
                  </w:r>
                </w:p>
              </w:tc>
              <w:tc>
                <w:tcPr>
                  <w:tcW w:w="1199" w:type="dxa"/>
                  <w:tcBorders>
                    <w:top w:val="nil"/>
                    <w:left w:val="nil"/>
                    <w:bottom w:val="single" w:sz="4" w:space="0" w:color="auto"/>
                    <w:right w:val="single" w:sz="4" w:space="0" w:color="auto"/>
                  </w:tcBorders>
                  <w:shd w:val="clear" w:color="auto" w:fill="auto"/>
                  <w:noWrap/>
                  <w:vAlign w:val="center"/>
                  <w:hideMark/>
                </w:tcPr>
                <w:p w:rsidR="00155578" w:rsidRPr="005F7F97" w:rsidP="00155578">
                  <w:pPr>
                    <w:jc w:val="right"/>
                    <w:rPr>
                      <w:sz w:val="18"/>
                      <w:szCs w:val="18"/>
                    </w:rPr>
                  </w:pPr>
                  <w:r>
                    <w:rPr>
                      <w:sz w:val="18"/>
                      <w:szCs w:val="18"/>
                    </w:rPr>
                    <w:t>3</w:t>
                  </w:r>
                  <w:r w:rsidRPr="005F7F97">
                    <w:rPr>
                      <w:sz w:val="18"/>
                      <w:szCs w:val="18"/>
                    </w:rPr>
                    <w:t>0</w:t>
                  </w:r>
                  <w:r>
                    <w:rPr>
                      <w:sz w:val="18"/>
                      <w:szCs w:val="18"/>
                    </w:rPr>
                    <w:t>0</w:t>
                  </w:r>
                  <w:r w:rsidRPr="005F7F97">
                    <w:rPr>
                      <w:sz w:val="18"/>
                      <w:szCs w:val="18"/>
                    </w:rPr>
                    <w:t>.</w:t>
                  </w:r>
                  <w:r>
                    <w:rPr>
                      <w:sz w:val="18"/>
                      <w:szCs w:val="18"/>
                    </w:rPr>
                    <w:t>1</w:t>
                  </w:r>
                  <w:r w:rsidRPr="005F7F97">
                    <w:rPr>
                      <w:sz w:val="18"/>
                      <w:szCs w:val="18"/>
                    </w:rPr>
                    <w:t>6</w:t>
                  </w:r>
                </w:p>
              </w:tc>
              <w:tc>
                <w:tcPr>
                  <w:tcW w:w="1045" w:type="dxa"/>
                  <w:tcBorders>
                    <w:top w:val="nil"/>
                    <w:left w:val="nil"/>
                    <w:bottom w:val="single" w:sz="4" w:space="0" w:color="auto"/>
                    <w:right w:val="single" w:sz="4" w:space="0" w:color="auto"/>
                  </w:tcBorders>
                  <w:shd w:val="clear" w:color="auto" w:fill="auto"/>
                  <w:noWrap/>
                  <w:vAlign w:val="center"/>
                  <w:hideMark/>
                </w:tcPr>
                <w:p w:rsidR="00155578" w:rsidRPr="005F7F97" w:rsidP="00155578">
                  <w:pPr>
                    <w:jc w:val="right"/>
                    <w:rPr>
                      <w:sz w:val="18"/>
                      <w:szCs w:val="18"/>
                    </w:rPr>
                  </w:pPr>
                  <w:r>
                    <w:rPr>
                      <w:sz w:val="18"/>
                      <w:szCs w:val="18"/>
                    </w:rPr>
                    <w:t>7</w:t>
                  </w:r>
                  <w:r w:rsidRPr="005F7F97">
                    <w:rPr>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155578" w:rsidRPr="005F7F97" w:rsidP="00155578">
                  <w:pPr>
                    <w:jc w:val="right"/>
                    <w:rPr>
                      <w:sz w:val="18"/>
                      <w:szCs w:val="18"/>
                    </w:rPr>
                  </w:pPr>
                  <w:r w:rsidRPr="005F7F97">
                    <w:rPr>
                      <w:sz w:val="18"/>
                      <w:szCs w:val="18"/>
                    </w:rPr>
                    <w:t>3</w:t>
                  </w:r>
                  <w:r w:rsidR="00140644">
                    <w:rPr>
                      <w:sz w:val="18"/>
                      <w:szCs w:val="18"/>
                    </w:rPr>
                    <w:t>70</w:t>
                  </w:r>
                  <w:r w:rsidRPr="005F7F97">
                    <w:rPr>
                      <w:sz w:val="18"/>
                      <w:szCs w:val="18"/>
                    </w:rPr>
                    <w:t>.</w:t>
                  </w:r>
                  <w:r w:rsidR="00140644">
                    <w:rPr>
                      <w:sz w:val="18"/>
                      <w:szCs w:val="18"/>
                    </w:rPr>
                    <w:t>1</w:t>
                  </w:r>
                  <w:r w:rsidRPr="005F7F97">
                    <w:rPr>
                      <w:sz w:val="18"/>
                      <w:szCs w:val="18"/>
                    </w:rPr>
                    <w:t>6</w:t>
                  </w:r>
                </w:p>
              </w:tc>
            </w:tr>
            <w:tr w:rsidTr="006F753F">
              <w:tblPrEx>
                <w:tblW w:w="7476" w:type="dxa"/>
                <w:jc w:val="center"/>
                <w:tblLayout w:type="fixed"/>
                <w:tblLook w:val="04A0"/>
              </w:tblPrEx>
              <w:trPr>
                <w:trHeight w:val="495"/>
                <w:jc w:val="center"/>
              </w:trPr>
              <w:tc>
                <w:tcPr>
                  <w:tcW w:w="938" w:type="dxa"/>
                  <w:tcBorders>
                    <w:top w:val="nil"/>
                    <w:left w:val="single" w:sz="4" w:space="0" w:color="auto"/>
                    <w:bottom w:val="single" w:sz="4" w:space="0" w:color="auto"/>
                    <w:right w:val="single" w:sz="4" w:space="0" w:color="auto"/>
                  </w:tcBorders>
                  <w:shd w:val="clear" w:color="000000" w:fill="FFFFFF"/>
                  <w:vAlign w:val="bottom"/>
                </w:tcPr>
                <w:p w:rsidR="00155578" w:rsidP="00155578">
                  <w:pPr>
                    <w:rPr>
                      <w:b/>
                      <w:bCs/>
                      <w:color w:val="000000"/>
                      <w:sz w:val="18"/>
                      <w:szCs w:val="18"/>
                    </w:rPr>
                  </w:pPr>
                  <w:r>
                    <w:rPr>
                      <w:b/>
                      <w:bCs/>
                      <w:color w:val="000000"/>
                      <w:sz w:val="18"/>
                      <w:szCs w:val="18"/>
                    </w:rPr>
                    <w:t>2.7.1.</w:t>
                  </w:r>
                </w:p>
              </w:tc>
              <w:tc>
                <w:tcPr>
                  <w:tcW w:w="1166" w:type="dxa"/>
                  <w:tcBorders>
                    <w:top w:val="nil"/>
                    <w:left w:val="nil"/>
                    <w:bottom w:val="single" w:sz="4" w:space="0" w:color="auto"/>
                    <w:right w:val="single" w:sz="4" w:space="0" w:color="auto"/>
                  </w:tcBorders>
                  <w:shd w:val="clear" w:color="auto" w:fill="auto"/>
                  <w:vAlign w:val="bottom"/>
                </w:tcPr>
                <w:p w:rsidR="00155578" w:rsidP="00155578">
                  <w:pPr>
                    <w:rPr>
                      <w:color w:val="000000"/>
                      <w:sz w:val="18"/>
                      <w:szCs w:val="18"/>
                    </w:rPr>
                  </w:pPr>
                  <w:r>
                    <w:rPr>
                      <w:color w:val="000000"/>
                      <w:sz w:val="18"/>
                      <w:szCs w:val="18"/>
                    </w:rPr>
                    <w:t xml:space="preserve">Rīgas Austrumu </w:t>
                  </w:r>
                  <w:r>
                    <w:rPr>
                      <w:color w:val="000000"/>
                      <w:sz w:val="18"/>
                      <w:szCs w:val="18"/>
                    </w:rPr>
                    <w:t>klīniskā universitātes slimnīca</w:t>
                  </w:r>
                </w:p>
              </w:tc>
              <w:tc>
                <w:tcPr>
                  <w:tcW w:w="882" w:type="dxa"/>
                  <w:tcBorders>
                    <w:top w:val="nil"/>
                    <w:left w:val="nil"/>
                    <w:bottom w:val="single" w:sz="4" w:space="0" w:color="auto"/>
                    <w:right w:val="single" w:sz="4" w:space="0" w:color="auto"/>
                  </w:tcBorders>
                  <w:shd w:val="clear" w:color="auto" w:fill="auto"/>
                  <w:noWrap/>
                  <w:vAlign w:val="bottom"/>
                </w:tcPr>
                <w:p w:rsidR="00155578" w:rsidRPr="00560FB1" w:rsidP="00155578">
                  <w:pPr>
                    <w:rPr>
                      <w:i/>
                      <w:iCs/>
                      <w:color w:val="000000"/>
                      <w:sz w:val="16"/>
                      <w:szCs w:val="16"/>
                    </w:rPr>
                  </w:pPr>
                  <w:r w:rsidRPr="00560FB1">
                    <w:rPr>
                      <w:i/>
                      <w:iCs/>
                      <w:color w:val="000000"/>
                      <w:sz w:val="16"/>
                      <w:szCs w:val="16"/>
                    </w:rPr>
                    <w:t>Pieaugušie</w:t>
                  </w:r>
                </w:p>
              </w:tc>
              <w:tc>
                <w:tcPr>
                  <w:tcW w:w="1158" w:type="dxa"/>
                  <w:tcBorders>
                    <w:top w:val="nil"/>
                    <w:left w:val="nil"/>
                    <w:bottom w:val="single" w:sz="4" w:space="0" w:color="auto"/>
                    <w:right w:val="single" w:sz="4" w:space="0" w:color="auto"/>
                  </w:tcBorders>
                  <w:shd w:val="clear" w:color="auto" w:fill="auto"/>
                  <w:noWrap/>
                  <w:vAlign w:val="center"/>
                </w:tcPr>
                <w:p w:rsidR="00155578" w:rsidRPr="005F7F97" w:rsidP="00155578">
                  <w:pPr>
                    <w:jc w:val="right"/>
                    <w:rPr>
                      <w:sz w:val="18"/>
                      <w:szCs w:val="18"/>
                    </w:rPr>
                  </w:pPr>
                  <w:r w:rsidRPr="005F7F97">
                    <w:rPr>
                      <w:sz w:val="18"/>
                      <w:szCs w:val="18"/>
                    </w:rPr>
                    <w:t>4</w:t>
                  </w:r>
                </w:p>
              </w:tc>
              <w:tc>
                <w:tcPr>
                  <w:tcW w:w="1199" w:type="dxa"/>
                  <w:tcBorders>
                    <w:top w:val="nil"/>
                    <w:left w:val="nil"/>
                    <w:bottom w:val="single" w:sz="4" w:space="0" w:color="auto"/>
                    <w:right w:val="single" w:sz="4" w:space="0" w:color="auto"/>
                  </w:tcBorders>
                  <w:shd w:val="clear" w:color="auto" w:fill="auto"/>
                  <w:noWrap/>
                  <w:vAlign w:val="center"/>
                </w:tcPr>
                <w:p w:rsidR="00155578" w:rsidRPr="005F7F97" w:rsidP="00155578">
                  <w:pPr>
                    <w:jc w:val="right"/>
                    <w:rPr>
                      <w:sz w:val="18"/>
                      <w:szCs w:val="18"/>
                    </w:rPr>
                  </w:pPr>
                  <w:r>
                    <w:rPr>
                      <w:sz w:val="18"/>
                      <w:szCs w:val="18"/>
                    </w:rPr>
                    <w:t>2</w:t>
                  </w:r>
                  <w:r w:rsidRPr="005F7F97">
                    <w:rPr>
                      <w:sz w:val="18"/>
                      <w:szCs w:val="18"/>
                    </w:rPr>
                    <w:t xml:space="preserve"> </w:t>
                  </w:r>
                  <w:r>
                    <w:rPr>
                      <w:sz w:val="18"/>
                      <w:szCs w:val="18"/>
                    </w:rPr>
                    <w:t>976</w:t>
                  </w:r>
                  <w:r w:rsidRPr="005F7F97">
                    <w:rPr>
                      <w:sz w:val="18"/>
                      <w:szCs w:val="18"/>
                    </w:rPr>
                    <w:t>.</w:t>
                  </w:r>
                  <w:r>
                    <w:rPr>
                      <w:sz w:val="18"/>
                      <w:szCs w:val="18"/>
                    </w:rPr>
                    <w:t>80</w:t>
                  </w:r>
                </w:p>
              </w:tc>
              <w:tc>
                <w:tcPr>
                  <w:tcW w:w="1045" w:type="dxa"/>
                  <w:tcBorders>
                    <w:top w:val="nil"/>
                    <w:left w:val="nil"/>
                    <w:bottom w:val="single" w:sz="4" w:space="0" w:color="auto"/>
                    <w:right w:val="single" w:sz="4" w:space="0" w:color="auto"/>
                  </w:tcBorders>
                  <w:shd w:val="clear" w:color="auto" w:fill="auto"/>
                  <w:noWrap/>
                  <w:vAlign w:val="center"/>
                </w:tcPr>
                <w:p w:rsidR="00155578" w:rsidRPr="005F7F97" w:rsidP="00155578">
                  <w:pPr>
                    <w:jc w:val="right"/>
                    <w:rPr>
                      <w:sz w:val="18"/>
                      <w:szCs w:val="18"/>
                    </w:rPr>
                  </w:pPr>
                  <w:r>
                    <w:rPr>
                      <w:sz w:val="18"/>
                      <w:szCs w:val="18"/>
                    </w:rPr>
                    <w:t>540</w:t>
                  </w:r>
                  <w:r w:rsidRPr="005F7F97">
                    <w:rPr>
                      <w:sz w:val="18"/>
                      <w:szCs w:val="18"/>
                    </w:rPr>
                    <w:t>.</w:t>
                  </w:r>
                  <w:r>
                    <w:rPr>
                      <w:sz w:val="18"/>
                      <w:szCs w:val="18"/>
                    </w:rPr>
                    <w:t>00</w:t>
                  </w:r>
                </w:p>
              </w:tc>
              <w:tc>
                <w:tcPr>
                  <w:tcW w:w="1088" w:type="dxa"/>
                  <w:tcBorders>
                    <w:top w:val="nil"/>
                    <w:left w:val="nil"/>
                    <w:bottom w:val="single" w:sz="4" w:space="0" w:color="auto"/>
                    <w:right w:val="single" w:sz="4" w:space="0" w:color="auto"/>
                  </w:tcBorders>
                  <w:shd w:val="clear" w:color="auto" w:fill="auto"/>
                  <w:noWrap/>
                  <w:vAlign w:val="center"/>
                </w:tcPr>
                <w:p w:rsidR="00155578" w:rsidRPr="005F7F97" w:rsidP="00155578">
                  <w:pPr>
                    <w:jc w:val="right"/>
                    <w:rPr>
                      <w:sz w:val="18"/>
                      <w:szCs w:val="18"/>
                    </w:rPr>
                  </w:pPr>
                  <w:r>
                    <w:rPr>
                      <w:sz w:val="18"/>
                      <w:szCs w:val="18"/>
                    </w:rPr>
                    <w:t>3</w:t>
                  </w:r>
                  <w:r w:rsidRPr="005F7F97">
                    <w:rPr>
                      <w:sz w:val="18"/>
                      <w:szCs w:val="18"/>
                    </w:rPr>
                    <w:t xml:space="preserve"> 5</w:t>
                  </w:r>
                  <w:r>
                    <w:rPr>
                      <w:sz w:val="18"/>
                      <w:szCs w:val="18"/>
                    </w:rPr>
                    <w:t>16</w:t>
                  </w:r>
                  <w:r w:rsidRPr="005F7F97">
                    <w:rPr>
                      <w:sz w:val="18"/>
                      <w:szCs w:val="18"/>
                    </w:rPr>
                    <w:t>.</w:t>
                  </w:r>
                  <w:r>
                    <w:rPr>
                      <w:sz w:val="18"/>
                      <w:szCs w:val="18"/>
                    </w:rPr>
                    <w:t>80</w:t>
                  </w:r>
                </w:p>
              </w:tc>
            </w:tr>
            <w:tr w:rsidTr="006F753F">
              <w:tblPrEx>
                <w:tblW w:w="7476" w:type="dxa"/>
                <w:jc w:val="center"/>
                <w:tblLayout w:type="fixed"/>
                <w:tblLook w:val="04A0"/>
              </w:tblPrEx>
              <w:trPr>
                <w:trHeight w:val="300"/>
                <w:jc w:val="center"/>
              </w:trPr>
              <w:tc>
                <w:tcPr>
                  <w:tcW w:w="2104"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155578" w:rsidP="00155578">
                  <w:pPr>
                    <w:jc w:val="right"/>
                    <w:rPr>
                      <w:b/>
                      <w:bCs/>
                      <w:color w:val="000000"/>
                      <w:sz w:val="18"/>
                      <w:szCs w:val="18"/>
                    </w:rPr>
                  </w:pPr>
                  <w:r>
                    <w:rPr>
                      <w:b/>
                      <w:bCs/>
                      <w:color w:val="000000"/>
                      <w:sz w:val="18"/>
                      <w:szCs w:val="18"/>
                    </w:rPr>
                    <w:t>PAVISAM KOPĀ</w:t>
                  </w:r>
                </w:p>
              </w:tc>
              <w:tc>
                <w:tcPr>
                  <w:tcW w:w="882" w:type="dxa"/>
                  <w:tcBorders>
                    <w:top w:val="nil"/>
                    <w:left w:val="nil"/>
                    <w:bottom w:val="single" w:sz="4" w:space="0" w:color="auto"/>
                    <w:right w:val="single" w:sz="4" w:space="0" w:color="auto"/>
                  </w:tcBorders>
                  <w:shd w:val="clear" w:color="000000" w:fill="D8D8D8"/>
                  <w:noWrap/>
                  <w:vAlign w:val="bottom"/>
                  <w:hideMark/>
                </w:tcPr>
                <w:p w:rsidR="00155578" w:rsidP="00155578">
                  <w:pPr>
                    <w:rPr>
                      <w:color w:val="000000"/>
                      <w:sz w:val="18"/>
                      <w:szCs w:val="18"/>
                    </w:rPr>
                  </w:pPr>
                  <w:r>
                    <w:rPr>
                      <w:color w:val="000000"/>
                      <w:sz w:val="18"/>
                      <w:szCs w:val="18"/>
                    </w:rPr>
                    <w:t> </w:t>
                  </w:r>
                </w:p>
              </w:tc>
              <w:tc>
                <w:tcPr>
                  <w:tcW w:w="1158" w:type="dxa"/>
                  <w:tcBorders>
                    <w:top w:val="nil"/>
                    <w:left w:val="nil"/>
                    <w:bottom w:val="single" w:sz="4" w:space="0" w:color="auto"/>
                    <w:right w:val="single" w:sz="4" w:space="0" w:color="auto"/>
                  </w:tcBorders>
                  <w:shd w:val="clear" w:color="000000" w:fill="D8D8D8"/>
                  <w:noWrap/>
                  <w:vAlign w:val="center"/>
                  <w:hideMark/>
                </w:tcPr>
                <w:p w:rsidR="00155578" w:rsidP="00155578">
                  <w:pPr>
                    <w:jc w:val="center"/>
                    <w:rPr>
                      <w:color w:val="000000"/>
                      <w:sz w:val="18"/>
                      <w:szCs w:val="18"/>
                    </w:rPr>
                  </w:pPr>
                  <w:r>
                    <w:rPr>
                      <w:color w:val="000000"/>
                      <w:sz w:val="18"/>
                      <w:szCs w:val="18"/>
                    </w:rPr>
                    <w:t>6</w:t>
                  </w:r>
                </w:p>
              </w:tc>
              <w:tc>
                <w:tcPr>
                  <w:tcW w:w="1199" w:type="dxa"/>
                  <w:tcBorders>
                    <w:top w:val="nil"/>
                    <w:left w:val="nil"/>
                    <w:bottom w:val="single" w:sz="4" w:space="0" w:color="auto"/>
                    <w:right w:val="single" w:sz="4" w:space="0" w:color="auto"/>
                  </w:tcBorders>
                  <w:shd w:val="clear" w:color="000000" w:fill="D8D8D8"/>
                  <w:noWrap/>
                  <w:vAlign w:val="center"/>
                  <w:hideMark/>
                </w:tcPr>
                <w:p w:rsidR="00155578" w:rsidRPr="005F7F97" w:rsidP="00155578">
                  <w:pPr>
                    <w:jc w:val="right"/>
                    <w:rPr>
                      <w:b/>
                      <w:bCs/>
                      <w:sz w:val="20"/>
                      <w:szCs w:val="20"/>
                    </w:rPr>
                  </w:pPr>
                  <w:r>
                    <w:rPr>
                      <w:b/>
                      <w:bCs/>
                      <w:sz w:val="20"/>
                      <w:szCs w:val="20"/>
                    </w:rPr>
                    <w:t>3</w:t>
                  </w:r>
                  <w:r w:rsidRPr="005F7F97">
                    <w:rPr>
                      <w:b/>
                      <w:bCs/>
                      <w:sz w:val="20"/>
                      <w:szCs w:val="20"/>
                    </w:rPr>
                    <w:t xml:space="preserve"> </w:t>
                  </w:r>
                  <w:r>
                    <w:rPr>
                      <w:b/>
                      <w:bCs/>
                      <w:sz w:val="20"/>
                      <w:szCs w:val="20"/>
                    </w:rPr>
                    <w:t>276</w:t>
                  </w:r>
                  <w:r w:rsidRPr="005F7F97">
                    <w:rPr>
                      <w:b/>
                      <w:bCs/>
                      <w:sz w:val="20"/>
                      <w:szCs w:val="20"/>
                    </w:rPr>
                    <w:t>.</w:t>
                  </w:r>
                  <w:r>
                    <w:rPr>
                      <w:b/>
                      <w:bCs/>
                      <w:sz w:val="20"/>
                      <w:szCs w:val="20"/>
                    </w:rPr>
                    <w:t>9</w:t>
                  </w:r>
                  <w:r w:rsidRPr="005F7F97">
                    <w:rPr>
                      <w:b/>
                      <w:bCs/>
                      <w:sz w:val="20"/>
                      <w:szCs w:val="20"/>
                    </w:rPr>
                    <w:t>6</w:t>
                  </w:r>
                </w:p>
              </w:tc>
              <w:tc>
                <w:tcPr>
                  <w:tcW w:w="1045" w:type="dxa"/>
                  <w:tcBorders>
                    <w:top w:val="nil"/>
                    <w:left w:val="nil"/>
                    <w:bottom w:val="single" w:sz="4" w:space="0" w:color="auto"/>
                    <w:right w:val="single" w:sz="4" w:space="0" w:color="auto"/>
                  </w:tcBorders>
                  <w:shd w:val="clear" w:color="000000" w:fill="D8D8D8"/>
                  <w:noWrap/>
                  <w:vAlign w:val="center"/>
                  <w:hideMark/>
                </w:tcPr>
                <w:p w:rsidR="00155578" w:rsidRPr="005F7F97" w:rsidP="00155578">
                  <w:pPr>
                    <w:jc w:val="right"/>
                    <w:rPr>
                      <w:b/>
                      <w:bCs/>
                      <w:sz w:val="20"/>
                      <w:szCs w:val="20"/>
                    </w:rPr>
                  </w:pPr>
                  <w:r>
                    <w:rPr>
                      <w:b/>
                      <w:bCs/>
                      <w:sz w:val="20"/>
                      <w:szCs w:val="20"/>
                    </w:rPr>
                    <w:t>6</w:t>
                  </w:r>
                  <w:r w:rsidRPr="005F7F97">
                    <w:rPr>
                      <w:b/>
                      <w:bCs/>
                      <w:sz w:val="20"/>
                      <w:szCs w:val="20"/>
                    </w:rPr>
                    <w:t>10.</w:t>
                  </w:r>
                  <w:r>
                    <w:rPr>
                      <w:b/>
                      <w:bCs/>
                      <w:sz w:val="20"/>
                      <w:szCs w:val="20"/>
                    </w:rPr>
                    <w:t>00</w:t>
                  </w:r>
                </w:p>
              </w:tc>
              <w:tc>
                <w:tcPr>
                  <w:tcW w:w="1088" w:type="dxa"/>
                  <w:tcBorders>
                    <w:top w:val="nil"/>
                    <w:left w:val="nil"/>
                    <w:bottom w:val="single" w:sz="4" w:space="0" w:color="auto"/>
                    <w:right w:val="single" w:sz="4" w:space="0" w:color="auto"/>
                  </w:tcBorders>
                  <w:shd w:val="clear" w:color="000000" w:fill="D8D8D8"/>
                  <w:noWrap/>
                  <w:vAlign w:val="center"/>
                  <w:hideMark/>
                </w:tcPr>
                <w:p w:rsidR="00155578" w:rsidRPr="005F7F97" w:rsidP="00155578">
                  <w:pPr>
                    <w:rPr>
                      <w:b/>
                      <w:bCs/>
                      <w:sz w:val="18"/>
                      <w:szCs w:val="18"/>
                    </w:rPr>
                  </w:pPr>
                  <w:r>
                    <w:rPr>
                      <w:b/>
                      <w:bCs/>
                      <w:sz w:val="18"/>
                      <w:szCs w:val="18"/>
                    </w:rPr>
                    <w:t>3</w:t>
                  </w:r>
                  <w:r w:rsidRPr="005F7F97">
                    <w:rPr>
                      <w:b/>
                      <w:bCs/>
                      <w:sz w:val="18"/>
                      <w:szCs w:val="18"/>
                    </w:rPr>
                    <w:t xml:space="preserve"> </w:t>
                  </w:r>
                  <w:r>
                    <w:rPr>
                      <w:b/>
                      <w:bCs/>
                      <w:sz w:val="18"/>
                      <w:szCs w:val="18"/>
                    </w:rPr>
                    <w:t>88</w:t>
                  </w:r>
                  <w:r w:rsidRPr="005F7F97">
                    <w:rPr>
                      <w:b/>
                      <w:bCs/>
                      <w:sz w:val="18"/>
                      <w:szCs w:val="18"/>
                    </w:rPr>
                    <w:t>6.</w:t>
                  </w:r>
                  <w:r>
                    <w:rPr>
                      <w:b/>
                      <w:bCs/>
                      <w:sz w:val="18"/>
                      <w:szCs w:val="18"/>
                    </w:rPr>
                    <w:t>96</w:t>
                  </w:r>
                </w:p>
              </w:tc>
            </w:tr>
          </w:tbl>
          <w:p w:rsidR="00155578" w:rsidRPr="00792724" w:rsidP="00155578">
            <w:pPr>
              <w:jc w:val="both"/>
              <w:rPr>
                <w:bCs/>
                <w:sz w:val="20"/>
                <w:szCs w:val="20"/>
              </w:rPr>
            </w:pPr>
            <w:r w:rsidRPr="00792724">
              <w:rPr>
                <w:bCs/>
                <w:sz w:val="20"/>
                <w:szCs w:val="20"/>
              </w:rPr>
              <w:t>Kopā unikālo pacientu skaits par attiecīgo laika periodu (</w:t>
            </w:r>
            <w:r w:rsidRPr="00792724">
              <w:rPr>
                <w:bCs/>
                <w:sz w:val="18"/>
                <w:szCs w:val="18"/>
              </w:rPr>
              <w:t>01.</w:t>
            </w:r>
            <w:r w:rsidR="005856D9">
              <w:rPr>
                <w:bCs/>
                <w:sz w:val="18"/>
                <w:szCs w:val="18"/>
              </w:rPr>
              <w:t>1</w:t>
            </w:r>
            <w:r>
              <w:rPr>
                <w:bCs/>
                <w:sz w:val="18"/>
                <w:szCs w:val="18"/>
              </w:rPr>
              <w:t>0</w:t>
            </w:r>
            <w:r w:rsidRPr="00792724">
              <w:rPr>
                <w:bCs/>
                <w:sz w:val="18"/>
                <w:szCs w:val="18"/>
              </w:rPr>
              <w:t>.201</w:t>
            </w:r>
            <w:r>
              <w:rPr>
                <w:bCs/>
                <w:sz w:val="18"/>
                <w:szCs w:val="18"/>
              </w:rPr>
              <w:t>7</w:t>
            </w:r>
            <w:r w:rsidRPr="00792724">
              <w:rPr>
                <w:bCs/>
                <w:sz w:val="18"/>
                <w:szCs w:val="18"/>
              </w:rPr>
              <w:t>.-3</w:t>
            </w:r>
            <w:r w:rsidR="005856D9">
              <w:rPr>
                <w:bCs/>
                <w:sz w:val="18"/>
                <w:szCs w:val="18"/>
              </w:rPr>
              <w:t>1</w:t>
            </w:r>
            <w:r w:rsidRPr="00792724">
              <w:rPr>
                <w:bCs/>
                <w:sz w:val="18"/>
                <w:szCs w:val="18"/>
              </w:rPr>
              <w:t>.</w:t>
            </w:r>
            <w:r w:rsidR="005856D9">
              <w:rPr>
                <w:bCs/>
                <w:sz w:val="18"/>
                <w:szCs w:val="18"/>
              </w:rPr>
              <w:t>12</w:t>
            </w:r>
            <w:r w:rsidRPr="00792724">
              <w:rPr>
                <w:bCs/>
                <w:sz w:val="18"/>
                <w:szCs w:val="18"/>
              </w:rPr>
              <w:t>.201</w:t>
            </w:r>
            <w:r>
              <w:rPr>
                <w:bCs/>
                <w:sz w:val="18"/>
                <w:szCs w:val="18"/>
              </w:rPr>
              <w:t>7</w:t>
            </w:r>
            <w:r w:rsidRPr="00792724">
              <w:rPr>
                <w:bCs/>
                <w:sz w:val="18"/>
                <w:szCs w:val="18"/>
              </w:rPr>
              <w:t xml:space="preserve">.) </w:t>
            </w:r>
            <w:r>
              <w:rPr>
                <w:bCs/>
                <w:sz w:val="20"/>
                <w:szCs w:val="20"/>
              </w:rPr>
              <w:t xml:space="preserve">ir </w:t>
            </w:r>
            <w:r w:rsidR="00681F74">
              <w:rPr>
                <w:bCs/>
                <w:sz w:val="20"/>
                <w:szCs w:val="20"/>
              </w:rPr>
              <w:t>s</w:t>
            </w:r>
            <w:r w:rsidR="005856D9">
              <w:rPr>
                <w:bCs/>
                <w:sz w:val="20"/>
                <w:szCs w:val="20"/>
              </w:rPr>
              <w:t>eši</w:t>
            </w:r>
            <w:r w:rsidRPr="00792724">
              <w:rPr>
                <w:bCs/>
                <w:sz w:val="20"/>
                <w:szCs w:val="20"/>
              </w:rPr>
              <w:t>, kuri ir saņēmuši ārstēšanu ārstniecības iestādēs. Taču katrai ārstniecības iestādei ir savi unikālie pacienti, tādēļ šie pacienti nav saskaitāmi kopā, jo viens pacients var ārstēties vismaz divās ārstniecības iestādēs š</w:t>
            </w:r>
            <w:r>
              <w:rPr>
                <w:bCs/>
                <w:sz w:val="20"/>
                <w:szCs w:val="20"/>
              </w:rPr>
              <w:t>ajā</w:t>
            </w:r>
            <w:r w:rsidRPr="00792724">
              <w:rPr>
                <w:bCs/>
                <w:sz w:val="20"/>
                <w:szCs w:val="20"/>
              </w:rPr>
              <w:t xml:space="preserve"> laika periodā.</w:t>
            </w:r>
          </w:p>
          <w:p w:rsidR="00155578" w:rsidP="00155578">
            <w:pPr>
              <w:spacing w:line="20" w:lineRule="atLeast"/>
              <w:ind w:left="32" w:firstLine="567"/>
              <w:jc w:val="both"/>
              <w:rPr>
                <w:sz w:val="20"/>
                <w:szCs w:val="20"/>
              </w:rPr>
            </w:pPr>
          </w:p>
          <w:p w:rsidR="00155578" w:rsidP="00155578">
            <w:pPr>
              <w:widowControl w:val="0"/>
              <w:spacing w:line="20" w:lineRule="atLeast"/>
              <w:ind w:left="51" w:firstLine="567"/>
              <w:contextualSpacing/>
              <w:jc w:val="both"/>
              <w:rPr>
                <w:lang w:eastAsia="en-US"/>
              </w:rPr>
            </w:pPr>
            <w:r>
              <w:rPr>
                <w:lang w:eastAsia="en-US"/>
              </w:rPr>
              <w:t>2.</w:t>
            </w:r>
            <w:r w:rsidRPr="00175D0A">
              <w:rPr>
                <w:lang w:eastAsia="en-US"/>
              </w:rPr>
              <w:t xml:space="preserve"> NMPD</w:t>
            </w:r>
            <w:r>
              <w:rPr>
                <w:lang w:eastAsia="en-US"/>
              </w:rPr>
              <w:t xml:space="preserve"> </w:t>
            </w:r>
            <w:r w:rsidR="008C1794">
              <w:rPr>
                <w:b/>
                <w:lang w:eastAsia="en-US"/>
              </w:rPr>
              <w:t>1 300</w:t>
            </w:r>
            <w:r w:rsidRPr="00175D0A">
              <w:rPr>
                <w:lang w:eastAsia="en-US"/>
              </w:rPr>
              <w:t> </w:t>
            </w:r>
            <w:r w:rsidRPr="00175D0A">
              <w:rPr>
                <w:b/>
                <w:i/>
                <w:lang w:eastAsia="en-US"/>
              </w:rPr>
              <w:t>euro</w:t>
            </w:r>
            <w:r w:rsidRPr="00175D0A">
              <w:rPr>
                <w:lang w:eastAsia="en-US"/>
              </w:rPr>
              <w:t xml:space="preserve">, lai segtu izdevumus, kas radušies </w:t>
            </w:r>
            <w:r w:rsidRPr="00097FF1">
              <w:t>laikposmā</w:t>
            </w:r>
            <w:r>
              <w:t xml:space="preserve"> no </w:t>
            </w:r>
            <w:r w:rsidRPr="003523F6">
              <w:t>201</w:t>
            </w:r>
            <w:r>
              <w:t>7</w:t>
            </w:r>
            <w:r w:rsidRPr="003523F6">
              <w:t>.gada</w:t>
            </w:r>
            <w:r>
              <w:t xml:space="preserve"> </w:t>
            </w:r>
            <w:r w:rsidRPr="000B7351" w:rsidR="005856D9">
              <w:t>1</w:t>
            </w:r>
            <w:r w:rsidR="005856D9">
              <w:t>.oktobra līdz 2017.gada 31.decembim</w:t>
            </w:r>
            <w:r w:rsidRPr="003523F6">
              <w:t xml:space="preserve"> </w:t>
            </w:r>
            <w:r w:rsidRPr="00175D0A">
              <w:rPr>
                <w:rFonts w:eastAsia="Calibri"/>
                <w:lang w:eastAsia="en-US"/>
              </w:rPr>
              <w:t xml:space="preserve">saistībā ar </w:t>
            </w:r>
            <w:r w:rsidR="005856D9">
              <w:rPr>
                <w:rFonts w:eastAsia="Calibri"/>
                <w:lang w:eastAsia="en-US"/>
              </w:rPr>
              <w:t>1</w:t>
            </w:r>
            <w:r>
              <w:rPr>
                <w:rFonts w:eastAsia="Calibri"/>
                <w:lang w:eastAsia="en-US"/>
              </w:rPr>
              <w:t>2</w:t>
            </w:r>
            <w:r w:rsidRPr="00175D0A">
              <w:rPr>
                <w:bCs/>
                <w:lang w:eastAsia="en-US"/>
              </w:rPr>
              <w:t> izsaukumiem</w:t>
            </w:r>
            <w:r w:rsidRPr="00175D0A">
              <w:rPr>
                <w:lang w:eastAsia="en-US"/>
              </w:rPr>
              <w:t xml:space="preserve"> pie patvēruma meklētājiem</w:t>
            </w:r>
            <w:r>
              <w:t xml:space="preserve"> (2340 kods </w:t>
            </w:r>
            <w:r w:rsidRPr="00B34AA1">
              <w:t>Zāles, ķimikālijas, laboratorijas preces, medicīniskās ierīces, medicīnas instrumenti, laboratorijas dzīvnieki un to uzturēšana</w:t>
            </w:r>
            <w:r>
              <w:t>).</w:t>
            </w:r>
          </w:p>
          <w:p w:rsidR="005856D9" w:rsidP="005856D9">
            <w:pPr>
              <w:tabs>
                <w:tab w:val="left" w:pos="743"/>
              </w:tabs>
              <w:ind w:left="661"/>
              <w:jc w:val="both"/>
              <w:rPr>
                <w:i/>
              </w:rPr>
            </w:pPr>
            <w:r>
              <w:t>108</w:t>
            </w:r>
            <w:r w:rsidRPr="00E9413A">
              <w:t>,3</w:t>
            </w:r>
            <w:r>
              <w:t>2</w:t>
            </w:r>
            <w:r w:rsidRPr="00E9413A">
              <w:t xml:space="preserve"> </w:t>
            </w:r>
            <w:r w:rsidRPr="00E9413A">
              <w:rPr>
                <w:i/>
              </w:rPr>
              <w:t>euro</w:t>
            </w:r>
            <w:r w:rsidRPr="00E9413A">
              <w:t xml:space="preserve"> par izsaukumu</w:t>
            </w:r>
            <w:r>
              <w:t xml:space="preserve"> * </w:t>
            </w:r>
            <w:r>
              <w:t>1</w:t>
            </w:r>
            <w:r>
              <w:t xml:space="preserve">2 izsaukumi = </w:t>
            </w:r>
            <w:r>
              <w:t>1</w:t>
            </w:r>
            <w:r>
              <w:t xml:space="preserve"> </w:t>
            </w:r>
            <w:r>
              <w:t>2</w:t>
            </w:r>
            <w:r>
              <w:t>9</w:t>
            </w:r>
            <w:r>
              <w:t>9</w:t>
            </w:r>
            <w:r>
              <w:t>,</w:t>
            </w:r>
            <w:r>
              <w:t>8</w:t>
            </w:r>
            <w:r>
              <w:t xml:space="preserve">4 </w:t>
            </w:r>
            <w:r w:rsidRPr="00E9413A">
              <w:rPr>
                <w:i/>
              </w:rPr>
              <w:t>euro</w:t>
            </w:r>
            <w:r>
              <w:rPr>
                <w:i/>
              </w:rPr>
              <w:t>.</w:t>
            </w:r>
          </w:p>
          <w:p w:rsidR="00155578" w:rsidRPr="00A772AD" w:rsidP="005856D9">
            <w:pPr>
              <w:tabs>
                <w:tab w:val="left" w:pos="743"/>
              </w:tabs>
              <w:ind w:left="661"/>
              <w:jc w:val="both"/>
              <w:rPr>
                <w:b/>
                <w:bCs/>
              </w:rPr>
            </w:pPr>
            <w:r w:rsidRPr="00787C3C">
              <w:t xml:space="preserve"> </w:t>
            </w:r>
          </w:p>
        </w:tc>
      </w:tr>
      <w:tr w:rsidTr="009547D2">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155578" w:rsidRPr="00EC6E12" w:rsidP="00155578">
            <w:pPr>
              <w:pStyle w:val="NoSpacing"/>
              <w:rPr>
                <w:rFonts w:ascii="Times New Roman" w:hAnsi="Times New Roman" w:cs="Times New Roman"/>
                <w:iCs/>
                <w:sz w:val="24"/>
                <w:szCs w:val="24"/>
                <w:lang w:eastAsia="lv-LV"/>
              </w:rPr>
            </w:pPr>
          </w:p>
        </w:tc>
      </w:tr>
      <w:tr w:rsidTr="009547D2">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155578" w:rsidRPr="00EC6E12" w:rsidP="00155578">
            <w:pPr>
              <w:pStyle w:val="NoSpacing"/>
              <w:rPr>
                <w:rFonts w:ascii="Times New Roman" w:hAnsi="Times New Roman" w:cs="Times New Roman"/>
                <w:iCs/>
                <w:sz w:val="24"/>
                <w:szCs w:val="24"/>
                <w:lang w:eastAsia="lv-LV"/>
              </w:rPr>
            </w:pPr>
          </w:p>
        </w:tc>
      </w:tr>
      <w:tr w:rsidTr="00E876F3">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155578" w:rsidRPr="00EC6E12" w:rsidP="00155578">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Tr="001350F1">
        <w:tblPrEx>
          <w:tblW w:w="9356" w:type="dxa"/>
          <w:tblInd w:w="-147" w:type="dxa"/>
          <w:tblLayout w:type="fixed"/>
          <w:tblLook w:val="04A0"/>
        </w:tblPrEx>
        <w:tc>
          <w:tcPr>
            <w:tcW w:w="1702" w:type="dxa"/>
            <w:vAlign w:val="center"/>
          </w:tcPr>
          <w:p w:rsidR="00155578" w:rsidRPr="00EC6E12"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155578" w:rsidRPr="00EC6E12" w:rsidP="00155578">
            <w:pPr>
              <w:pStyle w:val="NoSpacing"/>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p>
        </w:tc>
      </w:tr>
    </w:tbl>
    <w:p w:rsidR="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rsidTr="006936E5">
        <w:tblPrEx>
          <w:tblW w:w="9356" w:type="dxa"/>
          <w:tblInd w:w="-147" w:type="dxa"/>
          <w:tblLook w:val="04A0"/>
        </w:tblPrEx>
        <w:tc>
          <w:tcPr>
            <w:tcW w:w="9356" w:type="dxa"/>
          </w:tcPr>
          <w:p w:rsidR="007F6F87" w:rsidRPr="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Tr="006936E5">
        <w:tblPrEx>
          <w:tblW w:w="9356" w:type="dxa"/>
          <w:tblInd w:w="-147" w:type="dxa"/>
          <w:tblLook w:val="04A0"/>
        </w:tblPrEx>
        <w:tc>
          <w:tcPr>
            <w:tcW w:w="9356" w:type="dxa"/>
          </w:tcPr>
          <w:p w:rsidR="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rsidTr="006936E5">
        <w:tblPrEx>
          <w:tblW w:w="9356" w:type="dxa"/>
          <w:tblInd w:w="-147" w:type="dxa"/>
          <w:tblLook w:val="04A0"/>
        </w:tblPrEx>
        <w:tc>
          <w:tcPr>
            <w:tcW w:w="9356" w:type="dxa"/>
          </w:tcPr>
          <w:p w:rsidR="007F6F87" w:rsidRPr="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Tr="006936E5">
        <w:tblPrEx>
          <w:tblW w:w="9356" w:type="dxa"/>
          <w:tblInd w:w="-147" w:type="dxa"/>
          <w:tblLook w:val="04A0"/>
        </w:tblPrEx>
        <w:tc>
          <w:tcPr>
            <w:tcW w:w="9356" w:type="dxa"/>
          </w:tcPr>
          <w:p w:rsidR="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rsidTr="006936E5">
        <w:tblPrEx>
          <w:tblW w:w="9356" w:type="dxa"/>
          <w:tblInd w:w="-147" w:type="dxa"/>
          <w:tblLook w:val="04A0"/>
        </w:tblPrEx>
        <w:tc>
          <w:tcPr>
            <w:tcW w:w="9356" w:type="dxa"/>
          </w:tcPr>
          <w:p w:rsidR="007F6F87" w:rsidRPr="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Tr="006936E5">
        <w:tblPrEx>
          <w:tblW w:w="9356" w:type="dxa"/>
          <w:tblInd w:w="-147" w:type="dxa"/>
          <w:tblLook w:val="04A0"/>
        </w:tblPrEx>
        <w:tc>
          <w:tcPr>
            <w:tcW w:w="9356" w:type="dxa"/>
          </w:tcPr>
          <w:p w:rsidR="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tblPr>
      <w:tblGrid>
        <w:gridCol w:w="568"/>
        <w:gridCol w:w="3260"/>
        <w:gridCol w:w="5528"/>
      </w:tblGrid>
      <w:tr w:rsidTr="006936E5">
        <w:tblPrEx>
          <w:tblW w:w="9356" w:type="dxa"/>
          <w:tblInd w:w="-147" w:type="dxa"/>
          <w:tblLook w:val="04A0"/>
        </w:tblPrEx>
        <w:tc>
          <w:tcPr>
            <w:tcW w:w="9356" w:type="dxa"/>
            <w:gridSpan w:val="3"/>
          </w:tcPr>
          <w:p w:rsidR="007F6F87" w:rsidRPr="00CB0786"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Tr="006936E5">
        <w:tblPrEx>
          <w:tblW w:w="9356" w:type="dxa"/>
          <w:tblInd w:w="-147" w:type="dxa"/>
          <w:tblLook w:val="04A0"/>
        </w:tblPrEx>
        <w:tc>
          <w:tcPr>
            <w:tcW w:w="568" w:type="dxa"/>
          </w:tcPr>
          <w:p w:rsidR="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49601C" w:rsidRPr="00EC6E12"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49601C" w:rsidRPr="00D65792" w:rsidP="0049601C">
            <w:pPr>
              <w:jc w:val="both"/>
            </w:pPr>
            <w:r w:rsidRPr="00155578">
              <w:t>NVD un NMPD</w:t>
            </w:r>
          </w:p>
        </w:tc>
      </w:tr>
      <w:tr w:rsidTr="006936E5">
        <w:tblPrEx>
          <w:tblW w:w="9356" w:type="dxa"/>
          <w:tblInd w:w="-147" w:type="dxa"/>
          <w:tblLook w:val="04A0"/>
        </w:tblPrEx>
        <w:tc>
          <w:tcPr>
            <w:tcW w:w="568" w:type="dxa"/>
          </w:tcPr>
          <w:p w:rsidR="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P="0049601C">
            <w:r w:rsidRPr="00D65792">
              <w:t>Projekts šo jomu neskar.</w:t>
            </w:r>
          </w:p>
        </w:tc>
      </w:tr>
      <w:tr w:rsidTr="006936E5">
        <w:tblPrEx>
          <w:tblW w:w="9356" w:type="dxa"/>
          <w:tblInd w:w="-147" w:type="dxa"/>
          <w:tblLook w:val="04A0"/>
        </w:tblPrEx>
        <w:tc>
          <w:tcPr>
            <w:tcW w:w="568" w:type="dxa"/>
          </w:tcPr>
          <w:p w:rsidR="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P="00EC6E12">
      <w:pPr>
        <w:pStyle w:val="NoSpacing"/>
        <w:rPr>
          <w:rFonts w:ascii="Times New Roman" w:hAnsi="Times New Roman" w:cs="Times New Roman"/>
          <w:iCs/>
          <w:sz w:val="24"/>
          <w:szCs w:val="24"/>
          <w:lang w:eastAsia="lv-LV"/>
        </w:rPr>
      </w:pPr>
    </w:p>
    <w:p w:rsidR="00DF461F" w:rsidP="00DF461F">
      <w:pPr>
        <w:ind w:right="-765"/>
        <w:rPr>
          <w:rFonts w:eastAsia="Calibri"/>
          <w:color w:val="000000" w:themeColor="text1"/>
          <w:sz w:val="28"/>
          <w:szCs w:val="28"/>
        </w:rPr>
      </w:pPr>
      <w:r>
        <w:rPr>
          <w:rFonts w:eastAsia="Calibri"/>
          <w:color w:val="000000" w:themeColor="text1"/>
          <w:sz w:val="28"/>
          <w:szCs w:val="28"/>
        </w:rPr>
        <w:t>Ministru prezidents,</w:t>
      </w:r>
    </w:p>
    <w:p w:rsidR="00DF461F" w:rsidP="00DF461F">
      <w:pPr>
        <w:ind w:right="-765"/>
        <w:rPr>
          <w:rFonts w:eastAsia="Calibri"/>
          <w:color w:val="000000" w:themeColor="text1"/>
          <w:sz w:val="28"/>
          <w:szCs w:val="28"/>
        </w:rPr>
      </w:pPr>
      <w:r>
        <w:rPr>
          <w:rFonts w:eastAsia="Calibri"/>
          <w:color w:val="000000" w:themeColor="text1"/>
          <w:sz w:val="28"/>
          <w:szCs w:val="28"/>
        </w:rPr>
        <w:t xml:space="preserve">veselības ministra pienākumu izpildītājs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Māris Kučinskis</w:t>
      </w:r>
    </w:p>
    <w:p w:rsidR="00DF461F" w:rsidP="00DF461F">
      <w:pPr>
        <w:tabs>
          <w:tab w:val="left" w:pos="6237"/>
        </w:tabs>
        <w:ind w:firstLine="720"/>
        <w:rPr>
          <w:rFonts w:eastAsiaTheme="minorHAnsi"/>
          <w:sz w:val="28"/>
          <w:szCs w:val="28"/>
        </w:rPr>
      </w:pPr>
      <w:r>
        <w:rPr>
          <w:sz w:val="28"/>
          <w:szCs w:val="28"/>
        </w:rPr>
        <w:tab/>
      </w:r>
    </w:p>
    <w:p w:rsidR="00DF461F" w:rsidP="00DF461F">
      <w:pPr>
        <w:ind w:right="-765"/>
        <w:rPr>
          <w:rFonts w:eastAsia="Calibri"/>
          <w:color w:val="000000" w:themeColor="text1"/>
          <w:sz w:val="28"/>
          <w:szCs w:val="28"/>
        </w:rPr>
      </w:pPr>
    </w:p>
    <w:p w:rsidR="00155578" w:rsidRPr="00181467" w:rsidP="00DF461F">
      <w:pPr>
        <w:pStyle w:val="NormalWeb"/>
        <w:spacing w:before="0" w:beforeAutospacing="0" w:after="0" w:afterAutospacing="0"/>
        <w:rPr>
          <w:sz w:val="20"/>
          <w:szCs w:val="20"/>
        </w:rPr>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Aivars Lapiņš</w:t>
      </w:r>
    </w:p>
    <w:p w:rsidR="00155578" w:rsidP="00155578">
      <w:pPr>
        <w:pStyle w:val="NormalWeb"/>
        <w:spacing w:before="0" w:beforeAutospacing="0" w:after="0" w:afterAutospacing="0"/>
        <w:rPr>
          <w:sz w:val="20"/>
          <w:szCs w:val="20"/>
        </w:rPr>
      </w:pPr>
    </w:p>
    <w:p w:rsidR="00155578" w:rsidRPr="003B7AFB" w:rsidP="00155578">
      <w:pPr>
        <w:pStyle w:val="NormalWeb"/>
        <w:spacing w:before="0" w:beforeAutospacing="0" w:after="0" w:afterAutospacing="0"/>
      </w:pPr>
      <w:r w:rsidRPr="003B7AFB">
        <w:t>Vinničenko 67876029</w:t>
      </w:r>
    </w:p>
    <w:p w:rsidR="00CB0786" w:rsidP="00FC3FDB">
      <w:pPr>
        <w:pStyle w:val="NormalWeb"/>
        <w:spacing w:before="0" w:beforeAutospacing="0" w:after="0" w:afterAutospacing="0"/>
      </w:pPr>
      <w:r>
        <w:fldChar w:fldCharType="begin"/>
      </w:r>
      <w:r>
        <w:instrText xml:space="preserve"> HYPERLINK "mailto:Inga.Vinnicenko@vm.gov.lv" </w:instrText>
      </w:r>
      <w:r>
        <w:fldChar w:fldCharType="separate"/>
      </w:r>
      <w:r w:rsidRPr="00176EA7" w:rsidR="00155578">
        <w:rPr>
          <w:rStyle w:val="Hyperlink"/>
        </w:rPr>
        <w:t>Inga.Vinnicenko@vm.gov.lv</w:t>
      </w:r>
      <w:r>
        <w:fldChar w:fldCharType="end"/>
      </w:r>
    </w:p>
    <w:sectPr w:rsidSect="009A2654">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3BF" w:rsidRPr="00894C55">
    <w:pPr>
      <w:pStyle w:val="Footer"/>
      <w:rPr>
        <w:rFonts w:ascii="Times New Roman" w:hAnsi="Times New Roman" w:cs="Times New Roman"/>
        <w:sz w:val="20"/>
        <w:szCs w:val="20"/>
      </w:rPr>
    </w:pPr>
    <w:bookmarkStart w:id="4" w:name="_Hlk508203706"/>
    <w:bookmarkStart w:id="5" w:name="_Hlk508203707"/>
    <w:bookmarkStart w:id="6" w:name="_Hlk508203708"/>
    <w:r>
      <w:rPr>
        <w:rFonts w:ascii="Times New Roman" w:hAnsi="Times New Roman" w:cs="Times New Roman"/>
        <w:sz w:val="20"/>
        <w:szCs w:val="20"/>
      </w:rPr>
      <w:t>V</w:t>
    </w:r>
    <w:r w:rsidRPr="008B37B7" w:rsidR="008B37B7">
      <w:rPr>
        <w:rFonts w:ascii="Times New Roman" w:hAnsi="Times New Roman" w:cs="Times New Roman"/>
        <w:sz w:val="20"/>
        <w:szCs w:val="20"/>
      </w:rPr>
      <w:t>Manot_</w:t>
    </w:r>
    <w:r w:rsidR="002549F5">
      <w:rPr>
        <w:rFonts w:ascii="Times New Roman" w:hAnsi="Times New Roman" w:cs="Times New Roman"/>
        <w:sz w:val="20"/>
        <w:szCs w:val="20"/>
      </w:rPr>
      <w:t>1</w:t>
    </w:r>
    <w:r w:rsidR="0004022B">
      <w:rPr>
        <w:rFonts w:ascii="Times New Roman" w:hAnsi="Times New Roman" w:cs="Times New Roman"/>
        <w:sz w:val="20"/>
        <w:szCs w:val="20"/>
      </w:rPr>
      <w:t>4</w:t>
    </w:r>
    <w:r w:rsidRPr="008B37B7" w:rsidR="008B37B7">
      <w:rPr>
        <w:rFonts w:ascii="Times New Roman" w:hAnsi="Times New Roman" w:cs="Times New Roman"/>
        <w:sz w:val="20"/>
        <w:szCs w:val="20"/>
      </w:rPr>
      <w:t>0</w:t>
    </w:r>
    <w:r>
      <w:rPr>
        <w:rFonts w:ascii="Times New Roman" w:hAnsi="Times New Roman" w:cs="Times New Roman"/>
        <w:sz w:val="20"/>
        <w:szCs w:val="20"/>
      </w:rPr>
      <w:t>3</w:t>
    </w:r>
    <w:r w:rsidRPr="008B37B7" w:rsidR="008B37B7">
      <w:rPr>
        <w:rFonts w:ascii="Times New Roman" w:hAnsi="Times New Roman" w:cs="Times New Roman"/>
        <w:sz w:val="20"/>
        <w:szCs w:val="20"/>
      </w:rPr>
      <w:t>18_</w:t>
    </w:r>
    <w:r>
      <w:rPr>
        <w:rFonts w:ascii="Times New Roman" w:hAnsi="Times New Roman" w:cs="Times New Roman"/>
        <w:sz w:val="20"/>
        <w:szCs w:val="20"/>
      </w:rPr>
      <w:t>LNG_patver</w:t>
    </w:r>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3BF" w:rsidRPr="00155578" w:rsidP="00155578">
    <w:pPr>
      <w:pStyle w:val="Footer"/>
    </w:pPr>
    <w:r w:rsidRPr="00155578">
      <w:rPr>
        <w:rFonts w:ascii="Times New Roman" w:hAnsi="Times New Roman" w:cs="Times New Roman"/>
        <w:sz w:val="20"/>
        <w:szCs w:val="20"/>
      </w:rPr>
      <w:t>VManot_</w:t>
    </w:r>
    <w:r w:rsidR="002549F5">
      <w:rPr>
        <w:rFonts w:ascii="Times New Roman" w:hAnsi="Times New Roman" w:cs="Times New Roman"/>
        <w:sz w:val="20"/>
        <w:szCs w:val="20"/>
      </w:rPr>
      <w:t>1</w:t>
    </w:r>
    <w:r w:rsidR="0004022B">
      <w:rPr>
        <w:rFonts w:ascii="Times New Roman" w:hAnsi="Times New Roman" w:cs="Times New Roman"/>
        <w:sz w:val="20"/>
        <w:szCs w:val="20"/>
      </w:rPr>
      <w:t>4</w:t>
    </w:r>
    <w:r w:rsidRPr="00155578">
      <w:rPr>
        <w:rFonts w:ascii="Times New Roman" w:hAnsi="Times New Roman" w:cs="Times New Roman"/>
        <w:sz w:val="20"/>
        <w:szCs w:val="20"/>
      </w:rPr>
      <w:t>0318_LNG_patver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8419091"/>
      <w:docPartObj>
        <w:docPartGallery w:val="Page Numbers (Top of Page)"/>
        <w:docPartUnique/>
      </w:docPartObj>
    </w:sdtPr>
    <w:sdtEndPr>
      <w:rPr>
        <w:rFonts w:ascii="Times New Roman" w:hAnsi="Times New Roman" w:cs="Times New Roman"/>
        <w:noProof/>
        <w:sz w:val="24"/>
        <w:szCs w:val="20"/>
      </w:rPr>
    </w:sdtEndPr>
    <w:sdtContent>
      <w:p w:rsidR="003903BF"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221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 w15:restartNumberingAfterBreak="1">
    <w:nsid w:val="5FBF66A3"/>
    <w:multiLevelType w:val="hybridMultilevel"/>
    <w:tmpl w:val="54A259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9D"/>
    <w:rsid w:val="00037CA6"/>
    <w:rsid w:val="0004022B"/>
    <w:rsid w:val="00051EE3"/>
    <w:rsid w:val="00073948"/>
    <w:rsid w:val="0008249D"/>
    <w:rsid w:val="00097FF1"/>
    <w:rsid w:val="000B7351"/>
    <w:rsid w:val="000E7FA7"/>
    <w:rsid w:val="00130487"/>
    <w:rsid w:val="00140644"/>
    <w:rsid w:val="00152501"/>
    <w:rsid w:val="001525D7"/>
    <w:rsid w:val="001545F3"/>
    <w:rsid w:val="00154A6D"/>
    <w:rsid w:val="00155578"/>
    <w:rsid w:val="00175D0A"/>
    <w:rsid w:val="00176EA7"/>
    <w:rsid w:val="00181467"/>
    <w:rsid w:val="001B6C59"/>
    <w:rsid w:val="001C768D"/>
    <w:rsid w:val="001D66EB"/>
    <w:rsid w:val="001E7EAF"/>
    <w:rsid w:val="00243426"/>
    <w:rsid w:val="002549F5"/>
    <w:rsid w:val="00282312"/>
    <w:rsid w:val="002D1E95"/>
    <w:rsid w:val="002E1C05"/>
    <w:rsid w:val="003243B6"/>
    <w:rsid w:val="003523F6"/>
    <w:rsid w:val="00361916"/>
    <w:rsid w:val="003903BF"/>
    <w:rsid w:val="0039467E"/>
    <w:rsid w:val="003B0BF9"/>
    <w:rsid w:val="003B7AFB"/>
    <w:rsid w:val="003E0791"/>
    <w:rsid w:val="003F28AC"/>
    <w:rsid w:val="004454FE"/>
    <w:rsid w:val="00456E40"/>
    <w:rsid w:val="00466F00"/>
    <w:rsid w:val="00471F27"/>
    <w:rsid w:val="0049601C"/>
    <w:rsid w:val="004B5A63"/>
    <w:rsid w:val="004E1BA2"/>
    <w:rsid w:val="004E29AE"/>
    <w:rsid w:val="0050178F"/>
    <w:rsid w:val="00560FB1"/>
    <w:rsid w:val="005856D9"/>
    <w:rsid w:val="005F7BA4"/>
    <w:rsid w:val="005F7F97"/>
    <w:rsid w:val="006335C0"/>
    <w:rsid w:val="00647B3D"/>
    <w:rsid w:val="00655F2C"/>
    <w:rsid w:val="00681F74"/>
    <w:rsid w:val="006936E5"/>
    <w:rsid w:val="006A31D0"/>
    <w:rsid w:val="006B221B"/>
    <w:rsid w:val="006E1081"/>
    <w:rsid w:val="006E71F7"/>
    <w:rsid w:val="00720585"/>
    <w:rsid w:val="007272A8"/>
    <w:rsid w:val="007606BC"/>
    <w:rsid w:val="00773AF6"/>
    <w:rsid w:val="00773EC6"/>
    <w:rsid w:val="00781317"/>
    <w:rsid w:val="0078722D"/>
    <w:rsid w:val="00787C3C"/>
    <w:rsid w:val="0079260F"/>
    <w:rsid w:val="00792724"/>
    <w:rsid w:val="0079316C"/>
    <w:rsid w:val="00795F71"/>
    <w:rsid w:val="007E3BCE"/>
    <w:rsid w:val="007E5F7A"/>
    <w:rsid w:val="007E73AB"/>
    <w:rsid w:val="007F6F87"/>
    <w:rsid w:val="00816C11"/>
    <w:rsid w:val="00842AD1"/>
    <w:rsid w:val="00894C55"/>
    <w:rsid w:val="00896AEE"/>
    <w:rsid w:val="008B37B7"/>
    <w:rsid w:val="008C1794"/>
    <w:rsid w:val="009547D2"/>
    <w:rsid w:val="009A2654"/>
    <w:rsid w:val="009B61EE"/>
    <w:rsid w:val="009E47B9"/>
    <w:rsid w:val="009F25E7"/>
    <w:rsid w:val="00A10FC3"/>
    <w:rsid w:val="00A1496F"/>
    <w:rsid w:val="00A6073E"/>
    <w:rsid w:val="00A772AD"/>
    <w:rsid w:val="00A935DA"/>
    <w:rsid w:val="00AA4209"/>
    <w:rsid w:val="00AE5567"/>
    <w:rsid w:val="00AF1239"/>
    <w:rsid w:val="00B16480"/>
    <w:rsid w:val="00B2165C"/>
    <w:rsid w:val="00B24C87"/>
    <w:rsid w:val="00B34AA1"/>
    <w:rsid w:val="00B52623"/>
    <w:rsid w:val="00B67377"/>
    <w:rsid w:val="00BA20AA"/>
    <w:rsid w:val="00BD4425"/>
    <w:rsid w:val="00BD7F5E"/>
    <w:rsid w:val="00C10270"/>
    <w:rsid w:val="00C25B49"/>
    <w:rsid w:val="00C3058A"/>
    <w:rsid w:val="00C30F18"/>
    <w:rsid w:val="00C348FC"/>
    <w:rsid w:val="00C42475"/>
    <w:rsid w:val="00C863E1"/>
    <w:rsid w:val="00CB0786"/>
    <w:rsid w:val="00CC0D2D"/>
    <w:rsid w:val="00CE5657"/>
    <w:rsid w:val="00D133F8"/>
    <w:rsid w:val="00D14A3E"/>
    <w:rsid w:val="00D22281"/>
    <w:rsid w:val="00D24501"/>
    <w:rsid w:val="00D65792"/>
    <w:rsid w:val="00DE07F2"/>
    <w:rsid w:val="00DF461F"/>
    <w:rsid w:val="00DF68F8"/>
    <w:rsid w:val="00DF776E"/>
    <w:rsid w:val="00E01657"/>
    <w:rsid w:val="00E32710"/>
    <w:rsid w:val="00E3716B"/>
    <w:rsid w:val="00E5323B"/>
    <w:rsid w:val="00E8749E"/>
    <w:rsid w:val="00E90C01"/>
    <w:rsid w:val="00E9413A"/>
    <w:rsid w:val="00EA0908"/>
    <w:rsid w:val="00EA486E"/>
    <w:rsid w:val="00EC6E12"/>
    <w:rsid w:val="00EC766A"/>
    <w:rsid w:val="00EE2F62"/>
    <w:rsid w:val="00F01E73"/>
    <w:rsid w:val="00F57B0C"/>
    <w:rsid w:val="00F82318"/>
    <w:rsid w:val="00FC3F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6956</Words>
  <Characters>3965</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Inga Vinničenko</cp:lastModifiedBy>
  <cp:revision>31</cp:revision>
  <cp:lastPrinted>2018-02-08T11:30:00Z</cp:lastPrinted>
  <dcterms:created xsi:type="dcterms:W3CDTF">2018-03-07T13:59:00Z</dcterms:created>
  <dcterms:modified xsi:type="dcterms:W3CDTF">2018-03-14T12:38:00Z</dcterms:modified>
</cp:coreProperties>
</file>