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72" w:rsidRDefault="001A5772" w:rsidP="001A5772">
      <w:pPr>
        <w:pStyle w:val="naislab"/>
        <w:jc w:val="center"/>
        <w:rPr>
          <w:b/>
          <w:bCs/>
          <w:sz w:val="28"/>
          <w:szCs w:val="28"/>
          <w:lang w:val="lv-LV"/>
        </w:rPr>
      </w:pPr>
      <w:r w:rsidRPr="006303EF">
        <w:rPr>
          <w:b/>
          <w:bCs/>
          <w:sz w:val="28"/>
          <w:szCs w:val="28"/>
          <w:lang w:val="lv-LV"/>
        </w:rPr>
        <w:t xml:space="preserve">Ministru kabineta noteikumu </w:t>
      </w:r>
      <w:r w:rsidR="00447461" w:rsidRPr="00447461">
        <w:rPr>
          <w:b/>
          <w:bCs/>
          <w:sz w:val="28"/>
          <w:szCs w:val="28"/>
          <w:lang w:val="lv-LV"/>
        </w:rPr>
        <w:t>“Grozījumi Ministru kabineta 2009.gada 9.decembra noteikumos Nr.1393 „Veterinārās prasības mājputnu un zaķveidīgo gaļas apritei nelielā daudzumā”</w:t>
      </w:r>
      <w:r w:rsidR="00593B8F">
        <w:rPr>
          <w:b/>
          <w:bCs/>
          <w:sz w:val="28"/>
          <w:szCs w:val="28"/>
          <w:lang w:val="lv-LV"/>
        </w:rPr>
        <w:t>”</w:t>
      </w:r>
      <w:r w:rsidRPr="006303EF">
        <w:rPr>
          <w:b/>
          <w:bCs/>
          <w:sz w:val="28"/>
          <w:szCs w:val="28"/>
          <w:lang w:val="lv-LV"/>
        </w:rPr>
        <w:t xml:space="preserve"> sākotnējās ietekmes novērtējuma ziņojums (</w:t>
      </w:r>
      <w:r w:rsidRPr="001A5772">
        <w:rPr>
          <w:b/>
          <w:bCs/>
          <w:sz w:val="28"/>
          <w:szCs w:val="28"/>
          <w:lang w:val="lv-LV"/>
        </w:rPr>
        <w:t>anotācija)</w:t>
      </w:r>
    </w:p>
    <w:p w:rsidR="00A035B4" w:rsidRPr="000A242C" w:rsidRDefault="00A035B4" w:rsidP="00FB65D8">
      <w:pPr>
        <w:pStyle w:val="Bezatstarpm"/>
        <w:jc w:val="center"/>
        <w:rPr>
          <w:bCs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477"/>
        <w:gridCol w:w="1949"/>
        <w:gridCol w:w="6635"/>
      </w:tblGrid>
      <w:tr w:rsidR="00A035B4" w:rsidRPr="00D46E60" w:rsidTr="00D62586">
        <w:tc>
          <w:tcPr>
            <w:tcW w:w="5000" w:type="pct"/>
            <w:gridSpan w:val="3"/>
          </w:tcPr>
          <w:p w:rsidR="00A035B4" w:rsidRPr="00A035B4" w:rsidRDefault="00A035B4" w:rsidP="00236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03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A035B4" w:rsidRPr="00D46E60" w:rsidTr="00D62586">
        <w:tc>
          <w:tcPr>
            <w:tcW w:w="1334" w:type="pct"/>
            <w:gridSpan w:val="2"/>
          </w:tcPr>
          <w:p w:rsidR="00A035B4" w:rsidRDefault="00A035B4" w:rsidP="0023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5B4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  <w:p w:rsidR="008B0177" w:rsidRPr="00A035B4" w:rsidRDefault="008B0177" w:rsidP="00236D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3666" w:type="pct"/>
          </w:tcPr>
          <w:p w:rsidR="00A035B4" w:rsidRPr="00A035B4" w:rsidRDefault="00A035B4" w:rsidP="00236D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035B4">
              <w:rPr>
                <w:rFonts w:ascii="Times New Roman" w:hAnsi="Times New Roman" w:cs="Times New Roman"/>
                <w:sz w:val="24"/>
              </w:rPr>
              <w:t>Projekts šo jomu neskar.</w:t>
            </w:r>
          </w:p>
        </w:tc>
      </w:tr>
      <w:tr w:rsidR="00FB65D8" w:rsidRPr="000A242C" w:rsidTr="00D62586">
        <w:tc>
          <w:tcPr>
            <w:tcW w:w="5000" w:type="pct"/>
            <w:gridSpan w:val="3"/>
          </w:tcPr>
          <w:p w:rsidR="00FB65D8" w:rsidRPr="00A035B4" w:rsidRDefault="00FB65D8" w:rsidP="00F62526">
            <w:pPr>
              <w:pStyle w:val="Bezatstarpm"/>
              <w:jc w:val="center"/>
              <w:rPr>
                <w:b/>
              </w:rPr>
            </w:pPr>
            <w:r w:rsidRPr="00A035B4">
              <w:rPr>
                <w:b/>
              </w:rPr>
              <w:t>I. Tiesību akta projekta izstrādes nepieciešamība</w:t>
            </w:r>
          </w:p>
        </w:tc>
      </w:tr>
      <w:tr w:rsidR="00FB65D8" w:rsidRPr="000A242C" w:rsidTr="00D62586">
        <w:tc>
          <w:tcPr>
            <w:tcW w:w="269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1.</w:t>
            </w:r>
          </w:p>
        </w:tc>
        <w:tc>
          <w:tcPr>
            <w:tcW w:w="1065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Pamatojums</w:t>
            </w:r>
          </w:p>
        </w:tc>
        <w:tc>
          <w:tcPr>
            <w:tcW w:w="3666" w:type="pct"/>
          </w:tcPr>
          <w:p w:rsidR="00FB65D8" w:rsidRDefault="001A5772" w:rsidP="00844B84">
            <w:pPr>
              <w:pStyle w:val="Bezatstarpm"/>
              <w:jc w:val="both"/>
            </w:pPr>
            <w:r w:rsidRPr="001A5772">
              <w:t>Veterinārmedicīnas likuma 25.</w:t>
            </w:r>
            <w:r w:rsidR="00472F62">
              <w:t> </w:t>
            </w:r>
            <w:r w:rsidRPr="001A5772">
              <w:t>panta 1.punkt</w:t>
            </w:r>
            <w:r w:rsidR="005F4194">
              <w:t>s un</w:t>
            </w:r>
            <w:r w:rsidRPr="001A5772">
              <w:t xml:space="preserve"> Eiropas Parlamenta un Padomes 2004.</w:t>
            </w:r>
            <w:r w:rsidR="00472F62">
              <w:t> </w:t>
            </w:r>
            <w:r w:rsidRPr="001A5772">
              <w:t>gada 29.aprīļa Regulas (EK) Nr.853/2004, ar ko nosaka īpašus higiēnas noteikumus attiecībā uz dzīvnieku izcelsmes pārtiku</w:t>
            </w:r>
            <w:r w:rsidR="00593B8F">
              <w:t>,</w:t>
            </w:r>
            <w:r w:rsidRPr="001A5772">
              <w:t xml:space="preserve"> (turpmāk – Regula Nr.853/2004) 1.</w:t>
            </w:r>
            <w:r w:rsidR="00472F62">
              <w:t> </w:t>
            </w:r>
            <w:r w:rsidRPr="001A5772">
              <w:t>panta 4.punkt</w:t>
            </w:r>
            <w:r w:rsidR="005F4194">
              <w:t>s</w:t>
            </w:r>
            <w:r w:rsidRPr="001A5772">
              <w:t>.</w:t>
            </w:r>
          </w:p>
          <w:p w:rsidR="008B0177" w:rsidRPr="000A242C" w:rsidRDefault="008B0177" w:rsidP="00844B84">
            <w:pPr>
              <w:pStyle w:val="Bezatstarpm"/>
              <w:jc w:val="both"/>
            </w:pPr>
          </w:p>
        </w:tc>
      </w:tr>
      <w:tr w:rsidR="00FB65D8" w:rsidRPr="00A25835" w:rsidTr="00D62586">
        <w:tc>
          <w:tcPr>
            <w:tcW w:w="269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2.</w:t>
            </w:r>
          </w:p>
        </w:tc>
        <w:tc>
          <w:tcPr>
            <w:tcW w:w="1065" w:type="pct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Pašreizējā situācija un problēmas, kuru risināšanai tiesību akta projekts izstrādāts, tiesiskā regulējuma mērķis un būtība</w:t>
            </w:r>
          </w:p>
        </w:tc>
        <w:tc>
          <w:tcPr>
            <w:tcW w:w="3666" w:type="pct"/>
          </w:tcPr>
          <w:p w:rsidR="001A5772" w:rsidRDefault="001A5772" w:rsidP="00472F6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</w:t>
            </w:r>
            <w:r w:rsidR="00472F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="00593B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</w:t>
            </w:r>
            <w:r w:rsidRPr="001A5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spēkā ir Ministru kabineta 2009.</w:t>
            </w:r>
            <w:r w:rsidR="00472F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A5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8.</w:t>
            </w:r>
            <w:r w:rsidR="00472F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A57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decembra noteikumi Nr.1393 „Veterinārās prasības mājputnu un zaķveidīgo gaļas apritei nelielā daudzumā” (turpmāk – noteikumi Nr.1393). </w:t>
            </w:r>
          </w:p>
          <w:p w:rsidR="003D7AFF" w:rsidRDefault="003402FD" w:rsidP="00472F6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3D7A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oteikumi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Nr.1393</w:t>
            </w:r>
            <w:r w:rsidR="005915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D7A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paredz, ka </w:t>
            </w:r>
            <w:r w:rsidR="00472F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3D7AFF" w:rsidRPr="00447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ājputnus un zaķveidīgos atļauts kaut tikai pēc to pirmskaušanas apskates, ko veic </w:t>
            </w:r>
            <w:r w:rsidR="004A54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Pārtikas un veterinārā </w:t>
            </w:r>
            <w:r w:rsidR="003D7AFF" w:rsidRPr="00447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</w:t>
            </w:r>
            <w:r w:rsidR="004A54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</w:t>
            </w:r>
            <w:r w:rsidR="006557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4A54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</w:t>
            </w:r>
            <w:r w:rsidR="002037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4A54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3D7AFF" w:rsidRPr="00447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pilnvarots veterinārārsts vai persona, kura ir apmācīta veikt pirmskaušanas apskati un pēckaušanas veterināro ekspertīzi saskaņā ar Eiropas Parlamenta un Padomes Regulas </w:t>
            </w:r>
            <w:proofErr w:type="gramStart"/>
            <w:r w:rsidR="003D7AFF" w:rsidRPr="00447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="003D7AFF" w:rsidRPr="00447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EK) Nr. </w:t>
            </w:r>
            <w:hyperlink r:id="rId6" w:tgtFrame="_blank" w:history="1">
              <w:r w:rsidR="003D7AFF" w:rsidRPr="00447461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854/2004</w:t>
              </w:r>
            </w:hyperlink>
            <w:r w:rsidR="003D7AFF" w:rsidRPr="00447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ar ko paredz īpašus noteikumus par lietošanai pārtikā paredzētu dzīvnieku izcelsmes produktu oficiālās kontroles organizēšanu</w:t>
            </w:r>
            <w:r w:rsidR="00593B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A54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Regula Nr.854/2004)</w:t>
            </w:r>
            <w:r w:rsidR="003D7AFF" w:rsidRPr="004474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5.panta 6.punkta "a" apakšpunktu</w:t>
            </w:r>
            <w:r w:rsidR="003D7A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B87F4B" w:rsidRDefault="00B87F4B" w:rsidP="00472F6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Šobrīd </w:t>
            </w:r>
            <w:r w:rsidR="00593B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uzņēmēju sniegtās informācijas secinām</w:t>
            </w:r>
            <w:r w:rsidR="004324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</w:t>
            </w:r>
            <w:r w:rsidR="00593B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mazajiem uzņēmējiem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piemērotās izmaksas </w:t>
            </w:r>
            <w:r w:rsidR="00881D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veterināro ekspertīzi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nesamērīgas. </w:t>
            </w:r>
            <w:r w:rsidR="00D953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Veterināro ekspertīzi veic dienesta pilnvarots veterinārārsts</w:t>
            </w:r>
            <w:r w:rsidR="008631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un</w:t>
            </w:r>
            <w:r w:rsidR="00D953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uzņēmumam tiek izrakstīts rēķins par ekspertīzes laiku un transporta izdevumiem.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Piemēram, </w:t>
            </w:r>
            <w:r w:rsidR="00D953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kautuvē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kauj </w:t>
            </w:r>
            <w:r w:rsidR="00640D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četrus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tītarus nedēļā</w:t>
            </w:r>
            <w:r w:rsidR="008631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un</w:t>
            </w:r>
            <w:r w:rsidR="00D953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atrodas 80</w:t>
            </w:r>
            <w:r w:rsidR="002E1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km no </w:t>
            </w:r>
            <w:r w:rsidR="00E859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teritoriālās struktūrvienības</w:t>
            </w:r>
            <w:r w:rsidR="00147B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472F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2E1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ēnesī nokaujot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tītar</w:t>
            </w:r>
            <w:r w:rsidR="002E1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us, uzņēmējam par to </w:t>
            </w:r>
            <w:r w:rsidR="00D953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veterināro </w:t>
            </w:r>
            <w:r w:rsidR="002E1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ekspertīzi ir jāsamaksā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vidēji 60 </w:t>
            </w:r>
            <w:proofErr w:type="spellStart"/>
            <w:r w:rsidRPr="00EC5F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</w:t>
            </w:r>
            <w:r w:rsidR="00593B8F" w:rsidRPr="00EC5F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u</w:t>
            </w:r>
            <w:r w:rsidRPr="00EC5F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D953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</w:t>
            </w:r>
            <w:r w:rsidRPr="00B87F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</w:t>
            </w:r>
            <w:r w:rsidR="002E1EE2" w:rsidRPr="00B87F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2013.</w:t>
            </w:r>
            <w:r w:rsidR="002E1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E1EE2" w:rsidRPr="00B87F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</w:t>
            </w:r>
            <w:r w:rsidRPr="00B87F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E1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8. </w:t>
            </w:r>
            <w:r w:rsidR="002E1EE2" w:rsidRPr="00B87F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oktobra</w:t>
            </w:r>
            <w:r w:rsidRPr="00B87F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noteikumiem</w:t>
            </w:r>
            <w:r w:rsidR="008A47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87F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Nr.1083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B87F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Kārtība, kādā veicama samaksa par Pārtikas un veterinārā dienesta valsts uzraudzības un kontroles darbībām un maksas pakalpojumiem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</w:t>
            </w:r>
            <w:r w:rsidR="00D953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maks</w:t>
            </w:r>
            <w:r w:rsidR="00D953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ekspertīzi</w:t>
            </w:r>
            <w:r w:rsidR="00D953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dienesta transporta izmantošan</w:t>
            </w:r>
            <w:r w:rsidR="00D953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593B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tāpēc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izmaksas </w:t>
            </w:r>
            <w:r w:rsidR="00752D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</w:t>
            </w:r>
            <w:r w:rsidR="00752D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523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tītar</w:t>
            </w:r>
            <w:r w:rsidR="00752D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ekspertīzi</w:t>
            </w:r>
            <w:r w:rsidR="004523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minētā aprēķina gadījumā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vidēji </w:t>
            </w:r>
            <w:r w:rsidR="00752D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3,7 </w:t>
            </w:r>
            <w:proofErr w:type="spellStart"/>
            <w:r w:rsidRPr="00EC5F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</w:t>
            </w:r>
            <w:r w:rsidR="00593B8F" w:rsidRPr="00EC5F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u</w:t>
            </w:r>
            <w:r w:rsidRPr="00EC5F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BB5DFC" w:rsidRDefault="00593B8F" w:rsidP="00472F6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kā</w:t>
            </w:r>
            <w:r w:rsidR="003D7A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A54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Regula Nr.854/2004 neattiecas uz </w:t>
            </w:r>
            <w:r w:rsidR="004A54DC" w:rsidRPr="001A577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tiešu piegādi, ja ražotājs tādu putnu un zaķveidīgo gaļu, kas nokauti saimniecībā, </w:t>
            </w:r>
            <w:r w:rsidRPr="001A577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maz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1A577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 daudzum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1A577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 piegādā </w:t>
            </w:r>
            <w:r w:rsidR="004A54DC" w:rsidRPr="001A577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galapatērētājam</w:t>
            </w:r>
            <w:proofErr w:type="gramStart"/>
            <w:r w:rsidR="004A54DC" w:rsidRPr="001A577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 vai vietējiem mazumtirdzniecības uzņēmumiem, kuri šādu gaļu kā svaigu gaļu </w:t>
            </w:r>
            <w:r w:rsidR="004A54DC" w:rsidRPr="001A577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lastRenderedPageBreak/>
              <w:t>tieši piegādā galapatērētājam</w:t>
            </w:r>
            <w:proofErr w:type="gramEnd"/>
            <w:r w:rsidR="004A5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tad </w:t>
            </w:r>
            <w:r w:rsidR="004A54DC">
              <w:rPr>
                <w:rFonts w:ascii="Times New Roman" w:eastAsia="Times New Roman" w:hAnsi="Times New Roman" w:cs="Times New Roman"/>
                <w:sz w:val="24"/>
                <w:szCs w:val="24"/>
              </w:rPr>
              <w:t>prasība nodrošināt, lai pirmskaušanas apskati mājputniem un zaķveidīgajiem</w:t>
            </w:r>
            <w:r w:rsidR="00447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5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veiktu dienesta </w:t>
            </w:r>
            <w:r w:rsidR="004A54DC" w:rsidRPr="00F90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pilnvarots veterinārārsts vai persona,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4A54DC" w:rsidRPr="00F90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apmācīta veikt pirmskaušanas apskati un pēckaušanas veterināro ekspertīzi saskaņā ar Regul</w:t>
            </w:r>
            <w:r w:rsidR="004A54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4A54DC" w:rsidRPr="00F90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hyperlink r:id="rId7" w:tgtFrame="_blank" w:history="1">
              <w:r w:rsidR="004A54DC" w:rsidRPr="00F90623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854/2004</w:t>
              </w:r>
            </w:hyperlink>
            <w:r w:rsidR="004A54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4A5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rada lielu administratīvo slogu un nav samērīga ar šīs jomas salīdzinoši nelielo gaļas apriti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 ar to – ar </w:t>
            </w:r>
            <w:r w:rsidR="004A5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uzņēmuma ienākumiem un konkurētspēju tirgū. </w:t>
            </w:r>
          </w:p>
          <w:p w:rsidR="001A5772" w:rsidRDefault="00593B8F" w:rsidP="00472F6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B5DFC">
              <w:rPr>
                <w:rFonts w:ascii="Times New Roman" w:eastAsia="Times New Roman" w:hAnsi="Times New Roman" w:cs="Times New Roman"/>
                <w:sz w:val="24"/>
                <w:szCs w:val="24"/>
              </w:rPr>
              <w:t>agatavot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ajā</w:t>
            </w:r>
            <w:r w:rsidR="00BB5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5772" w:rsidRPr="004D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1A5772" w:rsidRPr="004D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="004D0657" w:rsidRPr="004D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2009.</w:t>
            </w:r>
            <w:r w:rsidR="00046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D0657" w:rsidRPr="004D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9.</w:t>
            </w:r>
            <w:r w:rsidR="00046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D0657" w:rsidRPr="004D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decembra noteikumos Nr.1393 „Veterinārās prasības mājputnu un zaķveidīgo gaļas apritei nelielā daudzumā</w:t>
            </w:r>
            <w:r w:rsidR="001A5772" w:rsidRPr="004D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(turpmāk – noteikumu projekts) paredz</w:t>
            </w:r>
            <w:r w:rsidR="00BB5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ēts</w:t>
            </w:r>
            <w:r w:rsidR="001A5772" w:rsidRPr="004D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samazināt administratīvo slogu, nosakot, ka dienests var pilnvarot</w:t>
            </w:r>
            <w:r w:rsidR="002E1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personu ar veterinār</w:t>
            </w:r>
            <w:r w:rsidR="00BB5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</w:t>
            </w:r>
            <w:r w:rsidR="002E1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izglītību vai</w:t>
            </w:r>
            <w:r w:rsidR="001A5772" w:rsidRPr="004D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apmācītu personu veikt pirmskaušanas apskati un pēckaušanas veterināro ekspertīzi.  </w:t>
            </w:r>
          </w:p>
          <w:p w:rsidR="00472F62" w:rsidRDefault="00447461" w:rsidP="00472F6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Ņemot vērā Tieslietu ministrijas izteikto priekšlikumu </w:t>
            </w:r>
            <w:r w:rsidRPr="00447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ilgtermiņā </w:t>
            </w:r>
            <w:r w:rsidR="00593B8F">
              <w:rPr>
                <w:rFonts w:ascii="Times New Roman" w:eastAsia="Times New Roman" w:hAnsi="Times New Roman" w:cs="Times New Roman"/>
                <w:sz w:val="24"/>
                <w:szCs w:val="24"/>
              </w:rPr>
              <w:t>īstenot</w:t>
            </w:r>
            <w:r w:rsidRPr="00447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pasākumus, kas salāgo Latvijas nacionālajā normatīvajā regulējumā lietoto terminoloģiju attiecībā uz gaļas apriti, projekta nosaukumā vārds “daudzums” ir </w:t>
            </w:r>
            <w:r w:rsidR="00FA0B36">
              <w:rPr>
                <w:rFonts w:ascii="Times New Roman" w:eastAsia="Times New Roman" w:hAnsi="Times New Roman" w:cs="Times New Roman"/>
                <w:sz w:val="24"/>
                <w:szCs w:val="24"/>
              </w:rPr>
              <w:t>aizstāts ar</w:t>
            </w:r>
            <w:r w:rsidRPr="00447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vārdu “apjoms”.</w:t>
            </w:r>
          </w:p>
          <w:p w:rsidR="00472F62" w:rsidRPr="00472F62" w:rsidRDefault="001A5772" w:rsidP="00472F6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Regulas Nr.853/2004 1. panta 3.punkta „d” </w:t>
            </w:r>
            <w:r w:rsidR="00447461" w:rsidRPr="00472F62">
              <w:rPr>
                <w:rFonts w:ascii="Times New Roman" w:eastAsia="Times New Roman" w:hAnsi="Times New Roman" w:cs="Times New Roman"/>
                <w:sz w:val="24"/>
                <w:szCs w:val="24"/>
              </w:rPr>
              <w:t>apakšpunkt</w:t>
            </w:r>
            <w:r w:rsidR="00593B8F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="00447461" w:rsidRPr="0047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2F62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593B8F">
              <w:rPr>
                <w:rFonts w:ascii="Times New Roman" w:eastAsia="Times New Roman" w:hAnsi="Times New Roman" w:cs="Times New Roman"/>
                <w:sz w:val="24"/>
                <w:szCs w:val="24"/>
              </w:rPr>
              <w:t>teikts</w:t>
            </w:r>
            <w:r w:rsidRPr="0047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regula neattiecas uz </w:t>
            </w:r>
            <w:r w:rsidRPr="00472F6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tiešu piegādi, ja ražotājs tādu putnu un zaķveidīgo gaļu, kas nokauti saimniecībā, </w:t>
            </w:r>
            <w:r w:rsidR="00593B8F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maz</w:t>
            </w:r>
            <w:r w:rsidR="00593B8F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="00593B8F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 daudzum</w:t>
            </w:r>
            <w:r w:rsidR="00593B8F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="00593B8F" w:rsidRPr="00472F6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 xml:space="preserve"> piegādā </w:t>
            </w:r>
            <w:r w:rsidRPr="00472F62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galapatērētājam vai vietējiem mazumtirdzniecības uzņēmumiem, kuri šādu gaļu kā svaigu gaļu tieši piegādā galapatērētājam</w:t>
            </w:r>
            <w:r w:rsidR="000147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65D8" w:rsidRDefault="00447461" w:rsidP="000147D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62">
              <w:rPr>
                <w:rFonts w:ascii="Times New Roman" w:eastAsia="Times New Roman" w:hAnsi="Times New Roman" w:cs="Times New Roman"/>
                <w:sz w:val="24"/>
                <w:szCs w:val="24"/>
              </w:rPr>
              <w:t>Noteikum</w:t>
            </w:r>
            <w:r w:rsidR="000147D8">
              <w:rPr>
                <w:rFonts w:ascii="Times New Roman" w:eastAsia="Times New Roman" w:hAnsi="Times New Roman" w:cs="Times New Roman"/>
                <w:sz w:val="24"/>
                <w:szCs w:val="24"/>
              </w:rPr>
              <w:t>u projekts</w:t>
            </w:r>
            <w:r w:rsidRPr="0047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ievieš Regulas Nr.853/2004 </w:t>
            </w:r>
            <w:r w:rsidR="006273BF" w:rsidRPr="00472F62">
              <w:rPr>
                <w:rFonts w:ascii="Times New Roman" w:eastAsia="Times New Roman" w:hAnsi="Times New Roman" w:cs="Times New Roman"/>
                <w:sz w:val="24"/>
                <w:szCs w:val="24"/>
              </w:rPr>
              <w:t>1. panta</w:t>
            </w:r>
            <w:r w:rsidR="001A5772" w:rsidRPr="0047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4.punkt</w:t>
            </w:r>
            <w:r w:rsidR="000147D8">
              <w:rPr>
                <w:rFonts w:ascii="Times New Roman" w:eastAsia="Times New Roman" w:hAnsi="Times New Roman" w:cs="Times New Roman"/>
                <w:sz w:val="24"/>
                <w:szCs w:val="24"/>
              </w:rPr>
              <w:t>ā noteikto</w:t>
            </w:r>
            <w:r w:rsidR="001A5772" w:rsidRPr="0047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prasību par to, ka dalībvalstis ar saviem tiesību aktiem pieņem noteikumus, kas reglamentē </w:t>
            </w:r>
            <w:r w:rsidR="006273BF" w:rsidRPr="00472F62">
              <w:rPr>
                <w:rFonts w:ascii="Times New Roman" w:eastAsia="Times New Roman" w:hAnsi="Times New Roman" w:cs="Times New Roman"/>
                <w:sz w:val="24"/>
                <w:szCs w:val="24"/>
              </w:rPr>
              <w:t>1. panta</w:t>
            </w:r>
            <w:r w:rsidR="001A5772" w:rsidRPr="00472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3.punkta „d”</w:t>
            </w:r>
            <w:r w:rsidR="00593B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A5772" w:rsidRPr="00472F62">
              <w:rPr>
                <w:rFonts w:ascii="Times New Roman" w:eastAsia="Times New Roman" w:hAnsi="Times New Roman" w:cs="Times New Roman"/>
                <w:sz w:val="24"/>
                <w:szCs w:val="24"/>
              </w:rPr>
              <w:t>apakšpunktā minētās darbības un personas.</w:t>
            </w:r>
          </w:p>
          <w:p w:rsidR="00863164" w:rsidRDefault="00593B8F" w:rsidP="007F3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 kā</w:t>
            </w:r>
            <w:r w:rsidR="0086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projekts paredz mājputnu un zaķveidīgo kautuvju īpašniekiem, kas kauj mājputnus un zaķveidīgos nelielā apjomā, izvēlēties veidu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6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kādā tiek nodrošināta mājputnu un zaķveidīgo pirmskaušanas apskate un pēckaušanas veterinārā ekspertīze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6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viena no iespējām ir apgūt vismaz 40 akadēmisko stundu ilgu apmācību, noteikumu projektā ir iekļautas apgūstam</w:t>
            </w:r>
            <w:r w:rsidR="00F5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 </w:t>
            </w:r>
            <w:r w:rsidR="00863164">
              <w:rPr>
                <w:rFonts w:ascii="Times New Roman" w:eastAsia="Times New Roman" w:hAnsi="Times New Roman" w:cs="Times New Roman"/>
                <w:sz w:val="24"/>
                <w:szCs w:val="24"/>
              </w:rPr>
              <w:t>apmācīb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86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kursa tēmas un prasības personām, kur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ām ir</w:t>
            </w:r>
            <w:r w:rsidR="0086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tiesī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 nodarboties ar</w:t>
            </w:r>
            <w:r w:rsidR="0086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šādu apmācību.</w:t>
            </w:r>
          </w:p>
          <w:p w:rsidR="00654B76" w:rsidRDefault="00863164" w:rsidP="007F3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projekts paredz </w:t>
            </w:r>
            <w:r w:rsidR="00C9384F">
              <w:rPr>
                <w:rFonts w:ascii="Times New Roman" w:eastAsia="Times New Roman" w:hAnsi="Times New Roman" w:cs="Times New Roman"/>
                <w:sz w:val="24"/>
                <w:szCs w:val="24"/>
              </w:rPr>
              <w:t>apmācīb</w:t>
            </w:r>
            <w:r w:rsidR="00593B8F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C93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periodiskumu vienu reizi piecos gados.</w:t>
            </w:r>
          </w:p>
          <w:p w:rsidR="008B0177" w:rsidRPr="00472F62" w:rsidRDefault="008B0177" w:rsidP="007F3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5D8" w:rsidRPr="000A242C" w:rsidTr="00D62586">
        <w:tc>
          <w:tcPr>
            <w:tcW w:w="269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lastRenderedPageBreak/>
              <w:t>3.</w:t>
            </w:r>
          </w:p>
        </w:tc>
        <w:tc>
          <w:tcPr>
            <w:tcW w:w="1065" w:type="pct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Projekta izstrādē iesaistītās institūcijas</w:t>
            </w:r>
            <w:r w:rsidR="00A035B4" w:rsidRPr="00EB5171">
              <w:t xml:space="preserve"> un publiskas personas kapitālsabiedrības</w:t>
            </w:r>
          </w:p>
        </w:tc>
        <w:tc>
          <w:tcPr>
            <w:tcW w:w="3666" w:type="pct"/>
          </w:tcPr>
          <w:p w:rsidR="00FB65D8" w:rsidRPr="000A242C" w:rsidRDefault="00FB65D8" w:rsidP="004D0657">
            <w:pPr>
              <w:pStyle w:val="Bezatstarpm"/>
            </w:pPr>
            <w:r>
              <w:t>Pārtikas un veterinārais dienests</w:t>
            </w:r>
            <w:r w:rsidR="00593B8F">
              <w:t xml:space="preserve"> un</w:t>
            </w:r>
            <w:r w:rsidR="00466ABB">
              <w:t xml:space="preserve"> Latvijas </w:t>
            </w:r>
            <w:r w:rsidR="00466ABB">
              <w:rPr>
                <w:rFonts w:ascii="TimesNewRomanPSMT" w:hAnsi="TimesNewRomanPSMT" w:cs="TimesNewRomanPSMT"/>
              </w:rPr>
              <w:t>Lauku konsultācijas un izglītības centrs</w:t>
            </w:r>
          </w:p>
        </w:tc>
      </w:tr>
      <w:tr w:rsidR="00FB65D8" w:rsidRPr="000A242C" w:rsidTr="00D62586">
        <w:tc>
          <w:tcPr>
            <w:tcW w:w="269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4.</w:t>
            </w:r>
          </w:p>
        </w:tc>
        <w:tc>
          <w:tcPr>
            <w:tcW w:w="1065" w:type="pct"/>
          </w:tcPr>
          <w:p w:rsidR="00FB65D8" w:rsidRDefault="00FB65D8" w:rsidP="00F62526">
            <w:pPr>
              <w:pStyle w:val="Bezatstarpm"/>
            </w:pPr>
            <w:r w:rsidRPr="000A242C">
              <w:t>Cita informācija</w:t>
            </w:r>
          </w:p>
          <w:p w:rsidR="008B0177" w:rsidRPr="000A242C" w:rsidRDefault="008B0177" w:rsidP="00F62526">
            <w:pPr>
              <w:pStyle w:val="Bezatstarpm"/>
            </w:pPr>
          </w:p>
        </w:tc>
        <w:tc>
          <w:tcPr>
            <w:tcW w:w="3666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Nav</w:t>
            </w:r>
            <w:r w:rsidR="00593B8F">
              <w:t>.</w:t>
            </w:r>
            <w:r w:rsidRPr="000A242C">
              <w:t xml:space="preserve"> </w:t>
            </w:r>
          </w:p>
        </w:tc>
      </w:tr>
      <w:tr w:rsidR="00FB65D8" w:rsidRPr="000A242C" w:rsidTr="00D62586">
        <w:tc>
          <w:tcPr>
            <w:tcW w:w="5000" w:type="pct"/>
            <w:gridSpan w:val="3"/>
          </w:tcPr>
          <w:p w:rsidR="00FB65D8" w:rsidRPr="00891139" w:rsidRDefault="00FB65D8" w:rsidP="00F62526">
            <w:pPr>
              <w:pStyle w:val="Bezatstarpm"/>
              <w:jc w:val="center"/>
              <w:rPr>
                <w:b/>
              </w:rPr>
            </w:pPr>
            <w:r w:rsidRPr="00891139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FB65D8" w:rsidRPr="00A25835" w:rsidTr="00D62586">
        <w:tc>
          <w:tcPr>
            <w:tcW w:w="269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lastRenderedPageBreak/>
              <w:t>1.</w:t>
            </w:r>
          </w:p>
        </w:tc>
        <w:tc>
          <w:tcPr>
            <w:tcW w:w="1065" w:type="pct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Sabiedrības mērķgrupas, kuras tiesiskais regulējums ietekmē vai varētu ietekmēt</w:t>
            </w:r>
          </w:p>
        </w:tc>
        <w:tc>
          <w:tcPr>
            <w:tcW w:w="3666" w:type="pct"/>
          </w:tcPr>
          <w:p w:rsidR="00FB65D8" w:rsidRDefault="00486708" w:rsidP="00452395">
            <w:pPr>
              <w:pStyle w:val="Bezatstarpm"/>
              <w:jc w:val="both"/>
            </w:pPr>
            <w:r w:rsidRPr="00486708">
              <w:t xml:space="preserve">Noteikumu projekta tiesiskais regulējums attieksies uz </w:t>
            </w:r>
            <w:r w:rsidR="00450B9C">
              <w:t>dienest</w:t>
            </w:r>
            <w:r w:rsidR="002F0B22">
              <w:t>u</w:t>
            </w:r>
            <w:r w:rsidR="004D0657">
              <w:t>, uzņēmumiem (piemājas kautuvēm), kas neliel</w:t>
            </w:r>
            <w:r w:rsidR="00593B8F">
              <w:t>ā</w:t>
            </w:r>
            <w:r w:rsidR="004D0657">
              <w:t xml:space="preserve"> apjom</w:t>
            </w:r>
            <w:r w:rsidR="00593B8F">
              <w:t>ā</w:t>
            </w:r>
            <w:r w:rsidR="004D0657">
              <w:t xml:space="preserve"> iegūst un realizē mājputnu un zaķveidīgo gaļu tieši galapatērētājam</w:t>
            </w:r>
            <w:r w:rsidR="00593B8F">
              <w:t>,</w:t>
            </w:r>
            <w:r w:rsidR="004D0657">
              <w:t xml:space="preserve"> vai mazumtirdzniecības uzņēmumam, kas to tālāk realizē galapatērētājam (dienesta uzraudzībai pakļauto </w:t>
            </w:r>
            <w:proofErr w:type="gramStart"/>
            <w:r w:rsidR="004D0657">
              <w:t>uzņēmumu reģistr</w:t>
            </w:r>
            <w:r w:rsidR="00594850">
              <w:t>ā</w:t>
            </w:r>
            <w:proofErr w:type="gramEnd"/>
            <w:r w:rsidR="004D0657">
              <w:t xml:space="preserve"> </w:t>
            </w:r>
            <w:r w:rsidR="00594850">
              <w:t xml:space="preserve">patlaban </w:t>
            </w:r>
            <w:r w:rsidR="004D0657">
              <w:t>ir 1</w:t>
            </w:r>
            <w:r w:rsidR="00452395">
              <w:t>3</w:t>
            </w:r>
            <w:r w:rsidR="004D0657">
              <w:t xml:space="preserve"> šād</w:t>
            </w:r>
            <w:r w:rsidR="00593B8F">
              <w:t>u</w:t>
            </w:r>
            <w:r w:rsidR="004D0657">
              <w:t xml:space="preserve"> uzņēmum</w:t>
            </w:r>
            <w:r w:rsidR="00593B8F">
              <w:t>u</w:t>
            </w:r>
            <w:r w:rsidR="004D0657">
              <w:t>)</w:t>
            </w:r>
            <w:r w:rsidR="00447461">
              <w:t>.</w:t>
            </w:r>
          </w:p>
          <w:p w:rsidR="008B0177" w:rsidRPr="000A242C" w:rsidRDefault="008B0177" w:rsidP="00452395">
            <w:pPr>
              <w:pStyle w:val="Bezatstarpm"/>
              <w:jc w:val="both"/>
            </w:pPr>
          </w:p>
        </w:tc>
      </w:tr>
      <w:tr w:rsidR="00FB65D8" w:rsidRPr="000A242C" w:rsidTr="00D62586">
        <w:tc>
          <w:tcPr>
            <w:tcW w:w="269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2.</w:t>
            </w:r>
          </w:p>
        </w:tc>
        <w:tc>
          <w:tcPr>
            <w:tcW w:w="1065" w:type="pct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Tiesiskā regulējuma ietekme uz tautsaimniecību un administratīvo slogu</w:t>
            </w:r>
          </w:p>
        </w:tc>
        <w:tc>
          <w:tcPr>
            <w:tcW w:w="3666" w:type="pct"/>
          </w:tcPr>
          <w:p w:rsidR="00483498" w:rsidRDefault="00452395" w:rsidP="009C3649">
            <w:pPr>
              <w:pStyle w:val="Bezatstarpm"/>
              <w:jc w:val="both"/>
            </w:pPr>
            <w:r>
              <w:t>N</w:t>
            </w:r>
            <w:r w:rsidR="004D0657">
              <w:t>oteikumu projekts sagatavots</w:t>
            </w:r>
            <w:r w:rsidR="00593B8F">
              <w:t>, lai</w:t>
            </w:r>
            <w:r w:rsidR="004D0657">
              <w:t xml:space="preserve"> mazināt</w:t>
            </w:r>
            <w:r w:rsidR="00593B8F">
              <w:t>u</w:t>
            </w:r>
            <w:r w:rsidR="004D0657">
              <w:t xml:space="preserve"> slogu tiem mazajiem uzņēmumiem, kas nodarbojas ar tādas mājputnu un zaķveidīgo gaļas realizāciju, k</w:t>
            </w:r>
            <w:r w:rsidR="00593B8F">
              <w:t>ura</w:t>
            </w:r>
            <w:r w:rsidR="00EE65F6" w:rsidRPr="009C3649">
              <w:t xml:space="preserve"> </w:t>
            </w:r>
            <w:r w:rsidR="004D0657">
              <w:t>iegūta nelielā apjomā sev piederošā saimniecībā.</w:t>
            </w:r>
          </w:p>
          <w:p w:rsidR="00243D54" w:rsidRDefault="00D627F6" w:rsidP="00D627F6">
            <w:pPr>
              <w:pStyle w:val="Bezatstarpm"/>
              <w:jc w:val="both"/>
            </w:pPr>
            <w:r>
              <w:t>Samazinot slogu</w:t>
            </w:r>
            <w:r w:rsidR="00593B8F">
              <w:t>,</w:t>
            </w:r>
            <w:r>
              <w:t xml:space="preserve"> tiks sekmēta uzņēmumu konkurētspēja. </w:t>
            </w:r>
            <w:r w:rsidR="00452395">
              <w:t xml:space="preserve">Uzņēmumi patstāvīgi var plānot kaušanas laiku. </w:t>
            </w:r>
            <w:r>
              <w:t>Iegūstot vairāk neatkarības, uzņēmumam ir iespēja strādāt ar lielāku jaudu.</w:t>
            </w:r>
            <w:r w:rsidR="000463FC">
              <w:t xml:space="preserve"> Uzņēmuma īpašnieki pēc 40 akadēmisko stundu apmācības savā saimniecībā audzētajiem mājputniem un zaķveidīgajiem varēs veikt pirmskaušanas apskati un pēckaušanas veterināro ekspertīzi.</w:t>
            </w:r>
          </w:p>
          <w:p w:rsidR="00385C02" w:rsidRDefault="00385C02" w:rsidP="00D627F6">
            <w:pPr>
              <w:pStyle w:val="Bezatstarpm"/>
              <w:jc w:val="both"/>
            </w:pPr>
            <w:r>
              <w:t>Projekts nenosaka jaunus pienākumus, bet dod tiesības izvēlēties veidu</w:t>
            </w:r>
            <w:r w:rsidR="00696D83">
              <w:t>,</w:t>
            </w:r>
            <w:r>
              <w:t xml:space="preserve"> kā tiks nodrošināta mājputnu un zaķveidīgo pirmskaušanas apskate un pēckaušanas veterinārā ekspertīze.</w:t>
            </w:r>
          </w:p>
          <w:p w:rsidR="00A04388" w:rsidRDefault="00A04388" w:rsidP="00385C02">
            <w:pPr>
              <w:pStyle w:val="Bezatstarpm"/>
              <w:jc w:val="both"/>
            </w:pPr>
            <w:r>
              <w:t xml:space="preserve">Projekta </w:t>
            </w:r>
            <w:r w:rsidR="00385C02">
              <w:t>kopējā ietekme uz tautsaimniecību ir pozitīva</w:t>
            </w:r>
            <w:r>
              <w:t xml:space="preserve">. </w:t>
            </w:r>
          </w:p>
          <w:p w:rsidR="008B0177" w:rsidRPr="009C3649" w:rsidRDefault="008B0177" w:rsidP="00385C02">
            <w:pPr>
              <w:pStyle w:val="Bezatstarpm"/>
              <w:jc w:val="both"/>
            </w:pPr>
          </w:p>
        </w:tc>
      </w:tr>
      <w:tr w:rsidR="00FB65D8" w:rsidRPr="000A242C" w:rsidTr="00D62586">
        <w:tc>
          <w:tcPr>
            <w:tcW w:w="269" w:type="pct"/>
          </w:tcPr>
          <w:p w:rsidR="00FB65D8" w:rsidRPr="000A242C" w:rsidRDefault="00FB65D8" w:rsidP="00F62526">
            <w:pPr>
              <w:pStyle w:val="Bezatstarpm"/>
            </w:pPr>
            <w:r w:rsidRPr="000A242C">
              <w:t>3.</w:t>
            </w:r>
          </w:p>
        </w:tc>
        <w:tc>
          <w:tcPr>
            <w:tcW w:w="1065" w:type="pct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Administratīvo izmaksu monetārs novērtējums</w:t>
            </w:r>
          </w:p>
        </w:tc>
        <w:tc>
          <w:tcPr>
            <w:tcW w:w="3666" w:type="pct"/>
          </w:tcPr>
          <w:p w:rsidR="00FB65D8" w:rsidRDefault="00385C02" w:rsidP="00EC5F95">
            <w:pPr>
              <w:pStyle w:val="Bezatstarpm"/>
              <w:jc w:val="both"/>
              <w:rPr>
                <w:rFonts w:asciiTheme="majorBidi" w:hAnsiTheme="majorBidi" w:cstheme="majorBidi"/>
                <w:bCs/>
                <w:lang w:bidi="he-IL"/>
              </w:rPr>
            </w:pPr>
            <w:r w:rsidRPr="00890339">
              <w:rPr>
                <w:rFonts w:asciiTheme="majorBidi" w:hAnsiTheme="majorBidi" w:cstheme="majorBidi"/>
                <w:bCs/>
                <w:lang w:bidi="he-IL"/>
              </w:rPr>
              <w:t>Administratīvās izmaksas mērķgrupai, k</w:t>
            </w:r>
            <w:r>
              <w:rPr>
                <w:rFonts w:asciiTheme="majorBidi" w:hAnsiTheme="majorBidi" w:cstheme="majorBidi"/>
                <w:bCs/>
                <w:lang w:bidi="he-IL"/>
              </w:rPr>
              <w:t>o</w:t>
            </w:r>
            <w:r w:rsidRPr="00890339">
              <w:rPr>
                <w:rFonts w:asciiTheme="majorBidi" w:hAnsiTheme="majorBidi" w:cstheme="majorBidi"/>
                <w:bCs/>
                <w:lang w:bidi="he-IL"/>
              </w:rPr>
              <w:t xml:space="preserve"> veido fiziskas personas, gada laikā nepārsniegs 200 </w:t>
            </w:r>
            <w:proofErr w:type="spellStart"/>
            <w:r w:rsidRPr="00890339">
              <w:rPr>
                <w:rFonts w:asciiTheme="majorBidi" w:hAnsiTheme="majorBidi" w:cstheme="majorBidi"/>
                <w:bCs/>
                <w:i/>
                <w:iCs/>
                <w:lang w:bidi="he-IL"/>
              </w:rPr>
              <w:t>euro</w:t>
            </w:r>
            <w:proofErr w:type="spellEnd"/>
            <w:r w:rsidRPr="00890339">
              <w:rPr>
                <w:rFonts w:asciiTheme="majorBidi" w:hAnsiTheme="majorBidi" w:cstheme="majorBidi"/>
                <w:bCs/>
                <w:lang w:bidi="he-IL"/>
              </w:rPr>
              <w:t>, bet mērķgrupai, k</w:t>
            </w:r>
            <w:r>
              <w:rPr>
                <w:rFonts w:asciiTheme="majorBidi" w:hAnsiTheme="majorBidi" w:cstheme="majorBidi"/>
                <w:bCs/>
                <w:lang w:bidi="he-IL"/>
              </w:rPr>
              <w:t>o</w:t>
            </w:r>
            <w:r w:rsidRPr="00890339">
              <w:rPr>
                <w:rFonts w:asciiTheme="majorBidi" w:hAnsiTheme="majorBidi" w:cstheme="majorBidi"/>
                <w:bCs/>
                <w:lang w:bidi="he-IL"/>
              </w:rPr>
              <w:t xml:space="preserve"> veido juridisk</w:t>
            </w:r>
            <w:r w:rsidR="00593B8F">
              <w:rPr>
                <w:rFonts w:asciiTheme="majorBidi" w:hAnsiTheme="majorBidi" w:cstheme="majorBidi"/>
                <w:bCs/>
                <w:lang w:bidi="he-IL"/>
              </w:rPr>
              <w:t>a</w:t>
            </w:r>
            <w:r w:rsidRPr="00890339">
              <w:rPr>
                <w:rFonts w:asciiTheme="majorBidi" w:hAnsiTheme="majorBidi" w:cstheme="majorBidi"/>
                <w:bCs/>
                <w:lang w:bidi="he-IL"/>
              </w:rPr>
              <w:t>s personas, gada laikā nepārsniegs 2000</w:t>
            </w:r>
            <w:r>
              <w:rPr>
                <w:rFonts w:asciiTheme="majorBidi" w:hAnsiTheme="majorBidi" w:cstheme="majorBidi"/>
                <w:bCs/>
                <w:lang w:bidi="he-IL"/>
              </w:rPr>
              <w:t> </w:t>
            </w:r>
            <w:proofErr w:type="spellStart"/>
            <w:r w:rsidRPr="00890339">
              <w:rPr>
                <w:rFonts w:asciiTheme="majorBidi" w:hAnsiTheme="majorBidi" w:cstheme="majorBidi"/>
                <w:bCs/>
                <w:i/>
                <w:iCs/>
                <w:lang w:bidi="he-IL"/>
              </w:rPr>
              <w:t>euro</w:t>
            </w:r>
            <w:proofErr w:type="spellEnd"/>
            <w:r w:rsidRPr="00890339">
              <w:rPr>
                <w:rFonts w:asciiTheme="majorBidi" w:hAnsiTheme="majorBidi" w:cstheme="majorBidi"/>
                <w:bCs/>
                <w:lang w:bidi="he-IL"/>
              </w:rPr>
              <w:t>.</w:t>
            </w:r>
          </w:p>
          <w:p w:rsidR="008B0177" w:rsidRPr="000A242C" w:rsidRDefault="008B0177" w:rsidP="00EC5F95">
            <w:pPr>
              <w:pStyle w:val="Bezatstarpm"/>
              <w:jc w:val="both"/>
            </w:pPr>
          </w:p>
        </w:tc>
      </w:tr>
      <w:tr w:rsidR="00465772" w:rsidRPr="000A242C" w:rsidTr="00D62586">
        <w:tc>
          <w:tcPr>
            <w:tcW w:w="269" w:type="pct"/>
          </w:tcPr>
          <w:p w:rsidR="00465772" w:rsidRPr="000A242C" w:rsidRDefault="00465772" w:rsidP="00465772">
            <w:pPr>
              <w:pStyle w:val="Bezatstarpm"/>
            </w:pPr>
            <w:r w:rsidRPr="00EB5171">
              <w:t>4.</w:t>
            </w:r>
          </w:p>
        </w:tc>
        <w:tc>
          <w:tcPr>
            <w:tcW w:w="1065" w:type="pct"/>
          </w:tcPr>
          <w:p w:rsidR="00465772" w:rsidRPr="000A242C" w:rsidRDefault="00465772" w:rsidP="00465772">
            <w:pPr>
              <w:pStyle w:val="Bezatstarpm"/>
              <w:jc w:val="both"/>
            </w:pPr>
            <w:r w:rsidRPr="00EB5171">
              <w:t>Atbilstības izmaksu monetārs novērtējums</w:t>
            </w:r>
          </w:p>
        </w:tc>
        <w:tc>
          <w:tcPr>
            <w:tcW w:w="3666" w:type="pct"/>
          </w:tcPr>
          <w:p w:rsidR="00243D54" w:rsidRDefault="00584B29" w:rsidP="00243D54">
            <w:pPr>
              <w:pStyle w:val="Bezatstarpm"/>
              <w:jc w:val="both"/>
            </w:pPr>
            <w:r w:rsidRPr="00EE65F6">
              <w:t>Noteikumu p</w:t>
            </w:r>
            <w:r w:rsidR="00DB7C3A" w:rsidRPr="00EE65F6">
              <w:t>rojekts paredz</w:t>
            </w:r>
            <w:r w:rsidR="004D0657">
              <w:t xml:space="preserve">, ka </w:t>
            </w:r>
            <w:r w:rsidR="006273BF">
              <w:t xml:space="preserve">dienests </w:t>
            </w:r>
            <w:r w:rsidR="003D7AFF">
              <w:t xml:space="preserve">varēs </w:t>
            </w:r>
            <w:r w:rsidR="004D0657">
              <w:t>putnu un zaķveidīgo saimniecīb</w:t>
            </w:r>
            <w:r w:rsidR="003D7AFF">
              <w:t>ā strādājošu personu</w:t>
            </w:r>
            <w:r w:rsidR="004D0657">
              <w:t xml:space="preserve"> </w:t>
            </w:r>
            <w:r w:rsidR="003D7AFF">
              <w:t xml:space="preserve">pēc 40 stundu apmācības </w:t>
            </w:r>
            <w:r w:rsidR="00472F62">
              <w:t>(</w:t>
            </w:r>
            <w:r w:rsidR="00593B8F">
              <w:t>lai ap</w:t>
            </w:r>
            <w:r w:rsidR="00472F62">
              <w:t>gū</w:t>
            </w:r>
            <w:r w:rsidR="00593B8F">
              <w:t>tu</w:t>
            </w:r>
            <w:r w:rsidR="003D7AFF">
              <w:t xml:space="preserve"> </w:t>
            </w:r>
            <w:r w:rsidR="003D7AFF" w:rsidRPr="003D7AFF">
              <w:t>pirmskaušanas apskati un pēckaušanas veterināro ekspertīzi mājputnu un zaķveidīgo sugu dzīvniekiem</w:t>
            </w:r>
            <w:r w:rsidR="00243D54">
              <w:t>)</w:t>
            </w:r>
            <w:r w:rsidR="003D7AFF">
              <w:t xml:space="preserve"> pilnvarot veikt pirmskaušanas apskati un pēckaušanas veterināro ekspertīzi.</w:t>
            </w:r>
            <w:r w:rsidR="003D7AFF" w:rsidRPr="00EE65F6">
              <w:t xml:space="preserve"> </w:t>
            </w:r>
          </w:p>
          <w:p w:rsidR="00243D54" w:rsidRDefault="00593B8F" w:rsidP="00FF1028">
            <w:pPr>
              <w:pStyle w:val="Bezatstarpm"/>
              <w:jc w:val="both"/>
            </w:pPr>
            <w:r>
              <w:t>Patlaban</w:t>
            </w:r>
            <w:r w:rsidR="00243D54">
              <w:t xml:space="preserve"> </w:t>
            </w:r>
            <w:r w:rsidR="00BF3C65">
              <w:t>dienesta</w:t>
            </w:r>
            <w:r w:rsidR="00243D54">
              <w:t xml:space="preserve"> pilnvarota veterinārārsta darba stunda kautuvē izmaksā 6,40 </w:t>
            </w:r>
            <w:proofErr w:type="spellStart"/>
            <w:r w:rsidR="00243D54" w:rsidRPr="00EC5F95">
              <w:rPr>
                <w:i/>
              </w:rPr>
              <w:t>e</w:t>
            </w:r>
            <w:r w:rsidRPr="00EC5F95">
              <w:rPr>
                <w:i/>
              </w:rPr>
              <w:t>u</w:t>
            </w:r>
            <w:r w:rsidR="00243D54" w:rsidRPr="00EC5F95">
              <w:rPr>
                <w:i/>
              </w:rPr>
              <w:t>ro</w:t>
            </w:r>
            <w:proofErr w:type="spellEnd"/>
            <w:r w:rsidR="00243D54">
              <w:t>. Papildus j</w:t>
            </w:r>
            <w:r w:rsidR="00472F62">
              <w:t>ārēķina brau</w:t>
            </w:r>
            <w:r>
              <w:t>kšanai</w:t>
            </w:r>
            <w:r w:rsidR="00472F62">
              <w:t xml:space="preserve"> uz objektu</w:t>
            </w:r>
            <w:r w:rsidR="00243D54">
              <w:t xml:space="preserve"> iztērētā degviela</w:t>
            </w:r>
            <w:r w:rsidR="00472F62">
              <w:t xml:space="preserve"> </w:t>
            </w:r>
            <w:r w:rsidR="00243D54">
              <w:t xml:space="preserve">0,26 </w:t>
            </w:r>
            <w:proofErr w:type="spellStart"/>
            <w:r w:rsidRPr="007B3F68">
              <w:rPr>
                <w:i/>
              </w:rPr>
              <w:t>euro</w:t>
            </w:r>
            <w:proofErr w:type="spellEnd"/>
            <w:r w:rsidR="00243D54">
              <w:t xml:space="preserve"> par kilometru, </w:t>
            </w:r>
            <w:r w:rsidR="00472F62">
              <w:t xml:space="preserve">ja </w:t>
            </w:r>
            <w:r>
              <w:t xml:space="preserve">tiek </w:t>
            </w:r>
            <w:r w:rsidR="00472F62">
              <w:t>izmanto</w:t>
            </w:r>
            <w:r>
              <w:t>ts</w:t>
            </w:r>
            <w:r w:rsidR="00243D54">
              <w:t xml:space="preserve"> dienesta </w:t>
            </w:r>
            <w:r w:rsidR="00472F62">
              <w:t>transport</w:t>
            </w:r>
            <w:r>
              <w:t>s</w:t>
            </w:r>
            <w:r w:rsidR="00243D54">
              <w:t xml:space="preserve">. </w:t>
            </w:r>
          </w:p>
          <w:p w:rsidR="00243D54" w:rsidRDefault="00D627F6" w:rsidP="00FF1028">
            <w:pPr>
              <w:pStyle w:val="Bezatstarpm"/>
              <w:jc w:val="both"/>
            </w:pPr>
            <w:r w:rsidRPr="00D62586">
              <w:t>40 stundu apm</w:t>
            </w:r>
            <w:r w:rsidR="005C58E3" w:rsidRPr="00D62586">
              <w:t xml:space="preserve">ācība ir paredzēta vienu reizi </w:t>
            </w:r>
            <w:r w:rsidR="00994E3C">
              <w:t>piecos</w:t>
            </w:r>
            <w:r w:rsidRPr="00D62586">
              <w:t xml:space="preserve"> gados</w:t>
            </w:r>
            <w:r w:rsidR="00D62586">
              <w:t>.</w:t>
            </w:r>
          </w:p>
          <w:p w:rsidR="006273BF" w:rsidRDefault="00593B8F" w:rsidP="00FF1028">
            <w:pPr>
              <w:pStyle w:val="Bezatstarpm"/>
              <w:jc w:val="both"/>
            </w:pPr>
            <w:r>
              <w:t>Pēc</w:t>
            </w:r>
            <w:r w:rsidR="006273BF">
              <w:t xml:space="preserve"> dienesta sniegt</w:t>
            </w:r>
            <w:r>
              <w:t>ās</w:t>
            </w:r>
            <w:r w:rsidR="006273BF">
              <w:t xml:space="preserve"> informācij</w:t>
            </w:r>
            <w:r>
              <w:t xml:space="preserve">as, </w:t>
            </w:r>
            <w:r w:rsidR="00C9384F">
              <w:t>13 mājputnu un zaķveidīgo kautuvēs, kur</w:t>
            </w:r>
            <w:r w:rsidR="00EA469E">
              <w:t>ās</w:t>
            </w:r>
            <w:r w:rsidR="00C9384F">
              <w:t xml:space="preserve"> kauj mājputnus un zaķveidīgos nelielā apjomā</w:t>
            </w:r>
            <w:r w:rsidR="00E76668">
              <w:t>,</w:t>
            </w:r>
            <w:r w:rsidR="006273BF">
              <w:t xml:space="preserve"> 2017.</w:t>
            </w:r>
            <w:r>
              <w:t> </w:t>
            </w:r>
            <w:r w:rsidR="006273BF">
              <w:t>gadā ir nokauti 26</w:t>
            </w:r>
            <w:r w:rsidR="00D10E26">
              <w:t> </w:t>
            </w:r>
            <w:r w:rsidR="006273BF">
              <w:t xml:space="preserve">027 dzīvnieki, kas vidēji </w:t>
            </w:r>
            <w:r>
              <w:t xml:space="preserve">ir </w:t>
            </w:r>
            <w:r w:rsidR="006273BF">
              <w:t xml:space="preserve">38 dzīvnieki nedēļā. Ņemot vērā vidējo samaksu par veterināro ekspertīzi, viena dzīvnieka ekspertīze izmaksā vidēji 2,80 </w:t>
            </w:r>
            <w:proofErr w:type="spellStart"/>
            <w:r w:rsidRPr="007B3F68">
              <w:rPr>
                <w:i/>
              </w:rPr>
              <w:t>euro</w:t>
            </w:r>
            <w:proofErr w:type="spellEnd"/>
            <w:r>
              <w:t>,</w:t>
            </w:r>
            <w:r w:rsidR="006273BF">
              <w:t xml:space="preserve"> </w:t>
            </w:r>
            <w:r>
              <w:t>lai gan</w:t>
            </w:r>
            <w:r w:rsidR="006273BF">
              <w:t xml:space="preserve"> samaksa var būt katrā kautuvē citāda atkarībā no </w:t>
            </w:r>
            <w:r>
              <w:t>tās</w:t>
            </w:r>
            <w:r w:rsidR="006273BF">
              <w:t xml:space="preserve"> atrašanās vietas vai pilnvarota veterinārārsta atrašanās laika kautuvē (kas savukārt ir atkarīga no kaušanas ātruma).</w:t>
            </w:r>
            <w:r w:rsidR="00385C02">
              <w:t xml:space="preserve"> Vidējās izmaksas vienam uzņēmumam </w:t>
            </w:r>
            <w:r w:rsidR="00696D83">
              <w:t>ir</w:t>
            </w:r>
            <w:r w:rsidR="00385C02">
              <w:t xml:space="preserve"> 106,4 </w:t>
            </w:r>
            <w:proofErr w:type="spellStart"/>
            <w:r w:rsidRPr="007B3F68">
              <w:rPr>
                <w:i/>
              </w:rPr>
              <w:t>euro</w:t>
            </w:r>
            <w:proofErr w:type="spellEnd"/>
            <w:r w:rsidR="00385C02">
              <w:t xml:space="preserve"> nedēļā</w:t>
            </w:r>
            <w:r w:rsidR="00A50577">
              <w:t>.</w:t>
            </w:r>
          </w:p>
          <w:p w:rsidR="006273BF" w:rsidRDefault="006273BF" w:rsidP="00243D54">
            <w:pPr>
              <w:pStyle w:val="Bezatstarpm"/>
              <w:jc w:val="both"/>
            </w:pPr>
            <w:r>
              <w:t>Protams, jāņem vērā, ka personai bez veterinār</w:t>
            </w:r>
            <w:r w:rsidR="009420CD">
              <w:t>medicīnisk</w:t>
            </w:r>
            <w:r>
              <w:t>ās izglītības būs jāapgūst mācību kurss, lai varētu veikt pirmskaušanas apskati un pēckaušanas veterināro ekspertīzi putniem un trušiem. Ņemot vērā līdzīgu mācību kursu izmaksas</w:t>
            </w:r>
            <w:r w:rsidR="00593B8F">
              <w:t xml:space="preserve"> un ietverot</w:t>
            </w:r>
            <w:r>
              <w:t xml:space="preserve"> gan teorētisk</w:t>
            </w:r>
            <w:r w:rsidR="00593B8F">
              <w:t>a</w:t>
            </w:r>
            <w:r>
              <w:t>s, gan praktisk</w:t>
            </w:r>
            <w:r w:rsidR="00593B8F">
              <w:t>a</w:t>
            </w:r>
            <w:r>
              <w:t xml:space="preserve">s nodarbības, šāda mācību kursa izmaksas varētu būt aptuveni 750 </w:t>
            </w:r>
            <w:proofErr w:type="spellStart"/>
            <w:r w:rsidR="00593B8F" w:rsidRPr="007B3F68">
              <w:rPr>
                <w:i/>
              </w:rPr>
              <w:t>euro</w:t>
            </w:r>
            <w:proofErr w:type="spellEnd"/>
            <w:r>
              <w:t>.</w:t>
            </w:r>
          </w:p>
          <w:p w:rsidR="00DB7C3A" w:rsidRDefault="00FF1028" w:rsidP="003D7AFF">
            <w:pPr>
              <w:pStyle w:val="Bezatstarpm"/>
              <w:jc w:val="both"/>
            </w:pPr>
            <w:r>
              <w:lastRenderedPageBreak/>
              <w:t>Pirmskaušanas apskates un pēckaušanas veterinārās ekspertīzes izmaksas</w:t>
            </w:r>
            <w:r w:rsidR="00D63350">
              <w:t xml:space="preserve"> katram uzņēmējam ir individuālas atkarībā no turēto mājputnu vai zaķveidīgo skaita, kā arī darbinieku skaita, kas veiks pirmskaušanas apskati un pēckaušanas veterināro ekspertīzi. </w:t>
            </w:r>
          </w:p>
          <w:p w:rsidR="008B0177" w:rsidRPr="00DB7C3A" w:rsidRDefault="008B0177" w:rsidP="003D7AFF">
            <w:pPr>
              <w:pStyle w:val="Bezatstarpm"/>
              <w:jc w:val="both"/>
              <w:rPr>
                <w:sz w:val="16"/>
                <w:szCs w:val="16"/>
              </w:rPr>
            </w:pPr>
          </w:p>
        </w:tc>
      </w:tr>
      <w:tr w:rsidR="00FB65D8" w:rsidRPr="000A242C" w:rsidTr="00D62586">
        <w:tc>
          <w:tcPr>
            <w:tcW w:w="269" w:type="pct"/>
          </w:tcPr>
          <w:p w:rsidR="00FB65D8" w:rsidRPr="000A242C" w:rsidRDefault="00B85AE0" w:rsidP="00B85AE0">
            <w:pPr>
              <w:pStyle w:val="Bezatstarpm"/>
            </w:pPr>
            <w:r>
              <w:lastRenderedPageBreak/>
              <w:t>5</w:t>
            </w:r>
            <w:r w:rsidR="00FB65D8" w:rsidRPr="000A242C">
              <w:t>.</w:t>
            </w:r>
          </w:p>
        </w:tc>
        <w:tc>
          <w:tcPr>
            <w:tcW w:w="1065" w:type="pct"/>
          </w:tcPr>
          <w:p w:rsidR="00FB65D8" w:rsidRDefault="00FB65D8" w:rsidP="00F62526">
            <w:pPr>
              <w:pStyle w:val="Bezatstarpm"/>
            </w:pPr>
            <w:r w:rsidRPr="000A242C">
              <w:t>Cita informācija</w:t>
            </w:r>
          </w:p>
          <w:p w:rsidR="008B0177" w:rsidRPr="000A242C" w:rsidRDefault="008B0177" w:rsidP="00F62526">
            <w:pPr>
              <w:pStyle w:val="Bezatstarpm"/>
            </w:pPr>
          </w:p>
        </w:tc>
        <w:tc>
          <w:tcPr>
            <w:tcW w:w="3666" w:type="pct"/>
          </w:tcPr>
          <w:p w:rsidR="00FB65D8" w:rsidRPr="000A242C" w:rsidRDefault="00FB65D8" w:rsidP="00F62526">
            <w:pPr>
              <w:pStyle w:val="Bezatstarpm"/>
            </w:pPr>
            <w:r>
              <w:t>Nav</w:t>
            </w:r>
            <w:r w:rsidR="00593B8F">
              <w:t>.</w:t>
            </w:r>
          </w:p>
        </w:tc>
      </w:tr>
    </w:tbl>
    <w:p w:rsidR="00FB65D8" w:rsidRDefault="00FB65D8" w:rsidP="00FB65D8">
      <w:pPr>
        <w:pStyle w:val="Bezatstarpm"/>
        <w:rPr>
          <w:i/>
        </w:rPr>
      </w:pPr>
    </w:p>
    <w:tbl>
      <w:tblPr>
        <w:tblStyle w:val="Reatabula1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23573" w:rsidRPr="00723573" w:rsidTr="00B43671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73" w:rsidRPr="00723573" w:rsidRDefault="00723573" w:rsidP="007235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235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723573" w:rsidRPr="00723573" w:rsidTr="00B43671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73" w:rsidRPr="00723573" w:rsidRDefault="00723573" w:rsidP="007235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73">
              <w:rPr>
                <w:rFonts w:ascii="Times New Roman" w:eastAsia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723573" w:rsidRDefault="00723573" w:rsidP="00FB65D8">
      <w:pPr>
        <w:pStyle w:val="Bezatstarpm"/>
      </w:pPr>
    </w:p>
    <w:tbl>
      <w:tblPr>
        <w:tblStyle w:val="Reatabula2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23573" w:rsidRPr="00723573" w:rsidTr="00B43671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73" w:rsidRPr="00723573" w:rsidRDefault="00723573" w:rsidP="007235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7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235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723573" w:rsidRPr="00723573" w:rsidTr="00B43671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73" w:rsidRPr="00723573" w:rsidRDefault="00723573" w:rsidP="007235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573">
              <w:rPr>
                <w:rFonts w:ascii="Times New Roman" w:eastAsia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="00723573" w:rsidRPr="00723573" w:rsidRDefault="00723573" w:rsidP="00FB65D8">
      <w:pPr>
        <w:pStyle w:val="Bezatstarpm"/>
      </w:pPr>
    </w:p>
    <w:p w:rsidR="00FB65D8" w:rsidRDefault="00FB65D8" w:rsidP="00FB65D8">
      <w:pPr>
        <w:pStyle w:val="Bezatstarpm"/>
        <w:rPr>
          <w:i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1"/>
        <w:gridCol w:w="2400"/>
        <w:gridCol w:w="232"/>
        <w:gridCol w:w="1559"/>
        <w:gridCol w:w="1926"/>
        <w:gridCol w:w="2454"/>
        <w:gridCol w:w="15"/>
      </w:tblGrid>
      <w:tr w:rsidR="00FB65D8" w:rsidRPr="00BF23C3" w:rsidTr="00B14446">
        <w:trPr>
          <w:gridAfter w:val="1"/>
          <w:wAfter w:w="8" w:type="pct"/>
        </w:trPr>
        <w:tc>
          <w:tcPr>
            <w:tcW w:w="4992" w:type="pct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FB65D8" w:rsidRPr="00D41213" w:rsidRDefault="00FB65D8" w:rsidP="00F62526">
            <w:pPr>
              <w:pStyle w:val="Bezatstarpm"/>
              <w:jc w:val="center"/>
              <w:rPr>
                <w:b/>
                <w:bCs/>
              </w:rPr>
            </w:pPr>
            <w:r w:rsidRPr="00D4121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FB65D8" w:rsidRPr="00D41213" w:rsidTr="00B14446">
        <w:trPr>
          <w:gridAfter w:val="1"/>
          <w:wAfter w:w="8" w:type="pct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Saistības pret Eiropas Savienību</w:t>
            </w:r>
          </w:p>
        </w:tc>
        <w:tc>
          <w:tcPr>
            <w:tcW w:w="327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D627F6" w:rsidP="002F0B22">
            <w:pPr>
              <w:pStyle w:val="Bezatstarpm"/>
              <w:jc w:val="both"/>
            </w:pPr>
            <w:r>
              <w:t>Regula Nr. 853/2004</w:t>
            </w:r>
            <w:r w:rsidR="002F0B22" w:rsidRPr="002F0B22">
              <w:t xml:space="preserve"> </w:t>
            </w:r>
          </w:p>
        </w:tc>
      </w:tr>
      <w:tr w:rsidR="00FB65D8" w:rsidRPr="00D41213" w:rsidTr="00B14446">
        <w:trPr>
          <w:gridAfter w:val="1"/>
          <w:wAfter w:w="8" w:type="pct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0177" w:rsidRPr="00D41213" w:rsidRDefault="00FB65D8" w:rsidP="00F62526">
            <w:pPr>
              <w:pStyle w:val="Bezatstarpm"/>
              <w:jc w:val="both"/>
            </w:pPr>
            <w:r w:rsidRPr="00D41213">
              <w:t>Citas starptautiskās saistības</w:t>
            </w:r>
          </w:p>
        </w:tc>
        <w:tc>
          <w:tcPr>
            <w:tcW w:w="327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Projekts šo jomu neskar.</w:t>
            </w:r>
          </w:p>
        </w:tc>
      </w:tr>
      <w:tr w:rsidR="00FB65D8" w:rsidRPr="00D41213" w:rsidTr="00B14446">
        <w:trPr>
          <w:gridAfter w:val="1"/>
          <w:wAfter w:w="8" w:type="pct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Cita informācija</w:t>
            </w:r>
          </w:p>
        </w:tc>
        <w:tc>
          <w:tcPr>
            <w:tcW w:w="327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65D8" w:rsidRPr="00D41213" w:rsidRDefault="00FB65D8" w:rsidP="00EE65F6">
            <w:pPr>
              <w:pStyle w:val="Bezatstarpm"/>
              <w:jc w:val="both"/>
            </w:pPr>
            <w:r w:rsidRPr="00D41213">
              <w:t>Nav</w:t>
            </w:r>
            <w:r w:rsidR="00593B8F">
              <w:t>.</w:t>
            </w:r>
          </w:p>
        </w:tc>
      </w:tr>
      <w:tr w:rsidR="00FB65D8" w:rsidRPr="00D41213" w:rsidTr="00B14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3"/>
          <w:jc w:val="center"/>
        </w:trPr>
        <w:tc>
          <w:tcPr>
            <w:tcW w:w="5000" w:type="pct"/>
            <w:gridSpan w:val="7"/>
            <w:vAlign w:val="center"/>
          </w:tcPr>
          <w:p w:rsidR="00FB65D8" w:rsidRPr="00D41213" w:rsidRDefault="00FB65D8" w:rsidP="00F62526">
            <w:pPr>
              <w:pStyle w:val="Bezatstarpm"/>
              <w:jc w:val="center"/>
              <w:rPr>
                <w:b/>
                <w:bCs/>
              </w:rPr>
            </w:pPr>
            <w:r w:rsidRPr="00D41213">
              <w:rPr>
                <w:b/>
                <w:bCs/>
              </w:rPr>
              <w:t>1.tabula</w:t>
            </w:r>
          </w:p>
          <w:p w:rsidR="00FB65D8" w:rsidRPr="00D41213" w:rsidRDefault="00FB65D8" w:rsidP="00F62526">
            <w:pPr>
              <w:pStyle w:val="Bezatstarpm"/>
              <w:jc w:val="center"/>
              <w:rPr>
                <w:b/>
                <w:bCs/>
                <w:i/>
              </w:rPr>
            </w:pPr>
            <w:r w:rsidRPr="00D41213">
              <w:rPr>
                <w:b/>
                <w:bCs/>
              </w:rPr>
              <w:t>Tiesību akta projekta atbilstība ES tiesību aktiem</w:t>
            </w:r>
          </w:p>
        </w:tc>
      </w:tr>
      <w:tr w:rsidR="00FB65D8" w:rsidRPr="00D41213" w:rsidTr="00B14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6"/>
          <w:jc w:val="center"/>
        </w:trPr>
        <w:tc>
          <w:tcPr>
            <w:tcW w:w="1592" w:type="pct"/>
            <w:gridSpan w:val="2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Attiecīgā ES tiesību akta datums, numurs un nosaukums</w:t>
            </w:r>
          </w:p>
        </w:tc>
        <w:tc>
          <w:tcPr>
            <w:tcW w:w="3408" w:type="pct"/>
            <w:gridSpan w:val="5"/>
          </w:tcPr>
          <w:p w:rsidR="00FB65D8" w:rsidRPr="00D41213" w:rsidRDefault="00D627F6" w:rsidP="00F62526">
            <w:pPr>
              <w:pStyle w:val="Bezatstarpm"/>
              <w:jc w:val="both"/>
            </w:pPr>
            <w:r>
              <w:t>Regula Nr. 853/2004</w:t>
            </w:r>
          </w:p>
        </w:tc>
      </w:tr>
      <w:tr w:rsidR="00FB65D8" w:rsidRPr="00D41213" w:rsidTr="00B14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592" w:type="pct"/>
            <w:gridSpan w:val="2"/>
            <w:vAlign w:val="center"/>
          </w:tcPr>
          <w:p w:rsidR="00FB65D8" w:rsidRPr="00D41213" w:rsidRDefault="00FB65D8" w:rsidP="00F62526">
            <w:pPr>
              <w:pStyle w:val="Bezatstarpm"/>
              <w:jc w:val="center"/>
            </w:pPr>
            <w:r w:rsidRPr="00D41213">
              <w:t>A</w:t>
            </w:r>
          </w:p>
        </w:tc>
        <w:tc>
          <w:tcPr>
            <w:tcW w:w="987" w:type="pct"/>
            <w:gridSpan w:val="2"/>
            <w:vAlign w:val="center"/>
          </w:tcPr>
          <w:p w:rsidR="00FB65D8" w:rsidRPr="00D41213" w:rsidRDefault="00FB65D8" w:rsidP="00F62526">
            <w:pPr>
              <w:pStyle w:val="Bezatstarpm"/>
              <w:jc w:val="center"/>
            </w:pPr>
            <w:r w:rsidRPr="00D41213">
              <w:t>B</w:t>
            </w:r>
          </w:p>
        </w:tc>
        <w:tc>
          <w:tcPr>
            <w:tcW w:w="1061" w:type="pct"/>
            <w:vAlign w:val="center"/>
          </w:tcPr>
          <w:p w:rsidR="00FB65D8" w:rsidRPr="00D41213" w:rsidRDefault="00FB65D8" w:rsidP="00F62526">
            <w:pPr>
              <w:pStyle w:val="Bezatstarpm"/>
              <w:jc w:val="center"/>
            </w:pPr>
            <w:r w:rsidRPr="00D41213">
              <w:t>C</w:t>
            </w:r>
          </w:p>
        </w:tc>
        <w:tc>
          <w:tcPr>
            <w:tcW w:w="1360" w:type="pct"/>
            <w:gridSpan w:val="2"/>
            <w:vAlign w:val="center"/>
          </w:tcPr>
          <w:p w:rsidR="00FB65D8" w:rsidRPr="00D41213" w:rsidRDefault="00FB65D8" w:rsidP="00F62526">
            <w:pPr>
              <w:pStyle w:val="Bezatstarpm"/>
              <w:jc w:val="center"/>
            </w:pPr>
            <w:r w:rsidRPr="00D41213">
              <w:t>D</w:t>
            </w:r>
          </w:p>
        </w:tc>
      </w:tr>
      <w:tr w:rsidR="00FB65D8" w:rsidRPr="00A25835" w:rsidTr="00B14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592" w:type="pct"/>
            <w:gridSpan w:val="2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Attiecīgā ES tiesību akta panta numurs (uzskaitot katru tiesību akta vienību – pantu, daļu, punktu, apakšpunktu)</w:t>
            </w:r>
          </w:p>
        </w:tc>
        <w:tc>
          <w:tcPr>
            <w:tcW w:w="987" w:type="pct"/>
            <w:gridSpan w:val="2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61" w:type="pct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Informācija par to, vai šīs tabulas A ailē minētās ES tiesību akta vienības tiek pārņemtas vai ieviestas pilnībā vai daļēji.</w:t>
            </w:r>
          </w:p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 xml:space="preserve">Norāda institūciju, kas ir atbildīga par </w:t>
            </w:r>
            <w:r w:rsidRPr="00D41213">
              <w:lastRenderedPageBreak/>
              <w:t>šo saistību izpildi pilnībā</w:t>
            </w:r>
          </w:p>
        </w:tc>
        <w:tc>
          <w:tcPr>
            <w:tcW w:w="1360" w:type="pct"/>
            <w:gridSpan w:val="2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Ja projekts satur stingrākas prasības nekā attiecīgais ES tiesību akts, norāda pamatojumu un samērīgumu.</w:t>
            </w:r>
          </w:p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FB65D8" w:rsidRPr="00A25835" w:rsidTr="00B14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5"/>
          <w:jc w:val="center"/>
        </w:trPr>
        <w:tc>
          <w:tcPr>
            <w:tcW w:w="1592" w:type="pct"/>
            <w:gridSpan w:val="2"/>
          </w:tcPr>
          <w:p w:rsidR="00FB65D8" w:rsidRPr="00D41213" w:rsidRDefault="00D627F6" w:rsidP="00B14446">
            <w:pPr>
              <w:pStyle w:val="Bezatstarpm"/>
              <w:jc w:val="both"/>
            </w:pPr>
            <w:r>
              <w:t>Regulas Nr. 853/2004 1.panta 4.punkts</w:t>
            </w:r>
          </w:p>
        </w:tc>
        <w:tc>
          <w:tcPr>
            <w:tcW w:w="987" w:type="pct"/>
            <w:gridSpan w:val="2"/>
          </w:tcPr>
          <w:p w:rsidR="00FB65D8" w:rsidRPr="00D41213" w:rsidRDefault="00D02541" w:rsidP="00D02541">
            <w:pPr>
              <w:pStyle w:val="Bezatstarpm"/>
              <w:jc w:val="both"/>
            </w:pPr>
            <w:r>
              <w:t>Noteikumu p</w:t>
            </w:r>
            <w:r w:rsidR="005C58E3">
              <w:t>rojekts</w:t>
            </w:r>
          </w:p>
        </w:tc>
        <w:tc>
          <w:tcPr>
            <w:tcW w:w="1061" w:type="pct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ES tiesību akta vienība tiek ieviesta pilnībā.</w:t>
            </w:r>
          </w:p>
        </w:tc>
        <w:tc>
          <w:tcPr>
            <w:tcW w:w="1360" w:type="pct"/>
            <w:gridSpan w:val="2"/>
          </w:tcPr>
          <w:p w:rsidR="00FB65D8" w:rsidRDefault="00FB65D8" w:rsidP="00F62526">
            <w:pPr>
              <w:pStyle w:val="Bezatstarpm"/>
              <w:jc w:val="both"/>
            </w:pPr>
            <w:r w:rsidRPr="00D41213">
              <w:t>Attiecīgais noteikumu projekta punkts neparedz stingrākas prasības kā ES tiesību aktā.</w:t>
            </w:r>
          </w:p>
          <w:p w:rsidR="008B0177" w:rsidRPr="00D41213" w:rsidRDefault="008B0177" w:rsidP="00F62526">
            <w:pPr>
              <w:pStyle w:val="Bezatstarpm"/>
              <w:jc w:val="both"/>
            </w:pPr>
          </w:p>
        </w:tc>
      </w:tr>
      <w:tr w:rsidR="00FB65D8" w:rsidRPr="00D41213" w:rsidTr="00B14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1"/>
          <w:jc w:val="center"/>
        </w:trPr>
        <w:tc>
          <w:tcPr>
            <w:tcW w:w="1592" w:type="pct"/>
            <w:gridSpan w:val="2"/>
            <w:vAlign w:val="center"/>
          </w:tcPr>
          <w:p w:rsidR="00FB65D8" w:rsidRDefault="00FB65D8" w:rsidP="00F62526">
            <w:pPr>
              <w:pStyle w:val="Bezatstarpm"/>
              <w:jc w:val="both"/>
            </w:pPr>
            <w:r w:rsidRPr="00D41213">
              <w:t>Kā ir izmantota ES tiesību aktā paredzētā rīcības brīvība dalībvalstij pārņemt vai ieviest noteiktas ES tiesību akta normas. Kādēļ?</w:t>
            </w:r>
          </w:p>
          <w:p w:rsidR="008B0177" w:rsidRPr="00D41213" w:rsidRDefault="008B0177" w:rsidP="00F62526">
            <w:pPr>
              <w:pStyle w:val="Bezatstarpm"/>
              <w:jc w:val="both"/>
            </w:pPr>
          </w:p>
        </w:tc>
        <w:tc>
          <w:tcPr>
            <w:tcW w:w="3408" w:type="pct"/>
            <w:gridSpan w:val="5"/>
          </w:tcPr>
          <w:p w:rsidR="00FB65D8" w:rsidRPr="00D41213" w:rsidRDefault="005F0153" w:rsidP="005F0153">
            <w:pPr>
              <w:pStyle w:val="Bezatstarpm"/>
              <w:jc w:val="both"/>
            </w:pPr>
            <w:r>
              <w:t>P</w:t>
            </w:r>
            <w:r w:rsidR="00FB65D8">
              <w:t>rojekts šo jomu neskar.</w:t>
            </w:r>
          </w:p>
        </w:tc>
      </w:tr>
      <w:tr w:rsidR="00FB65D8" w:rsidRPr="00D41213" w:rsidTr="00B14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46"/>
          <w:jc w:val="center"/>
        </w:trPr>
        <w:tc>
          <w:tcPr>
            <w:tcW w:w="1592" w:type="pct"/>
            <w:gridSpan w:val="2"/>
            <w:vAlign w:val="center"/>
          </w:tcPr>
          <w:p w:rsidR="00FB65D8" w:rsidRDefault="00FB65D8" w:rsidP="00F62526">
            <w:pPr>
              <w:pStyle w:val="Bezatstarpm"/>
              <w:jc w:val="both"/>
            </w:pPr>
            <w:r w:rsidRPr="00D41213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  <w:p w:rsidR="008B0177" w:rsidRPr="00D41213" w:rsidRDefault="008B0177" w:rsidP="00F62526">
            <w:pPr>
              <w:pStyle w:val="Bezatstarpm"/>
              <w:jc w:val="both"/>
              <w:rPr>
                <w:i/>
              </w:rPr>
            </w:pPr>
          </w:p>
        </w:tc>
        <w:tc>
          <w:tcPr>
            <w:tcW w:w="3408" w:type="pct"/>
            <w:gridSpan w:val="5"/>
          </w:tcPr>
          <w:p w:rsidR="00FB65D8" w:rsidRPr="00D41213" w:rsidRDefault="005F0153" w:rsidP="005F0153">
            <w:pPr>
              <w:pStyle w:val="Bezatstarpm"/>
              <w:jc w:val="both"/>
            </w:pPr>
            <w:r>
              <w:t>P</w:t>
            </w:r>
            <w:r w:rsidR="00FB65D8" w:rsidRPr="00D41213">
              <w:t>rojekts šo jomu neskar.</w:t>
            </w:r>
          </w:p>
        </w:tc>
      </w:tr>
      <w:tr w:rsidR="00FB65D8" w:rsidRPr="00D41213" w:rsidTr="00B1444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"/>
          <w:jc w:val="center"/>
        </w:trPr>
        <w:tc>
          <w:tcPr>
            <w:tcW w:w="1592" w:type="pct"/>
            <w:gridSpan w:val="2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Cita informācija</w:t>
            </w:r>
          </w:p>
        </w:tc>
        <w:tc>
          <w:tcPr>
            <w:tcW w:w="3408" w:type="pct"/>
            <w:gridSpan w:val="5"/>
          </w:tcPr>
          <w:p w:rsidR="00FB65D8" w:rsidRPr="00D41213" w:rsidRDefault="00FB65D8" w:rsidP="00F62526">
            <w:pPr>
              <w:pStyle w:val="Bezatstarpm"/>
              <w:jc w:val="both"/>
            </w:pPr>
            <w:r w:rsidRPr="00D41213">
              <w:t>Nav.</w:t>
            </w:r>
          </w:p>
        </w:tc>
      </w:tr>
    </w:tbl>
    <w:p w:rsidR="00FB65D8" w:rsidRDefault="00FB65D8" w:rsidP="00FB65D8">
      <w:pPr>
        <w:pStyle w:val="Bezatstarpm"/>
        <w:rPr>
          <w:i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562"/>
        <w:gridCol w:w="4111"/>
        <w:gridCol w:w="4678"/>
      </w:tblGrid>
      <w:tr w:rsidR="00FB65D8" w:rsidRPr="00A25835" w:rsidTr="00F62526">
        <w:tc>
          <w:tcPr>
            <w:tcW w:w="9351" w:type="dxa"/>
            <w:gridSpan w:val="3"/>
          </w:tcPr>
          <w:p w:rsidR="00FB65D8" w:rsidRPr="00891139" w:rsidRDefault="00FB65D8" w:rsidP="00F62526">
            <w:pPr>
              <w:pStyle w:val="Bezatstarpm"/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Pr="00891139">
              <w:rPr>
                <w:b/>
              </w:rPr>
              <w:t xml:space="preserve">. </w:t>
            </w:r>
            <w:r>
              <w:rPr>
                <w:b/>
              </w:rPr>
              <w:t>Sabiedrības līdzdalība un komunikācijas aktivitātes</w:t>
            </w:r>
          </w:p>
        </w:tc>
      </w:tr>
      <w:tr w:rsidR="00FB65D8" w:rsidRPr="00352F64" w:rsidTr="00F62526">
        <w:tc>
          <w:tcPr>
            <w:tcW w:w="562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1.</w:t>
            </w:r>
          </w:p>
        </w:tc>
        <w:tc>
          <w:tcPr>
            <w:tcW w:w="4111" w:type="dxa"/>
          </w:tcPr>
          <w:p w:rsidR="00FB65D8" w:rsidRPr="000A242C" w:rsidRDefault="00FB65D8" w:rsidP="00F62526">
            <w:pPr>
              <w:pStyle w:val="Bezatstarpm"/>
              <w:jc w:val="both"/>
            </w:pPr>
            <w:r>
              <w:t>Plānotās sabiedrības līdzdalības un komunikācijas aktivitātes saistībā ar projektu</w:t>
            </w:r>
          </w:p>
        </w:tc>
        <w:tc>
          <w:tcPr>
            <w:tcW w:w="4678" w:type="dxa"/>
          </w:tcPr>
          <w:p w:rsidR="00836187" w:rsidRDefault="00FB65D8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17300D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tik</w:t>
            </w:r>
            <w:r w:rsidR="006063D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73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00D">
              <w:rPr>
                <w:rFonts w:ascii="TimesNewRomanPSMT" w:eastAsia="Times New Roman" w:hAnsi="TimesNewRomanPSMT" w:cs="TimesNewRomanPSMT"/>
                <w:sz w:val="24"/>
                <w:szCs w:val="24"/>
              </w:rPr>
              <w:t>ievietots Zemkopības</w:t>
            </w: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Pr="0017300D">
              <w:rPr>
                <w:rFonts w:ascii="TimesNewRomanPSMT" w:eastAsia="Times New Roman" w:hAnsi="TimesNewRomanPSMT" w:cs="TimesNewRomanPSMT"/>
                <w:sz w:val="24"/>
                <w:szCs w:val="24"/>
              </w:rPr>
              <w:t>ministrijas tīmekļa vietnē</w:t>
            </w:r>
            <w:r w:rsidR="00956B2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hyperlink r:id="rId8" w:history="1">
              <w:r w:rsidR="00956B29" w:rsidRPr="0045727D">
                <w:rPr>
                  <w:rStyle w:val="Hipersaite"/>
                  <w:rFonts w:ascii="TimesNewRomanPSMT" w:eastAsia="Times New Roman" w:hAnsi="TimesNewRomanPSMT" w:cs="TimesNewRomanPSMT"/>
                  <w:sz w:val="24"/>
                  <w:szCs w:val="24"/>
                </w:rPr>
                <w:t>www.zm.gov.lv</w:t>
              </w:r>
            </w:hyperlink>
            <w:r w:rsidR="00956B2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r w:rsidR="006063D1">
              <w:rPr>
                <w:rFonts w:ascii="TimesNewRomanPSMT" w:eastAsia="Times New Roman" w:hAnsi="TimesNewRomanPSMT" w:cs="TimesNewRomanPSMT"/>
                <w:sz w:val="24"/>
                <w:szCs w:val="24"/>
              </w:rPr>
              <w:t>n</w:t>
            </w:r>
            <w:r w:rsidR="00836187">
              <w:rPr>
                <w:rFonts w:ascii="TimesNewRomanPSMT" w:eastAsia="Times New Roman" w:hAnsi="TimesNewRomanPSMT" w:cs="TimesNewRomanPSMT"/>
                <w:sz w:val="24"/>
                <w:szCs w:val="24"/>
              </w:rPr>
              <w:t>o</w:t>
            </w:r>
            <w:r w:rsidR="002F7A7A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="002F7A7A">
              <w:rPr>
                <w:rFonts w:ascii="TimesNewRomanPSMT" w:eastAsia="Times New Roman" w:hAnsi="TimesNewRomanPSMT" w:cs="TimesNewRomanPSMT"/>
                <w:sz w:val="24"/>
                <w:szCs w:val="24"/>
              </w:rPr>
              <w:t>2018.gada</w:t>
            </w:r>
            <w:proofErr w:type="gramEnd"/>
            <w:r w:rsidR="002F7A7A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15.marta līdz 23.martam.</w:t>
            </w:r>
          </w:p>
          <w:p w:rsidR="008B0177" w:rsidRPr="00B22587" w:rsidRDefault="008B0177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</w:tr>
      <w:tr w:rsidR="00FB65D8" w:rsidRPr="00A25835" w:rsidTr="00F62526">
        <w:tc>
          <w:tcPr>
            <w:tcW w:w="562" w:type="dxa"/>
          </w:tcPr>
          <w:p w:rsidR="00FB65D8" w:rsidRPr="00C2213E" w:rsidRDefault="00FB65D8" w:rsidP="00F62526">
            <w:pPr>
              <w:pStyle w:val="Bezatstarpm"/>
            </w:pPr>
            <w:r w:rsidRPr="00C2213E">
              <w:t>2.</w:t>
            </w:r>
          </w:p>
        </w:tc>
        <w:tc>
          <w:tcPr>
            <w:tcW w:w="4111" w:type="dxa"/>
          </w:tcPr>
          <w:p w:rsidR="00FB65D8" w:rsidRPr="00C2213E" w:rsidRDefault="00FB65D8" w:rsidP="00F62526">
            <w:pPr>
              <w:pStyle w:val="Bezatstarpm"/>
              <w:jc w:val="both"/>
            </w:pPr>
            <w:r>
              <w:t>Sabiedrības līdzdalība projekta izstrādē</w:t>
            </w:r>
          </w:p>
        </w:tc>
        <w:tc>
          <w:tcPr>
            <w:tcW w:w="4678" w:type="dxa"/>
          </w:tcPr>
          <w:p w:rsidR="00FB65D8" w:rsidRDefault="00FB65D8" w:rsidP="00466ABB">
            <w:pPr>
              <w:pStyle w:val="Bezatstarpm"/>
              <w:jc w:val="both"/>
              <w:rPr>
                <w:rFonts w:ascii="TimesNewRomanPSMT" w:hAnsi="TimesNewRomanPSMT" w:cs="TimesNewRomanPSMT"/>
              </w:rPr>
            </w:pPr>
            <w:r>
              <w:t>Noteikumu projekts tik</w:t>
            </w:r>
            <w:r w:rsidR="006063D1">
              <w:t>a</w:t>
            </w:r>
            <w:r>
              <w:t xml:space="preserve"> saskaņots ar </w:t>
            </w:r>
            <w:r w:rsidRPr="0017300D">
              <w:rPr>
                <w:rFonts w:ascii="TimesNewRomanPSMT" w:hAnsi="TimesNewRomanPSMT" w:cs="TimesNewRomanPSMT"/>
              </w:rPr>
              <w:t>biedrīb</w:t>
            </w:r>
            <w:r>
              <w:rPr>
                <w:rFonts w:ascii="TimesNewRomanPSMT" w:hAnsi="TimesNewRomanPSMT" w:cs="TimesNewRomanPSMT"/>
              </w:rPr>
              <w:t>u</w:t>
            </w:r>
            <w:r w:rsidRPr="0017300D">
              <w:rPr>
                <w:rFonts w:ascii="TimesNewRomanPSMT" w:hAnsi="TimesNewRomanPSMT" w:cs="TimesNewRomanPSMT"/>
              </w:rPr>
              <w:t xml:space="preserve"> </w:t>
            </w:r>
            <w:r w:rsidR="00A32986" w:rsidRPr="00A32986">
              <w:rPr>
                <w:rFonts w:ascii="TimesNewRomanPSMT" w:hAnsi="TimesNewRomanPSMT" w:cs="TimesNewRomanPSMT"/>
              </w:rPr>
              <w:t>„Lauksaimnieku organizāciju sadarbības padome”</w:t>
            </w:r>
            <w:r w:rsidR="000B0E7A">
              <w:rPr>
                <w:rFonts w:ascii="TimesNewRomanPSMT" w:hAnsi="TimesNewRomanPSMT" w:cs="TimesNewRomanPSMT"/>
              </w:rPr>
              <w:t>,</w:t>
            </w:r>
            <w:r w:rsidR="005C6FE4">
              <w:rPr>
                <w:rFonts w:ascii="TimesNewRomanPSMT" w:hAnsi="TimesNewRomanPSMT" w:cs="TimesNewRomanPSMT"/>
              </w:rPr>
              <w:t xml:space="preserve"> </w:t>
            </w:r>
            <w:r w:rsidR="00EA27FB">
              <w:rPr>
                <w:rFonts w:ascii="TimesNewRomanPSMT" w:hAnsi="TimesNewRomanPSMT" w:cs="TimesNewRomanPSMT"/>
              </w:rPr>
              <w:t xml:space="preserve">biedrību </w:t>
            </w:r>
            <w:r w:rsidR="005C6FE4">
              <w:rPr>
                <w:rFonts w:ascii="TimesNewRomanPSMT" w:hAnsi="TimesNewRomanPSMT" w:cs="TimesNewRomanPSMT"/>
              </w:rPr>
              <w:t>“Zemnieku Saeima”</w:t>
            </w:r>
            <w:r w:rsidR="000B0E7A">
              <w:rPr>
                <w:rFonts w:ascii="TimesNewRomanPSMT" w:hAnsi="TimesNewRomanPSMT" w:cs="TimesNewRomanPSMT"/>
              </w:rPr>
              <w:t>,</w:t>
            </w:r>
            <w:r w:rsidR="00EA27FB">
              <w:rPr>
                <w:rFonts w:ascii="TimesNewRomanPSMT" w:hAnsi="TimesNewRomanPSMT" w:cs="TimesNewRomanPSMT"/>
              </w:rPr>
              <w:t xml:space="preserve"> Latvijas šķirnes trušu audzētāju asociāciju, Latvijas </w:t>
            </w:r>
            <w:proofErr w:type="spellStart"/>
            <w:r w:rsidR="00EA27FB">
              <w:rPr>
                <w:rFonts w:ascii="TimesNewRomanPSMT" w:hAnsi="TimesNewRomanPSMT" w:cs="TimesNewRomanPSMT"/>
              </w:rPr>
              <w:t>sīkdzīvnieku</w:t>
            </w:r>
            <w:proofErr w:type="spellEnd"/>
            <w:r w:rsidR="00EA27FB">
              <w:rPr>
                <w:rFonts w:ascii="TimesNewRomanPSMT" w:hAnsi="TimesNewRomanPSMT" w:cs="TimesNewRomanPSMT"/>
              </w:rPr>
              <w:t xml:space="preserve"> audzētāju biedrību</w:t>
            </w:r>
            <w:r w:rsidR="006063D1">
              <w:rPr>
                <w:rFonts w:ascii="TimesNewRomanPSMT" w:hAnsi="TimesNewRomanPSMT" w:cs="TimesNewRomanPSMT"/>
              </w:rPr>
              <w:t xml:space="preserve"> un</w:t>
            </w:r>
            <w:r w:rsidR="000203DA">
              <w:rPr>
                <w:rFonts w:ascii="TimesNewRomanPSMT" w:hAnsi="TimesNewRomanPSMT" w:cs="TimesNewRomanPSMT"/>
              </w:rPr>
              <w:t xml:space="preserve"> Latvijas Zemnieku federāciju.</w:t>
            </w:r>
          </w:p>
          <w:p w:rsidR="008B0177" w:rsidRPr="00C2213E" w:rsidRDefault="008B0177" w:rsidP="00466ABB">
            <w:pPr>
              <w:pStyle w:val="Bezatstarpm"/>
              <w:jc w:val="both"/>
            </w:pPr>
          </w:p>
        </w:tc>
      </w:tr>
      <w:tr w:rsidR="00FB65D8" w:rsidRPr="00A25835" w:rsidTr="00F62526">
        <w:tc>
          <w:tcPr>
            <w:tcW w:w="562" w:type="dxa"/>
          </w:tcPr>
          <w:p w:rsidR="00FB65D8" w:rsidRPr="00C2213E" w:rsidRDefault="00FB65D8" w:rsidP="00F62526">
            <w:pPr>
              <w:pStyle w:val="Bezatstarpm"/>
            </w:pPr>
            <w:r w:rsidRPr="00C2213E">
              <w:t>3.</w:t>
            </w:r>
          </w:p>
        </w:tc>
        <w:tc>
          <w:tcPr>
            <w:tcW w:w="4111" w:type="dxa"/>
          </w:tcPr>
          <w:p w:rsidR="00FB65D8" w:rsidRPr="00C2213E" w:rsidRDefault="00FB65D8" w:rsidP="00F62526">
            <w:pPr>
              <w:pStyle w:val="Bezatstarpm"/>
              <w:jc w:val="both"/>
            </w:pPr>
            <w:r>
              <w:t>Sabiedrības līdzdalības rezultāti</w:t>
            </w:r>
          </w:p>
        </w:tc>
        <w:tc>
          <w:tcPr>
            <w:tcW w:w="4678" w:type="dxa"/>
          </w:tcPr>
          <w:p w:rsidR="00FB65D8" w:rsidRDefault="00DF762A" w:rsidP="006F7603">
            <w:pPr>
              <w:pStyle w:val="Bezatstarpm"/>
              <w:jc w:val="both"/>
              <w:rPr>
                <w:rFonts w:ascii="TimesNewRomanPSMT" w:hAnsi="TimesNewRomanPSMT" w:cs="TimesNewRomanPSMT"/>
              </w:rPr>
            </w:pPr>
            <w:r>
              <w:t xml:space="preserve">Priekšlikumi no </w:t>
            </w:r>
            <w:r w:rsidRPr="0017300D">
              <w:rPr>
                <w:rFonts w:ascii="TimesNewRomanPSMT" w:hAnsi="TimesNewRomanPSMT" w:cs="TimesNewRomanPSMT"/>
              </w:rPr>
              <w:t>biedrīb</w:t>
            </w:r>
            <w:r>
              <w:rPr>
                <w:rFonts w:ascii="TimesNewRomanPSMT" w:hAnsi="TimesNewRomanPSMT" w:cs="TimesNewRomanPSMT"/>
              </w:rPr>
              <w:t>as</w:t>
            </w:r>
            <w:r w:rsidRPr="0017300D">
              <w:rPr>
                <w:rFonts w:ascii="TimesNewRomanPSMT" w:hAnsi="TimesNewRomanPSMT" w:cs="TimesNewRomanPSMT"/>
              </w:rPr>
              <w:t xml:space="preserve"> </w:t>
            </w:r>
            <w:r w:rsidRPr="00A32986">
              <w:rPr>
                <w:rFonts w:ascii="TimesNewRomanPSMT" w:hAnsi="TimesNewRomanPSMT" w:cs="TimesNewRomanPSMT"/>
              </w:rPr>
              <w:t>„Lauksaimnieku organizāciju sadarbības padome”</w:t>
            </w:r>
            <w:r>
              <w:rPr>
                <w:rFonts w:ascii="TimesNewRomanPSMT" w:hAnsi="TimesNewRomanPSMT" w:cs="TimesNewRomanPSMT"/>
              </w:rPr>
              <w:t xml:space="preserve">, biedrības “Zemnieku Saeima”, Latvijas šķirnes trušu audzētāju asociācijas un Latvijas </w:t>
            </w:r>
            <w:proofErr w:type="spellStart"/>
            <w:r>
              <w:rPr>
                <w:rFonts w:ascii="TimesNewRomanPSMT" w:hAnsi="TimesNewRomanPSMT" w:cs="TimesNewRomanPSMT"/>
              </w:rPr>
              <w:t>sīkdzīvnieku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audzētāju biedrības netika saņemti.</w:t>
            </w:r>
          </w:p>
          <w:p w:rsidR="00DF762A" w:rsidRDefault="00DF762A" w:rsidP="006F7603">
            <w:pPr>
              <w:pStyle w:val="Bezatstarpm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Latvijas Zemnieku federācija </w:t>
            </w:r>
            <w:r w:rsidR="006063D1">
              <w:rPr>
                <w:rFonts w:ascii="TimesNewRomanPSMT" w:hAnsi="TimesNewRomanPSMT" w:cs="TimesNewRomanPSMT"/>
              </w:rPr>
              <w:t>pauda</w:t>
            </w:r>
            <w:r>
              <w:rPr>
                <w:rFonts w:ascii="TimesNewRomanPSMT" w:hAnsi="TimesNewRomanPSMT" w:cs="TimesNewRomanPSMT"/>
              </w:rPr>
              <w:t xml:space="preserve"> bažas par provizoriski norādīto </w:t>
            </w:r>
            <w:r w:rsidR="006063D1">
              <w:rPr>
                <w:rFonts w:ascii="TimesNewRomanPSMT" w:hAnsi="TimesNewRomanPSMT" w:cs="TimesNewRomanPSMT"/>
              </w:rPr>
              <w:t>lielo</w:t>
            </w:r>
            <w:r>
              <w:rPr>
                <w:rFonts w:ascii="TimesNewRomanPSMT" w:hAnsi="TimesNewRomanPSMT" w:cs="TimesNewRomanPSMT"/>
              </w:rPr>
              <w:t xml:space="preserve"> apmācīb</w:t>
            </w:r>
            <w:r w:rsidR="006063D1">
              <w:rPr>
                <w:rFonts w:ascii="TimesNewRomanPSMT" w:hAnsi="TimesNewRomanPSMT" w:cs="TimesNewRomanPSMT"/>
              </w:rPr>
              <w:t>as</w:t>
            </w:r>
            <w:r>
              <w:rPr>
                <w:rFonts w:ascii="TimesNewRomanPSMT" w:hAnsi="TimesNewRomanPSMT" w:cs="TimesNewRomanPSMT"/>
              </w:rPr>
              <w:t xml:space="preserve"> kursu maksu.</w:t>
            </w:r>
          </w:p>
          <w:p w:rsidR="008B0177" w:rsidRPr="00C2213E" w:rsidRDefault="008B0177" w:rsidP="006F7603">
            <w:pPr>
              <w:pStyle w:val="Bezatstarpm"/>
              <w:jc w:val="both"/>
            </w:pPr>
          </w:p>
        </w:tc>
      </w:tr>
      <w:tr w:rsidR="00FB65D8" w:rsidRPr="00C2213E" w:rsidTr="00F62526">
        <w:tc>
          <w:tcPr>
            <w:tcW w:w="562" w:type="dxa"/>
          </w:tcPr>
          <w:p w:rsidR="00FB65D8" w:rsidRPr="00C2213E" w:rsidRDefault="00FB65D8" w:rsidP="00F62526">
            <w:pPr>
              <w:pStyle w:val="Bezatstarpm"/>
            </w:pPr>
            <w:r w:rsidRPr="00C2213E">
              <w:t>4.</w:t>
            </w:r>
          </w:p>
        </w:tc>
        <w:tc>
          <w:tcPr>
            <w:tcW w:w="4111" w:type="dxa"/>
          </w:tcPr>
          <w:p w:rsidR="00FB65D8" w:rsidRDefault="00FB65D8" w:rsidP="00F62526">
            <w:pPr>
              <w:pStyle w:val="Bezatstarpm"/>
              <w:jc w:val="both"/>
            </w:pPr>
            <w:r>
              <w:t>Cita informācija</w:t>
            </w:r>
          </w:p>
          <w:p w:rsidR="008B0177" w:rsidRPr="00C2213E" w:rsidRDefault="008B0177" w:rsidP="00F62526">
            <w:pPr>
              <w:pStyle w:val="Bezatstarpm"/>
              <w:jc w:val="both"/>
            </w:pPr>
          </w:p>
        </w:tc>
        <w:tc>
          <w:tcPr>
            <w:tcW w:w="4678" w:type="dxa"/>
          </w:tcPr>
          <w:p w:rsidR="00FB65D8" w:rsidRPr="00C2213E" w:rsidRDefault="00FB65D8" w:rsidP="00F62526">
            <w:pPr>
              <w:pStyle w:val="Bezatstarpm"/>
              <w:jc w:val="both"/>
            </w:pPr>
            <w:r>
              <w:t>Nav</w:t>
            </w:r>
            <w:r w:rsidR="006063D1">
              <w:t>.</w:t>
            </w:r>
          </w:p>
        </w:tc>
      </w:tr>
    </w:tbl>
    <w:p w:rsidR="00FB65D8" w:rsidRPr="000A242C" w:rsidRDefault="00FB65D8" w:rsidP="00FB65D8">
      <w:pPr>
        <w:pStyle w:val="Bezatstarpm"/>
        <w:rPr>
          <w:i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800"/>
        <w:gridCol w:w="3844"/>
        <w:gridCol w:w="4707"/>
      </w:tblGrid>
      <w:tr w:rsidR="00FB65D8" w:rsidRPr="00A25835" w:rsidTr="00F62526">
        <w:tc>
          <w:tcPr>
            <w:tcW w:w="9351" w:type="dxa"/>
            <w:gridSpan w:val="3"/>
          </w:tcPr>
          <w:p w:rsidR="00FB65D8" w:rsidRPr="005B18E0" w:rsidRDefault="00FB65D8" w:rsidP="00F62526">
            <w:pPr>
              <w:pStyle w:val="Bezatstarpm"/>
              <w:rPr>
                <w:b/>
              </w:rPr>
            </w:pPr>
            <w:r w:rsidRPr="005B18E0">
              <w:rPr>
                <w:b/>
              </w:rPr>
              <w:t>VII. Tiesību akta projekta izpildes nodrošināšana un tās ietekme uz institūcijām</w:t>
            </w:r>
          </w:p>
        </w:tc>
      </w:tr>
      <w:tr w:rsidR="00FB65D8" w:rsidRPr="000A242C" w:rsidTr="00F62526">
        <w:tc>
          <w:tcPr>
            <w:tcW w:w="800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1.</w:t>
            </w:r>
          </w:p>
        </w:tc>
        <w:tc>
          <w:tcPr>
            <w:tcW w:w="3844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Projekta izpildē iesaistītās institūcijas</w:t>
            </w:r>
          </w:p>
        </w:tc>
        <w:tc>
          <w:tcPr>
            <w:tcW w:w="4707" w:type="dxa"/>
          </w:tcPr>
          <w:p w:rsidR="00FB65D8" w:rsidRPr="000A242C" w:rsidRDefault="00FB65D8" w:rsidP="006221C5">
            <w:pPr>
              <w:pStyle w:val="Bezatstarpm"/>
              <w:jc w:val="both"/>
            </w:pPr>
            <w:r>
              <w:t>Pārtikas un veterinārais dienests</w:t>
            </w:r>
            <w:r w:rsidR="002F0B22">
              <w:t xml:space="preserve"> </w:t>
            </w:r>
          </w:p>
        </w:tc>
      </w:tr>
      <w:tr w:rsidR="00FB65D8" w:rsidRPr="000A242C" w:rsidTr="00F62526">
        <w:tc>
          <w:tcPr>
            <w:tcW w:w="800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2.</w:t>
            </w:r>
          </w:p>
        </w:tc>
        <w:tc>
          <w:tcPr>
            <w:tcW w:w="3844" w:type="dxa"/>
          </w:tcPr>
          <w:p w:rsidR="00FB65D8" w:rsidRPr="000A242C" w:rsidRDefault="00FB65D8" w:rsidP="00F62526">
            <w:pPr>
              <w:pStyle w:val="Bezatstarpm"/>
              <w:jc w:val="both"/>
            </w:pPr>
            <w:r w:rsidRPr="000A242C">
              <w:t>Projekta izpildes ietekme uz pārvaldes funkcijām un institucionālo struktūru. Jaunu institūciju izveide, esošo institūciju likvidācija vai reorganizācija, to ietekme uz institūcijas cilvēkresursiem</w:t>
            </w:r>
          </w:p>
        </w:tc>
        <w:tc>
          <w:tcPr>
            <w:tcW w:w="4707" w:type="dxa"/>
          </w:tcPr>
          <w:p w:rsidR="00FB65D8" w:rsidRPr="000A242C" w:rsidRDefault="000911AF" w:rsidP="00F62526">
            <w:pPr>
              <w:pStyle w:val="Bezatstarpm"/>
            </w:pPr>
            <w:r>
              <w:t>Noteikumu projekta izpildei nav nepieciešams paplašināt Pārtikas un veterinārā dienesta funkcijas un uzdevumus.</w:t>
            </w:r>
          </w:p>
        </w:tc>
      </w:tr>
      <w:tr w:rsidR="00FB65D8" w:rsidRPr="000A242C" w:rsidTr="00F62526">
        <w:tc>
          <w:tcPr>
            <w:tcW w:w="800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3.</w:t>
            </w:r>
          </w:p>
        </w:tc>
        <w:tc>
          <w:tcPr>
            <w:tcW w:w="3844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>Cita informācija</w:t>
            </w:r>
          </w:p>
        </w:tc>
        <w:tc>
          <w:tcPr>
            <w:tcW w:w="4707" w:type="dxa"/>
          </w:tcPr>
          <w:p w:rsidR="00FB65D8" w:rsidRPr="000A242C" w:rsidRDefault="00FB65D8" w:rsidP="00F62526">
            <w:pPr>
              <w:pStyle w:val="Bezatstarpm"/>
            </w:pPr>
            <w:r w:rsidRPr="000A242C">
              <w:t xml:space="preserve">Nav </w:t>
            </w:r>
          </w:p>
        </w:tc>
      </w:tr>
    </w:tbl>
    <w:p w:rsidR="00FB65D8" w:rsidRPr="008B0177" w:rsidRDefault="00FB65D8" w:rsidP="00FB65D8">
      <w:pPr>
        <w:pStyle w:val="Bezatstarpm"/>
        <w:rPr>
          <w:color w:val="000000"/>
          <w:sz w:val="28"/>
        </w:rPr>
      </w:pPr>
    </w:p>
    <w:p w:rsidR="008B0177" w:rsidRDefault="008B0177" w:rsidP="00FB65D8">
      <w:pPr>
        <w:pStyle w:val="Bezatstarpm"/>
        <w:rPr>
          <w:color w:val="000000"/>
          <w:sz w:val="28"/>
        </w:rPr>
      </w:pPr>
    </w:p>
    <w:p w:rsidR="008B0177" w:rsidRPr="008B0177" w:rsidRDefault="008B0177" w:rsidP="00FB65D8">
      <w:pPr>
        <w:pStyle w:val="Bezatstarpm"/>
        <w:rPr>
          <w:color w:val="000000"/>
          <w:sz w:val="28"/>
        </w:rPr>
      </w:pPr>
    </w:p>
    <w:p w:rsidR="00FB65D8" w:rsidRPr="00003586" w:rsidRDefault="008B0177" w:rsidP="008B0177">
      <w:pPr>
        <w:pStyle w:val="Bezatstarpm"/>
        <w:ind w:firstLine="720"/>
        <w:rPr>
          <w:color w:val="000000"/>
          <w:sz w:val="28"/>
        </w:rPr>
      </w:pPr>
      <w:r>
        <w:rPr>
          <w:color w:val="000000"/>
          <w:sz w:val="28"/>
        </w:rPr>
        <w:t>Zemkopības ministrs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FB65D8" w:rsidRPr="00003586">
        <w:rPr>
          <w:color w:val="000000"/>
          <w:sz w:val="28"/>
        </w:rPr>
        <w:t>Jānis Dūklavs</w:t>
      </w:r>
    </w:p>
    <w:p w:rsidR="0062195C" w:rsidRPr="008B0177" w:rsidRDefault="0062195C" w:rsidP="008B0177">
      <w:pPr>
        <w:pStyle w:val="Bezatstarpm"/>
        <w:ind w:firstLine="720"/>
        <w:rPr>
          <w:color w:val="000000"/>
          <w:sz w:val="28"/>
        </w:rPr>
      </w:pPr>
    </w:p>
    <w:p w:rsidR="007C11B3" w:rsidRPr="008B0177" w:rsidRDefault="007C11B3" w:rsidP="008B0177">
      <w:pPr>
        <w:pStyle w:val="Bezatstarpm"/>
        <w:ind w:firstLine="720"/>
        <w:rPr>
          <w:color w:val="000000"/>
          <w:sz w:val="28"/>
        </w:rPr>
      </w:pPr>
    </w:p>
    <w:p w:rsidR="009C3649" w:rsidRPr="008B0177" w:rsidRDefault="008B0177" w:rsidP="008B0177">
      <w:pPr>
        <w:pStyle w:val="Bezatstarpm"/>
        <w:ind w:firstLine="720"/>
        <w:rPr>
          <w:sz w:val="28"/>
        </w:rPr>
      </w:pPr>
      <w:r w:rsidRPr="008B0177">
        <w:rPr>
          <w:sz w:val="28"/>
        </w:rPr>
        <w:t>Zemkopības ministrijas valsts sekret</w:t>
      </w:r>
      <w:r>
        <w:rPr>
          <w:sz w:val="28"/>
        </w:rPr>
        <w:t>āre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B0177">
        <w:rPr>
          <w:sz w:val="28"/>
        </w:rPr>
        <w:t>Dace Lucaua</w:t>
      </w:r>
    </w:p>
    <w:p w:rsidR="009C3649" w:rsidRPr="008B0177" w:rsidRDefault="009C3649" w:rsidP="00FB65D8">
      <w:pPr>
        <w:pStyle w:val="Bezatstarpm"/>
      </w:pPr>
    </w:p>
    <w:p w:rsidR="000234D6" w:rsidRDefault="000234D6" w:rsidP="00FB65D8">
      <w:pPr>
        <w:pStyle w:val="Bezatstarpm"/>
      </w:pPr>
    </w:p>
    <w:p w:rsidR="008B0177" w:rsidRDefault="008B0177" w:rsidP="00FB65D8">
      <w:pPr>
        <w:pStyle w:val="Bezatstarpm"/>
      </w:pPr>
    </w:p>
    <w:p w:rsidR="008B0177" w:rsidRDefault="008B0177" w:rsidP="00FB65D8">
      <w:pPr>
        <w:pStyle w:val="Bezatstarpm"/>
      </w:pPr>
    </w:p>
    <w:p w:rsidR="008B0177" w:rsidRDefault="008B0177" w:rsidP="00FB65D8">
      <w:pPr>
        <w:pStyle w:val="Bezatstarpm"/>
      </w:pPr>
    </w:p>
    <w:p w:rsidR="008B0177" w:rsidRDefault="008B0177" w:rsidP="00FB65D8">
      <w:pPr>
        <w:pStyle w:val="Bezatstarpm"/>
      </w:pPr>
    </w:p>
    <w:p w:rsidR="008B0177" w:rsidRDefault="008B0177" w:rsidP="00FB65D8">
      <w:pPr>
        <w:pStyle w:val="Bezatstarpm"/>
      </w:pPr>
    </w:p>
    <w:p w:rsidR="008B0177" w:rsidRDefault="008B0177" w:rsidP="00FB65D8">
      <w:pPr>
        <w:pStyle w:val="Bezatstarpm"/>
      </w:pPr>
    </w:p>
    <w:p w:rsidR="008B0177" w:rsidRDefault="008B0177" w:rsidP="00FB65D8">
      <w:pPr>
        <w:pStyle w:val="Bezatstarpm"/>
      </w:pPr>
    </w:p>
    <w:p w:rsidR="008B0177" w:rsidRDefault="008B0177" w:rsidP="00FB65D8">
      <w:pPr>
        <w:pStyle w:val="Bezatstarpm"/>
      </w:pPr>
    </w:p>
    <w:p w:rsidR="008B0177" w:rsidRDefault="008B0177" w:rsidP="00FB65D8">
      <w:pPr>
        <w:pStyle w:val="Bezatstarpm"/>
      </w:pPr>
    </w:p>
    <w:p w:rsidR="008B0177" w:rsidRDefault="008B0177" w:rsidP="00FB65D8">
      <w:pPr>
        <w:pStyle w:val="Bezatstarpm"/>
      </w:pPr>
    </w:p>
    <w:p w:rsidR="008B0177" w:rsidRDefault="008B0177" w:rsidP="00FB65D8">
      <w:pPr>
        <w:pStyle w:val="Bezatstarpm"/>
      </w:pPr>
    </w:p>
    <w:p w:rsidR="008B0177" w:rsidRDefault="008B0177" w:rsidP="00FB65D8">
      <w:pPr>
        <w:pStyle w:val="Bezatstarpm"/>
      </w:pPr>
    </w:p>
    <w:p w:rsidR="008B0177" w:rsidRDefault="008B0177" w:rsidP="00FB65D8">
      <w:pPr>
        <w:pStyle w:val="Bezatstarpm"/>
      </w:pPr>
      <w:bookmarkStart w:id="0" w:name="_GoBack"/>
      <w:bookmarkEnd w:id="0"/>
    </w:p>
    <w:p w:rsidR="008B0177" w:rsidRDefault="008B0177" w:rsidP="00FB65D8">
      <w:pPr>
        <w:pStyle w:val="Bezatstarpm"/>
      </w:pPr>
    </w:p>
    <w:p w:rsidR="008B0177" w:rsidRDefault="008B0177" w:rsidP="00FB65D8">
      <w:pPr>
        <w:pStyle w:val="Bezatstarpm"/>
      </w:pPr>
    </w:p>
    <w:p w:rsidR="008B0177" w:rsidRPr="008B0177" w:rsidRDefault="008B0177" w:rsidP="00FB65D8">
      <w:pPr>
        <w:pStyle w:val="Bezatstarpm"/>
      </w:pPr>
    </w:p>
    <w:p w:rsidR="00FB65D8" w:rsidRPr="008B0177" w:rsidRDefault="00384BCD" w:rsidP="00FB65D8">
      <w:pPr>
        <w:pStyle w:val="Bezatstarpm"/>
      </w:pPr>
      <w:r w:rsidRPr="008B0177">
        <w:t>Lāce</w:t>
      </w:r>
      <w:r w:rsidR="00FB65D8" w:rsidRPr="008B0177">
        <w:t xml:space="preserve"> </w:t>
      </w:r>
      <w:r w:rsidR="00183851" w:rsidRPr="008B0177">
        <w:t>67027200</w:t>
      </w:r>
    </w:p>
    <w:p w:rsidR="00FB65D8" w:rsidRPr="008B0177" w:rsidRDefault="008B0177" w:rsidP="00FB65D8">
      <w:pPr>
        <w:pStyle w:val="Bezatstarpm"/>
      </w:pPr>
      <w:hyperlink r:id="rId9" w:history="1">
        <w:r w:rsidR="00183851" w:rsidRPr="008B0177">
          <w:rPr>
            <w:rStyle w:val="Hipersaite"/>
          </w:rPr>
          <w:t>Irita.Lace@zm.gov.lv</w:t>
        </w:r>
      </w:hyperlink>
      <w:r w:rsidR="00A32986" w:rsidRPr="008B0177">
        <w:t xml:space="preserve"> </w:t>
      </w:r>
    </w:p>
    <w:sectPr w:rsidR="00FB65D8" w:rsidRPr="008B0177" w:rsidSect="008B0177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FB" w:rsidRDefault="00634FFB" w:rsidP="00FB65D8">
      <w:pPr>
        <w:spacing w:after="0" w:line="240" w:lineRule="auto"/>
      </w:pPr>
      <w:r>
        <w:separator/>
      </w:r>
    </w:p>
  </w:endnote>
  <w:endnote w:type="continuationSeparator" w:id="0">
    <w:p w:rsidR="00634FFB" w:rsidRDefault="00634FFB" w:rsidP="00FB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E8" w:rsidRPr="008B0177" w:rsidRDefault="008B0177" w:rsidP="008B0177">
    <w:pPr>
      <w:pStyle w:val="Kjene"/>
    </w:pPr>
    <w:r w:rsidRPr="008B0177">
      <w:rPr>
        <w:rFonts w:ascii="Times New Roman" w:eastAsia="Times New Roman" w:hAnsi="Times New Roman" w:cs="Times New Roman"/>
        <w:sz w:val="20"/>
        <w:szCs w:val="20"/>
        <w:lang w:eastAsia="lv-LV"/>
      </w:rPr>
      <w:t>ZManot_140318_zakiputni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E8" w:rsidRPr="008B0177" w:rsidRDefault="008B0177" w:rsidP="008B0177">
    <w:pPr>
      <w:pStyle w:val="Kjene"/>
    </w:pPr>
    <w:r w:rsidRPr="008B0177">
      <w:rPr>
        <w:rFonts w:ascii="Times New Roman" w:eastAsia="Times New Roman" w:hAnsi="Times New Roman" w:cs="Times New Roman"/>
        <w:sz w:val="20"/>
        <w:szCs w:val="20"/>
        <w:lang w:eastAsia="lv-LV"/>
      </w:rPr>
      <w:t>ZManot_140318_zakiputni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FB" w:rsidRDefault="00634FFB" w:rsidP="00FB65D8">
      <w:pPr>
        <w:spacing w:after="0" w:line="240" w:lineRule="auto"/>
      </w:pPr>
      <w:r>
        <w:separator/>
      </w:r>
    </w:p>
  </w:footnote>
  <w:footnote w:type="continuationSeparator" w:id="0">
    <w:p w:rsidR="00634FFB" w:rsidRDefault="00634FFB" w:rsidP="00FB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259247"/>
      <w:docPartObj>
        <w:docPartGallery w:val="Page Numbers (Top of Page)"/>
        <w:docPartUnique/>
      </w:docPartObj>
    </w:sdtPr>
    <w:sdtEndPr/>
    <w:sdtContent>
      <w:p w:rsidR="006D68E8" w:rsidRDefault="00290A6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177">
          <w:rPr>
            <w:noProof/>
          </w:rPr>
          <w:t>6</w:t>
        </w:r>
        <w:r>
          <w:fldChar w:fldCharType="end"/>
        </w:r>
      </w:p>
    </w:sdtContent>
  </w:sdt>
  <w:p w:rsidR="006D68E8" w:rsidRDefault="008B01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D8"/>
    <w:rsid w:val="00001FB4"/>
    <w:rsid w:val="00003586"/>
    <w:rsid w:val="000147D8"/>
    <w:rsid w:val="00016FA1"/>
    <w:rsid w:val="000203DA"/>
    <w:rsid w:val="000216D3"/>
    <w:rsid w:val="000234D6"/>
    <w:rsid w:val="000371C4"/>
    <w:rsid w:val="000463FC"/>
    <w:rsid w:val="000911AF"/>
    <w:rsid w:val="0009789C"/>
    <w:rsid w:val="000B0E7A"/>
    <w:rsid w:val="000C4AAD"/>
    <w:rsid w:val="000D085A"/>
    <w:rsid w:val="000D09E6"/>
    <w:rsid w:val="000D0F38"/>
    <w:rsid w:val="000D2C62"/>
    <w:rsid w:val="000D3EF0"/>
    <w:rsid w:val="000D49F8"/>
    <w:rsid w:val="000D78A0"/>
    <w:rsid w:val="00147B7D"/>
    <w:rsid w:val="001512D8"/>
    <w:rsid w:val="00154A4E"/>
    <w:rsid w:val="001619B1"/>
    <w:rsid w:val="00183851"/>
    <w:rsid w:val="001A5772"/>
    <w:rsid w:val="001C76C0"/>
    <w:rsid w:val="001C7C2B"/>
    <w:rsid w:val="001E1D17"/>
    <w:rsid w:val="001E74CD"/>
    <w:rsid w:val="00203759"/>
    <w:rsid w:val="00204158"/>
    <w:rsid w:val="002213CB"/>
    <w:rsid w:val="0022273A"/>
    <w:rsid w:val="00243D54"/>
    <w:rsid w:val="00253307"/>
    <w:rsid w:val="002534F5"/>
    <w:rsid w:val="00290A60"/>
    <w:rsid w:val="0029622D"/>
    <w:rsid w:val="002A45F0"/>
    <w:rsid w:val="002E1258"/>
    <w:rsid w:val="002E1EE2"/>
    <w:rsid w:val="002E1FE1"/>
    <w:rsid w:val="002F0A46"/>
    <w:rsid w:val="002F0B22"/>
    <w:rsid w:val="002F7A7A"/>
    <w:rsid w:val="00325851"/>
    <w:rsid w:val="00334344"/>
    <w:rsid w:val="003402FD"/>
    <w:rsid w:val="00357855"/>
    <w:rsid w:val="00371A7A"/>
    <w:rsid w:val="00384BCD"/>
    <w:rsid w:val="00384DD0"/>
    <w:rsid w:val="00385C02"/>
    <w:rsid w:val="003D7AFF"/>
    <w:rsid w:val="003E0D7E"/>
    <w:rsid w:val="003F2305"/>
    <w:rsid w:val="003F6838"/>
    <w:rsid w:val="004037D3"/>
    <w:rsid w:val="004042AE"/>
    <w:rsid w:val="00414B65"/>
    <w:rsid w:val="004215A9"/>
    <w:rsid w:val="00432404"/>
    <w:rsid w:val="00437A86"/>
    <w:rsid w:val="00441126"/>
    <w:rsid w:val="00447461"/>
    <w:rsid w:val="00450B9C"/>
    <w:rsid w:val="00452395"/>
    <w:rsid w:val="00465772"/>
    <w:rsid w:val="00466ABB"/>
    <w:rsid w:val="00471086"/>
    <w:rsid w:val="00472F62"/>
    <w:rsid w:val="00483498"/>
    <w:rsid w:val="00484966"/>
    <w:rsid w:val="00486708"/>
    <w:rsid w:val="00486815"/>
    <w:rsid w:val="004A54DC"/>
    <w:rsid w:val="004B5D20"/>
    <w:rsid w:val="004C08A9"/>
    <w:rsid w:val="004D0657"/>
    <w:rsid w:val="004D0EE2"/>
    <w:rsid w:val="004E047C"/>
    <w:rsid w:val="0051187D"/>
    <w:rsid w:val="00512E13"/>
    <w:rsid w:val="00520801"/>
    <w:rsid w:val="00522CF8"/>
    <w:rsid w:val="00555575"/>
    <w:rsid w:val="005556AA"/>
    <w:rsid w:val="0056437F"/>
    <w:rsid w:val="00583887"/>
    <w:rsid w:val="00584B29"/>
    <w:rsid w:val="00585604"/>
    <w:rsid w:val="005915F8"/>
    <w:rsid w:val="00593B8F"/>
    <w:rsid w:val="00594850"/>
    <w:rsid w:val="005A028B"/>
    <w:rsid w:val="005A35A1"/>
    <w:rsid w:val="005C58E3"/>
    <w:rsid w:val="005C6FE4"/>
    <w:rsid w:val="005D16CB"/>
    <w:rsid w:val="005F0153"/>
    <w:rsid w:val="005F13FF"/>
    <w:rsid w:val="005F4194"/>
    <w:rsid w:val="006063D1"/>
    <w:rsid w:val="0062195C"/>
    <w:rsid w:val="006221C5"/>
    <w:rsid w:val="006273BF"/>
    <w:rsid w:val="00634FFB"/>
    <w:rsid w:val="00640D9B"/>
    <w:rsid w:val="00645E70"/>
    <w:rsid w:val="00647813"/>
    <w:rsid w:val="00654B76"/>
    <w:rsid w:val="0065577C"/>
    <w:rsid w:val="00665123"/>
    <w:rsid w:val="0067315F"/>
    <w:rsid w:val="00674246"/>
    <w:rsid w:val="0067727C"/>
    <w:rsid w:val="00682EAA"/>
    <w:rsid w:val="00696D83"/>
    <w:rsid w:val="006A695F"/>
    <w:rsid w:val="006B1247"/>
    <w:rsid w:val="006B3AD5"/>
    <w:rsid w:val="006D0A66"/>
    <w:rsid w:val="006F04DC"/>
    <w:rsid w:val="006F1921"/>
    <w:rsid w:val="006F64C8"/>
    <w:rsid w:val="006F7603"/>
    <w:rsid w:val="00723573"/>
    <w:rsid w:val="00724FBB"/>
    <w:rsid w:val="00752D68"/>
    <w:rsid w:val="00754E3E"/>
    <w:rsid w:val="00757590"/>
    <w:rsid w:val="007647CB"/>
    <w:rsid w:val="00792BEA"/>
    <w:rsid w:val="007976FF"/>
    <w:rsid w:val="007A66CB"/>
    <w:rsid w:val="007B26BE"/>
    <w:rsid w:val="007C11B3"/>
    <w:rsid w:val="007D06DB"/>
    <w:rsid w:val="007D76BD"/>
    <w:rsid w:val="007F3E36"/>
    <w:rsid w:val="008009EC"/>
    <w:rsid w:val="00801C08"/>
    <w:rsid w:val="008049BE"/>
    <w:rsid w:val="008120D5"/>
    <w:rsid w:val="0081255B"/>
    <w:rsid w:val="00812B21"/>
    <w:rsid w:val="00836187"/>
    <w:rsid w:val="00844B84"/>
    <w:rsid w:val="0086116F"/>
    <w:rsid w:val="00863164"/>
    <w:rsid w:val="008772E2"/>
    <w:rsid w:val="008775F7"/>
    <w:rsid w:val="00881D05"/>
    <w:rsid w:val="0088519F"/>
    <w:rsid w:val="008A4752"/>
    <w:rsid w:val="008A70AC"/>
    <w:rsid w:val="008B0177"/>
    <w:rsid w:val="008B76C1"/>
    <w:rsid w:val="008C1C00"/>
    <w:rsid w:val="008D7B31"/>
    <w:rsid w:val="00903B20"/>
    <w:rsid w:val="00907092"/>
    <w:rsid w:val="009211DC"/>
    <w:rsid w:val="009420CD"/>
    <w:rsid w:val="00954329"/>
    <w:rsid w:val="00956220"/>
    <w:rsid w:val="00956B29"/>
    <w:rsid w:val="00994E3C"/>
    <w:rsid w:val="009A0DDC"/>
    <w:rsid w:val="009C3649"/>
    <w:rsid w:val="009D23A8"/>
    <w:rsid w:val="009F227E"/>
    <w:rsid w:val="00A035B4"/>
    <w:rsid w:val="00A04388"/>
    <w:rsid w:val="00A12C64"/>
    <w:rsid w:val="00A177B3"/>
    <w:rsid w:val="00A31C3F"/>
    <w:rsid w:val="00A32986"/>
    <w:rsid w:val="00A42964"/>
    <w:rsid w:val="00A50577"/>
    <w:rsid w:val="00A60A6C"/>
    <w:rsid w:val="00A70470"/>
    <w:rsid w:val="00A72D3D"/>
    <w:rsid w:val="00A830BF"/>
    <w:rsid w:val="00A97640"/>
    <w:rsid w:val="00AA3CBE"/>
    <w:rsid w:val="00AF296C"/>
    <w:rsid w:val="00AF43BC"/>
    <w:rsid w:val="00B14446"/>
    <w:rsid w:val="00B2555B"/>
    <w:rsid w:val="00B43671"/>
    <w:rsid w:val="00B44378"/>
    <w:rsid w:val="00B77C0D"/>
    <w:rsid w:val="00B85AE0"/>
    <w:rsid w:val="00B87F4B"/>
    <w:rsid w:val="00B92CED"/>
    <w:rsid w:val="00BB525C"/>
    <w:rsid w:val="00BB5DFC"/>
    <w:rsid w:val="00BC05AB"/>
    <w:rsid w:val="00BC28BC"/>
    <w:rsid w:val="00BD5536"/>
    <w:rsid w:val="00BD58AA"/>
    <w:rsid w:val="00BF22D2"/>
    <w:rsid w:val="00BF3C65"/>
    <w:rsid w:val="00C00B22"/>
    <w:rsid w:val="00C024DE"/>
    <w:rsid w:val="00C108F4"/>
    <w:rsid w:val="00C14CF8"/>
    <w:rsid w:val="00C21D66"/>
    <w:rsid w:val="00C25C9E"/>
    <w:rsid w:val="00C35ABB"/>
    <w:rsid w:val="00C45888"/>
    <w:rsid w:val="00C6339D"/>
    <w:rsid w:val="00C839F7"/>
    <w:rsid w:val="00C9384F"/>
    <w:rsid w:val="00CC2F8C"/>
    <w:rsid w:val="00CC637E"/>
    <w:rsid w:val="00CD597F"/>
    <w:rsid w:val="00D02541"/>
    <w:rsid w:val="00D10E26"/>
    <w:rsid w:val="00D14A14"/>
    <w:rsid w:val="00D1565B"/>
    <w:rsid w:val="00D218E0"/>
    <w:rsid w:val="00D27469"/>
    <w:rsid w:val="00D37045"/>
    <w:rsid w:val="00D62586"/>
    <w:rsid w:val="00D627F6"/>
    <w:rsid w:val="00D63350"/>
    <w:rsid w:val="00D660BF"/>
    <w:rsid w:val="00D71407"/>
    <w:rsid w:val="00D814AC"/>
    <w:rsid w:val="00D942C8"/>
    <w:rsid w:val="00D953D3"/>
    <w:rsid w:val="00DA58D6"/>
    <w:rsid w:val="00DB57E1"/>
    <w:rsid w:val="00DB7C3A"/>
    <w:rsid w:val="00DC2F46"/>
    <w:rsid w:val="00DF4843"/>
    <w:rsid w:val="00DF762A"/>
    <w:rsid w:val="00DF7D6D"/>
    <w:rsid w:val="00E0175D"/>
    <w:rsid w:val="00E21CF3"/>
    <w:rsid w:val="00E34263"/>
    <w:rsid w:val="00E474B3"/>
    <w:rsid w:val="00E47F50"/>
    <w:rsid w:val="00E76668"/>
    <w:rsid w:val="00E82E5C"/>
    <w:rsid w:val="00E83A28"/>
    <w:rsid w:val="00E85990"/>
    <w:rsid w:val="00EA27FB"/>
    <w:rsid w:val="00EA469E"/>
    <w:rsid w:val="00EB688D"/>
    <w:rsid w:val="00EB7A94"/>
    <w:rsid w:val="00EC5F95"/>
    <w:rsid w:val="00EC668D"/>
    <w:rsid w:val="00EE3C09"/>
    <w:rsid w:val="00EE494B"/>
    <w:rsid w:val="00EE65F6"/>
    <w:rsid w:val="00F27714"/>
    <w:rsid w:val="00F36FBF"/>
    <w:rsid w:val="00F45750"/>
    <w:rsid w:val="00F53F56"/>
    <w:rsid w:val="00F62951"/>
    <w:rsid w:val="00F7604A"/>
    <w:rsid w:val="00F92653"/>
    <w:rsid w:val="00F9796F"/>
    <w:rsid w:val="00FA0B36"/>
    <w:rsid w:val="00FB65D8"/>
    <w:rsid w:val="00FF1028"/>
    <w:rsid w:val="00FF458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59E8C-7C27-487B-BE4E-BC9C6FEF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B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B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B65D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B65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B6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B65D8"/>
  </w:style>
  <w:style w:type="paragraph" w:styleId="Balonteksts">
    <w:name w:val="Balloon Text"/>
    <w:basedOn w:val="Parasts"/>
    <w:link w:val="BalontekstsRakstz"/>
    <w:uiPriority w:val="99"/>
    <w:semiHidden/>
    <w:unhideWhenUsed/>
    <w:rsid w:val="00F9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96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semiHidden/>
    <w:unhideWhenUsed/>
    <w:rsid w:val="006D0A66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6D0A6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D0A6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D0A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D0A66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471086"/>
    <w:rPr>
      <w:color w:val="0563C1" w:themeColor="hyperlink"/>
      <w:u w:val="single"/>
    </w:rPr>
  </w:style>
  <w:style w:type="table" w:customStyle="1" w:styleId="Reatabula1">
    <w:name w:val="Režģa tabula1"/>
    <w:basedOn w:val="Parastatabula"/>
    <w:next w:val="Reatabula"/>
    <w:rsid w:val="00723573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723573"/>
    <w:pPr>
      <w:spacing w:after="0" w:line="240" w:lineRule="auto"/>
    </w:pPr>
    <w:rPr>
      <w:rFonts w:ascii="Calibri" w:eastAsia="Calibri" w:hAnsi="Calibri" w:cs="Times New Roman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1A577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rsid w:val="001A5772"/>
  </w:style>
  <w:style w:type="paragraph" w:styleId="Prskatjums">
    <w:name w:val="Revision"/>
    <w:hidden/>
    <w:uiPriority w:val="99"/>
    <w:semiHidden/>
    <w:rsid w:val="007A66CB"/>
    <w:pPr>
      <w:spacing w:after="0" w:line="240" w:lineRule="auto"/>
    </w:pPr>
  </w:style>
  <w:style w:type="paragraph" w:styleId="Pamatteksts">
    <w:name w:val="Body Text"/>
    <w:basedOn w:val="Parasts"/>
    <w:link w:val="PamattekstsRakstz"/>
    <w:uiPriority w:val="99"/>
    <w:rsid w:val="000234D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234D6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824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eli/reg/2004/854/oj/?locale=L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eli/reg/2004/854/oj/?locale=L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ija.tora@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8084</Words>
  <Characters>4609</Characters>
  <Application>Microsoft Office Word</Application>
  <DocSecurity>0</DocSecurity>
  <Lines>38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“Grozījumi Ministru kabineta 2009.gada 9.decembra noteikumos Nr.1393 „Veterinārās prasības mājputnu un zaķveidīgo gaļas apritei nelielā daudzumā”</vt:lpstr>
      <vt:lpstr>Ministru kabineta noteikumu “Grozījumi Ministru kabineta 2009.gada 9.decembra noteikumos Nr.1393 „Veterinārās prasības mājputnu un zaķveidīgo gaļas apritei nelielā daudzumā”</vt:lpstr>
    </vt:vector>
  </TitlesOfParts>
  <Manager>Veterinārais un pārtikas departaments</Manager>
  <Company>Zemkopibas Ministrija</Company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“Grozījumi Ministru kabineta 2009.gada 9.decembra noteikumos Nr.1393 „Veterinārās prasības mājputnu un zaķveidīgo gaļas apritei nelielā daudzumā”</dc:title>
  <dc:subject>Sākotnējās ietekmes novērtējuma ziņojums (anotācija)</dc:subject>
  <dc:creator>Irita.Lace@zm.gov.lv</dc:creator>
  <dc:description>Irita.Lace@zm.gov.lv, 67027200</dc:description>
  <cp:lastModifiedBy>Sanita Žagare</cp:lastModifiedBy>
  <cp:revision>4</cp:revision>
  <cp:lastPrinted>2018-03-12T06:21:00Z</cp:lastPrinted>
  <dcterms:created xsi:type="dcterms:W3CDTF">2018-03-27T11:15:00Z</dcterms:created>
  <dcterms:modified xsi:type="dcterms:W3CDTF">2018-03-28T05:55:00Z</dcterms:modified>
</cp:coreProperties>
</file>