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C55" w:rsidRPr="003D7578" w:rsidRDefault="00D03430" w:rsidP="003511A4">
      <w:pPr>
        <w:jc w:val="center"/>
        <w:rPr>
          <w:b/>
          <w:bCs/>
        </w:rPr>
      </w:pPr>
      <w:r w:rsidRPr="003D757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Ministru kabineta noteikumu </w:t>
      </w:r>
      <w:r w:rsidR="0057175F" w:rsidRPr="003D757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“</w:t>
      </w:r>
      <w:r w:rsidR="003511A4" w:rsidRPr="003511A4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 xml:space="preserve">Noteikumi par valsts nodevu par notariālo funkciju izpildi Latvijas Republikas diplomātiskajās un konsulārajās pārstāvniecībās </w:t>
      </w:r>
      <w:r w:rsidR="00BF7689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ārvalstīs</w:t>
      </w:r>
      <w:r w:rsidR="0057175F" w:rsidRPr="003D757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” </w:t>
      </w:r>
      <w:r w:rsidR="00894C55" w:rsidRPr="003D757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projekta</w:t>
      </w:r>
      <w:r w:rsidR="0057175F" w:rsidRPr="003D757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894C55" w:rsidRPr="003D757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 ziņojums (anotācija)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8A5FAD" w:rsidRPr="003D7578" w:rsidTr="009F3B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FAD" w:rsidRPr="003D7578" w:rsidRDefault="008A5FAD" w:rsidP="008A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BF7689" w:rsidRPr="003D7578" w:rsidTr="00BF7689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689" w:rsidRPr="003D7578" w:rsidRDefault="00BF7689" w:rsidP="008A5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469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Ministru kabineta 2009. gada 15. decembra instrukcijas Nr. 19 “Tiesību akta projekta sākotnējās ietekmes izvērtēšanas kārtība” 5.</w:t>
            </w:r>
            <w:r w:rsidRPr="00E606DD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Pr="005469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punktu anotācijas kopsavilkumu neaizpilda.</w:t>
            </w:r>
          </w:p>
        </w:tc>
      </w:tr>
    </w:tbl>
    <w:p w:rsidR="008A5FAD" w:rsidRPr="003D7578" w:rsidRDefault="008A5FAD" w:rsidP="008A5FA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D757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3D7578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87B" w:rsidRPr="003D7578" w:rsidRDefault="00E5323B" w:rsidP="00A5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5323B" w:rsidRPr="003D7578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87B" w:rsidRPr="003D757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D757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D7578" w:rsidRDefault="00EB3984" w:rsidP="00005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Konsulārās palīdzības un konsulāro pakalpojumu likuma </w:t>
            </w:r>
            <w:r w:rsidR="0000519C"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17</w:t>
            </w: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panta </w:t>
            </w:r>
            <w:r w:rsidR="00025EF9"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otrā</w:t>
            </w: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daļa.</w:t>
            </w:r>
          </w:p>
        </w:tc>
      </w:tr>
      <w:tr w:rsidR="00E5323B" w:rsidRPr="003D7578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87B" w:rsidRPr="003D757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D7578" w:rsidRDefault="00E5323B" w:rsidP="005F2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298" w:rsidRPr="001944B9" w:rsidRDefault="008E4298" w:rsidP="00CE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D5C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2018.</w:t>
            </w:r>
            <w:r w:rsidR="007D3C9B" w:rsidRPr="005D5C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5D5C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gada </w:t>
            </w:r>
            <w:r w:rsidR="00B134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  <w:r w:rsidRPr="005D5C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="00B134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maijā</w:t>
            </w:r>
            <w:r w:rsidRPr="005D5C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Saeimā </w:t>
            </w:r>
            <w:r w:rsidR="00B134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  <w:r w:rsidRPr="005D5C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lasījumā pieņemts</w:t>
            </w: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Konsulārās palīdzības un konsu</w:t>
            </w:r>
            <w:r w:rsidR="004304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lāro pakalpojumu likums (Nr. 102</w:t>
            </w: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8/Lp12</w:t>
            </w:r>
            <w:r w:rsidR="00F74684"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3F783A"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- Likums)</w:t>
            </w:r>
            <w:r w:rsidR="00976A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Līdz ar Likuma</w:t>
            </w:r>
            <w:r w:rsidR="00F74684"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spēkā</w:t>
            </w:r>
            <w:r w:rsidR="00976A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976AB0" w:rsidRPr="001944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stāšanos</w:t>
            </w:r>
            <w:r w:rsidRPr="001944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spēku zaudēs likums </w:t>
            </w:r>
            <w:r w:rsidR="00581025" w:rsidRPr="001944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 w:rsidRPr="001944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Konsulārais reglaments</w:t>
            </w:r>
            <w:r w:rsidR="00581025" w:rsidRPr="001944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</w:t>
            </w:r>
            <w:r w:rsidRPr="001944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:rsidR="003654ED" w:rsidRPr="00AF6C03" w:rsidRDefault="003F783A" w:rsidP="0036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44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Likuma </w:t>
            </w:r>
            <w:r w:rsidR="003654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17.</w:t>
            </w:r>
            <w:r w:rsidR="002972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3654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otrā daļa nosaka, ka Ministru kabinets nosaka valsts nodevas apmēru par notariālo funkciju veikšanu Latvijas Republikas diplomātiskajās un konsulārajās pārstāvniecībās ārvalst</w:t>
            </w:r>
            <w:r w:rsidR="00830E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īs</w:t>
            </w:r>
            <w:r w:rsidR="003654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830E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</w:t>
            </w:r>
            <w:r w:rsidR="00DE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saskaņā ar </w:t>
            </w:r>
            <w:r w:rsidR="003654ED" w:rsidRPr="00AF6C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Diplomātiskā un konsulār</w:t>
            </w:r>
            <w:r w:rsidR="003654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ā dienesta </w:t>
            </w:r>
            <w:r w:rsidR="00DE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likuma 4. panta pirmo daļu,</w:t>
            </w:r>
            <w:r w:rsidR="003654ED" w:rsidRPr="00AF6C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3654ED" w:rsidRPr="00AF6C03">
              <w:rPr>
                <w:rFonts w:ascii="Times New Roman" w:hAnsi="Times New Roman" w:cs="Times New Roman"/>
                <w:sz w:val="24"/>
                <w:szCs w:val="24"/>
              </w:rPr>
              <w:t>Latvijas Republikas diplomātiskās un konsu</w:t>
            </w:r>
            <w:r w:rsidR="003654ED">
              <w:rPr>
                <w:rFonts w:ascii="Times New Roman" w:hAnsi="Times New Roman" w:cs="Times New Roman"/>
                <w:sz w:val="24"/>
                <w:szCs w:val="24"/>
              </w:rPr>
              <w:t xml:space="preserve">lārās pārstāvniecības ārvalstīs </w:t>
            </w:r>
            <w:r w:rsidR="003654ED" w:rsidRPr="00AF6C03">
              <w:rPr>
                <w:rFonts w:ascii="Times New Roman" w:hAnsi="Times New Roman" w:cs="Times New Roman"/>
                <w:sz w:val="24"/>
                <w:szCs w:val="24"/>
              </w:rPr>
              <w:t>ir vēstniecības, ģenerālkonsulāti (goda ģenerālkonsulāti), konsulāti (goda konsulāti), kā arī pastāvīgās pārstāvniecības starptautiskajās organizācijās</w:t>
            </w:r>
            <w:r w:rsidR="00830E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654ED" w:rsidRPr="00AF6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54ED" w:rsidRPr="00AF6C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:rsidR="003F783A" w:rsidRDefault="003F11D3" w:rsidP="00CE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noteikumu projekts “</w:t>
            </w:r>
            <w:r w:rsidRPr="003D7578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Noteikumi par valsts nodevu par notariālo funkciju izpildi Latvijas Republikas diplomātiskajās un konsulārajās pārstāvniecībās </w:t>
            </w:r>
            <w:r w:rsidR="00BF7689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ārvalstīs</w:t>
            </w: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 (turpmāk – Noteikumu projekts) izstrādāts atbilstoši Konsulārās palīdzības un konsulāro pakalpojumu likumā noteiktajam deleģējumam.</w:t>
            </w:r>
          </w:p>
          <w:p w:rsidR="00C82909" w:rsidRPr="00BF7689" w:rsidRDefault="008D2FC9" w:rsidP="002D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</w:t>
            </w:r>
            <w:r w:rsidR="0020590D"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ā tiek pārņemtas </w:t>
            </w:r>
            <w:r w:rsidR="00C2038D"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kabineta </w:t>
            </w:r>
            <w:r w:rsidR="00C203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2016</w:t>
            </w:r>
            <w:r w:rsidR="00C2038D"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gada </w:t>
            </w:r>
            <w:r w:rsidR="00C203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9</w:t>
            </w:r>
            <w:r w:rsidR="00C2038D"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="00C203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augusta</w:t>
            </w:r>
            <w:r w:rsidR="00C2038D"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AD2F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</w:t>
            </w:r>
            <w:r w:rsidR="00C203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2038D"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Nr. </w:t>
            </w:r>
            <w:r w:rsidR="00C203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521</w:t>
            </w:r>
            <w:r w:rsidR="00C2038D"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“</w:t>
            </w:r>
            <w:r w:rsidR="00C2038D" w:rsidRPr="008A5595">
              <w:rPr>
                <w:rFonts w:ascii="Times New Roman" w:hAnsi="Times New Roman" w:cs="Times New Roman"/>
                <w:bCs/>
                <w:sz w:val="24"/>
                <w:szCs w:val="24"/>
              </w:rPr>
              <w:t>Noteikumi par konsulāro pakalpojumu valsts nodevu par notariālo darbību izpildi, ko veic konsulārās amatpersonas ārvalstīs</w:t>
            </w:r>
            <w:r w:rsidR="00C2038D"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” (turpmāk – Noteikumi Nr. </w:t>
            </w:r>
            <w:r w:rsidR="00C203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521</w:t>
            </w:r>
            <w:r w:rsidR="00C2038D"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C203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0324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nor</w:t>
            </w:r>
            <w:r w:rsidR="00BF76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mas </w:t>
            </w:r>
            <w:r w:rsidR="00BF7689">
              <w:rPr>
                <w:rFonts w:ascii="Times New Roman" w:hAnsi="Times New Roman" w:cs="Times New Roman"/>
                <w:sz w:val="24"/>
                <w:szCs w:val="24"/>
              </w:rPr>
              <w:t>vienlaikus precizējot</w:t>
            </w:r>
            <w:r w:rsidR="00C82909">
              <w:rPr>
                <w:rFonts w:ascii="Times New Roman" w:hAnsi="Times New Roman" w:cs="Times New Roman"/>
                <w:sz w:val="24"/>
                <w:szCs w:val="24"/>
              </w:rPr>
              <w:t xml:space="preserve"> norm</w:t>
            </w:r>
            <w:r w:rsidR="00BF768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82909">
              <w:rPr>
                <w:rFonts w:ascii="Times New Roman" w:hAnsi="Times New Roman" w:cs="Times New Roman"/>
                <w:sz w:val="24"/>
                <w:szCs w:val="24"/>
              </w:rPr>
              <w:t xml:space="preserve"> par personu atbrīvošanu no valsts nodevas samaksas. </w:t>
            </w:r>
            <w:r w:rsidR="00BF7689">
              <w:rPr>
                <w:rFonts w:ascii="Times New Roman" w:hAnsi="Times New Roman" w:cs="Times New Roman"/>
                <w:sz w:val="24"/>
                <w:szCs w:val="24"/>
              </w:rPr>
              <w:t>Noteikumu projektā tiek noteikts</w:t>
            </w:r>
            <w:r w:rsidR="00C82909">
              <w:rPr>
                <w:rFonts w:ascii="Times New Roman" w:hAnsi="Times New Roman" w:cs="Times New Roman"/>
                <w:sz w:val="24"/>
                <w:szCs w:val="24"/>
              </w:rPr>
              <w:t>, ka persona no valsts nodevas samaksas var tikt atbrīvota humānu apsvērumu dēļ uz personas motivēta iesnieguma pamata. Savukārt lēmumu par personas atbrīvošanu no valsts nodevas</w:t>
            </w:r>
            <w:r w:rsidR="00BF63DC">
              <w:rPr>
                <w:rFonts w:ascii="Times New Roman" w:hAnsi="Times New Roman" w:cs="Times New Roman"/>
                <w:sz w:val="24"/>
                <w:szCs w:val="24"/>
              </w:rPr>
              <w:t xml:space="preserve"> samaksas</w:t>
            </w:r>
            <w:r w:rsidR="00C82909">
              <w:rPr>
                <w:rFonts w:ascii="Times New Roman" w:hAnsi="Times New Roman" w:cs="Times New Roman"/>
                <w:sz w:val="24"/>
                <w:szCs w:val="24"/>
              </w:rPr>
              <w:t xml:space="preserve"> pieņems Ārlietu ministrijas Konsulārā departamenta direktors vai viņa pilnvarota amatpersona</w:t>
            </w:r>
            <w:r w:rsidR="00BF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323B" w:rsidRPr="003D7578" w:rsidRDefault="003F11D3" w:rsidP="00C8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Ar Noteikumu projekta spēkā stāšanos spēku zaudēs Noteikumi Nr. </w:t>
            </w:r>
            <w:r w:rsidR="00C82909">
              <w:rPr>
                <w:rFonts w:ascii="Times New Roman" w:hAnsi="Times New Roman" w:cs="Times New Roman"/>
                <w:iCs/>
                <w:sz w:val="24"/>
                <w:szCs w:val="24"/>
              </w:rPr>
              <w:t>521</w:t>
            </w:r>
            <w:r w:rsidRPr="003D757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E5323B" w:rsidRPr="003D7578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87B" w:rsidRPr="003D757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D7578" w:rsidRDefault="00E5323B" w:rsidP="005F2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D7578" w:rsidRDefault="002D015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Ārlietu ministrija</w:t>
            </w:r>
            <w:r w:rsidR="00F74684"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3D7578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87B" w:rsidRPr="003D757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D757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D7578" w:rsidRDefault="00B617FF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F74684"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="00E5323B" w:rsidRPr="003D757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D757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3D7578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87B" w:rsidRPr="003D7578" w:rsidRDefault="00E5323B" w:rsidP="00A5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5323B" w:rsidRPr="003D7578" w:rsidTr="0047547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87B" w:rsidRPr="003D757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D7578" w:rsidRDefault="00E5323B" w:rsidP="005F2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D7578" w:rsidRDefault="009767CF" w:rsidP="00BC4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Fiziskās </w:t>
            </w:r>
            <w:r w:rsidR="00F74684"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personas, </w:t>
            </w:r>
            <w:r w:rsidR="00F74684" w:rsidRPr="00C327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kuras vērsīsies </w:t>
            </w:r>
            <w:r w:rsidR="00BF6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Latvijas Republikas diplomātiskajā</w:t>
            </w:r>
            <w:r w:rsidR="009B0D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BF6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konsulārajā</w:t>
            </w:r>
            <w:r w:rsidR="009B0D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BF6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pārstāvniecībā</w:t>
            </w:r>
            <w:r w:rsidR="009B0D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BF6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ārvalstī</w:t>
            </w:r>
            <w:r w:rsidR="009B0D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F74684" w:rsidRPr="00C327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149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notariālās </w:t>
            </w:r>
            <w:r w:rsidR="00BC45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darbības</w:t>
            </w:r>
            <w:r w:rsidR="00C149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veikšanai</w:t>
            </w:r>
            <w:r w:rsidR="00C32701" w:rsidRPr="00C32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7578" w:rsidRPr="003D7578" w:rsidTr="0047547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87B" w:rsidRPr="003D757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D7578" w:rsidRDefault="00E5323B" w:rsidP="005F2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0130" w:rsidRPr="003D7578" w:rsidRDefault="00C14921" w:rsidP="003C3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469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grupām un institūcijām noteikumu projekts nemaina tiesības, pienākumus un veicamās darbības.</w:t>
            </w:r>
          </w:p>
        </w:tc>
      </w:tr>
      <w:tr w:rsidR="003D7578" w:rsidRPr="003D7578" w:rsidTr="00AB215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87B" w:rsidRPr="003D757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23B" w:rsidRPr="003D7578" w:rsidRDefault="00E5323B" w:rsidP="005F2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127" w:rsidRDefault="00C14921" w:rsidP="008F6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469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noteikumu projekts nemaina šobrīd esošo administratīvo procedūru saistībā ar maksas pakalpojumu pieprasīšanu un sniegšanu.</w:t>
            </w:r>
          </w:p>
          <w:p w:rsidR="005436AB" w:rsidRPr="00036127" w:rsidRDefault="005436AB" w:rsidP="0054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C9">
              <w:rPr>
                <w:rFonts w:ascii="Times New Roman" w:hAnsi="Times New Roman" w:cs="Times New Roman"/>
                <w:sz w:val="24"/>
                <w:szCs w:val="24"/>
              </w:rPr>
              <w:t xml:space="preserve">Administratīvo izmaksu monetārais novērtējums sniegts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Ministru kabineta noteikumu projekta</w:t>
            </w:r>
            <w:r w:rsidRPr="00820AC9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5436AB">
              <w:rPr>
                <w:rFonts w:ascii="Times New Roman" w:hAnsi="Times New Roman" w:cs="Times New Roman"/>
                <w:sz w:val="24"/>
                <w:szCs w:val="24"/>
              </w:rPr>
              <w:t>Noteikumi par notariālo funkciju veikšanu Latvijas Republikas diplomātiskajās un konsulārajās pārstāvniecībās ārvalstīs</w:t>
            </w:r>
            <w:r w:rsidRPr="00820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</w:t>
            </w:r>
            <w:r w:rsidRPr="00820AC9">
              <w:rPr>
                <w:rFonts w:ascii="Times New Roman" w:hAnsi="Times New Roman" w:cs="Times New Roman"/>
                <w:sz w:val="24"/>
                <w:szCs w:val="24"/>
              </w:rPr>
              <w:t>sākotnējās ietekmes novērtējuma ziņojumā (anotācijā)</w:t>
            </w:r>
            <w:r w:rsidR="00401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7578" w:rsidRPr="003D7578" w:rsidTr="00386D2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87B" w:rsidRPr="003D757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23B" w:rsidRPr="003D7578" w:rsidRDefault="00E5323B" w:rsidP="005F2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D7578" w:rsidRDefault="004014E2" w:rsidP="003C2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20AC9">
              <w:rPr>
                <w:rFonts w:ascii="Times New Roman" w:hAnsi="Times New Roman" w:cs="Times New Roman"/>
                <w:sz w:val="24"/>
                <w:szCs w:val="24"/>
              </w:rPr>
              <w:t xml:space="preserve">Administratīvo izmaksu monetārais novērtējums sniegts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Ministru kabineta noteikumu projekta</w:t>
            </w:r>
            <w:r w:rsidRPr="00820AC9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5436AB">
              <w:rPr>
                <w:rFonts w:ascii="Times New Roman" w:hAnsi="Times New Roman" w:cs="Times New Roman"/>
                <w:sz w:val="24"/>
                <w:szCs w:val="24"/>
              </w:rPr>
              <w:t>Noteikumi par notariālo funkciju veikšanu Latvijas Republikas diplomātiskajās un konsulārajās pārstāvniecībās ārvalstīs</w:t>
            </w:r>
            <w:r w:rsidRPr="00820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</w:t>
            </w:r>
            <w:r w:rsidRPr="00820AC9">
              <w:rPr>
                <w:rFonts w:ascii="Times New Roman" w:hAnsi="Times New Roman" w:cs="Times New Roman"/>
                <w:sz w:val="24"/>
                <w:szCs w:val="24"/>
              </w:rPr>
              <w:t>sākotnējās ietekmes novērtējuma ziņojumā (anotācijā)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323B" w:rsidRPr="003D7578" w:rsidTr="0047547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87B" w:rsidRPr="003D757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D757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D7578" w:rsidRDefault="009767CF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C149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="00475471" w:rsidRPr="003D7578" w:rsidRDefault="00475471" w:rsidP="0088004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D757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19"/>
        <w:gridCol w:w="960"/>
        <w:gridCol w:w="1066"/>
        <w:gridCol w:w="867"/>
        <w:gridCol w:w="1061"/>
        <w:gridCol w:w="867"/>
        <w:gridCol w:w="1061"/>
        <w:gridCol w:w="1354"/>
      </w:tblGrid>
      <w:tr w:rsidR="00475471" w:rsidRPr="003D7578" w:rsidTr="00880049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5F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475471" w:rsidRPr="003D7578" w:rsidTr="00880049">
        <w:trPr>
          <w:tblCellSpacing w:w="15" w:type="dxa"/>
        </w:trPr>
        <w:tc>
          <w:tcPr>
            <w:tcW w:w="10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5F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09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2018</w:t>
            </w:r>
          </w:p>
        </w:tc>
        <w:tc>
          <w:tcPr>
            <w:tcW w:w="283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Turpmākie trīs gadi (</w:t>
            </w:r>
            <w:proofErr w:type="spellStart"/>
            <w:r w:rsidRPr="003D75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</w:p>
        </w:tc>
      </w:tr>
      <w:tr w:rsidR="00475471" w:rsidRPr="003D7578" w:rsidTr="0088004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0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2019</w:t>
            </w:r>
          </w:p>
        </w:tc>
        <w:tc>
          <w:tcPr>
            <w:tcW w:w="10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2021</w:t>
            </w:r>
          </w:p>
        </w:tc>
      </w:tr>
      <w:tr w:rsidR="00475471" w:rsidRPr="003D7578" w:rsidTr="0088004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izmaiņas, salīdzinot ar vidēja termiņa budžeta ietvaru 2019 gadam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izmaiņas, salīdzinot ar vidēja termiņa budžeta ietvaru 2020 gadam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izmaiņas, salīdzinot ar vidēja termiņa budžeta ietvaru 2020 gadam</w:t>
            </w:r>
          </w:p>
        </w:tc>
      </w:tr>
      <w:tr w:rsidR="00475471" w:rsidRPr="003D7578" w:rsidTr="00880049">
        <w:trPr>
          <w:tblCellSpacing w:w="15" w:type="dxa"/>
        </w:trPr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</w:t>
            </w:r>
          </w:p>
        </w:tc>
      </w:tr>
      <w:tr w:rsidR="00475471" w:rsidRPr="003D7578" w:rsidTr="00880049">
        <w:trPr>
          <w:tblCellSpacing w:w="15" w:type="dxa"/>
        </w:trPr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471" w:rsidRPr="003D7578" w:rsidRDefault="00475471" w:rsidP="005F2C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1. Budžeta ieņēmumi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475471" w:rsidRPr="003D7578" w:rsidTr="00880049">
        <w:trPr>
          <w:tblCellSpacing w:w="15" w:type="dxa"/>
        </w:trPr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471" w:rsidRPr="003D7578" w:rsidRDefault="00475471" w:rsidP="005F2C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475471" w:rsidRPr="003D7578" w:rsidTr="00880049">
        <w:trPr>
          <w:tblCellSpacing w:w="15" w:type="dxa"/>
        </w:trPr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471" w:rsidRPr="003D7578" w:rsidRDefault="00475471" w:rsidP="005F2C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475471" w:rsidRPr="003D7578" w:rsidTr="00880049">
        <w:trPr>
          <w:tblCellSpacing w:w="15" w:type="dxa"/>
        </w:trPr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471" w:rsidRPr="003D7578" w:rsidRDefault="00475471" w:rsidP="004754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475471" w:rsidRPr="003D7578" w:rsidTr="00880049">
        <w:trPr>
          <w:tblCellSpacing w:w="15" w:type="dxa"/>
        </w:trPr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471" w:rsidRPr="003D7578" w:rsidRDefault="00475471" w:rsidP="004754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 Budžeta izdevumi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475471" w:rsidRPr="003D7578" w:rsidTr="00880049">
        <w:trPr>
          <w:tblCellSpacing w:w="15" w:type="dxa"/>
        </w:trPr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471" w:rsidRPr="003D7578" w:rsidRDefault="00475471" w:rsidP="004754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475471" w:rsidRPr="003D7578" w:rsidTr="00880049">
        <w:trPr>
          <w:tblCellSpacing w:w="15" w:type="dxa"/>
        </w:trPr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471" w:rsidRPr="003D7578" w:rsidRDefault="00475471" w:rsidP="004754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475471" w:rsidRPr="003D7578" w:rsidTr="00880049">
        <w:trPr>
          <w:tblCellSpacing w:w="15" w:type="dxa"/>
        </w:trPr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471" w:rsidRPr="003D7578" w:rsidRDefault="00475471" w:rsidP="004754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475471" w:rsidRPr="003D7578" w:rsidTr="00880049">
        <w:trPr>
          <w:tblCellSpacing w:w="15" w:type="dxa"/>
        </w:trPr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471" w:rsidRPr="003D7578" w:rsidRDefault="00475471" w:rsidP="004754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 Finansiālā ietekme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475471" w:rsidRPr="003D7578" w:rsidTr="00880049">
        <w:trPr>
          <w:tblCellSpacing w:w="15" w:type="dxa"/>
        </w:trPr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471" w:rsidRPr="003D7578" w:rsidRDefault="00475471" w:rsidP="004754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475471" w:rsidRPr="003D7578" w:rsidTr="00880049">
        <w:trPr>
          <w:tblCellSpacing w:w="15" w:type="dxa"/>
        </w:trPr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471" w:rsidRPr="003D7578" w:rsidRDefault="00475471" w:rsidP="004754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475471" w:rsidRPr="003D7578" w:rsidTr="00880049">
        <w:trPr>
          <w:tblCellSpacing w:w="15" w:type="dxa"/>
        </w:trPr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471" w:rsidRPr="003D7578" w:rsidRDefault="00475471" w:rsidP="004754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475471" w:rsidRPr="003D7578" w:rsidTr="00880049">
        <w:trPr>
          <w:tblCellSpacing w:w="15" w:type="dxa"/>
        </w:trPr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471" w:rsidRPr="003D7578" w:rsidRDefault="00475471" w:rsidP="004754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475471" w:rsidRPr="003D7578" w:rsidTr="00880049">
        <w:trPr>
          <w:tblCellSpacing w:w="15" w:type="dxa"/>
        </w:trPr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471" w:rsidRPr="003D7578" w:rsidRDefault="00475471" w:rsidP="004754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 Precizēta finansiālā ietekme</w:t>
            </w:r>
          </w:p>
        </w:tc>
        <w:tc>
          <w:tcPr>
            <w:tcW w:w="5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475471" w:rsidRPr="003D7578" w:rsidTr="00880049">
        <w:trPr>
          <w:tblCellSpacing w:w="15" w:type="dxa"/>
        </w:trPr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471" w:rsidRPr="003D7578" w:rsidRDefault="00475471" w:rsidP="004754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475471" w:rsidRPr="003D7578" w:rsidTr="00880049">
        <w:trPr>
          <w:tblCellSpacing w:w="15" w:type="dxa"/>
        </w:trPr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471" w:rsidRPr="003D7578" w:rsidRDefault="00475471" w:rsidP="004754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475471" w:rsidRPr="003D7578" w:rsidTr="00880049">
        <w:trPr>
          <w:tblCellSpacing w:w="15" w:type="dxa"/>
        </w:trPr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471" w:rsidRPr="003D7578" w:rsidRDefault="00475471" w:rsidP="004754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3D7578" w:rsidRPr="003D7578" w:rsidTr="00755753">
        <w:trPr>
          <w:tblCellSpacing w:w="15" w:type="dxa"/>
        </w:trPr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471" w:rsidRPr="003D7578" w:rsidRDefault="00475471" w:rsidP="004754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3946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471" w:rsidRPr="008F67AF" w:rsidRDefault="00475471" w:rsidP="0080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</w:p>
        </w:tc>
      </w:tr>
      <w:tr w:rsidR="00475471" w:rsidRPr="003D7578" w:rsidTr="00880049">
        <w:trPr>
          <w:tblCellSpacing w:w="15" w:type="dxa"/>
        </w:trPr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471" w:rsidRPr="003D7578" w:rsidRDefault="00475471" w:rsidP="004754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475471" w:rsidRPr="003D7578" w:rsidTr="00880049">
        <w:trPr>
          <w:tblCellSpacing w:w="15" w:type="dxa"/>
        </w:trPr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471" w:rsidRPr="003D7578" w:rsidRDefault="00475471" w:rsidP="004754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471" w:rsidRPr="003D7578" w:rsidRDefault="00475471" w:rsidP="004754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475471" w:rsidRPr="003D7578" w:rsidTr="00880049">
        <w:trPr>
          <w:tblCellSpacing w:w="15" w:type="dxa"/>
        </w:trPr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471" w:rsidRPr="003D7578" w:rsidRDefault="00475471" w:rsidP="004754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7. Amata vietu skaita izmaiņas</w:t>
            </w:r>
          </w:p>
        </w:tc>
        <w:tc>
          <w:tcPr>
            <w:tcW w:w="394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471" w:rsidRPr="003D7578" w:rsidRDefault="00475471" w:rsidP="00475471">
            <w:pPr>
              <w:spacing w:after="0" w:line="240" w:lineRule="auto"/>
              <w:jc w:val="both"/>
            </w:pPr>
            <w:r w:rsidRPr="003D75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Projekts neparedz amata vietu skaita izmaiņas. </w:t>
            </w:r>
          </w:p>
        </w:tc>
      </w:tr>
      <w:tr w:rsidR="00475471" w:rsidRPr="003D7578" w:rsidTr="00880049">
        <w:trPr>
          <w:tblCellSpacing w:w="15" w:type="dxa"/>
        </w:trPr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471" w:rsidRPr="003D7578" w:rsidRDefault="00475471" w:rsidP="004754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8. Cita informācija</w:t>
            </w:r>
          </w:p>
        </w:tc>
        <w:tc>
          <w:tcPr>
            <w:tcW w:w="394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471" w:rsidRPr="003D7578" w:rsidRDefault="00F55E3F" w:rsidP="00FB3AB4">
            <w:pPr>
              <w:spacing w:after="0" w:line="240" w:lineRule="auto"/>
              <w:jc w:val="both"/>
            </w:pPr>
            <w:r w:rsidRPr="00E05E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Tiesību akta projekta ietekme uz budžetu sniegta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Ministru kabineta noteikumu projekta</w:t>
            </w:r>
            <w:r w:rsidRPr="00820AC9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5436AB">
              <w:rPr>
                <w:rFonts w:ascii="Times New Roman" w:hAnsi="Times New Roman" w:cs="Times New Roman"/>
                <w:sz w:val="24"/>
                <w:szCs w:val="24"/>
              </w:rPr>
              <w:t>Noteikumi par notariālo funkciju veikšanu Latvijas Republikas diplomātiskajās un konsulārajās pārstāvniecībās ārvalstīs</w:t>
            </w:r>
            <w:r w:rsidRPr="00820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</w:t>
            </w:r>
            <w:r w:rsidRPr="00820AC9">
              <w:rPr>
                <w:rFonts w:ascii="Times New Roman" w:hAnsi="Times New Roman" w:cs="Times New Roman"/>
                <w:sz w:val="24"/>
                <w:szCs w:val="24"/>
              </w:rPr>
              <w:t>sākotnējās ietekmes novērtējuma ziņojumā (anotācijā)</w:t>
            </w:r>
            <w:r w:rsidRPr="00E05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75471" w:rsidRPr="003D7578" w:rsidRDefault="00475471" w:rsidP="0047547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3D7578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87B" w:rsidRPr="003D7578" w:rsidRDefault="00E5323B" w:rsidP="00A5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E5323B" w:rsidRPr="003D7578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87B" w:rsidRPr="003D757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D757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D7578" w:rsidRDefault="00FD4491" w:rsidP="00BF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projekts </w:t>
            </w:r>
            <w:r w:rsidR="00BF63DC"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 w:rsidR="00BF63DC" w:rsidRPr="003D7578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Noteikumi par valsts nodevu par notariālo funkciju izpildi Latvijas Republikas diplomātiskajās un konsulārajās pārstāvniecībās </w:t>
            </w:r>
            <w:r w:rsidR="00BF63DC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ārvalstīs</w:t>
            </w:r>
            <w:r w:rsidR="00BF63DC" w:rsidRPr="003D7578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”</w:t>
            </w:r>
            <w:r w:rsidR="005C7D4A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5C7D4A" w:rsidRPr="003D7578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saistīts ar noteikumu projektu</w:t>
            </w:r>
            <w:r w:rsidR="005C7D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F63DC" w:rsidRPr="003D7578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“Noteikumi par notariālo funkciju veikšanu Latvijas Republikas diplomātiskajās un konsulārajās pārstāvniecībās </w:t>
            </w:r>
            <w:r w:rsidR="00BF63DC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ārvalstīs</w:t>
            </w:r>
            <w:r w:rsidR="00BF63DC" w:rsidRPr="003D7578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”</w:t>
            </w:r>
            <w:r w:rsidRPr="003D7578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3D7578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87B" w:rsidRPr="003D757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D757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D7578" w:rsidRDefault="009767CF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Ārlietu ministrija</w:t>
            </w:r>
            <w:r w:rsidR="00FD4491"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3D7578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87B" w:rsidRPr="003D757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D757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D7578" w:rsidRDefault="009767CF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FD4491"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="00E5323B" w:rsidRPr="003D757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D757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A50E04" w:rsidRPr="003D7578" w:rsidTr="008800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E04" w:rsidRPr="003D7578" w:rsidRDefault="00A50E04" w:rsidP="008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A50E04" w:rsidRPr="003D7578" w:rsidTr="00A50E04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E04" w:rsidRPr="003D7578" w:rsidRDefault="00A50E04" w:rsidP="00FD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 w:rsidR="00F12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:rsidR="00906999" w:rsidRPr="003D7578" w:rsidRDefault="00906999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3D7578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87B" w:rsidRPr="003D7578" w:rsidRDefault="00E5323B" w:rsidP="00A5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lastRenderedPageBreak/>
              <w:t>VI. Sabiedrības līdzdalība un komunikācijas aktivitātes</w:t>
            </w:r>
          </w:p>
        </w:tc>
      </w:tr>
      <w:tr w:rsidR="0083282B" w:rsidRPr="003D7578" w:rsidTr="0083282B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82B" w:rsidRPr="003D7578" w:rsidRDefault="0083282B" w:rsidP="008328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82B" w:rsidRPr="003D7578" w:rsidRDefault="0083282B" w:rsidP="005F2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82B" w:rsidRPr="003D7578" w:rsidRDefault="00FE30E3" w:rsidP="00EF1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projektu</w:t>
            </w:r>
            <w:r w:rsidR="0083282B" w:rsidRPr="003D7578">
              <w:rPr>
                <w:rFonts w:ascii="Times New Roman" w:hAnsi="Times New Roman" w:cs="Times New Roman"/>
                <w:sz w:val="24"/>
                <w:szCs w:val="24"/>
              </w:rPr>
              <w:t xml:space="preserve"> sabiedriskajai apspriešanai publicēt Ārlietu ministrijas tīmekļvietnē </w:t>
            </w:r>
            <w:hyperlink r:id="rId8" w:history="1">
              <w:r w:rsidR="0009335B" w:rsidRPr="00763D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www.mfa.gov.lv</w:t>
              </w:r>
            </w:hyperlink>
            <w:r w:rsidR="0083282B" w:rsidRPr="003D7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282B" w:rsidRPr="003D7578" w:rsidTr="0083282B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82B" w:rsidRPr="003D7578" w:rsidRDefault="0083282B" w:rsidP="008328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82B" w:rsidRPr="003D7578" w:rsidRDefault="0083282B" w:rsidP="005F2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60E" w:rsidRDefault="00EF1DEF" w:rsidP="00182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projekts</w:t>
            </w:r>
            <w:r w:rsidR="0083282B" w:rsidRPr="00524962">
              <w:rPr>
                <w:rFonts w:ascii="Times New Roman" w:hAnsi="Times New Roman" w:cs="Times New Roman"/>
                <w:sz w:val="24"/>
                <w:szCs w:val="24"/>
              </w:rPr>
              <w:t xml:space="preserve"> sabiedriskajai apspriešanai </w:t>
            </w:r>
          </w:p>
          <w:p w:rsidR="0083282B" w:rsidRPr="003D7578" w:rsidRDefault="0083282B" w:rsidP="00182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bookmarkStart w:id="0" w:name="_GoBack"/>
            <w:bookmarkEnd w:id="0"/>
            <w:r w:rsidRPr="00524962">
              <w:rPr>
                <w:rFonts w:ascii="Times New Roman" w:hAnsi="Times New Roman" w:cs="Times New Roman"/>
                <w:sz w:val="24"/>
                <w:szCs w:val="24"/>
              </w:rPr>
              <w:t>publicēts</w:t>
            </w:r>
            <w:r w:rsidRPr="003D7578">
              <w:rPr>
                <w:rFonts w:ascii="Times New Roman" w:hAnsi="Times New Roman" w:cs="Times New Roman"/>
                <w:sz w:val="24"/>
                <w:szCs w:val="24"/>
              </w:rPr>
              <w:t xml:space="preserve"> Ārlietu ministrijas tīmekļvietnē </w:t>
            </w:r>
            <w:hyperlink r:id="rId9" w:history="1">
              <w:r w:rsidR="0009335B" w:rsidRPr="00763D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www.mfa.gov.lv</w:t>
              </w:r>
            </w:hyperlink>
            <w:r w:rsidRPr="003D7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282B" w:rsidRPr="003D7578" w:rsidTr="0083282B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82B" w:rsidRPr="003D7578" w:rsidRDefault="0083282B" w:rsidP="008328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82B" w:rsidRPr="003D7578" w:rsidRDefault="0083282B" w:rsidP="005F2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82B" w:rsidRPr="003D7578" w:rsidRDefault="0083282B" w:rsidP="008328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Komentāri par projektu nav saņemti.</w:t>
            </w:r>
          </w:p>
        </w:tc>
      </w:tr>
      <w:tr w:rsidR="00E5323B" w:rsidRPr="003D7578" w:rsidTr="0083282B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87B" w:rsidRPr="003D757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D757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D7578" w:rsidRDefault="00EF1DEF" w:rsidP="00EF1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 pēc N</w:t>
            </w:r>
            <w:r w:rsidR="00573867"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oteikumu projekta pieņemšanas tiks informēta vispārējā kārtībā,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to</w:t>
            </w:r>
            <w:r w:rsidR="00573867"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publicējot oficiālajā izdevumā “Latvijas Vēstnesis”, </w:t>
            </w:r>
            <w:r w:rsidR="00954B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kā arī </w:t>
            </w:r>
            <w:r w:rsidR="00573867"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tiks ievietota nepieciešamā informācija pārstāvniecību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tīmekļvietnēs</w:t>
            </w:r>
            <w:r w:rsidR="00573867"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D757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3D7578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87B" w:rsidRPr="003D7578" w:rsidRDefault="00E5323B" w:rsidP="00AD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5323B" w:rsidRPr="003D7578" w:rsidTr="00E91C1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87B" w:rsidRPr="003D757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D7578" w:rsidRDefault="00E5323B" w:rsidP="005F2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D7578" w:rsidRDefault="00954B4E" w:rsidP="00F12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Latvijas R</w:t>
            </w:r>
            <w:r w:rsidR="00AD4752"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epublikas diplomātiskās un konsulārās pārstāvniecības ārvalstīs.</w:t>
            </w:r>
            <w:r w:rsidR="00573867"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E5323B" w:rsidRPr="003D7578" w:rsidTr="00E91C1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87B" w:rsidRPr="003D757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D7578" w:rsidRDefault="00E5323B" w:rsidP="005F2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867" w:rsidRPr="003D7578" w:rsidRDefault="00573867" w:rsidP="00573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 notiks esošo pārvaldes funkciju ietvaros.</w:t>
            </w:r>
          </w:p>
          <w:p w:rsidR="00E5323B" w:rsidRPr="003D7578" w:rsidRDefault="00573867" w:rsidP="00573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neparedz jaunu institūciju izveidi, esošo likvidēšanu vai reorganizāciju.</w:t>
            </w:r>
          </w:p>
        </w:tc>
      </w:tr>
      <w:tr w:rsidR="00E5323B" w:rsidRPr="003D7578" w:rsidTr="00E91C1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87B" w:rsidRPr="003D757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D757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D7578" w:rsidRDefault="00573867" w:rsidP="005738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5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:rsidR="00C25B49" w:rsidRPr="003D7578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23B" w:rsidRPr="003D7578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E04" w:rsidRPr="003D7578" w:rsidRDefault="00A50E04" w:rsidP="00A50E04">
      <w:pPr>
        <w:jc w:val="both"/>
        <w:rPr>
          <w:rFonts w:ascii="Times New Roman" w:hAnsi="Times New Roman" w:cs="Times New Roman"/>
          <w:sz w:val="24"/>
          <w:szCs w:val="24"/>
        </w:rPr>
      </w:pPr>
      <w:r w:rsidRPr="003D7578">
        <w:rPr>
          <w:rFonts w:ascii="Times New Roman" w:hAnsi="Times New Roman" w:cs="Times New Roman"/>
          <w:sz w:val="24"/>
          <w:szCs w:val="24"/>
        </w:rPr>
        <w:t>Iesniedzējs:</w:t>
      </w:r>
    </w:p>
    <w:p w:rsidR="00A50E04" w:rsidRPr="003D7578" w:rsidRDefault="00A50E04" w:rsidP="00A50E04">
      <w:pPr>
        <w:tabs>
          <w:tab w:val="left" w:pos="7371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D7578">
        <w:rPr>
          <w:rFonts w:ascii="Times New Roman" w:hAnsi="Times New Roman" w:cs="Times New Roman"/>
          <w:sz w:val="24"/>
          <w:szCs w:val="24"/>
        </w:rPr>
        <w:t>Ārlietu ministrijas valsts sekretārs</w:t>
      </w:r>
      <w:r w:rsidRPr="003D7578">
        <w:rPr>
          <w:rFonts w:ascii="Times New Roman" w:hAnsi="Times New Roman" w:cs="Times New Roman"/>
          <w:sz w:val="24"/>
          <w:szCs w:val="24"/>
        </w:rPr>
        <w:tab/>
        <w:t xml:space="preserve"> A.Pildegovičs</w:t>
      </w:r>
    </w:p>
    <w:p w:rsidR="002045F9" w:rsidRPr="006C0F92" w:rsidRDefault="002045F9" w:rsidP="006C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C55" w:rsidRPr="006C0F92" w:rsidRDefault="00894C55" w:rsidP="006C0F92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D4A" w:rsidRDefault="005C7D4A" w:rsidP="006C0F92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92" w:rsidRDefault="006C0F92" w:rsidP="006C0F92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999" w:rsidRDefault="00906999" w:rsidP="006C0F92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999" w:rsidRDefault="00906999" w:rsidP="006C0F92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999" w:rsidRDefault="00906999" w:rsidP="006C0F92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999" w:rsidRDefault="00906999" w:rsidP="006C0F92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999" w:rsidRDefault="00906999" w:rsidP="006C0F92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999" w:rsidRDefault="00906999" w:rsidP="006C0F92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F92" w:rsidRPr="006C0F92" w:rsidRDefault="006C0F92" w:rsidP="006C0F92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5F9" w:rsidRPr="006C0F92" w:rsidRDefault="002045F9" w:rsidP="006C0F92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5F9" w:rsidRPr="006C0F92" w:rsidRDefault="002045F9" w:rsidP="006C0F92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E04" w:rsidRPr="003D7578" w:rsidRDefault="00A50E04" w:rsidP="00A50E04">
      <w:pPr>
        <w:spacing w:after="0" w:line="240" w:lineRule="auto"/>
        <w:ind w:right="-7"/>
        <w:jc w:val="both"/>
        <w:rPr>
          <w:rFonts w:ascii="Times New Roman" w:hAnsi="Times New Roman" w:cs="Times New Roman"/>
          <w:sz w:val="20"/>
          <w:szCs w:val="20"/>
        </w:rPr>
      </w:pPr>
      <w:r w:rsidRPr="003D7578">
        <w:rPr>
          <w:rFonts w:ascii="Times New Roman" w:hAnsi="Times New Roman" w:cs="Times New Roman"/>
          <w:sz w:val="20"/>
          <w:szCs w:val="20"/>
        </w:rPr>
        <w:t>I.Krūmiņa 67016229</w:t>
      </w:r>
    </w:p>
    <w:p w:rsidR="00894C55" w:rsidRPr="003D7578" w:rsidRDefault="00CE460E" w:rsidP="006C0F9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A50E04" w:rsidRPr="003D7578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ilze.krumina@mfa.gov.lv</w:t>
        </w:r>
      </w:hyperlink>
    </w:p>
    <w:sectPr w:rsidR="00894C55" w:rsidRPr="003D7578" w:rsidSect="009A2654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127" w:rsidRDefault="00036127" w:rsidP="00894C55">
      <w:pPr>
        <w:spacing w:after="0" w:line="240" w:lineRule="auto"/>
      </w:pPr>
      <w:r>
        <w:separator/>
      </w:r>
    </w:p>
  </w:endnote>
  <w:endnote w:type="continuationSeparator" w:id="0">
    <w:p w:rsidR="00036127" w:rsidRDefault="00036127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127" w:rsidRPr="003511A4" w:rsidRDefault="00036127" w:rsidP="003511A4">
    <w:pPr>
      <w:spacing w:after="0" w:line="240" w:lineRule="auto"/>
      <w:jc w:val="both"/>
      <w:rPr>
        <w:rFonts w:ascii="Times New Roman" w:hAnsi="Times New Roman" w:cs="Times New Roman"/>
        <w:bCs/>
        <w:sz w:val="20"/>
        <w:szCs w:val="20"/>
      </w:rPr>
    </w:pPr>
    <w:r w:rsidRPr="00A50E04">
      <w:rPr>
        <w:rFonts w:ascii="Times New Roman" w:hAnsi="Times New Roman" w:cs="Times New Roman"/>
        <w:sz w:val="20"/>
        <w:szCs w:val="20"/>
      </w:rPr>
      <w:t>AM</w:t>
    </w:r>
    <w:r w:rsidR="00EF1DEF">
      <w:rPr>
        <w:rFonts w:ascii="Times New Roman" w:hAnsi="Times New Roman" w:cs="Times New Roman"/>
        <w:sz w:val="20"/>
        <w:szCs w:val="20"/>
      </w:rPr>
      <w:t>anot_0805</w:t>
    </w:r>
    <w:r>
      <w:rPr>
        <w:rFonts w:ascii="Times New Roman" w:hAnsi="Times New Roman" w:cs="Times New Roman"/>
        <w:sz w:val="20"/>
        <w:szCs w:val="20"/>
      </w:rPr>
      <w:t>18</w:t>
    </w:r>
    <w:r w:rsidRPr="00A50E04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VN_</w:t>
    </w:r>
    <w:r w:rsidRPr="00A50E04">
      <w:rPr>
        <w:rFonts w:ascii="Times New Roman" w:hAnsi="Times New Roman" w:cs="Times New Roman"/>
        <w:sz w:val="20"/>
        <w:szCs w:val="20"/>
      </w:rPr>
      <w:t xml:space="preserve">Notariālās </w:t>
    </w:r>
    <w:r w:rsidR="00BF7689">
      <w:rPr>
        <w:rFonts w:ascii="Times New Roman" w:hAnsi="Times New Roman" w:cs="Times New Roman"/>
        <w:sz w:val="20"/>
        <w:szCs w:val="20"/>
      </w:rPr>
      <w:t>funkcijas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127" w:rsidRPr="003511A4" w:rsidRDefault="00036127" w:rsidP="003511A4">
    <w:pPr>
      <w:spacing w:after="0" w:line="240" w:lineRule="auto"/>
      <w:jc w:val="both"/>
      <w:rPr>
        <w:rFonts w:ascii="Times New Roman" w:hAnsi="Times New Roman" w:cs="Times New Roman"/>
        <w:bCs/>
        <w:sz w:val="20"/>
        <w:szCs w:val="20"/>
      </w:rPr>
    </w:pPr>
    <w:r w:rsidRPr="00A50E04">
      <w:rPr>
        <w:rFonts w:ascii="Times New Roman" w:hAnsi="Times New Roman" w:cs="Times New Roman"/>
        <w:sz w:val="20"/>
        <w:szCs w:val="20"/>
      </w:rPr>
      <w:t>AM</w:t>
    </w:r>
    <w:r w:rsidR="00EF1DEF">
      <w:rPr>
        <w:rFonts w:ascii="Times New Roman" w:hAnsi="Times New Roman" w:cs="Times New Roman"/>
        <w:sz w:val="20"/>
        <w:szCs w:val="20"/>
      </w:rPr>
      <w:t>anot_0805</w:t>
    </w:r>
    <w:r>
      <w:rPr>
        <w:rFonts w:ascii="Times New Roman" w:hAnsi="Times New Roman" w:cs="Times New Roman"/>
        <w:sz w:val="20"/>
        <w:szCs w:val="20"/>
      </w:rPr>
      <w:t>18</w:t>
    </w:r>
    <w:r w:rsidRPr="00A50E04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VN_</w:t>
    </w:r>
    <w:r w:rsidRPr="00A50E04">
      <w:rPr>
        <w:rFonts w:ascii="Times New Roman" w:hAnsi="Times New Roman" w:cs="Times New Roman"/>
        <w:sz w:val="20"/>
        <w:szCs w:val="20"/>
      </w:rPr>
      <w:t xml:space="preserve">Notariālās </w:t>
    </w:r>
    <w:r w:rsidR="00BF7689">
      <w:rPr>
        <w:rFonts w:ascii="Times New Roman" w:hAnsi="Times New Roman" w:cs="Times New Roman"/>
        <w:sz w:val="20"/>
        <w:szCs w:val="20"/>
      </w:rPr>
      <w:t>funkcijas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127" w:rsidRDefault="00036127" w:rsidP="00894C55">
      <w:pPr>
        <w:spacing w:after="0" w:line="240" w:lineRule="auto"/>
      </w:pPr>
      <w:r>
        <w:separator/>
      </w:r>
    </w:p>
  </w:footnote>
  <w:footnote w:type="continuationSeparator" w:id="0">
    <w:p w:rsidR="00036127" w:rsidRDefault="00036127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036127" w:rsidRPr="00C25B49" w:rsidRDefault="00036127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CE460E">
          <w:rPr>
            <w:rFonts w:ascii="Times New Roman" w:hAnsi="Times New Roman" w:cs="Times New Roman"/>
            <w:noProof/>
            <w:sz w:val="24"/>
            <w:szCs w:val="20"/>
          </w:rPr>
          <w:t>5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C311A"/>
    <w:multiLevelType w:val="hybridMultilevel"/>
    <w:tmpl w:val="BDF601D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84860"/>
    <w:multiLevelType w:val="hybridMultilevel"/>
    <w:tmpl w:val="82B839E2"/>
    <w:lvl w:ilvl="0" w:tplc="BA9453F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A5DF8"/>
    <w:multiLevelType w:val="hybridMultilevel"/>
    <w:tmpl w:val="686EB680"/>
    <w:lvl w:ilvl="0" w:tplc="04260011">
      <w:start w:val="1"/>
      <w:numFmt w:val="decimal"/>
      <w:lvlText w:val="%1)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7C92294"/>
    <w:multiLevelType w:val="hybridMultilevel"/>
    <w:tmpl w:val="22FA4544"/>
    <w:lvl w:ilvl="0" w:tplc="5D4202DC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0" w:hanging="360"/>
      </w:pPr>
    </w:lvl>
    <w:lvl w:ilvl="2" w:tplc="0809001B" w:tentative="1">
      <w:start w:val="1"/>
      <w:numFmt w:val="lowerRoman"/>
      <w:lvlText w:val="%3."/>
      <w:lvlJc w:val="right"/>
      <w:pPr>
        <w:ind w:left="2150" w:hanging="180"/>
      </w:pPr>
    </w:lvl>
    <w:lvl w:ilvl="3" w:tplc="0809000F" w:tentative="1">
      <w:start w:val="1"/>
      <w:numFmt w:val="decimal"/>
      <w:lvlText w:val="%4."/>
      <w:lvlJc w:val="left"/>
      <w:pPr>
        <w:ind w:left="2870" w:hanging="360"/>
      </w:pPr>
    </w:lvl>
    <w:lvl w:ilvl="4" w:tplc="08090019" w:tentative="1">
      <w:start w:val="1"/>
      <w:numFmt w:val="lowerLetter"/>
      <w:lvlText w:val="%5."/>
      <w:lvlJc w:val="left"/>
      <w:pPr>
        <w:ind w:left="3590" w:hanging="360"/>
      </w:pPr>
    </w:lvl>
    <w:lvl w:ilvl="5" w:tplc="0809001B" w:tentative="1">
      <w:start w:val="1"/>
      <w:numFmt w:val="lowerRoman"/>
      <w:lvlText w:val="%6."/>
      <w:lvlJc w:val="right"/>
      <w:pPr>
        <w:ind w:left="4310" w:hanging="180"/>
      </w:pPr>
    </w:lvl>
    <w:lvl w:ilvl="6" w:tplc="0809000F" w:tentative="1">
      <w:start w:val="1"/>
      <w:numFmt w:val="decimal"/>
      <w:lvlText w:val="%7."/>
      <w:lvlJc w:val="left"/>
      <w:pPr>
        <w:ind w:left="5030" w:hanging="360"/>
      </w:pPr>
    </w:lvl>
    <w:lvl w:ilvl="7" w:tplc="08090019" w:tentative="1">
      <w:start w:val="1"/>
      <w:numFmt w:val="lowerLetter"/>
      <w:lvlText w:val="%8."/>
      <w:lvlJc w:val="left"/>
      <w:pPr>
        <w:ind w:left="5750" w:hanging="360"/>
      </w:pPr>
    </w:lvl>
    <w:lvl w:ilvl="8" w:tplc="080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519C"/>
    <w:rsid w:val="00015294"/>
    <w:rsid w:val="00025EF9"/>
    <w:rsid w:val="0003241D"/>
    <w:rsid w:val="00036127"/>
    <w:rsid w:val="0006233D"/>
    <w:rsid w:val="00065AB6"/>
    <w:rsid w:val="00070705"/>
    <w:rsid w:val="0009335B"/>
    <w:rsid w:val="000B044B"/>
    <w:rsid w:val="001102A0"/>
    <w:rsid w:val="001477B7"/>
    <w:rsid w:val="00151FDC"/>
    <w:rsid w:val="001810C3"/>
    <w:rsid w:val="0018248D"/>
    <w:rsid w:val="001944B9"/>
    <w:rsid w:val="001C3803"/>
    <w:rsid w:val="001E6C96"/>
    <w:rsid w:val="002045F9"/>
    <w:rsid w:val="0020590D"/>
    <w:rsid w:val="00243426"/>
    <w:rsid w:val="00254A74"/>
    <w:rsid w:val="0025671E"/>
    <w:rsid w:val="002771FE"/>
    <w:rsid w:val="002876A6"/>
    <w:rsid w:val="0029722A"/>
    <w:rsid w:val="002B5C8C"/>
    <w:rsid w:val="002B74CB"/>
    <w:rsid w:val="002D0157"/>
    <w:rsid w:val="002E1C05"/>
    <w:rsid w:val="002F5F9C"/>
    <w:rsid w:val="003123F5"/>
    <w:rsid w:val="003511A4"/>
    <w:rsid w:val="003654ED"/>
    <w:rsid w:val="003722AC"/>
    <w:rsid w:val="00375E2E"/>
    <w:rsid w:val="00386D2A"/>
    <w:rsid w:val="003B0BF9"/>
    <w:rsid w:val="003B2ED3"/>
    <w:rsid w:val="003C2918"/>
    <w:rsid w:val="003C33F3"/>
    <w:rsid w:val="003D7578"/>
    <w:rsid w:val="003E0791"/>
    <w:rsid w:val="003F11D3"/>
    <w:rsid w:val="003F16A3"/>
    <w:rsid w:val="003F28AC"/>
    <w:rsid w:val="003F783A"/>
    <w:rsid w:val="004014E2"/>
    <w:rsid w:val="0043040A"/>
    <w:rsid w:val="004454FE"/>
    <w:rsid w:val="00456E40"/>
    <w:rsid w:val="00471644"/>
    <w:rsid w:val="00471F27"/>
    <w:rsid w:val="00473E60"/>
    <w:rsid w:val="00475471"/>
    <w:rsid w:val="00477DE3"/>
    <w:rsid w:val="00481127"/>
    <w:rsid w:val="00491F5C"/>
    <w:rsid w:val="004B6168"/>
    <w:rsid w:val="004D0C8A"/>
    <w:rsid w:val="004E7316"/>
    <w:rsid w:val="0050178F"/>
    <w:rsid w:val="00523834"/>
    <w:rsid w:val="00524962"/>
    <w:rsid w:val="00526966"/>
    <w:rsid w:val="005436AB"/>
    <w:rsid w:val="0057175F"/>
    <w:rsid w:val="00573867"/>
    <w:rsid w:val="00577642"/>
    <w:rsid w:val="00581025"/>
    <w:rsid w:val="00587101"/>
    <w:rsid w:val="005B31CD"/>
    <w:rsid w:val="005C7D4A"/>
    <w:rsid w:val="005D5C33"/>
    <w:rsid w:val="005E2667"/>
    <w:rsid w:val="005F2C73"/>
    <w:rsid w:val="0060641A"/>
    <w:rsid w:val="0061557B"/>
    <w:rsid w:val="006C0F92"/>
    <w:rsid w:val="006C78C4"/>
    <w:rsid w:val="006D099E"/>
    <w:rsid w:val="006E1081"/>
    <w:rsid w:val="006E7F24"/>
    <w:rsid w:val="00720585"/>
    <w:rsid w:val="00726EDF"/>
    <w:rsid w:val="00755753"/>
    <w:rsid w:val="00767B14"/>
    <w:rsid w:val="00773AF6"/>
    <w:rsid w:val="0078572C"/>
    <w:rsid w:val="0079587B"/>
    <w:rsid w:val="00795F71"/>
    <w:rsid w:val="007C671E"/>
    <w:rsid w:val="007D3C9B"/>
    <w:rsid w:val="007E3647"/>
    <w:rsid w:val="007E73AB"/>
    <w:rsid w:val="008022D3"/>
    <w:rsid w:val="00816C11"/>
    <w:rsid w:val="00830E9F"/>
    <w:rsid w:val="0083282B"/>
    <w:rsid w:val="00843B4F"/>
    <w:rsid w:val="00850C9A"/>
    <w:rsid w:val="0086743D"/>
    <w:rsid w:val="00880049"/>
    <w:rsid w:val="00894C55"/>
    <w:rsid w:val="008A5595"/>
    <w:rsid w:val="008A5FAD"/>
    <w:rsid w:val="008C04F2"/>
    <w:rsid w:val="008C477B"/>
    <w:rsid w:val="008D2FC9"/>
    <w:rsid w:val="008E4298"/>
    <w:rsid w:val="008F67AF"/>
    <w:rsid w:val="00906999"/>
    <w:rsid w:val="00913F7B"/>
    <w:rsid w:val="009243FB"/>
    <w:rsid w:val="00931A35"/>
    <w:rsid w:val="00954B4E"/>
    <w:rsid w:val="00954E64"/>
    <w:rsid w:val="00966F79"/>
    <w:rsid w:val="009767CF"/>
    <w:rsid w:val="00976AB0"/>
    <w:rsid w:val="009A1EEE"/>
    <w:rsid w:val="009A2654"/>
    <w:rsid w:val="009B0DAB"/>
    <w:rsid w:val="009B1821"/>
    <w:rsid w:val="009E24F9"/>
    <w:rsid w:val="009F02E4"/>
    <w:rsid w:val="00A00F29"/>
    <w:rsid w:val="00A10FC3"/>
    <w:rsid w:val="00A40260"/>
    <w:rsid w:val="00A418CA"/>
    <w:rsid w:val="00A50E04"/>
    <w:rsid w:val="00A56851"/>
    <w:rsid w:val="00A6073E"/>
    <w:rsid w:val="00A64D1A"/>
    <w:rsid w:val="00AB215E"/>
    <w:rsid w:val="00AC5178"/>
    <w:rsid w:val="00AD2F64"/>
    <w:rsid w:val="00AD4752"/>
    <w:rsid w:val="00AE5567"/>
    <w:rsid w:val="00B134D5"/>
    <w:rsid w:val="00B16480"/>
    <w:rsid w:val="00B2165C"/>
    <w:rsid w:val="00B50D8D"/>
    <w:rsid w:val="00B617FF"/>
    <w:rsid w:val="00B830BD"/>
    <w:rsid w:val="00BA20AA"/>
    <w:rsid w:val="00BA2241"/>
    <w:rsid w:val="00BC45F8"/>
    <w:rsid w:val="00BD4425"/>
    <w:rsid w:val="00BF4F47"/>
    <w:rsid w:val="00BF63DC"/>
    <w:rsid w:val="00BF7689"/>
    <w:rsid w:val="00C04C73"/>
    <w:rsid w:val="00C14921"/>
    <w:rsid w:val="00C2038D"/>
    <w:rsid w:val="00C25B49"/>
    <w:rsid w:val="00C32701"/>
    <w:rsid w:val="00C63C39"/>
    <w:rsid w:val="00C82909"/>
    <w:rsid w:val="00C979CB"/>
    <w:rsid w:val="00C97DB2"/>
    <w:rsid w:val="00CA34BA"/>
    <w:rsid w:val="00CA6F7B"/>
    <w:rsid w:val="00CD3AD6"/>
    <w:rsid w:val="00CD6C28"/>
    <w:rsid w:val="00CE1E2E"/>
    <w:rsid w:val="00CE2D0C"/>
    <w:rsid w:val="00CE460E"/>
    <w:rsid w:val="00CE5657"/>
    <w:rsid w:val="00CF450E"/>
    <w:rsid w:val="00D03430"/>
    <w:rsid w:val="00D132C1"/>
    <w:rsid w:val="00D133F8"/>
    <w:rsid w:val="00D14A3E"/>
    <w:rsid w:val="00D53E68"/>
    <w:rsid w:val="00DC0FD5"/>
    <w:rsid w:val="00DD5389"/>
    <w:rsid w:val="00DE0F9F"/>
    <w:rsid w:val="00DE50DC"/>
    <w:rsid w:val="00DF681C"/>
    <w:rsid w:val="00E14C3B"/>
    <w:rsid w:val="00E3716B"/>
    <w:rsid w:val="00E5323B"/>
    <w:rsid w:val="00E701FC"/>
    <w:rsid w:val="00E8749E"/>
    <w:rsid w:val="00E90C01"/>
    <w:rsid w:val="00E91C1A"/>
    <w:rsid w:val="00EA486E"/>
    <w:rsid w:val="00EB3984"/>
    <w:rsid w:val="00ED0361"/>
    <w:rsid w:val="00EF1DEF"/>
    <w:rsid w:val="00F10130"/>
    <w:rsid w:val="00F12DF0"/>
    <w:rsid w:val="00F50E94"/>
    <w:rsid w:val="00F55E3F"/>
    <w:rsid w:val="00F57B0C"/>
    <w:rsid w:val="00F74684"/>
    <w:rsid w:val="00F95E4A"/>
    <w:rsid w:val="00FB3AB4"/>
    <w:rsid w:val="00FD4491"/>
    <w:rsid w:val="00FD4BFF"/>
    <w:rsid w:val="00FE17B2"/>
    <w:rsid w:val="00FE30E3"/>
    <w:rsid w:val="00FE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;"/>
  <w14:docId w14:val="4C664755"/>
  <w15:docId w15:val="{DE449647-41B4-420E-98ED-DAD34F09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8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A50E04"/>
    <w:rPr>
      <w:b/>
      <w:bCs/>
    </w:rPr>
  </w:style>
  <w:style w:type="paragraph" w:customStyle="1" w:styleId="tv2132">
    <w:name w:val="tv2132"/>
    <w:basedOn w:val="Normal"/>
    <w:rsid w:val="007D3C9B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526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0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7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a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lze.krumina@mfa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a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855AC-7621-4A84-B1DF-67BCFBEA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5</Pages>
  <Words>5100</Words>
  <Characters>2907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sākotnējās ietekmes novērtējuma ziņojums (anotācija)</vt:lpstr>
    </vt:vector>
  </TitlesOfParts>
  <Manager>Annija.Roga@mfa.gov.lv</Manager>
  <Company>Ārlietu ministrija</Company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sākotnējās ietekmes novērtējuma ziņojums (anotācija)</dc:title>
  <dc:subject>Anotācija</dc:subject>
  <dc:creator>Vārds Uzvārds</dc:creator>
  <dc:description>67012375, Annija.Roga@mfa.gov.lv</dc:description>
  <cp:lastModifiedBy>Ilze Krūmiņa</cp:lastModifiedBy>
  <cp:revision>116</cp:revision>
  <cp:lastPrinted>2018-05-08T15:09:00Z</cp:lastPrinted>
  <dcterms:created xsi:type="dcterms:W3CDTF">2018-03-02T08:05:00Z</dcterms:created>
  <dcterms:modified xsi:type="dcterms:W3CDTF">2018-05-08T15:11:00Z</dcterms:modified>
</cp:coreProperties>
</file>