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1F1A" w14:textId="28A182AF" w:rsidR="00DB18FB" w:rsidRDefault="00F349E4" w:rsidP="009347C1">
      <w:pPr>
        <w:spacing w:before="80" w:line="276" w:lineRule="auto"/>
        <w:jc w:val="center"/>
        <w:rPr>
          <w:b/>
        </w:rPr>
      </w:pPr>
      <w:r>
        <w:rPr>
          <w:b/>
        </w:rPr>
        <w:t xml:space="preserve"> </w:t>
      </w:r>
    </w:p>
    <w:p w14:paraId="593CEE64" w14:textId="391A69A1" w:rsidR="00CE0059" w:rsidRPr="003A3A14" w:rsidRDefault="00CE0059" w:rsidP="009347C1">
      <w:pPr>
        <w:spacing w:before="80" w:line="276" w:lineRule="auto"/>
        <w:jc w:val="center"/>
        <w:rPr>
          <w:b/>
        </w:rPr>
      </w:pPr>
      <w:r w:rsidRPr="003A3A14">
        <w:rPr>
          <w:b/>
        </w:rPr>
        <w:t>Informatīvais ziņojums</w:t>
      </w:r>
    </w:p>
    <w:p w14:paraId="11926A84" w14:textId="77777777" w:rsidR="00CE0059" w:rsidRPr="003A3A14" w:rsidRDefault="00CE0059" w:rsidP="009347C1">
      <w:pPr>
        <w:spacing w:before="80" w:line="276" w:lineRule="auto"/>
        <w:jc w:val="center"/>
        <w:rPr>
          <w:b/>
        </w:rPr>
      </w:pPr>
      <w:r w:rsidRPr="003A3A14">
        <w:rPr>
          <w:b/>
        </w:rPr>
        <w:t xml:space="preserve">“Par Eiropas Savienības Ārlietu padomes Kopējās tirdzniecības politikas jautājumos sanāksmi 2018. gada </w:t>
      </w:r>
      <w:r w:rsidR="002634CC" w:rsidRPr="003A3A14">
        <w:rPr>
          <w:b/>
        </w:rPr>
        <w:t>22</w:t>
      </w:r>
      <w:r w:rsidRPr="003A3A14">
        <w:rPr>
          <w:b/>
        </w:rPr>
        <w:t xml:space="preserve">. </w:t>
      </w:r>
      <w:r w:rsidR="002634CC" w:rsidRPr="003A3A14">
        <w:rPr>
          <w:b/>
        </w:rPr>
        <w:t>maijā</w:t>
      </w:r>
      <w:r w:rsidRPr="003A3A14">
        <w:rPr>
          <w:b/>
        </w:rPr>
        <w:t>”</w:t>
      </w:r>
    </w:p>
    <w:p w14:paraId="390D0AEB" w14:textId="77777777" w:rsidR="00CE0059" w:rsidRPr="003A3A14" w:rsidRDefault="00CE0059" w:rsidP="009347C1">
      <w:pPr>
        <w:spacing w:before="80" w:line="276" w:lineRule="auto"/>
        <w:rPr>
          <w:b/>
        </w:rPr>
      </w:pPr>
    </w:p>
    <w:p w14:paraId="44689F5B" w14:textId="38AFCEE4" w:rsidR="00AF28C2" w:rsidRPr="003A3A14" w:rsidRDefault="00CE0059" w:rsidP="009347C1">
      <w:pPr>
        <w:widowControl w:val="0"/>
        <w:spacing w:before="80" w:after="80" w:line="276" w:lineRule="auto"/>
        <w:ind w:firstLine="720"/>
        <w:jc w:val="both"/>
      </w:pPr>
      <w:r w:rsidRPr="003A3A14">
        <w:t xml:space="preserve">2018. gada </w:t>
      </w:r>
      <w:r w:rsidR="00883EA5" w:rsidRPr="003A3A14">
        <w:t xml:space="preserve">22. maijā Briselē </w:t>
      </w:r>
      <w:r w:rsidRPr="003A3A14">
        <w:t>(B</w:t>
      </w:r>
      <w:r w:rsidR="00883EA5" w:rsidRPr="003A3A14">
        <w:t>eļģijā</w:t>
      </w:r>
      <w:r w:rsidRPr="003A3A14">
        <w:t>) notiks Eiropas Savienības (turpmāk – ES) Ārlietu padomes Kopējās tirdzniecības politikas jautājumos sanāksme. Ministr</w:t>
      </w:r>
      <w:r w:rsidR="008A142D" w:rsidRPr="003A3A14">
        <w:t xml:space="preserve">u sanāksmes laikā tiks </w:t>
      </w:r>
      <w:r w:rsidR="00E339CE">
        <w:t>runāts par</w:t>
      </w:r>
      <w:r w:rsidR="00E339CE" w:rsidRPr="003A3A14">
        <w:t xml:space="preserve"> </w:t>
      </w:r>
      <w:r w:rsidRPr="003A3A14">
        <w:t>Pasaules Tirdzniecības organizācijas (</w:t>
      </w:r>
      <w:r w:rsidRPr="003A3A14">
        <w:rPr>
          <w:lang w:eastAsia="lv-LV"/>
        </w:rPr>
        <w:t>turpmāk</w:t>
      </w:r>
      <w:r w:rsidRPr="003A3A14">
        <w:t xml:space="preserve"> – PTO) </w:t>
      </w:r>
      <w:r w:rsidR="008A142D" w:rsidRPr="003A3A14">
        <w:t>aktualitā</w:t>
      </w:r>
      <w:r w:rsidR="00E339CE">
        <w:t xml:space="preserve">tēm, </w:t>
      </w:r>
      <w:r w:rsidR="008E6111" w:rsidRPr="003A3A14">
        <w:t xml:space="preserve">plānots apstiprināt Padomes secinājumus par </w:t>
      </w:r>
      <w:r w:rsidR="005C799A">
        <w:t>ES</w:t>
      </w:r>
      <w:r w:rsidR="005C799A" w:rsidRPr="003A3A14">
        <w:t xml:space="preserve"> </w:t>
      </w:r>
      <w:r w:rsidR="008E6111" w:rsidRPr="003A3A14">
        <w:t xml:space="preserve">tirdzniecības </w:t>
      </w:r>
      <w:r w:rsidR="000A516A">
        <w:t>no</w:t>
      </w:r>
      <w:r w:rsidR="008E6111" w:rsidRPr="003A3A14">
        <w:t xml:space="preserve">līgumu slēgšanu. Lūkojoties jaunu ES tirdzniecības </w:t>
      </w:r>
      <w:r w:rsidR="000A516A">
        <w:t>no</w:t>
      </w:r>
      <w:r w:rsidR="004A07C5">
        <w:t>līgumu</w:t>
      </w:r>
      <w:r w:rsidR="004A07C5" w:rsidRPr="003A3A14">
        <w:t xml:space="preserve"> </w:t>
      </w:r>
      <w:r w:rsidR="008E6111" w:rsidRPr="003A3A14">
        <w:t>virzienā</w:t>
      </w:r>
      <w:r w:rsidR="00506EFF">
        <w:t>,</w:t>
      </w:r>
      <w:r w:rsidR="008E6111" w:rsidRPr="003A3A14">
        <w:t xml:space="preserve"> </w:t>
      </w:r>
      <w:r w:rsidR="00E339CE">
        <w:t xml:space="preserve">plānots </w:t>
      </w:r>
      <w:r w:rsidR="008E6111" w:rsidRPr="003A3A14">
        <w:t xml:space="preserve">apstiprināt </w:t>
      </w:r>
      <w:r w:rsidR="004A07C5">
        <w:t xml:space="preserve">sarunu </w:t>
      </w:r>
      <w:r w:rsidR="00506EFF">
        <w:t xml:space="preserve">norādes </w:t>
      </w:r>
      <w:r w:rsidR="004A07C5">
        <w:t xml:space="preserve">(mandātus) Eiropas Komisijai (turpmāk – EK) </w:t>
      </w:r>
      <w:r w:rsidR="008E6111" w:rsidRPr="003A3A14">
        <w:t xml:space="preserve">tirdzniecības </w:t>
      </w:r>
      <w:r w:rsidR="00506EFF" w:rsidRPr="003A3A14">
        <w:t>sarun</w:t>
      </w:r>
      <w:r w:rsidR="00506EFF">
        <w:t>ām</w:t>
      </w:r>
      <w:r w:rsidR="00506EFF" w:rsidRPr="003A3A14">
        <w:t xml:space="preserve"> </w:t>
      </w:r>
      <w:r w:rsidR="008E6111" w:rsidRPr="003A3A14">
        <w:t xml:space="preserve">ar Austrāliju un Jaunzēlandi. </w:t>
      </w:r>
      <w:r w:rsidR="005C799A">
        <w:t xml:space="preserve">Paredzēta arī viedokļu apmaiņa par </w:t>
      </w:r>
      <w:r w:rsidR="008E6111" w:rsidRPr="003A3A14">
        <w:t>ES-Japānas Ekonomisk</w:t>
      </w:r>
      <w:r w:rsidR="00C0353F" w:rsidRPr="003A3A14">
        <w:t xml:space="preserve">o </w:t>
      </w:r>
      <w:r w:rsidR="00E339CE">
        <w:t>P</w:t>
      </w:r>
      <w:r w:rsidR="00C0353F" w:rsidRPr="003A3A14">
        <w:t xml:space="preserve">artnerattiecību </w:t>
      </w:r>
      <w:r w:rsidR="000A516A">
        <w:t>no</w:t>
      </w:r>
      <w:r w:rsidR="008E6111" w:rsidRPr="003A3A14">
        <w:t>līgumu</w:t>
      </w:r>
      <w:r w:rsidR="000A516A">
        <w:t xml:space="preserve"> (turpmāk – </w:t>
      </w:r>
      <w:r w:rsidR="0008017D">
        <w:t>EPN</w:t>
      </w:r>
      <w:r w:rsidR="000A516A">
        <w:t>)</w:t>
      </w:r>
      <w:r w:rsidR="008E6111" w:rsidRPr="003A3A14">
        <w:t>,</w:t>
      </w:r>
      <w:r w:rsidR="005C799A">
        <w:t xml:space="preserve"> ES-Singapūras Brīvās tirdzniecības </w:t>
      </w:r>
      <w:r w:rsidR="000A516A">
        <w:t>no</w:t>
      </w:r>
      <w:r w:rsidR="005C799A">
        <w:t>līgumu</w:t>
      </w:r>
      <w:r w:rsidR="0008017D">
        <w:t xml:space="preserve"> (turpmāk – BTN)</w:t>
      </w:r>
      <w:r w:rsidR="005C799A">
        <w:t xml:space="preserve"> un ES-Singapūras Investīciju aizsardzības </w:t>
      </w:r>
      <w:r w:rsidR="000A516A">
        <w:t>no</w:t>
      </w:r>
      <w:r w:rsidR="005C799A">
        <w:t>līgumu</w:t>
      </w:r>
      <w:r w:rsidR="000A516A">
        <w:t xml:space="preserve"> (turpmāk – IAN)</w:t>
      </w:r>
      <w:r w:rsidR="005C799A">
        <w:t>.</w:t>
      </w:r>
      <w:r w:rsidR="008E6111" w:rsidRPr="003A3A14">
        <w:t xml:space="preserve"> </w:t>
      </w:r>
      <w:r w:rsidR="005C799A" w:rsidRPr="003A3A14">
        <w:t>E</w:t>
      </w:r>
      <w:r w:rsidR="000A516A">
        <w:t>K</w:t>
      </w:r>
      <w:r w:rsidR="005C799A" w:rsidRPr="003A3A14">
        <w:t xml:space="preserve"> </w:t>
      </w:r>
      <w:r w:rsidR="00C0353F" w:rsidRPr="003A3A14">
        <w:t xml:space="preserve">informēs par situāciju </w:t>
      </w:r>
      <w:r w:rsidR="00E339CE">
        <w:t xml:space="preserve">aktuālajās ES </w:t>
      </w:r>
      <w:r w:rsidR="008E6111" w:rsidRPr="003A3A14">
        <w:t>tirdzniecības sarun</w:t>
      </w:r>
      <w:r w:rsidR="00C0353F" w:rsidRPr="003A3A14">
        <w:t>ās</w:t>
      </w:r>
      <w:r w:rsidR="00E339CE">
        <w:t>, t.sk.,</w:t>
      </w:r>
      <w:r w:rsidR="008E6111" w:rsidRPr="003A3A14">
        <w:t xml:space="preserve"> ar </w:t>
      </w:r>
      <w:proofErr w:type="spellStart"/>
      <w:r w:rsidR="008E6111" w:rsidRPr="003A3A14">
        <w:rPr>
          <w:i/>
        </w:rPr>
        <w:t>Mercosur</w:t>
      </w:r>
      <w:proofErr w:type="spellEnd"/>
      <w:r w:rsidR="008E6111" w:rsidRPr="003A3A14">
        <w:t xml:space="preserve"> bloka valstīm un Meksiku. </w:t>
      </w:r>
      <w:r w:rsidRPr="003A3A14">
        <w:t>Sanāksmes darba pusdienu formātā plānot</w:t>
      </w:r>
      <w:r w:rsidR="008E6111" w:rsidRPr="003A3A14">
        <w:t>s</w:t>
      </w:r>
      <w:r w:rsidRPr="003A3A14">
        <w:t xml:space="preserve"> disku</w:t>
      </w:r>
      <w:r w:rsidR="008E6111" w:rsidRPr="003A3A14">
        <w:t xml:space="preserve">tēt par aktualitātēm saistībā ar </w:t>
      </w:r>
      <w:r w:rsidR="009347C1">
        <w:t xml:space="preserve">Amerikas Savienoto Valstu (turpmāk – </w:t>
      </w:r>
      <w:r w:rsidR="008E6111" w:rsidRPr="003A3A14">
        <w:t>ASV</w:t>
      </w:r>
      <w:r w:rsidR="009347C1">
        <w:t>)</w:t>
      </w:r>
      <w:r w:rsidR="008E6111" w:rsidRPr="003A3A14">
        <w:t xml:space="preserve"> īstenotajiem tirdzniecības politikas pasākumiem.</w:t>
      </w:r>
    </w:p>
    <w:p w14:paraId="7CB6328F" w14:textId="77777777" w:rsidR="00AF28C2" w:rsidRPr="003A3A14" w:rsidRDefault="00AF28C2" w:rsidP="009347C1">
      <w:pPr>
        <w:widowControl w:val="0"/>
        <w:spacing w:before="80" w:after="80" w:line="276" w:lineRule="auto"/>
        <w:jc w:val="both"/>
      </w:pPr>
    </w:p>
    <w:p w14:paraId="74BE833E" w14:textId="77777777" w:rsidR="00C87A59" w:rsidRPr="003A3A14" w:rsidRDefault="003A3A14" w:rsidP="00DB18FB">
      <w:pPr>
        <w:widowControl w:val="0"/>
        <w:spacing w:before="80" w:line="276" w:lineRule="auto"/>
        <w:jc w:val="both"/>
        <w:rPr>
          <w:b/>
        </w:rPr>
      </w:pPr>
      <w:r>
        <w:rPr>
          <w:b/>
        </w:rPr>
        <w:t>PTO</w:t>
      </w:r>
      <w:r w:rsidR="00C87A59" w:rsidRPr="003A3A14">
        <w:rPr>
          <w:b/>
        </w:rPr>
        <w:t xml:space="preserve"> aktualitātes </w:t>
      </w:r>
    </w:p>
    <w:p w14:paraId="4F2A6713" w14:textId="7FAD0ACC" w:rsidR="00C87A59" w:rsidRPr="003A3A14" w:rsidRDefault="00C87A59" w:rsidP="00DB18FB">
      <w:pPr>
        <w:widowControl w:val="0"/>
        <w:spacing w:after="80" w:line="276" w:lineRule="auto"/>
        <w:ind w:firstLine="720"/>
        <w:jc w:val="both"/>
      </w:pPr>
      <w:r w:rsidRPr="003A3A14">
        <w:t>Paredzēta diskusija par PTO turpmāko darbu un prioritāriem jautājumiem pēc 11. ministru konferences (</w:t>
      </w:r>
      <w:r w:rsidRPr="003A3A14">
        <w:rPr>
          <w:lang w:eastAsia="lv-LV"/>
        </w:rPr>
        <w:t>turpmāk</w:t>
      </w:r>
      <w:r w:rsidRPr="003A3A14">
        <w:t xml:space="preserve"> – MC11). MC11 </w:t>
      </w:r>
      <w:r w:rsidR="009B16F6">
        <w:t xml:space="preserve">tika pieņemts </w:t>
      </w:r>
      <w:r w:rsidRPr="003A3A14">
        <w:t>lēmum</w:t>
      </w:r>
      <w:r w:rsidR="009B16F6">
        <w:t>s</w:t>
      </w:r>
      <w:r w:rsidRPr="003A3A14">
        <w:t xml:space="preserve"> turpināt un 2019. gadā pabeigt sarunas par </w:t>
      </w:r>
      <w:r w:rsidRPr="001A090A">
        <w:t>zivsaimniecības subsīdij</w:t>
      </w:r>
      <w:r w:rsidR="009B16F6" w:rsidRPr="001A090A">
        <w:t>ām</w:t>
      </w:r>
      <w:r w:rsidRPr="001A090A">
        <w:t>,</w:t>
      </w:r>
      <w:r w:rsidRPr="003A3A14">
        <w:t xml:space="preserve"> kas neveicina </w:t>
      </w:r>
      <w:r w:rsidRPr="003A3A14">
        <w:rPr>
          <w:lang w:eastAsia="lv-LV"/>
        </w:rPr>
        <w:t>ilgtspējīgu</w:t>
      </w:r>
      <w:r w:rsidRPr="003A3A14">
        <w:t xml:space="preserve"> zvejas resursu pārvaldību</w:t>
      </w:r>
      <w:r w:rsidR="009B16F6">
        <w:t>.</w:t>
      </w:r>
      <w:r w:rsidRPr="003A3A14">
        <w:t xml:space="preserve"> </w:t>
      </w:r>
      <w:r w:rsidR="009B16F6">
        <w:t>Šobrīd d</w:t>
      </w:r>
      <w:r w:rsidRPr="003A3A14">
        <w:t xml:space="preserve">arba programma paredz ikmēneša tematiskās sesijas, kā arī rudenī varētu atsākties sarunas par teksta priekšlikumu. </w:t>
      </w:r>
      <w:r w:rsidRPr="001A090A">
        <w:t>Lauksaimniecības jautājumos</w:t>
      </w:r>
      <w:r w:rsidRPr="003A3A14">
        <w:rPr>
          <w:i/>
        </w:rPr>
        <w:t xml:space="preserve"> </w:t>
      </w:r>
      <w:r w:rsidRPr="003A3A14">
        <w:t>uzsāktas konsultācijas ar PTO dalībvalstīm</w:t>
      </w:r>
      <w:r w:rsidR="00A935D8">
        <w:t>,</w:t>
      </w:r>
      <w:r w:rsidRPr="003A3A14">
        <w:t xml:space="preserve"> ar mērķi atjaunot sarunas visos trīs pīlāros: tirgus pieeja, iekšējais atbalsts un eksporta konkurence. Līdz vasarai plānota viena Lauksaimniecības komitejas speciālās sesijas sanāksme. </w:t>
      </w:r>
      <w:r w:rsidRPr="001A090A">
        <w:t>Tirdzniecībā un attīstībā</w:t>
      </w:r>
      <w:r w:rsidRPr="003A3A14">
        <w:t xml:space="preserve"> arī turpmāk galvenais izaicinājums ir attīstības un attīstīto valstu vienota izpratne par īpašas un diferenciētas attieksmes principiem – uz nepieciešamību balstītiem pamatotiem izņēmumiem iepretim vispārīgiem izņēmumiem.</w:t>
      </w:r>
    </w:p>
    <w:p w14:paraId="28C123AA" w14:textId="4525BC5D" w:rsidR="00C87A59" w:rsidRPr="003A3A14" w:rsidRDefault="00C87A59" w:rsidP="009347C1">
      <w:pPr>
        <w:widowControl w:val="0"/>
        <w:spacing w:before="80" w:after="80" w:line="276" w:lineRule="auto"/>
        <w:ind w:firstLine="720"/>
        <w:jc w:val="both"/>
      </w:pPr>
      <w:r w:rsidRPr="003A3A14">
        <w:t xml:space="preserve">Ieinteresētās dalībvalstis uzsākušas darbu </w:t>
      </w:r>
      <w:r w:rsidRPr="001A090A">
        <w:t>MC11 kopīgo paziņojumu iniciatīvās</w:t>
      </w:r>
      <w:r w:rsidRPr="003A3A14">
        <w:t xml:space="preserve"> par e</w:t>
      </w:r>
      <w:r w:rsidRPr="003A3A14">
        <w:noBreakHyphen/>
        <w:t xml:space="preserve">komercijas </w:t>
      </w:r>
      <w:r w:rsidRPr="003A3A14">
        <w:rPr>
          <w:lang w:eastAsia="lv-LV"/>
        </w:rPr>
        <w:t>tirdzniecības</w:t>
      </w:r>
      <w:r w:rsidRPr="003A3A14">
        <w:t xml:space="preserve"> aspektiem; darba programmu </w:t>
      </w:r>
      <w:proofErr w:type="spellStart"/>
      <w:r w:rsidRPr="003A3A14">
        <w:t>mikro</w:t>
      </w:r>
      <w:proofErr w:type="spellEnd"/>
      <w:r w:rsidRPr="003A3A14">
        <w:t xml:space="preserve">, maziem un vidējiem komersantiem; iekšzemes regulējumu pakalpojumos, kā arī </w:t>
      </w:r>
      <w:r w:rsidR="00EE4BBE">
        <w:t>ieguldījumu</w:t>
      </w:r>
      <w:r w:rsidRPr="003A3A14">
        <w:t xml:space="preserve"> veicināšanu attīstībai. </w:t>
      </w:r>
      <w:r w:rsidRPr="001A090A">
        <w:rPr>
          <w:i/>
        </w:rPr>
        <w:t xml:space="preserve">E-komercijā </w:t>
      </w:r>
      <w:r w:rsidRPr="00E339CE">
        <w:t>ir</w:t>
      </w:r>
      <w:r w:rsidR="00506EFF">
        <w:t xml:space="preserve"> </w:t>
      </w:r>
      <w:r w:rsidRPr="003A3A14">
        <w:t xml:space="preserve">saņemti vairāki PTO dalībvalstu priekšlikumi par iespējamo sarunu tvērumu. Arī ES drīzumā iesniegs savu redzējumu un priekšlikumus diskusijām. Līdz </w:t>
      </w:r>
      <w:r w:rsidR="00506EFF" w:rsidRPr="003A3A14">
        <w:t>vasara</w:t>
      </w:r>
      <w:r w:rsidR="00506EFF">
        <w:t>i</w:t>
      </w:r>
      <w:r w:rsidR="00506EFF" w:rsidRPr="003A3A14">
        <w:t xml:space="preserve"> </w:t>
      </w:r>
      <w:r w:rsidRPr="003A3A14">
        <w:t>plānotas vēl trīs sanāksmes un tuvākā notiks 24.–25.</w:t>
      </w:r>
      <w:r w:rsidR="004A07C5">
        <w:t xml:space="preserve"> </w:t>
      </w:r>
      <w:r w:rsidRPr="003A3A14">
        <w:t xml:space="preserve">maijā. </w:t>
      </w:r>
      <w:r w:rsidR="00EE4BBE" w:rsidRPr="001A090A">
        <w:rPr>
          <w:i/>
        </w:rPr>
        <w:t>Ieguldījumu</w:t>
      </w:r>
      <w:r w:rsidR="00DD6BB3" w:rsidRPr="001A090A">
        <w:rPr>
          <w:i/>
        </w:rPr>
        <w:t xml:space="preserve"> veicināšanā</w:t>
      </w:r>
      <w:r w:rsidRPr="00E339CE">
        <w:t xml:space="preserve"> </w:t>
      </w:r>
      <w:r w:rsidRPr="003A3A14">
        <w:t xml:space="preserve">attīstībai uzsāktas pirmās diskusijas par saturu, t.sk. par caurspīdīgumu un pārskatāmību </w:t>
      </w:r>
      <w:r w:rsidR="00EE4BBE">
        <w:t>ieguldījumu</w:t>
      </w:r>
      <w:r w:rsidRPr="003A3A14">
        <w:t xml:space="preserve"> pasākumos. Kopīgi ar PTO Sekretariātu tiks izvērtēts, kādos </w:t>
      </w:r>
      <w:r w:rsidR="00EE4BBE">
        <w:t>ieguldījumu</w:t>
      </w:r>
      <w:r w:rsidRPr="003A3A14">
        <w:t xml:space="preserve"> veicināšanas aspektos PTO iesaiste būtu visefektīvākā. Darba programma paredz piecas sanāksmes līdz gada beigām, nākamā sanāksme notiks 23.</w:t>
      </w:r>
      <w:r w:rsidR="004A07C5">
        <w:t xml:space="preserve"> </w:t>
      </w:r>
      <w:r w:rsidRPr="003A3A14">
        <w:t>jūlijā</w:t>
      </w:r>
      <w:r w:rsidRPr="00E339CE">
        <w:t>.</w:t>
      </w:r>
      <w:r w:rsidR="00DD6BB3" w:rsidRPr="00E339CE">
        <w:t xml:space="preserve"> </w:t>
      </w:r>
      <w:r w:rsidRPr="001A090A">
        <w:rPr>
          <w:i/>
        </w:rPr>
        <w:t>Iekšzemes regulējumu pakalpojumos</w:t>
      </w:r>
      <w:r w:rsidRPr="003A3A14">
        <w:t xml:space="preserve"> atsāktas diskusijas par disciplīnu saturu, balstoties uz MC11 virzīto priekšlikumu par licencēšanas prasībām un procedūrām, kvalifikācijas prasībām, kā arī procedūrām un tehniskajiem standartiem, kas ietekmē pakalpojumu tirdzniecību. </w:t>
      </w:r>
      <w:proofErr w:type="spellStart"/>
      <w:r w:rsidRPr="001A090A">
        <w:rPr>
          <w:i/>
        </w:rPr>
        <w:t>Mikro</w:t>
      </w:r>
      <w:proofErr w:type="spellEnd"/>
      <w:r w:rsidRPr="001A090A">
        <w:rPr>
          <w:i/>
        </w:rPr>
        <w:t>, mazo un vidējo komersantu</w:t>
      </w:r>
      <w:r w:rsidRPr="001A090A">
        <w:t xml:space="preserve"> </w:t>
      </w:r>
      <w:r w:rsidRPr="003A3A14">
        <w:t xml:space="preserve">(turpmāk – </w:t>
      </w:r>
      <w:proofErr w:type="spellStart"/>
      <w:r w:rsidRPr="003A3A14">
        <w:t>MSMEs</w:t>
      </w:r>
      <w:proofErr w:type="spellEnd"/>
      <w:r w:rsidRPr="003A3A14">
        <w:t xml:space="preserve">) iesaistei starptautiskajā tirdzniecībā ir notikusi </w:t>
      </w:r>
      <w:r w:rsidRPr="003A3A14">
        <w:rPr>
          <w:bCs/>
        </w:rPr>
        <w:t xml:space="preserve">atvērta tematiskā sesija par informācijas </w:t>
      </w:r>
      <w:r w:rsidRPr="003A3A14">
        <w:rPr>
          <w:bCs/>
        </w:rPr>
        <w:lastRenderedPageBreak/>
        <w:t xml:space="preserve">pieejamības uzlabošanu </w:t>
      </w:r>
      <w:proofErr w:type="spellStart"/>
      <w:r w:rsidRPr="003A3A14">
        <w:rPr>
          <w:bCs/>
        </w:rPr>
        <w:t>MSMEs</w:t>
      </w:r>
      <w:proofErr w:type="spellEnd"/>
      <w:r w:rsidRPr="003A3A14">
        <w:rPr>
          <w:bCs/>
        </w:rPr>
        <w:t xml:space="preserve">. Šī gada darba programma </w:t>
      </w:r>
      <w:r w:rsidRPr="003A3A14">
        <w:t>ietver jautājumus arī par piekļuvi finansējumam, tirdzniecības izmaksu sa</w:t>
      </w:r>
      <w:r w:rsidR="00DD6BB3">
        <w:t>mazināšanu, tehnisko</w:t>
      </w:r>
      <w:r w:rsidRPr="003A3A14">
        <w:t xml:space="preserve"> palīdzību, piekļuvi globāliem tirgiem. Diskusijas turpināsies par tādiem jautājumiem, kā </w:t>
      </w:r>
      <w:r w:rsidR="00ED3765">
        <w:t>valsts</w:t>
      </w:r>
      <w:r w:rsidR="00ED3765" w:rsidRPr="003A3A14">
        <w:t xml:space="preserve"> </w:t>
      </w:r>
      <w:r w:rsidRPr="003A3A14">
        <w:t>iepirkums, iesaiste globālās vērtību ķēdēs, nosacījumi tirdzniecības nolīgumos, digitālā tirdzniecība, lai 2019. gada beigās publicētu pētījumu par iekļaujošu tirdzniecības politiku.</w:t>
      </w:r>
    </w:p>
    <w:p w14:paraId="1481E97B" w14:textId="77777777" w:rsidR="00C87A59" w:rsidRPr="003A3A14" w:rsidRDefault="00C87A59" w:rsidP="009347C1">
      <w:pPr>
        <w:widowControl w:val="0"/>
        <w:spacing w:before="80" w:after="80" w:line="276" w:lineRule="auto"/>
        <w:ind w:firstLine="720"/>
        <w:jc w:val="both"/>
      </w:pPr>
      <w:r w:rsidRPr="001A090A">
        <w:t>ES, ASV un Japānas sadarbības par vienlīdzīgiem tirdzniecības nosacījumiem</w:t>
      </w:r>
      <w:r w:rsidRPr="003A3A14">
        <w:rPr>
          <w:b/>
        </w:rPr>
        <w:t xml:space="preserve"> </w:t>
      </w:r>
      <w:r w:rsidRPr="003A3A14">
        <w:t xml:space="preserve">darbs fokusēts uz subsīdiju un caurskatāmības jautājumu risināšanu PTO ietvaros, īpaši attiecībā </w:t>
      </w:r>
      <w:r w:rsidR="00DD6BB3">
        <w:t xml:space="preserve"> uz </w:t>
      </w:r>
      <w:r w:rsidRPr="003A3A14">
        <w:t xml:space="preserve">ražošanas jaudu pārpalikumu veidošanos. Atsāktas diskusijas </w:t>
      </w:r>
      <w:r w:rsidRPr="001E3264">
        <w:t xml:space="preserve">par </w:t>
      </w:r>
      <w:r w:rsidRPr="001A090A">
        <w:t>PTO regulārā darba pilnveidošanu</w:t>
      </w:r>
      <w:r w:rsidRPr="003A3A14">
        <w:t xml:space="preserve"> balstoties uz ASV priekšlikumu par </w:t>
      </w:r>
      <w:r w:rsidRPr="003A3A14">
        <w:rPr>
          <w:noProof/>
        </w:rPr>
        <w:t xml:space="preserve">PTO līgumos iekļauto notifikāciju prasību labāku ieviešanu, </w:t>
      </w:r>
      <w:r w:rsidRPr="003A3A14">
        <w:t xml:space="preserve">caurskatāmību, </w:t>
      </w:r>
      <w:r w:rsidRPr="003A3A14">
        <w:rPr>
          <w:lang w:eastAsia="lv-LV"/>
        </w:rPr>
        <w:t>efektīvāku</w:t>
      </w:r>
      <w:r w:rsidRPr="003A3A14">
        <w:t xml:space="preserve"> komiteju darba izmantošanu u.c</w:t>
      </w:r>
      <w:r w:rsidRPr="003A3A14">
        <w:rPr>
          <w:noProof/>
        </w:rPr>
        <w:t xml:space="preserve">. </w:t>
      </w:r>
      <w:r w:rsidRPr="001A090A">
        <w:t xml:space="preserve">PTO strīdu noregulēšanas sistēmā </w:t>
      </w:r>
      <w:r w:rsidRPr="003A3A14">
        <w:rPr>
          <w:noProof/>
        </w:rPr>
        <w:t>nepietiekams tiesnešu skaits jau tuvākā gada laikā var apturēt Apelācijas pārskatu izskatīšanu, t</w:t>
      </w:r>
      <w:r w:rsidR="00DD6BB3">
        <w:rPr>
          <w:noProof/>
        </w:rPr>
        <w:t>ādējādi apdraudot PTO Vienošanās</w:t>
      </w:r>
      <w:r w:rsidRPr="003A3A14">
        <w:rPr>
          <w:noProof/>
        </w:rPr>
        <w:t xml:space="preserve"> par strīdu noregulēšanu darbību</w:t>
      </w:r>
      <w:r w:rsidRPr="003A3A14">
        <w:t>. ASV turpina sasaistīt viņuprāt nepieciešamos uzlabojumus PTO Apelācijas institūcijas darbā ar atlases procedūras uzsākšanu institūcijas vakantajiem posteņiem. Citas PTO dalībvalstis būtu</w:t>
      </w:r>
      <w:r w:rsidR="00DD6BB3">
        <w:t xml:space="preserve"> gatavas iesaistīties diskusijā</w:t>
      </w:r>
      <w:r w:rsidRPr="003A3A14">
        <w:t xml:space="preserve"> par Apelācijas institūcijas darba pilnveidošanu, taču kategoriski noraida atlases bloķēšanu. </w:t>
      </w:r>
    </w:p>
    <w:p w14:paraId="56E6DA6A" w14:textId="36ABCB24" w:rsidR="00C87A59" w:rsidRPr="003A3A14" w:rsidRDefault="00C87A59" w:rsidP="009347C1">
      <w:pPr>
        <w:widowControl w:val="0"/>
        <w:spacing w:before="80" w:after="80" w:line="276" w:lineRule="auto"/>
        <w:ind w:firstLine="720"/>
        <w:jc w:val="both"/>
      </w:pPr>
      <w:r w:rsidRPr="001A090A">
        <w:rPr>
          <w:bCs/>
        </w:rPr>
        <w:t>Latvija</w:t>
      </w:r>
      <w:r w:rsidR="001E3264" w:rsidRPr="001A090A">
        <w:rPr>
          <w:bCs/>
        </w:rPr>
        <w:t xml:space="preserve"> uzskata, ka ir svarīgi </w:t>
      </w:r>
      <w:r w:rsidR="001E3264" w:rsidRPr="003A3A14">
        <w:rPr>
          <w:bCs/>
        </w:rPr>
        <w:t>turpin</w:t>
      </w:r>
      <w:r w:rsidR="001E3264">
        <w:rPr>
          <w:bCs/>
        </w:rPr>
        <w:t>āt</w:t>
      </w:r>
      <w:r w:rsidR="001E3264" w:rsidRPr="003A3A14">
        <w:rPr>
          <w:bCs/>
        </w:rPr>
        <w:t xml:space="preserve"> </w:t>
      </w:r>
      <w:r w:rsidR="001E3264">
        <w:rPr>
          <w:bCs/>
        </w:rPr>
        <w:t xml:space="preserve">izrādīt aktivitāti un </w:t>
      </w:r>
      <w:r w:rsidR="001E3264" w:rsidRPr="003A3A14">
        <w:rPr>
          <w:bCs/>
        </w:rPr>
        <w:t>ES</w:t>
      </w:r>
      <w:r w:rsidR="001E3264">
        <w:rPr>
          <w:bCs/>
        </w:rPr>
        <w:t xml:space="preserve"> </w:t>
      </w:r>
      <w:r w:rsidRPr="003A3A14">
        <w:rPr>
          <w:bCs/>
        </w:rPr>
        <w:t xml:space="preserve">ieņemt vadošo lomu PTO, t.sk. aktīvi jāiesaistās ikdienas darbā. PTO jāspēj risināt uzņēmējiem svarīgi un mūsdienu ekonomiskai situācijai aktuāli jautājumi. Nepieciešams </w:t>
      </w:r>
      <w:r w:rsidRPr="003A3A14">
        <w:t xml:space="preserve">turpināt darbu pie </w:t>
      </w:r>
      <w:r w:rsidRPr="003A3A14">
        <w:rPr>
          <w:bCs/>
        </w:rPr>
        <w:t xml:space="preserve">aktuālajām PTO tirdzniecības sarunām </w:t>
      </w:r>
      <w:r w:rsidRPr="003A3A14">
        <w:t xml:space="preserve">zivsaimniecības subsīdijās un lauksaimniecībā. Ieinteresēto PTO dalībvalstu sarunām ir arī jānodrošina atbalsts daudzpusējai tirdzniecības sistēmai. Šādu sarunu rezultātam jābūt daudzpusējam – vienošanās jāievēro vislielākās labvēlības režīms, vienlīdzīgi attiecinot tos uz visām PTO dalībvalstīm. Latvija atbalsta diskusiju formāta atvērtību un plašu PTO dalībvalstu iesaisti. Latvija atbalsta darba turpināšanu e-komercijā, </w:t>
      </w:r>
      <w:proofErr w:type="spellStart"/>
      <w:r w:rsidRPr="003A3A14">
        <w:t>MSMEs</w:t>
      </w:r>
      <w:proofErr w:type="spellEnd"/>
      <w:r w:rsidRPr="003A3A14">
        <w:t xml:space="preserve"> jautājumos, pakalpojumu iekšzemes regulējumā un </w:t>
      </w:r>
      <w:r w:rsidR="00EE4BBE">
        <w:t>ieguldījumu</w:t>
      </w:r>
      <w:r w:rsidRPr="003A3A14">
        <w:t xml:space="preserve"> veicināšanā. Latvijas interesēs ir veicināt dialogu par mazo un vidējo komersantu iesaisti starptautiskajā tirdzniecībā. E</w:t>
      </w:r>
      <w:r w:rsidRPr="003A3A14">
        <w:noBreakHyphen/>
        <w:t>komercijas jautājumos būtiska aktīva ES iesaiste, lai diskusijā ienestu ES un Latvijai būtiskus jautājumus</w:t>
      </w:r>
      <w:r w:rsidR="003F1F64">
        <w:t xml:space="preserve"> (piem., </w:t>
      </w:r>
      <w:r w:rsidR="007C0408" w:rsidRPr="007C0408">
        <w:t>cīņa ar surogātpastu, patērētāju aizsardzība Internetā, elektronisko līgumu un</w:t>
      </w:r>
      <w:r w:rsidR="007C0408">
        <w:t xml:space="preserve"> elektronisko parakstu atzīšana</w:t>
      </w:r>
      <w:r w:rsidR="003F1F64">
        <w:t>)</w:t>
      </w:r>
      <w:r w:rsidRPr="003A3A14">
        <w:rPr>
          <w:bCs/>
        </w:rPr>
        <w:t>.</w:t>
      </w:r>
      <w:r w:rsidRPr="003A3A14">
        <w:t xml:space="preserve"> Būtu nepieciešama </w:t>
      </w:r>
      <w:r w:rsidR="00FD0D1A">
        <w:t>padziļināta</w:t>
      </w:r>
      <w:r w:rsidR="00FD0D1A" w:rsidRPr="003A3A14">
        <w:t xml:space="preserve"> </w:t>
      </w:r>
      <w:r w:rsidR="003A3A14">
        <w:t>EK</w:t>
      </w:r>
      <w:r w:rsidRPr="003A3A14">
        <w:t xml:space="preserve"> analīze par citu PTO dalībvalstu priekšlikumiem un turpmākajām ES prioritātēm. Latvija uzskata</w:t>
      </w:r>
      <w:r w:rsidR="00DD6BB3">
        <w:t>,</w:t>
      </w:r>
      <w:r w:rsidRPr="003A3A14">
        <w:t xml:space="preserve"> ka savlaicīga un pilnīga PTO līgumos ietverto dalībvalstu pienākumu izpilde ir īpaši svarīga organizācijas sekmīgai funkcionēšanai</w:t>
      </w:r>
      <w:r w:rsidR="00DD6BB3">
        <w:t>,</w:t>
      </w:r>
      <w:r w:rsidRPr="003A3A14">
        <w:t xml:space="preserve"> un atbalsta iniciatīvas, kas pilnveido PTO regulāro darbu. Attiecībā uz situāciju PTO Apelācijas institūcijā, Latvija piekrīt nepieciešamībai diskutēt par Vienošanās par strīdu noregulēšanu procedurāliem jautājumiem, taču diskusija nedrīkst būt sasaistīta ar Apelācijas institūcijas tiesnešu vakanču aizpildi.</w:t>
      </w:r>
    </w:p>
    <w:p w14:paraId="0B577EF8" w14:textId="254A400C" w:rsidR="00532B7F" w:rsidRDefault="00C87A59" w:rsidP="000F108E">
      <w:pPr>
        <w:widowControl w:val="0"/>
        <w:spacing w:before="80" w:after="80" w:line="276" w:lineRule="auto"/>
        <w:ind w:firstLine="720"/>
        <w:jc w:val="both"/>
        <w:rPr>
          <w:bCs/>
        </w:rPr>
      </w:pPr>
      <w:r w:rsidRPr="003A3A14">
        <w:t xml:space="preserve">Latvijas prioritātes ES kopējās tirdzniecības politikas jautājumos formulētas Ministru kabineta 2015. gada 17. novembrī apstiprinātajā nacionālajā pozīcijā “Par Eiropas Komisijas paziņojumu Eiropas Parlamentam, Padomei, Ekonomiskajai un Sociālajai komitejai </w:t>
      </w:r>
      <w:r w:rsidRPr="003A3A14">
        <w:rPr>
          <w:rStyle w:val="apple-style-span"/>
        </w:rPr>
        <w:t xml:space="preserve">un Reģionu komitejai “Tirdzniecība visiem. Ceļā uz atbildīgāku tirdzniecības un ieguldījumu politiku””. </w:t>
      </w:r>
      <w:r w:rsidRPr="003A3A14">
        <w:rPr>
          <w:rStyle w:val="apple-style-span"/>
          <w:rFonts w:eastAsia="Calibri"/>
        </w:rPr>
        <w:t xml:space="preserve">Spēkā ir arī </w:t>
      </w:r>
      <w:r w:rsidRPr="003A3A14">
        <w:t xml:space="preserve">2017. gada 3. maija nacionālā pozīcija “Par gatavošanos Pasaules Tirdzniecības organizācijas 11. Ministru konferencei”, kā arī </w:t>
      </w:r>
      <w:r w:rsidRPr="003A3A14">
        <w:rPr>
          <w:bCs/>
        </w:rPr>
        <w:t>2017. gada 12. decembra nacionālā pozīcija “Par Pasaules Tirdzniecības organizācijas 11. Ministru konferenci un turpmākajām daudzpusējām tirdzniecības sarunām”.</w:t>
      </w:r>
    </w:p>
    <w:p w14:paraId="2C87E201" w14:textId="77777777" w:rsidR="00DB18FB" w:rsidRPr="000F108E" w:rsidRDefault="00DB18FB" w:rsidP="000F108E">
      <w:pPr>
        <w:widowControl w:val="0"/>
        <w:spacing w:before="80" w:after="80" w:line="276" w:lineRule="auto"/>
        <w:ind w:firstLine="720"/>
        <w:jc w:val="both"/>
        <w:rPr>
          <w:bCs/>
        </w:rPr>
      </w:pPr>
    </w:p>
    <w:p w14:paraId="36AEABAA" w14:textId="77777777" w:rsidR="008E6111" w:rsidRPr="003A3A14" w:rsidRDefault="008E6111" w:rsidP="00DB18FB">
      <w:pPr>
        <w:widowControl w:val="0"/>
        <w:spacing w:before="80" w:line="276" w:lineRule="auto"/>
        <w:jc w:val="both"/>
        <w:rPr>
          <w:b/>
          <w:highlight w:val="yellow"/>
        </w:rPr>
      </w:pPr>
      <w:r w:rsidRPr="003A3A14">
        <w:rPr>
          <w:b/>
        </w:rPr>
        <w:lastRenderedPageBreak/>
        <w:t>Padomes secin</w:t>
      </w:r>
      <w:r w:rsidR="00CF53D6" w:rsidRPr="003A3A14">
        <w:rPr>
          <w:b/>
        </w:rPr>
        <w:t>ājumi</w:t>
      </w:r>
      <w:r w:rsidRPr="003A3A14">
        <w:rPr>
          <w:b/>
        </w:rPr>
        <w:t xml:space="preserve"> par tirdzniecības līgumu slēgšanu</w:t>
      </w:r>
    </w:p>
    <w:p w14:paraId="1D5870B3" w14:textId="3BA196C1" w:rsidR="00B86A2D" w:rsidRPr="0035776C" w:rsidRDefault="00B86A2D" w:rsidP="000F108E">
      <w:pPr>
        <w:widowControl w:val="0"/>
        <w:spacing w:before="80" w:after="80" w:line="276" w:lineRule="auto"/>
        <w:ind w:firstLine="720"/>
        <w:jc w:val="both"/>
        <w:rPr>
          <w:rFonts w:eastAsia="Calibri"/>
          <w:iCs/>
        </w:rPr>
      </w:pPr>
      <w:r>
        <w:rPr>
          <w:rFonts w:ascii="TimesNewRomanPS-BoldMT" w:hAnsi="TimesNewRomanPS-BoldMT"/>
        </w:rPr>
        <w:t xml:space="preserve">Ministru sanāksmes ietvaros </w:t>
      </w:r>
      <w:r w:rsidRPr="000F108E">
        <w:t>plānots</w:t>
      </w:r>
      <w:r>
        <w:rPr>
          <w:rFonts w:ascii="TimesNewRomanPS-BoldMT" w:hAnsi="TimesNewRomanPS-BoldMT"/>
        </w:rPr>
        <w:t xml:space="preserve"> apstiprināt Padomes secinājumus </w:t>
      </w:r>
      <w:r w:rsidRPr="00C155AF">
        <w:rPr>
          <w:i/>
        </w:rPr>
        <w:t xml:space="preserve">Par ES tirdzniecības sarunu vešanu un </w:t>
      </w:r>
      <w:r w:rsidR="004A07C5">
        <w:rPr>
          <w:i/>
        </w:rPr>
        <w:t>tirdzniecības līgumu</w:t>
      </w:r>
      <w:r w:rsidR="004A07C5" w:rsidRPr="00C155AF">
        <w:rPr>
          <w:i/>
        </w:rPr>
        <w:t xml:space="preserve"> </w:t>
      </w:r>
      <w:r w:rsidRPr="00C155AF">
        <w:rPr>
          <w:i/>
        </w:rPr>
        <w:t>noslēgšanu</w:t>
      </w:r>
      <w:r>
        <w:rPr>
          <w:i/>
        </w:rPr>
        <w:t xml:space="preserve">. </w:t>
      </w:r>
      <w:r w:rsidRPr="00B6744F">
        <w:t>Tajos</w:t>
      </w:r>
      <w:r>
        <w:t xml:space="preserve"> apskatītie jautājumi cieši saistīti ar Eiropas Savienības </w:t>
      </w:r>
      <w:r w:rsidR="00714183">
        <w:t>T</w:t>
      </w:r>
      <w:r>
        <w:t xml:space="preserve">iesas (turpmāk – EST) </w:t>
      </w:r>
      <w:r>
        <w:rPr>
          <w:rFonts w:eastAsia="Calibri"/>
          <w:iCs/>
        </w:rPr>
        <w:t xml:space="preserve">2017. gada 16. maijā pieņemto lēmumu ES-Singapūras </w:t>
      </w:r>
      <w:r w:rsidR="0008017D">
        <w:rPr>
          <w:rFonts w:eastAsia="Calibri"/>
          <w:iCs/>
        </w:rPr>
        <w:t>BTN</w:t>
      </w:r>
      <w:r>
        <w:rPr>
          <w:rFonts w:eastAsia="Calibri"/>
          <w:iCs/>
        </w:rPr>
        <w:t xml:space="preserve"> lietā un tai sekojošo diskusiju par turpmāko pieeju ES </w:t>
      </w:r>
      <w:r w:rsidR="0008017D">
        <w:rPr>
          <w:rFonts w:eastAsia="Calibri"/>
          <w:iCs/>
        </w:rPr>
        <w:t>brīvās tirdzniecības nolīgumu</w:t>
      </w:r>
      <w:r>
        <w:rPr>
          <w:rFonts w:eastAsia="Calibri"/>
          <w:iCs/>
        </w:rPr>
        <w:t xml:space="preserve"> un investīciju aizsardzības līgumu slēgšanā. Minētajā lietā EST </w:t>
      </w:r>
      <w:r w:rsidRPr="0035776C">
        <w:rPr>
          <w:rFonts w:eastAsia="Calibri"/>
          <w:iCs/>
        </w:rPr>
        <w:t>secin</w:t>
      </w:r>
      <w:r>
        <w:rPr>
          <w:rFonts w:eastAsia="Calibri"/>
          <w:iCs/>
        </w:rPr>
        <w:t>āja</w:t>
      </w:r>
      <w:r w:rsidRPr="0035776C">
        <w:rPr>
          <w:rFonts w:eastAsia="Calibri"/>
          <w:iCs/>
        </w:rPr>
        <w:t>, ka BT</w:t>
      </w:r>
      <w:r w:rsidR="0008017D">
        <w:rPr>
          <w:rFonts w:eastAsia="Calibri"/>
          <w:iCs/>
        </w:rPr>
        <w:t>N</w:t>
      </w:r>
      <w:r w:rsidRPr="0035776C">
        <w:rPr>
          <w:rFonts w:eastAsia="Calibri"/>
          <w:iCs/>
        </w:rPr>
        <w:t xml:space="preserve"> ar Singapūru tā </w:t>
      </w:r>
      <w:r>
        <w:rPr>
          <w:rFonts w:eastAsia="Calibri"/>
          <w:iCs/>
        </w:rPr>
        <w:t>toreizējā</w:t>
      </w:r>
      <w:r w:rsidRPr="0035776C">
        <w:rPr>
          <w:rFonts w:eastAsia="Calibri"/>
          <w:iCs/>
        </w:rPr>
        <w:t xml:space="preserve"> formā ES nevar noslēgt viena pati,</w:t>
      </w:r>
      <w:r>
        <w:rPr>
          <w:rFonts w:eastAsia="Calibri"/>
          <w:iCs/>
        </w:rPr>
        <w:t xml:space="preserve"> jo: 1) </w:t>
      </w:r>
      <w:r w:rsidRPr="0035776C">
        <w:rPr>
          <w:rFonts w:eastAsia="Calibri"/>
          <w:iCs/>
        </w:rPr>
        <w:t>ES–Singapūras BT</w:t>
      </w:r>
      <w:r w:rsidR="0008017D">
        <w:rPr>
          <w:rFonts w:eastAsia="Calibri"/>
          <w:iCs/>
        </w:rPr>
        <w:t>N</w:t>
      </w:r>
      <w:r w:rsidRPr="0035776C">
        <w:rPr>
          <w:rFonts w:eastAsia="Calibri"/>
          <w:iCs/>
        </w:rPr>
        <w:t xml:space="preserve"> ir dalītās </w:t>
      </w:r>
      <w:r w:rsidRPr="000F108E">
        <w:t>kompetences</w:t>
      </w:r>
      <w:r w:rsidRPr="0035776C">
        <w:rPr>
          <w:rFonts w:eastAsia="Calibri"/>
          <w:iCs/>
        </w:rPr>
        <w:t xml:space="preserve"> līgums</w:t>
      </w:r>
      <w:r>
        <w:rPr>
          <w:rFonts w:eastAsia="Calibri"/>
          <w:iCs/>
        </w:rPr>
        <w:t xml:space="preserve">, neraugoties uz to, ka </w:t>
      </w:r>
      <w:r w:rsidRPr="0035776C">
        <w:rPr>
          <w:rFonts w:eastAsia="Calibri"/>
          <w:iCs/>
        </w:rPr>
        <w:t xml:space="preserve">vairākums noteikumu, t.sk. ilgtspējīga attīstība, </w:t>
      </w:r>
      <w:r w:rsidRPr="0035776C">
        <w:rPr>
          <w:rFonts w:eastAsia="Calibri"/>
          <w:lang w:eastAsia="fr-BE"/>
        </w:rPr>
        <w:t>transporta pakalpojumi,</w:t>
      </w:r>
      <w:r w:rsidRPr="0035776C">
        <w:rPr>
          <w:rFonts w:eastAsia="Calibri"/>
          <w:iCs/>
        </w:rPr>
        <w:t xml:space="preserve"> vides aizsardzība, darba tiesības, </w:t>
      </w:r>
      <w:r w:rsidRPr="0035776C">
        <w:rPr>
          <w:rFonts w:eastAsia="Calibri"/>
          <w:lang w:eastAsia="fr-BE"/>
        </w:rPr>
        <w:t xml:space="preserve">sociālie jautājumi, </w:t>
      </w:r>
      <w:r w:rsidRPr="0035776C">
        <w:rPr>
          <w:rFonts w:eastAsia="Calibri"/>
          <w:iCs/>
        </w:rPr>
        <w:t xml:space="preserve">investīciju aizsardzība (standarta noteikumi attiecībā uz </w:t>
      </w:r>
      <w:proofErr w:type="spellStart"/>
      <w:r w:rsidRPr="0035776C">
        <w:rPr>
          <w:rFonts w:eastAsia="Calibri"/>
          <w:i/>
        </w:rPr>
        <w:t>national</w:t>
      </w:r>
      <w:proofErr w:type="spellEnd"/>
      <w:r w:rsidRPr="0035776C">
        <w:rPr>
          <w:rFonts w:eastAsia="Calibri"/>
          <w:i/>
        </w:rPr>
        <w:t xml:space="preserve"> </w:t>
      </w:r>
      <w:proofErr w:type="spellStart"/>
      <w:r w:rsidRPr="0035776C">
        <w:rPr>
          <w:rFonts w:eastAsia="Calibri"/>
          <w:i/>
        </w:rPr>
        <w:t>treatment</w:t>
      </w:r>
      <w:proofErr w:type="spellEnd"/>
      <w:r w:rsidRPr="0035776C">
        <w:rPr>
          <w:rFonts w:eastAsia="Calibri"/>
          <w:i/>
        </w:rPr>
        <w:t xml:space="preserve">, </w:t>
      </w:r>
      <w:proofErr w:type="spellStart"/>
      <w:r w:rsidRPr="0035776C">
        <w:rPr>
          <w:rFonts w:eastAsia="Calibri"/>
          <w:i/>
        </w:rPr>
        <w:t>most</w:t>
      </w:r>
      <w:proofErr w:type="spellEnd"/>
      <w:r w:rsidRPr="0035776C">
        <w:rPr>
          <w:rFonts w:eastAsia="Calibri"/>
          <w:i/>
        </w:rPr>
        <w:t xml:space="preserve"> </w:t>
      </w:r>
      <w:proofErr w:type="spellStart"/>
      <w:r w:rsidRPr="0035776C">
        <w:rPr>
          <w:rFonts w:eastAsia="Calibri"/>
          <w:i/>
        </w:rPr>
        <w:t>favoured</w:t>
      </w:r>
      <w:proofErr w:type="spellEnd"/>
      <w:r w:rsidRPr="0035776C">
        <w:rPr>
          <w:rFonts w:eastAsia="Calibri"/>
          <w:i/>
        </w:rPr>
        <w:t xml:space="preserve"> </w:t>
      </w:r>
      <w:proofErr w:type="spellStart"/>
      <w:r w:rsidRPr="0035776C">
        <w:rPr>
          <w:rFonts w:eastAsia="Calibri"/>
          <w:i/>
        </w:rPr>
        <w:t>nation</w:t>
      </w:r>
      <w:proofErr w:type="spellEnd"/>
      <w:r w:rsidRPr="0035776C">
        <w:rPr>
          <w:rFonts w:eastAsia="Calibri"/>
          <w:i/>
        </w:rPr>
        <w:t xml:space="preserve"> </w:t>
      </w:r>
      <w:proofErr w:type="spellStart"/>
      <w:r w:rsidRPr="0035776C">
        <w:rPr>
          <w:rFonts w:eastAsia="Calibri"/>
          <w:i/>
        </w:rPr>
        <w:t>treatment</w:t>
      </w:r>
      <w:proofErr w:type="spellEnd"/>
      <w:r w:rsidRPr="0035776C">
        <w:rPr>
          <w:rFonts w:eastAsia="Calibri"/>
          <w:i/>
        </w:rPr>
        <w:t xml:space="preserve"> – MFN, </w:t>
      </w:r>
      <w:proofErr w:type="spellStart"/>
      <w:r w:rsidRPr="0035776C">
        <w:rPr>
          <w:rFonts w:eastAsia="Calibri"/>
          <w:i/>
        </w:rPr>
        <w:t>fair</w:t>
      </w:r>
      <w:proofErr w:type="spellEnd"/>
      <w:r w:rsidRPr="0035776C">
        <w:rPr>
          <w:rFonts w:eastAsia="Calibri"/>
          <w:i/>
        </w:rPr>
        <w:t xml:space="preserve"> </w:t>
      </w:r>
      <w:proofErr w:type="spellStart"/>
      <w:r w:rsidRPr="0035776C">
        <w:rPr>
          <w:rFonts w:eastAsia="Calibri"/>
          <w:i/>
        </w:rPr>
        <w:t>and</w:t>
      </w:r>
      <w:proofErr w:type="spellEnd"/>
      <w:r w:rsidRPr="0035776C">
        <w:rPr>
          <w:rFonts w:eastAsia="Calibri"/>
          <w:i/>
        </w:rPr>
        <w:t xml:space="preserve"> </w:t>
      </w:r>
      <w:proofErr w:type="spellStart"/>
      <w:r w:rsidRPr="0035776C">
        <w:rPr>
          <w:rFonts w:eastAsia="Calibri"/>
          <w:i/>
        </w:rPr>
        <w:t>equitable</w:t>
      </w:r>
      <w:proofErr w:type="spellEnd"/>
      <w:r w:rsidRPr="0035776C">
        <w:rPr>
          <w:rFonts w:eastAsia="Calibri"/>
          <w:i/>
        </w:rPr>
        <w:t xml:space="preserve"> </w:t>
      </w:r>
      <w:proofErr w:type="spellStart"/>
      <w:r w:rsidRPr="0035776C">
        <w:rPr>
          <w:rFonts w:eastAsia="Calibri"/>
          <w:i/>
        </w:rPr>
        <w:t>treatment</w:t>
      </w:r>
      <w:proofErr w:type="spellEnd"/>
      <w:r w:rsidRPr="0035776C">
        <w:rPr>
          <w:rFonts w:eastAsia="Calibri"/>
          <w:i/>
        </w:rPr>
        <w:t xml:space="preserve"> – FET</w:t>
      </w:r>
      <w:r w:rsidRPr="0035776C">
        <w:rPr>
          <w:rFonts w:eastAsia="Calibri"/>
        </w:rPr>
        <w:t>)</w:t>
      </w:r>
      <w:r w:rsidRPr="0035776C">
        <w:rPr>
          <w:rFonts w:eastAsia="Calibri"/>
          <w:iCs/>
        </w:rPr>
        <w:t xml:space="preserve"> ietilpst</w:t>
      </w:r>
      <w:r w:rsidRPr="0035776C">
        <w:rPr>
          <w:rFonts w:eastAsia="Calibri"/>
          <w:b/>
          <w:iCs/>
        </w:rPr>
        <w:t xml:space="preserve"> </w:t>
      </w:r>
      <w:r w:rsidRPr="009247F9">
        <w:rPr>
          <w:rFonts w:eastAsia="Calibri"/>
          <w:iCs/>
        </w:rPr>
        <w:t xml:space="preserve">ekskluzīvā ES kompetencē, </w:t>
      </w:r>
      <w:r w:rsidRPr="0035776C">
        <w:rPr>
          <w:rFonts w:eastAsia="Calibri"/>
          <w:iCs/>
        </w:rPr>
        <w:t xml:space="preserve">jo ir tieši saistītie ar tirdzniecību </w:t>
      </w:r>
      <w:r>
        <w:rPr>
          <w:rFonts w:eastAsia="Calibri"/>
          <w:iCs/>
        </w:rPr>
        <w:t xml:space="preserve">(kopējo tirdzniecības politiku); 2) </w:t>
      </w:r>
      <w:r w:rsidRPr="0035776C">
        <w:rPr>
          <w:rFonts w:eastAsia="Calibri"/>
          <w:iCs/>
        </w:rPr>
        <w:t>netiešās investīcijas (portfeļinvestīcijas), ISDS (</w:t>
      </w:r>
      <w:r w:rsidRPr="0035776C">
        <w:rPr>
          <w:rFonts w:eastAsia="Calibri"/>
          <w:i/>
          <w:iCs/>
        </w:rPr>
        <w:t>investor-to-</w:t>
      </w:r>
      <w:proofErr w:type="spellStart"/>
      <w:r w:rsidRPr="0035776C">
        <w:rPr>
          <w:rFonts w:eastAsia="Calibri"/>
          <w:i/>
          <w:iCs/>
        </w:rPr>
        <w:t>state</w:t>
      </w:r>
      <w:proofErr w:type="spellEnd"/>
      <w:r w:rsidRPr="0035776C">
        <w:rPr>
          <w:rFonts w:eastAsia="Calibri"/>
          <w:i/>
          <w:iCs/>
        </w:rPr>
        <w:t xml:space="preserve"> </w:t>
      </w:r>
      <w:proofErr w:type="spellStart"/>
      <w:r w:rsidRPr="0035776C">
        <w:rPr>
          <w:rFonts w:eastAsia="Calibri"/>
          <w:i/>
          <w:iCs/>
        </w:rPr>
        <w:t>dispute</w:t>
      </w:r>
      <w:proofErr w:type="spellEnd"/>
      <w:r w:rsidRPr="0035776C">
        <w:rPr>
          <w:rFonts w:eastAsia="Calibri"/>
          <w:i/>
          <w:iCs/>
        </w:rPr>
        <w:t xml:space="preserve"> </w:t>
      </w:r>
      <w:proofErr w:type="spellStart"/>
      <w:r w:rsidRPr="0035776C">
        <w:rPr>
          <w:rFonts w:eastAsia="Calibri"/>
          <w:i/>
          <w:iCs/>
        </w:rPr>
        <w:t>settlement</w:t>
      </w:r>
      <w:proofErr w:type="spellEnd"/>
      <w:r w:rsidRPr="0035776C">
        <w:rPr>
          <w:rFonts w:eastAsia="Calibri"/>
          <w:iCs/>
        </w:rPr>
        <w:t>)</w:t>
      </w:r>
      <w:r w:rsidRPr="0035776C">
        <w:rPr>
          <w:rFonts w:eastAsia="Calibri"/>
          <w:iCs/>
          <w:vertAlign w:val="superscript"/>
        </w:rPr>
        <w:footnoteReference w:id="1"/>
      </w:r>
      <w:r w:rsidRPr="0035776C">
        <w:rPr>
          <w:rFonts w:eastAsia="Calibri"/>
          <w:iCs/>
        </w:rPr>
        <w:t xml:space="preserve">, </w:t>
      </w:r>
      <w:proofErr w:type="spellStart"/>
      <w:r w:rsidRPr="0035776C">
        <w:rPr>
          <w:rFonts w:eastAsia="Calibri"/>
          <w:iCs/>
        </w:rPr>
        <w:t>transparence</w:t>
      </w:r>
      <w:proofErr w:type="spellEnd"/>
      <w:r w:rsidRPr="0035776C">
        <w:rPr>
          <w:rFonts w:eastAsia="Calibri"/>
          <w:iCs/>
        </w:rPr>
        <w:t xml:space="preserve"> u.c. noteikumi attiecībā uz ISDS, t.i., atsauce uz UNCITRAL, ietilpst </w:t>
      </w:r>
      <w:r w:rsidRPr="009247F9">
        <w:rPr>
          <w:rFonts w:eastAsia="Calibri"/>
          <w:iCs/>
        </w:rPr>
        <w:t>dalītajā kompetencē</w:t>
      </w:r>
      <w:r w:rsidRPr="0035776C">
        <w:rPr>
          <w:rFonts w:eastAsia="Calibri"/>
          <w:iCs/>
        </w:rPr>
        <w:t>.</w:t>
      </w:r>
    </w:p>
    <w:p w14:paraId="3FD272BF" w14:textId="6F6A953B" w:rsidR="00B86A2D" w:rsidRPr="00EB547A" w:rsidRDefault="00B86A2D" w:rsidP="000F108E">
      <w:pPr>
        <w:widowControl w:val="0"/>
        <w:spacing w:before="80" w:after="80" w:line="276" w:lineRule="auto"/>
        <w:ind w:firstLine="720"/>
        <w:jc w:val="both"/>
      </w:pPr>
      <w:r w:rsidRPr="0035776C">
        <w:rPr>
          <w:rFonts w:eastAsia="Calibri"/>
          <w:iCs/>
        </w:rPr>
        <w:t xml:space="preserve">Ņemot vērā minēto EST spriedumu, </w:t>
      </w:r>
      <w:r>
        <w:rPr>
          <w:rFonts w:eastAsia="Calibri"/>
          <w:iCs/>
        </w:rPr>
        <w:t xml:space="preserve">kā arī </w:t>
      </w:r>
      <w:r w:rsidRPr="0035776C">
        <w:rPr>
          <w:rFonts w:eastAsia="Calibri"/>
          <w:iCs/>
        </w:rPr>
        <w:t xml:space="preserve">nolūkā padarīt ES tirdzniecības politikas pasākumu realizāciju ātrāku un efektīvāku, </w:t>
      </w:r>
      <w:r w:rsidR="004A07C5">
        <w:rPr>
          <w:rFonts w:eastAsia="Calibri"/>
          <w:iCs/>
        </w:rPr>
        <w:t>EK</w:t>
      </w:r>
      <w:r w:rsidRPr="0035776C">
        <w:rPr>
          <w:rFonts w:eastAsia="Calibri"/>
          <w:iCs/>
        </w:rPr>
        <w:t xml:space="preserve"> ir </w:t>
      </w:r>
      <w:r>
        <w:t>no</w:t>
      </w:r>
      <w:r w:rsidRPr="00C155AF">
        <w:t>definē</w:t>
      </w:r>
      <w:r>
        <w:t>jusi</w:t>
      </w:r>
      <w:r w:rsidRPr="00C155AF">
        <w:t xml:space="preserve"> turpmāko pieeju ES BT</w:t>
      </w:r>
      <w:r w:rsidR="0008017D">
        <w:t>N</w:t>
      </w:r>
      <w:r w:rsidRPr="00C155AF">
        <w:t xml:space="preserve"> sarunām un līgumu slēgšanai. Saskaņā ar to turpmāk tiktu slēgti</w:t>
      </w:r>
      <w:r>
        <w:t>:</w:t>
      </w:r>
      <w:r w:rsidRPr="0035776C">
        <w:rPr>
          <w:rFonts w:eastAsia="Calibri"/>
          <w:iCs/>
        </w:rPr>
        <w:t xml:space="preserve"> </w:t>
      </w:r>
      <w:r>
        <w:rPr>
          <w:rFonts w:eastAsia="Calibri"/>
          <w:iCs/>
        </w:rPr>
        <w:t xml:space="preserve">1) </w:t>
      </w:r>
      <w:r w:rsidRPr="0035776C">
        <w:rPr>
          <w:rFonts w:eastAsia="Calibri"/>
          <w:iCs/>
        </w:rPr>
        <w:t xml:space="preserve">atsevišķi </w:t>
      </w:r>
      <w:r w:rsidRPr="0035776C">
        <w:rPr>
          <w:rFonts w:eastAsia="Calibri"/>
          <w:i/>
          <w:iCs/>
        </w:rPr>
        <w:t>ES tirdzniecības līgumi</w:t>
      </w:r>
      <w:r w:rsidRPr="0035776C">
        <w:rPr>
          <w:rFonts w:eastAsia="Calibri"/>
          <w:iCs/>
        </w:rPr>
        <w:t xml:space="preserve"> (tirdzniecības un investīciju liberalizācija (ES-Korejas BT</w:t>
      </w:r>
      <w:r w:rsidR="0008017D">
        <w:rPr>
          <w:rFonts w:eastAsia="Calibri"/>
          <w:iCs/>
        </w:rPr>
        <w:t>N</w:t>
      </w:r>
      <w:r w:rsidRPr="0035776C">
        <w:rPr>
          <w:rFonts w:eastAsia="Calibri"/>
          <w:iCs/>
        </w:rPr>
        <w:t xml:space="preserve"> piemērs), </w:t>
      </w:r>
      <w:r>
        <w:rPr>
          <w:rFonts w:eastAsia="Calibri"/>
          <w:iCs/>
        </w:rPr>
        <w:t>aptverot</w:t>
      </w:r>
      <w:r w:rsidRPr="0035776C">
        <w:rPr>
          <w:rFonts w:eastAsia="Calibri"/>
          <w:iCs/>
        </w:rPr>
        <w:t xml:space="preserve"> tikai “ekskluzīvās kompetences” jautājum</w:t>
      </w:r>
      <w:r>
        <w:rPr>
          <w:rFonts w:eastAsia="Calibri"/>
          <w:iCs/>
        </w:rPr>
        <w:t>us</w:t>
      </w:r>
      <w:r w:rsidRPr="0035776C">
        <w:rPr>
          <w:rFonts w:eastAsia="Calibri"/>
          <w:iCs/>
        </w:rPr>
        <w:t>;</w:t>
      </w:r>
      <w:r>
        <w:rPr>
          <w:rFonts w:eastAsia="Calibri"/>
          <w:iCs/>
        </w:rPr>
        <w:t xml:space="preserve"> 2) atsevišķi </w:t>
      </w:r>
      <w:r>
        <w:rPr>
          <w:rFonts w:eastAsia="Calibri"/>
          <w:i/>
          <w:iCs/>
        </w:rPr>
        <w:t>dalītās</w:t>
      </w:r>
      <w:r w:rsidRPr="0035776C">
        <w:rPr>
          <w:rFonts w:eastAsia="Calibri"/>
          <w:i/>
          <w:iCs/>
        </w:rPr>
        <w:t xml:space="preserve"> kompetences divpusējie investīciju līgumi</w:t>
      </w:r>
      <w:r w:rsidRPr="0035776C">
        <w:rPr>
          <w:rFonts w:eastAsia="Calibri"/>
          <w:iCs/>
        </w:rPr>
        <w:t xml:space="preserve"> (ārvalstu netiešās investīcijas (portfeļinvestīcijas), investīciju aizsardzība </w:t>
      </w:r>
      <w:r>
        <w:rPr>
          <w:rFonts w:eastAsia="Calibri"/>
          <w:iCs/>
        </w:rPr>
        <w:t>un strīdu izšķiršanas mehānisms</w:t>
      </w:r>
      <w:r w:rsidRPr="0035776C">
        <w:rPr>
          <w:rFonts w:eastAsia="Calibri"/>
          <w:iCs/>
        </w:rPr>
        <w:t xml:space="preserve">). </w:t>
      </w:r>
      <w:r>
        <w:rPr>
          <w:rFonts w:eastAsia="Calibri"/>
          <w:iCs/>
        </w:rPr>
        <w:t>Ņemot vērā minēto, i</w:t>
      </w:r>
      <w:r w:rsidRPr="00C155AF">
        <w:t>nvestīciju aizsardzības līgumiem joprojām būtu nepieciešama</w:t>
      </w:r>
      <w:r>
        <w:t xml:space="preserve"> ratificēšana dalībvalstu nacionālo parlamentu līmenī. Atbilstoši šai pieejai 2018.</w:t>
      </w:r>
      <w:r w:rsidR="0008017D">
        <w:t xml:space="preserve"> </w:t>
      </w:r>
      <w:r>
        <w:t>gada 18.</w:t>
      </w:r>
      <w:r w:rsidR="0008017D">
        <w:t xml:space="preserve"> </w:t>
      </w:r>
      <w:r>
        <w:t xml:space="preserve">aprīlī </w:t>
      </w:r>
      <w:r w:rsidR="0008017D">
        <w:t>EK</w:t>
      </w:r>
      <w:r>
        <w:t xml:space="preserve"> publiskoja ES-Japānas </w:t>
      </w:r>
      <w:r w:rsidR="0008017D">
        <w:t>EPN</w:t>
      </w:r>
      <w:r>
        <w:t xml:space="preserve"> projektu, kā arī ES-Singapūras </w:t>
      </w:r>
      <w:r w:rsidR="0008017D">
        <w:t>BTN</w:t>
      </w:r>
      <w:r>
        <w:t xml:space="preserve"> projektu, kuros aptverti tikai ES ekskluzīvās kompetences jautājumi. Paralēli, 2018. gada 18.aprīlī Komisija</w:t>
      </w:r>
      <w:r w:rsidR="0008017D">
        <w:t xml:space="preserve"> publiskoja arī ES-Singapūras IAN</w:t>
      </w:r>
      <w:r>
        <w:t xml:space="preserve"> projektu, kas ietver arī dalībvalstu kompetences jautājumus un, attiecīgi, būs jāratificē nacionālā līmenī. Gaidāmo tirdzniecības sarunu ar Austrāliju un Jaunzēlandi kontekstā arī šobrīd tiek tikai plānotas BT</w:t>
      </w:r>
      <w:r w:rsidR="0008017D">
        <w:t>N</w:t>
      </w:r>
      <w:r>
        <w:t xml:space="preserve"> sarunas aptverot tikai ES ekskluzīvās kompetences jautājumus.</w:t>
      </w:r>
    </w:p>
    <w:p w14:paraId="0788D511" w14:textId="347911FE" w:rsidR="00B86A2D" w:rsidRPr="0008017D" w:rsidRDefault="00B86A2D" w:rsidP="000F108E">
      <w:pPr>
        <w:widowControl w:val="0"/>
        <w:spacing w:before="80" w:after="80" w:line="276" w:lineRule="auto"/>
        <w:ind w:firstLine="720"/>
        <w:jc w:val="both"/>
        <w:rPr>
          <w:i/>
        </w:rPr>
      </w:pPr>
      <w:r>
        <w:t xml:space="preserve">Lai Padomes līmenī skaidrotu dažādas šīs jaunās pieejas </w:t>
      </w:r>
      <w:r w:rsidRPr="00C155AF">
        <w:t>šķautnes</w:t>
      </w:r>
      <w:r>
        <w:t>, ieskicētu dalībvalstu viedokli, kā arī izteiktu aicinājumus Komisijai un dalībvalstīm,</w:t>
      </w:r>
      <w:r w:rsidRPr="00C155AF">
        <w:t xml:space="preserve"> Bulgārijas Prezidentūra</w:t>
      </w:r>
      <w:r>
        <w:t xml:space="preserve"> ir sagatavojusi Padomes secinājumu projektu, kas ticis apspriests un apstiprināts Padomes Tirdzniecības politikas komitejā, kā arī </w:t>
      </w:r>
      <w:r w:rsidR="0008017D">
        <w:t xml:space="preserve">apstiprināts </w:t>
      </w:r>
      <w:r>
        <w:t>C</w:t>
      </w:r>
      <w:r w:rsidR="008D67B5">
        <w:t>OREPER</w:t>
      </w:r>
      <w:r>
        <w:t xml:space="preserve"> līmenī. Secinājumu projektā tiek uzsvērts</w:t>
      </w:r>
      <w:r w:rsidR="005D7028">
        <w:t>:</w:t>
      </w:r>
      <w:r>
        <w:t xml:space="preserve"> </w:t>
      </w:r>
      <w:r w:rsidRPr="0008017D">
        <w:rPr>
          <w:i/>
        </w:rPr>
        <w:t xml:space="preserve">ES atbalsts robustai, efektīvai tirdzniecības politikai un atvērtai un noteikumos balstītai starptautiskajai tirdzniecības sistēmai. Padome pieņem zināšanai Komisijas piedāvāto pieeju vest atsevišķas tirdzniecības un atsevišķas investīciju aizsardzības sarunas, tomēr uzsver, ka vienmēr Padome saglabā galavārdu šajā jautājumā. Tiek apstiprināts, ka Asociācijas līgumi, tai skaitā, ar </w:t>
      </w:r>
      <w:proofErr w:type="spellStart"/>
      <w:r w:rsidRPr="0008017D">
        <w:rPr>
          <w:i/>
        </w:rPr>
        <w:t>Mercosur</w:t>
      </w:r>
      <w:proofErr w:type="spellEnd"/>
      <w:r w:rsidRPr="0008017D">
        <w:rPr>
          <w:i/>
        </w:rPr>
        <w:t xml:space="preserve"> valstīm, Meksiku un Čīli, paliks dalītās kompetences līgumi. Ja tiek lemts par nepieciešamība uzsākt arī sarunas par I</w:t>
      </w:r>
      <w:r w:rsidR="0008017D" w:rsidRPr="0008017D">
        <w:rPr>
          <w:i/>
        </w:rPr>
        <w:t>AN</w:t>
      </w:r>
      <w:r w:rsidRPr="0008017D">
        <w:rPr>
          <w:i/>
        </w:rPr>
        <w:t>, tad tās jāved paralēli BT</w:t>
      </w:r>
      <w:r w:rsidR="0008017D" w:rsidRPr="0008017D">
        <w:rPr>
          <w:i/>
        </w:rPr>
        <w:t xml:space="preserve">N </w:t>
      </w:r>
      <w:r w:rsidRPr="0008017D">
        <w:rPr>
          <w:i/>
        </w:rPr>
        <w:t>sarunām. Padome pieņem zināšanai, ka Komisija ar Austrāliju un Jaunzēlandi šobrīd uzsākt tikai BT</w:t>
      </w:r>
      <w:r w:rsidR="0008017D" w:rsidRPr="0008017D">
        <w:rPr>
          <w:i/>
        </w:rPr>
        <w:t>N</w:t>
      </w:r>
      <w:r w:rsidRPr="0008017D">
        <w:rPr>
          <w:i/>
        </w:rPr>
        <w:t xml:space="preserve"> sarunas, tomēr tas nav uzskatāms par precedentu. Attiecībā uz Japānu Padome ir gatava strādāt pie ES-Japānas </w:t>
      </w:r>
      <w:r w:rsidR="0008017D" w:rsidRPr="0008017D">
        <w:rPr>
          <w:i/>
        </w:rPr>
        <w:t xml:space="preserve">EPN </w:t>
      </w:r>
      <w:r w:rsidRPr="0008017D">
        <w:rPr>
          <w:i/>
        </w:rPr>
        <w:t xml:space="preserve">parakstīšanas, tomēr aicina Komisiju turpināt jau </w:t>
      </w:r>
      <w:r w:rsidRPr="0008017D">
        <w:rPr>
          <w:i/>
        </w:rPr>
        <w:lastRenderedPageBreak/>
        <w:t>notiekošas sarunas par I</w:t>
      </w:r>
      <w:r w:rsidR="0008017D" w:rsidRPr="0008017D">
        <w:rPr>
          <w:i/>
        </w:rPr>
        <w:t>AN</w:t>
      </w:r>
      <w:r w:rsidRPr="0008017D">
        <w:rPr>
          <w:i/>
        </w:rPr>
        <w:t xml:space="preserve">. Tāpat Padome ir </w:t>
      </w:r>
      <w:r w:rsidR="0008017D" w:rsidRPr="0008017D">
        <w:rPr>
          <w:i/>
        </w:rPr>
        <w:t>gatava strādāt pie atsevišķu BTN</w:t>
      </w:r>
      <w:r w:rsidRPr="0008017D">
        <w:rPr>
          <w:i/>
        </w:rPr>
        <w:t xml:space="preserve"> un I</w:t>
      </w:r>
      <w:r w:rsidR="0008017D" w:rsidRPr="0008017D">
        <w:rPr>
          <w:i/>
        </w:rPr>
        <w:t>AN</w:t>
      </w:r>
      <w:r w:rsidRPr="0008017D">
        <w:rPr>
          <w:i/>
        </w:rPr>
        <w:t xml:space="preserve"> parakstīšanas ar Singapūru. Secinājumos tiek atrunāti </w:t>
      </w:r>
      <w:proofErr w:type="spellStart"/>
      <w:r w:rsidRPr="0008017D">
        <w:rPr>
          <w:i/>
        </w:rPr>
        <w:t>transparences</w:t>
      </w:r>
      <w:proofErr w:type="spellEnd"/>
      <w:r w:rsidRPr="0008017D">
        <w:rPr>
          <w:i/>
        </w:rPr>
        <w:t xml:space="preserve"> un iesaistīšanas jautājumi. Komisija tiek aicināta jānodrošina Padomes pilnvērtīga informēšanu par notiekošajām tirdzniecības sarunām. Tāpat, lai arī lēmumu par ES ekskluzīvās kompetences līgumu noslēgšanu pieņem ES Padome, tas tāpat ļauj dalībvalstīm veikt konsultācijas ar nacionālajiem parlamentiem, kā arī citām ieinteresētajām pusēm. Ir nepieciešams nodrošināt nacionālo parlamentu, ieinteresēto pušu, kā arī sabiedrības pienācīg</w:t>
      </w:r>
      <w:r w:rsidR="0004439D" w:rsidRPr="0008017D">
        <w:rPr>
          <w:i/>
        </w:rPr>
        <w:t>u</w:t>
      </w:r>
      <w:r w:rsidRPr="0008017D">
        <w:rPr>
          <w:i/>
        </w:rPr>
        <w:t xml:space="preserve"> informēšan</w:t>
      </w:r>
      <w:r w:rsidR="0004439D" w:rsidRPr="0008017D">
        <w:rPr>
          <w:i/>
        </w:rPr>
        <w:t>u</w:t>
      </w:r>
      <w:r w:rsidRPr="0008017D">
        <w:rPr>
          <w:i/>
        </w:rPr>
        <w:t xml:space="preserve"> par tirdzniecības sarunām</w:t>
      </w:r>
      <w:r w:rsidR="0004439D" w:rsidRPr="0008017D">
        <w:rPr>
          <w:i/>
        </w:rPr>
        <w:t>.</w:t>
      </w:r>
    </w:p>
    <w:p w14:paraId="2762B230" w14:textId="20BE4A55" w:rsidR="00B86A2D" w:rsidRPr="002254EA" w:rsidRDefault="00B86A2D" w:rsidP="000F108E">
      <w:pPr>
        <w:widowControl w:val="0"/>
        <w:spacing w:before="80" w:after="80" w:line="276" w:lineRule="auto"/>
        <w:ind w:firstLine="720"/>
        <w:jc w:val="both"/>
      </w:pPr>
      <w:r w:rsidRPr="00F20061">
        <w:t xml:space="preserve">Latvija atbalsta sagatavoto Padomes secinājumu projektu. Latvija uzskata, ka ir svarīgi, lai ES spētu ātri un efektīvi slēgt </w:t>
      </w:r>
      <w:r w:rsidR="0008017D">
        <w:t>BTN</w:t>
      </w:r>
      <w:r w:rsidRPr="00F20061">
        <w:t xml:space="preserve">, tādējādi nodrošinot </w:t>
      </w:r>
      <w:r w:rsidR="00F20061" w:rsidRPr="00F20061">
        <w:t>ieguvumus</w:t>
      </w:r>
      <w:r w:rsidRPr="00F20061">
        <w:t xml:space="preserve"> kā ES iedzīvotājiem, tā arī uzņēmējiem. Ir jānodrošina, ka turpmāk </w:t>
      </w:r>
      <w:r w:rsidR="0008017D">
        <w:t xml:space="preserve">BTN un IAN </w:t>
      </w:r>
      <w:r w:rsidRPr="00F20061">
        <w:t xml:space="preserve">slēgšanā tiek ievēroti EST sprieduma ES-Singapūras lietā pieņemtie secinājumi par ES ekskluzīvo </w:t>
      </w:r>
      <w:r w:rsidR="0008017D">
        <w:t xml:space="preserve">un dalīto </w:t>
      </w:r>
      <w:r w:rsidRPr="00F20061">
        <w:t>kompetenci. Latvija uzskata, ka lēmums par to vai uzsākt un vest sarunas tikai par tirdzniecības jautājumiem (ES ekskluzīvā kompetence) vai paralēli/vienlaicīgi arī par investīciju aizsardzības jautājumiem (dalītā kompetence) ir jāpieņem katrā gadījumā atsevišķi skatoties no situācijas un konkrētā sarunu partnera.</w:t>
      </w:r>
      <w:r w:rsidR="00F20061" w:rsidRPr="00F20061">
        <w:t xml:space="preserve"> </w:t>
      </w:r>
      <w:r w:rsidRPr="00F20061">
        <w:t>Latvija uzskata, ka ir svarīgi nodrošināt sabiedrības izpratni un atbalstu ES realizētajai brīvās tirdzniecības politikai, tai skaitā slēdzot tirdzniecības līgumus ar trešajām valstīm. Šajā kontekstā Latvija atbalsta secinājumu projektā uzsvērto nepieciešamību informēt un iesaistīt sabiedrību, uzņēmējus, kā arī nodrošināt nacionālo parlamentu atbilstošu iesaisti.</w:t>
      </w:r>
    </w:p>
    <w:p w14:paraId="105A9A15" w14:textId="77777777" w:rsidR="00F20061" w:rsidRPr="003A3A14" w:rsidRDefault="00F20061" w:rsidP="009347C1">
      <w:pPr>
        <w:widowControl w:val="0"/>
        <w:spacing w:before="80" w:line="276" w:lineRule="auto"/>
        <w:jc w:val="both"/>
        <w:rPr>
          <w:b/>
        </w:rPr>
      </w:pPr>
    </w:p>
    <w:p w14:paraId="7ED5C568" w14:textId="77777777" w:rsidR="00CE0059" w:rsidRPr="003A3A14" w:rsidRDefault="00CE0059" w:rsidP="00DB18FB">
      <w:pPr>
        <w:widowControl w:val="0"/>
        <w:spacing w:before="80" w:line="276" w:lineRule="auto"/>
        <w:jc w:val="both"/>
        <w:rPr>
          <w:b/>
        </w:rPr>
      </w:pPr>
      <w:r w:rsidRPr="003A3A14">
        <w:rPr>
          <w:b/>
        </w:rPr>
        <w:t>ES divpusējās tirdzniecības sarunas</w:t>
      </w:r>
    </w:p>
    <w:p w14:paraId="6A03264F" w14:textId="77777777" w:rsidR="008E6111" w:rsidRPr="003A3A14" w:rsidRDefault="008E6111" w:rsidP="009347C1">
      <w:pPr>
        <w:widowControl w:val="0"/>
        <w:spacing w:before="80" w:after="80" w:line="276" w:lineRule="auto"/>
        <w:jc w:val="both"/>
        <w:outlineLvl w:val="1"/>
        <w:rPr>
          <w:u w:val="single"/>
          <w:lang w:eastAsia="lv-LV"/>
        </w:rPr>
      </w:pPr>
      <w:r w:rsidRPr="003A3A14">
        <w:rPr>
          <w:u w:val="single"/>
          <w:lang w:eastAsia="lv-LV"/>
        </w:rPr>
        <w:t>Sarunu mandāti ES-Austrālijas un ES-Jaunzēlandes tirdzniecības sarunu vešanai</w:t>
      </w:r>
    </w:p>
    <w:p w14:paraId="15E18489" w14:textId="2EA3D014" w:rsidR="00C13BE4" w:rsidRPr="003A3A14" w:rsidRDefault="003A3A14" w:rsidP="009347C1">
      <w:pPr>
        <w:widowControl w:val="0"/>
        <w:spacing w:before="80" w:after="80" w:line="276" w:lineRule="auto"/>
        <w:ind w:firstLine="720"/>
        <w:jc w:val="both"/>
      </w:pPr>
      <w:r>
        <w:rPr>
          <w:lang w:eastAsia="lv-LV"/>
        </w:rPr>
        <w:t>EK</w:t>
      </w:r>
      <w:r w:rsidR="00C13BE4" w:rsidRPr="003A3A14">
        <w:rPr>
          <w:lang w:eastAsia="lv-LV"/>
        </w:rPr>
        <w:t xml:space="preserve"> </w:t>
      </w:r>
      <w:r w:rsidR="00C13BE4" w:rsidRPr="003A3A14">
        <w:t>prezidents</w:t>
      </w:r>
      <w:r w:rsidR="00C13BE4" w:rsidRPr="003A3A14">
        <w:rPr>
          <w:lang w:eastAsia="lv-LV"/>
        </w:rPr>
        <w:t xml:space="preserve"> Žans-Klods Junkers </w:t>
      </w:r>
      <w:r w:rsidR="00704CFF" w:rsidRPr="003A3A14">
        <w:rPr>
          <w:lang w:eastAsia="lv-LV"/>
        </w:rPr>
        <w:t xml:space="preserve">2017. gada 13. septembrī </w:t>
      </w:r>
      <w:r w:rsidR="00C13BE4" w:rsidRPr="003A3A14">
        <w:rPr>
          <w:lang w:eastAsia="lv-LV"/>
        </w:rPr>
        <w:t xml:space="preserve">nāca klajā ar priekšlikumu uzsākt sarunas par </w:t>
      </w:r>
      <w:r w:rsidR="008D67B5">
        <w:rPr>
          <w:lang w:eastAsia="lv-LV"/>
        </w:rPr>
        <w:t>BTN</w:t>
      </w:r>
      <w:r w:rsidR="00C13BE4" w:rsidRPr="003A3A14">
        <w:rPr>
          <w:lang w:eastAsia="lv-LV"/>
        </w:rPr>
        <w:t xml:space="preserve"> ar Austrāliju un Jaunzēlandi. Tajā pašā di</w:t>
      </w:r>
      <w:r w:rsidR="0006304D">
        <w:rPr>
          <w:lang w:eastAsia="lv-LV"/>
        </w:rPr>
        <w:t>enā EK publicē</w:t>
      </w:r>
      <w:r w:rsidR="008D67B5">
        <w:rPr>
          <w:lang w:eastAsia="lv-LV"/>
        </w:rPr>
        <w:t>ja</w:t>
      </w:r>
      <w:r w:rsidR="00C13BE4" w:rsidRPr="003A3A14">
        <w:rPr>
          <w:lang w:eastAsia="lv-LV"/>
        </w:rPr>
        <w:t xml:space="preserve"> sarunu </w:t>
      </w:r>
      <w:r w:rsidR="008D67B5">
        <w:rPr>
          <w:lang w:eastAsia="lv-LV"/>
        </w:rPr>
        <w:t>norāžu projektu</w:t>
      </w:r>
      <w:r w:rsidR="00C13BE4" w:rsidRPr="003A3A14">
        <w:rPr>
          <w:lang w:eastAsia="lv-LV"/>
        </w:rPr>
        <w:t>. Saskaņā ar EST lēmumu Singapūras lietā tirdzniecības sarunas ar Austrāliju un Jaunzēlandi paredzētas tikai par ES ekskluzīvajā kompetencē esoš</w:t>
      </w:r>
      <w:r w:rsidR="0006304D">
        <w:rPr>
          <w:lang w:eastAsia="lv-LV"/>
        </w:rPr>
        <w:t>aj</w:t>
      </w:r>
      <w:r w:rsidR="00C13BE4" w:rsidRPr="003A3A14">
        <w:rPr>
          <w:lang w:eastAsia="lv-LV"/>
        </w:rPr>
        <w:t xml:space="preserve">iem tirdzniecības jautājumiem, līgumā neietverot </w:t>
      </w:r>
      <w:r w:rsidR="008D67B5">
        <w:rPr>
          <w:lang w:eastAsia="lv-LV"/>
        </w:rPr>
        <w:t>investīciju</w:t>
      </w:r>
      <w:r w:rsidR="00C13BE4" w:rsidRPr="003A3A14">
        <w:rPr>
          <w:lang w:eastAsia="lv-LV"/>
        </w:rPr>
        <w:t xml:space="preserve"> aizsardzības mehānismu</w:t>
      </w:r>
      <w:r w:rsidR="00C13BE4" w:rsidRPr="003A3A14">
        <w:t xml:space="preserve">. </w:t>
      </w:r>
    </w:p>
    <w:p w14:paraId="07A63B76" w14:textId="468AD11B" w:rsidR="00C13BE4" w:rsidRPr="003A3A14" w:rsidRDefault="00704CFF" w:rsidP="009347C1">
      <w:pPr>
        <w:widowControl w:val="0"/>
        <w:spacing w:before="80" w:after="80" w:line="276" w:lineRule="auto"/>
        <w:ind w:firstLine="720"/>
        <w:jc w:val="both"/>
      </w:pPr>
      <w:r>
        <w:t xml:space="preserve">Diskusijas par </w:t>
      </w:r>
      <w:r w:rsidRPr="003A3A14">
        <w:t>sarunu norādēm</w:t>
      </w:r>
      <w:r>
        <w:t xml:space="preserve"> </w:t>
      </w:r>
      <w:r w:rsidR="0006304D">
        <w:t>norisinājās</w:t>
      </w:r>
      <w:r w:rsidRPr="003A3A14">
        <w:t xml:space="preserve"> </w:t>
      </w:r>
      <w:r w:rsidR="00C13BE4" w:rsidRPr="003A3A14">
        <w:t>Padomes Tirdzniecības politikas komitejā</w:t>
      </w:r>
      <w:r w:rsidR="008D67B5">
        <w:t xml:space="preserve"> un norāžu projekts</w:t>
      </w:r>
      <w:r w:rsidR="0006304D">
        <w:t xml:space="preserve"> </w:t>
      </w:r>
      <w:r w:rsidR="00630DA5">
        <w:t>tika</w:t>
      </w:r>
      <w:r w:rsidR="008D67B5">
        <w:t xml:space="preserve"> apstiprināts COREPER</w:t>
      </w:r>
      <w:r>
        <w:t xml:space="preserve"> </w:t>
      </w:r>
      <w:r w:rsidR="008D67B5">
        <w:t>8.maijā.</w:t>
      </w:r>
      <w:r w:rsidR="00C13BE4" w:rsidRPr="003A3A14">
        <w:t xml:space="preserve"> Pretēji EK cerētajam, tirdzniecības sarunu uzsākšana ar Austrāliju un Jaunzēlandi aizkavējās</w:t>
      </w:r>
      <w:r w:rsidR="00EE4BBE">
        <w:t>,</w:t>
      </w:r>
      <w:r w:rsidR="00C13BE4" w:rsidRPr="003A3A14">
        <w:t xml:space="preserve"> ieilgušo ES dalībvalstu diskusiju dēļ. Strīdīgākais jautājums </w:t>
      </w:r>
      <w:r w:rsidR="0006304D">
        <w:t>bija</w:t>
      </w:r>
      <w:r w:rsidR="00C13BE4" w:rsidRPr="003A3A14">
        <w:t xml:space="preserve"> par preču tirdzniecības sadaļā iekļauto atrunu par piešķirto lauksaimniecības koncesiju kopīgo aploksni citos ES tirdzniecības nolīgumos. Tāpat dalībvalstu domas dal</w:t>
      </w:r>
      <w:r w:rsidR="0006304D">
        <w:t>īj</w:t>
      </w:r>
      <w:r w:rsidR="00C13BE4" w:rsidRPr="003A3A14">
        <w:t xml:space="preserve">ās par nepieciešamību paralēli vest sarunas par </w:t>
      </w:r>
      <w:r w:rsidR="00EE4BBE">
        <w:t>ieguldījumu</w:t>
      </w:r>
      <w:r w:rsidR="00C13BE4" w:rsidRPr="003A3A14">
        <w:t xml:space="preserve"> aizsardzību. </w:t>
      </w:r>
      <w:r w:rsidR="0006304D">
        <w:t xml:space="preserve">Ņemot vērā, ka </w:t>
      </w:r>
      <w:r w:rsidR="0006304D" w:rsidRPr="0006304D">
        <w:t xml:space="preserve">Latvijas uzkrātie tiešo investīciju atlikumi </w:t>
      </w:r>
      <w:r w:rsidR="0006304D">
        <w:t xml:space="preserve">nedz Austrālijā, nedz </w:t>
      </w:r>
      <w:r w:rsidR="0006304D" w:rsidRPr="0006304D">
        <w:t>Jaunzēlandē</w:t>
      </w:r>
      <w:r w:rsidR="0006304D">
        <w:t xml:space="preserve"> nav reģistrēti, šobrīd Latvijai atsevišķs </w:t>
      </w:r>
      <w:r w:rsidR="008D67B5">
        <w:t>IAN</w:t>
      </w:r>
      <w:r w:rsidR="0006304D">
        <w:t xml:space="preserve"> nav aktuāls. </w:t>
      </w:r>
      <w:r w:rsidR="00170072">
        <w:t xml:space="preserve">Turklāt </w:t>
      </w:r>
      <w:r w:rsidR="008D67B5">
        <w:t>IAN</w:t>
      </w:r>
      <w:r w:rsidR="00170072">
        <w:t xml:space="preserve"> sarunu norāžu diskusijām nevajadzētu kavēt tirdzniecības sarunu uzsākšanu. </w:t>
      </w:r>
    </w:p>
    <w:p w14:paraId="0F43E07B" w14:textId="375BA9AC" w:rsidR="00C13BE4" w:rsidRDefault="00704CFF" w:rsidP="009347C1">
      <w:pPr>
        <w:widowControl w:val="0"/>
        <w:spacing w:before="80" w:after="80" w:line="276" w:lineRule="auto"/>
        <w:ind w:firstLine="720"/>
        <w:jc w:val="both"/>
        <w:rPr>
          <w:rFonts w:eastAsia="Calibri"/>
          <w:szCs w:val="22"/>
        </w:rPr>
      </w:pPr>
      <w:r w:rsidRPr="003A3A14">
        <w:rPr>
          <w:iCs/>
        </w:rPr>
        <w:t xml:space="preserve">Latvija atbalsta divpusēja </w:t>
      </w:r>
      <w:r w:rsidR="008D67B5">
        <w:rPr>
          <w:iCs/>
        </w:rPr>
        <w:t>BTN</w:t>
      </w:r>
      <w:r w:rsidRPr="003A3A14">
        <w:rPr>
          <w:iCs/>
        </w:rPr>
        <w:t xml:space="preserve"> starp ES un Austrāliju un ES un Jaunzēlandi noslēgšan</w:t>
      </w:r>
      <w:r>
        <w:rPr>
          <w:iCs/>
        </w:rPr>
        <w:t xml:space="preserve">u. </w:t>
      </w:r>
      <w:r w:rsidR="00C13BE4" w:rsidRPr="003A3A14">
        <w:rPr>
          <w:iCs/>
        </w:rPr>
        <w:t xml:space="preserve">Latvija atbalsta </w:t>
      </w:r>
      <w:r w:rsidR="00170072">
        <w:rPr>
          <w:iCs/>
        </w:rPr>
        <w:t>izstrādā</w:t>
      </w:r>
      <w:r w:rsidR="00C13BE4" w:rsidRPr="003A3A14">
        <w:rPr>
          <w:iCs/>
        </w:rPr>
        <w:t xml:space="preserve">to </w:t>
      </w:r>
      <w:r w:rsidR="00170072">
        <w:rPr>
          <w:iCs/>
        </w:rPr>
        <w:t>mandāta</w:t>
      </w:r>
      <w:r w:rsidR="00C13BE4" w:rsidRPr="003A3A14">
        <w:rPr>
          <w:iCs/>
        </w:rPr>
        <w:t xml:space="preserve"> projektu</w:t>
      </w:r>
      <w:r w:rsidR="00170072">
        <w:rPr>
          <w:iCs/>
        </w:rPr>
        <w:t xml:space="preserve"> </w:t>
      </w:r>
      <w:r w:rsidR="00C13BE4" w:rsidRPr="003A3A14">
        <w:rPr>
          <w:iCs/>
        </w:rPr>
        <w:t xml:space="preserve">sarunām par ES-Austrālijas un ES-Jaunzēlandes </w:t>
      </w:r>
      <w:r w:rsidR="008D67B5">
        <w:rPr>
          <w:iCs/>
        </w:rPr>
        <w:t>BTN</w:t>
      </w:r>
      <w:r w:rsidR="00C13BE4" w:rsidRPr="003A3A14">
        <w:rPr>
          <w:iCs/>
        </w:rPr>
        <w:t xml:space="preserve">. Latvija ir ieinteresēta labvēlīgāku tirdzniecības un </w:t>
      </w:r>
      <w:r w:rsidR="008D67B5">
        <w:t>investīciju</w:t>
      </w:r>
      <w:r w:rsidR="008D67B5" w:rsidRPr="003A3A14">
        <w:rPr>
          <w:iCs/>
        </w:rPr>
        <w:t xml:space="preserve"> </w:t>
      </w:r>
      <w:r w:rsidR="00C13BE4" w:rsidRPr="003A3A14">
        <w:rPr>
          <w:iCs/>
        </w:rPr>
        <w:t xml:space="preserve">veicināšanas nosacījumu izveidošanā, kā arī visaptveroša un juridiski saistoša regulējuma izveidē starp ES un Austrāliju un ES un Jaunzēlandi. </w:t>
      </w:r>
      <w:r w:rsidR="00C13BE4" w:rsidRPr="003A3A14">
        <w:rPr>
          <w:rFonts w:eastAsia="Calibri"/>
          <w:szCs w:val="22"/>
        </w:rPr>
        <w:t>Ārlietu ministrijas sagatavotās nacionālā</w:t>
      </w:r>
      <w:r w:rsidR="00980AE6">
        <w:rPr>
          <w:rFonts w:eastAsia="Calibri"/>
          <w:szCs w:val="22"/>
        </w:rPr>
        <w:t>s</w:t>
      </w:r>
      <w:bookmarkStart w:id="0" w:name="_GoBack"/>
      <w:bookmarkEnd w:id="0"/>
      <w:r w:rsidR="00C13BE4" w:rsidRPr="003A3A14">
        <w:rPr>
          <w:rFonts w:eastAsia="Calibri"/>
          <w:szCs w:val="22"/>
        </w:rPr>
        <w:t xml:space="preserve"> </w:t>
      </w:r>
      <w:r w:rsidR="00C13BE4" w:rsidRPr="003A3A14">
        <w:rPr>
          <w:iCs/>
        </w:rPr>
        <w:t>pozīcijas</w:t>
      </w:r>
      <w:r w:rsidR="00C13BE4" w:rsidRPr="003A3A14">
        <w:rPr>
          <w:rFonts w:eastAsia="Calibri"/>
          <w:szCs w:val="22"/>
        </w:rPr>
        <w:t xml:space="preserve"> par sarunu uzsākšanu par </w:t>
      </w:r>
      <w:r w:rsidR="00DB18FB">
        <w:rPr>
          <w:rFonts w:eastAsia="Calibri"/>
          <w:szCs w:val="22"/>
        </w:rPr>
        <w:t>BTN</w:t>
      </w:r>
      <w:r w:rsidR="00C13BE4" w:rsidRPr="003A3A14">
        <w:rPr>
          <w:rFonts w:eastAsia="Calibri"/>
          <w:szCs w:val="22"/>
        </w:rPr>
        <w:t xml:space="preserve"> ar Austrāliju un Jaunzēlandi apstiprinātas 2018.gada 20.februārī.</w:t>
      </w:r>
    </w:p>
    <w:p w14:paraId="7E184004" w14:textId="77777777" w:rsidR="000943A8" w:rsidRPr="003A3A14" w:rsidRDefault="000943A8" w:rsidP="009347C1">
      <w:pPr>
        <w:widowControl w:val="0"/>
        <w:spacing w:before="80" w:after="80" w:line="276" w:lineRule="auto"/>
        <w:ind w:firstLine="720"/>
        <w:jc w:val="both"/>
        <w:rPr>
          <w:rFonts w:eastAsia="Calibri"/>
          <w:szCs w:val="22"/>
        </w:rPr>
      </w:pPr>
    </w:p>
    <w:p w14:paraId="4FD970E2" w14:textId="77777777" w:rsidR="00CF53D6" w:rsidRPr="003A3A14" w:rsidRDefault="00CF53D6" w:rsidP="009347C1">
      <w:pPr>
        <w:widowControl w:val="0"/>
        <w:spacing w:before="80" w:after="80" w:line="276" w:lineRule="auto"/>
        <w:jc w:val="both"/>
        <w:outlineLvl w:val="1"/>
        <w:rPr>
          <w:u w:val="single"/>
          <w:lang w:eastAsia="lv-LV"/>
        </w:rPr>
      </w:pPr>
      <w:r w:rsidRPr="003A3A14">
        <w:rPr>
          <w:u w:val="single"/>
          <w:lang w:eastAsia="lv-LV"/>
        </w:rPr>
        <w:lastRenderedPageBreak/>
        <w:t>ES-Japānas Ekonomisko partnerattiecību nolīgums</w:t>
      </w:r>
    </w:p>
    <w:p w14:paraId="63CC5B47" w14:textId="4CEB0915" w:rsidR="00C13BE4" w:rsidRPr="003A3A14" w:rsidRDefault="00C13BE4" w:rsidP="009347C1">
      <w:pPr>
        <w:widowControl w:val="0"/>
        <w:spacing w:before="80" w:after="80" w:line="276" w:lineRule="auto"/>
        <w:ind w:firstLine="720"/>
        <w:jc w:val="both"/>
        <w:rPr>
          <w:lang w:eastAsia="lv-LV"/>
        </w:rPr>
      </w:pPr>
      <w:r w:rsidRPr="003A3A14">
        <w:rPr>
          <w:lang w:eastAsia="lv-LV"/>
        </w:rPr>
        <w:t xml:space="preserve">ES – Japānas tirdzniecības sarunas tika uzsāktas 2013. gada martā un tās </w:t>
      </w:r>
      <w:r w:rsidR="003A3A14">
        <w:rPr>
          <w:lang w:eastAsia="lv-LV"/>
        </w:rPr>
        <w:t>ES vārdā veda EK</w:t>
      </w:r>
      <w:r w:rsidRPr="003A3A14">
        <w:rPr>
          <w:lang w:eastAsia="lv-LV"/>
        </w:rPr>
        <w:t xml:space="preserve">, balstoties uz 2012.gada novembrī dalībvalstu apstiprinātajām sarunu norādēm. 2017. gada 6. jūlijā ES-Japānas samita ietvaros tika panākta politiska vienošanās par tirdzniecības nolīguma galvenajiem elementiem, savukārt sarunas par ES-Japānas </w:t>
      </w:r>
      <w:r w:rsidR="008D67B5">
        <w:rPr>
          <w:lang w:eastAsia="lv-LV"/>
        </w:rPr>
        <w:t>EPN</w:t>
      </w:r>
      <w:r w:rsidRPr="003A3A14">
        <w:rPr>
          <w:lang w:eastAsia="lv-LV"/>
        </w:rPr>
        <w:t xml:space="preserve"> tika noslēgtas 2017.</w:t>
      </w:r>
      <w:r w:rsidR="008D67B5">
        <w:rPr>
          <w:lang w:eastAsia="lv-LV"/>
        </w:rPr>
        <w:t> </w:t>
      </w:r>
      <w:r w:rsidRPr="003A3A14">
        <w:rPr>
          <w:lang w:eastAsia="lv-LV"/>
        </w:rPr>
        <w:t xml:space="preserve">gada 8.decembrī. Plānots, ka ES un Japāna nolīgumu parakstīs š.g. jūlijā ES-Japānas samita laikā. Nolīguma teksts jāapstiprina dalībvalstīm ES Padomē un Eiropas Parlamentam. </w:t>
      </w:r>
    </w:p>
    <w:p w14:paraId="31D69014" w14:textId="047F5FDA" w:rsidR="00DD54E4" w:rsidRPr="003A3A14" w:rsidRDefault="00C13BE4" w:rsidP="00DD54E4">
      <w:pPr>
        <w:widowControl w:val="0"/>
        <w:spacing w:before="80" w:after="80" w:line="276" w:lineRule="auto"/>
        <w:ind w:firstLine="720"/>
        <w:jc w:val="both"/>
        <w:rPr>
          <w:lang w:eastAsia="lv-LV"/>
        </w:rPr>
      </w:pPr>
      <w:r w:rsidRPr="003A3A14">
        <w:rPr>
          <w:lang w:eastAsia="lv-LV"/>
        </w:rPr>
        <w:t xml:space="preserve">Nolīgums ar Japānu ir lielākā divpusējā tirdzniecības partnerība, par ko ES jebkad ir risinājusi sarunas. </w:t>
      </w:r>
      <w:r w:rsidR="00704CFF">
        <w:rPr>
          <w:lang w:eastAsia="lv-LV"/>
        </w:rPr>
        <w:t>Tas</w:t>
      </w:r>
      <w:r w:rsidR="00704CFF" w:rsidRPr="003A3A14">
        <w:rPr>
          <w:lang w:eastAsia="lv-LV"/>
        </w:rPr>
        <w:t xml:space="preserve"> </w:t>
      </w:r>
      <w:r w:rsidRPr="003A3A14">
        <w:rPr>
          <w:lang w:eastAsia="lv-LV"/>
        </w:rPr>
        <w:t xml:space="preserve">abām pusēm pavērs </w:t>
      </w:r>
      <w:r w:rsidR="008D67B5">
        <w:rPr>
          <w:lang w:eastAsia="lv-LV"/>
        </w:rPr>
        <w:t>lielas</w:t>
      </w:r>
      <w:r w:rsidRPr="003A3A14">
        <w:rPr>
          <w:lang w:eastAsia="lv-LV"/>
        </w:rPr>
        <w:t xml:space="preserve"> tirgus iespējas, atcels lielāko daļu muitas nodokļu, likvidēs virkni senu regulatīvo šķēršļu, piemēram, divkāršas pārbaudes un birokrātisku formalitāšu pārklāšanos. </w:t>
      </w:r>
      <w:r w:rsidR="00704CFF">
        <w:rPr>
          <w:lang w:eastAsia="lv-LV"/>
        </w:rPr>
        <w:t>Nolīguma piemērošana</w:t>
      </w:r>
      <w:r w:rsidR="00704CFF" w:rsidRPr="003A3A14">
        <w:rPr>
          <w:lang w:eastAsia="lv-LV"/>
        </w:rPr>
        <w:t xml:space="preserve"> </w:t>
      </w:r>
      <w:r w:rsidRPr="003A3A14">
        <w:rPr>
          <w:lang w:eastAsia="lv-LV"/>
        </w:rPr>
        <w:t xml:space="preserve">palielinās ES eksporta iespējas daudzās nozarēs un </w:t>
      </w:r>
      <w:r w:rsidRPr="003A3A14">
        <w:rPr>
          <w:rStyle w:val="apple-style-span"/>
        </w:rPr>
        <w:t xml:space="preserve">uzlabos pakalpojumu tirdzniecības nosacījumus </w:t>
      </w:r>
      <w:r w:rsidRPr="003A3A14">
        <w:rPr>
          <w:lang w:eastAsia="lv-LV"/>
        </w:rPr>
        <w:t xml:space="preserve">tostarp dodot iespēju Eiropas uzņēmumiem piedalīties </w:t>
      </w:r>
      <w:r w:rsidR="00ED3765">
        <w:rPr>
          <w:lang w:eastAsia="lv-LV"/>
        </w:rPr>
        <w:t>valsts</w:t>
      </w:r>
      <w:r w:rsidR="00ED3765" w:rsidRPr="003A3A14">
        <w:rPr>
          <w:lang w:eastAsia="lv-LV"/>
        </w:rPr>
        <w:t xml:space="preserve"> </w:t>
      </w:r>
      <w:r w:rsidRPr="003A3A14">
        <w:rPr>
          <w:lang w:eastAsia="lv-LV"/>
        </w:rPr>
        <w:t>iepirkuma konkursos lielākajās Japānas pilsētās.</w:t>
      </w:r>
      <w:r w:rsidR="00DD54E4" w:rsidRPr="00DD54E4">
        <w:rPr>
          <w:lang w:eastAsia="lv-LV"/>
        </w:rPr>
        <w:t xml:space="preserve"> </w:t>
      </w:r>
      <w:r w:rsidR="00DD54E4">
        <w:rPr>
          <w:lang w:eastAsia="lv-LV"/>
        </w:rPr>
        <w:t xml:space="preserve">Vienlaikus EK </w:t>
      </w:r>
      <w:r w:rsidR="00DD54E4" w:rsidRPr="003A3A14">
        <w:rPr>
          <w:lang w:eastAsia="lv-LV"/>
        </w:rPr>
        <w:t>turpin</w:t>
      </w:r>
      <w:r w:rsidR="00DD54E4">
        <w:rPr>
          <w:lang w:eastAsia="lv-LV"/>
        </w:rPr>
        <w:t>a</w:t>
      </w:r>
      <w:r w:rsidR="00DD54E4" w:rsidRPr="003A3A14">
        <w:rPr>
          <w:lang w:eastAsia="lv-LV"/>
        </w:rPr>
        <w:t xml:space="preserve"> atsevišķas sarunas ar Japānu par </w:t>
      </w:r>
      <w:r w:rsidR="008D67B5">
        <w:t>investīciju</w:t>
      </w:r>
      <w:r w:rsidR="008D67B5" w:rsidRPr="003A3A14">
        <w:rPr>
          <w:lang w:eastAsia="lv-LV"/>
        </w:rPr>
        <w:t xml:space="preserve"> </w:t>
      </w:r>
      <w:r w:rsidR="00DD54E4" w:rsidRPr="003A3A14">
        <w:rPr>
          <w:lang w:eastAsia="lv-LV"/>
        </w:rPr>
        <w:t xml:space="preserve">aizsardzības standartiem un </w:t>
      </w:r>
      <w:r w:rsidR="008D67B5">
        <w:t>investīciju</w:t>
      </w:r>
      <w:r w:rsidR="008D67B5" w:rsidRPr="003A3A14">
        <w:rPr>
          <w:lang w:eastAsia="lv-LV"/>
        </w:rPr>
        <w:t xml:space="preserve"> </w:t>
      </w:r>
      <w:r w:rsidR="00DD54E4" w:rsidRPr="003A3A14">
        <w:rPr>
          <w:lang w:eastAsia="lv-LV"/>
        </w:rPr>
        <w:t xml:space="preserve">strīdu </w:t>
      </w:r>
      <w:r w:rsidR="00DD54E4" w:rsidRPr="003A3A14">
        <w:rPr>
          <w:rFonts w:eastAsia="Calibri"/>
        </w:rPr>
        <w:t>izšķiršanu</w:t>
      </w:r>
      <w:r w:rsidR="00DD54E4" w:rsidRPr="003A3A14">
        <w:rPr>
          <w:lang w:eastAsia="lv-LV"/>
        </w:rPr>
        <w:t xml:space="preserve">. Abas puses ir apņēmušās noslēgt sarunas par </w:t>
      </w:r>
      <w:r w:rsidR="008D67B5">
        <w:t>investīciju</w:t>
      </w:r>
      <w:r w:rsidR="008D67B5" w:rsidRPr="003A3A14">
        <w:rPr>
          <w:lang w:eastAsia="lv-LV"/>
        </w:rPr>
        <w:t xml:space="preserve"> </w:t>
      </w:r>
      <w:r w:rsidR="00DD54E4" w:rsidRPr="003A3A14">
        <w:rPr>
          <w:lang w:eastAsia="lv-LV"/>
        </w:rPr>
        <w:t xml:space="preserve">aizsardzību pēc iespējas ātrāk, ņemot vērā kopējo apņemšanos izveidot stabilu un drošu </w:t>
      </w:r>
      <w:r w:rsidR="008D67B5">
        <w:t>investīciju</w:t>
      </w:r>
      <w:r w:rsidR="008D67B5" w:rsidRPr="003A3A14">
        <w:rPr>
          <w:lang w:eastAsia="lv-LV"/>
        </w:rPr>
        <w:t xml:space="preserve"> </w:t>
      </w:r>
      <w:r w:rsidR="00DD54E4" w:rsidRPr="003A3A14">
        <w:rPr>
          <w:lang w:eastAsia="lv-LV"/>
        </w:rPr>
        <w:t>vidi gan Eiropā, gan Japānā.</w:t>
      </w:r>
    </w:p>
    <w:p w14:paraId="0F622E94" w14:textId="77632C1B" w:rsidR="00DD54E4" w:rsidRPr="003A3A14" w:rsidRDefault="00C13BE4">
      <w:pPr>
        <w:widowControl w:val="0"/>
        <w:spacing w:before="80" w:after="80" w:line="276" w:lineRule="auto"/>
        <w:ind w:firstLine="720"/>
        <w:jc w:val="both"/>
      </w:pPr>
      <w:r w:rsidRPr="003A3A14">
        <w:rPr>
          <w:rStyle w:val="apple-style-span"/>
        </w:rPr>
        <w:t xml:space="preserve">ES-Japānas </w:t>
      </w:r>
      <w:r w:rsidR="008D67B5">
        <w:rPr>
          <w:rStyle w:val="apple-style-span"/>
        </w:rPr>
        <w:t>EPN</w:t>
      </w:r>
      <w:r w:rsidRPr="003A3A14">
        <w:rPr>
          <w:rStyle w:val="apple-style-span"/>
        </w:rPr>
        <w:t xml:space="preserve"> noslēgšana sekmēs Latvijas uzņēmumu konkurētspēju Japānas tirgū un radīs jaunas iespējas Latvijas eksportētājiem Āzijā, </w:t>
      </w:r>
      <w:r w:rsidRPr="003A3A14">
        <w:rPr>
          <w:rFonts w:eastAsia="Calibri"/>
        </w:rPr>
        <w:t>dodot iespēju attīstīt vēl ciešāku ekonomisko sadarbību, gan diversificējot</w:t>
      </w:r>
      <w:r w:rsidRPr="003A3A14">
        <w:rPr>
          <w:b/>
        </w:rPr>
        <w:t xml:space="preserve"> </w:t>
      </w:r>
      <w:r w:rsidRPr="003A3A14">
        <w:rPr>
          <w:rFonts w:eastAsia="Calibri"/>
        </w:rPr>
        <w:t xml:space="preserve">Latvijas preču eksportu, gan piesaistot </w:t>
      </w:r>
      <w:r w:rsidR="008D67B5">
        <w:t xml:space="preserve">investīcijas </w:t>
      </w:r>
      <w:r w:rsidRPr="003A3A14">
        <w:rPr>
          <w:rFonts w:eastAsia="Calibri"/>
        </w:rPr>
        <w:t>no Japānas.</w:t>
      </w:r>
      <w:r w:rsidRPr="003A3A14">
        <w:rPr>
          <w:rStyle w:val="apple-style-span"/>
        </w:rPr>
        <w:t xml:space="preserve"> Latvijas uzņēmēji iegūs no visaptverošas importa un eksporta tarifu atcelšanas un </w:t>
      </w:r>
      <w:r w:rsidRPr="003A3A14">
        <w:t>ar tarifiem nesaistītu tirdzniecības šķēršļu novēršanas Japānā.</w:t>
      </w:r>
      <w:r w:rsidRPr="003A3A14">
        <w:rPr>
          <w:rStyle w:val="apple-style-span"/>
        </w:rPr>
        <w:t xml:space="preserve">  </w:t>
      </w:r>
      <w:r w:rsidRPr="003A3A14">
        <w:t xml:space="preserve">Nacionālā pozīcija Nr. 1 “Par Eiropas Savienības un Japānas Brīvās tirdzniecības līguma sarunu uzsākšanu” </w:t>
      </w:r>
      <w:r w:rsidRPr="003A3A14">
        <w:rPr>
          <w:rFonts w:eastAsia="Calibri"/>
        </w:rPr>
        <w:t>tika</w:t>
      </w:r>
      <w:r w:rsidRPr="003A3A14">
        <w:t xml:space="preserve"> apstiprināta Ministru kabinetā 2012. gada 27. novembrī un nacionālā pozīcija Nr. 2 “Par brīvās tirdzniecības nolīguma sarunām starp Eiropas Savienību un Japānu” tika apstiprināta 2018. gada 17. janvārī. </w:t>
      </w:r>
      <w:r w:rsidR="00704CFF">
        <w:t xml:space="preserve">Šobrīd tiek </w:t>
      </w:r>
      <w:r w:rsidR="00117DDE" w:rsidRPr="003A3A14">
        <w:t>gatavota nacionālā pozīcija par ES-Japānas</w:t>
      </w:r>
      <w:r w:rsidR="008D67B5">
        <w:t xml:space="preserve"> EPN</w:t>
      </w:r>
      <w:r w:rsidR="00704CFF">
        <w:t xml:space="preserve"> </w:t>
      </w:r>
      <w:r w:rsidR="00117DDE" w:rsidRPr="003A3A14">
        <w:t>parakstīšanu.</w:t>
      </w:r>
      <w:r w:rsidR="00DD54E4">
        <w:t xml:space="preserve"> </w:t>
      </w:r>
    </w:p>
    <w:p w14:paraId="44A1990A" w14:textId="77777777" w:rsidR="00C13BE4" w:rsidRPr="003A3A14" w:rsidRDefault="00C13BE4" w:rsidP="001A090A">
      <w:pPr>
        <w:widowControl w:val="0"/>
        <w:spacing w:before="80" w:after="80" w:line="276" w:lineRule="auto"/>
        <w:ind w:firstLine="720"/>
        <w:jc w:val="both"/>
        <w:rPr>
          <w:highlight w:val="yellow"/>
          <w:u w:val="single"/>
          <w:lang w:eastAsia="lv-LV"/>
        </w:rPr>
      </w:pPr>
    </w:p>
    <w:p w14:paraId="0678F418" w14:textId="77777777" w:rsidR="00C13BE4" w:rsidRPr="003A3A14" w:rsidRDefault="00C13BE4" w:rsidP="009347C1">
      <w:pPr>
        <w:widowControl w:val="0"/>
        <w:spacing w:before="80" w:after="80" w:line="276" w:lineRule="auto"/>
        <w:jc w:val="both"/>
        <w:outlineLvl w:val="1"/>
        <w:rPr>
          <w:color w:val="A6A6A6" w:themeColor="background1" w:themeShade="A6"/>
          <w:u w:val="single"/>
          <w:lang w:eastAsia="lv-LV"/>
        </w:rPr>
      </w:pPr>
      <w:r w:rsidRPr="003A3A14">
        <w:rPr>
          <w:u w:val="single"/>
          <w:lang w:eastAsia="lv-LV"/>
        </w:rPr>
        <w:t>ES-Singapūras brīvās tirdzniecības nolīgums</w:t>
      </w:r>
    </w:p>
    <w:p w14:paraId="4ABF24AD" w14:textId="6F70A584" w:rsidR="00FB3FFF" w:rsidRPr="003A3A14" w:rsidRDefault="00FB3FFF" w:rsidP="009347C1">
      <w:pPr>
        <w:widowControl w:val="0"/>
        <w:spacing w:before="80" w:after="80" w:line="276" w:lineRule="auto"/>
        <w:ind w:firstLine="720"/>
        <w:jc w:val="both"/>
        <w:rPr>
          <w:iCs/>
          <w:lang w:eastAsia="lv-LV"/>
        </w:rPr>
      </w:pPr>
      <w:r w:rsidRPr="003A3A14">
        <w:t xml:space="preserve">2010. gadā </w:t>
      </w:r>
      <w:r w:rsidRPr="003A3A14">
        <w:rPr>
          <w:bCs/>
          <w:iCs/>
        </w:rPr>
        <w:t xml:space="preserve">tika uzsāktas </w:t>
      </w:r>
      <w:r w:rsidRPr="003A3A14">
        <w:t xml:space="preserve">divpusējas sarunas par </w:t>
      </w:r>
      <w:r w:rsidR="00D834CC">
        <w:t>BTN</w:t>
      </w:r>
      <w:r w:rsidRPr="003A3A14">
        <w:t xml:space="preserve"> ar Singapūru, kas tika noslēgtas </w:t>
      </w:r>
      <w:r w:rsidRPr="003A3A14">
        <w:rPr>
          <w:lang w:eastAsia="lv-LV"/>
        </w:rPr>
        <w:t>2014.gada 17.oktobrī.</w:t>
      </w:r>
      <w:r w:rsidRPr="003A3A14">
        <w:rPr>
          <w:rStyle w:val="FootnoteReference"/>
          <w:lang w:eastAsia="lv-LV"/>
        </w:rPr>
        <w:footnoteReference w:id="2"/>
      </w:r>
      <w:r w:rsidRPr="003A3A14">
        <w:rPr>
          <w:lang w:eastAsia="lv-LV"/>
        </w:rPr>
        <w:t xml:space="preserve"> ES un Singapūras tirdzniecības nolīgums ir pirmais divpusējās tirdzniecības nolīgums, kas noslēgts starp ES un kādu</w:t>
      </w:r>
      <w:r w:rsidR="00DD54E4">
        <w:rPr>
          <w:lang w:eastAsia="lv-LV"/>
        </w:rPr>
        <w:t xml:space="preserve"> no</w:t>
      </w:r>
      <w:r w:rsidRPr="003A3A14">
        <w:rPr>
          <w:lang w:eastAsia="lv-LV"/>
        </w:rPr>
        <w:t xml:space="preserve"> </w:t>
      </w:r>
      <w:r w:rsidR="00DD54E4" w:rsidRPr="003A3A14">
        <w:rPr>
          <w:lang w:eastAsia="lv-LV"/>
        </w:rPr>
        <w:t>Dienvidaustrumāzijas valstu asociācijas (</w:t>
      </w:r>
      <w:r w:rsidR="00DD54E4">
        <w:rPr>
          <w:lang w:eastAsia="lv-LV"/>
        </w:rPr>
        <w:t xml:space="preserve">turpmāk - </w:t>
      </w:r>
      <w:r w:rsidR="00DD54E4" w:rsidRPr="003A3A14">
        <w:rPr>
          <w:lang w:eastAsia="lv-LV"/>
        </w:rPr>
        <w:t>ASEAN)</w:t>
      </w:r>
      <w:r w:rsidR="00DD54E4" w:rsidRPr="003A3A14">
        <w:rPr>
          <w:i/>
        </w:rPr>
        <w:t xml:space="preserve"> </w:t>
      </w:r>
      <w:r w:rsidR="00DD54E4">
        <w:rPr>
          <w:lang w:eastAsia="lv-LV"/>
        </w:rPr>
        <w:t>valstīm</w:t>
      </w:r>
      <w:r w:rsidRPr="003A3A14">
        <w:rPr>
          <w:lang w:eastAsia="lv-LV"/>
        </w:rPr>
        <w:t xml:space="preserve">. Plānots, ka ES un Singapūra </w:t>
      </w:r>
      <w:r w:rsidR="00D834CC">
        <w:rPr>
          <w:lang w:eastAsia="lv-LV"/>
        </w:rPr>
        <w:t>BTN</w:t>
      </w:r>
      <w:r w:rsidRPr="003A3A14">
        <w:rPr>
          <w:lang w:eastAsia="lv-LV"/>
        </w:rPr>
        <w:t xml:space="preserve"> parakstīs š.g. oktobrī ES-ASEM (Āzijas–Eiropas sanāksme, </w:t>
      </w:r>
      <w:proofErr w:type="spellStart"/>
      <w:r w:rsidRPr="003A3A14">
        <w:rPr>
          <w:i/>
          <w:lang w:eastAsia="lv-LV"/>
        </w:rPr>
        <w:t>Asia</w:t>
      </w:r>
      <w:proofErr w:type="spellEnd"/>
      <w:r w:rsidRPr="003A3A14">
        <w:rPr>
          <w:i/>
          <w:lang w:eastAsia="lv-LV"/>
        </w:rPr>
        <w:t>–</w:t>
      </w:r>
      <w:proofErr w:type="spellStart"/>
      <w:r w:rsidRPr="003A3A14">
        <w:rPr>
          <w:i/>
          <w:lang w:eastAsia="lv-LV"/>
        </w:rPr>
        <w:t>Europe</w:t>
      </w:r>
      <w:proofErr w:type="spellEnd"/>
      <w:r w:rsidRPr="003A3A14">
        <w:rPr>
          <w:i/>
          <w:lang w:eastAsia="lv-LV"/>
        </w:rPr>
        <w:t xml:space="preserve"> </w:t>
      </w:r>
      <w:proofErr w:type="spellStart"/>
      <w:r w:rsidRPr="003A3A14">
        <w:rPr>
          <w:i/>
          <w:lang w:eastAsia="lv-LV"/>
        </w:rPr>
        <w:t>Meeting</w:t>
      </w:r>
      <w:proofErr w:type="spellEnd"/>
      <w:r w:rsidRPr="003A3A14">
        <w:rPr>
          <w:lang w:eastAsia="lv-LV"/>
        </w:rPr>
        <w:t xml:space="preserve">) samita laikā. Nolīguma teksts jāapstiprina dalībvalstīm ES Padomē un Eiropas Parlamentam. </w:t>
      </w:r>
      <w:r w:rsidRPr="003A3A14">
        <w:rPr>
          <w:iCs/>
          <w:lang w:eastAsia="lv-LV"/>
        </w:rPr>
        <w:t xml:space="preserve">ES un Singapūras </w:t>
      </w:r>
      <w:r w:rsidR="00D834CC">
        <w:rPr>
          <w:iCs/>
          <w:lang w:eastAsia="lv-LV"/>
        </w:rPr>
        <w:t>BTN</w:t>
      </w:r>
      <w:r w:rsidRPr="003A3A14">
        <w:rPr>
          <w:iCs/>
          <w:lang w:eastAsia="lv-LV"/>
        </w:rPr>
        <w:t xml:space="preserve"> papildus klasiskajai muitas nodokļu un ar tarifiem nesaistītu šķēršļu likvidēšanai preču un pakalpojumu tirdzniecībā ir ietverti svarīgi noteikumi par intelektuālā īpašuma aizsardzību, </w:t>
      </w:r>
      <w:r w:rsidR="00D834CC">
        <w:t>investīciju</w:t>
      </w:r>
      <w:r w:rsidR="00D834CC" w:rsidRPr="003A3A14">
        <w:rPr>
          <w:iCs/>
          <w:lang w:eastAsia="lv-LV"/>
        </w:rPr>
        <w:t xml:space="preserve"> </w:t>
      </w:r>
      <w:r w:rsidRPr="003A3A14">
        <w:rPr>
          <w:iCs/>
          <w:lang w:eastAsia="lv-LV"/>
        </w:rPr>
        <w:t xml:space="preserve">liberalizāciju, valsts iepirkumu, konkurenci un ilgtspējīgu attīstību. </w:t>
      </w:r>
      <w:r w:rsidR="00D834CC">
        <w:rPr>
          <w:iCs/>
          <w:lang w:eastAsia="lv-LV"/>
        </w:rPr>
        <w:t>BTN</w:t>
      </w:r>
      <w:r w:rsidRPr="003A3A14">
        <w:rPr>
          <w:iCs/>
          <w:lang w:eastAsia="lv-LV"/>
        </w:rPr>
        <w:t xml:space="preserve"> spēkā stāšanās dienā ES produktiem tiks likvidēti principā visi ievedmuitas tarifi. Balstoties uz </w:t>
      </w:r>
      <w:r w:rsidRPr="003A3A14">
        <w:rPr>
          <w:iCs/>
          <w:lang w:eastAsia="lv-LV"/>
        </w:rPr>
        <w:lastRenderedPageBreak/>
        <w:t>starptautiskajiem standartiem tiks noteikti vienoti tehniskie noteikumi un standarti attiecībā uz elektroniku, mehāniskajiem transportlīdzekļiem un to detaļām, zālēm un medicīniskajām ierīcēm, atjaunojamās enerģijas ražošanas iekārtām. Tāpat tiks uzlabota sadarbība muitas jomā, lai vienkāršotu, standartizētu un modernizētu tirdzniecības procedūras nolūkā samazināt uzņēmumu izmaksas. Nolīgums nodrošinās arī papildu tirgus piekļuvi plašam pakalpojumu klāstam, piemēram, telesakaru, vides pakalpojumu, inženierijas, informātikas un jūras transporta jomā.</w:t>
      </w:r>
    </w:p>
    <w:p w14:paraId="21EEEB2C" w14:textId="6952FCF6" w:rsidR="00FB3FFF" w:rsidRPr="003A3A14" w:rsidRDefault="00FB3FFF" w:rsidP="009347C1">
      <w:pPr>
        <w:widowControl w:val="0"/>
        <w:spacing w:before="80" w:after="80" w:line="276" w:lineRule="auto"/>
        <w:ind w:firstLine="720"/>
        <w:jc w:val="both"/>
      </w:pPr>
      <w:r w:rsidRPr="003A3A14">
        <w:rPr>
          <w:iCs/>
          <w:lang w:eastAsia="lv-LV"/>
        </w:rPr>
        <w:t xml:space="preserve">Latvija atbalsta ES-Singapūras </w:t>
      </w:r>
      <w:r w:rsidR="00D834CC">
        <w:rPr>
          <w:iCs/>
          <w:lang w:eastAsia="lv-LV"/>
        </w:rPr>
        <w:t>BTN</w:t>
      </w:r>
      <w:r w:rsidRPr="003A3A14">
        <w:rPr>
          <w:iCs/>
          <w:lang w:eastAsia="lv-LV"/>
        </w:rPr>
        <w:t xml:space="preserve"> noslēgšanu un uzskata, ka nolīguma noslēgšana stiprinās </w:t>
      </w:r>
      <w:r w:rsidRPr="003A3A14">
        <w:rPr>
          <w:lang w:eastAsia="lv-LV"/>
        </w:rPr>
        <w:t>divpusējās</w:t>
      </w:r>
      <w:r w:rsidRPr="003A3A14">
        <w:rPr>
          <w:iCs/>
          <w:lang w:eastAsia="lv-LV"/>
        </w:rPr>
        <w:t xml:space="preserve"> un reģionālās tirdzniecības attiecības, kā arī veicinās Latvijas eksportspējīgo preču un pakalpojumu tirgus pieejamības nosacījumu uzlabošanos. </w:t>
      </w:r>
      <w:r w:rsidRPr="003A3A14">
        <w:t xml:space="preserve">Nacionālā </w:t>
      </w:r>
      <w:r w:rsidRPr="003A3A14">
        <w:rPr>
          <w:lang w:eastAsia="lv-LV"/>
        </w:rPr>
        <w:t>pozīcija</w:t>
      </w:r>
      <w:r w:rsidRPr="003A3A14">
        <w:t xml:space="preserve"> Nr. 1 “Par ES ieguvumiem no Brīvās tirdzniecības līguma ar Singapūru” tika apstiprināta 2009. gada 1. decembrī. </w:t>
      </w:r>
      <w:r w:rsidR="00DD54E4">
        <w:t>Šobrīd tiek</w:t>
      </w:r>
      <w:r w:rsidR="00DD54E4" w:rsidRPr="003A3A14">
        <w:t xml:space="preserve"> </w:t>
      </w:r>
      <w:r w:rsidR="00B64A2A" w:rsidRPr="003A3A14">
        <w:t xml:space="preserve">izstrādāta nacionālā pozīcija par ES-Singapūras </w:t>
      </w:r>
      <w:r w:rsidR="00D834CC">
        <w:t>BTN</w:t>
      </w:r>
      <w:r w:rsidR="00B64A2A" w:rsidRPr="003A3A14">
        <w:t xml:space="preserve"> parakstīšanu. </w:t>
      </w:r>
    </w:p>
    <w:p w14:paraId="65C0C728" w14:textId="77777777" w:rsidR="00C13BE4" w:rsidRPr="003A3A14" w:rsidRDefault="00C13BE4" w:rsidP="009347C1">
      <w:pPr>
        <w:widowControl w:val="0"/>
        <w:spacing w:before="80" w:after="80" w:line="276" w:lineRule="auto"/>
        <w:jc w:val="both"/>
        <w:outlineLvl w:val="1"/>
        <w:rPr>
          <w:highlight w:val="yellow"/>
          <w:u w:val="single"/>
          <w:lang w:eastAsia="lv-LV"/>
        </w:rPr>
      </w:pPr>
    </w:p>
    <w:p w14:paraId="2FA53102" w14:textId="7488D055" w:rsidR="00FB3FFF" w:rsidRPr="003A3A14" w:rsidRDefault="00FB3FFF" w:rsidP="009347C1">
      <w:pPr>
        <w:widowControl w:val="0"/>
        <w:spacing w:before="80" w:after="80" w:line="276" w:lineRule="auto"/>
        <w:jc w:val="both"/>
        <w:outlineLvl w:val="1"/>
        <w:rPr>
          <w:u w:val="single"/>
        </w:rPr>
      </w:pPr>
      <w:r w:rsidRPr="003A3A14">
        <w:rPr>
          <w:u w:val="single"/>
        </w:rPr>
        <w:t xml:space="preserve">ES-Singapūras </w:t>
      </w:r>
      <w:r w:rsidR="00E33FD7">
        <w:rPr>
          <w:u w:val="single"/>
        </w:rPr>
        <w:t>Investīciju</w:t>
      </w:r>
      <w:r w:rsidRPr="003A3A14">
        <w:rPr>
          <w:u w:val="single"/>
        </w:rPr>
        <w:t xml:space="preserve"> </w:t>
      </w:r>
      <w:r w:rsidRPr="003A3A14">
        <w:rPr>
          <w:u w:val="single"/>
          <w:lang w:eastAsia="lv-LV"/>
        </w:rPr>
        <w:t>aizsardzības</w:t>
      </w:r>
      <w:r w:rsidRPr="003A3A14">
        <w:rPr>
          <w:u w:val="single"/>
        </w:rPr>
        <w:t xml:space="preserve"> nolīgums</w:t>
      </w:r>
    </w:p>
    <w:p w14:paraId="4E8ABD90" w14:textId="3E5A2FCC" w:rsidR="00FB3FFF" w:rsidRPr="003A3A14" w:rsidRDefault="00FB3FFF" w:rsidP="009347C1">
      <w:pPr>
        <w:widowControl w:val="0"/>
        <w:spacing w:before="80" w:after="80" w:line="276" w:lineRule="auto"/>
        <w:ind w:firstLine="720"/>
        <w:jc w:val="both"/>
      </w:pPr>
      <w:r w:rsidRPr="003A3A14">
        <w:t xml:space="preserve">ES Padome 2011.gada 12.septembrī autorizēja </w:t>
      </w:r>
      <w:r w:rsidR="00EE4BBE">
        <w:rPr>
          <w:iCs/>
          <w:lang w:eastAsia="lv-LV"/>
        </w:rPr>
        <w:t>EK</w:t>
      </w:r>
      <w:r w:rsidRPr="003A3A14">
        <w:t xml:space="preserve"> papildināt notiekošās tirdzniecības sarunas ar </w:t>
      </w:r>
      <w:r w:rsidR="00E33FD7">
        <w:t>investīciju</w:t>
      </w:r>
      <w:r w:rsidR="00E33FD7" w:rsidRPr="003A3A14">
        <w:t xml:space="preserve"> </w:t>
      </w:r>
      <w:r w:rsidRPr="003A3A14">
        <w:t xml:space="preserve">aizsardzības jomu, pamatojoties uz Līguma par ES noteiktajām kompetencēm. </w:t>
      </w:r>
      <w:r w:rsidR="00E33FD7">
        <w:t>IAN</w:t>
      </w:r>
      <w:r w:rsidRPr="003A3A14">
        <w:t xml:space="preserve"> ar Singapūru ir pirmais </w:t>
      </w:r>
      <w:r w:rsidR="00E33FD7">
        <w:t>investīciju</w:t>
      </w:r>
      <w:r w:rsidR="00E33FD7" w:rsidRPr="003A3A14">
        <w:t xml:space="preserve"> </w:t>
      </w:r>
      <w:r w:rsidRPr="003A3A14">
        <w:t>aizsardzības nolīgums, ko ES noslēdz ar kādu Āzijas partneri. Plānots, ka ES un Singapūra nolīgumu parakstīs š.g. oktobrī ES-ASEM samita laikā. Nolīguma teksts jāapstiprina dalībvalstīm ES Padomē un Eiropas Parlamentam</w:t>
      </w:r>
      <w:r w:rsidR="00670CF0">
        <w:t xml:space="preserve">, kā arī tas </w:t>
      </w:r>
      <w:r w:rsidRPr="003A3A14">
        <w:t xml:space="preserve">jāratificē </w:t>
      </w:r>
      <w:r w:rsidR="00E33FD7">
        <w:t xml:space="preserve">dalībvalstu </w:t>
      </w:r>
      <w:r w:rsidRPr="003A3A14">
        <w:t>nacionālajos parlamentos.</w:t>
      </w:r>
      <w:r w:rsidR="000943A8">
        <w:t xml:space="preserve"> </w:t>
      </w:r>
      <w:r w:rsidRPr="003A3A14">
        <w:t xml:space="preserve">ES-Singapūras IAN nodrošinās </w:t>
      </w:r>
      <w:r w:rsidR="00E33FD7">
        <w:t>investīciju</w:t>
      </w:r>
      <w:r w:rsidR="00E33FD7" w:rsidRPr="003A3A14">
        <w:t xml:space="preserve"> </w:t>
      </w:r>
      <w:r w:rsidRPr="003A3A14">
        <w:t xml:space="preserve">augsta līmeņa aizsardzību, vienlaikus aizsargājot ES un Singapūras tiesības reglamentēt un sasniegt leģitīmus sabiedriskās politikas mērķus, piemēram, attiecībā uz sabiedrības veselības aizsardzību, drošību un vidi. Nolīgumā ir iekļauti visi jauninājumi no ES jaunās pieejas </w:t>
      </w:r>
      <w:r w:rsidR="00E33FD7">
        <w:t>investīciju</w:t>
      </w:r>
      <w:r w:rsidR="00E33FD7" w:rsidRPr="003A3A14">
        <w:t xml:space="preserve"> </w:t>
      </w:r>
      <w:r w:rsidRPr="003A3A14">
        <w:t>aizsardzībai</w:t>
      </w:r>
      <w:r w:rsidR="00DF2D27">
        <w:t>,</w:t>
      </w:r>
      <w:r w:rsidRPr="003A3A14">
        <w:t xml:space="preserve"> un izpildes mehānismi, kuri nav ietverti 12 spēkā esošajos divpusējos </w:t>
      </w:r>
      <w:r w:rsidR="00E33FD7">
        <w:t>investīciju</w:t>
      </w:r>
      <w:r w:rsidR="00E33FD7" w:rsidRPr="003A3A14">
        <w:t xml:space="preserve"> </w:t>
      </w:r>
      <w:r w:rsidRPr="003A3A14">
        <w:t xml:space="preserve">nolīgumos starp Singapūru un ES dalībvalstīm (t.sk. ar Latviju). Ļoti svarīgs IAN aspekts ir tāds, ka tas aizstāj 12 spēkā esošos divpusējos </w:t>
      </w:r>
      <w:r w:rsidR="00E33FD7">
        <w:t>investīciju</w:t>
      </w:r>
      <w:r w:rsidR="00E33FD7" w:rsidRPr="003A3A14">
        <w:t xml:space="preserve"> </w:t>
      </w:r>
      <w:r w:rsidRPr="003A3A14">
        <w:t xml:space="preserve">līgumus. </w:t>
      </w:r>
    </w:p>
    <w:p w14:paraId="311D6549" w14:textId="076A743A" w:rsidR="00FB3FFF" w:rsidRPr="005B4FBC" w:rsidRDefault="00FB3FFF" w:rsidP="005B4FBC">
      <w:pPr>
        <w:widowControl w:val="0"/>
        <w:spacing w:before="80" w:after="80" w:line="276" w:lineRule="auto"/>
        <w:ind w:firstLine="720"/>
        <w:jc w:val="both"/>
      </w:pPr>
      <w:r w:rsidRPr="003A3A14">
        <w:t xml:space="preserve">Latvija atbalsta ES-Singapūras IAN noslēgšanu. Latvija 1998.gada 7.jūlijā parakstīja </w:t>
      </w:r>
      <w:r w:rsidR="00E33FD7">
        <w:t>investīciju</w:t>
      </w:r>
      <w:r w:rsidR="00E33FD7" w:rsidRPr="003A3A14">
        <w:t xml:space="preserve"> </w:t>
      </w:r>
      <w:r w:rsidRPr="003A3A14">
        <w:t xml:space="preserve">aizsardzības līgumu ar Singapūras Republiku, kas ir “vecās paaudzes” līgums un nenodrošina Latvijas interešu aizstāvību atbilstoši mūsdienu prasībām – līguma normas ir plaši interpretējamas, līdz ar to nepietiekami sabalansē investora tiesības un valsts pienākumus.  Līdz ar ES-Singapūras IAN stāšanos spēkā minētais divpusējais </w:t>
      </w:r>
      <w:r w:rsidR="00E33FD7">
        <w:t>investīciju</w:t>
      </w:r>
      <w:r w:rsidR="00E33FD7" w:rsidRPr="003A3A14">
        <w:t xml:space="preserve"> </w:t>
      </w:r>
      <w:r w:rsidRPr="003A3A14">
        <w:t xml:space="preserve">aizsardzības līgums zaudēs spēku un tiks aizstāts ar jauno līgumu. Nacionālā pozīcija Nr. 1 “Par ES ieguvumiem no Brīvās tirdzniecības līguma ar Singapūru” tika apstiprināta 2009. gada 1. decembrī un nacionālajā pozīcijā Nr.1 “Par EK ieteikumu Padomei grozīt sarunu norādes ES-Singapūras brīvās tirdzniecības un </w:t>
      </w:r>
      <w:r w:rsidR="00EE4BBE">
        <w:t xml:space="preserve">ieguldījumu </w:t>
      </w:r>
      <w:r w:rsidRPr="003A3A14">
        <w:t xml:space="preserve">līgumā, lai pilnvarotu EK Savienības vārdā risināt sarunas par </w:t>
      </w:r>
      <w:r w:rsidR="00EE4BBE">
        <w:t>ieguldījumiem</w:t>
      </w:r>
      <w:r w:rsidRPr="003A3A14">
        <w:t>” tika apstiprināta 2011.gada 18.martā.</w:t>
      </w:r>
      <w:r w:rsidR="00D60BB7" w:rsidRPr="003A3A14">
        <w:t xml:space="preserve"> </w:t>
      </w:r>
      <w:r w:rsidR="00670CF0">
        <w:t>Šobrīd tiek</w:t>
      </w:r>
      <w:r w:rsidR="00670CF0" w:rsidRPr="003A3A14">
        <w:t xml:space="preserve"> </w:t>
      </w:r>
      <w:r w:rsidR="00D60BB7" w:rsidRPr="003A3A14">
        <w:t xml:space="preserve">izstrādāta nacionālā pozīcija par ES-Singapūras </w:t>
      </w:r>
      <w:r w:rsidR="00E33FD7">
        <w:t>IAN</w:t>
      </w:r>
      <w:r w:rsidR="00D60BB7" w:rsidRPr="003A3A14">
        <w:t xml:space="preserve"> parakstīšanu.</w:t>
      </w:r>
    </w:p>
    <w:p w14:paraId="4FC372D1" w14:textId="77777777" w:rsidR="001A090A" w:rsidRPr="003A3A14" w:rsidRDefault="001A090A" w:rsidP="00E37AF9">
      <w:pPr>
        <w:spacing w:before="120" w:after="120" w:line="276" w:lineRule="auto"/>
        <w:contextualSpacing/>
        <w:jc w:val="both"/>
        <w:rPr>
          <w:highlight w:val="yellow"/>
          <w:u w:val="single"/>
          <w:lang w:eastAsia="lv-LV"/>
        </w:rPr>
      </w:pPr>
    </w:p>
    <w:p w14:paraId="181898D7" w14:textId="77777777" w:rsidR="00C87A59" w:rsidRPr="003A3A14" w:rsidRDefault="00C87A59" w:rsidP="009347C1">
      <w:pPr>
        <w:widowControl w:val="0"/>
        <w:spacing w:before="80" w:after="80" w:line="276" w:lineRule="auto"/>
        <w:jc w:val="both"/>
        <w:outlineLvl w:val="1"/>
        <w:rPr>
          <w:u w:val="single"/>
          <w:lang w:eastAsia="lv-LV"/>
        </w:rPr>
      </w:pPr>
      <w:r w:rsidRPr="003A3A14">
        <w:rPr>
          <w:u w:val="single"/>
          <w:lang w:eastAsia="lv-LV"/>
        </w:rPr>
        <w:t xml:space="preserve">ES – </w:t>
      </w:r>
      <w:proofErr w:type="spellStart"/>
      <w:r w:rsidRPr="003A3A14">
        <w:rPr>
          <w:i/>
          <w:u w:val="single"/>
          <w:lang w:eastAsia="lv-LV"/>
        </w:rPr>
        <w:t>Mercosur</w:t>
      </w:r>
      <w:proofErr w:type="spellEnd"/>
      <w:r w:rsidRPr="003A3A14">
        <w:rPr>
          <w:u w:val="single"/>
          <w:lang w:eastAsia="lv-LV"/>
        </w:rPr>
        <w:t xml:space="preserve"> tirdzniecības sarunas</w:t>
      </w:r>
    </w:p>
    <w:p w14:paraId="02AC2C94" w14:textId="4AC720B5" w:rsidR="00C87A59" w:rsidRPr="003A3A14" w:rsidRDefault="00C87A59" w:rsidP="009347C1">
      <w:pPr>
        <w:widowControl w:val="0"/>
        <w:spacing w:before="80" w:after="80" w:line="276" w:lineRule="auto"/>
        <w:ind w:firstLine="720"/>
        <w:jc w:val="both"/>
        <w:rPr>
          <w:lang w:eastAsia="lv-LV"/>
        </w:rPr>
      </w:pPr>
      <w:r w:rsidRPr="003A3A14">
        <w:rPr>
          <w:lang w:eastAsia="lv-LV"/>
        </w:rPr>
        <w:t xml:space="preserve">Sarunas par ES un četru </w:t>
      </w:r>
      <w:proofErr w:type="spellStart"/>
      <w:r w:rsidRPr="003A3A14">
        <w:rPr>
          <w:i/>
          <w:lang w:eastAsia="lv-LV"/>
        </w:rPr>
        <w:t>Mercosur</w:t>
      </w:r>
      <w:proofErr w:type="spellEnd"/>
      <w:r w:rsidRPr="003A3A14">
        <w:rPr>
          <w:lang w:eastAsia="lv-LV"/>
        </w:rPr>
        <w:t xml:space="preserve"> valstu (Argentīna, Brazīlija, Paragvaja un Urugvaja; Venecuēla sarunās piedalās tikai kā novērotājs) Asociācijas nolīgumu tika uzsāktas 2000.gada jūnijā. 2018.gada 24.-27. aprīlī Briselē notika </w:t>
      </w:r>
      <w:proofErr w:type="spellStart"/>
      <w:r w:rsidRPr="003A3A14">
        <w:rPr>
          <w:lang w:eastAsia="lv-LV"/>
        </w:rPr>
        <w:t>Mercosur</w:t>
      </w:r>
      <w:proofErr w:type="spellEnd"/>
      <w:r w:rsidRPr="003A3A14">
        <w:rPr>
          <w:lang w:eastAsia="lv-LV"/>
        </w:rPr>
        <w:t xml:space="preserve"> valstu ministru un ES Tirdzniecības </w:t>
      </w:r>
      <w:r w:rsidRPr="003A3A14">
        <w:rPr>
          <w:lang w:eastAsia="lv-LV"/>
        </w:rPr>
        <w:lastRenderedPageBreak/>
        <w:t>komisāres S.Mal</w:t>
      </w:r>
      <w:r w:rsidR="001A090A">
        <w:rPr>
          <w:lang w:eastAsia="lv-LV"/>
        </w:rPr>
        <w:t>m</w:t>
      </w:r>
      <w:r w:rsidRPr="003A3A14">
        <w:rPr>
          <w:lang w:eastAsia="lv-LV"/>
        </w:rPr>
        <w:t>strēmas un Lauksaimniecības komisāra F.Hogana tikšanās, kurā tika apspriesti galvenie atvērtie jautājumi. Tomēr sarunas nonāca strupceļā, jo netika rasts risinājums saistībā ar izcelsmes noteikumu regulējumu automobiļiem. Brazīlija uzstāj uz augstu vietējās izcelsmes saturu automašīnās, bet</w:t>
      </w:r>
      <w:r w:rsidR="003F1F64">
        <w:rPr>
          <w:lang w:eastAsia="lv-LV"/>
        </w:rPr>
        <w:t xml:space="preserve">, </w:t>
      </w:r>
      <w:r w:rsidRPr="003A3A14">
        <w:rPr>
          <w:lang w:eastAsia="lv-LV"/>
        </w:rPr>
        <w:t xml:space="preserve">ņemot vērā </w:t>
      </w:r>
      <w:r w:rsidR="003F1F64">
        <w:rPr>
          <w:lang w:eastAsia="lv-LV"/>
        </w:rPr>
        <w:t>ES dalībvalstu, t.sk. Latvijas,</w:t>
      </w:r>
      <w:r w:rsidR="003F1F64" w:rsidRPr="003A3A14">
        <w:rPr>
          <w:lang w:eastAsia="lv-LV"/>
        </w:rPr>
        <w:t xml:space="preserve"> </w:t>
      </w:r>
      <w:r w:rsidRPr="003A3A14">
        <w:rPr>
          <w:lang w:eastAsia="lv-LV"/>
        </w:rPr>
        <w:t xml:space="preserve">augsto integrāciju globālajās piegādes ķēdēs, šāds nosacījums nav izpildāms un tāpēc </w:t>
      </w:r>
      <w:r w:rsidRPr="003A3A14">
        <w:t>nepieņemams</w:t>
      </w:r>
      <w:r w:rsidRPr="003A3A14">
        <w:rPr>
          <w:lang w:eastAsia="lv-LV"/>
        </w:rPr>
        <w:t>. Tādej</w:t>
      </w:r>
      <w:r w:rsidR="00521291">
        <w:rPr>
          <w:lang w:eastAsia="lv-LV"/>
        </w:rPr>
        <w:t>ādi vēl aizvien ir nepieciešams</w:t>
      </w:r>
      <w:r w:rsidRPr="003A3A14">
        <w:rPr>
          <w:lang w:eastAsia="lv-LV"/>
        </w:rPr>
        <w:t xml:space="preserve"> tehnisks darbs, lai rastu abām pusēm pieņemamus </w:t>
      </w:r>
      <w:r w:rsidR="00ED3765" w:rsidRPr="003A3A14">
        <w:rPr>
          <w:lang w:eastAsia="lv-LV"/>
        </w:rPr>
        <w:t>risinājum</w:t>
      </w:r>
      <w:r w:rsidR="00ED3765">
        <w:rPr>
          <w:lang w:eastAsia="lv-LV"/>
        </w:rPr>
        <w:t>u</w:t>
      </w:r>
      <w:r w:rsidR="00ED3765" w:rsidRPr="003A3A14">
        <w:rPr>
          <w:lang w:eastAsia="lv-LV"/>
        </w:rPr>
        <w:t>s</w:t>
      </w:r>
      <w:r w:rsidRPr="003A3A14">
        <w:rPr>
          <w:lang w:eastAsia="lv-LV"/>
        </w:rPr>
        <w:t xml:space="preserve">. Pašlaik nākamās sarunu kārtas datumi vēl nav </w:t>
      </w:r>
      <w:r w:rsidR="00ED3765">
        <w:rPr>
          <w:lang w:eastAsia="lv-LV"/>
        </w:rPr>
        <w:t>noteikt</w:t>
      </w:r>
      <w:r w:rsidR="00ED3765" w:rsidRPr="003A3A14">
        <w:rPr>
          <w:lang w:eastAsia="lv-LV"/>
        </w:rPr>
        <w:t>i</w:t>
      </w:r>
      <w:r w:rsidRPr="003A3A14">
        <w:rPr>
          <w:lang w:eastAsia="lv-LV"/>
        </w:rPr>
        <w:t>.</w:t>
      </w:r>
    </w:p>
    <w:p w14:paraId="2236CD49" w14:textId="1A08838F" w:rsidR="00C87A59" w:rsidRPr="003A3A14" w:rsidRDefault="00C87A59" w:rsidP="009347C1">
      <w:pPr>
        <w:widowControl w:val="0"/>
        <w:spacing w:before="80" w:after="80" w:line="276" w:lineRule="auto"/>
        <w:ind w:firstLine="720"/>
        <w:jc w:val="both"/>
        <w:rPr>
          <w:lang w:eastAsia="lv-LV"/>
        </w:rPr>
      </w:pPr>
      <w:r w:rsidRPr="003A3A14">
        <w:rPr>
          <w:lang w:eastAsia="lv-LV"/>
        </w:rPr>
        <w:t xml:space="preserve">Paralēli turpinās diskusijas par tirgus piekļuves nosacījumiem </w:t>
      </w:r>
      <w:proofErr w:type="spellStart"/>
      <w:r w:rsidRPr="003A3A14">
        <w:rPr>
          <w:i/>
          <w:lang w:eastAsia="lv-LV"/>
        </w:rPr>
        <w:t>Mercosur</w:t>
      </w:r>
      <w:proofErr w:type="spellEnd"/>
      <w:r w:rsidRPr="003A3A14">
        <w:rPr>
          <w:lang w:eastAsia="lv-LV"/>
        </w:rPr>
        <w:t xml:space="preserve"> valstu izcelsmes lauksaimniecības produktiem – svaiga un saldēta liellopu gaļa, mājputnu gaļa, cūkgaļa, aitas gaļa, piena pulveris, sviests, siers, ķiploki, mīkstie kvieši, kukurūza un graudu sorgo, rīsi, etanols, pārstrādāts cukurs un pārstrādāti graudi. Joprojām atvērts ir jautājums par tarifu kvotas apjomu liellopu gaļai, kur </w:t>
      </w:r>
      <w:proofErr w:type="spellStart"/>
      <w:r w:rsidRPr="00521291">
        <w:rPr>
          <w:i/>
          <w:lang w:eastAsia="lv-LV"/>
        </w:rPr>
        <w:t>Mercosur</w:t>
      </w:r>
      <w:proofErr w:type="spellEnd"/>
      <w:r w:rsidR="00DF2D27">
        <w:rPr>
          <w:lang w:eastAsia="lv-LV"/>
        </w:rPr>
        <w:t xml:space="preserve"> uzskata, ka tai sākotnēj</w:t>
      </w:r>
      <w:r w:rsidRPr="003A3A14">
        <w:rPr>
          <w:lang w:eastAsia="lv-LV"/>
        </w:rPr>
        <w:t xml:space="preserve">i piedāvātie apjomi (70 tūkst. t/gadā) neesot pietiekami, turklāt </w:t>
      </w:r>
      <w:proofErr w:type="spellStart"/>
      <w:r w:rsidRPr="00521291">
        <w:rPr>
          <w:i/>
          <w:lang w:eastAsia="lv-LV"/>
        </w:rPr>
        <w:t>Mercosur</w:t>
      </w:r>
      <w:proofErr w:type="spellEnd"/>
      <w:r w:rsidRPr="003A3A14">
        <w:rPr>
          <w:lang w:eastAsia="lv-LV"/>
        </w:rPr>
        <w:t xml:space="preserve"> sasaista tirgus pieeju lauksaimniecības un ne-lauksaimniecības produktiem. </w:t>
      </w:r>
      <w:r w:rsidR="002609EC">
        <w:rPr>
          <w:lang w:eastAsia="lv-LV"/>
        </w:rPr>
        <w:t>EK</w:t>
      </w:r>
      <w:r w:rsidRPr="003A3A14">
        <w:rPr>
          <w:lang w:eastAsia="lv-LV"/>
        </w:rPr>
        <w:t xml:space="preserve"> ir minējusi iespēju palielināt ES tarifu kvotu liellopu gaļai piedāvājumu līdz 99 tūkst. t/gadā, bet šis ir jāvērtē kontekstā ar diskusiju progresu par citām līguma sadaļām, kurās iekļauti ES interesējoši jautājumi par autobūvi, piena produktiem, ģeogrāfiskās izcelsmes norādēm, </w:t>
      </w:r>
      <w:r w:rsidR="00ED3765">
        <w:rPr>
          <w:lang w:eastAsia="lv-LV"/>
        </w:rPr>
        <w:t>valsts</w:t>
      </w:r>
      <w:r w:rsidR="00ED3765" w:rsidRPr="003A3A14">
        <w:rPr>
          <w:lang w:eastAsia="lv-LV"/>
        </w:rPr>
        <w:t xml:space="preserve"> </w:t>
      </w:r>
      <w:r w:rsidRPr="003A3A14">
        <w:rPr>
          <w:lang w:eastAsia="lv-LV"/>
        </w:rPr>
        <w:t>iepirkumiem un jūras transporta pakalpojumiem.</w:t>
      </w:r>
    </w:p>
    <w:p w14:paraId="2B6E20BF" w14:textId="77777777" w:rsidR="00C87A59" w:rsidRPr="003A3A14" w:rsidRDefault="00C87A59" w:rsidP="009347C1">
      <w:pPr>
        <w:widowControl w:val="0"/>
        <w:spacing w:before="80" w:after="80" w:line="276" w:lineRule="auto"/>
        <w:ind w:firstLine="720"/>
        <w:jc w:val="both"/>
        <w:rPr>
          <w:lang w:eastAsia="lv-LV"/>
        </w:rPr>
      </w:pPr>
      <w:r w:rsidRPr="003A3A14">
        <w:rPr>
          <w:lang w:eastAsia="lv-LV"/>
        </w:rPr>
        <w:t>Latvija atbalsta sarunas par ES-</w:t>
      </w:r>
      <w:proofErr w:type="spellStart"/>
      <w:r w:rsidRPr="00521291">
        <w:rPr>
          <w:i/>
          <w:lang w:eastAsia="lv-LV"/>
        </w:rPr>
        <w:t>Mercosur</w:t>
      </w:r>
      <w:proofErr w:type="spellEnd"/>
      <w:r w:rsidRPr="003A3A14">
        <w:rPr>
          <w:lang w:eastAsia="lv-LV"/>
        </w:rPr>
        <w:t xml:space="preserve"> Asociācijas nolīguma tirdzniecības sadaļu. Sarunās par visaptverošu nolīgumu ir jāvienojas par tirgus pieejas uzlabošanu precēm, pakalpojumiem, un valsts iepirkumiem, kā arī jāsamazina netarifu barjeras un jāatceļ ierobežojumi ārvalstu investoriem. Vienlaicīgi tirdzniecības sarunu rezultātam ir jāatbilst ES un Latvijas ekonomiskajām interesēm. I</w:t>
      </w:r>
      <w:r w:rsidRPr="003A3A14">
        <w:rPr>
          <w:bCs/>
          <w:lang w:eastAsia="lv-LV"/>
        </w:rPr>
        <w:t xml:space="preserve">r būtiski </w:t>
      </w:r>
      <w:r w:rsidRPr="003A3A14">
        <w:rPr>
          <w:lang w:eastAsia="lv-LV"/>
        </w:rPr>
        <w:t xml:space="preserve">saglabāt zināmu tirgus aizsardzības līmeni sensitīvajiem produktiem, jo īpaši, attiecībā uz lauksaimniecības nozari, tarifu kvotu veidā vai garāka pakāpeniskās liberalizācijas grafika veidā. Vienlaikus sarunās jāpanāk, ka tiek saglabāts augsts pārtikas drošuma un kvalitātes, dzīvnieku veselības un labturības prasību un vides standartu līmenis. Nolīguma rezultātā nevar tikt mazinātas ES likumdošanas prasības veterinārajā, pārtikas un fitosanitārajā jomā. Šobrīd gaidām sarunu noslēgšanu un sagaidām, ka rezultātā </w:t>
      </w:r>
      <w:r w:rsidR="002609EC">
        <w:rPr>
          <w:lang w:eastAsia="lv-LV"/>
        </w:rPr>
        <w:t xml:space="preserve">EK </w:t>
      </w:r>
      <w:r w:rsidRPr="003A3A14">
        <w:rPr>
          <w:lang w:eastAsia="lv-LV"/>
        </w:rPr>
        <w:t>būs panākusi pēc iespējas vairāk ES un Latvijas interešu ņemšanu vērā.</w:t>
      </w:r>
      <w:r w:rsidR="009D1588">
        <w:rPr>
          <w:lang w:eastAsia="lv-LV"/>
        </w:rPr>
        <w:t xml:space="preserve"> </w:t>
      </w:r>
      <w:r w:rsidRPr="003A3A14">
        <w:rPr>
          <w:lang w:eastAsia="lv-LV"/>
        </w:rPr>
        <w:t xml:space="preserve">Spēkā ir Ārlietu ministrijas sagatavotā nacionālā pozīcija par </w:t>
      </w:r>
      <w:r w:rsidR="003A3A14">
        <w:rPr>
          <w:lang w:eastAsia="lv-LV"/>
        </w:rPr>
        <w:t>ES</w:t>
      </w:r>
      <w:r w:rsidRPr="003A3A14">
        <w:rPr>
          <w:lang w:eastAsia="lv-LV"/>
        </w:rPr>
        <w:t xml:space="preserve"> un </w:t>
      </w:r>
      <w:proofErr w:type="spellStart"/>
      <w:r w:rsidRPr="00521291">
        <w:rPr>
          <w:i/>
          <w:lang w:eastAsia="lv-LV"/>
        </w:rPr>
        <w:t>Mercosur</w:t>
      </w:r>
      <w:proofErr w:type="spellEnd"/>
      <w:r w:rsidRPr="003A3A14">
        <w:rPr>
          <w:lang w:eastAsia="lv-LV"/>
        </w:rPr>
        <w:t xml:space="preserve"> valstu sarunām par Asociācijas nolīguma noslēgšanu</w:t>
      </w:r>
      <w:r w:rsidR="009D1588">
        <w:rPr>
          <w:lang w:eastAsia="lv-LV"/>
        </w:rPr>
        <w:t xml:space="preserve">, kas </w:t>
      </w:r>
      <w:r w:rsidRPr="003A3A14">
        <w:rPr>
          <w:lang w:eastAsia="lv-LV"/>
        </w:rPr>
        <w:t>tika apstiprināta 2017.gada 20.decembrī.</w:t>
      </w:r>
    </w:p>
    <w:p w14:paraId="3AEB04D9" w14:textId="77777777" w:rsidR="00C87A59" w:rsidRPr="003A3A14" w:rsidRDefault="00C87A59" w:rsidP="009347C1">
      <w:pPr>
        <w:spacing w:before="120" w:after="120" w:line="276" w:lineRule="auto"/>
        <w:contextualSpacing/>
        <w:jc w:val="both"/>
        <w:rPr>
          <w:highlight w:val="yellow"/>
        </w:rPr>
      </w:pPr>
    </w:p>
    <w:p w14:paraId="6525BAEB" w14:textId="77777777" w:rsidR="00C87A59" w:rsidRPr="003A3A14" w:rsidRDefault="00C87A59" w:rsidP="009347C1">
      <w:pPr>
        <w:widowControl w:val="0"/>
        <w:spacing w:before="80" w:after="80" w:line="276" w:lineRule="auto"/>
        <w:jc w:val="both"/>
        <w:outlineLvl w:val="1"/>
        <w:rPr>
          <w:u w:val="single"/>
          <w:lang w:eastAsia="lv-LV"/>
        </w:rPr>
      </w:pPr>
      <w:r w:rsidRPr="003A3A14">
        <w:rPr>
          <w:u w:val="single"/>
          <w:lang w:eastAsia="lv-LV"/>
        </w:rPr>
        <w:t>ES – Meksikas tirdzniecības sarunas</w:t>
      </w:r>
    </w:p>
    <w:p w14:paraId="7380AB26" w14:textId="7F033CF2" w:rsidR="00C87A59" w:rsidRPr="003A3A14" w:rsidRDefault="00C87A59" w:rsidP="009347C1">
      <w:pPr>
        <w:widowControl w:val="0"/>
        <w:spacing w:before="80" w:after="80" w:line="276" w:lineRule="auto"/>
        <w:ind w:firstLine="720"/>
        <w:jc w:val="both"/>
        <w:rPr>
          <w:iCs/>
          <w:lang w:eastAsia="lv-LV"/>
        </w:rPr>
      </w:pPr>
      <w:r w:rsidRPr="003A3A14">
        <w:rPr>
          <w:lang w:eastAsia="lv-LV"/>
        </w:rPr>
        <w:t xml:space="preserve">ES un Meksikas tirdzniecības attiecības nosaka Ekonomiskās partnerības, politiskās koordinācijas un sadarbības nolīgums (turpmāk </w:t>
      </w:r>
      <w:r w:rsidR="00DF2D27">
        <w:rPr>
          <w:lang w:eastAsia="lv-LV"/>
        </w:rPr>
        <w:t xml:space="preserve">- </w:t>
      </w:r>
      <w:r w:rsidRPr="003A3A14">
        <w:rPr>
          <w:lang w:eastAsia="lv-LV"/>
        </w:rPr>
        <w:t>Globālais nolīgums), kurš stājās spēkā 1997. gadā. 2016. gada 25. maijā ES un Meksika uzsāka sarunas par Globālā nolīguma modernizāciju</w:t>
      </w:r>
      <w:r w:rsidRPr="003A3A14">
        <w:rPr>
          <w:iCs/>
          <w:lang w:eastAsia="lv-LV"/>
        </w:rPr>
        <w:t xml:space="preserve">.  Ja oriģinālais nolīgums aptvēra </w:t>
      </w:r>
      <w:r w:rsidR="006A7C19">
        <w:rPr>
          <w:iCs/>
          <w:lang w:eastAsia="lv-LV"/>
        </w:rPr>
        <w:t>pamatā tikai</w:t>
      </w:r>
      <w:r w:rsidR="006A7C19" w:rsidRPr="003A3A14">
        <w:rPr>
          <w:iCs/>
          <w:lang w:eastAsia="lv-LV"/>
        </w:rPr>
        <w:t xml:space="preserve"> </w:t>
      </w:r>
      <w:r w:rsidRPr="003A3A14">
        <w:rPr>
          <w:iCs/>
          <w:lang w:eastAsia="lv-LV"/>
        </w:rPr>
        <w:t>preces</w:t>
      </w:r>
      <w:r w:rsidR="006A7C19">
        <w:rPr>
          <w:iCs/>
          <w:lang w:eastAsia="lv-LV"/>
        </w:rPr>
        <w:t>, neskarot zivsaimniecības un lauksaimniecības produktus</w:t>
      </w:r>
      <w:r w:rsidRPr="003A3A14">
        <w:rPr>
          <w:iCs/>
          <w:lang w:eastAsia="lv-LV"/>
        </w:rPr>
        <w:t xml:space="preserve">, tad atjauninātais nolīgums aptvers arī finanšu jomu, e-komerciju un piekļuvi lauksaimniecības </w:t>
      </w:r>
      <w:r w:rsidR="002609EC">
        <w:rPr>
          <w:iCs/>
          <w:lang w:eastAsia="lv-LV"/>
        </w:rPr>
        <w:t xml:space="preserve">un pārtikas produktiem. </w:t>
      </w:r>
    </w:p>
    <w:p w14:paraId="7AC568AE" w14:textId="656B19E5" w:rsidR="00C87A59" w:rsidRPr="003A3A14" w:rsidRDefault="00C87A59" w:rsidP="009347C1">
      <w:pPr>
        <w:widowControl w:val="0"/>
        <w:spacing w:before="80" w:after="80" w:line="276" w:lineRule="auto"/>
        <w:ind w:firstLine="720"/>
        <w:jc w:val="both"/>
      </w:pPr>
      <w:r w:rsidRPr="003A3A14">
        <w:rPr>
          <w:lang w:eastAsia="lv-LV"/>
        </w:rPr>
        <w:t xml:space="preserve">Pēdējā sarunu kārta ar Meksiku notika 2018. gada 16.-21. aprīlī Briselē, kur pusēm izdevās panākt politisko vienošanos, jo tika atrisināti jautājumi </w:t>
      </w:r>
      <w:r w:rsidRPr="003A3A14">
        <w:rPr>
          <w:rStyle w:val="word"/>
        </w:rPr>
        <w:t>attiecībā</w:t>
      </w:r>
      <w:r w:rsidRPr="003A3A14">
        <w:rPr>
          <w:rStyle w:val="phrase"/>
        </w:rPr>
        <w:t xml:space="preserve"> </w:t>
      </w:r>
      <w:r w:rsidRPr="003A3A14">
        <w:rPr>
          <w:rStyle w:val="word"/>
        </w:rPr>
        <w:t>uz</w:t>
      </w:r>
      <w:r w:rsidRPr="003A3A14">
        <w:rPr>
          <w:rStyle w:val="phrase"/>
        </w:rPr>
        <w:t xml:space="preserve"> </w:t>
      </w:r>
      <w:r w:rsidRPr="003A3A14">
        <w:rPr>
          <w:rStyle w:val="word"/>
        </w:rPr>
        <w:t>tirgus</w:t>
      </w:r>
      <w:r w:rsidRPr="003A3A14">
        <w:rPr>
          <w:rStyle w:val="sentence"/>
        </w:rPr>
        <w:t xml:space="preserve"> </w:t>
      </w:r>
      <w:r w:rsidRPr="003A3A14">
        <w:rPr>
          <w:rStyle w:val="word"/>
        </w:rPr>
        <w:t>piekļuvi</w:t>
      </w:r>
      <w:r w:rsidRPr="003A3A14">
        <w:rPr>
          <w:rStyle w:val="sentence"/>
        </w:rPr>
        <w:t xml:space="preserve"> </w:t>
      </w:r>
      <w:r w:rsidRPr="003A3A14">
        <w:rPr>
          <w:rStyle w:val="word"/>
        </w:rPr>
        <w:t>sensitīviem</w:t>
      </w:r>
      <w:r w:rsidRPr="003A3A14">
        <w:rPr>
          <w:rStyle w:val="sentence"/>
        </w:rPr>
        <w:t xml:space="preserve"> </w:t>
      </w:r>
      <w:r w:rsidRPr="003A3A14">
        <w:rPr>
          <w:rStyle w:val="word"/>
        </w:rPr>
        <w:t>lauksaimniecības</w:t>
      </w:r>
      <w:r w:rsidRPr="003A3A14">
        <w:rPr>
          <w:rStyle w:val="sentence"/>
        </w:rPr>
        <w:t xml:space="preserve"> </w:t>
      </w:r>
      <w:r w:rsidRPr="003A3A14">
        <w:rPr>
          <w:rStyle w:val="word"/>
        </w:rPr>
        <w:t xml:space="preserve">produktiem </w:t>
      </w:r>
      <w:r w:rsidRPr="003A3A14">
        <w:rPr>
          <w:lang w:eastAsia="lv-LV"/>
        </w:rPr>
        <w:t>(t.sk. piena produktiem, sieriem un piena pulverim)</w:t>
      </w:r>
      <w:r w:rsidRPr="003A3A14">
        <w:rPr>
          <w:rStyle w:val="word"/>
        </w:rPr>
        <w:t>,</w:t>
      </w:r>
      <w:r w:rsidRPr="003A3A14">
        <w:rPr>
          <w:rStyle w:val="sentence"/>
        </w:rPr>
        <w:t xml:space="preserve"> </w:t>
      </w:r>
      <w:r w:rsidR="005221D8">
        <w:t>investīciju</w:t>
      </w:r>
      <w:r w:rsidR="005221D8" w:rsidRPr="003A3A14">
        <w:rPr>
          <w:rStyle w:val="word"/>
        </w:rPr>
        <w:t xml:space="preserve"> </w:t>
      </w:r>
      <w:r w:rsidRPr="003A3A14">
        <w:rPr>
          <w:rStyle w:val="word"/>
        </w:rPr>
        <w:t>aizsardzību, valsts</w:t>
      </w:r>
      <w:r w:rsidRPr="003A3A14">
        <w:rPr>
          <w:rStyle w:val="phrase"/>
        </w:rPr>
        <w:t xml:space="preserve"> </w:t>
      </w:r>
      <w:r w:rsidRPr="003A3A14">
        <w:rPr>
          <w:rStyle w:val="word"/>
        </w:rPr>
        <w:t>iepirkumiem</w:t>
      </w:r>
      <w:r w:rsidRPr="003A3A14">
        <w:rPr>
          <w:rStyle w:val="sentence"/>
        </w:rPr>
        <w:t xml:space="preserve"> </w:t>
      </w:r>
      <w:r w:rsidRPr="003A3A14">
        <w:rPr>
          <w:rStyle w:val="word"/>
        </w:rPr>
        <w:t xml:space="preserve">decentralizētā līmenī un </w:t>
      </w:r>
      <w:r w:rsidRPr="003A3A14">
        <w:rPr>
          <w:lang w:eastAsia="lv-LV"/>
        </w:rPr>
        <w:t xml:space="preserve">ģeogrāfiskās izcelsmes </w:t>
      </w:r>
      <w:r w:rsidR="00ED3765" w:rsidRPr="003A3A14">
        <w:rPr>
          <w:lang w:eastAsia="lv-LV"/>
        </w:rPr>
        <w:t>norā</w:t>
      </w:r>
      <w:r w:rsidR="00ED3765">
        <w:rPr>
          <w:lang w:eastAsia="lv-LV"/>
        </w:rPr>
        <w:t>žu aizsardzību</w:t>
      </w:r>
      <w:r w:rsidRPr="003A3A14">
        <w:rPr>
          <w:lang w:eastAsia="lv-LV"/>
        </w:rPr>
        <w:t>.</w:t>
      </w:r>
      <w:r w:rsidR="00ED3765" w:rsidRPr="00ED3765">
        <w:rPr>
          <w:iCs/>
          <w:lang w:eastAsia="lv-LV"/>
        </w:rPr>
        <w:t xml:space="preserve"> </w:t>
      </w:r>
      <w:r w:rsidR="00ED3765">
        <w:rPr>
          <w:iCs/>
          <w:lang w:eastAsia="lv-LV"/>
        </w:rPr>
        <w:t>EK</w:t>
      </w:r>
      <w:r w:rsidR="00ED3765" w:rsidRPr="003A3A14">
        <w:rPr>
          <w:iCs/>
          <w:lang w:eastAsia="lv-LV"/>
        </w:rPr>
        <w:t xml:space="preserve"> sarunās sasniegto rezultātu vērtē kā labu un līdzsvarotu.</w:t>
      </w:r>
      <w:r w:rsidR="000943A8">
        <w:rPr>
          <w:iCs/>
          <w:lang w:eastAsia="lv-LV"/>
        </w:rPr>
        <w:t xml:space="preserve"> </w:t>
      </w:r>
      <w:r w:rsidRPr="003A3A14">
        <w:t xml:space="preserve">Kaut arī par Globālo nolīgumu ir panākta politiskā vienošanās, vēl ir atlicis pabeigt tehnisko darbu </w:t>
      </w:r>
      <w:r w:rsidRPr="003A3A14">
        <w:lastRenderedPageBreak/>
        <w:t xml:space="preserve">atsevišķās </w:t>
      </w:r>
      <w:r w:rsidRPr="003A3A14">
        <w:rPr>
          <w:lang w:eastAsia="lv-LV"/>
        </w:rPr>
        <w:t>sadaļās</w:t>
      </w:r>
      <w:r w:rsidRPr="003A3A14">
        <w:t xml:space="preserve">, t.sk. vienošanās par vīniem un spirtiem integrēšana. </w:t>
      </w:r>
      <w:r w:rsidR="002609EC">
        <w:t xml:space="preserve">EK </w:t>
      </w:r>
      <w:r w:rsidRPr="003A3A14">
        <w:t>plāno tuvākajā laikā salikt līguma gala tekstu, kas varētu aizņemt 3-5 mēnešus</w:t>
      </w:r>
      <w:r w:rsidR="00D917CE">
        <w:t>. Pēc tam</w:t>
      </w:r>
      <w:r w:rsidRPr="003A3A14">
        <w:t xml:space="preserve"> t</w:t>
      </w:r>
      <w:r w:rsidR="00D917CE">
        <w:t>as</w:t>
      </w:r>
      <w:r w:rsidRPr="003A3A14">
        <w:t xml:space="preserve"> </w:t>
      </w:r>
      <w:r w:rsidR="00D917CE">
        <w:t xml:space="preserve">tiks </w:t>
      </w:r>
      <w:r w:rsidRPr="003A3A14">
        <w:t>nosūtīs juridiskai caurskatīšanai un tulkošanai, kas aizņems vēl dažus mēnešus. Līdz ar to Globālais nolīgums varētu tikt parakstīts</w:t>
      </w:r>
      <w:r w:rsidR="00ED3765">
        <w:t xml:space="preserve"> šī gada nogalē vai</w:t>
      </w:r>
      <w:r w:rsidRPr="003A3A14">
        <w:t xml:space="preserve"> 2019. </w:t>
      </w:r>
      <w:r w:rsidR="00ED3765" w:rsidRPr="003A3A14">
        <w:t>gad</w:t>
      </w:r>
      <w:r w:rsidR="00ED3765">
        <w:t>a sākumā</w:t>
      </w:r>
      <w:r w:rsidRPr="003A3A14">
        <w:t>.</w:t>
      </w:r>
    </w:p>
    <w:p w14:paraId="024DD127" w14:textId="625E934C" w:rsidR="00C87A59" w:rsidRPr="003A3A14" w:rsidRDefault="00C87A59" w:rsidP="009347C1">
      <w:pPr>
        <w:widowControl w:val="0"/>
        <w:spacing w:before="80" w:after="80" w:line="276" w:lineRule="auto"/>
        <w:ind w:firstLine="720"/>
        <w:jc w:val="both"/>
        <w:rPr>
          <w:lang w:eastAsia="lv-LV"/>
        </w:rPr>
      </w:pPr>
      <w:r w:rsidRPr="003A3A14">
        <w:rPr>
          <w:lang w:eastAsia="lv-LV"/>
        </w:rPr>
        <w:t xml:space="preserve">Latvija atbalsta ES–Meksikas Globālā nolīguma tirdzniecības sadaļas modernizāciju, tādējādi stiprinot Latvijas attiecības ar Meksiku. Nolīgumam jāsekmē Latvijas eksportspējīgo preču un pakalpojumu tirgus pieejamības nosacījumu uzlabošana Meksikas tirgū. Ārlietu ministrijas sagatavotā nacionālā pozīcija par </w:t>
      </w:r>
      <w:r w:rsidRPr="003A3A14">
        <w:rPr>
          <w:iCs/>
          <w:lang w:eastAsia="lv-LV"/>
        </w:rPr>
        <w:t xml:space="preserve">ES – Meksikas Ekonomiskās partnerības, politiskās </w:t>
      </w:r>
      <w:r w:rsidRPr="003A3A14">
        <w:rPr>
          <w:lang w:eastAsia="lv-LV"/>
        </w:rPr>
        <w:t>koordinācijas</w:t>
      </w:r>
      <w:r w:rsidRPr="003A3A14">
        <w:rPr>
          <w:iCs/>
          <w:lang w:eastAsia="lv-LV"/>
        </w:rPr>
        <w:t xml:space="preserve"> un sadarbības nolīgumu tirdzniecības un ieguldījumu partnerību </w:t>
      </w:r>
      <w:r w:rsidRPr="003A3A14">
        <w:rPr>
          <w:lang w:eastAsia="lv-LV"/>
        </w:rPr>
        <w:t>tika apstiprināta 2016.</w:t>
      </w:r>
      <w:r w:rsidR="004A09AD">
        <w:rPr>
          <w:lang w:eastAsia="lv-LV"/>
        </w:rPr>
        <w:t xml:space="preserve"> </w:t>
      </w:r>
      <w:r w:rsidRPr="003A3A14">
        <w:rPr>
          <w:lang w:eastAsia="lv-LV"/>
        </w:rPr>
        <w:t>gada 26.</w:t>
      </w:r>
      <w:r w:rsidR="004A09AD">
        <w:rPr>
          <w:lang w:eastAsia="lv-LV"/>
        </w:rPr>
        <w:t xml:space="preserve"> </w:t>
      </w:r>
      <w:r w:rsidRPr="003A3A14">
        <w:rPr>
          <w:lang w:eastAsia="lv-LV"/>
        </w:rPr>
        <w:t>februārī.</w:t>
      </w:r>
    </w:p>
    <w:p w14:paraId="7E5D750B" w14:textId="77777777" w:rsidR="00C87A59" w:rsidRPr="003A3A14" w:rsidRDefault="00C87A59" w:rsidP="009347C1">
      <w:pPr>
        <w:spacing w:before="120" w:after="120" w:line="276" w:lineRule="auto"/>
        <w:contextualSpacing/>
        <w:jc w:val="both"/>
        <w:rPr>
          <w:lang w:eastAsia="lv-LV"/>
        </w:rPr>
      </w:pPr>
    </w:p>
    <w:p w14:paraId="626029D2" w14:textId="77777777" w:rsidR="00CE0059" w:rsidRPr="003A3A14" w:rsidRDefault="00CF53D6" w:rsidP="00DB18FB">
      <w:pPr>
        <w:widowControl w:val="0"/>
        <w:spacing w:before="80" w:line="276" w:lineRule="auto"/>
        <w:jc w:val="both"/>
        <w:rPr>
          <w:b/>
        </w:rPr>
      </w:pPr>
      <w:r w:rsidRPr="003A3A14">
        <w:rPr>
          <w:b/>
        </w:rPr>
        <w:t>Aktualitātes saistībā ar ASV īstenotajiem tirdzniecības politikas pasākumiem</w:t>
      </w:r>
    </w:p>
    <w:p w14:paraId="33DD3505" w14:textId="134732D7" w:rsidR="00565C94" w:rsidRPr="003A3A14" w:rsidRDefault="00565C94" w:rsidP="00565C94">
      <w:pPr>
        <w:widowControl w:val="0"/>
        <w:spacing w:before="80" w:after="80" w:line="276" w:lineRule="auto"/>
        <w:ind w:firstLine="720"/>
        <w:jc w:val="both"/>
      </w:pPr>
      <w:r w:rsidRPr="003A3A14">
        <w:t xml:space="preserve">Sanāksmes darba pusdienu formātā ministriem tiek dota iespēja diskutēt par jautājumiem saistībā ar ASV īstenotajiem tirdzniecības </w:t>
      </w:r>
      <w:r w:rsidRPr="003A3A14">
        <w:rPr>
          <w:lang w:eastAsia="lv-LV"/>
        </w:rPr>
        <w:t>politikas</w:t>
      </w:r>
      <w:r w:rsidRPr="003A3A14">
        <w:t xml:space="preserve"> pasākumiem.</w:t>
      </w:r>
      <w:r w:rsidR="000943A8">
        <w:t xml:space="preserve"> </w:t>
      </w:r>
      <w:r>
        <w:t>ASV</w:t>
      </w:r>
      <w:r w:rsidRPr="003A3A14">
        <w:t xml:space="preserve"> 2018. gada 8. martā nolēma paaugstināt importa tarifus tēraudam un alumīnijam, pamatojot tos ar nacionālās drošības apsvērumiem. 30. </w:t>
      </w:r>
      <w:r>
        <w:t>aprīlī</w:t>
      </w:r>
      <w:r w:rsidRPr="003A3A14">
        <w:t xml:space="preserve"> ASV pagarināja </w:t>
      </w:r>
      <w:r w:rsidRPr="003A3A14">
        <w:rPr>
          <w:lang w:eastAsia="lv-LV"/>
        </w:rPr>
        <w:t>izņēmumu</w:t>
      </w:r>
      <w:r w:rsidRPr="003A3A14">
        <w:t xml:space="preserve"> ES un neattiecinās paaugstinātos importa tarifus ES izcelsmes tēraudam un alumīnijam līdz 1.</w:t>
      </w:r>
      <w:r w:rsidR="004A09AD">
        <w:t xml:space="preserve"> </w:t>
      </w:r>
      <w:r w:rsidRPr="003A3A14">
        <w:t>jūnijam</w:t>
      </w:r>
      <w:r>
        <w:t xml:space="preserve"> (iepriekš līdz 1. maijam) un atsevišķi avoti liecina, ka šis varētu būt pēdējais šāda veida pagarinājums</w:t>
      </w:r>
      <w:r w:rsidRPr="003A3A14">
        <w:t>.</w:t>
      </w:r>
      <w:r w:rsidR="00DB18FB">
        <w:t xml:space="preserve"> </w:t>
      </w:r>
      <w:r>
        <w:t xml:space="preserve">Pašlaik EK ved sarunas ar ASV par iespējamiem risinājumiem, kuri ļautu ES pastāvīgi izvairīties no paaugstinātajiem importa tarifiem. Jāatzīmē, ka ASV izvirzītie priekšnosacījumi (kā vienpusēja tirgus piekļuves uzlabošana automašīnām, lauksaimniecības produkcijai un farmācijai, brīvprātīgs eksporta samazinājums alumīnijam un tēraudam, izmaiņas </w:t>
      </w:r>
      <w:proofErr w:type="spellStart"/>
      <w:r>
        <w:t>regulatorajā</w:t>
      </w:r>
      <w:proofErr w:type="spellEnd"/>
      <w:r>
        <w:t xml:space="preserve"> jomā u.c.), lai ES saglabātu izņēmumu attiecībā minētajiem tarifiem, ES nav pieņemami, tāpēc kopumā sarunas ir vērtējamas kā sarežģītas. Papildus jāatzīmē, ka atsevišķas valstis, piem., Dienvidkoreja, Argentīna, ir apņēmušās ierobežot un samazināt savu alumīnija un tērauda eksportu uz ASV, tādejādi panākot vienošanos ar ASV par paaugstināto tarifu neattiecināšanu šo valstu eksportam uz ASV.</w:t>
      </w:r>
    </w:p>
    <w:p w14:paraId="4847C4B4" w14:textId="0A453E3A" w:rsidR="00565C94" w:rsidRDefault="00565C94" w:rsidP="00565C94">
      <w:pPr>
        <w:widowControl w:val="0"/>
        <w:spacing w:before="80" w:after="80" w:line="276" w:lineRule="auto"/>
        <w:ind w:firstLine="720"/>
        <w:jc w:val="both"/>
      </w:pPr>
      <w:r>
        <w:t xml:space="preserve">Arī EK aktīvi strādā, plāno un sper konkrētus soļus ES interešu aizsardzības nolūkā aizstāvēt ES intereses, tostarp </w:t>
      </w:r>
      <w:r w:rsidRPr="003A3A14">
        <w:t>vairāk</w:t>
      </w:r>
      <w:r>
        <w:t>us</w:t>
      </w:r>
      <w:r w:rsidRPr="003A3A14">
        <w:t xml:space="preserve"> </w:t>
      </w:r>
      <w:r w:rsidR="004A09AD">
        <w:t xml:space="preserve">PTO noteikumiem atbilstošus </w:t>
      </w:r>
      <w:r w:rsidRPr="003A3A14">
        <w:t>aizsardzības un līdzsvarošanas pasākumus: (1) š.g. 17. aprīlī tika pieņemta Īstenošanas regula, ar kuru var</w:t>
      </w:r>
      <w:r>
        <w:t xml:space="preserve"> nekavējoties</w:t>
      </w:r>
      <w:r w:rsidRPr="003A3A14">
        <w:t xml:space="preserve"> paaugstināt importa nodokļus atsevišķām ASV izcelsmes precēm, lai mazinātu kaitējumu, kas varētu tikt radīti ES eksportam uz ASV; (2) EK ir uzsākusi izmeklēšanu tērauda sektorā, ar mērķi izvērtēt nepieciešamību ieviest ES līmeņa aizsargpasākumus atsevišķiem tērauda ražojumiem; (3) EK ir iedarbinājusi iepriekšējās uzraudzības sistēmu (t.i. licencēšanu) atsevišķu alumīnija produktu importam no trešajām valstīm.</w:t>
      </w:r>
      <w:r>
        <w:t xml:space="preserve"> </w:t>
      </w:r>
    </w:p>
    <w:p w14:paraId="576E10D1" w14:textId="6BDE3F00" w:rsidR="00565C94" w:rsidRPr="003A3A14" w:rsidRDefault="00565C94" w:rsidP="00565C94">
      <w:pPr>
        <w:widowControl w:val="0"/>
        <w:spacing w:before="80" w:after="80" w:line="276" w:lineRule="auto"/>
        <w:ind w:firstLine="720"/>
        <w:jc w:val="both"/>
        <w:rPr>
          <w:highlight w:val="yellow"/>
        </w:rPr>
      </w:pPr>
      <w:r>
        <w:t>Latvijas un ASV tirdzniecības statistika liecina, ka gadījumā, ja ASV sāks piemērot paaugstinātos tarifus alumīnijam un tēraudam un ES no paaugstinās importa tarifus atsevišķiem ASV izcelsmes produktiem, būtiska tieša ietekme uz Latvijas ekonomiku neradīsies, jo abu pušu tirdzniecības pasākumu skartie produkti sastāda salīdzinoši niecīgu daļu Latvijas kopējā tirdzniecībā</w:t>
      </w:r>
      <w:r w:rsidR="007C0408">
        <w:t xml:space="preserve">, attiecīgi </w:t>
      </w:r>
      <w:r w:rsidR="007C0408" w:rsidRPr="007C0408">
        <w:t>0,0</w:t>
      </w:r>
      <w:r w:rsidR="007C0408">
        <w:t>3% no kopējās Latvijas importa</w:t>
      </w:r>
      <w:r w:rsidR="007C0408" w:rsidRPr="007C0408">
        <w:t xml:space="preserve"> un 0,002% no kopējās Latvijas eksporta vērtības.</w:t>
      </w:r>
      <w:r w:rsidR="004A09AD">
        <w:t xml:space="preserve"> I</w:t>
      </w:r>
      <w:r w:rsidRPr="003C1256">
        <w:t xml:space="preserve">ekšējās ES diskusijas </w:t>
      </w:r>
      <w:r w:rsidR="00B105C8" w:rsidRPr="00F23E6F">
        <w:t xml:space="preserve">joprojām </w:t>
      </w:r>
      <w:r w:rsidR="003C1256" w:rsidRPr="00F23E6F">
        <w:t>turpinās</w:t>
      </w:r>
      <w:r w:rsidR="003C1256">
        <w:t xml:space="preserve"> un </w:t>
      </w:r>
      <w:r w:rsidR="003C1256" w:rsidRPr="003C1256">
        <w:t>i</w:t>
      </w:r>
      <w:r w:rsidRPr="003C1256">
        <w:t xml:space="preserve">r </w:t>
      </w:r>
      <w:r w:rsidR="003C1256" w:rsidRPr="003C1256">
        <w:t xml:space="preserve">pietiekoši </w:t>
      </w:r>
      <w:r w:rsidRPr="003C1256">
        <w:t>komplicētas</w:t>
      </w:r>
      <w:r w:rsidR="003C1256" w:rsidRPr="003C1256">
        <w:t xml:space="preserve">. </w:t>
      </w:r>
      <w:r w:rsidR="00B105C8" w:rsidRPr="003C1256">
        <w:t xml:space="preserve"> </w:t>
      </w:r>
      <w:r w:rsidR="003C1256" w:rsidRPr="00F23E6F">
        <w:t>Ņe</w:t>
      </w:r>
      <w:r w:rsidR="00B105C8" w:rsidRPr="00F23E6F">
        <w:t>mot v</w:t>
      </w:r>
      <w:r w:rsidR="003C1256" w:rsidRPr="00F23E6F">
        <w:t xml:space="preserve">ērā to, ka </w:t>
      </w:r>
      <w:r w:rsidR="007F2110">
        <w:t>dalībvalstu</w:t>
      </w:r>
      <w:r w:rsidR="007F2110" w:rsidRPr="00F23E6F">
        <w:t xml:space="preserve"> </w:t>
      </w:r>
      <w:r w:rsidR="00B105C8" w:rsidRPr="00F23E6F">
        <w:t xml:space="preserve">ekonomiskas intereses ir </w:t>
      </w:r>
      <w:r w:rsidR="003C1256" w:rsidRPr="003C1256">
        <w:t>atšķirīgas, arī kopsaucēja panākšana varētu nebūt vienkārša</w:t>
      </w:r>
      <w:r w:rsidR="00B105C8" w:rsidRPr="003C1256">
        <w:t>.</w:t>
      </w:r>
      <w:r w:rsidR="003C1256">
        <w:t xml:space="preserve"> </w:t>
      </w:r>
      <w:r w:rsidR="007F2110">
        <w:t>Kopumā dalībvalstis</w:t>
      </w:r>
      <w:r w:rsidR="007F2110" w:rsidRPr="003C1256">
        <w:t xml:space="preserve"> </w:t>
      </w:r>
      <w:r w:rsidRPr="003C1256">
        <w:t xml:space="preserve">vēlas radušos situāciju </w:t>
      </w:r>
      <w:r w:rsidR="003C1256" w:rsidRPr="003C1256">
        <w:t>atrisināt un spēt no</w:t>
      </w:r>
      <w:r w:rsidRPr="003C1256">
        <w:t xml:space="preserve">turēt līdz šim stingro nostāju, ka ES kā uzticamam ASV partnerim pienākas pastāvīgs izņēmums no </w:t>
      </w:r>
      <w:r w:rsidRPr="003C1256">
        <w:lastRenderedPageBreak/>
        <w:t xml:space="preserve">paaugstinātajiem tarifiem </w:t>
      </w:r>
      <w:r w:rsidR="00DB26A0">
        <w:t xml:space="preserve">tēraudam un </w:t>
      </w:r>
      <w:r w:rsidRPr="003C1256">
        <w:t>alumīnijam</w:t>
      </w:r>
      <w:r w:rsidR="003C1256" w:rsidRPr="003C1256">
        <w:t xml:space="preserve">. </w:t>
      </w:r>
      <w:r w:rsidR="007F2110">
        <w:t>V</w:t>
      </w:r>
      <w:r w:rsidR="003C1256" w:rsidRPr="003C1256">
        <w:t>ienlaikus sāk izskanēt</w:t>
      </w:r>
      <w:r w:rsidR="00DB26A0">
        <w:t xml:space="preserve"> atsevišķu </w:t>
      </w:r>
      <w:r w:rsidR="007F2110">
        <w:t>dalībvalstu</w:t>
      </w:r>
      <w:r w:rsidR="007F2110" w:rsidRPr="003C1256">
        <w:t xml:space="preserve"> </w:t>
      </w:r>
      <w:r w:rsidR="003C1256" w:rsidRPr="003C1256">
        <w:t xml:space="preserve">domas, ka, iespējams, būtu tomēr jāsāk izrādīt atvērtība </w:t>
      </w:r>
      <w:r w:rsidRPr="003C1256">
        <w:t xml:space="preserve">ASV </w:t>
      </w:r>
      <w:r w:rsidR="003C1256" w:rsidRPr="003C1256">
        <w:t>prasībām.</w:t>
      </w:r>
      <w:r w:rsidRPr="003C1256">
        <w:t xml:space="preserve"> Latvija atbalsta EK stratēģiju un īstenotos centienus rast risinājumus esošajai situācijai saistībā ar ASV īstenotajiem</w:t>
      </w:r>
      <w:r>
        <w:t xml:space="preserve"> tirdzniecības politikas pasākumiem.</w:t>
      </w:r>
      <w:r w:rsidRPr="003A3A14">
        <w:t xml:space="preserve"> </w:t>
      </w:r>
      <w:r w:rsidR="003C1256">
        <w:t>Vienlaikus uzsveram</w:t>
      </w:r>
      <w:r w:rsidR="007F2110">
        <w:t>, ka jārespektē</w:t>
      </w:r>
      <w:r w:rsidR="007F2110" w:rsidRPr="003A3A14">
        <w:t xml:space="preserve"> un </w:t>
      </w:r>
      <w:r w:rsidR="007F2110">
        <w:t xml:space="preserve">jāstiprina </w:t>
      </w:r>
      <w:r w:rsidRPr="003A3A14">
        <w:t xml:space="preserve">uz </w:t>
      </w:r>
      <w:r>
        <w:t xml:space="preserve">PTO </w:t>
      </w:r>
      <w:r w:rsidRPr="003A3A14">
        <w:t xml:space="preserve">noteikumiem balstītas daudzpusējās tirdzniecības sistēma </w:t>
      </w:r>
      <w:r>
        <w:t>un uzskatām,</w:t>
      </w:r>
      <w:r w:rsidR="003C1256">
        <w:t xml:space="preserve"> </w:t>
      </w:r>
      <w:r>
        <w:t>ka t</w:t>
      </w:r>
      <w:r w:rsidRPr="003A3A14">
        <w:t xml:space="preserve">irdzniecības strīdi un domstarpības jārisina izmantojot PTO instrumentus un juridisko ietvaru. </w:t>
      </w:r>
      <w:r w:rsidR="006A7C19">
        <w:t>ES jau ir</w:t>
      </w:r>
      <w:r w:rsidR="006A7C19" w:rsidRPr="006A7C19">
        <w:t xml:space="preserve"> pieprasījusi piedalīties kā trešā persona Ķīnas un ASV </w:t>
      </w:r>
      <w:r w:rsidR="006A7C19">
        <w:t xml:space="preserve">PTO </w:t>
      </w:r>
      <w:r w:rsidR="004A09AD">
        <w:t>konsultācijās</w:t>
      </w:r>
      <w:r w:rsidR="006A7C19">
        <w:t xml:space="preserve"> (lietas Nr. DS 544) </w:t>
      </w:r>
      <w:r w:rsidR="006A7C19" w:rsidRPr="006A7C19">
        <w:t xml:space="preserve"> par ASV importa tarifiem tēraud</w:t>
      </w:r>
      <w:r w:rsidR="006A7C19">
        <w:t>am</w:t>
      </w:r>
      <w:r w:rsidR="006A7C19" w:rsidRPr="006A7C19">
        <w:t xml:space="preserve"> un alumīnij</w:t>
      </w:r>
      <w:r w:rsidR="006A7C19">
        <w:t>am.</w:t>
      </w:r>
    </w:p>
    <w:p w14:paraId="78A8F38A" w14:textId="68B9226E" w:rsidR="00CF53D6" w:rsidRDefault="00CF53D6" w:rsidP="009347C1">
      <w:pPr>
        <w:widowControl w:val="0"/>
        <w:spacing w:before="80" w:line="276" w:lineRule="auto"/>
        <w:jc w:val="both"/>
        <w:rPr>
          <w:b/>
          <w:i/>
          <w:highlight w:val="yellow"/>
        </w:rPr>
      </w:pPr>
    </w:p>
    <w:p w14:paraId="216AC621" w14:textId="77777777" w:rsidR="000943A8" w:rsidRPr="003A3A14" w:rsidRDefault="000943A8" w:rsidP="009347C1">
      <w:pPr>
        <w:widowControl w:val="0"/>
        <w:spacing w:before="80" w:line="276" w:lineRule="auto"/>
        <w:jc w:val="both"/>
        <w:rPr>
          <w:b/>
          <w:i/>
          <w:highlight w:val="yellow"/>
        </w:rPr>
      </w:pPr>
    </w:p>
    <w:p w14:paraId="0493F557" w14:textId="750FD0F2" w:rsidR="00CE0059" w:rsidRDefault="00CE0059" w:rsidP="009347C1">
      <w:pPr>
        <w:spacing w:before="80" w:line="276" w:lineRule="auto"/>
        <w:jc w:val="both"/>
        <w:rPr>
          <w:b/>
        </w:rPr>
      </w:pPr>
      <w:r w:rsidRPr="003A3A14">
        <w:rPr>
          <w:b/>
        </w:rPr>
        <w:t>Latvijas delegācija ES Ārlietu padomes Kopējās tirdzniecības politikas jautājumos sanāksmē 2018. gada 2</w:t>
      </w:r>
      <w:r w:rsidR="0053782D" w:rsidRPr="003A3A14">
        <w:rPr>
          <w:b/>
        </w:rPr>
        <w:t>2</w:t>
      </w:r>
      <w:r w:rsidRPr="003A3A14">
        <w:rPr>
          <w:b/>
        </w:rPr>
        <w:t>.</w:t>
      </w:r>
      <w:r w:rsidR="0053782D" w:rsidRPr="003A3A14">
        <w:rPr>
          <w:b/>
        </w:rPr>
        <w:t xml:space="preserve"> maijā</w:t>
      </w:r>
      <w:r w:rsidRPr="003A3A14">
        <w:rPr>
          <w:b/>
        </w:rPr>
        <w:t>:</w:t>
      </w:r>
    </w:p>
    <w:tbl>
      <w:tblPr>
        <w:tblW w:w="11390" w:type="dxa"/>
        <w:tblInd w:w="-180" w:type="dxa"/>
        <w:tblLook w:val="04A0" w:firstRow="1" w:lastRow="0" w:firstColumn="1" w:lastColumn="0" w:noHBand="0" w:noVBand="1"/>
      </w:tblPr>
      <w:tblGrid>
        <w:gridCol w:w="187"/>
        <w:gridCol w:w="9284"/>
        <w:gridCol w:w="494"/>
        <w:gridCol w:w="936"/>
        <w:gridCol w:w="489"/>
      </w:tblGrid>
      <w:tr w:rsidR="00CE0059" w:rsidRPr="003A3A14" w14:paraId="2C7F36D0" w14:textId="77777777" w:rsidTr="000943A8">
        <w:trPr>
          <w:gridAfter w:val="1"/>
          <w:wAfter w:w="489" w:type="dxa"/>
          <w:trHeight w:val="3924"/>
        </w:trPr>
        <w:tc>
          <w:tcPr>
            <w:tcW w:w="9471" w:type="dxa"/>
            <w:gridSpan w:val="2"/>
            <w:shd w:val="clear" w:color="auto" w:fill="auto"/>
          </w:tcPr>
          <w:tbl>
            <w:tblPr>
              <w:tblW w:w="9255" w:type="dxa"/>
              <w:tblLook w:val="04A0" w:firstRow="1" w:lastRow="0" w:firstColumn="1" w:lastColumn="0" w:noHBand="0" w:noVBand="1"/>
            </w:tblPr>
            <w:tblGrid>
              <w:gridCol w:w="2163"/>
              <w:gridCol w:w="119"/>
              <w:gridCol w:w="2360"/>
              <w:gridCol w:w="33"/>
              <w:gridCol w:w="4580"/>
            </w:tblGrid>
            <w:tr w:rsidR="002167A1" w:rsidRPr="000B07AD" w14:paraId="5F9614FD" w14:textId="77777777" w:rsidTr="004A09AD">
              <w:trPr>
                <w:trHeight w:val="321"/>
              </w:trPr>
              <w:tc>
                <w:tcPr>
                  <w:tcW w:w="2163" w:type="dxa"/>
                  <w:hideMark/>
                </w:tcPr>
                <w:p w14:paraId="634D8B44" w14:textId="77777777" w:rsidR="002167A1" w:rsidRPr="000B07AD" w:rsidRDefault="002167A1" w:rsidP="001A090A">
                  <w:pPr>
                    <w:spacing w:before="80" w:after="80"/>
                    <w:jc w:val="both"/>
                    <w:rPr>
                      <w:b/>
                    </w:rPr>
                  </w:pPr>
                  <w:r>
                    <w:t>Delegācijas vadītāja</w:t>
                  </w:r>
                  <w:r w:rsidRPr="000B07AD">
                    <w:t>:</w:t>
                  </w:r>
                </w:p>
              </w:tc>
              <w:tc>
                <w:tcPr>
                  <w:tcW w:w="2479" w:type="dxa"/>
                  <w:gridSpan w:val="2"/>
                  <w:hideMark/>
                </w:tcPr>
                <w:p w14:paraId="30E4A02C" w14:textId="77777777" w:rsidR="002167A1" w:rsidRPr="000B07AD" w:rsidRDefault="002167A1" w:rsidP="001A090A">
                  <w:pPr>
                    <w:spacing w:before="80" w:after="80"/>
                    <w:jc w:val="both"/>
                  </w:pPr>
                  <w:r w:rsidRPr="000B07AD">
                    <w:t>Z. Kalniņa-</w:t>
                  </w:r>
                  <w:proofErr w:type="spellStart"/>
                  <w:r w:rsidRPr="000B07AD">
                    <w:t>Lukaševica</w:t>
                  </w:r>
                  <w:proofErr w:type="spellEnd"/>
                  <w:r w:rsidRPr="000B07AD">
                    <w:t xml:space="preserve"> </w:t>
                  </w:r>
                </w:p>
              </w:tc>
              <w:tc>
                <w:tcPr>
                  <w:tcW w:w="4613" w:type="dxa"/>
                  <w:gridSpan w:val="2"/>
                  <w:hideMark/>
                </w:tcPr>
                <w:p w14:paraId="4DE1841C" w14:textId="77777777" w:rsidR="002167A1" w:rsidRPr="000B07AD" w:rsidRDefault="002167A1" w:rsidP="001A090A">
                  <w:pPr>
                    <w:spacing w:before="80" w:after="80"/>
                    <w:jc w:val="both"/>
                  </w:pPr>
                  <w:r w:rsidRPr="000B07AD">
                    <w:t xml:space="preserve">Ārlietu ministrijas </w:t>
                  </w:r>
                  <w:r>
                    <w:t>p</w:t>
                  </w:r>
                  <w:r w:rsidRPr="000B07AD">
                    <w:t>arlamentārā sekretāre;</w:t>
                  </w:r>
                </w:p>
              </w:tc>
            </w:tr>
            <w:tr w:rsidR="002167A1" w:rsidRPr="00107C32" w14:paraId="0D971578" w14:textId="77777777" w:rsidTr="004A09AD">
              <w:tc>
                <w:tcPr>
                  <w:tcW w:w="2163" w:type="dxa"/>
                </w:tcPr>
                <w:p w14:paraId="1BB0208E" w14:textId="77777777" w:rsidR="002167A1" w:rsidRPr="000B07AD" w:rsidRDefault="002167A1" w:rsidP="001A090A">
                  <w:pPr>
                    <w:spacing w:before="80" w:after="80"/>
                    <w:jc w:val="both"/>
                    <w:rPr>
                      <w:bCs/>
                    </w:rPr>
                  </w:pPr>
                  <w:r w:rsidRPr="000B07AD">
                    <w:t>Delegācijas sastāvā:</w:t>
                  </w:r>
                </w:p>
              </w:tc>
              <w:tc>
                <w:tcPr>
                  <w:tcW w:w="2479" w:type="dxa"/>
                  <w:gridSpan w:val="2"/>
                </w:tcPr>
                <w:p w14:paraId="4EDD979D" w14:textId="77777777" w:rsidR="002167A1" w:rsidRPr="00107C32" w:rsidRDefault="002167A1" w:rsidP="001A090A">
                  <w:pPr>
                    <w:spacing w:before="80" w:after="80"/>
                    <w:jc w:val="both"/>
                    <w:rPr>
                      <w:bCs/>
                    </w:rPr>
                  </w:pPr>
                  <w:r w:rsidRPr="000C0187">
                    <w:t>S.</w:t>
                  </w:r>
                  <w:r>
                    <w:t> </w:t>
                  </w:r>
                  <w:r w:rsidRPr="000C0187">
                    <w:t>Pavļuta-</w:t>
                  </w:r>
                  <w:proofErr w:type="spellStart"/>
                  <w:r w:rsidRPr="000C0187">
                    <w:t>Deslandes</w:t>
                  </w:r>
                  <w:proofErr w:type="spellEnd"/>
                </w:p>
              </w:tc>
              <w:tc>
                <w:tcPr>
                  <w:tcW w:w="4613" w:type="dxa"/>
                  <w:gridSpan w:val="2"/>
                </w:tcPr>
                <w:p w14:paraId="260E4C6F" w14:textId="77777777" w:rsidR="002167A1" w:rsidRPr="00107C32" w:rsidRDefault="002167A1" w:rsidP="001A090A">
                  <w:pPr>
                    <w:spacing w:before="80" w:after="80"/>
                    <w:jc w:val="both"/>
                    <w:rPr>
                      <w:bCs/>
                    </w:rPr>
                  </w:pPr>
                  <w:r w:rsidRPr="000C0187">
                    <w:t>Ārkārtējā un pilnvarotā vēstniece, Latvijas</w:t>
                  </w:r>
                  <w:r w:rsidRPr="00107C32">
                    <w:t xml:space="preserve"> pastāvīgā pārstāve E</w:t>
                  </w:r>
                  <w:r>
                    <w:t>S</w:t>
                  </w:r>
                  <w:r w:rsidRPr="00107C32">
                    <w:t>;</w:t>
                  </w:r>
                </w:p>
              </w:tc>
            </w:tr>
            <w:tr w:rsidR="002167A1" w:rsidRPr="00107C32" w14:paraId="1F0C8593" w14:textId="77777777" w:rsidTr="004A09AD">
              <w:tc>
                <w:tcPr>
                  <w:tcW w:w="2163" w:type="dxa"/>
                </w:tcPr>
                <w:p w14:paraId="781F5995" w14:textId="77777777" w:rsidR="002167A1" w:rsidRPr="000B07AD" w:rsidRDefault="002167A1" w:rsidP="001A090A">
                  <w:pPr>
                    <w:spacing w:before="80" w:after="80"/>
                    <w:jc w:val="both"/>
                  </w:pPr>
                </w:p>
              </w:tc>
              <w:tc>
                <w:tcPr>
                  <w:tcW w:w="2479" w:type="dxa"/>
                  <w:gridSpan w:val="2"/>
                </w:tcPr>
                <w:p w14:paraId="65BCA3C9" w14:textId="77777777" w:rsidR="002167A1" w:rsidRPr="004B20CC" w:rsidRDefault="002167A1" w:rsidP="001A090A">
                  <w:pPr>
                    <w:spacing w:before="80" w:after="80"/>
                    <w:jc w:val="both"/>
                  </w:pPr>
                  <w:r w:rsidRPr="004B20CC">
                    <w:t>J. Štālmeistars</w:t>
                  </w:r>
                </w:p>
              </w:tc>
              <w:tc>
                <w:tcPr>
                  <w:tcW w:w="4613" w:type="dxa"/>
                  <w:gridSpan w:val="2"/>
                </w:tcPr>
                <w:p w14:paraId="10E43D33" w14:textId="77777777" w:rsidR="002167A1" w:rsidRPr="00107C32" w:rsidRDefault="002167A1" w:rsidP="001A090A">
                  <w:pPr>
                    <w:spacing w:before="80" w:after="80"/>
                    <w:jc w:val="both"/>
                  </w:pPr>
                  <w:r w:rsidRPr="004B20CC">
                    <w:t>Ārlietu ministrijas Ekonomisko attiecību, tirdzniecības un attīstības sadarbības direkcijas vadītājs;</w:t>
                  </w:r>
                  <w:r>
                    <w:t xml:space="preserve"> </w:t>
                  </w:r>
                </w:p>
              </w:tc>
            </w:tr>
            <w:tr w:rsidR="002167A1" w:rsidRPr="000B07AD" w14:paraId="7ABAF017" w14:textId="77777777" w:rsidTr="004A09AD">
              <w:tc>
                <w:tcPr>
                  <w:tcW w:w="2163" w:type="dxa"/>
                </w:tcPr>
                <w:p w14:paraId="3E6D2D26" w14:textId="77777777" w:rsidR="002167A1" w:rsidRPr="000B07AD" w:rsidRDefault="002167A1" w:rsidP="001A090A">
                  <w:pPr>
                    <w:spacing w:before="80" w:after="80"/>
                    <w:jc w:val="both"/>
                  </w:pPr>
                </w:p>
              </w:tc>
              <w:tc>
                <w:tcPr>
                  <w:tcW w:w="2479" w:type="dxa"/>
                  <w:gridSpan w:val="2"/>
                </w:tcPr>
                <w:p w14:paraId="7D69CEFC" w14:textId="77777777" w:rsidR="002167A1" w:rsidRDefault="002167A1" w:rsidP="001A090A">
                  <w:pPr>
                    <w:spacing w:before="80" w:after="80"/>
                    <w:jc w:val="both"/>
                  </w:pPr>
                  <w:r>
                    <w:t>G.</w:t>
                  </w:r>
                  <w:r w:rsidR="0039735F">
                    <w:t xml:space="preserve"> </w:t>
                  </w:r>
                  <w:proofErr w:type="spellStart"/>
                  <w:r>
                    <w:t>Zadraks</w:t>
                  </w:r>
                  <w:proofErr w:type="spellEnd"/>
                  <w:r>
                    <w:t xml:space="preserve"> </w:t>
                  </w:r>
                </w:p>
                <w:p w14:paraId="5F36A4FD" w14:textId="77777777" w:rsidR="002167A1" w:rsidRPr="00191232" w:rsidRDefault="002167A1" w:rsidP="001A090A">
                  <w:pPr>
                    <w:jc w:val="both"/>
                  </w:pPr>
                </w:p>
              </w:tc>
              <w:tc>
                <w:tcPr>
                  <w:tcW w:w="4613" w:type="dxa"/>
                  <w:gridSpan w:val="2"/>
                </w:tcPr>
                <w:p w14:paraId="4E645919" w14:textId="77777777" w:rsidR="002167A1" w:rsidRPr="000B07AD" w:rsidRDefault="002167A1" w:rsidP="001A090A">
                  <w:pPr>
                    <w:spacing w:before="80" w:after="80"/>
                    <w:jc w:val="both"/>
                  </w:pPr>
                  <w:r w:rsidRPr="003A3A14">
                    <w:rPr>
                      <w:bCs/>
                    </w:rPr>
                    <w:t>Ārlietu ministrijas Ārējās tirdzniecības un ārējo ekonomisko sakaru veicināšanas departamenta direktora vietnieks, Ārējās tirdzniecības un investīciju nodaļas vadītājs</w:t>
                  </w:r>
                  <w:r>
                    <w:t>;</w:t>
                  </w:r>
                </w:p>
              </w:tc>
            </w:tr>
            <w:tr w:rsidR="002167A1" w:rsidRPr="00107C32" w14:paraId="0AAC2FD6" w14:textId="77777777" w:rsidTr="004A09AD">
              <w:tc>
                <w:tcPr>
                  <w:tcW w:w="2282" w:type="dxa"/>
                  <w:gridSpan w:val="2"/>
                </w:tcPr>
                <w:p w14:paraId="7099A4A7" w14:textId="77777777" w:rsidR="002167A1" w:rsidRPr="000B07AD" w:rsidRDefault="002167A1" w:rsidP="002167A1">
                  <w:pPr>
                    <w:spacing w:before="80" w:after="80"/>
                    <w:jc w:val="both"/>
                  </w:pPr>
                </w:p>
              </w:tc>
              <w:tc>
                <w:tcPr>
                  <w:tcW w:w="2393" w:type="dxa"/>
                  <w:gridSpan w:val="2"/>
                </w:tcPr>
                <w:p w14:paraId="514E9613" w14:textId="77777777" w:rsidR="002167A1" w:rsidRPr="004B20CC" w:rsidRDefault="002167A1" w:rsidP="002167A1">
                  <w:pPr>
                    <w:spacing w:before="80" w:after="80"/>
                    <w:ind w:left="-60"/>
                    <w:jc w:val="both"/>
                  </w:pPr>
                  <w:r w:rsidRPr="00191232">
                    <w:t>K. Koroļova</w:t>
                  </w:r>
                </w:p>
              </w:tc>
              <w:tc>
                <w:tcPr>
                  <w:tcW w:w="4580" w:type="dxa"/>
                </w:tcPr>
                <w:p w14:paraId="4EE03709" w14:textId="77777777" w:rsidR="002167A1" w:rsidRPr="00107C32" w:rsidRDefault="002167A1">
                  <w:pPr>
                    <w:spacing w:before="80" w:after="80"/>
                    <w:jc w:val="both"/>
                  </w:pPr>
                  <w:r w:rsidRPr="000B07AD">
                    <w:t xml:space="preserve">Latvijas Republikas Pastāvīgās pārstāvniecības ES </w:t>
                  </w:r>
                  <w:r>
                    <w:t xml:space="preserve">nozares </w:t>
                  </w:r>
                  <w:r w:rsidRPr="000B07AD">
                    <w:t>padomniece</w:t>
                  </w:r>
                  <w:r>
                    <w:t xml:space="preserve"> ārējās tirdzniecības politikas jautājumos. </w:t>
                  </w:r>
                </w:p>
              </w:tc>
            </w:tr>
          </w:tbl>
          <w:p w14:paraId="0AB3D6DF" w14:textId="77777777" w:rsidR="00CE0059" w:rsidRPr="003A3A14" w:rsidRDefault="00CE0059">
            <w:pPr>
              <w:spacing w:before="80" w:line="276" w:lineRule="auto"/>
              <w:jc w:val="both"/>
              <w:rPr>
                <w:b/>
              </w:rPr>
            </w:pPr>
          </w:p>
        </w:tc>
        <w:tc>
          <w:tcPr>
            <w:tcW w:w="1430" w:type="dxa"/>
            <w:gridSpan w:val="2"/>
            <w:shd w:val="clear" w:color="auto" w:fill="auto"/>
          </w:tcPr>
          <w:p w14:paraId="3046F058" w14:textId="77777777" w:rsidR="00CE0059" w:rsidRPr="003A3A14" w:rsidRDefault="00CE0059">
            <w:pPr>
              <w:spacing w:before="80" w:line="276" w:lineRule="auto"/>
              <w:jc w:val="both"/>
              <w:rPr>
                <w:b/>
              </w:rPr>
            </w:pPr>
          </w:p>
        </w:tc>
      </w:tr>
      <w:tr w:rsidR="00CE0059" w:rsidRPr="003A3A14" w14:paraId="6F838C88" w14:textId="77777777" w:rsidTr="000943A8">
        <w:trPr>
          <w:gridBefore w:val="1"/>
          <w:wBefore w:w="187" w:type="dxa"/>
          <w:trHeight w:val="677"/>
        </w:trPr>
        <w:tc>
          <w:tcPr>
            <w:tcW w:w="9778" w:type="dxa"/>
            <w:gridSpan w:val="2"/>
          </w:tcPr>
          <w:p w14:paraId="2766910C" w14:textId="77777777" w:rsidR="00CE0059" w:rsidRPr="003A3A14" w:rsidRDefault="00CE0059" w:rsidP="009347C1">
            <w:pPr>
              <w:spacing w:before="80" w:line="276" w:lineRule="auto"/>
              <w:jc w:val="both"/>
              <w:rPr>
                <w:b/>
              </w:rPr>
            </w:pPr>
          </w:p>
        </w:tc>
        <w:tc>
          <w:tcPr>
            <w:tcW w:w="1425" w:type="dxa"/>
            <w:gridSpan w:val="2"/>
          </w:tcPr>
          <w:p w14:paraId="24D737C7" w14:textId="77777777" w:rsidR="00CE0059" w:rsidRPr="003A3A14" w:rsidRDefault="00CE0059" w:rsidP="009347C1">
            <w:pPr>
              <w:spacing w:before="80" w:line="276" w:lineRule="auto"/>
              <w:jc w:val="both"/>
              <w:rPr>
                <w:b/>
              </w:rPr>
            </w:pPr>
          </w:p>
        </w:tc>
      </w:tr>
    </w:tbl>
    <w:p w14:paraId="07500976" w14:textId="77777777" w:rsidR="00CE0059" w:rsidRPr="003A3A14" w:rsidRDefault="0053782D" w:rsidP="009347C1">
      <w:pPr>
        <w:tabs>
          <w:tab w:val="right" w:pos="9071"/>
        </w:tabs>
        <w:spacing w:before="80" w:line="276" w:lineRule="auto"/>
      </w:pPr>
      <w:r w:rsidRPr="003A3A14">
        <w:t>Iesniedzējs: ārlietu ministrs</w:t>
      </w:r>
      <w:r w:rsidR="00CE0059" w:rsidRPr="003A3A14">
        <w:tab/>
      </w:r>
      <w:r w:rsidRPr="003A3A14">
        <w:t>E</w:t>
      </w:r>
      <w:r w:rsidR="00CE0059" w:rsidRPr="003A3A14">
        <w:t xml:space="preserve">. </w:t>
      </w:r>
      <w:r w:rsidRPr="003A3A14">
        <w:t>Rinkēvičs</w:t>
      </w:r>
    </w:p>
    <w:p w14:paraId="2487B728" w14:textId="77777777" w:rsidR="00CE0059" w:rsidRPr="003A3A14" w:rsidRDefault="00CE0059" w:rsidP="009347C1">
      <w:pPr>
        <w:tabs>
          <w:tab w:val="right" w:pos="9071"/>
        </w:tabs>
        <w:spacing w:before="80" w:line="276" w:lineRule="auto"/>
      </w:pPr>
    </w:p>
    <w:p w14:paraId="058A315B" w14:textId="77777777" w:rsidR="00CE0059" w:rsidRPr="003A3A14" w:rsidRDefault="00CE0059" w:rsidP="009347C1">
      <w:pPr>
        <w:tabs>
          <w:tab w:val="right" w:pos="9071"/>
        </w:tabs>
        <w:spacing w:before="80" w:line="276" w:lineRule="auto"/>
      </w:pPr>
    </w:p>
    <w:p w14:paraId="21942FE6" w14:textId="77777777" w:rsidR="00CE0059" w:rsidRPr="003A3A14" w:rsidRDefault="00CE0059" w:rsidP="009347C1">
      <w:pPr>
        <w:tabs>
          <w:tab w:val="right" w:pos="9071"/>
        </w:tabs>
        <w:spacing w:before="80" w:line="276" w:lineRule="auto"/>
      </w:pPr>
      <w:r w:rsidRPr="003A3A14">
        <w:t>Vīza: valsts sekretār</w:t>
      </w:r>
      <w:r w:rsidR="0053782D" w:rsidRPr="003A3A14">
        <w:t>s</w:t>
      </w:r>
      <w:r w:rsidRPr="003A3A14">
        <w:t xml:space="preserve"> </w:t>
      </w:r>
      <w:r w:rsidRPr="003A3A14">
        <w:tab/>
      </w:r>
      <w:r w:rsidR="0053782D" w:rsidRPr="003A3A14">
        <w:t>A</w:t>
      </w:r>
      <w:r w:rsidRPr="003A3A14">
        <w:t>. P</w:t>
      </w:r>
      <w:r w:rsidR="0053782D" w:rsidRPr="003A3A14">
        <w:t>ildegovičs</w:t>
      </w:r>
    </w:p>
    <w:p w14:paraId="4CFE5B1A" w14:textId="08986BDC" w:rsidR="00CE0059" w:rsidRDefault="00CE0059" w:rsidP="009347C1">
      <w:pPr>
        <w:tabs>
          <w:tab w:val="left" w:pos="1425"/>
        </w:tabs>
        <w:spacing w:before="80" w:line="276" w:lineRule="auto"/>
        <w:jc w:val="both"/>
      </w:pPr>
      <w:r w:rsidRPr="003A3A14">
        <w:tab/>
      </w:r>
    </w:p>
    <w:p w14:paraId="5A6E8E4B" w14:textId="5E00E4F1" w:rsidR="00DB18FB" w:rsidRDefault="00DB18FB" w:rsidP="009347C1">
      <w:pPr>
        <w:tabs>
          <w:tab w:val="left" w:pos="1425"/>
        </w:tabs>
        <w:spacing w:before="80" w:line="276" w:lineRule="auto"/>
        <w:jc w:val="both"/>
      </w:pPr>
    </w:p>
    <w:p w14:paraId="635BEA1C" w14:textId="1BE951D9" w:rsidR="00DB18FB" w:rsidRDefault="00DB18FB" w:rsidP="009347C1">
      <w:pPr>
        <w:tabs>
          <w:tab w:val="left" w:pos="1425"/>
        </w:tabs>
        <w:spacing w:before="80" w:line="276" w:lineRule="auto"/>
        <w:jc w:val="both"/>
      </w:pPr>
    </w:p>
    <w:p w14:paraId="60F5A575" w14:textId="0F27881F" w:rsidR="00DB18FB" w:rsidRDefault="00DB18FB" w:rsidP="009347C1">
      <w:pPr>
        <w:tabs>
          <w:tab w:val="left" w:pos="1425"/>
        </w:tabs>
        <w:spacing w:before="80" w:line="276" w:lineRule="auto"/>
        <w:jc w:val="both"/>
      </w:pPr>
    </w:p>
    <w:p w14:paraId="14A2A485" w14:textId="24C91C97" w:rsidR="00DB18FB" w:rsidRPr="003A3A14" w:rsidRDefault="00DB18FB" w:rsidP="009347C1">
      <w:pPr>
        <w:tabs>
          <w:tab w:val="left" w:pos="1425"/>
        </w:tabs>
        <w:spacing w:before="80" w:line="276" w:lineRule="auto"/>
        <w:jc w:val="both"/>
      </w:pPr>
    </w:p>
    <w:p w14:paraId="1DF83C1F" w14:textId="0D9AFD40" w:rsidR="00CE0059" w:rsidRPr="001A090A" w:rsidRDefault="000F108E" w:rsidP="009347C1">
      <w:pPr>
        <w:tabs>
          <w:tab w:val="left" w:pos="180"/>
        </w:tabs>
        <w:spacing w:line="276" w:lineRule="auto"/>
        <w:rPr>
          <w:bCs/>
          <w:sz w:val="20"/>
          <w:szCs w:val="20"/>
        </w:rPr>
      </w:pPr>
      <w:r>
        <w:rPr>
          <w:bCs/>
          <w:sz w:val="20"/>
          <w:szCs w:val="20"/>
        </w:rPr>
        <w:t>09</w:t>
      </w:r>
      <w:r w:rsidR="00CE0059" w:rsidRPr="001A090A">
        <w:rPr>
          <w:bCs/>
          <w:sz w:val="20"/>
          <w:szCs w:val="20"/>
        </w:rPr>
        <w:t>.0</w:t>
      </w:r>
      <w:r w:rsidR="00F774CF" w:rsidRPr="001A090A">
        <w:rPr>
          <w:bCs/>
          <w:sz w:val="20"/>
          <w:szCs w:val="20"/>
        </w:rPr>
        <w:t>5</w:t>
      </w:r>
      <w:r w:rsidR="00CE0059" w:rsidRPr="001A090A">
        <w:rPr>
          <w:bCs/>
          <w:sz w:val="20"/>
          <w:szCs w:val="20"/>
        </w:rPr>
        <w:t>.201</w:t>
      </w:r>
      <w:r w:rsidR="00F774CF" w:rsidRPr="001A090A">
        <w:rPr>
          <w:bCs/>
          <w:sz w:val="20"/>
          <w:szCs w:val="20"/>
        </w:rPr>
        <w:t>8</w:t>
      </w:r>
      <w:r w:rsidR="00CE0059" w:rsidRPr="001A090A">
        <w:rPr>
          <w:bCs/>
          <w:sz w:val="20"/>
          <w:szCs w:val="20"/>
        </w:rPr>
        <w:t>.</w:t>
      </w:r>
    </w:p>
    <w:p w14:paraId="13321E6A" w14:textId="77777777" w:rsidR="0039735F" w:rsidRPr="003A3A14" w:rsidRDefault="00CE0059" w:rsidP="009347C1">
      <w:pPr>
        <w:tabs>
          <w:tab w:val="left" w:pos="180"/>
        </w:tabs>
        <w:spacing w:line="276" w:lineRule="auto"/>
        <w:rPr>
          <w:bCs/>
          <w:sz w:val="20"/>
          <w:szCs w:val="20"/>
        </w:rPr>
      </w:pPr>
      <w:proofErr w:type="spellStart"/>
      <w:r w:rsidRPr="003A3A14">
        <w:rPr>
          <w:bCs/>
          <w:sz w:val="20"/>
          <w:szCs w:val="20"/>
        </w:rPr>
        <w:t>G</w:t>
      </w:r>
      <w:r w:rsidR="0039735F">
        <w:rPr>
          <w:bCs/>
          <w:sz w:val="20"/>
          <w:szCs w:val="20"/>
        </w:rPr>
        <w:t>.</w:t>
      </w:r>
      <w:r w:rsidRPr="003A3A14">
        <w:rPr>
          <w:bCs/>
          <w:sz w:val="20"/>
          <w:szCs w:val="20"/>
        </w:rPr>
        <w:t>Zadraks</w:t>
      </w:r>
      <w:proofErr w:type="spellEnd"/>
      <w:r w:rsidRPr="003A3A14">
        <w:rPr>
          <w:bCs/>
          <w:sz w:val="20"/>
          <w:szCs w:val="20"/>
        </w:rPr>
        <w:t>, 67016240</w:t>
      </w:r>
    </w:p>
    <w:p w14:paraId="04C57D69" w14:textId="77777777" w:rsidR="00CE0059" w:rsidRPr="003A3A14" w:rsidRDefault="00980AE6" w:rsidP="009347C1">
      <w:pPr>
        <w:tabs>
          <w:tab w:val="left" w:pos="180"/>
        </w:tabs>
        <w:spacing w:line="276" w:lineRule="auto"/>
        <w:rPr>
          <w:bCs/>
          <w:sz w:val="20"/>
          <w:szCs w:val="20"/>
        </w:rPr>
      </w:pPr>
      <w:hyperlink r:id="rId7" w:history="1">
        <w:r w:rsidR="00CE0059" w:rsidRPr="003A3A14">
          <w:rPr>
            <w:rStyle w:val="Hyperlink"/>
            <w:bCs/>
            <w:sz w:val="20"/>
            <w:szCs w:val="20"/>
          </w:rPr>
          <w:t>gints.zadraks@mfa.gov.lv</w:t>
        </w:r>
      </w:hyperlink>
      <w:r w:rsidR="00CE0059" w:rsidRPr="003A3A14">
        <w:rPr>
          <w:bCs/>
          <w:sz w:val="20"/>
          <w:szCs w:val="20"/>
        </w:rPr>
        <w:t xml:space="preserve"> </w:t>
      </w:r>
    </w:p>
    <w:sectPr w:rsidR="00CE0059" w:rsidRPr="003A3A14" w:rsidSect="00E37AF9">
      <w:headerReference w:type="even" r:id="rId8"/>
      <w:footerReference w:type="even" r:id="rId9"/>
      <w:footerReference w:type="default" r:id="rId10"/>
      <w:headerReference w:type="first" r:id="rId11"/>
      <w:footerReference w:type="first" r:id="rId12"/>
      <w:pgSz w:w="11907" w:h="16839" w:code="9"/>
      <w:pgMar w:top="1134" w:right="1418" w:bottom="1134" w:left="1418" w:header="425"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45C47" w14:textId="77777777" w:rsidR="008C74F2" w:rsidRDefault="008C74F2" w:rsidP="00CE0059">
      <w:r>
        <w:separator/>
      </w:r>
    </w:p>
  </w:endnote>
  <w:endnote w:type="continuationSeparator" w:id="0">
    <w:p w14:paraId="255B38DF" w14:textId="77777777" w:rsidR="008C74F2" w:rsidRDefault="008C74F2" w:rsidP="00CE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BA"/>
    <w:family w:val="auto"/>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7EA0" w14:textId="77777777" w:rsidR="0002712E" w:rsidRDefault="00CE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94A6ED" w14:textId="77777777" w:rsidR="0002712E" w:rsidRDefault="00980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59E5" w14:textId="18B4C7BE" w:rsidR="00E22248" w:rsidRPr="00374227" w:rsidRDefault="00CE0059" w:rsidP="00570954">
    <w:pPr>
      <w:spacing w:line="276" w:lineRule="auto"/>
      <w:rPr>
        <w:b/>
        <w:bCs/>
        <w:kern w:val="2"/>
        <w:sz w:val="20"/>
        <w:szCs w:val="20"/>
      </w:rPr>
    </w:pPr>
    <w:r w:rsidRPr="003F787D">
      <w:rPr>
        <w:sz w:val="20"/>
        <w:szCs w:val="20"/>
      </w:rPr>
      <w:t>AMzino_</w:t>
    </w:r>
    <w:r w:rsidR="00DB18FB">
      <w:rPr>
        <w:sz w:val="20"/>
        <w:szCs w:val="20"/>
      </w:rPr>
      <w:t>09</w:t>
    </w:r>
    <w:r w:rsidR="00031C4D">
      <w:rPr>
        <w:sz w:val="20"/>
        <w:szCs w:val="20"/>
      </w:rPr>
      <w:t>05</w:t>
    </w:r>
    <w:r w:rsidRPr="003F787D">
      <w:rPr>
        <w:sz w:val="20"/>
        <w:szCs w:val="20"/>
      </w:rPr>
      <w:t>1</w:t>
    </w:r>
    <w:r>
      <w:rPr>
        <w:sz w:val="20"/>
        <w:szCs w:val="20"/>
      </w:rPr>
      <w:t>8</w:t>
    </w:r>
    <w:r w:rsidRPr="003F787D">
      <w:rPr>
        <w:sz w:val="20"/>
        <w:szCs w:val="20"/>
      </w:rPr>
      <w:t>; Informatīvais ziņojums “Par Eiropas Savienības Ārlietu padomes Kopējās tirdzniecības politikas jautājumos sanāksmi 20</w:t>
    </w:r>
    <w:r>
      <w:rPr>
        <w:sz w:val="20"/>
        <w:szCs w:val="20"/>
      </w:rPr>
      <w:t>18</w:t>
    </w:r>
    <w:r w:rsidRPr="003F787D">
      <w:rPr>
        <w:sz w:val="20"/>
        <w:szCs w:val="20"/>
      </w:rPr>
      <w:t xml:space="preserve">. gada </w:t>
    </w:r>
    <w:r w:rsidR="00031C4D">
      <w:rPr>
        <w:sz w:val="20"/>
        <w:szCs w:val="20"/>
      </w:rPr>
      <w:t>22. maijā</w:t>
    </w:r>
    <w:r w:rsidRPr="003F787D">
      <w:rPr>
        <w:sz w:val="20"/>
        <w:szCs w:val="20"/>
      </w:rPr>
      <w:t>”</w:t>
    </w:r>
  </w:p>
  <w:p w14:paraId="61846880" w14:textId="77777777" w:rsidR="00250988" w:rsidRDefault="00980AE6" w:rsidP="00B20343">
    <w:pPr>
      <w:pStyle w:val="Footer"/>
      <w:jc w:val="center"/>
      <w:rPr>
        <w:bCs/>
        <w:sz w:val="24"/>
      </w:rPr>
    </w:pPr>
  </w:p>
  <w:p w14:paraId="2FA9ED30" w14:textId="1E49C4DD" w:rsidR="00B20343" w:rsidRDefault="00CE0059" w:rsidP="00B20343">
    <w:pPr>
      <w:pStyle w:val="Footer"/>
      <w:jc w:val="right"/>
    </w:pPr>
    <w:r w:rsidRPr="00B20343">
      <w:rPr>
        <w:sz w:val="24"/>
      </w:rPr>
      <w:fldChar w:fldCharType="begin"/>
    </w:r>
    <w:r w:rsidRPr="00B20343">
      <w:rPr>
        <w:sz w:val="24"/>
      </w:rPr>
      <w:instrText xml:space="preserve"> PAGE   \* MERGEFORMAT </w:instrText>
    </w:r>
    <w:r w:rsidRPr="00B20343">
      <w:rPr>
        <w:sz w:val="24"/>
      </w:rPr>
      <w:fldChar w:fldCharType="separate"/>
    </w:r>
    <w:r w:rsidR="00980AE6">
      <w:rPr>
        <w:noProof/>
        <w:sz w:val="24"/>
      </w:rPr>
      <w:t>6</w:t>
    </w:r>
    <w:r w:rsidRPr="00B20343">
      <w:rPr>
        <w:sz w:val="24"/>
      </w:rPr>
      <w:fldChar w:fldCharType="end"/>
    </w:r>
    <w:r w:rsidRPr="00B20343">
      <w:rPr>
        <w:sz w:val="24"/>
      </w:rPr>
      <w:t>-</w:t>
    </w:r>
    <w:r w:rsidRPr="00B20343">
      <w:rPr>
        <w:sz w:val="24"/>
      </w:rPr>
      <w:fldChar w:fldCharType="begin"/>
    </w:r>
    <w:r w:rsidRPr="00B20343">
      <w:rPr>
        <w:sz w:val="24"/>
      </w:rPr>
      <w:instrText xml:space="preserve"> NUMPAGES  \* Arabic  \* MERGEFORMAT </w:instrText>
    </w:r>
    <w:r w:rsidRPr="00B20343">
      <w:rPr>
        <w:sz w:val="24"/>
      </w:rPr>
      <w:fldChar w:fldCharType="separate"/>
    </w:r>
    <w:r w:rsidR="00980AE6">
      <w:rPr>
        <w:noProof/>
        <w:sz w:val="24"/>
      </w:rPr>
      <w:t>9</w:t>
    </w:r>
    <w:r w:rsidRPr="00B2034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4BCA" w14:textId="77777777" w:rsidR="007A5EA6" w:rsidRDefault="00980AE6" w:rsidP="00647518">
    <w:pPr>
      <w:pStyle w:val="Footer"/>
      <w:jc w:val="both"/>
    </w:pPr>
  </w:p>
  <w:p w14:paraId="467E5887" w14:textId="77777777" w:rsidR="00647518" w:rsidRDefault="00CE0059" w:rsidP="00647518">
    <w:pPr>
      <w:pStyle w:val="Footer"/>
      <w:jc w:val="both"/>
      <w:rPr>
        <w:iCs/>
        <w:sz w:val="28"/>
        <w:szCs w:val="28"/>
      </w:rPr>
    </w:pPr>
    <w:r w:rsidRPr="00647518">
      <w:t>AMzino_</w:t>
    </w:r>
    <w:r>
      <w:t>130114</w:t>
    </w:r>
    <w:r w:rsidRPr="00647518">
      <w:t xml:space="preserve">; </w:t>
    </w:r>
    <w:r w:rsidRPr="00AD544F">
      <w:rPr>
        <w:iCs/>
      </w:rPr>
      <w:t>Par Latvijas nacionālo pozīciju apstiprināšanu Eiropas Savienības Ārlietu padomes 201</w:t>
    </w:r>
    <w:r>
      <w:rPr>
        <w:iCs/>
      </w:rPr>
      <w:t>4</w:t>
    </w:r>
    <w:r w:rsidRPr="00AD544F">
      <w:rPr>
        <w:iCs/>
      </w:rPr>
      <w:t xml:space="preserve">.gada </w:t>
    </w:r>
    <w:r>
      <w:rPr>
        <w:iCs/>
      </w:rPr>
      <w:t>20.janvāra</w:t>
    </w:r>
    <w:r w:rsidRPr="00AD544F">
      <w:rPr>
        <w:iCs/>
      </w:rPr>
      <w:t xml:space="preserve"> sanāksmei</w:t>
    </w:r>
  </w:p>
  <w:p w14:paraId="78170C34" w14:textId="77777777" w:rsidR="00AD544F" w:rsidRPr="00647518" w:rsidRDefault="00980AE6" w:rsidP="00647518">
    <w:pPr>
      <w:pStyle w:val="Footer"/>
      <w:jc w:val="both"/>
    </w:pPr>
  </w:p>
  <w:p w14:paraId="273C2CF0" w14:textId="77777777" w:rsidR="00647518" w:rsidRPr="00647518" w:rsidRDefault="00CE0059">
    <w:pPr>
      <w:pStyle w:val="Footer"/>
      <w:jc w:val="center"/>
    </w:pPr>
    <w:r w:rsidRPr="00647518">
      <w:fldChar w:fldCharType="begin"/>
    </w:r>
    <w:r w:rsidRPr="00647518">
      <w:instrText xml:space="preserve"> PAGE   \* MERGEFORMAT </w:instrText>
    </w:r>
    <w:r w:rsidRPr="00647518">
      <w:fldChar w:fldCharType="separate"/>
    </w:r>
    <w:r>
      <w:rPr>
        <w:noProof/>
      </w:rPr>
      <w:t>1</w:t>
    </w:r>
    <w:r w:rsidRPr="00647518">
      <w:rPr>
        <w:noProof/>
      </w:rPr>
      <w:fldChar w:fldCharType="end"/>
    </w:r>
  </w:p>
  <w:p w14:paraId="4A94CB61" w14:textId="77777777" w:rsidR="0002712E" w:rsidRPr="00647518" w:rsidRDefault="00980AE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5BDF" w14:textId="77777777" w:rsidR="008C74F2" w:rsidRDefault="008C74F2" w:rsidP="00CE0059">
      <w:r>
        <w:separator/>
      </w:r>
    </w:p>
  </w:footnote>
  <w:footnote w:type="continuationSeparator" w:id="0">
    <w:p w14:paraId="3FE886E6" w14:textId="77777777" w:rsidR="008C74F2" w:rsidRDefault="008C74F2" w:rsidP="00CE0059">
      <w:r>
        <w:continuationSeparator/>
      </w:r>
    </w:p>
  </w:footnote>
  <w:footnote w:id="1">
    <w:p w14:paraId="1378D047" w14:textId="77777777" w:rsidR="00B86A2D" w:rsidRPr="002526CF" w:rsidRDefault="00B86A2D" w:rsidP="00B86A2D">
      <w:pPr>
        <w:pStyle w:val="FootnoteText1"/>
        <w:jc w:val="both"/>
      </w:pPr>
      <w:r>
        <w:rPr>
          <w:rStyle w:val="FootnoteReference"/>
        </w:rPr>
        <w:footnoteRef/>
      </w:r>
      <w:r w:rsidRPr="005F22C4">
        <w:t xml:space="preserve"> </w:t>
      </w:r>
      <w:r w:rsidRPr="002526CF">
        <w:rPr>
          <w:rFonts w:cs="Times New Roman"/>
        </w:rPr>
        <w:t>EST nav vērtējusi vai EU–Singapūras līgumā ietvertie noteikumi, jo īpaši attiecībā uz investora-valsts strīdu izšķiršanas mehānismiem (ISDS), atbilst ES tiesībām. Par šo jautājumu Beļģija ierosinās atsevišķu lietu EST (CETA kontekstā).</w:t>
      </w:r>
    </w:p>
  </w:footnote>
  <w:footnote w:id="2">
    <w:p w14:paraId="1CDB004C" w14:textId="77777777" w:rsidR="00FB3FFF" w:rsidRPr="00437C31" w:rsidRDefault="00FB3FFF" w:rsidP="00FB3FFF">
      <w:pPr>
        <w:jc w:val="both"/>
        <w:rPr>
          <w:iCs/>
          <w:sz w:val="20"/>
          <w:szCs w:val="20"/>
          <w:lang w:eastAsia="lv-LV"/>
        </w:rPr>
      </w:pPr>
      <w:r w:rsidRPr="00437C31">
        <w:rPr>
          <w:rStyle w:val="FootnoteReference"/>
          <w:sz w:val="20"/>
          <w:szCs w:val="20"/>
        </w:rPr>
        <w:footnoteRef/>
      </w:r>
      <w:r w:rsidRPr="00437C31">
        <w:rPr>
          <w:sz w:val="20"/>
          <w:szCs w:val="20"/>
        </w:rPr>
        <w:t xml:space="preserve"> </w:t>
      </w:r>
      <w:r w:rsidRPr="00437C31">
        <w:rPr>
          <w:sz w:val="20"/>
          <w:szCs w:val="20"/>
          <w:lang w:eastAsia="lv-LV"/>
        </w:rPr>
        <w:t>S</w:t>
      </w:r>
      <w:r w:rsidRPr="00437C31">
        <w:rPr>
          <w:iCs/>
          <w:sz w:val="20"/>
          <w:szCs w:val="20"/>
          <w:lang w:eastAsia="lv-LV"/>
        </w:rPr>
        <w:t xml:space="preserve">askaņā ar ES Tiesas 2017. gada 16. maija lēmumu Brīvās tirdzniecības nolīgumu ar Singapūru ES nevarēja noslēgt kā ES </w:t>
      </w:r>
      <w:r w:rsidR="002609EC">
        <w:rPr>
          <w:iCs/>
          <w:sz w:val="20"/>
          <w:szCs w:val="20"/>
          <w:lang w:eastAsia="lv-LV"/>
        </w:rPr>
        <w:t>kompetences nolīgumu. EK</w:t>
      </w:r>
      <w:r w:rsidRPr="00437C31">
        <w:rPr>
          <w:iCs/>
          <w:sz w:val="20"/>
          <w:szCs w:val="20"/>
          <w:lang w:eastAsia="lv-LV"/>
        </w:rPr>
        <w:t xml:space="preserve"> strādāja pie līguma sadalīšanas ES ekskluzīvās kompetences līgumā </w:t>
      </w:r>
      <w:r w:rsidR="00DF2D27">
        <w:rPr>
          <w:iCs/>
          <w:sz w:val="20"/>
          <w:szCs w:val="20"/>
          <w:lang w:eastAsia="lv-LV"/>
        </w:rPr>
        <w:t>un dalītās kompetences līgumā (ieguldījumu</w:t>
      </w:r>
      <w:r w:rsidRPr="00437C31">
        <w:rPr>
          <w:iCs/>
          <w:sz w:val="20"/>
          <w:szCs w:val="20"/>
          <w:lang w:eastAsia="lv-LV"/>
        </w:rPr>
        <w:t xml:space="preserve"> strīdu izšķiršanas jautājumi). ES ekskluzīvās kompetences līgumu jāapstiprina dalībvalstīm ES Padomē un Eiropas Parlamentam. Dalītās kompetences nolīgumam ir nepieciešama arī ratifikācija dalībvalstu nacionālajos parlamentos.</w:t>
      </w:r>
    </w:p>
    <w:p w14:paraId="18A7288C" w14:textId="77777777" w:rsidR="00FB3FFF" w:rsidRDefault="00FB3FFF" w:rsidP="00FB3F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A310" w14:textId="77777777" w:rsidR="0002712E" w:rsidRDefault="00CE0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65833D" w14:textId="77777777" w:rsidR="0002712E" w:rsidRDefault="00980A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9C17" w14:textId="77777777" w:rsidR="0002712E" w:rsidRDefault="00980AE6">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BF5"/>
    <w:multiLevelType w:val="hybridMultilevel"/>
    <w:tmpl w:val="0E58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15712"/>
    <w:multiLevelType w:val="hybridMultilevel"/>
    <w:tmpl w:val="3DDEFEE2"/>
    <w:lvl w:ilvl="0" w:tplc="04260001">
      <w:start w:val="1"/>
      <w:numFmt w:val="bullet"/>
      <w:lvlText w:val=""/>
      <w:lvlJc w:val="left"/>
      <w:pPr>
        <w:ind w:left="540" w:hanging="360"/>
      </w:pPr>
      <w:rPr>
        <w:rFonts w:ascii="Symbol" w:hAnsi="Symbol" w:hint="default"/>
      </w:r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59"/>
    <w:rsid w:val="00031C4D"/>
    <w:rsid w:val="00033220"/>
    <w:rsid w:val="0004439D"/>
    <w:rsid w:val="0006304D"/>
    <w:rsid w:val="00075DBD"/>
    <w:rsid w:val="0008017D"/>
    <w:rsid w:val="000943A8"/>
    <w:rsid w:val="000A516A"/>
    <w:rsid w:val="000F108E"/>
    <w:rsid w:val="000F2115"/>
    <w:rsid w:val="00117DDE"/>
    <w:rsid w:val="00136C8C"/>
    <w:rsid w:val="00170072"/>
    <w:rsid w:val="001A090A"/>
    <w:rsid w:val="001A3B15"/>
    <w:rsid w:val="001B1860"/>
    <w:rsid w:val="001E3264"/>
    <w:rsid w:val="002009AD"/>
    <w:rsid w:val="002167A1"/>
    <w:rsid w:val="00222AAD"/>
    <w:rsid w:val="0023038E"/>
    <w:rsid w:val="002609EC"/>
    <w:rsid w:val="002634CC"/>
    <w:rsid w:val="00280569"/>
    <w:rsid w:val="002B3366"/>
    <w:rsid w:val="002D203B"/>
    <w:rsid w:val="0039735F"/>
    <w:rsid w:val="003A3A14"/>
    <w:rsid w:val="003C1256"/>
    <w:rsid w:val="003F1F64"/>
    <w:rsid w:val="00444863"/>
    <w:rsid w:val="00480ACD"/>
    <w:rsid w:val="004A07C5"/>
    <w:rsid w:val="004A09AD"/>
    <w:rsid w:val="004A4500"/>
    <w:rsid w:val="00506EFF"/>
    <w:rsid w:val="00521291"/>
    <w:rsid w:val="005221D8"/>
    <w:rsid w:val="0052675C"/>
    <w:rsid w:val="00532B7F"/>
    <w:rsid w:val="0053782D"/>
    <w:rsid w:val="00557DDF"/>
    <w:rsid w:val="00565C94"/>
    <w:rsid w:val="0059070F"/>
    <w:rsid w:val="005B4FBC"/>
    <w:rsid w:val="005C4C43"/>
    <w:rsid w:val="005C799A"/>
    <w:rsid w:val="005D7028"/>
    <w:rsid w:val="005F57BF"/>
    <w:rsid w:val="00630DA5"/>
    <w:rsid w:val="00636E64"/>
    <w:rsid w:val="0065624A"/>
    <w:rsid w:val="00670CF0"/>
    <w:rsid w:val="006A7C19"/>
    <w:rsid w:val="006E34D4"/>
    <w:rsid w:val="00704CFF"/>
    <w:rsid w:val="00714183"/>
    <w:rsid w:val="00714D00"/>
    <w:rsid w:val="00717F5B"/>
    <w:rsid w:val="0072630B"/>
    <w:rsid w:val="0079428C"/>
    <w:rsid w:val="007B0CAD"/>
    <w:rsid w:val="007B4C90"/>
    <w:rsid w:val="007C0408"/>
    <w:rsid w:val="007F2110"/>
    <w:rsid w:val="00883EA5"/>
    <w:rsid w:val="008A142D"/>
    <w:rsid w:val="008C74F2"/>
    <w:rsid w:val="008D67B5"/>
    <w:rsid w:val="008E6111"/>
    <w:rsid w:val="009347C1"/>
    <w:rsid w:val="00934F7E"/>
    <w:rsid w:val="009473F8"/>
    <w:rsid w:val="00980AE6"/>
    <w:rsid w:val="009B16F6"/>
    <w:rsid w:val="009D1588"/>
    <w:rsid w:val="009F57C4"/>
    <w:rsid w:val="009F682A"/>
    <w:rsid w:val="00A74B1E"/>
    <w:rsid w:val="00A935D8"/>
    <w:rsid w:val="00AE29C9"/>
    <w:rsid w:val="00AF28C2"/>
    <w:rsid w:val="00B105C8"/>
    <w:rsid w:val="00B31FE1"/>
    <w:rsid w:val="00B52D3A"/>
    <w:rsid w:val="00B64A2A"/>
    <w:rsid w:val="00B7399A"/>
    <w:rsid w:val="00B86A2D"/>
    <w:rsid w:val="00BB4287"/>
    <w:rsid w:val="00C0353F"/>
    <w:rsid w:val="00C10423"/>
    <w:rsid w:val="00C13BE4"/>
    <w:rsid w:val="00C431F9"/>
    <w:rsid w:val="00C87A59"/>
    <w:rsid w:val="00CC0741"/>
    <w:rsid w:val="00CE0059"/>
    <w:rsid w:val="00CF186A"/>
    <w:rsid w:val="00CF53D6"/>
    <w:rsid w:val="00D60BB7"/>
    <w:rsid w:val="00D70555"/>
    <w:rsid w:val="00D834CC"/>
    <w:rsid w:val="00D917CE"/>
    <w:rsid w:val="00DB18FB"/>
    <w:rsid w:val="00DB26A0"/>
    <w:rsid w:val="00DD54E4"/>
    <w:rsid w:val="00DD6BB3"/>
    <w:rsid w:val="00DF2D27"/>
    <w:rsid w:val="00E23CBD"/>
    <w:rsid w:val="00E339CE"/>
    <w:rsid w:val="00E33FD7"/>
    <w:rsid w:val="00E37AF9"/>
    <w:rsid w:val="00E82F72"/>
    <w:rsid w:val="00ED3765"/>
    <w:rsid w:val="00EE269E"/>
    <w:rsid w:val="00EE4BBE"/>
    <w:rsid w:val="00F20061"/>
    <w:rsid w:val="00F23E6F"/>
    <w:rsid w:val="00F349E4"/>
    <w:rsid w:val="00F774CF"/>
    <w:rsid w:val="00FA79EA"/>
    <w:rsid w:val="00FB3FFF"/>
    <w:rsid w:val="00FD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DE46"/>
  <w15:docId w15:val="{81853FD8-2BF6-4DBD-9AE3-F21B72EE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5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0059"/>
    <w:rPr>
      <w:color w:val="0000FF"/>
      <w:u w:val="single"/>
    </w:rPr>
  </w:style>
  <w:style w:type="paragraph" w:styleId="Header">
    <w:name w:val="header"/>
    <w:basedOn w:val="Normal"/>
    <w:link w:val="HeaderChar"/>
    <w:uiPriority w:val="99"/>
    <w:rsid w:val="00CE0059"/>
    <w:pPr>
      <w:tabs>
        <w:tab w:val="center" w:pos="4320"/>
        <w:tab w:val="right" w:pos="8640"/>
      </w:tabs>
    </w:pPr>
    <w:rPr>
      <w:sz w:val="20"/>
      <w:szCs w:val="20"/>
    </w:rPr>
  </w:style>
  <w:style w:type="character" w:customStyle="1" w:styleId="HeaderChar">
    <w:name w:val="Header Char"/>
    <w:basedOn w:val="DefaultParagraphFont"/>
    <w:link w:val="Header"/>
    <w:uiPriority w:val="99"/>
    <w:rsid w:val="00CE0059"/>
    <w:rPr>
      <w:rFonts w:ascii="Times New Roman" w:eastAsia="Times New Roman" w:hAnsi="Times New Roman" w:cs="Times New Roman"/>
      <w:sz w:val="20"/>
      <w:szCs w:val="20"/>
      <w:lang w:val="lv-LV"/>
    </w:rPr>
  </w:style>
  <w:style w:type="character" w:styleId="PageNumber">
    <w:name w:val="page number"/>
    <w:basedOn w:val="DefaultParagraphFont"/>
    <w:rsid w:val="00CE0059"/>
  </w:style>
  <w:style w:type="paragraph" w:styleId="Footer">
    <w:name w:val="footer"/>
    <w:basedOn w:val="Normal"/>
    <w:link w:val="FooterChar"/>
    <w:uiPriority w:val="99"/>
    <w:rsid w:val="00CE0059"/>
    <w:pPr>
      <w:tabs>
        <w:tab w:val="center" w:pos="4320"/>
        <w:tab w:val="right" w:pos="8640"/>
      </w:tabs>
    </w:pPr>
    <w:rPr>
      <w:sz w:val="20"/>
      <w:szCs w:val="20"/>
    </w:rPr>
  </w:style>
  <w:style w:type="character" w:customStyle="1" w:styleId="FooterChar">
    <w:name w:val="Footer Char"/>
    <w:basedOn w:val="DefaultParagraphFont"/>
    <w:link w:val="Footer"/>
    <w:uiPriority w:val="99"/>
    <w:rsid w:val="00CE0059"/>
    <w:rPr>
      <w:rFonts w:ascii="Times New Roman" w:eastAsia="Times New Roman" w:hAnsi="Times New Roman" w:cs="Times New Roman"/>
      <w:sz w:val="20"/>
      <w:szCs w:val="20"/>
      <w:lang w:val="lv-LV"/>
    </w:rPr>
  </w:style>
  <w:style w:type="paragraph" w:styleId="NoSpacing">
    <w:name w:val="No Spacing"/>
    <w:uiPriority w:val="1"/>
    <w:qFormat/>
    <w:rsid w:val="00CE0059"/>
    <w:pPr>
      <w:spacing w:after="0" w:line="240" w:lineRule="auto"/>
    </w:pPr>
    <w:rPr>
      <w:rFonts w:ascii="Calibri" w:eastAsia="Calibri" w:hAnsi="Calibri" w:cs="Times New Roman"/>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link w:val="FootnotesymbolCarZchn"/>
    <w:uiPriority w:val="99"/>
    <w:qFormat/>
    <w:rsid w:val="00CE0059"/>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qFormat/>
    <w:rsid w:val="00CE0059"/>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CE0059"/>
    <w:rPr>
      <w:rFonts w:ascii="Times New Roman" w:eastAsia="Times New Roman" w:hAnsi="Times New Roman" w:cs="Times New Roman"/>
      <w:sz w:val="20"/>
      <w:szCs w:val="20"/>
      <w:lang w:val="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E005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rsid w:val="00CE0059"/>
    <w:rPr>
      <w:rFonts w:ascii="Calibri" w:eastAsia="Calibri" w:hAnsi="Calibri" w:cs="Times New Roman"/>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E0059"/>
    <w:pPr>
      <w:spacing w:after="160" w:line="240" w:lineRule="exact"/>
      <w:jc w:val="both"/>
    </w:pPr>
    <w:rPr>
      <w:rFonts w:asciiTheme="minorHAnsi" w:eastAsiaTheme="minorHAnsi" w:hAnsiTheme="minorHAnsi" w:cstheme="minorBidi"/>
      <w:sz w:val="22"/>
      <w:szCs w:val="22"/>
      <w:vertAlign w:val="superscript"/>
      <w:lang w:val="en-US"/>
    </w:rPr>
  </w:style>
  <w:style w:type="character" w:customStyle="1" w:styleId="apple-style-span">
    <w:name w:val="apple-style-span"/>
    <w:rsid w:val="00CE0059"/>
  </w:style>
  <w:style w:type="character" w:customStyle="1" w:styleId="sentence">
    <w:name w:val="sentence"/>
    <w:rsid w:val="00CE0059"/>
  </w:style>
  <w:style w:type="character" w:customStyle="1" w:styleId="phrase">
    <w:name w:val="phrase"/>
    <w:rsid w:val="00CE0059"/>
  </w:style>
  <w:style w:type="character" w:customStyle="1" w:styleId="word">
    <w:name w:val="word"/>
    <w:rsid w:val="00CE0059"/>
  </w:style>
  <w:style w:type="paragraph" w:customStyle="1" w:styleId="FootnoteText1">
    <w:name w:val="Footnote Text1"/>
    <w:basedOn w:val="Normal"/>
    <w:next w:val="FootnoteText"/>
    <w:uiPriority w:val="99"/>
    <w:semiHidden/>
    <w:unhideWhenUsed/>
    <w:rsid w:val="00B86A2D"/>
    <w:rPr>
      <w:rFonts w:eastAsiaTheme="minorHAnsi" w:cstheme="minorBidi"/>
      <w:sz w:val="20"/>
      <w:szCs w:val="20"/>
    </w:rPr>
  </w:style>
  <w:style w:type="paragraph" w:styleId="BalloonText">
    <w:name w:val="Balloon Text"/>
    <w:basedOn w:val="Normal"/>
    <w:link w:val="BalloonTextChar"/>
    <w:uiPriority w:val="99"/>
    <w:semiHidden/>
    <w:unhideWhenUsed/>
    <w:rsid w:val="00044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9D"/>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506EFF"/>
    <w:rPr>
      <w:sz w:val="16"/>
      <w:szCs w:val="16"/>
    </w:rPr>
  </w:style>
  <w:style w:type="paragraph" w:styleId="CommentText">
    <w:name w:val="annotation text"/>
    <w:basedOn w:val="Normal"/>
    <w:link w:val="CommentTextChar"/>
    <w:uiPriority w:val="99"/>
    <w:semiHidden/>
    <w:unhideWhenUsed/>
    <w:rsid w:val="00506EFF"/>
    <w:rPr>
      <w:sz w:val="20"/>
      <w:szCs w:val="20"/>
    </w:rPr>
  </w:style>
  <w:style w:type="character" w:customStyle="1" w:styleId="CommentTextChar">
    <w:name w:val="Comment Text Char"/>
    <w:basedOn w:val="DefaultParagraphFont"/>
    <w:link w:val="CommentText"/>
    <w:uiPriority w:val="99"/>
    <w:semiHidden/>
    <w:rsid w:val="00506EF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506EFF"/>
    <w:rPr>
      <w:b/>
      <w:bCs/>
    </w:rPr>
  </w:style>
  <w:style w:type="character" w:customStyle="1" w:styleId="CommentSubjectChar">
    <w:name w:val="Comment Subject Char"/>
    <w:basedOn w:val="CommentTextChar"/>
    <w:link w:val="CommentSubject"/>
    <w:uiPriority w:val="99"/>
    <w:semiHidden/>
    <w:rsid w:val="00506EFF"/>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ts.zadraks@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9</Pages>
  <Words>3641</Words>
  <Characters>26223</Characters>
  <Application>Microsoft Office Word</Application>
  <DocSecurity>0</DocSecurity>
  <Lines>403</Lines>
  <Paragraphs>76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Zadraks</dc:creator>
  <cp:lastModifiedBy>Dace Rikmane</cp:lastModifiedBy>
  <cp:revision>38</cp:revision>
  <cp:lastPrinted>2018-05-09T15:49:00Z</cp:lastPrinted>
  <dcterms:created xsi:type="dcterms:W3CDTF">2018-05-07T13:27:00Z</dcterms:created>
  <dcterms:modified xsi:type="dcterms:W3CDTF">2018-05-10T07:42:00Z</dcterms:modified>
</cp:coreProperties>
</file>