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tbl>
      <w:tblPr>
        <w:tblW w:w="0" w:type="auto"/>
        <w:shd w:val="clear" w:color="auto" w:fill="FFFFFF"/>
        <w:tblLayout w:type="fixed"/>
        <w:tblCellMar>
          <w:left w:w="0" w:type="dxa"/>
          <w:right w:w="0" w:type="dxa"/>
        </w:tblCellMar>
        <w:tblLook w:val="04A0"/>
      </w:tblPr>
      <w:tblGrid>
        <w:gridCol w:w="8801"/>
        <w:gridCol w:w="270"/>
      </w:tblGrid>
      <w:tr w14:paraId="26A3521D" w14:textId="77777777" w:rsidTr="00BC5DEE">
        <w:tblPrEx>
          <w:tblW w:w="0" w:type="auto"/>
          <w:shd w:val="clear" w:color="auto" w:fill="FFFFFF"/>
          <w:tblLayout w:type="fixed"/>
          <w:tblCellMar>
            <w:left w:w="0" w:type="dxa"/>
            <w:right w:w="0" w:type="dxa"/>
          </w:tblCellMar>
          <w:tblLook w:val="04A0"/>
        </w:tblPrEx>
        <w:tc>
          <w:tcPr>
            <w:tcW w:w="8801" w:type="dxa"/>
            <w:shd w:val="clear" w:color="auto" w:fill="FFFFFF"/>
            <w:hideMark/>
          </w:tcPr>
          <w:p w:rsidR="00767569" w:rsidRPr="005674A2" w:rsidP="002D63DA" w14:paraId="21B53313" w14:textId="77777777">
            <w:pPr>
              <w:jc w:val="center"/>
              <w:rPr>
                <w:rFonts w:eastAsia="Times New Roman" w:cs="Times New Roman"/>
                <w:b/>
                <w:bCs/>
                <w:sz w:val="27"/>
                <w:szCs w:val="27"/>
                <w:lang w:eastAsia="lv-LV"/>
              </w:rPr>
            </w:pPr>
            <w:r w:rsidRPr="005674A2">
              <w:rPr>
                <w:rFonts w:eastAsia="Times New Roman" w:cs="Times New Roman"/>
                <w:b/>
                <w:bCs/>
                <w:sz w:val="27"/>
                <w:szCs w:val="27"/>
                <w:lang w:eastAsia="lv-LV"/>
              </w:rPr>
              <w:t>Ministru kabineta noteikumu projekta „Grozījumi Ministru kabineta 2016.gada 12.aprīļa noteikumos Nr.211 „Būvkomersantu klasifikācijas noteikumi”” sākotnējās ietekmes novērtējuma ziņojums (anotācija)</w:t>
            </w:r>
          </w:p>
          <w:p w:rsidR="00767569" w:rsidRPr="00767569" w:rsidP="00767569" w14:paraId="3F75322D" w14:textId="77777777">
            <w:pPr>
              <w:spacing w:before="45" w:line="248" w:lineRule="atLeast"/>
              <w:ind w:firstLine="300"/>
              <w:jc w:val="center"/>
              <w:rPr>
                <w:rFonts w:eastAsia="Times New Roman" w:cs="Times New Roman"/>
                <w:i/>
                <w:iCs/>
                <w:color w:val="414142"/>
                <w:sz w:val="20"/>
                <w:szCs w:val="20"/>
                <w:lang w:eastAsia="lv-LV"/>
              </w:rPr>
            </w:pPr>
          </w:p>
          <w:tbl>
            <w:tblPr>
              <w:tblW w:w="8841"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tblPr>
            <w:tblGrid>
              <w:gridCol w:w="402"/>
              <w:gridCol w:w="37"/>
              <w:gridCol w:w="2292"/>
              <w:gridCol w:w="79"/>
              <w:gridCol w:w="351"/>
              <w:gridCol w:w="290"/>
              <w:gridCol w:w="5330"/>
              <w:gridCol w:w="60"/>
            </w:tblGrid>
            <w:tr w14:paraId="7D7A6218" w14:textId="77777777" w:rsidTr="00BC5DEE">
              <w:tblPrEx>
                <w:tblW w:w="8841"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tblPrEx>
              <w:trPr>
                <w:gridAfter w:val="1"/>
                <w:wAfter w:w="60" w:type="dxa"/>
                <w:trHeight w:val="270"/>
              </w:trPr>
              <w:tc>
                <w:tcPr>
                  <w:tcW w:w="8781" w:type="dxa"/>
                  <w:gridSpan w:val="7"/>
                  <w:tcBorders>
                    <w:top w:val="outset" w:sz="6" w:space="0" w:color="414142"/>
                    <w:left w:val="outset" w:sz="6" w:space="0" w:color="414142"/>
                    <w:bottom w:val="outset" w:sz="6" w:space="0" w:color="414142"/>
                    <w:right w:val="outset" w:sz="6" w:space="0" w:color="414142"/>
                  </w:tcBorders>
                  <w:vAlign w:val="center"/>
                  <w:hideMark/>
                </w:tcPr>
                <w:p w:rsidR="00767569" w:rsidRPr="00B34185" w:rsidP="00767569" w14:paraId="0E12ACC3" w14:textId="77777777">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I. Tiesību akta projekta izstrādes nepieciešamība</w:t>
                  </w:r>
                </w:p>
              </w:tc>
            </w:tr>
            <w:tr w14:paraId="63FCA617"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27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5B1227D5" w14:textId="77777777">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628EEC9F" w14:textId="77777777">
                  <w:pPr>
                    <w:rPr>
                      <w:rFonts w:eastAsia="Times New Roman" w:cs="Times New Roman"/>
                      <w:sz w:val="24"/>
                      <w:szCs w:val="24"/>
                      <w:lang w:eastAsia="lv-LV"/>
                    </w:rPr>
                  </w:pPr>
                  <w:r w:rsidRPr="00B34185">
                    <w:rPr>
                      <w:rFonts w:eastAsia="Times New Roman" w:cs="Times New Roman"/>
                      <w:sz w:val="24"/>
                      <w:szCs w:val="24"/>
                      <w:lang w:eastAsia="lv-LV"/>
                    </w:rPr>
                    <w:t>Pamatojums</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57330C" w14:paraId="20186C3A" w14:textId="02B64AF0">
                  <w:pPr>
                    <w:jc w:val="both"/>
                    <w:rPr>
                      <w:rFonts w:eastAsia="Times New Roman" w:cs="Times New Roman"/>
                      <w:sz w:val="24"/>
                      <w:szCs w:val="24"/>
                      <w:highlight w:val="yellow"/>
                      <w:lang w:eastAsia="lv-LV"/>
                    </w:rPr>
                  </w:pPr>
                  <w:r w:rsidRPr="00B34185">
                    <w:rPr>
                      <w:rFonts w:eastAsia="Times New Roman" w:cs="Times New Roman"/>
                      <w:sz w:val="24"/>
                      <w:szCs w:val="24"/>
                      <w:lang w:eastAsia="lv-LV"/>
                    </w:rPr>
                    <w:t>Ekonomikas ministrijas iniciatīva</w:t>
                  </w:r>
                  <w:r w:rsidR="00AA1977">
                    <w:rPr>
                      <w:rFonts w:eastAsia="Times New Roman" w:cs="Times New Roman"/>
                      <w:sz w:val="24"/>
                      <w:szCs w:val="24"/>
                      <w:lang w:eastAsia="lv-LV"/>
                    </w:rPr>
                    <w:t>, atbilstoši Ministru kabineta 2009.gada 7.aprīļa noteikumu Nr.300 “Ministru kabineta kārtības rullis” 74.punkt</w:t>
                  </w:r>
                  <w:r w:rsidR="0057330C">
                    <w:rPr>
                      <w:rFonts w:eastAsia="Times New Roman" w:cs="Times New Roman"/>
                      <w:sz w:val="24"/>
                      <w:szCs w:val="24"/>
                      <w:lang w:eastAsia="lv-LV"/>
                    </w:rPr>
                    <w:t>am.</w:t>
                  </w:r>
                </w:p>
              </w:tc>
            </w:tr>
            <w:tr w14:paraId="277A1CE5"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6E7CA2F5" w14:textId="77777777">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3E8492B5" w14:textId="77777777">
                  <w:pPr>
                    <w:rPr>
                      <w:rFonts w:eastAsia="Times New Roman" w:cs="Times New Roman"/>
                      <w:sz w:val="24"/>
                      <w:szCs w:val="24"/>
                      <w:lang w:eastAsia="lv-LV"/>
                    </w:rPr>
                  </w:pPr>
                  <w:r w:rsidRPr="00B34185">
                    <w:rPr>
                      <w:rFonts w:eastAsia="Times New Roman" w:cs="Times New Roman"/>
                      <w:sz w:val="24"/>
                      <w:szCs w:val="24"/>
                      <w:lang w:eastAsia="lv-LV"/>
                    </w:rPr>
                    <w:t>Pašreizējā situācija un problēmas, kuru risināšanai tiesību akta projekts izstrādāts, tiesiskā regulējuma mērķis un būtība</w:t>
                  </w:r>
                </w:p>
              </w:tc>
              <w:tc>
                <w:tcPr>
                  <w:tcW w:w="5620" w:type="dxa"/>
                  <w:gridSpan w:val="2"/>
                  <w:tcBorders>
                    <w:top w:val="outset" w:sz="6" w:space="0" w:color="414142"/>
                    <w:left w:val="outset" w:sz="6" w:space="0" w:color="414142"/>
                    <w:bottom w:val="outset" w:sz="6" w:space="0" w:color="414142"/>
                    <w:right w:val="outset" w:sz="6" w:space="0" w:color="414142"/>
                  </w:tcBorders>
                </w:tcPr>
                <w:p w:rsidR="001E027A" w:rsidP="00885107" w14:paraId="482CD62C" w14:textId="77777777">
                  <w:pPr>
                    <w:jc w:val="both"/>
                    <w:rPr>
                      <w:rFonts w:eastAsia="Times New Roman" w:cs="Times New Roman"/>
                      <w:sz w:val="24"/>
                      <w:szCs w:val="24"/>
                      <w:lang w:eastAsia="lv-LV"/>
                    </w:rPr>
                  </w:pPr>
                  <w:r>
                    <w:rPr>
                      <w:rFonts w:eastAsia="Times New Roman" w:cs="Times New Roman"/>
                      <w:sz w:val="24"/>
                      <w:szCs w:val="24"/>
                      <w:lang w:eastAsia="lv-LV"/>
                    </w:rPr>
                    <w:t>P</w:t>
                  </w:r>
                  <w:r w:rsidR="00FF716C">
                    <w:rPr>
                      <w:rFonts w:eastAsia="Times New Roman" w:cs="Times New Roman"/>
                      <w:sz w:val="24"/>
                      <w:szCs w:val="24"/>
                      <w:lang w:eastAsia="lv-LV"/>
                    </w:rPr>
                    <w:t>irmās vispārējā kārtībā īstenotās būvkomersantu klasifikācijas rezultātā kvalifikācijas klasi neieguva 1317 būvkomersanti</w:t>
                  </w:r>
                  <w:r>
                    <w:rPr>
                      <w:rStyle w:val="FootnoteReference"/>
                      <w:rFonts w:eastAsia="Times New Roman" w:cs="Times New Roman"/>
                      <w:sz w:val="24"/>
                      <w:szCs w:val="24"/>
                      <w:lang w:eastAsia="lv-LV"/>
                    </w:rPr>
                    <w:footnoteReference w:id="2"/>
                  </w:r>
                  <w:r>
                    <w:rPr>
                      <w:rFonts w:eastAsia="Times New Roman" w:cs="Times New Roman"/>
                      <w:sz w:val="24"/>
                      <w:szCs w:val="24"/>
                      <w:lang w:eastAsia="lv-LV"/>
                    </w:rPr>
                    <w:t xml:space="preserve"> jeb puse no tiem būvkomersantiem, kuri varēja pretendēt uz klasifikāciju šajā kārtībā. Ņemot vērā būvkomersantu klasifikācijas mērķi, kas ir </w:t>
                  </w:r>
                  <w:r w:rsidRPr="00585A51">
                    <w:rPr>
                      <w:rFonts w:eastAsia="Times New Roman" w:cs="Times New Roman"/>
                      <w:sz w:val="24"/>
                      <w:szCs w:val="24"/>
                      <w:lang w:eastAsia="lv-LV"/>
                    </w:rPr>
                    <w:t>būvniecības nozares profesionālās vides sakārtošana publiskā finansējuma iepirkumos, izveidojot atklātu, skaidru sistēmu būvdarbu veicēju profesionālās pieredzes, finansiāli ekonomisko spēju un ilgtspējas novērtēšanai un piemērošanai būvdarbu iepirkumos, tādējādi pilnveidojot tiesisko vidi un sekmējot būvniecības kvalitāti,</w:t>
                  </w:r>
                  <w:r>
                    <w:rPr>
                      <w:rFonts w:eastAsia="Times New Roman" w:cs="Times New Roman"/>
                      <w:sz w:val="24"/>
                      <w:szCs w:val="24"/>
                      <w:lang w:eastAsia="lv-LV"/>
                    </w:rPr>
                    <w:t xml:space="preserve"> tika konstatēta nepieciešamība p</w:t>
                  </w:r>
                  <w:r w:rsidRPr="00585A51">
                    <w:rPr>
                      <w:rFonts w:eastAsia="Times New Roman" w:cs="Times New Roman"/>
                      <w:sz w:val="24"/>
                      <w:szCs w:val="24"/>
                      <w:lang w:eastAsia="lv-LV"/>
                    </w:rPr>
                    <w:t>recizēt būvkomersantu klasifikācij</w:t>
                  </w:r>
                  <w:r w:rsidR="000E0157">
                    <w:rPr>
                      <w:rFonts w:eastAsia="Times New Roman" w:cs="Times New Roman"/>
                      <w:sz w:val="24"/>
                      <w:szCs w:val="24"/>
                      <w:lang w:eastAsia="lv-LV"/>
                    </w:rPr>
                    <w:t>as kārtību</w:t>
                  </w:r>
                  <w:r w:rsidRPr="00585A51">
                    <w:rPr>
                      <w:rFonts w:eastAsia="Times New Roman" w:cs="Times New Roman"/>
                      <w:sz w:val="24"/>
                      <w:szCs w:val="24"/>
                      <w:lang w:eastAsia="lv-LV"/>
                    </w:rPr>
                    <w:t xml:space="preserve"> tā, lai no publisko būvdarbu iepirkumu procesa netiktu izslēgti tie būvkomersanti, kuriem nozares problēmu dēļ (ēnu ekonomika, kas apgrūtina konkurenci, sezonalitāte, slikta norēķinu disciplīna) nav </w:t>
                  </w:r>
                  <w:r w:rsidR="00DD356D">
                    <w:rPr>
                      <w:rFonts w:eastAsia="Times New Roman" w:cs="Times New Roman"/>
                      <w:sz w:val="24"/>
                      <w:szCs w:val="24"/>
                      <w:lang w:eastAsia="lv-LV"/>
                    </w:rPr>
                    <w:t>nevainojama</w:t>
                  </w:r>
                  <w:r w:rsidRPr="00585A51">
                    <w:rPr>
                      <w:rFonts w:eastAsia="Times New Roman" w:cs="Times New Roman"/>
                      <w:sz w:val="24"/>
                      <w:szCs w:val="24"/>
                      <w:lang w:eastAsia="lv-LV"/>
                    </w:rPr>
                    <w:t xml:space="preserve"> saimnieciskā situācija</w:t>
                  </w:r>
                  <w:r w:rsidR="00F71B56">
                    <w:rPr>
                      <w:rFonts w:eastAsia="Times New Roman" w:cs="Times New Roman"/>
                      <w:sz w:val="24"/>
                      <w:szCs w:val="24"/>
                      <w:lang w:eastAsia="lv-LV"/>
                    </w:rPr>
                    <w:t>.</w:t>
                  </w:r>
                  <w:r w:rsidR="00745C7E">
                    <w:rPr>
                      <w:rFonts w:eastAsia="Times New Roman" w:cs="Times New Roman"/>
                      <w:sz w:val="24"/>
                      <w:szCs w:val="24"/>
                      <w:lang w:eastAsia="lv-LV"/>
                    </w:rPr>
                    <w:t xml:space="preserve"> Vienlaikus nepaverot iespēju negodīgai ko</w:t>
                  </w:r>
                  <w:r w:rsidR="00DD356D">
                    <w:rPr>
                      <w:rFonts w:eastAsia="Times New Roman" w:cs="Times New Roman"/>
                      <w:sz w:val="24"/>
                      <w:szCs w:val="24"/>
                      <w:lang w:eastAsia="lv-LV"/>
                    </w:rPr>
                    <w:t xml:space="preserve">nkurencei un dempingam, par ko </w:t>
                  </w:r>
                  <w:r w:rsidR="00745C7E">
                    <w:rPr>
                      <w:rFonts w:eastAsia="Times New Roman" w:cs="Times New Roman"/>
                      <w:sz w:val="24"/>
                      <w:szCs w:val="24"/>
                      <w:lang w:eastAsia="lv-LV"/>
                    </w:rPr>
                    <w:t xml:space="preserve">var liecināt neatbilstošas </w:t>
                  </w:r>
                  <w:r w:rsidR="00F71B56">
                    <w:rPr>
                      <w:rFonts w:eastAsia="Times New Roman" w:cs="Times New Roman"/>
                      <w:sz w:val="24"/>
                      <w:szCs w:val="24"/>
                      <w:lang w:eastAsia="lv-LV"/>
                    </w:rPr>
                    <w:t xml:space="preserve"> </w:t>
                  </w:r>
                  <w:r w:rsidR="00745C7E">
                    <w:rPr>
                      <w:rFonts w:eastAsia="Times New Roman" w:cs="Times New Roman"/>
                      <w:sz w:val="24"/>
                      <w:szCs w:val="24"/>
                      <w:lang w:eastAsia="lv-LV"/>
                    </w:rPr>
                    <w:t xml:space="preserve">finanšu spējas. </w:t>
                  </w:r>
                </w:p>
                <w:p w:rsidR="001E027A" w:rsidP="00885107" w14:paraId="7B2127BA" w14:textId="11B05028">
                  <w:pPr>
                    <w:jc w:val="both"/>
                    <w:rPr>
                      <w:rFonts w:eastAsia="Times New Roman" w:cs="Times New Roman"/>
                      <w:sz w:val="24"/>
                      <w:szCs w:val="24"/>
                      <w:lang w:eastAsia="lv-LV"/>
                    </w:rPr>
                  </w:pPr>
                  <w:r>
                    <w:rPr>
                      <w:rFonts w:eastAsia="Times New Roman" w:cs="Times New Roman"/>
                      <w:sz w:val="24"/>
                      <w:szCs w:val="24"/>
                      <w:lang w:eastAsia="lv-LV"/>
                    </w:rPr>
                    <w:t>Atsevišķos kritērijos</w:t>
                  </w:r>
                  <w:r w:rsidR="00932D1C">
                    <w:rPr>
                      <w:rFonts w:eastAsia="Times New Roman" w:cs="Times New Roman"/>
                      <w:sz w:val="24"/>
                      <w:szCs w:val="24"/>
                      <w:lang w:eastAsia="lv-LV"/>
                    </w:rPr>
                    <w:t xml:space="preserve"> Ministru kabineta 12.04.2016. noteikumu Nr.211 “Būvkomersantu klasifikācijas noteikumi” (turpmāk – noteikumi Nr.211)</w:t>
                  </w:r>
                  <w:r>
                    <w:rPr>
                      <w:rFonts w:eastAsia="Times New Roman" w:cs="Times New Roman"/>
                      <w:sz w:val="24"/>
                      <w:szCs w:val="24"/>
                      <w:lang w:eastAsia="lv-LV"/>
                    </w:rPr>
                    <w:t xml:space="preserve"> grozījumi veikti ņemot vērā nozares ekspertu skaidrojumu par kvalifikāciju ietekmējošiem faktoriem,</w:t>
                  </w:r>
                  <w:r w:rsidR="001001EE">
                    <w:rPr>
                      <w:rFonts w:eastAsia="Times New Roman" w:cs="Times New Roman"/>
                      <w:sz w:val="24"/>
                      <w:szCs w:val="24"/>
                      <w:lang w:eastAsia="lv-LV"/>
                    </w:rPr>
                    <w:t xml:space="preserve"> kā arī ievērojot samērīgumu kvalificēšanas </w:t>
                  </w:r>
                  <w:r w:rsidR="00F1253A">
                    <w:rPr>
                      <w:rFonts w:eastAsia="Times New Roman" w:cs="Times New Roman"/>
                      <w:sz w:val="24"/>
                      <w:szCs w:val="24"/>
                      <w:lang w:eastAsia="lv-LV"/>
                    </w:rPr>
                    <w:t>principos</w:t>
                  </w:r>
                  <w:r w:rsidR="001001EE">
                    <w:rPr>
                      <w:rFonts w:eastAsia="Times New Roman" w:cs="Times New Roman"/>
                      <w:sz w:val="24"/>
                      <w:szCs w:val="24"/>
                      <w:lang w:eastAsia="lv-LV"/>
                    </w:rPr>
                    <w:t>. T</w:t>
                  </w:r>
                  <w:r w:rsidR="00DD356D">
                    <w:rPr>
                      <w:rFonts w:eastAsia="Times New Roman" w:cs="Times New Roman"/>
                      <w:sz w:val="24"/>
                      <w:szCs w:val="24"/>
                      <w:lang w:eastAsia="lv-LV"/>
                    </w:rPr>
                    <w:t xml:space="preserve">ā, piemēram, </w:t>
                  </w:r>
                  <w:r w:rsidR="00932D1C">
                    <w:rPr>
                      <w:rFonts w:eastAsia="Times New Roman" w:cs="Times New Roman"/>
                      <w:sz w:val="24"/>
                      <w:szCs w:val="24"/>
                      <w:lang w:eastAsia="lv-LV"/>
                    </w:rPr>
                    <w:t xml:space="preserve">Valsts ieņēmumu dienesta (turpmāk – </w:t>
                  </w:r>
                  <w:r>
                    <w:rPr>
                      <w:rFonts w:eastAsia="Times New Roman" w:cs="Times New Roman"/>
                      <w:sz w:val="24"/>
                      <w:szCs w:val="24"/>
                      <w:lang w:eastAsia="lv-LV"/>
                    </w:rPr>
                    <w:t>VID</w:t>
                  </w:r>
                  <w:r w:rsidR="00932D1C">
                    <w:rPr>
                      <w:rFonts w:eastAsia="Times New Roman" w:cs="Times New Roman"/>
                      <w:sz w:val="24"/>
                      <w:szCs w:val="24"/>
                      <w:lang w:eastAsia="lv-LV"/>
                    </w:rPr>
                    <w:t>)</w:t>
                  </w:r>
                  <w:r>
                    <w:rPr>
                      <w:rFonts w:eastAsia="Times New Roman" w:cs="Times New Roman"/>
                      <w:sz w:val="24"/>
                      <w:szCs w:val="24"/>
                      <w:lang w:eastAsia="lv-LV"/>
                    </w:rPr>
                    <w:t xml:space="preserve"> administrēto nodokļu parādu esamība nepārprotami neliecina par ļaunprātīgu nodokļa nemaksāšanu, bet var veidoties nodokļu nomaksas saistību uzskaites principa dēļ (vienlaikus ar parādu iespējama pat būtiska pārmaksa citā nodokļu pozīcijā), kā arī fakts, ka </w:t>
                  </w:r>
                  <w:r w:rsidRPr="00567CAA">
                    <w:rPr>
                      <w:rFonts w:eastAsia="Times New Roman" w:cs="Times New Roman"/>
                      <w:sz w:val="24"/>
                      <w:szCs w:val="24"/>
                      <w:lang w:eastAsia="lv-LV"/>
                    </w:rPr>
                    <w:t>uzņēmums ir aprēķinājis nodokļus un uzrādījis</w:t>
                  </w:r>
                  <w:r>
                    <w:rPr>
                      <w:rFonts w:eastAsia="Times New Roman" w:cs="Times New Roman"/>
                      <w:sz w:val="24"/>
                      <w:szCs w:val="24"/>
                      <w:lang w:eastAsia="lv-LV"/>
                    </w:rPr>
                    <w:t xml:space="preserve"> saistības</w:t>
                  </w:r>
                  <w:r w:rsidRPr="00567CAA">
                    <w:rPr>
                      <w:rFonts w:eastAsia="Times New Roman" w:cs="Times New Roman"/>
                      <w:sz w:val="24"/>
                      <w:szCs w:val="24"/>
                      <w:lang w:eastAsia="lv-LV"/>
                    </w:rPr>
                    <w:t xml:space="preserve"> VID</w:t>
                  </w:r>
                  <w:r>
                    <w:rPr>
                      <w:rFonts w:eastAsia="Times New Roman" w:cs="Times New Roman"/>
                      <w:sz w:val="24"/>
                      <w:szCs w:val="24"/>
                      <w:lang w:eastAsia="lv-LV"/>
                    </w:rPr>
                    <w:t>, bet nav tās sedzis, pats par sevi neliecina, ka komersantam</w:t>
                  </w:r>
                  <w:r w:rsidRPr="00567CAA">
                    <w:rPr>
                      <w:rFonts w:eastAsia="Times New Roman" w:cs="Times New Roman"/>
                      <w:sz w:val="24"/>
                      <w:szCs w:val="24"/>
                      <w:lang w:eastAsia="lv-LV"/>
                    </w:rPr>
                    <w:t xml:space="preserve"> ir bijis nolūks </w:t>
                  </w:r>
                  <w:r>
                    <w:rPr>
                      <w:rFonts w:eastAsia="Times New Roman" w:cs="Times New Roman"/>
                      <w:sz w:val="24"/>
                      <w:szCs w:val="24"/>
                      <w:lang w:eastAsia="lv-LV"/>
                    </w:rPr>
                    <w:t xml:space="preserve">nodokļus </w:t>
                  </w:r>
                  <w:r w:rsidRPr="00567CAA">
                    <w:rPr>
                      <w:rFonts w:eastAsia="Times New Roman" w:cs="Times New Roman"/>
                      <w:sz w:val="24"/>
                      <w:szCs w:val="24"/>
                      <w:lang w:eastAsia="lv-LV"/>
                    </w:rPr>
                    <w:t xml:space="preserve">nemaksāt. </w:t>
                  </w:r>
                  <w:r>
                    <w:rPr>
                      <w:rFonts w:eastAsia="Times New Roman" w:cs="Times New Roman"/>
                      <w:sz w:val="24"/>
                      <w:szCs w:val="24"/>
                      <w:lang w:eastAsia="lv-LV"/>
                    </w:rPr>
                    <w:t>Iespējams,</w:t>
                  </w:r>
                  <w:r w:rsidRPr="00567CAA">
                    <w:rPr>
                      <w:rFonts w:eastAsia="Times New Roman" w:cs="Times New Roman"/>
                      <w:sz w:val="24"/>
                      <w:szCs w:val="24"/>
                      <w:lang w:eastAsia="lv-LV"/>
                    </w:rPr>
                    <w:t xml:space="preserve"> </w:t>
                  </w:r>
                  <w:r>
                    <w:rPr>
                      <w:rFonts w:eastAsia="Times New Roman" w:cs="Times New Roman"/>
                      <w:sz w:val="24"/>
                      <w:szCs w:val="24"/>
                      <w:lang w:eastAsia="lv-LV"/>
                    </w:rPr>
                    <w:t xml:space="preserve">parāds veidojies </w:t>
                  </w:r>
                  <w:r w:rsidRPr="00567CAA">
                    <w:rPr>
                      <w:rFonts w:eastAsia="Times New Roman" w:cs="Times New Roman"/>
                      <w:sz w:val="24"/>
                      <w:szCs w:val="24"/>
                      <w:lang w:eastAsia="lv-LV"/>
                    </w:rPr>
                    <w:t>neveiksmīgas saimnie</w:t>
                  </w:r>
                  <w:r>
                    <w:rPr>
                      <w:rFonts w:eastAsia="Times New Roman" w:cs="Times New Roman"/>
                      <w:sz w:val="24"/>
                      <w:szCs w:val="24"/>
                      <w:lang w:eastAsia="lv-LV"/>
                    </w:rPr>
                    <w:t>ciskās darbības rezultātā, kam</w:t>
                  </w:r>
                  <w:r w:rsidRPr="00567CAA">
                    <w:rPr>
                      <w:rFonts w:eastAsia="Times New Roman" w:cs="Times New Roman"/>
                      <w:sz w:val="24"/>
                      <w:szCs w:val="24"/>
                      <w:lang w:eastAsia="lv-LV"/>
                    </w:rPr>
                    <w:t xml:space="preserve"> par iemeslu var būt, piemēram, sliktā situācija būvniecībā ar norēķiniem ar apakšuzņēmējiem.</w:t>
                  </w:r>
                  <w:r>
                    <w:rPr>
                      <w:rFonts w:eastAsia="Times New Roman" w:cs="Times New Roman"/>
                      <w:sz w:val="24"/>
                      <w:szCs w:val="24"/>
                      <w:lang w:eastAsia="lv-LV"/>
                    </w:rPr>
                    <w:t xml:space="preserve"> Tomēr noteikumi Nr.211 paredz, ka par nodokļu parāda esamību iespējams saņemt korekciju līdz pat 2,94 punktu apmērā, kas ir lielākais iespējamais </w:t>
                  </w:r>
                  <w:r>
                    <w:rPr>
                      <w:rFonts w:eastAsia="Times New Roman" w:cs="Times New Roman"/>
                      <w:sz w:val="24"/>
                      <w:szCs w:val="24"/>
                      <w:lang w:eastAsia="lv-LV"/>
                    </w:rPr>
                    <w:t>korekcijas apmērs vienā kvalifikācijas kritērijā.</w:t>
                  </w:r>
                  <w:r w:rsidR="005C071E">
                    <w:rPr>
                      <w:rFonts w:eastAsia="Times New Roman" w:cs="Times New Roman"/>
                      <w:sz w:val="24"/>
                      <w:szCs w:val="24"/>
                      <w:lang w:eastAsia="lv-LV"/>
                    </w:rPr>
                    <w:t xml:space="preserve"> Attiecīgi vienas korekcijas apmērs samazināts no 0,245 uz 0,1.</w:t>
                  </w:r>
                </w:p>
                <w:p w:rsidR="009D25AA" w:rsidP="00885107" w14:paraId="41FE114B" w14:textId="77777777">
                  <w:pPr>
                    <w:jc w:val="both"/>
                    <w:rPr>
                      <w:rFonts w:eastAsia="Times New Roman" w:cs="Times New Roman"/>
                      <w:sz w:val="24"/>
                      <w:szCs w:val="24"/>
                      <w:lang w:eastAsia="lv-LV"/>
                    </w:rPr>
                  </w:pPr>
                  <w:r>
                    <w:rPr>
                      <w:rFonts w:eastAsia="Times New Roman" w:cs="Times New Roman"/>
                      <w:sz w:val="24"/>
                      <w:szCs w:val="24"/>
                      <w:lang w:eastAsia="lv-LV"/>
                    </w:rPr>
                    <w:t>Vispārējā kā</w:t>
                  </w:r>
                  <w:bookmarkStart w:id="0" w:name="_GoBack"/>
                  <w:bookmarkEnd w:id="0"/>
                  <w:r>
                    <w:rPr>
                      <w:rFonts w:eastAsia="Times New Roman" w:cs="Times New Roman"/>
                      <w:sz w:val="24"/>
                      <w:szCs w:val="24"/>
                      <w:lang w:eastAsia="lv-LV"/>
                    </w:rPr>
                    <w:t>rtībā veiktās k</w:t>
                  </w:r>
                  <w:r w:rsidR="00585A51">
                    <w:rPr>
                      <w:rFonts w:eastAsia="Times New Roman" w:cs="Times New Roman"/>
                      <w:sz w:val="24"/>
                      <w:szCs w:val="24"/>
                      <w:lang w:eastAsia="lv-LV"/>
                    </w:rPr>
                    <w:t xml:space="preserve">lasifikācijas datu analīze parādīja, ka būtiskākais neklasificēšanās iemesls ir finanšu spēju, tostarp </w:t>
                  </w:r>
                  <w:r w:rsidR="00F71B56">
                    <w:rPr>
                      <w:rFonts w:eastAsia="Times New Roman" w:cs="Times New Roman"/>
                      <w:sz w:val="24"/>
                      <w:szCs w:val="24"/>
                      <w:lang w:eastAsia="lv-LV"/>
                    </w:rPr>
                    <w:t>likviditātes un finanšu līdzsvara rādītāja</w:t>
                  </w:r>
                  <w:r w:rsidR="00585A51">
                    <w:rPr>
                      <w:rFonts w:eastAsia="Times New Roman" w:cs="Times New Roman"/>
                      <w:sz w:val="24"/>
                      <w:szCs w:val="24"/>
                      <w:lang w:eastAsia="lv-LV"/>
                    </w:rPr>
                    <w:t xml:space="preserve"> nepietiekamība</w:t>
                  </w:r>
                  <w:r w:rsidR="00F71B56">
                    <w:rPr>
                      <w:rFonts w:eastAsia="Times New Roman" w:cs="Times New Roman"/>
                      <w:sz w:val="24"/>
                      <w:szCs w:val="24"/>
                      <w:lang w:eastAsia="lv-LV"/>
                    </w:rPr>
                    <w:t xml:space="preserve">. </w:t>
                  </w:r>
                  <w:r w:rsidR="00745C7E">
                    <w:rPr>
                      <w:rFonts w:eastAsia="Times New Roman" w:cs="Times New Roman"/>
                      <w:sz w:val="24"/>
                      <w:szCs w:val="24"/>
                      <w:lang w:eastAsia="lv-LV"/>
                    </w:rPr>
                    <w:t xml:space="preserve">Nākamais </w:t>
                  </w:r>
                  <w:r w:rsidR="00315F6A">
                    <w:rPr>
                      <w:rFonts w:eastAsia="Times New Roman" w:cs="Times New Roman"/>
                      <w:sz w:val="24"/>
                      <w:szCs w:val="24"/>
                      <w:lang w:eastAsia="lv-LV"/>
                    </w:rPr>
                    <w:t xml:space="preserve">nozīmīgākais </w:t>
                  </w:r>
                  <w:r w:rsidR="00745C7E">
                    <w:rPr>
                      <w:rFonts w:eastAsia="Times New Roman" w:cs="Times New Roman"/>
                      <w:sz w:val="24"/>
                      <w:szCs w:val="24"/>
                      <w:lang w:eastAsia="lv-LV"/>
                    </w:rPr>
                    <w:t>neklasificēšanās iemesls (23,33%) bijis saņemto korekciju skaits</w:t>
                  </w:r>
                  <w:r w:rsidR="00DD356D">
                    <w:rPr>
                      <w:rFonts w:eastAsia="Times New Roman" w:cs="Times New Roman"/>
                      <w:sz w:val="24"/>
                      <w:szCs w:val="24"/>
                      <w:lang w:eastAsia="lv-LV"/>
                    </w:rPr>
                    <w:t xml:space="preserve"> finanšu spēju un ilgtspējas kritērijos</w:t>
                  </w:r>
                  <w:r w:rsidR="00745C7E">
                    <w:rPr>
                      <w:rFonts w:eastAsia="Times New Roman" w:cs="Times New Roman"/>
                      <w:sz w:val="24"/>
                      <w:szCs w:val="24"/>
                      <w:lang w:eastAsia="lv-LV"/>
                    </w:rPr>
                    <w:t>. Vislielākais saņemto korekciju skaits bijis par valstī vidēji būvniecībā aprēķinātajai darba samaksai neatbilstošu darba samaksu</w:t>
                  </w:r>
                  <w:r w:rsidR="00527AD3">
                    <w:rPr>
                      <w:rFonts w:eastAsia="Times New Roman" w:cs="Times New Roman"/>
                      <w:sz w:val="24"/>
                      <w:szCs w:val="24"/>
                      <w:lang w:eastAsia="lv-LV"/>
                    </w:rPr>
                    <w:t xml:space="preserve"> uzņēmumā</w:t>
                  </w:r>
                  <w:r w:rsidR="00745C7E">
                    <w:rPr>
                      <w:rFonts w:eastAsia="Times New Roman" w:cs="Times New Roman"/>
                      <w:sz w:val="24"/>
                      <w:szCs w:val="24"/>
                      <w:lang w:eastAsia="lv-LV"/>
                    </w:rPr>
                    <w:t xml:space="preserve"> (korekciju saņēmuši 1394 būvkomersanti, </w:t>
                  </w:r>
                  <w:r w:rsidR="00527AD3">
                    <w:rPr>
                      <w:rFonts w:eastAsia="Times New Roman" w:cs="Times New Roman"/>
                      <w:sz w:val="24"/>
                      <w:szCs w:val="24"/>
                      <w:lang w:eastAsia="lv-LV"/>
                    </w:rPr>
                    <w:t>no kuriem 25,39% nav klasificēti), bet vislielākā ietekme uz klasificēšanu bijusi korekcijai par nodokļu parādu, kas pārsniedz 150 </w:t>
                  </w:r>
                  <w:r w:rsidRPr="00527AD3" w:rsidR="00527AD3">
                    <w:rPr>
                      <w:rFonts w:eastAsia="Times New Roman" w:cs="Times New Roman"/>
                      <w:i/>
                      <w:sz w:val="24"/>
                      <w:szCs w:val="24"/>
                      <w:lang w:eastAsia="lv-LV"/>
                    </w:rPr>
                    <w:t>euro</w:t>
                  </w:r>
                  <w:r w:rsidR="00527AD3">
                    <w:rPr>
                      <w:rFonts w:eastAsia="Times New Roman" w:cs="Times New Roman"/>
                      <w:sz w:val="24"/>
                      <w:szCs w:val="24"/>
                      <w:lang w:eastAsia="lv-LV"/>
                    </w:rPr>
                    <w:t xml:space="preserve">: 43,23% no kopumā 812 būvkomersantiem, kas saņēmuši korekcijas par nodokļu parādu, atbilstoši noteikumu Nr.211 </w:t>
                  </w:r>
                  <w:r w:rsidRPr="00527AD3" w:rsidR="00527AD3">
                    <w:rPr>
                      <w:rFonts w:eastAsia="Times New Roman" w:cs="Times New Roman"/>
                      <w:sz w:val="24"/>
                      <w:szCs w:val="24"/>
                      <w:lang w:eastAsia="lv-LV"/>
                    </w:rPr>
                    <w:t>34.4.</w:t>
                  </w:r>
                  <w:r w:rsidR="00527AD3">
                    <w:rPr>
                      <w:rFonts w:eastAsia="Times New Roman" w:cs="Times New Roman"/>
                      <w:sz w:val="24"/>
                      <w:szCs w:val="24"/>
                      <w:lang w:eastAsia="lv-LV"/>
                    </w:rPr>
                    <w:t xml:space="preserve">apakšpunktam, nav klasificēti. </w:t>
                  </w:r>
                </w:p>
                <w:p w:rsidR="00463D9A" w:rsidP="00527AD3" w14:paraId="4AEA3480" w14:textId="0E886CBA">
                  <w:pPr>
                    <w:jc w:val="both"/>
                    <w:rPr>
                      <w:rFonts w:eastAsia="Times New Roman" w:cs="Times New Roman"/>
                      <w:sz w:val="24"/>
                      <w:szCs w:val="24"/>
                      <w:lang w:eastAsia="lv-LV"/>
                    </w:rPr>
                  </w:pPr>
                  <w:r>
                    <w:rPr>
                      <w:rFonts w:eastAsia="Times New Roman" w:cs="Times New Roman"/>
                      <w:sz w:val="24"/>
                      <w:szCs w:val="24"/>
                      <w:lang w:eastAsia="lv-LV"/>
                    </w:rPr>
                    <w:t>Atbilstoši Būvniecības likuma 23.panta 1.daļas regulējumam, l</w:t>
                  </w:r>
                  <w:r w:rsidRPr="00527AD3">
                    <w:rPr>
                      <w:rFonts w:eastAsia="Times New Roman" w:cs="Times New Roman"/>
                      <w:sz w:val="24"/>
                      <w:szCs w:val="24"/>
                      <w:lang w:eastAsia="lv-LV"/>
                    </w:rPr>
                    <w:t xml:space="preserve">ai pretendētu uz </w:t>
                  </w:r>
                  <w:r>
                    <w:rPr>
                      <w:rFonts w:eastAsia="Times New Roman" w:cs="Times New Roman"/>
                      <w:sz w:val="24"/>
                      <w:szCs w:val="24"/>
                      <w:lang w:eastAsia="lv-LV"/>
                    </w:rPr>
                    <w:t xml:space="preserve">publisko </w:t>
                  </w:r>
                  <w:r w:rsidRPr="00527AD3">
                    <w:rPr>
                      <w:rFonts w:eastAsia="Times New Roman" w:cs="Times New Roman"/>
                      <w:sz w:val="24"/>
                      <w:szCs w:val="24"/>
                      <w:lang w:eastAsia="lv-LV"/>
                    </w:rPr>
                    <w:t>būvdarbu veikšanu, būvkomersantam jāsaņem klasifikācijas dokuments.</w:t>
                  </w:r>
                  <w:r>
                    <w:rPr>
                      <w:rFonts w:eastAsia="Times New Roman" w:cs="Times New Roman"/>
                      <w:sz w:val="24"/>
                      <w:szCs w:val="24"/>
                      <w:lang w:eastAsia="lv-LV"/>
                    </w:rPr>
                    <w:t xml:space="preserve"> Saskaņā ar Iepirkumu uzraudzības biroja skaidrojumu</w:t>
                  </w:r>
                  <w:r>
                    <w:rPr>
                      <w:rStyle w:val="FootnoteReference"/>
                      <w:rFonts w:eastAsia="Times New Roman" w:cs="Times New Roman"/>
                      <w:sz w:val="24"/>
                      <w:szCs w:val="24"/>
                      <w:lang w:eastAsia="lv-LV"/>
                    </w:rPr>
                    <w:footnoteReference w:id="3"/>
                  </w:r>
                  <w:r>
                    <w:rPr>
                      <w:rFonts w:eastAsia="Times New Roman" w:cs="Times New Roman"/>
                      <w:sz w:val="24"/>
                      <w:szCs w:val="24"/>
                      <w:lang w:eastAsia="lv-LV"/>
                    </w:rPr>
                    <w:t xml:space="preserve">, </w:t>
                  </w:r>
                  <w:r w:rsidRPr="00527AD3">
                    <w:rPr>
                      <w:rFonts w:eastAsia="Times New Roman" w:cs="Times New Roman"/>
                      <w:sz w:val="24"/>
                      <w:szCs w:val="24"/>
                      <w:lang w:eastAsia="lv-LV"/>
                    </w:rPr>
                    <w:t xml:space="preserve">klasifikācijas publiskajos iepirkumos </w:t>
                  </w:r>
                  <w:r>
                    <w:rPr>
                      <w:rFonts w:eastAsia="Times New Roman" w:cs="Times New Roman"/>
                      <w:sz w:val="24"/>
                      <w:szCs w:val="24"/>
                      <w:lang w:eastAsia="lv-LV"/>
                    </w:rPr>
                    <w:t xml:space="preserve">piemēro sākot ar </w:t>
                  </w:r>
                  <w:r w:rsidRPr="00527AD3">
                    <w:rPr>
                      <w:rFonts w:eastAsia="Times New Roman" w:cs="Times New Roman"/>
                      <w:sz w:val="24"/>
                      <w:szCs w:val="24"/>
                      <w:lang w:eastAsia="lv-LV"/>
                    </w:rPr>
                    <w:t>brīdi, kad Ministru kabinets izdos Publisko iepirkumu likum</w:t>
                  </w:r>
                  <w:r>
                    <w:rPr>
                      <w:rFonts w:eastAsia="Times New Roman" w:cs="Times New Roman"/>
                      <w:sz w:val="24"/>
                      <w:szCs w:val="24"/>
                      <w:lang w:eastAsia="lv-LV"/>
                    </w:rPr>
                    <w:t xml:space="preserve">a </w:t>
                  </w:r>
                  <w:r w:rsidRPr="00527AD3">
                    <w:rPr>
                      <w:rFonts w:eastAsia="Times New Roman" w:cs="Times New Roman"/>
                      <w:sz w:val="24"/>
                      <w:szCs w:val="24"/>
                      <w:lang w:eastAsia="lv-LV"/>
                    </w:rPr>
                    <w:t>44.panta trešajā daļā paredzētos noteikumus par prasībām būvkomersantam attiecībā uz pieredzi un klasi publisku</w:t>
                  </w:r>
                  <w:r w:rsidR="00E43FF7">
                    <w:rPr>
                      <w:rFonts w:eastAsia="Times New Roman" w:cs="Times New Roman"/>
                      <w:sz w:val="24"/>
                      <w:szCs w:val="24"/>
                      <w:lang w:eastAsia="lv-LV"/>
                    </w:rPr>
                    <w:t xml:space="preserve"> </w:t>
                  </w:r>
                  <w:r w:rsidRPr="00527AD3">
                    <w:rPr>
                      <w:rFonts w:eastAsia="Times New Roman" w:cs="Times New Roman"/>
                      <w:sz w:val="24"/>
                      <w:szCs w:val="24"/>
                      <w:lang w:eastAsia="lv-LV"/>
                    </w:rPr>
                    <w:t>būvdarbu veikšanai būvju grupās</w:t>
                  </w:r>
                  <w:r w:rsidR="00E43FF7">
                    <w:rPr>
                      <w:rFonts w:eastAsia="Times New Roman" w:cs="Times New Roman"/>
                      <w:sz w:val="24"/>
                      <w:szCs w:val="24"/>
                      <w:lang w:eastAsia="lv-LV"/>
                    </w:rPr>
                    <w:t xml:space="preserve">, kas atbilstoši </w:t>
                  </w:r>
                  <w:r w:rsidRPr="00527AD3" w:rsidR="00932D1C">
                    <w:rPr>
                      <w:rFonts w:eastAsia="Times New Roman" w:cs="Times New Roman"/>
                      <w:sz w:val="24"/>
                      <w:szCs w:val="24"/>
                      <w:lang w:eastAsia="lv-LV"/>
                    </w:rPr>
                    <w:t>Publisko iepirkumu likum</w:t>
                  </w:r>
                  <w:r w:rsidR="00932D1C">
                    <w:rPr>
                      <w:rFonts w:eastAsia="Times New Roman" w:cs="Times New Roman"/>
                      <w:sz w:val="24"/>
                      <w:szCs w:val="24"/>
                      <w:lang w:eastAsia="lv-LV"/>
                    </w:rPr>
                    <w:t xml:space="preserve">a </w:t>
                  </w:r>
                  <w:r w:rsidR="00E43FF7">
                    <w:rPr>
                      <w:rFonts w:eastAsia="Times New Roman" w:cs="Times New Roman"/>
                      <w:sz w:val="24"/>
                      <w:szCs w:val="24"/>
                      <w:lang w:eastAsia="lv-LV"/>
                    </w:rPr>
                    <w:t>pārejas noteikum</w:t>
                  </w:r>
                  <w:r w:rsidR="00DD356D">
                    <w:rPr>
                      <w:rFonts w:eastAsia="Times New Roman" w:cs="Times New Roman"/>
                      <w:sz w:val="24"/>
                      <w:szCs w:val="24"/>
                      <w:lang w:eastAsia="lv-LV"/>
                    </w:rPr>
                    <w:t>u 4.punktam</w:t>
                  </w:r>
                  <w:r w:rsidR="00E43FF7">
                    <w:rPr>
                      <w:rFonts w:eastAsia="Times New Roman" w:cs="Times New Roman"/>
                      <w:sz w:val="24"/>
                      <w:szCs w:val="24"/>
                      <w:lang w:eastAsia="lv-LV"/>
                    </w:rPr>
                    <w:t xml:space="preserve"> izdodami līdz </w:t>
                  </w:r>
                  <w:r w:rsidR="00315F6A">
                    <w:rPr>
                      <w:rFonts w:eastAsia="Times New Roman" w:cs="Times New Roman"/>
                      <w:sz w:val="24"/>
                      <w:szCs w:val="24"/>
                      <w:lang w:eastAsia="lv-LV"/>
                    </w:rPr>
                    <w:t xml:space="preserve">2019.gada 30.aprīlim. Tā kā sākot ar 2019.gada maiju klasifikācija būs priekšnoteikums publisko būvdarbu veikšanai, bet </w:t>
                  </w:r>
                  <w:r w:rsidR="00932D1C">
                    <w:rPr>
                      <w:rFonts w:eastAsia="Times New Roman" w:cs="Times New Roman"/>
                      <w:sz w:val="24"/>
                      <w:szCs w:val="24"/>
                      <w:lang w:eastAsia="lv-LV"/>
                    </w:rPr>
                    <w:t xml:space="preserve">lēmumu par </w:t>
                  </w:r>
                  <w:r w:rsidR="00315F6A">
                    <w:rPr>
                      <w:rFonts w:eastAsia="Times New Roman" w:cs="Times New Roman"/>
                      <w:sz w:val="24"/>
                      <w:szCs w:val="24"/>
                      <w:lang w:eastAsia="lv-LV"/>
                    </w:rPr>
                    <w:t>klasifikāciju saņēmu</w:t>
                  </w:r>
                  <w:r w:rsidR="00932D1C">
                    <w:rPr>
                      <w:rFonts w:eastAsia="Times New Roman" w:cs="Times New Roman"/>
                      <w:sz w:val="24"/>
                      <w:szCs w:val="24"/>
                      <w:lang w:eastAsia="lv-LV"/>
                    </w:rPr>
                    <w:t>si</w:t>
                  </w:r>
                  <w:r w:rsidR="00315F6A">
                    <w:rPr>
                      <w:rFonts w:eastAsia="Times New Roman" w:cs="Times New Roman"/>
                      <w:sz w:val="24"/>
                      <w:szCs w:val="24"/>
                      <w:lang w:eastAsia="lv-LV"/>
                    </w:rPr>
                    <w:t xml:space="preserve"> tikai </w:t>
                  </w:r>
                  <w:r>
                    <w:rPr>
                      <w:rFonts w:eastAsia="Times New Roman" w:cs="Times New Roman"/>
                      <w:sz w:val="24"/>
                      <w:szCs w:val="24"/>
                      <w:lang w:eastAsia="lv-LV"/>
                    </w:rPr>
                    <w:t xml:space="preserve">puse </w:t>
                  </w:r>
                  <w:r w:rsidR="00315F6A">
                    <w:rPr>
                      <w:rFonts w:eastAsia="Times New Roman" w:cs="Times New Roman"/>
                      <w:sz w:val="24"/>
                      <w:szCs w:val="24"/>
                      <w:lang w:eastAsia="lv-LV"/>
                    </w:rPr>
                    <w:t xml:space="preserve">no potenciālajiem publisko būvdarbu pretendentiem, konsultējoties ar nozares ekspertiem, nolemts  precizēt noteikumus Nr.211 tādā veidā, lai palielinātu potenciālo publisko būvdarbu veicēju pretendentu skaitu, vienlaikus nepakļaujot </w:t>
                  </w:r>
                  <w:r w:rsidR="00D82FE4">
                    <w:rPr>
                      <w:rFonts w:eastAsia="Times New Roman" w:cs="Times New Roman"/>
                      <w:sz w:val="24"/>
                      <w:szCs w:val="24"/>
                      <w:lang w:eastAsia="lv-LV"/>
                    </w:rPr>
                    <w:t>pasūtītājus saimnieciskiem riskiem</w:t>
                  </w:r>
                  <w:r>
                    <w:rPr>
                      <w:rFonts w:eastAsia="Times New Roman" w:cs="Times New Roman"/>
                      <w:sz w:val="24"/>
                      <w:szCs w:val="24"/>
                      <w:lang w:eastAsia="lv-LV"/>
                    </w:rPr>
                    <w:t>, kas varētu rasties, izvēloties pretendentu ar nepietiekamām finanšu spējām</w:t>
                  </w:r>
                  <w:r w:rsidR="00D82FE4">
                    <w:rPr>
                      <w:rFonts w:eastAsia="Times New Roman" w:cs="Times New Roman"/>
                      <w:sz w:val="24"/>
                      <w:szCs w:val="24"/>
                      <w:lang w:eastAsia="lv-LV"/>
                    </w:rPr>
                    <w:t>.</w:t>
                  </w:r>
                </w:p>
                <w:p w:rsidR="003B72E0" w:rsidP="00527AD3" w14:paraId="22BA766C" w14:textId="77777777">
                  <w:pPr>
                    <w:jc w:val="both"/>
                    <w:rPr>
                      <w:rFonts w:eastAsia="Times New Roman" w:cs="Times New Roman"/>
                      <w:sz w:val="24"/>
                      <w:szCs w:val="24"/>
                      <w:lang w:eastAsia="lv-LV"/>
                    </w:rPr>
                  </w:pPr>
                </w:p>
                <w:p w:rsidR="009411F3" w:rsidP="00527AD3" w14:paraId="08EAC482" w14:textId="22BFE587">
                  <w:pPr>
                    <w:jc w:val="both"/>
                    <w:rPr>
                      <w:rFonts w:eastAsia="Times New Roman" w:cs="Times New Roman"/>
                      <w:sz w:val="24"/>
                      <w:szCs w:val="24"/>
                      <w:lang w:eastAsia="lv-LV"/>
                    </w:rPr>
                  </w:pPr>
                  <w:r w:rsidRPr="00063582">
                    <w:rPr>
                      <w:rFonts w:eastAsia="Times New Roman" w:cs="Times New Roman"/>
                      <w:sz w:val="24"/>
                      <w:szCs w:val="24"/>
                      <w:lang w:eastAsia="lv-LV"/>
                    </w:rPr>
                    <w:t>Atbilstoši noteikumu Nr.211 2.1.apakšpunktam un ņemot vērā, ka saskaņā ar publisko iepirkumu jomas normatīvajiem aktiem pretendents (ģenerāluzņēmējs), apliecinot atbilstību pasūtītāja izvirzītajām prasībām, var balstīties arī uz apakšuzņēmēja kvalifikāciju (pieredzi, tehniskajām, profesionālajām un finansiālajām spējām), noteikumos Nr.211 noteiktās būvkomersantu klasifikācijas prasības ir attiecināmas arī uz pretendentu (ģenerāluzņēmēju) piesaistītajiem apakšuzņēmējiem.</w:t>
                  </w:r>
                  <w:r w:rsidR="00592676">
                    <w:rPr>
                      <w:rFonts w:eastAsia="Times New Roman" w:cs="Times New Roman"/>
                      <w:sz w:val="24"/>
                      <w:szCs w:val="24"/>
                      <w:lang w:eastAsia="lv-LV"/>
                    </w:rPr>
                    <w:t xml:space="preserve"> </w:t>
                  </w:r>
                </w:p>
                <w:p w:rsidR="009027FA" w:rsidP="00527AD3" w14:paraId="543115E4" w14:textId="77368E31">
                  <w:pPr>
                    <w:jc w:val="both"/>
                    <w:rPr>
                      <w:rFonts w:eastAsia="Times New Roman" w:cs="Times New Roman"/>
                      <w:sz w:val="24"/>
                      <w:szCs w:val="24"/>
                      <w:lang w:eastAsia="lv-LV"/>
                    </w:rPr>
                  </w:pPr>
                  <w:r w:rsidRPr="009027FA">
                    <w:rPr>
                      <w:rFonts w:eastAsia="Times New Roman" w:cs="Times New Roman"/>
                      <w:sz w:val="24"/>
                      <w:szCs w:val="24"/>
                      <w:lang w:eastAsia="lv-LV"/>
                    </w:rPr>
                    <w:t xml:space="preserve">Izstrādājot Ministru kabineta noteikumu projektu, ar kuru tiks noteiktas prasības būvkomersantam attiecībā uz pieredzi un klasi publisku būvdarbu veikšanai būvju grupās atbilstoši Publisko iepirkumu likuma 44.panta 3.daļas deleģējumam, </w:t>
                  </w:r>
                  <w:r>
                    <w:rPr>
                      <w:rFonts w:eastAsia="Times New Roman" w:cs="Times New Roman"/>
                      <w:sz w:val="24"/>
                      <w:szCs w:val="24"/>
                      <w:lang w:eastAsia="lv-LV"/>
                    </w:rPr>
                    <w:t xml:space="preserve">tiks </w:t>
                  </w:r>
                  <w:r w:rsidR="00592676">
                    <w:rPr>
                      <w:rFonts w:eastAsia="Times New Roman" w:cs="Times New Roman"/>
                      <w:sz w:val="24"/>
                      <w:szCs w:val="24"/>
                      <w:lang w:eastAsia="lv-LV"/>
                    </w:rPr>
                    <w:t xml:space="preserve">noteikts </w:t>
                  </w:r>
                  <w:r w:rsidRPr="009027FA">
                    <w:rPr>
                      <w:rFonts w:eastAsia="Times New Roman" w:cs="Times New Roman"/>
                      <w:sz w:val="24"/>
                      <w:szCs w:val="24"/>
                      <w:lang w:eastAsia="lv-LV"/>
                    </w:rPr>
                    <w:t>regulējum</w:t>
                  </w:r>
                  <w:r>
                    <w:rPr>
                      <w:rFonts w:eastAsia="Times New Roman" w:cs="Times New Roman"/>
                      <w:sz w:val="24"/>
                      <w:szCs w:val="24"/>
                      <w:lang w:eastAsia="lv-LV"/>
                    </w:rPr>
                    <w:t>s</w:t>
                  </w:r>
                  <w:r w:rsidRPr="009027FA">
                    <w:rPr>
                      <w:rFonts w:eastAsia="Times New Roman" w:cs="Times New Roman"/>
                      <w:sz w:val="24"/>
                      <w:szCs w:val="24"/>
                      <w:lang w:eastAsia="lv-LV"/>
                    </w:rPr>
                    <w:t xml:space="preserve"> klasifikācijas prasību piemērošanai pretendentam un tā norādītajiem apakšuzņēmējiem.</w:t>
                  </w:r>
                </w:p>
                <w:p w:rsidR="009D25AA" w:rsidP="00885107" w14:paraId="15ECEC91" w14:textId="77777777">
                  <w:pPr>
                    <w:jc w:val="both"/>
                    <w:rPr>
                      <w:rFonts w:eastAsia="Times New Roman" w:cs="Times New Roman"/>
                      <w:sz w:val="24"/>
                      <w:szCs w:val="24"/>
                      <w:lang w:eastAsia="lv-LV"/>
                    </w:rPr>
                  </w:pPr>
                </w:p>
                <w:p w:rsidR="00463D9A" w:rsidP="00885107" w14:paraId="3D3C36E4" w14:textId="77777777">
                  <w:pPr>
                    <w:jc w:val="both"/>
                    <w:rPr>
                      <w:rFonts w:eastAsia="Times New Roman" w:cs="Times New Roman"/>
                      <w:sz w:val="24"/>
                      <w:szCs w:val="24"/>
                      <w:lang w:eastAsia="lv-LV"/>
                    </w:rPr>
                  </w:pPr>
                  <w:r>
                    <w:rPr>
                      <w:rFonts w:eastAsia="Times New Roman" w:cs="Times New Roman"/>
                      <w:sz w:val="24"/>
                      <w:szCs w:val="24"/>
                      <w:lang w:eastAsia="lv-LV"/>
                    </w:rPr>
                    <w:t>Ministru kabineta noteikumu p</w:t>
                  </w:r>
                  <w:r w:rsidRPr="006E099A" w:rsidR="00D06B4A">
                    <w:rPr>
                      <w:rFonts w:eastAsia="Times New Roman" w:cs="Times New Roman"/>
                      <w:sz w:val="24"/>
                      <w:szCs w:val="24"/>
                      <w:lang w:eastAsia="lv-LV"/>
                    </w:rPr>
                    <w:t xml:space="preserve">rojekts „Grozījumi Ministru kabineta 2016.gada 12.aprīļa noteikumos Nr.211 „Būvkomersantu klasifikācijas noteikumi”” (turpmāk – noteikumu projekts) </w:t>
                  </w:r>
                  <w:r>
                    <w:rPr>
                      <w:rFonts w:eastAsia="Times New Roman" w:cs="Times New Roman"/>
                      <w:sz w:val="24"/>
                      <w:szCs w:val="24"/>
                      <w:lang w:eastAsia="lv-LV"/>
                    </w:rPr>
                    <w:t>paredz:</w:t>
                  </w:r>
                </w:p>
                <w:p w:rsidR="00A733C2" w:rsidP="00810D3D" w14:paraId="15A46B73" w14:textId="0E9E60BB">
                  <w:pPr>
                    <w:pStyle w:val="ListParagraph"/>
                    <w:numPr>
                      <w:ilvl w:val="0"/>
                      <w:numId w:val="3"/>
                    </w:numPr>
                    <w:ind w:left="0" w:firstLine="360"/>
                    <w:jc w:val="both"/>
                    <w:rPr>
                      <w:rFonts w:eastAsia="Times New Roman" w:cs="Times New Roman"/>
                      <w:sz w:val="24"/>
                      <w:szCs w:val="24"/>
                      <w:lang w:eastAsia="lv-LV"/>
                    </w:rPr>
                  </w:pPr>
                  <w:r>
                    <w:rPr>
                      <w:rFonts w:eastAsia="Times New Roman" w:cs="Times New Roman"/>
                      <w:sz w:val="24"/>
                      <w:szCs w:val="24"/>
                      <w:lang w:eastAsia="lv-LV"/>
                    </w:rPr>
                    <w:t>p</w:t>
                  </w:r>
                  <w:r w:rsidR="00810D3D">
                    <w:rPr>
                      <w:rFonts w:eastAsia="Times New Roman" w:cs="Times New Roman"/>
                      <w:sz w:val="24"/>
                      <w:szCs w:val="24"/>
                      <w:lang w:eastAsia="lv-LV"/>
                    </w:rPr>
                    <w:t xml:space="preserve">recizēt noteikumus Nr.211 </w:t>
                  </w:r>
                  <w:r>
                    <w:rPr>
                      <w:rFonts w:eastAsia="Times New Roman" w:cs="Times New Roman"/>
                      <w:sz w:val="24"/>
                      <w:szCs w:val="24"/>
                      <w:lang w:eastAsia="lv-LV"/>
                    </w:rPr>
                    <w:t>no</w:t>
                  </w:r>
                  <w:r w:rsidR="00810D3D">
                    <w:rPr>
                      <w:rFonts w:eastAsia="Times New Roman" w:cs="Times New Roman"/>
                      <w:sz w:val="24"/>
                      <w:szCs w:val="24"/>
                      <w:lang w:eastAsia="lv-LV"/>
                    </w:rPr>
                    <w:t>sakot</w:t>
                  </w:r>
                  <w:r>
                    <w:rPr>
                      <w:rFonts w:eastAsia="Times New Roman" w:cs="Times New Roman"/>
                      <w:sz w:val="24"/>
                      <w:szCs w:val="24"/>
                      <w:lang w:eastAsia="lv-LV"/>
                    </w:rPr>
                    <w:t>, ka uzņēmum</w:t>
                  </w:r>
                  <w:r w:rsidR="00810D3D">
                    <w:rPr>
                      <w:rFonts w:eastAsia="Times New Roman" w:cs="Times New Roman"/>
                      <w:sz w:val="24"/>
                      <w:szCs w:val="24"/>
                      <w:lang w:eastAsia="lv-LV"/>
                    </w:rPr>
                    <w:t>s</w:t>
                  </w:r>
                  <w:r>
                    <w:rPr>
                      <w:rFonts w:eastAsia="Times New Roman" w:cs="Times New Roman"/>
                      <w:sz w:val="24"/>
                      <w:szCs w:val="24"/>
                      <w:lang w:eastAsia="lv-LV"/>
                    </w:rPr>
                    <w:t xml:space="preserve">, </w:t>
                  </w:r>
                  <w:r w:rsidR="00810D3D">
                    <w:rPr>
                      <w:rFonts w:eastAsia="Times New Roman" w:cs="Times New Roman"/>
                      <w:sz w:val="24"/>
                      <w:szCs w:val="24"/>
                      <w:lang w:eastAsia="lv-LV"/>
                    </w:rPr>
                    <w:t>kuram</w:t>
                  </w:r>
                  <w:r>
                    <w:rPr>
                      <w:rFonts w:eastAsia="Times New Roman" w:cs="Times New Roman"/>
                      <w:sz w:val="24"/>
                      <w:szCs w:val="24"/>
                      <w:lang w:eastAsia="lv-LV"/>
                    </w:rPr>
                    <w:t xml:space="preserve"> </w:t>
                  </w:r>
                  <w:r w:rsidRPr="00A733C2">
                    <w:rPr>
                      <w:rFonts w:eastAsia="Times New Roman" w:cs="Times New Roman"/>
                      <w:sz w:val="24"/>
                      <w:szCs w:val="24"/>
                      <w:lang w:eastAsia="lv-LV"/>
                    </w:rPr>
                    <w:t xml:space="preserve">pēdējo četru gadu periodā viena kalendāra gada laikā reģistrācija </w:t>
                  </w:r>
                  <w:r w:rsidR="00810D3D">
                    <w:rPr>
                      <w:rFonts w:eastAsia="Times New Roman" w:cs="Times New Roman"/>
                      <w:sz w:val="24"/>
                      <w:szCs w:val="24"/>
                      <w:lang w:eastAsia="lv-LV"/>
                    </w:rPr>
                    <w:t xml:space="preserve">būvkomersantu </w:t>
                  </w:r>
                  <w:r w:rsidRPr="00A733C2">
                    <w:rPr>
                      <w:rFonts w:eastAsia="Times New Roman" w:cs="Times New Roman"/>
                      <w:sz w:val="24"/>
                      <w:szCs w:val="24"/>
                      <w:lang w:eastAsia="lv-LV"/>
                    </w:rPr>
                    <w:t xml:space="preserve">reģistrā ir bijusi apturēta vai </w:t>
                  </w:r>
                  <w:r w:rsidR="00810D3D">
                    <w:rPr>
                      <w:rFonts w:eastAsia="Times New Roman" w:cs="Times New Roman"/>
                      <w:sz w:val="24"/>
                      <w:szCs w:val="24"/>
                      <w:lang w:eastAsia="lv-LV"/>
                    </w:rPr>
                    <w:t xml:space="preserve">tas </w:t>
                  </w:r>
                  <w:r w:rsidRPr="00A733C2">
                    <w:rPr>
                      <w:rFonts w:eastAsia="Times New Roman" w:cs="Times New Roman"/>
                      <w:sz w:val="24"/>
                      <w:szCs w:val="24"/>
                      <w:lang w:eastAsia="lv-LV"/>
                    </w:rPr>
                    <w:t>bijis izslēgts no reģistra ilgāk par sešiem mēnešiem</w:t>
                  </w:r>
                  <w:r w:rsidR="00810D3D">
                    <w:rPr>
                      <w:rFonts w:eastAsia="Times New Roman" w:cs="Times New Roman"/>
                      <w:sz w:val="24"/>
                      <w:szCs w:val="24"/>
                      <w:lang w:eastAsia="lv-LV"/>
                    </w:rPr>
                    <w:t xml:space="preserve">, nevar pretendēt uz klasifikāciju vispārējā kārtībā. </w:t>
                  </w:r>
                  <w:r w:rsidR="008F4932">
                    <w:rPr>
                      <w:rFonts w:eastAsia="Times New Roman" w:cs="Times New Roman"/>
                      <w:sz w:val="24"/>
                      <w:szCs w:val="24"/>
                      <w:lang w:eastAsia="lv-LV"/>
                    </w:rPr>
                    <w:t>Bet</w:t>
                  </w:r>
                  <w:r w:rsidR="00810D3D">
                    <w:rPr>
                      <w:rFonts w:eastAsia="Times New Roman" w:cs="Times New Roman"/>
                      <w:sz w:val="24"/>
                      <w:szCs w:val="24"/>
                      <w:lang w:eastAsia="lv-LV"/>
                    </w:rPr>
                    <w:t>, ja</w:t>
                  </w:r>
                  <w:r w:rsidR="008F4932">
                    <w:rPr>
                      <w:rFonts w:eastAsia="Times New Roman" w:cs="Times New Roman"/>
                      <w:sz w:val="24"/>
                      <w:szCs w:val="24"/>
                      <w:lang w:eastAsia="lv-LV"/>
                    </w:rPr>
                    <w:t xml:space="preserve"> šāda būvuzņēmuma </w:t>
                  </w:r>
                  <w:r w:rsidRPr="008F4932" w:rsidR="008F4932">
                    <w:rPr>
                      <w:rFonts w:eastAsia="Times New Roman" w:cs="Times New Roman"/>
                      <w:sz w:val="24"/>
                      <w:szCs w:val="24"/>
                      <w:lang w:eastAsia="lv-LV"/>
                    </w:rPr>
                    <w:t xml:space="preserve">reģistrācija reģistrā </w:t>
                  </w:r>
                  <w:r w:rsidR="008F4932">
                    <w:rPr>
                      <w:rFonts w:eastAsia="Times New Roman" w:cs="Times New Roman"/>
                      <w:sz w:val="24"/>
                      <w:szCs w:val="24"/>
                      <w:lang w:eastAsia="lv-LV"/>
                    </w:rPr>
                    <w:t xml:space="preserve">klasifikācijas brīdī </w:t>
                  </w:r>
                  <w:r w:rsidRPr="008F4932" w:rsidR="008F4932">
                    <w:rPr>
                      <w:rFonts w:eastAsia="Times New Roman" w:cs="Times New Roman"/>
                      <w:sz w:val="24"/>
                      <w:szCs w:val="24"/>
                      <w:lang w:eastAsia="lv-LV"/>
                    </w:rPr>
                    <w:t xml:space="preserve">ir atjaunota ilgāk nekā vienu gadu, </w:t>
                  </w:r>
                  <w:r w:rsidR="008F4932">
                    <w:rPr>
                      <w:rFonts w:eastAsia="Times New Roman" w:cs="Times New Roman"/>
                      <w:sz w:val="24"/>
                      <w:szCs w:val="24"/>
                      <w:lang w:eastAsia="lv-LV"/>
                    </w:rPr>
                    <w:t xml:space="preserve">būvuzņēmums </w:t>
                  </w:r>
                  <w:r w:rsidRPr="008F4932" w:rsidR="008F4932">
                    <w:rPr>
                      <w:rFonts w:eastAsia="Times New Roman" w:cs="Times New Roman"/>
                      <w:sz w:val="24"/>
                      <w:szCs w:val="24"/>
                      <w:lang w:eastAsia="lv-LV"/>
                    </w:rPr>
                    <w:t>var pretendēt uz pagaidu klasifikāciju</w:t>
                  </w:r>
                  <w:r w:rsidR="008F4932">
                    <w:rPr>
                      <w:rFonts w:eastAsia="Times New Roman" w:cs="Times New Roman"/>
                      <w:sz w:val="24"/>
                      <w:szCs w:val="24"/>
                      <w:lang w:eastAsia="lv-LV"/>
                    </w:rPr>
                    <w:t xml:space="preserve"> </w:t>
                  </w:r>
                  <w:r w:rsidR="00810D3D">
                    <w:rPr>
                      <w:rFonts w:eastAsia="Times New Roman" w:cs="Times New Roman"/>
                      <w:sz w:val="24"/>
                      <w:szCs w:val="24"/>
                      <w:lang w:eastAsia="lv-LV"/>
                    </w:rPr>
                    <w:t xml:space="preserve"> (</w:t>
                  </w:r>
                  <w:r w:rsidR="0007581D">
                    <w:rPr>
                      <w:rFonts w:eastAsia="Times New Roman" w:cs="Times New Roman"/>
                      <w:sz w:val="24"/>
                      <w:szCs w:val="24"/>
                      <w:lang w:eastAsia="lv-LV"/>
                    </w:rPr>
                    <w:t xml:space="preserve">noteikumu projekta </w:t>
                  </w:r>
                  <w:r w:rsidRPr="00A733C2" w:rsidR="00810D3D">
                    <w:rPr>
                      <w:rFonts w:eastAsia="Times New Roman" w:cs="Times New Roman"/>
                      <w:sz w:val="24"/>
                      <w:szCs w:val="24"/>
                      <w:lang w:eastAsia="lv-LV"/>
                    </w:rPr>
                    <w:t>8.</w:t>
                  </w:r>
                  <w:r w:rsidRPr="00345FB8" w:rsidR="00810D3D">
                    <w:rPr>
                      <w:rFonts w:eastAsia="Times New Roman" w:cs="Times New Roman"/>
                      <w:sz w:val="24"/>
                      <w:szCs w:val="24"/>
                      <w:vertAlign w:val="superscript"/>
                      <w:lang w:eastAsia="lv-LV"/>
                    </w:rPr>
                    <w:t>1</w:t>
                  </w:r>
                  <w:r w:rsidRPr="00A733C2" w:rsidR="00810D3D">
                    <w:rPr>
                      <w:rFonts w:eastAsia="Times New Roman" w:cs="Times New Roman"/>
                      <w:sz w:val="24"/>
                      <w:szCs w:val="24"/>
                      <w:lang w:eastAsia="lv-LV"/>
                    </w:rPr>
                    <w:t xml:space="preserve"> </w:t>
                  </w:r>
                  <w:r w:rsidR="008F4932">
                    <w:rPr>
                      <w:rFonts w:eastAsia="Times New Roman" w:cs="Times New Roman"/>
                      <w:sz w:val="24"/>
                      <w:szCs w:val="24"/>
                      <w:lang w:eastAsia="lv-LV"/>
                    </w:rPr>
                    <w:t>un 19.</w:t>
                  </w:r>
                  <w:r w:rsidRPr="003B362A" w:rsidR="008F4932">
                    <w:rPr>
                      <w:rFonts w:eastAsia="Times New Roman" w:cs="Times New Roman"/>
                      <w:sz w:val="24"/>
                      <w:szCs w:val="24"/>
                      <w:vertAlign w:val="superscript"/>
                      <w:lang w:eastAsia="lv-LV"/>
                    </w:rPr>
                    <w:t>1</w:t>
                  </w:r>
                  <w:r w:rsidR="008F4932">
                    <w:rPr>
                      <w:rFonts w:eastAsia="Times New Roman" w:cs="Times New Roman"/>
                      <w:sz w:val="24"/>
                      <w:szCs w:val="24"/>
                      <w:lang w:eastAsia="lv-LV"/>
                    </w:rPr>
                    <w:t xml:space="preserve"> punkt</w:t>
                  </w:r>
                  <w:r w:rsidR="0007581D">
                    <w:rPr>
                      <w:rFonts w:eastAsia="Times New Roman" w:cs="Times New Roman"/>
                      <w:sz w:val="24"/>
                      <w:szCs w:val="24"/>
                      <w:lang w:eastAsia="lv-LV"/>
                    </w:rPr>
                    <w:t>a redakcija</w:t>
                  </w:r>
                  <w:r w:rsidR="00810D3D">
                    <w:rPr>
                      <w:rFonts w:eastAsia="Times New Roman" w:cs="Times New Roman"/>
                      <w:sz w:val="24"/>
                      <w:szCs w:val="24"/>
                      <w:lang w:eastAsia="lv-LV"/>
                    </w:rPr>
                    <w:t xml:space="preserve">). </w:t>
                  </w:r>
                </w:p>
                <w:p w:rsidR="005E2836" w:rsidRPr="0007581D" w:rsidP="007519E1" w14:paraId="460BC1E8" w14:textId="2FAA1D5B">
                  <w:pPr>
                    <w:pStyle w:val="ListParagraph"/>
                    <w:numPr>
                      <w:ilvl w:val="0"/>
                      <w:numId w:val="3"/>
                    </w:numPr>
                    <w:ind w:left="0" w:firstLine="360"/>
                    <w:jc w:val="both"/>
                    <w:rPr>
                      <w:rFonts w:eastAsia="Times New Roman" w:cs="Times New Roman"/>
                      <w:sz w:val="24"/>
                      <w:szCs w:val="24"/>
                      <w:lang w:eastAsia="lv-LV"/>
                    </w:rPr>
                  </w:pPr>
                  <w:r>
                    <w:rPr>
                      <w:rFonts w:eastAsia="Times New Roman" w:cs="Times New Roman"/>
                      <w:sz w:val="24"/>
                      <w:szCs w:val="24"/>
                      <w:lang w:eastAsia="lv-LV"/>
                    </w:rPr>
                    <w:t xml:space="preserve">Laika periodā </w:t>
                  </w:r>
                  <w:r w:rsidR="00F1253A">
                    <w:rPr>
                      <w:rFonts w:eastAsia="Times New Roman" w:cs="Times New Roman"/>
                      <w:sz w:val="24"/>
                      <w:szCs w:val="24"/>
                      <w:lang w:eastAsia="lv-LV"/>
                    </w:rPr>
                    <w:t xml:space="preserve">līdz 2019.gada </w:t>
                  </w:r>
                  <w:r w:rsidR="00FA1DE1">
                    <w:rPr>
                      <w:rFonts w:eastAsia="Times New Roman" w:cs="Times New Roman"/>
                      <w:sz w:val="24"/>
                      <w:szCs w:val="24"/>
                      <w:lang w:eastAsia="lv-LV"/>
                    </w:rPr>
                    <w:t>28.februārim</w:t>
                  </w:r>
                  <w:r w:rsidR="00F1253A">
                    <w:rPr>
                      <w:rFonts w:eastAsia="Times New Roman" w:cs="Times New Roman"/>
                      <w:sz w:val="24"/>
                      <w:szCs w:val="24"/>
                      <w:lang w:eastAsia="lv-LV"/>
                    </w:rPr>
                    <w:t xml:space="preserve"> nenoteikt, ka  būvuzņēmumus, kam pēdējā pārskata gadā konstatē nepietiekamu likviditātes rādītāju (mazāks par 0,9), </w:t>
                  </w:r>
                  <w:r w:rsidRPr="0082111C" w:rsidR="00F1253A">
                    <w:rPr>
                      <w:rFonts w:eastAsia="Times New Roman" w:cs="Times New Roman"/>
                      <w:sz w:val="24"/>
                      <w:szCs w:val="24"/>
                      <w:lang w:eastAsia="lv-LV"/>
                    </w:rPr>
                    <w:t>neklasificē</w:t>
                  </w:r>
                  <w:r w:rsidRPr="0007581D" w:rsidR="00F1253A">
                    <w:rPr>
                      <w:rFonts w:eastAsia="Times New Roman" w:cs="Times New Roman"/>
                      <w:sz w:val="24"/>
                      <w:szCs w:val="24"/>
                      <w:lang w:eastAsia="lv-LV"/>
                    </w:rPr>
                    <w:t xml:space="preserve"> </w:t>
                  </w:r>
                  <w:r w:rsidRPr="006F0357" w:rsidR="00F1253A">
                    <w:rPr>
                      <w:rFonts w:eastAsia="Times New Roman" w:cs="Times New Roman"/>
                      <w:sz w:val="24"/>
                      <w:szCs w:val="24"/>
                      <w:lang w:eastAsia="lv-LV"/>
                    </w:rPr>
                    <w:t xml:space="preserve">(noteikumu projekta </w:t>
                  </w:r>
                  <w:r w:rsidRPr="006F0357" w:rsidR="0082111C">
                    <w:rPr>
                      <w:rFonts w:eastAsia="Times New Roman" w:cs="Times New Roman"/>
                      <w:sz w:val="24"/>
                      <w:szCs w:val="24"/>
                      <w:lang w:eastAsia="lv-LV"/>
                    </w:rPr>
                    <w:t xml:space="preserve">69.punkta </w:t>
                  </w:r>
                  <w:r w:rsidRPr="006F0357" w:rsidR="00F1253A">
                    <w:rPr>
                      <w:rFonts w:eastAsia="Times New Roman" w:cs="Times New Roman"/>
                      <w:sz w:val="24"/>
                      <w:szCs w:val="24"/>
                      <w:lang w:eastAsia="lv-LV"/>
                    </w:rPr>
                    <w:t>redakcija)</w:t>
                  </w:r>
                  <w:r w:rsidRPr="0082111C">
                    <w:rPr>
                      <w:rFonts w:eastAsia="Times New Roman" w:cs="Times New Roman"/>
                      <w:sz w:val="24"/>
                      <w:szCs w:val="24"/>
                      <w:lang w:eastAsia="lv-LV"/>
                    </w:rPr>
                    <w:t>;</w:t>
                  </w:r>
                </w:p>
                <w:p w:rsidR="002E23BD" w:rsidRPr="00172FD8" w:rsidP="002E23BD" w14:paraId="4C1AC8D5" w14:textId="02E84477">
                  <w:pPr>
                    <w:pStyle w:val="ListParagraph"/>
                    <w:numPr>
                      <w:ilvl w:val="0"/>
                      <w:numId w:val="3"/>
                    </w:numPr>
                    <w:ind w:left="0" w:firstLine="360"/>
                    <w:jc w:val="both"/>
                    <w:rPr>
                      <w:rFonts w:eastAsia="Times New Roman" w:cs="Times New Roman"/>
                      <w:sz w:val="24"/>
                      <w:szCs w:val="24"/>
                      <w:lang w:eastAsia="lv-LV"/>
                    </w:rPr>
                  </w:pPr>
                  <w:r w:rsidRPr="00635A1A">
                    <w:rPr>
                      <w:rFonts w:eastAsia="Times New Roman" w:cs="Times New Roman"/>
                      <w:sz w:val="24"/>
                      <w:szCs w:val="24"/>
                      <w:lang w:eastAsia="lv-LV"/>
                    </w:rPr>
                    <w:t xml:space="preserve">finanšu līdzsvara rādītāja atbilstības vērtējumu piemērot kā komersanta finansiālo stabilitāti </w:t>
                  </w:r>
                  <w:r w:rsidRPr="00635A1A" w:rsidR="004527F9">
                    <w:rPr>
                      <w:rFonts w:eastAsia="Times New Roman" w:cs="Times New Roman"/>
                      <w:sz w:val="24"/>
                      <w:szCs w:val="24"/>
                      <w:lang w:eastAsia="lv-LV"/>
                    </w:rPr>
                    <w:t>(</w:t>
                  </w:r>
                  <w:r w:rsidRPr="00635A1A" w:rsidR="00567CAA">
                    <w:rPr>
                      <w:rFonts w:eastAsia="Times New Roman" w:cs="Times New Roman"/>
                      <w:sz w:val="24"/>
                      <w:szCs w:val="24"/>
                      <w:lang w:eastAsia="lv-LV"/>
                    </w:rPr>
                    <w:t xml:space="preserve">ieguldot </w:t>
                  </w:r>
                  <w:r w:rsidRPr="00635A1A" w:rsidR="004527F9">
                    <w:rPr>
                      <w:rFonts w:eastAsia="Times New Roman" w:cs="Times New Roman"/>
                      <w:sz w:val="24"/>
                      <w:szCs w:val="24"/>
                      <w:lang w:eastAsia="lv-LV"/>
                    </w:rPr>
                    <w:t>pašu kapitāl</w:t>
                  </w:r>
                  <w:r w:rsidRPr="00635A1A" w:rsidR="00567CAA">
                    <w:rPr>
                      <w:rFonts w:eastAsia="Times New Roman" w:cs="Times New Roman"/>
                      <w:sz w:val="24"/>
                      <w:szCs w:val="24"/>
                      <w:lang w:eastAsia="lv-LV"/>
                    </w:rPr>
                    <w:t>ā)</w:t>
                  </w:r>
                  <w:r w:rsidRPr="00635A1A" w:rsidR="004527F9">
                    <w:rPr>
                      <w:rFonts w:eastAsia="Times New Roman" w:cs="Times New Roman"/>
                      <w:sz w:val="24"/>
                      <w:szCs w:val="24"/>
                      <w:lang w:eastAsia="lv-LV"/>
                    </w:rPr>
                    <w:t xml:space="preserve"> </w:t>
                  </w:r>
                  <w:r w:rsidRPr="00635A1A">
                    <w:rPr>
                      <w:rFonts w:eastAsia="Times New Roman" w:cs="Times New Roman"/>
                      <w:sz w:val="24"/>
                      <w:szCs w:val="24"/>
                      <w:lang w:eastAsia="lv-LV"/>
                    </w:rPr>
                    <w:t>veicinošu instrumentu</w:t>
                  </w:r>
                  <w:r w:rsidR="00AA2805">
                    <w:rPr>
                      <w:rFonts w:eastAsia="Times New Roman" w:cs="Times New Roman"/>
                      <w:sz w:val="24"/>
                      <w:szCs w:val="24"/>
                      <w:lang w:eastAsia="lv-LV"/>
                    </w:rPr>
                    <w:t>,</w:t>
                  </w:r>
                  <w:r w:rsidR="006F0357">
                    <w:rPr>
                      <w:rFonts w:eastAsia="Times New Roman" w:cs="Times New Roman"/>
                      <w:sz w:val="24"/>
                      <w:szCs w:val="24"/>
                      <w:lang w:eastAsia="lv-LV"/>
                    </w:rPr>
                    <w:t xml:space="preserve"> </w:t>
                  </w:r>
                  <w:r w:rsidRPr="00635A1A">
                    <w:rPr>
                      <w:rFonts w:eastAsia="Times New Roman" w:cs="Times New Roman"/>
                      <w:sz w:val="24"/>
                      <w:szCs w:val="24"/>
                      <w:lang w:eastAsia="lv-LV"/>
                    </w:rPr>
                    <w:t xml:space="preserve">nosakot, ka gadījumā, ja finanšu līdzsvara rādītājs pēdējā pārskata gadā ir 20% un vairāk, tiek piemērota korekcija -0,245 </w:t>
                  </w:r>
                  <w:r w:rsidRPr="00172FD8">
                    <w:rPr>
                      <w:rFonts w:eastAsia="Times New Roman" w:cs="Times New Roman"/>
                      <w:sz w:val="24"/>
                      <w:szCs w:val="24"/>
                      <w:lang w:eastAsia="lv-LV"/>
                    </w:rPr>
                    <w:t>punktu apmērā, kas uzlabo būvuzņēmuma kvalifikāciju</w:t>
                  </w:r>
                  <w:r w:rsidR="007519E1">
                    <w:rPr>
                      <w:rFonts w:eastAsia="Times New Roman" w:cs="Times New Roman"/>
                      <w:sz w:val="24"/>
                      <w:szCs w:val="24"/>
                      <w:lang w:eastAsia="lv-LV"/>
                    </w:rPr>
                    <w:t xml:space="preserve"> </w:t>
                  </w:r>
                  <w:r w:rsidRPr="00552AD9" w:rsidR="007519E1">
                    <w:rPr>
                      <w:rFonts w:eastAsia="Times New Roman" w:cs="Times New Roman"/>
                      <w:sz w:val="24"/>
                      <w:szCs w:val="24"/>
                      <w:lang w:eastAsia="lv-LV"/>
                    </w:rPr>
                    <w:t>(noteikumu projekta 34.2.apakšpunta redakcija</w:t>
                  </w:r>
                  <w:r w:rsidRPr="00552AD9" w:rsidR="00552AD9">
                    <w:rPr>
                      <w:rFonts w:eastAsia="Times New Roman" w:cs="Times New Roman"/>
                      <w:sz w:val="24"/>
                      <w:szCs w:val="24"/>
                      <w:lang w:eastAsia="lv-LV"/>
                    </w:rPr>
                    <w:t xml:space="preserve"> un precizējumi 33., 33.</w:t>
                  </w:r>
                  <w:r w:rsidRPr="00552AD9" w:rsidR="00552AD9">
                    <w:rPr>
                      <w:rFonts w:eastAsia="Times New Roman" w:cs="Times New Roman"/>
                      <w:sz w:val="24"/>
                      <w:szCs w:val="24"/>
                      <w:vertAlign w:val="superscript"/>
                      <w:lang w:eastAsia="lv-LV"/>
                    </w:rPr>
                    <w:t>1</w:t>
                  </w:r>
                  <w:r w:rsidR="00552AD9">
                    <w:rPr>
                      <w:rFonts w:eastAsia="Times New Roman" w:cs="Times New Roman"/>
                      <w:sz w:val="24"/>
                      <w:szCs w:val="24"/>
                      <w:lang w:eastAsia="lv-LV"/>
                    </w:rPr>
                    <w:t xml:space="preserve"> un 44.</w:t>
                  </w:r>
                  <w:r w:rsidRPr="00552AD9" w:rsidR="00552AD9">
                    <w:rPr>
                      <w:rFonts w:eastAsia="Times New Roman" w:cs="Times New Roman"/>
                      <w:sz w:val="24"/>
                      <w:szCs w:val="24"/>
                      <w:vertAlign w:val="superscript"/>
                      <w:lang w:eastAsia="lv-LV"/>
                    </w:rPr>
                    <w:t>1</w:t>
                  </w:r>
                  <w:r w:rsidR="00552AD9">
                    <w:rPr>
                      <w:rFonts w:eastAsia="Times New Roman" w:cs="Times New Roman"/>
                      <w:sz w:val="24"/>
                      <w:szCs w:val="24"/>
                      <w:lang w:eastAsia="lv-LV"/>
                    </w:rPr>
                    <w:t xml:space="preserve"> punktā)</w:t>
                  </w:r>
                  <w:r w:rsidR="006270E6">
                    <w:rPr>
                      <w:rFonts w:eastAsia="Times New Roman" w:cs="Times New Roman"/>
                      <w:sz w:val="24"/>
                      <w:szCs w:val="24"/>
                      <w:lang w:eastAsia="lv-LV"/>
                    </w:rPr>
                    <w:t>;</w:t>
                  </w:r>
                  <w:r w:rsidRPr="00172FD8" w:rsidR="00552AD9">
                    <w:rPr>
                      <w:rFonts w:eastAsia="Times New Roman" w:cs="Times New Roman"/>
                      <w:sz w:val="24"/>
                      <w:szCs w:val="24"/>
                      <w:lang w:eastAsia="lv-LV"/>
                    </w:rPr>
                    <w:t xml:space="preserve"> </w:t>
                  </w:r>
                </w:p>
                <w:p w:rsidR="001001EE" w:rsidRPr="00D47080" w:rsidP="00567CAA" w14:paraId="3EFD7050" w14:textId="77777777">
                  <w:pPr>
                    <w:pStyle w:val="ListParagraph"/>
                    <w:numPr>
                      <w:ilvl w:val="0"/>
                      <w:numId w:val="3"/>
                    </w:numPr>
                    <w:ind w:left="0" w:firstLine="352"/>
                    <w:jc w:val="both"/>
                    <w:rPr>
                      <w:rFonts w:eastAsia="Times New Roman" w:cs="Times New Roman"/>
                      <w:sz w:val="24"/>
                      <w:szCs w:val="24"/>
                      <w:lang w:eastAsia="lv-LV"/>
                    </w:rPr>
                  </w:pPr>
                  <w:r w:rsidRPr="00D47080">
                    <w:rPr>
                      <w:rFonts w:eastAsia="Times New Roman" w:cs="Times New Roman"/>
                      <w:sz w:val="24"/>
                      <w:szCs w:val="24"/>
                      <w:lang w:eastAsia="lv-LV"/>
                    </w:rPr>
                    <w:t>korekciju par VID administrēto nodokļu parādu, kas mēnesī pārsniedz 150 </w:t>
                  </w:r>
                  <w:r w:rsidRPr="00D47080">
                    <w:rPr>
                      <w:rFonts w:eastAsia="Times New Roman" w:cs="Times New Roman"/>
                      <w:i/>
                      <w:sz w:val="24"/>
                      <w:szCs w:val="24"/>
                      <w:lang w:eastAsia="lv-LV"/>
                    </w:rPr>
                    <w:t>euro</w:t>
                  </w:r>
                  <w:r w:rsidRPr="00D47080">
                    <w:rPr>
                      <w:rFonts w:eastAsia="Times New Roman" w:cs="Times New Roman"/>
                      <w:sz w:val="24"/>
                      <w:szCs w:val="24"/>
                      <w:lang w:eastAsia="lv-LV"/>
                    </w:rPr>
                    <w:t>, samazināt, nosakot, ka tā ir 0,1</w:t>
                  </w:r>
                  <w:r w:rsidRPr="00D47080" w:rsidR="0003159C">
                    <w:rPr>
                      <w:rFonts w:eastAsia="Times New Roman" w:cs="Times New Roman"/>
                      <w:sz w:val="24"/>
                      <w:szCs w:val="24"/>
                      <w:lang w:eastAsia="lv-LV"/>
                    </w:rPr>
                    <w:t xml:space="preserve"> </w:t>
                  </w:r>
                  <w:r w:rsidRPr="00552AD9" w:rsidR="0003159C">
                    <w:rPr>
                      <w:rFonts w:eastAsia="Times New Roman" w:cs="Times New Roman"/>
                      <w:sz w:val="24"/>
                      <w:szCs w:val="24"/>
                      <w:lang w:eastAsia="lv-LV"/>
                    </w:rPr>
                    <w:t>(</w:t>
                  </w:r>
                  <w:r w:rsidRPr="00552AD9" w:rsidR="00D47080">
                    <w:rPr>
                      <w:rFonts w:eastAsia="Times New Roman" w:cs="Times New Roman"/>
                      <w:sz w:val="24"/>
                      <w:szCs w:val="24"/>
                      <w:lang w:eastAsia="lv-LV"/>
                    </w:rPr>
                    <w:t xml:space="preserve">noteikumu projekta </w:t>
                  </w:r>
                  <w:r w:rsidRPr="00552AD9" w:rsidR="0003159C">
                    <w:rPr>
                      <w:rFonts w:eastAsia="Times New Roman" w:cs="Times New Roman"/>
                      <w:sz w:val="24"/>
                      <w:szCs w:val="24"/>
                      <w:lang w:eastAsia="lv-LV"/>
                    </w:rPr>
                    <w:t>34.4. apakšpunkt</w:t>
                  </w:r>
                  <w:r w:rsidRPr="00552AD9" w:rsidR="00D47080">
                    <w:rPr>
                      <w:rFonts w:eastAsia="Times New Roman" w:cs="Times New Roman"/>
                      <w:sz w:val="24"/>
                      <w:szCs w:val="24"/>
                      <w:lang w:eastAsia="lv-LV"/>
                    </w:rPr>
                    <w:t>a redakcija</w:t>
                  </w:r>
                  <w:r w:rsidRPr="00552AD9" w:rsidR="0003159C">
                    <w:rPr>
                      <w:rFonts w:eastAsia="Times New Roman" w:cs="Times New Roman"/>
                      <w:sz w:val="24"/>
                      <w:szCs w:val="24"/>
                      <w:lang w:eastAsia="lv-LV"/>
                    </w:rPr>
                    <w:t>)</w:t>
                  </w:r>
                  <w:r w:rsidRPr="00552AD9">
                    <w:rPr>
                      <w:rFonts w:eastAsia="Times New Roman" w:cs="Times New Roman"/>
                      <w:sz w:val="24"/>
                      <w:szCs w:val="24"/>
                      <w:lang w:eastAsia="lv-LV"/>
                    </w:rPr>
                    <w:t>;</w:t>
                  </w:r>
                </w:p>
                <w:p w:rsidR="00CC152A" w:rsidRPr="00552AD9" w:rsidP="00291D2F" w14:paraId="42B1C895" w14:textId="364B942D">
                  <w:pPr>
                    <w:pStyle w:val="ListParagraph"/>
                    <w:numPr>
                      <w:ilvl w:val="0"/>
                      <w:numId w:val="3"/>
                    </w:numPr>
                    <w:ind w:left="0" w:firstLine="284"/>
                    <w:jc w:val="both"/>
                    <w:rPr>
                      <w:rFonts w:eastAsia="Times New Roman" w:cs="Times New Roman"/>
                      <w:sz w:val="24"/>
                      <w:szCs w:val="24"/>
                      <w:lang w:eastAsia="lv-LV"/>
                    </w:rPr>
                  </w:pPr>
                  <w:r>
                    <w:rPr>
                      <w:rFonts w:eastAsia="Times New Roman" w:cs="Times New Roman"/>
                      <w:sz w:val="24"/>
                      <w:szCs w:val="24"/>
                      <w:lang w:eastAsia="lv-LV"/>
                    </w:rPr>
                    <w:t xml:space="preserve">lai </w:t>
                  </w:r>
                  <w:r w:rsidRPr="006270E6">
                    <w:rPr>
                      <w:rFonts w:eastAsia="Times New Roman" w:cs="Times New Roman"/>
                      <w:sz w:val="24"/>
                      <w:szCs w:val="24"/>
                      <w:lang w:eastAsia="lv-LV"/>
                    </w:rPr>
                    <w:t xml:space="preserve">veicinātu </w:t>
                  </w:r>
                  <w:r>
                    <w:rPr>
                      <w:rFonts w:eastAsia="Times New Roman" w:cs="Times New Roman"/>
                      <w:sz w:val="24"/>
                      <w:szCs w:val="24"/>
                      <w:lang w:eastAsia="lv-LV"/>
                    </w:rPr>
                    <w:t xml:space="preserve">būvniecības </w:t>
                  </w:r>
                  <w:r w:rsidRPr="006270E6">
                    <w:rPr>
                      <w:rFonts w:eastAsia="Times New Roman" w:cs="Times New Roman"/>
                      <w:sz w:val="24"/>
                      <w:szCs w:val="24"/>
                      <w:lang w:eastAsia="lv-LV"/>
                    </w:rPr>
                    <w:t>nozares uzņēmumus iesaistīties nozarei saistoš</w:t>
                  </w:r>
                  <w:r>
                    <w:rPr>
                      <w:rFonts w:eastAsia="Times New Roman" w:cs="Times New Roman"/>
                      <w:sz w:val="24"/>
                      <w:szCs w:val="24"/>
                      <w:lang w:eastAsia="lv-LV"/>
                    </w:rPr>
                    <w:t xml:space="preserve">a koplīguma noslēgšanā, </w:t>
                  </w:r>
                  <w:r w:rsidRPr="006270E6">
                    <w:rPr>
                      <w:rFonts w:eastAsia="Times New Roman" w:cs="Times New Roman"/>
                      <w:sz w:val="24"/>
                      <w:szCs w:val="24"/>
                      <w:lang w:eastAsia="lv-LV"/>
                    </w:rPr>
                    <w:t xml:space="preserve"> </w:t>
                  </w:r>
                  <w:r>
                    <w:rPr>
                      <w:rFonts w:eastAsia="Times New Roman" w:cs="Times New Roman"/>
                      <w:sz w:val="24"/>
                      <w:szCs w:val="24"/>
                      <w:lang w:eastAsia="lv-LV"/>
                    </w:rPr>
                    <w:t>papildināt ilgtspējas rādītāju grupu ar 16.</w:t>
                  </w:r>
                  <w:r w:rsidR="00C3377B">
                    <w:rPr>
                      <w:rFonts w:eastAsia="Times New Roman" w:cs="Times New Roman"/>
                      <w:sz w:val="24"/>
                      <w:szCs w:val="24"/>
                      <w:lang w:eastAsia="lv-LV"/>
                    </w:rPr>
                    <w:t> </w:t>
                  </w:r>
                  <w:r>
                    <w:rPr>
                      <w:rFonts w:eastAsia="Times New Roman" w:cs="Times New Roman"/>
                      <w:sz w:val="24"/>
                      <w:szCs w:val="24"/>
                      <w:lang w:eastAsia="lv-LV"/>
                    </w:rPr>
                    <w:t xml:space="preserve">kritēriju – </w:t>
                  </w:r>
                  <w:r w:rsidRPr="006270E6">
                    <w:rPr>
                      <w:rFonts w:eastAsia="Times New Roman" w:cs="Times New Roman"/>
                      <w:sz w:val="24"/>
                      <w:szCs w:val="24"/>
                      <w:lang w:eastAsia="lv-LV"/>
                    </w:rPr>
                    <w:t>vispārsaistošas</w:t>
                  </w:r>
                  <w:r>
                    <w:rPr>
                      <w:rFonts w:eastAsia="Times New Roman" w:cs="Times New Roman"/>
                      <w:sz w:val="24"/>
                      <w:szCs w:val="24"/>
                      <w:lang w:eastAsia="lv-LV"/>
                    </w:rPr>
                    <w:t xml:space="preserve"> </w:t>
                  </w:r>
                  <w:r w:rsidRPr="006270E6">
                    <w:rPr>
                      <w:rFonts w:eastAsia="Times New Roman" w:cs="Times New Roman"/>
                      <w:sz w:val="24"/>
                      <w:szCs w:val="24"/>
                      <w:lang w:eastAsia="lv-LV"/>
                    </w:rPr>
                    <w:t>ģenerālvienošanās</w:t>
                  </w:r>
                  <w:r w:rsidRPr="006270E6">
                    <w:rPr>
                      <w:rFonts w:eastAsia="Times New Roman" w:cs="Times New Roman"/>
                      <w:sz w:val="24"/>
                      <w:szCs w:val="24"/>
                      <w:lang w:eastAsia="lv-LV"/>
                    </w:rPr>
                    <w:t xml:space="preserve"> slēdzējs</w:t>
                  </w:r>
                  <w:r>
                    <w:rPr>
                      <w:rFonts w:eastAsia="Times New Roman" w:cs="Times New Roman"/>
                      <w:sz w:val="24"/>
                      <w:szCs w:val="24"/>
                      <w:lang w:eastAsia="lv-LV"/>
                    </w:rPr>
                    <w:t xml:space="preserve"> (noteikumu projekta </w:t>
                  </w:r>
                  <w:r w:rsidRPr="00291D2F" w:rsidR="00291D2F">
                    <w:rPr>
                      <w:rFonts w:eastAsia="Times New Roman" w:cs="Times New Roman"/>
                      <w:sz w:val="24"/>
                      <w:szCs w:val="24"/>
                      <w:lang w:eastAsia="lv-LV"/>
                    </w:rPr>
                    <w:t>36.5.</w:t>
                  </w:r>
                  <w:r w:rsidR="00291D2F">
                    <w:rPr>
                      <w:rFonts w:eastAsia="Times New Roman" w:cs="Times New Roman"/>
                      <w:sz w:val="24"/>
                      <w:szCs w:val="24"/>
                      <w:lang w:eastAsia="lv-LV"/>
                    </w:rPr>
                    <w:t> apakš</w:t>
                  </w:r>
                  <w:r>
                    <w:rPr>
                      <w:rFonts w:eastAsia="Times New Roman" w:cs="Times New Roman"/>
                      <w:sz w:val="24"/>
                      <w:szCs w:val="24"/>
                      <w:lang w:eastAsia="lv-LV"/>
                    </w:rPr>
                    <w:t>punkt</w:t>
                  </w:r>
                  <w:r w:rsidR="00291D2F">
                    <w:rPr>
                      <w:rFonts w:eastAsia="Times New Roman" w:cs="Times New Roman"/>
                      <w:sz w:val="24"/>
                      <w:szCs w:val="24"/>
                      <w:lang w:eastAsia="lv-LV"/>
                    </w:rPr>
                    <w:t>a redakcija</w:t>
                  </w:r>
                  <w:r>
                    <w:rPr>
                      <w:rFonts w:eastAsia="Times New Roman" w:cs="Times New Roman"/>
                      <w:sz w:val="24"/>
                      <w:szCs w:val="24"/>
                      <w:lang w:eastAsia="lv-LV"/>
                    </w:rPr>
                    <w:t>);</w:t>
                  </w:r>
                </w:p>
                <w:p w:rsidR="00C3377B" w:rsidP="00552AD9" w14:paraId="1CE0397F" w14:textId="5BF7A62B">
                  <w:pPr>
                    <w:pStyle w:val="ListParagraph"/>
                    <w:numPr>
                      <w:ilvl w:val="0"/>
                      <w:numId w:val="3"/>
                    </w:numPr>
                    <w:ind w:left="0" w:firstLine="284"/>
                    <w:jc w:val="both"/>
                    <w:rPr>
                      <w:rFonts w:eastAsia="Times New Roman" w:cs="Times New Roman"/>
                      <w:sz w:val="24"/>
                      <w:szCs w:val="24"/>
                      <w:lang w:eastAsia="lv-LV"/>
                    </w:rPr>
                  </w:pPr>
                  <w:r w:rsidRPr="00552AD9">
                    <w:rPr>
                      <w:rFonts w:eastAsia="Times New Roman" w:cs="Times New Roman"/>
                      <w:sz w:val="24"/>
                      <w:szCs w:val="24"/>
                      <w:lang w:eastAsia="lv-LV"/>
                    </w:rPr>
                    <w:t>k</w:t>
                  </w:r>
                  <w:r w:rsidRPr="00552AD9" w:rsidR="00CC152A">
                    <w:rPr>
                      <w:rFonts w:eastAsia="Times New Roman" w:cs="Times New Roman"/>
                      <w:sz w:val="24"/>
                      <w:szCs w:val="24"/>
                      <w:lang w:eastAsia="lv-LV"/>
                    </w:rPr>
                    <w:t>orekcij</w:t>
                  </w:r>
                  <w:r w:rsidR="00BA326E">
                    <w:rPr>
                      <w:rFonts w:eastAsia="Times New Roman" w:cs="Times New Roman"/>
                      <w:sz w:val="24"/>
                      <w:szCs w:val="24"/>
                      <w:lang w:eastAsia="lv-LV"/>
                    </w:rPr>
                    <w:t>u</w:t>
                  </w:r>
                  <w:r w:rsidRPr="00552AD9" w:rsidR="00CC152A">
                    <w:rPr>
                      <w:rFonts w:eastAsia="Times New Roman" w:cs="Times New Roman"/>
                      <w:sz w:val="24"/>
                      <w:szCs w:val="24"/>
                      <w:lang w:eastAsia="lv-LV"/>
                    </w:rPr>
                    <w:t xml:space="preserve"> par Latvijas Administratīvo pārkāpumu </w:t>
                  </w:r>
                  <w:r w:rsidRPr="006270E6" w:rsidR="00CC152A">
                    <w:rPr>
                      <w:rFonts w:eastAsia="Times New Roman" w:cs="Times New Roman"/>
                      <w:sz w:val="24"/>
                      <w:szCs w:val="24"/>
                      <w:lang w:eastAsia="lv-LV"/>
                    </w:rPr>
                    <w:t>kodeksa normu pārkāpumu</w:t>
                  </w:r>
                  <w:r w:rsidRPr="006270E6">
                    <w:rPr>
                      <w:rFonts w:eastAsia="Times New Roman" w:cs="Times New Roman"/>
                      <w:sz w:val="24"/>
                      <w:szCs w:val="24"/>
                      <w:lang w:eastAsia="lv-LV"/>
                    </w:rPr>
                    <w:t xml:space="preserve"> samazināt</w:t>
                  </w:r>
                  <w:r w:rsidRPr="006270E6" w:rsidR="00CC152A">
                    <w:rPr>
                      <w:rFonts w:eastAsia="Times New Roman" w:cs="Times New Roman"/>
                      <w:sz w:val="24"/>
                      <w:szCs w:val="24"/>
                      <w:lang w:eastAsia="lv-LV"/>
                    </w:rPr>
                    <w:t xml:space="preserve"> uz 0,1, izņemot par Latvijas Administratīvo pārkāpumu kodeksa 41. panta </w:t>
                  </w:r>
                  <w:r w:rsidRPr="006270E6" w:rsidR="003A2E94">
                    <w:rPr>
                      <w:rFonts w:eastAsia="Times New Roman" w:cs="Times New Roman"/>
                      <w:sz w:val="24"/>
                      <w:szCs w:val="24"/>
                      <w:lang w:eastAsia="lv-LV"/>
                    </w:rPr>
                    <w:t>pārkā</w:t>
                  </w:r>
                  <w:r w:rsidRPr="00291D2F" w:rsidR="003A2E94">
                    <w:rPr>
                      <w:rFonts w:eastAsia="Times New Roman" w:cs="Times New Roman"/>
                      <w:sz w:val="24"/>
                      <w:szCs w:val="24"/>
                      <w:lang w:eastAsia="lv-LV"/>
                    </w:rPr>
                    <w:t>pumu (</w:t>
                  </w:r>
                  <w:r w:rsidRPr="00291D2F" w:rsidR="00CC152A">
                    <w:rPr>
                      <w:rFonts w:eastAsia="Times New Roman" w:cs="Times New Roman"/>
                      <w:sz w:val="24"/>
                      <w:szCs w:val="24"/>
                      <w:lang w:eastAsia="lv-LV"/>
                    </w:rPr>
                    <w:t>Darba tiesiskās attiecības regulējošo normatīvo aktu pārkāpšana</w:t>
                  </w:r>
                  <w:r w:rsidRPr="00291D2F" w:rsidR="003A2E94">
                    <w:rPr>
                      <w:rFonts w:eastAsia="Times New Roman" w:cs="Times New Roman"/>
                      <w:sz w:val="24"/>
                      <w:szCs w:val="24"/>
                      <w:lang w:eastAsia="lv-LV"/>
                    </w:rPr>
                    <w:t>)</w:t>
                  </w:r>
                  <w:r w:rsidRPr="00291D2F" w:rsidR="00CC152A">
                    <w:rPr>
                      <w:rFonts w:eastAsia="Times New Roman" w:cs="Times New Roman"/>
                      <w:sz w:val="24"/>
                      <w:szCs w:val="24"/>
                      <w:lang w:eastAsia="lv-LV"/>
                    </w:rPr>
                    <w:t>, par ko korekcij</w:t>
                  </w:r>
                  <w:r w:rsidR="00BA326E">
                    <w:rPr>
                      <w:rFonts w:eastAsia="Times New Roman" w:cs="Times New Roman"/>
                      <w:sz w:val="24"/>
                      <w:szCs w:val="24"/>
                      <w:lang w:eastAsia="lv-LV"/>
                    </w:rPr>
                    <w:t>u</w:t>
                  </w:r>
                  <w:r w:rsidRPr="00291D2F" w:rsidR="00CC152A">
                    <w:rPr>
                      <w:rFonts w:eastAsia="Times New Roman" w:cs="Times New Roman"/>
                      <w:sz w:val="24"/>
                      <w:szCs w:val="24"/>
                      <w:lang w:eastAsia="lv-LV"/>
                    </w:rPr>
                    <w:t xml:space="preserve"> p</w:t>
                  </w:r>
                  <w:r w:rsidRPr="00291D2F" w:rsidR="003A2E94">
                    <w:rPr>
                      <w:rFonts w:eastAsia="Times New Roman" w:cs="Times New Roman"/>
                      <w:sz w:val="24"/>
                      <w:szCs w:val="24"/>
                      <w:lang w:eastAsia="lv-LV"/>
                    </w:rPr>
                    <w:t xml:space="preserve">alielināt uz </w:t>
                  </w:r>
                  <w:r w:rsidRPr="00775D0E" w:rsidR="00CC152A">
                    <w:rPr>
                      <w:rFonts w:eastAsia="Times New Roman" w:cs="Times New Roman"/>
                      <w:sz w:val="24"/>
                      <w:szCs w:val="24"/>
                      <w:lang w:eastAsia="lv-LV"/>
                    </w:rPr>
                    <w:t>0,5</w:t>
                  </w:r>
                  <w:r w:rsidRPr="00775D0E" w:rsidR="005B40F1">
                    <w:rPr>
                      <w:rFonts w:eastAsia="Times New Roman" w:cs="Times New Roman"/>
                      <w:sz w:val="24"/>
                      <w:szCs w:val="24"/>
                      <w:lang w:eastAsia="lv-LV"/>
                    </w:rPr>
                    <w:t>.</w:t>
                  </w:r>
                  <w:r w:rsidRPr="00775D0E" w:rsidR="003A2E94">
                    <w:rPr>
                      <w:rFonts w:eastAsia="Times New Roman" w:cs="Times New Roman"/>
                      <w:sz w:val="24"/>
                      <w:szCs w:val="24"/>
                      <w:lang w:eastAsia="lv-LV"/>
                    </w:rPr>
                    <w:t xml:space="preserve"> </w:t>
                  </w:r>
                  <w:r w:rsidRPr="00775D0E" w:rsidR="005B40F1">
                    <w:rPr>
                      <w:rFonts w:eastAsia="Times New Roman" w:cs="Times New Roman"/>
                      <w:sz w:val="24"/>
                      <w:szCs w:val="24"/>
                      <w:lang w:eastAsia="lv-LV"/>
                    </w:rPr>
                    <w:t>Ņ</w:t>
                  </w:r>
                  <w:r w:rsidRPr="00775D0E" w:rsidR="003A2E94">
                    <w:rPr>
                      <w:rFonts w:eastAsia="Times New Roman" w:cs="Times New Roman"/>
                      <w:sz w:val="24"/>
                      <w:szCs w:val="24"/>
                      <w:lang w:eastAsia="lv-LV"/>
                    </w:rPr>
                    <w:t>emot v</w:t>
                  </w:r>
                  <w:r w:rsidRPr="00552AD9" w:rsidR="003A2E94">
                    <w:rPr>
                      <w:rFonts w:eastAsia="Times New Roman" w:cs="Times New Roman"/>
                      <w:sz w:val="24"/>
                      <w:szCs w:val="24"/>
                      <w:lang w:eastAsia="lv-LV"/>
                    </w:rPr>
                    <w:t>ērā ēnu ekonomikas un īpaši – aplokšņu algu – būtisko īpatsvaru nozarē</w:t>
                  </w:r>
                  <w:r>
                    <w:rPr>
                      <w:rStyle w:val="FootnoteReference"/>
                      <w:rFonts w:eastAsia="Times New Roman" w:cs="Times New Roman"/>
                      <w:sz w:val="24"/>
                      <w:szCs w:val="24"/>
                      <w:lang w:eastAsia="lv-LV"/>
                    </w:rPr>
                    <w:footnoteReference w:id="4"/>
                  </w:r>
                  <w:r w:rsidR="00BA326E">
                    <w:rPr>
                      <w:rFonts w:eastAsia="Times New Roman" w:cs="Times New Roman"/>
                      <w:sz w:val="24"/>
                      <w:szCs w:val="24"/>
                      <w:lang w:eastAsia="lv-LV"/>
                    </w:rPr>
                    <w:t>,</w:t>
                  </w:r>
                  <w:r w:rsidRPr="00552AD9" w:rsidR="00A55AFA">
                    <w:rPr>
                      <w:rFonts w:eastAsia="Times New Roman" w:cs="Times New Roman"/>
                      <w:sz w:val="24"/>
                      <w:szCs w:val="24"/>
                      <w:lang w:eastAsia="lv-LV"/>
                    </w:rPr>
                    <w:t xml:space="preserve"> nodarbināšana bez darba </w:t>
                  </w:r>
                  <w:r w:rsidRPr="00552AD9" w:rsidR="00A55AFA">
                    <w:rPr>
                      <w:rFonts w:eastAsia="Times New Roman" w:cs="Times New Roman"/>
                      <w:sz w:val="24"/>
                      <w:szCs w:val="24"/>
                      <w:lang w:eastAsia="lv-LV"/>
                    </w:rPr>
                    <w:t>l</w:t>
                  </w:r>
                  <w:r w:rsidRPr="006270E6" w:rsidR="00A55AFA">
                    <w:rPr>
                      <w:rFonts w:eastAsia="Times New Roman" w:cs="Times New Roman"/>
                      <w:sz w:val="24"/>
                      <w:szCs w:val="24"/>
                      <w:lang w:eastAsia="lv-LV"/>
                    </w:rPr>
                    <w:t xml:space="preserve">īguma vai </w:t>
                  </w:r>
                  <w:r w:rsidRPr="006270E6" w:rsidR="005B40F1">
                    <w:rPr>
                      <w:rFonts w:eastAsia="Times New Roman" w:cs="Times New Roman"/>
                      <w:sz w:val="24"/>
                      <w:szCs w:val="24"/>
                      <w:lang w:eastAsia="lv-LV"/>
                    </w:rPr>
                    <w:t>minimālās mēneša darba algas vai stundas tarifa likmes nenodrošināšana ir uzskat</w:t>
                  </w:r>
                  <w:r w:rsidRPr="00291D2F" w:rsidR="005B40F1">
                    <w:rPr>
                      <w:rFonts w:eastAsia="Times New Roman" w:cs="Times New Roman"/>
                      <w:sz w:val="24"/>
                      <w:szCs w:val="24"/>
                      <w:lang w:eastAsia="lv-LV"/>
                    </w:rPr>
                    <w:t>āma par nozīmīgu p</w:t>
                  </w:r>
                  <w:r w:rsidRPr="00775D0E" w:rsidR="005B40F1">
                    <w:rPr>
                      <w:rFonts w:eastAsia="Times New Roman" w:cs="Times New Roman"/>
                      <w:sz w:val="24"/>
                      <w:szCs w:val="24"/>
                      <w:lang w:eastAsia="lv-LV"/>
                    </w:rPr>
                    <w:t xml:space="preserve">ārkāpumu, kas attiecīgi jāvērtē </w:t>
                  </w:r>
                  <w:r w:rsidRPr="00775D0E" w:rsidR="00CC152A">
                    <w:rPr>
                      <w:rFonts w:eastAsia="Times New Roman" w:cs="Times New Roman"/>
                      <w:sz w:val="24"/>
                      <w:szCs w:val="24"/>
                      <w:lang w:eastAsia="lv-LV"/>
                    </w:rPr>
                    <w:t xml:space="preserve">(noteikumu projekta </w:t>
                  </w:r>
                  <w:r w:rsidRPr="00552AD9">
                    <w:rPr>
                      <w:rFonts w:eastAsia="Times New Roman" w:cs="Times New Roman"/>
                      <w:sz w:val="24"/>
                      <w:szCs w:val="24"/>
                      <w:lang w:eastAsia="lv-LV"/>
                    </w:rPr>
                    <w:t>36.2.7.</w:t>
                  </w:r>
                  <w:r>
                    <w:rPr>
                      <w:rFonts w:eastAsia="Times New Roman" w:cs="Times New Roman"/>
                      <w:sz w:val="24"/>
                      <w:szCs w:val="24"/>
                      <w:lang w:eastAsia="lv-LV"/>
                    </w:rPr>
                    <w:t> </w:t>
                  </w:r>
                  <w:r w:rsidRPr="00552AD9">
                    <w:rPr>
                      <w:rFonts w:eastAsia="Times New Roman" w:cs="Times New Roman"/>
                      <w:sz w:val="24"/>
                      <w:szCs w:val="24"/>
                      <w:lang w:eastAsia="lv-LV"/>
                    </w:rPr>
                    <w:t>apakšpunkta</w:t>
                  </w:r>
                  <w:r w:rsidRPr="00552AD9" w:rsidR="00CC152A">
                    <w:rPr>
                      <w:rFonts w:eastAsia="Times New Roman" w:cs="Times New Roman"/>
                      <w:sz w:val="24"/>
                      <w:szCs w:val="24"/>
                      <w:lang w:eastAsia="lv-LV"/>
                    </w:rPr>
                    <w:t xml:space="preserve"> redakcija)</w:t>
                  </w:r>
                  <w:r>
                    <w:rPr>
                      <w:rFonts w:eastAsia="Times New Roman" w:cs="Times New Roman"/>
                      <w:sz w:val="24"/>
                      <w:szCs w:val="24"/>
                      <w:lang w:eastAsia="lv-LV"/>
                    </w:rPr>
                    <w:t xml:space="preserve">; </w:t>
                  </w:r>
                </w:p>
                <w:p w:rsidR="00552AD9" w:rsidRPr="00552AD9" w:rsidP="00552AD9" w14:paraId="79BE01BE" w14:textId="4646F7B2">
                  <w:pPr>
                    <w:pStyle w:val="ListParagraph"/>
                    <w:numPr>
                      <w:ilvl w:val="0"/>
                      <w:numId w:val="3"/>
                    </w:numPr>
                    <w:ind w:left="0" w:firstLine="284"/>
                    <w:jc w:val="both"/>
                    <w:rPr>
                      <w:rFonts w:eastAsia="Times New Roman" w:cs="Times New Roman"/>
                      <w:sz w:val="24"/>
                      <w:szCs w:val="24"/>
                      <w:lang w:eastAsia="lv-LV"/>
                    </w:rPr>
                  </w:pPr>
                  <w:r>
                    <w:rPr>
                      <w:rFonts w:eastAsia="Times New Roman" w:cs="Times New Roman"/>
                      <w:sz w:val="24"/>
                      <w:szCs w:val="24"/>
                      <w:lang w:eastAsia="lv-LV"/>
                    </w:rPr>
                    <w:t xml:space="preserve">precizēt </w:t>
                  </w:r>
                  <w:r w:rsidRPr="00552AD9">
                    <w:rPr>
                      <w:rFonts w:eastAsia="Times New Roman" w:cs="Times New Roman"/>
                      <w:sz w:val="24"/>
                      <w:szCs w:val="24"/>
                      <w:lang w:eastAsia="lv-LV"/>
                    </w:rPr>
                    <w:t>3.</w:t>
                  </w:r>
                  <w:r>
                    <w:rPr>
                      <w:rFonts w:eastAsia="Times New Roman" w:cs="Times New Roman"/>
                      <w:sz w:val="24"/>
                      <w:szCs w:val="24"/>
                      <w:lang w:eastAsia="lv-LV"/>
                    </w:rPr>
                    <w:t> </w:t>
                  </w:r>
                  <w:r w:rsidRPr="00552AD9">
                    <w:rPr>
                      <w:rFonts w:eastAsia="Times New Roman" w:cs="Times New Roman"/>
                      <w:sz w:val="24"/>
                      <w:szCs w:val="24"/>
                      <w:lang w:eastAsia="lv-LV"/>
                    </w:rPr>
                    <w:t xml:space="preserve">pielikumu, izslēdzot no vērtējamo pārkāpumu saraksta Latvijas Administratīvo pārkāpumu kodeksa normu, uz kuru pamata pasūtītājs, sabiedrisko pakalpojumu sniedzējs vai koncesijas procedūras komisija var izslēgt kandidātu vai pretendentu no turpmākas dalības iepirkumā, saskaņā ar Ministru kabineta 28.02.2017. noteikumiem Nr.109 “Noteikumi par profesionālās darbības pārkāpumiem” (noteikumu projekta </w:t>
                  </w:r>
                  <w:r w:rsidRPr="00775D0E">
                    <w:rPr>
                      <w:rFonts w:eastAsia="Times New Roman" w:cs="Times New Roman"/>
                      <w:sz w:val="24"/>
                      <w:szCs w:val="24"/>
                      <w:lang w:eastAsia="lv-LV"/>
                    </w:rPr>
                    <w:t>1.</w:t>
                  </w:r>
                  <w:r w:rsidR="00775D0E">
                    <w:rPr>
                      <w:rFonts w:eastAsia="Times New Roman" w:cs="Times New Roman"/>
                      <w:sz w:val="24"/>
                      <w:szCs w:val="24"/>
                      <w:lang w:eastAsia="lv-LV"/>
                    </w:rPr>
                    <w:t>20</w:t>
                  </w:r>
                  <w:r w:rsidRPr="00775D0E">
                    <w:rPr>
                      <w:rFonts w:eastAsia="Times New Roman" w:cs="Times New Roman"/>
                      <w:sz w:val="24"/>
                      <w:szCs w:val="24"/>
                      <w:lang w:eastAsia="lv-LV"/>
                    </w:rPr>
                    <w:t>.</w:t>
                  </w:r>
                  <w:r>
                    <w:rPr>
                      <w:rFonts w:eastAsia="Times New Roman" w:cs="Times New Roman"/>
                      <w:sz w:val="24"/>
                      <w:szCs w:val="24"/>
                      <w:lang w:eastAsia="lv-LV"/>
                    </w:rPr>
                    <w:t> </w:t>
                  </w:r>
                  <w:r w:rsidRPr="00775D0E">
                    <w:rPr>
                      <w:rFonts w:eastAsia="Times New Roman" w:cs="Times New Roman"/>
                      <w:sz w:val="24"/>
                      <w:szCs w:val="24"/>
                      <w:lang w:eastAsia="lv-LV"/>
                    </w:rPr>
                    <w:t>punkts)</w:t>
                  </w:r>
                  <w:r w:rsidR="00221B04">
                    <w:rPr>
                      <w:rFonts w:eastAsia="Times New Roman" w:cs="Times New Roman"/>
                      <w:sz w:val="24"/>
                      <w:szCs w:val="24"/>
                      <w:lang w:eastAsia="lv-LV"/>
                    </w:rPr>
                    <w:t>.</w:t>
                  </w:r>
                  <w:r>
                    <w:rPr>
                      <w:rFonts w:eastAsia="Times New Roman" w:cs="Times New Roman"/>
                      <w:sz w:val="24"/>
                      <w:szCs w:val="24"/>
                      <w:lang w:eastAsia="lv-LV"/>
                    </w:rPr>
                    <w:t xml:space="preserve"> </w:t>
                  </w:r>
                  <w:r w:rsidR="00221B04">
                    <w:rPr>
                      <w:rFonts w:eastAsia="Times New Roman" w:cs="Times New Roman"/>
                      <w:sz w:val="24"/>
                      <w:szCs w:val="24"/>
                      <w:lang w:eastAsia="lv-LV"/>
                    </w:rPr>
                    <w:t>A</w:t>
                  </w:r>
                  <w:r>
                    <w:rPr>
                      <w:rFonts w:eastAsia="Times New Roman" w:cs="Times New Roman"/>
                      <w:sz w:val="24"/>
                      <w:szCs w:val="24"/>
                      <w:lang w:eastAsia="lv-LV"/>
                    </w:rPr>
                    <w:t>r nozar</w:t>
                  </w:r>
                  <w:r w:rsidR="00221B04">
                    <w:rPr>
                      <w:rFonts w:eastAsia="Times New Roman" w:cs="Times New Roman"/>
                      <w:sz w:val="24"/>
                      <w:szCs w:val="24"/>
                      <w:lang w:eastAsia="lv-LV"/>
                    </w:rPr>
                    <w:t>es organizācijām</w:t>
                  </w:r>
                  <w:r>
                    <w:rPr>
                      <w:rFonts w:eastAsia="Times New Roman" w:cs="Times New Roman"/>
                      <w:sz w:val="24"/>
                      <w:szCs w:val="24"/>
                      <w:lang w:eastAsia="lv-LV"/>
                    </w:rPr>
                    <w:t xml:space="preserve"> </w:t>
                  </w:r>
                  <w:r w:rsidR="00221B04">
                    <w:rPr>
                      <w:rFonts w:eastAsia="Times New Roman" w:cs="Times New Roman"/>
                      <w:sz w:val="24"/>
                      <w:szCs w:val="24"/>
                      <w:lang w:eastAsia="lv-LV"/>
                    </w:rPr>
                    <w:t>precizēts to normu saraksts, par kurām piemērojama korekcija 13. kritērijā</w:t>
                  </w:r>
                  <w:r w:rsidRPr="00552AD9">
                    <w:rPr>
                      <w:rFonts w:eastAsia="Times New Roman" w:cs="Times New Roman"/>
                      <w:sz w:val="24"/>
                      <w:szCs w:val="24"/>
                      <w:lang w:eastAsia="lv-LV"/>
                    </w:rPr>
                    <w:t>;</w:t>
                  </w:r>
                </w:p>
                <w:p w:rsidR="003F7300" w:rsidRPr="00552AD9" w:rsidP="009C6CFB" w14:paraId="0694B4E1" w14:textId="6522D60D">
                  <w:pPr>
                    <w:pStyle w:val="ListParagraph"/>
                    <w:numPr>
                      <w:ilvl w:val="0"/>
                      <w:numId w:val="3"/>
                    </w:numPr>
                    <w:ind w:left="0" w:firstLine="284"/>
                    <w:jc w:val="both"/>
                    <w:rPr>
                      <w:rFonts w:eastAsia="Times New Roman" w:cs="Times New Roman"/>
                      <w:sz w:val="24"/>
                      <w:szCs w:val="24"/>
                      <w:lang w:eastAsia="lv-LV"/>
                    </w:rPr>
                  </w:pPr>
                  <w:r>
                    <w:rPr>
                      <w:rFonts w:eastAsia="Times New Roman" w:cs="Times New Roman"/>
                      <w:sz w:val="24"/>
                      <w:szCs w:val="24"/>
                      <w:lang w:eastAsia="lv-LV"/>
                    </w:rPr>
                    <w:t>precizēt</w:t>
                  </w:r>
                  <w:r w:rsidRPr="007519E1">
                    <w:rPr>
                      <w:rFonts w:eastAsia="Times New Roman" w:cs="Times New Roman"/>
                      <w:sz w:val="24"/>
                      <w:szCs w:val="24"/>
                      <w:lang w:eastAsia="lv-LV"/>
                    </w:rPr>
                    <w:t xml:space="preserve"> noteikumu Nr.211 32.4.1.</w:t>
                  </w:r>
                  <w:r w:rsidR="00C3377B">
                    <w:rPr>
                      <w:rFonts w:eastAsia="Times New Roman" w:cs="Times New Roman"/>
                      <w:sz w:val="24"/>
                      <w:szCs w:val="24"/>
                      <w:lang w:eastAsia="lv-LV"/>
                    </w:rPr>
                    <w:t> </w:t>
                  </w:r>
                  <w:r w:rsidRPr="007519E1">
                    <w:rPr>
                      <w:rFonts w:eastAsia="Times New Roman" w:cs="Times New Roman"/>
                      <w:sz w:val="24"/>
                      <w:szCs w:val="24"/>
                      <w:lang w:eastAsia="lv-LV"/>
                    </w:rPr>
                    <w:t>apakšpunkt</w:t>
                  </w:r>
                  <w:r>
                    <w:rPr>
                      <w:rFonts w:eastAsia="Times New Roman" w:cs="Times New Roman"/>
                      <w:sz w:val="24"/>
                      <w:szCs w:val="24"/>
                      <w:lang w:eastAsia="lv-LV"/>
                    </w:rPr>
                    <w:t>a redakciju</w:t>
                  </w:r>
                  <w:r w:rsidRPr="007519E1">
                    <w:rPr>
                      <w:rFonts w:eastAsia="Times New Roman" w:cs="Times New Roman"/>
                      <w:sz w:val="24"/>
                      <w:szCs w:val="24"/>
                      <w:lang w:eastAsia="lv-LV"/>
                    </w:rPr>
                    <w:t>, kas atspoguļo klasificēšanā izmantoto ziņas un to avotu, jo tas jau ir atspoguļots 25.punktā,</w:t>
                  </w:r>
                  <w:r>
                    <w:rPr>
                      <w:rFonts w:eastAsia="Times New Roman" w:cs="Times New Roman"/>
                      <w:sz w:val="24"/>
                      <w:szCs w:val="24"/>
                      <w:lang w:eastAsia="lv-LV"/>
                    </w:rPr>
                    <w:t xml:space="preserve"> tādējādi ir saprotams, </w:t>
                  </w:r>
                  <w:r w:rsidRPr="007519E1">
                    <w:rPr>
                      <w:rFonts w:eastAsia="Times New Roman" w:cs="Times New Roman"/>
                      <w:sz w:val="24"/>
                      <w:szCs w:val="24"/>
                      <w:lang w:eastAsia="lv-LV"/>
                    </w:rPr>
                    <w:t>ka datus par Latvijā reģistrēta būvkomersanta pieredzi būvniecībā klasifikācijas iestāde joprojām vērtē atkarībā no laika perioda, kādu būvkomersants bijis reģistrēts būvkomersantu reģistrā, ņemot vērā arī periodus, kad reģistrācija bijusi apturēta vai būvkomersants bijis izslēgts</w:t>
                  </w:r>
                  <w:r>
                    <w:rPr>
                      <w:rFonts w:eastAsia="Times New Roman" w:cs="Times New Roman"/>
                      <w:sz w:val="24"/>
                      <w:szCs w:val="24"/>
                      <w:lang w:eastAsia="lv-LV"/>
                    </w:rPr>
                    <w:t xml:space="preserve"> no reģistra</w:t>
                  </w:r>
                  <w:r w:rsidR="009C6CFB">
                    <w:rPr>
                      <w:rFonts w:eastAsia="Times New Roman" w:cs="Times New Roman"/>
                      <w:sz w:val="24"/>
                      <w:szCs w:val="24"/>
                      <w:lang w:eastAsia="lv-LV"/>
                    </w:rPr>
                    <w:t xml:space="preserve"> </w:t>
                  </w:r>
                  <w:r w:rsidRPr="00552AD9" w:rsidR="009C6CFB">
                    <w:rPr>
                      <w:rFonts w:eastAsia="Times New Roman" w:cs="Times New Roman"/>
                      <w:sz w:val="24"/>
                      <w:szCs w:val="24"/>
                      <w:lang w:eastAsia="lv-LV"/>
                    </w:rPr>
                    <w:t>(noteikumu projekta 32.4. apakšpunkta redakcija)</w:t>
                  </w:r>
                  <w:r w:rsidRPr="00552AD9">
                    <w:rPr>
                      <w:rFonts w:eastAsia="Times New Roman" w:cs="Times New Roman"/>
                      <w:sz w:val="24"/>
                      <w:szCs w:val="24"/>
                      <w:lang w:eastAsia="lv-LV"/>
                    </w:rPr>
                    <w:t>;</w:t>
                  </w:r>
                </w:p>
                <w:p w:rsidR="003F7300" w:rsidRPr="00552AD9" w:rsidP="003F7300" w14:paraId="11EBDFED" w14:textId="0A987CAB">
                  <w:pPr>
                    <w:pStyle w:val="ListParagraph"/>
                    <w:numPr>
                      <w:ilvl w:val="0"/>
                      <w:numId w:val="3"/>
                    </w:numPr>
                    <w:ind w:left="0" w:firstLine="284"/>
                    <w:jc w:val="both"/>
                    <w:rPr>
                      <w:rFonts w:eastAsia="Times New Roman" w:cs="Times New Roman"/>
                      <w:sz w:val="24"/>
                      <w:szCs w:val="24"/>
                      <w:lang w:eastAsia="lv-LV"/>
                    </w:rPr>
                  </w:pPr>
                  <w:r>
                    <w:rPr>
                      <w:rFonts w:eastAsia="Times New Roman" w:cs="Times New Roman"/>
                      <w:sz w:val="24"/>
                      <w:szCs w:val="24"/>
                      <w:lang w:eastAsia="lv-LV"/>
                    </w:rPr>
                    <w:t>profesionālās pieredzes vērtēšanas period</w:t>
                  </w:r>
                  <w:r w:rsidR="0059259D">
                    <w:rPr>
                      <w:rFonts w:eastAsia="Times New Roman" w:cs="Times New Roman"/>
                      <w:sz w:val="24"/>
                      <w:szCs w:val="24"/>
                      <w:lang w:eastAsia="lv-LV"/>
                    </w:rPr>
                    <w:t>u</w:t>
                  </w:r>
                  <w:r>
                    <w:rPr>
                      <w:rFonts w:eastAsia="Times New Roman" w:cs="Times New Roman"/>
                      <w:sz w:val="24"/>
                      <w:szCs w:val="24"/>
                      <w:lang w:eastAsia="lv-LV"/>
                    </w:rPr>
                    <w:t xml:space="preserve"> (3.</w:t>
                  </w:r>
                  <w:r w:rsidR="00C3377B">
                    <w:rPr>
                      <w:rFonts w:eastAsia="Times New Roman" w:cs="Times New Roman"/>
                      <w:sz w:val="24"/>
                      <w:szCs w:val="24"/>
                      <w:lang w:eastAsia="lv-LV"/>
                    </w:rPr>
                    <w:t> </w:t>
                  </w:r>
                  <w:r>
                    <w:rPr>
                      <w:rFonts w:eastAsia="Times New Roman" w:cs="Times New Roman"/>
                      <w:sz w:val="24"/>
                      <w:szCs w:val="24"/>
                      <w:lang w:eastAsia="lv-LV"/>
                    </w:rPr>
                    <w:t>kritērijs) samazināt no vairāk par 10 gadiem 1.</w:t>
                  </w:r>
                  <w:r w:rsidR="00C3377B">
                    <w:rPr>
                      <w:rFonts w:eastAsia="Times New Roman" w:cs="Times New Roman"/>
                      <w:sz w:val="24"/>
                      <w:szCs w:val="24"/>
                      <w:lang w:eastAsia="lv-LV"/>
                    </w:rPr>
                    <w:t> </w:t>
                  </w:r>
                  <w:r>
                    <w:rPr>
                      <w:rFonts w:eastAsia="Times New Roman" w:cs="Times New Roman"/>
                      <w:sz w:val="24"/>
                      <w:szCs w:val="24"/>
                      <w:lang w:eastAsia="lv-LV"/>
                    </w:rPr>
                    <w:t xml:space="preserve">klasei uz vairāk par </w:t>
                  </w:r>
                  <w:r w:rsidR="00F07AC8">
                    <w:rPr>
                      <w:rFonts w:eastAsia="Times New Roman" w:cs="Times New Roman"/>
                      <w:sz w:val="24"/>
                      <w:szCs w:val="24"/>
                      <w:lang w:eastAsia="lv-LV"/>
                    </w:rPr>
                    <w:t>astoņiem</w:t>
                  </w:r>
                  <w:r>
                    <w:rPr>
                      <w:rFonts w:eastAsia="Times New Roman" w:cs="Times New Roman"/>
                      <w:sz w:val="24"/>
                      <w:szCs w:val="24"/>
                      <w:lang w:eastAsia="lv-LV"/>
                    </w:rPr>
                    <w:t> gadiem 1.</w:t>
                  </w:r>
                  <w:r w:rsidR="00C3377B">
                    <w:rPr>
                      <w:rFonts w:eastAsia="Times New Roman" w:cs="Times New Roman"/>
                      <w:sz w:val="24"/>
                      <w:szCs w:val="24"/>
                      <w:lang w:eastAsia="lv-LV"/>
                    </w:rPr>
                    <w:t> </w:t>
                  </w:r>
                  <w:r>
                    <w:rPr>
                      <w:rFonts w:eastAsia="Times New Roman" w:cs="Times New Roman"/>
                      <w:sz w:val="24"/>
                      <w:szCs w:val="24"/>
                      <w:lang w:eastAsia="lv-LV"/>
                    </w:rPr>
                    <w:t>klasei, proporcionāli samazinot pieredzes ilgumu arī pārējās klasēs</w:t>
                  </w:r>
                  <w:r w:rsidR="008B6739">
                    <w:rPr>
                      <w:rFonts w:eastAsia="Times New Roman" w:cs="Times New Roman"/>
                      <w:sz w:val="24"/>
                      <w:szCs w:val="24"/>
                      <w:lang w:eastAsia="lv-LV"/>
                    </w:rPr>
                    <w:t xml:space="preserve"> </w:t>
                  </w:r>
                  <w:r w:rsidRPr="00552AD9" w:rsidR="008B6739">
                    <w:rPr>
                      <w:rFonts w:eastAsia="Times New Roman" w:cs="Times New Roman"/>
                      <w:sz w:val="24"/>
                      <w:szCs w:val="24"/>
                      <w:lang w:eastAsia="lv-LV"/>
                    </w:rPr>
                    <w:t>(</w:t>
                  </w:r>
                  <w:r w:rsidRPr="00552AD9" w:rsidR="00CD43FC">
                    <w:rPr>
                      <w:rFonts w:eastAsia="Times New Roman" w:cs="Times New Roman"/>
                      <w:sz w:val="24"/>
                      <w:szCs w:val="24"/>
                      <w:lang w:eastAsia="lv-LV"/>
                    </w:rPr>
                    <w:t>noteikumu projekta 32.4. apakšpunkta redakcija)</w:t>
                  </w:r>
                  <w:r w:rsidRPr="00552AD9">
                    <w:rPr>
                      <w:rFonts w:eastAsia="Times New Roman" w:cs="Times New Roman"/>
                      <w:sz w:val="24"/>
                      <w:szCs w:val="24"/>
                      <w:lang w:eastAsia="lv-LV"/>
                    </w:rPr>
                    <w:t xml:space="preserve">. </w:t>
                  </w:r>
                </w:p>
                <w:p w:rsidR="006E1409" w:rsidP="003F7300" w14:paraId="20FA45D1" w14:textId="5A7460A7">
                  <w:pPr>
                    <w:pStyle w:val="ListParagraph"/>
                    <w:ind w:left="0"/>
                    <w:jc w:val="both"/>
                    <w:rPr>
                      <w:rFonts w:eastAsia="Times New Roman" w:cs="Times New Roman"/>
                      <w:sz w:val="24"/>
                      <w:szCs w:val="24"/>
                      <w:lang w:eastAsia="lv-LV"/>
                    </w:rPr>
                  </w:pPr>
                  <w:r>
                    <w:rPr>
                      <w:rFonts w:eastAsia="Times New Roman" w:cs="Times New Roman"/>
                      <w:sz w:val="24"/>
                      <w:szCs w:val="24"/>
                      <w:lang w:eastAsia="lv-LV"/>
                    </w:rPr>
                    <w:t xml:space="preserve">Vienlaikus noteikumu projekts neparedz izmaiņas attiecībā uz </w:t>
                  </w:r>
                  <w:r w:rsidRPr="00932D1C">
                    <w:rPr>
                      <w:rFonts w:eastAsia="Times New Roman" w:cs="Times New Roman"/>
                      <w:sz w:val="24"/>
                      <w:szCs w:val="24"/>
                      <w:lang w:eastAsia="lv-LV"/>
                    </w:rPr>
                    <w:t>ārvalstu komersant</w:t>
                  </w:r>
                  <w:r w:rsidR="003F7300">
                    <w:rPr>
                      <w:rFonts w:eastAsia="Times New Roman" w:cs="Times New Roman"/>
                      <w:sz w:val="24"/>
                      <w:szCs w:val="24"/>
                      <w:lang w:eastAsia="lv-LV"/>
                    </w:rPr>
                    <w:t>u</w:t>
                  </w:r>
                  <w:r>
                    <w:rPr>
                      <w:rFonts w:eastAsia="Times New Roman" w:cs="Times New Roman"/>
                      <w:sz w:val="24"/>
                      <w:szCs w:val="24"/>
                      <w:lang w:eastAsia="lv-LV"/>
                    </w:rPr>
                    <w:t xml:space="preserve">, kuri veic </w:t>
                  </w:r>
                  <w:r w:rsidR="00BF2E6E">
                    <w:rPr>
                      <w:rFonts w:eastAsia="Times New Roman" w:cs="Times New Roman"/>
                      <w:sz w:val="24"/>
                      <w:szCs w:val="24"/>
                      <w:lang w:eastAsia="lv-LV"/>
                    </w:rPr>
                    <w:t>komerc</w:t>
                  </w:r>
                  <w:r>
                    <w:rPr>
                      <w:rFonts w:eastAsia="Times New Roman" w:cs="Times New Roman"/>
                      <w:sz w:val="24"/>
                      <w:szCs w:val="24"/>
                      <w:lang w:eastAsia="lv-LV"/>
                    </w:rPr>
                    <w:t>darbību būvniecībā, jo spēkā esošais regulējums paredz skaidras prasības attiecībā uz šo subjektu kvalificēšanu. Tā s</w:t>
                  </w:r>
                  <w:r w:rsidRPr="00932D1C">
                    <w:rPr>
                      <w:rFonts w:eastAsia="Times New Roman" w:cs="Times New Roman"/>
                      <w:sz w:val="24"/>
                      <w:szCs w:val="24"/>
                      <w:lang w:eastAsia="lv-LV"/>
                    </w:rPr>
                    <w:t>askaņā ar Būvniecības likuma 22.</w:t>
                  </w:r>
                  <w:r w:rsidR="00C3377B">
                    <w:rPr>
                      <w:rFonts w:eastAsia="Times New Roman" w:cs="Times New Roman"/>
                      <w:sz w:val="24"/>
                      <w:szCs w:val="24"/>
                      <w:lang w:eastAsia="lv-LV"/>
                    </w:rPr>
                    <w:t> </w:t>
                  </w:r>
                  <w:r w:rsidRPr="00932D1C">
                    <w:rPr>
                      <w:rFonts w:eastAsia="Times New Roman" w:cs="Times New Roman"/>
                      <w:sz w:val="24"/>
                      <w:szCs w:val="24"/>
                      <w:lang w:eastAsia="lv-LV"/>
                    </w:rPr>
                    <w:t xml:space="preserve">panta </w:t>
                  </w:r>
                  <w:r w:rsidR="00E66BE1">
                    <w:rPr>
                      <w:rFonts w:eastAsia="Times New Roman" w:cs="Times New Roman"/>
                      <w:sz w:val="24"/>
                      <w:szCs w:val="24"/>
                      <w:lang w:eastAsia="lv-LV"/>
                    </w:rPr>
                    <w:t xml:space="preserve">pirmo </w:t>
                  </w:r>
                  <w:r w:rsidRPr="00932D1C">
                    <w:rPr>
                      <w:rFonts w:eastAsia="Times New Roman" w:cs="Times New Roman"/>
                      <w:sz w:val="24"/>
                      <w:szCs w:val="24"/>
                      <w:lang w:eastAsia="lv-LV"/>
                    </w:rPr>
                    <w:t xml:space="preserve">un </w:t>
                  </w:r>
                  <w:r w:rsidR="00E66BE1">
                    <w:rPr>
                      <w:rFonts w:eastAsia="Times New Roman" w:cs="Times New Roman"/>
                      <w:sz w:val="24"/>
                      <w:szCs w:val="24"/>
                      <w:lang w:eastAsia="lv-LV"/>
                    </w:rPr>
                    <w:t xml:space="preserve">otro </w:t>
                  </w:r>
                  <w:r w:rsidRPr="00932D1C">
                    <w:rPr>
                      <w:rFonts w:eastAsia="Times New Roman" w:cs="Times New Roman"/>
                      <w:sz w:val="24"/>
                      <w:szCs w:val="24"/>
                      <w:lang w:eastAsia="lv-LV"/>
                    </w:rPr>
                    <w:t xml:space="preserve">daļu, komercdarbību būvniecībā Latvijā kādā no būvniecības jomām, kā arī arhitektūrā vai elektroenerģētikā ir tiesīgs veikt būvkomersantu reģistrā reģistrēts komersants. Savukārt reģistrējoties tam jāsniedz ziņas par </w:t>
                  </w:r>
                  <w:r w:rsidRPr="00932D1C">
                    <w:rPr>
                      <w:rFonts w:eastAsia="Times New Roman" w:cs="Times New Roman"/>
                      <w:sz w:val="24"/>
                      <w:szCs w:val="24"/>
                      <w:lang w:eastAsia="lv-LV"/>
                    </w:rPr>
                    <w:t>būvspeciālistiem</w:t>
                  </w:r>
                  <w:r w:rsidRPr="00932D1C">
                    <w:rPr>
                      <w:rFonts w:eastAsia="Times New Roman" w:cs="Times New Roman"/>
                      <w:sz w:val="24"/>
                      <w:szCs w:val="24"/>
                      <w:lang w:eastAsia="lv-LV"/>
                    </w:rPr>
                    <w:t>, ko komersants nodarbina uz līguma pamata. Attiecīgi noteikumi Nr.211 paredz, ka ārvalstu komersantiem, kas pretendē uz būvdarbu veikšanu Būvniecības likuma 23.</w:t>
                  </w:r>
                  <w:r w:rsidR="00C3377B">
                    <w:rPr>
                      <w:rFonts w:eastAsia="Times New Roman" w:cs="Times New Roman"/>
                      <w:sz w:val="24"/>
                      <w:szCs w:val="24"/>
                      <w:lang w:eastAsia="lv-LV"/>
                    </w:rPr>
                    <w:t> </w:t>
                  </w:r>
                  <w:r w:rsidRPr="00932D1C">
                    <w:rPr>
                      <w:rFonts w:eastAsia="Times New Roman" w:cs="Times New Roman"/>
                      <w:sz w:val="24"/>
                      <w:szCs w:val="24"/>
                      <w:lang w:eastAsia="lv-LV"/>
                    </w:rPr>
                    <w:t>panta kārtībā, jāiesniedz klasifikācijas iestādei dokumentus, kas pietiekamā mērā apliecina ziņas saskaņā ar  noteikumu Nr.211 III</w:t>
                  </w:r>
                  <w:r w:rsidR="00C3377B">
                    <w:rPr>
                      <w:rFonts w:eastAsia="Times New Roman" w:cs="Times New Roman"/>
                      <w:sz w:val="24"/>
                      <w:szCs w:val="24"/>
                      <w:lang w:eastAsia="lv-LV"/>
                    </w:rPr>
                    <w:t> </w:t>
                  </w:r>
                  <w:r w:rsidRPr="00932D1C">
                    <w:rPr>
                      <w:rFonts w:eastAsia="Times New Roman" w:cs="Times New Roman"/>
                      <w:sz w:val="24"/>
                      <w:szCs w:val="24"/>
                      <w:lang w:eastAsia="lv-LV"/>
                    </w:rPr>
                    <w:t>nodaļu (39.</w:t>
                  </w:r>
                  <w:r w:rsidR="00C3377B">
                    <w:rPr>
                      <w:rFonts w:eastAsia="Times New Roman" w:cs="Times New Roman"/>
                      <w:sz w:val="24"/>
                      <w:szCs w:val="24"/>
                      <w:lang w:eastAsia="lv-LV"/>
                    </w:rPr>
                    <w:t> </w:t>
                  </w:r>
                  <w:r w:rsidRPr="00932D1C">
                    <w:rPr>
                      <w:rFonts w:eastAsia="Times New Roman" w:cs="Times New Roman"/>
                      <w:sz w:val="24"/>
                      <w:szCs w:val="24"/>
                      <w:lang w:eastAsia="lv-LV"/>
                    </w:rPr>
                    <w:t>punkts), kur attiecībā uz kopējo pieredzi noteiktais datu avots ir būvkomersantu reģistrācijas ilgums būvkomersantu reģistrā. Tā kā ne visās E</w:t>
                  </w:r>
                  <w:r w:rsidR="00BF2E6E">
                    <w:rPr>
                      <w:rFonts w:eastAsia="Times New Roman" w:cs="Times New Roman"/>
                      <w:sz w:val="24"/>
                      <w:szCs w:val="24"/>
                      <w:lang w:eastAsia="lv-LV"/>
                    </w:rPr>
                    <w:t xml:space="preserve">iropas Savienības </w:t>
                  </w:r>
                  <w:r w:rsidRPr="00932D1C">
                    <w:rPr>
                      <w:rFonts w:eastAsia="Times New Roman" w:cs="Times New Roman"/>
                      <w:sz w:val="24"/>
                      <w:szCs w:val="24"/>
                      <w:lang w:eastAsia="lv-LV"/>
                    </w:rPr>
                    <w:t>un E</w:t>
                  </w:r>
                  <w:r w:rsidR="00BF2E6E">
                    <w:rPr>
                      <w:rFonts w:eastAsia="Times New Roman" w:cs="Times New Roman"/>
                      <w:sz w:val="24"/>
                      <w:szCs w:val="24"/>
                      <w:lang w:eastAsia="lv-LV"/>
                    </w:rPr>
                    <w:t xml:space="preserve">iropas </w:t>
                  </w:r>
                  <w:r w:rsidRPr="00932D1C">
                    <w:rPr>
                      <w:rFonts w:eastAsia="Times New Roman" w:cs="Times New Roman"/>
                      <w:sz w:val="24"/>
                      <w:szCs w:val="24"/>
                      <w:lang w:eastAsia="lv-LV"/>
                    </w:rPr>
                    <w:t>E</w:t>
                  </w:r>
                  <w:r w:rsidR="00BF2E6E">
                    <w:rPr>
                      <w:rFonts w:eastAsia="Times New Roman" w:cs="Times New Roman"/>
                      <w:sz w:val="24"/>
                      <w:szCs w:val="24"/>
                      <w:lang w:eastAsia="lv-LV"/>
                    </w:rPr>
                    <w:t>konomiskās zonas</w:t>
                  </w:r>
                  <w:r w:rsidRPr="00932D1C">
                    <w:rPr>
                      <w:rFonts w:eastAsia="Times New Roman" w:cs="Times New Roman"/>
                      <w:sz w:val="24"/>
                      <w:szCs w:val="24"/>
                      <w:lang w:eastAsia="lv-LV"/>
                    </w:rPr>
                    <w:t xml:space="preserve"> dalībvalstīs priekšnoteikums darbībai būvniecībā ir reģistrēšanās kādā reģistrā un būvniecības profesijas var nebūt reglamentētas, </w:t>
                  </w:r>
                  <w:r w:rsidR="00BF2E6E">
                    <w:rPr>
                      <w:rFonts w:eastAsia="Times New Roman" w:cs="Times New Roman"/>
                      <w:sz w:val="24"/>
                      <w:szCs w:val="24"/>
                      <w:lang w:eastAsia="lv-LV"/>
                    </w:rPr>
                    <w:t xml:space="preserve">par </w:t>
                  </w:r>
                  <w:r w:rsidRPr="00932D1C">
                    <w:rPr>
                      <w:rFonts w:eastAsia="Times New Roman" w:cs="Times New Roman"/>
                      <w:sz w:val="24"/>
                      <w:szCs w:val="24"/>
                      <w:lang w:eastAsia="lv-LV"/>
                    </w:rPr>
                    <w:t>dokumentiem, kas pietiekamā mērā apliecinātu ārvalstu komersanta atbilstību 3.</w:t>
                  </w:r>
                  <w:r w:rsidR="00C3377B">
                    <w:rPr>
                      <w:rFonts w:eastAsia="Times New Roman" w:cs="Times New Roman"/>
                      <w:sz w:val="24"/>
                      <w:szCs w:val="24"/>
                      <w:lang w:eastAsia="lv-LV"/>
                    </w:rPr>
                    <w:t> </w:t>
                  </w:r>
                  <w:r w:rsidRPr="00932D1C">
                    <w:rPr>
                      <w:rFonts w:eastAsia="Times New Roman" w:cs="Times New Roman"/>
                      <w:sz w:val="24"/>
                      <w:szCs w:val="24"/>
                      <w:lang w:eastAsia="lv-LV"/>
                    </w:rPr>
                    <w:t>kritērijam un ļautu klasifikācijas iestādei konstatēt komersanta pieredzi būvniecībā</w:t>
                  </w:r>
                  <w:r w:rsidR="00BF2E6E">
                    <w:rPr>
                      <w:rFonts w:eastAsia="Times New Roman" w:cs="Times New Roman"/>
                      <w:sz w:val="24"/>
                      <w:szCs w:val="24"/>
                      <w:lang w:eastAsia="lv-LV"/>
                    </w:rPr>
                    <w:t xml:space="preserve"> ir uzskatāmi tādi dokumenti, kā, piemēram, </w:t>
                  </w:r>
                  <w:r w:rsidR="00CD43FC">
                    <w:rPr>
                      <w:rFonts w:eastAsia="Times New Roman" w:cs="Times New Roman"/>
                      <w:sz w:val="24"/>
                      <w:szCs w:val="24"/>
                      <w:lang w:eastAsia="lv-LV"/>
                    </w:rPr>
                    <w:t>Saimnieciskās darbības reģistra izziņa (</w:t>
                  </w:r>
                  <w:r w:rsidRPr="00CD43FC" w:rsidR="00CD43FC">
                    <w:rPr>
                      <w:rFonts w:eastAsia="Times New Roman" w:cs="Times New Roman"/>
                      <w:i/>
                      <w:sz w:val="24"/>
                      <w:szCs w:val="24"/>
                      <w:lang w:eastAsia="lv-LV"/>
                    </w:rPr>
                    <w:t>Economic</w:t>
                  </w:r>
                  <w:r w:rsidRPr="00CD43FC" w:rsidR="00CD43FC">
                    <w:rPr>
                      <w:rFonts w:eastAsia="Times New Roman" w:cs="Times New Roman"/>
                      <w:i/>
                      <w:sz w:val="24"/>
                      <w:szCs w:val="24"/>
                      <w:lang w:eastAsia="lv-LV"/>
                    </w:rPr>
                    <w:t xml:space="preserve"> </w:t>
                  </w:r>
                  <w:r w:rsidRPr="00CD43FC" w:rsidR="00CD43FC">
                    <w:rPr>
                      <w:rFonts w:eastAsia="Times New Roman" w:cs="Times New Roman"/>
                      <w:i/>
                      <w:sz w:val="24"/>
                      <w:szCs w:val="24"/>
                      <w:lang w:eastAsia="lv-LV"/>
                    </w:rPr>
                    <w:t>Activity</w:t>
                  </w:r>
                  <w:r w:rsidRPr="00CD43FC" w:rsidR="00CD43FC">
                    <w:rPr>
                      <w:rFonts w:eastAsia="Times New Roman" w:cs="Times New Roman"/>
                      <w:i/>
                      <w:sz w:val="24"/>
                      <w:szCs w:val="24"/>
                      <w:lang w:eastAsia="lv-LV"/>
                    </w:rPr>
                    <w:t xml:space="preserve"> </w:t>
                  </w:r>
                  <w:r w:rsidRPr="00CD43FC" w:rsidR="00CD43FC">
                    <w:rPr>
                      <w:rFonts w:eastAsia="Times New Roman" w:cs="Times New Roman"/>
                      <w:i/>
                      <w:sz w:val="24"/>
                      <w:szCs w:val="24"/>
                      <w:lang w:eastAsia="lv-LV"/>
                    </w:rPr>
                    <w:t>Register</w:t>
                  </w:r>
                  <w:r w:rsidR="00CD43FC">
                    <w:rPr>
                      <w:rFonts w:eastAsia="Times New Roman" w:cs="Times New Roman"/>
                      <w:sz w:val="24"/>
                      <w:szCs w:val="24"/>
                      <w:lang w:eastAsia="lv-LV"/>
                    </w:rPr>
                    <w:t>, Igaunijā)</w:t>
                  </w:r>
                  <w:r w:rsidR="00C3377B">
                    <w:rPr>
                      <w:rFonts w:eastAsia="Times New Roman" w:cs="Times New Roman"/>
                      <w:sz w:val="24"/>
                      <w:szCs w:val="24"/>
                      <w:lang w:eastAsia="lv-LV"/>
                    </w:rPr>
                    <w:t xml:space="preserve"> un </w:t>
                  </w:r>
                  <w:r w:rsidR="00CD43FC">
                    <w:rPr>
                      <w:rFonts w:eastAsia="Times New Roman" w:cs="Times New Roman"/>
                      <w:sz w:val="24"/>
                      <w:szCs w:val="24"/>
                      <w:lang w:eastAsia="lv-LV"/>
                    </w:rPr>
                    <w:t>Komercreģistra izziņa (</w:t>
                  </w:r>
                  <w:r w:rsidRPr="00CD43FC" w:rsidR="00CD43FC">
                    <w:rPr>
                      <w:rFonts w:eastAsia="Times New Roman" w:cs="Times New Roman"/>
                      <w:i/>
                      <w:sz w:val="24"/>
                      <w:szCs w:val="24"/>
                      <w:lang w:eastAsia="lv-LV"/>
                    </w:rPr>
                    <w:t xml:space="preserve">Commercial </w:t>
                  </w:r>
                  <w:r w:rsidRPr="00CD43FC" w:rsidR="00CD43FC">
                    <w:rPr>
                      <w:rFonts w:eastAsia="Times New Roman" w:cs="Times New Roman"/>
                      <w:i/>
                      <w:sz w:val="24"/>
                      <w:szCs w:val="24"/>
                      <w:lang w:eastAsia="lv-LV"/>
                    </w:rPr>
                    <w:t>Register</w:t>
                  </w:r>
                  <w:r w:rsidR="00CD43FC">
                    <w:rPr>
                      <w:rFonts w:eastAsia="Times New Roman" w:cs="Times New Roman"/>
                      <w:sz w:val="24"/>
                      <w:szCs w:val="24"/>
                      <w:lang w:eastAsia="lv-LV"/>
                    </w:rPr>
                    <w:t>, Čehijā)</w:t>
                  </w:r>
                  <w:r w:rsidRPr="009F0B09" w:rsidR="00CD43FC">
                    <w:rPr>
                      <w:rFonts w:eastAsia="Times New Roman" w:cs="Times New Roman"/>
                      <w:sz w:val="24"/>
                      <w:szCs w:val="24"/>
                      <w:lang w:eastAsia="lv-LV"/>
                    </w:rPr>
                    <w:t>.</w:t>
                  </w:r>
                </w:p>
                <w:p w:rsidR="002F2208" w:rsidRPr="002F2208" w:rsidP="009F0B09" w14:paraId="0DB41517" w14:textId="1D962CE5">
                  <w:pPr>
                    <w:pStyle w:val="ListParagraph"/>
                    <w:numPr>
                      <w:ilvl w:val="0"/>
                      <w:numId w:val="3"/>
                    </w:numPr>
                    <w:ind w:left="0" w:firstLine="284"/>
                    <w:jc w:val="both"/>
                    <w:rPr>
                      <w:rFonts w:eastAsia="Times New Roman" w:cs="Times New Roman"/>
                      <w:sz w:val="24"/>
                      <w:szCs w:val="24"/>
                      <w:lang w:eastAsia="lv-LV"/>
                    </w:rPr>
                  </w:pPr>
                  <w:r>
                    <w:rPr>
                      <w:rFonts w:eastAsia="Times New Roman" w:cs="Times New Roman"/>
                      <w:sz w:val="24"/>
                      <w:szCs w:val="24"/>
                      <w:lang w:eastAsia="lv-LV"/>
                    </w:rPr>
                    <w:t xml:space="preserve">Svītrot </w:t>
                  </w:r>
                  <w:r w:rsidRPr="002F2208">
                    <w:rPr>
                      <w:rFonts w:eastAsia="Times New Roman" w:cs="Times New Roman"/>
                      <w:sz w:val="24"/>
                      <w:szCs w:val="24"/>
                      <w:lang w:eastAsia="lv-LV"/>
                    </w:rPr>
                    <w:t>32.6.</w:t>
                  </w:r>
                  <w:r w:rsidR="00BE6E26">
                    <w:rPr>
                      <w:rFonts w:eastAsia="Times New Roman" w:cs="Times New Roman"/>
                      <w:sz w:val="24"/>
                      <w:szCs w:val="24"/>
                      <w:lang w:eastAsia="lv-LV"/>
                    </w:rPr>
                    <w:t> </w:t>
                  </w:r>
                  <w:r w:rsidR="00BA326E">
                    <w:rPr>
                      <w:rFonts w:eastAsia="Times New Roman" w:cs="Times New Roman"/>
                      <w:sz w:val="24"/>
                      <w:szCs w:val="24"/>
                      <w:lang w:eastAsia="lv-LV"/>
                    </w:rPr>
                    <w:t>apakšpunktu</w:t>
                  </w:r>
                  <w:r>
                    <w:rPr>
                      <w:rFonts w:eastAsia="Times New Roman" w:cs="Times New Roman"/>
                      <w:sz w:val="24"/>
                      <w:szCs w:val="24"/>
                      <w:lang w:eastAsia="lv-LV"/>
                    </w:rPr>
                    <w:t xml:space="preserve"> </w:t>
                  </w:r>
                  <w:r w:rsidRPr="002F2208" w:rsidR="00BA326E">
                    <w:rPr>
                      <w:rFonts w:eastAsia="Times New Roman" w:cs="Times New Roman"/>
                      <w:sz w:val="24"/>
                      <w:szCs w:val="24"/>
                      <w:lang w:eastAsia="lv-LV"/>
                    </w:rPr>
                    <w:t>(</w:t>
                  </w:r>
                  <w:r w:rsidRPr="002F2208">
                    <w:rPr>
                      <w:rFonts w:eastAsia="Times New Roman" w:cs="Times New Roman"/>
                      <w:sz w:val="24"/>
                      <w:szCs w:val="24"/>
                      <w:lang w:eastAsia="lv-LV"/>
                    </w:rPr>
                    <w:t>5.</w:t>
                  </w:r>
                  <w:r w:rsidR="00BE6E26">
                    <w:rPr>
                      <w:rFonts w:eastAsia="Times New Roman" w:cs="Times New Roman"/>
                      <w:sz w:val="24"/>
                      <w:szCs w:val="24"/>
                      <w:lang w:eastAsia="lv-LV"/>
                    </w:rPr>
                    <w:t> </w:t>
                  </w:r>
                  <w:r w:rsidRPr="002F2208">
                    <w:rPr>
                      <w:rFonts w:eastAsia="Times New Roman" w:cs="Times New Roman"/>
                      <w:sz w:val="24"/>
                      <w:szCs w:val="24"/>
                      <w:lang w:eastAsia="lv-LV"/>
                    </w:rPr>
                    <w:t>kritērijs būvniecības pakalpojumu īpatsvars būvuzņēmuma apgrozījumā)</w:t>
                  </w:r>
                  <w:r>
                    <w:rPr>
                      <w:rFonts w:eastAsia="Times New Roman" w:cs="Times New Roman"/>
                      <w:sz w:val="24"/>
                      <w:szCs w:val="24"/>
                      <w:lang w:eastAsia="lv-LV"/>
                    </w:rPr>
                    <w:t>, kas bija</w:t>
                  </w:r>
                  <w:r w:rsidRPr="002F2208">
                    <w:rPr>
                      <w:rFonts w:eastAsia="Times New Roman" w:cs="Times New Roman"/>
                      <w:sz w:val="24"/>
                      <w:szCs w:val="24"/>
                      <w:lang w:eastAsia="lv-LV"/>
                    </w:rPr>
                    <w:t xml:space="preserve"> iekļauts klasifikācijas sistēmā, lai līdzsvarotu vispārīgo principu, kā tiek vērtēta darba samaksa, tas ir – neizdalot tos strādājošos, kuri tiek nodarbināti tieši būvdarbu veikšanā. Tā kā būvniecībā, atbilstoši VID un Centrālās statistikas pārvaldes </w:t>
                  </w:r>
                  <w:r w:rsidR="00591B98">
                    <w:rPr>
                      <w:rFonts w:eastAsia="Times New Roman" w:cs="Times New Roman"/>
                      <w:sz w:val="24"/>
                      <w:szCs w:val="24"/>
                      <w:lang w:eastAsia="lv-LV"/>
                    </w:rPr>
                    <w:t xml:space="preserve">datiem, </w:t>
                  </w:r>
                  <w:r w:rsidRPr="002F2208">
                    <w:rPr>
                      <w:rFonts w:eastAsia="Times New Roman" w:cs="Times New Roman"/>
                      <w:sz w:val="24"/>
                      <w:szCs w:val="24"/>
                      <w:lang w:eastAsia="lv-LV"/>
                    </w:rPr>
                    <w:t>darba samaks</w:t>
                  </w:r>
                  <w:r w:rsidR="00591B98">
                    <w:rPr>
                      <w:rFonts w:eastAsia="Times New Roman" w:cs="Times New Roman"/>
                      <w:sz w:val="24"/>
                      <w:szCs w:val="24"/>
                      <w:lang w:eastAsia="lv-LV"/>
                    </w:rPr>
                    <w:t xml:space="preserve">a ir </w:t>
                  </w:r>
                  <w:r w:rsidRPr="002F2208">
                    <w:rPr>
                      <w:rFonts w:eastAsia="Times New Roman" w:cs="Times New Roman"/>
                      <w:sz w:val="24"/>
                      <w:szCs w:val="24"/>
                      <w:lang w:eastAsia="lv-LV"/>
                    </w:rPr>
                    <w:t xml:space="preserve"> </w:t>
                  </w:r>
                  <w:r w:rsidR="00591B98">
                    <w:rPr>
                      <w:rFonts w:eastAsia="Times New Roman" w:cs="Times New Roman"/>
                      <w:sz w:val="24"/>
                      <w:szCs w:val="24"/>
                      <w:lang w:eastAsia="lv-LV"/>
                    </w:rPr>
                    <w:t xml:space="preserve">zem vidējās </w:t>
                  </w:r>
                  <w:r w:rsidRPr="002F2208">
                    <w:rPr>
                      <w:rFonts w:eastAsia="Times New Roman" w:cs="Times New Roman"/>
                      <w:sz w:val="24"/>
                      <w:szCs w:val="24"/>
                      <w:lang w:eastAsia="lv-LV"/>
                    </w:rPr>
                    <w:t>Latvijā, tad daudznozaru uzņēmumiem ir mazāka iespēja saņemt korekciju darba samaksas vērtējumā (8.</w:t>
                  </w:r>
                  <w:r w:rsidR="00BA326E">
                    <w:rPr>
                      <w:rFonts w:eastAsia="Times New Roman" w:cs="Times New Roman"/>
                      <w:sz w:val="24"/>
                      <w:szCs w:val="24"/>
                      <w:lang w:eastAsia="lv-LV"/>
                    </w:rPr>
                    <w:t> </w:t>
                  </w:r>
                  <w:r w:rsidRPr="002F2208">
                    <w:rPr>
                      <w:rFonts w:eastAsia="Times New Roman" w:cs="Times New Roman"/>
                      <w:sz w:val="24"/>
                      <w:szCs w:val="24"/>
                      <w:lang w:eastAsia="lv-LV"/>
                    </w:rPr>
                    <w:t>kritērijs). Arī nozarei raksturīgie likviditātes un finanšu līdzsvara rādītāji (6. un 7.</w:t>
                  </w:r>
                  <w:r w:rsidR="00BE6E26">
                    <w:rPr>
                      <w:rFonts w:eastAsia="Times New Roman" w:cs="Times New Roman"/>
                      <w:sz w:val="24"/>
                      <w:szCs w:val="24"/>
                      <w:lang w:eastAsia="lv-LV"/>
                    </w:rPr>
                    <w:t> </w:t>
                  </w:r>
                  <w:r w:rsidRPr="002F2208">
                    <w:rPr>
                      <w:rFonts w:eastAsia="Times New Roman" w:cs="Times New Roman"/>
                      <w:sz w:val="24"/>
                      <w:szCs w:val="24"/>
                      <w:lang w:eastAsia="lv-LV"/>
                    </w:rPr>
                    <w:t xml:space="preserve">kritērijs) var atšķirties būvniecībā un citās saimnieciskās darbības nozarēs. Šo vērtējumu bija paredzēts svītrot no noteikumiem Nr.211 līdz ar darba samaksas atbilstības vērtējuma precizēšanu no visu nodarbināto darba samaksas vērtējuma uz būvniecībā nodarbināto personu darba samaksas atbilstības vērtējumu. </w:t>
                  </w:r>
                </w:p>
                <w:p w:rsidR="00612348" w:rsidP="00591B98" w14:paraId="0AEF4848" w14:textId="77777777">
                  <w:pPr>
                    <w:jc w:val="both"/>
                    <w:rPr>
                      <w:rFonts w:eastAsia="Times New Roman" w:cs="Times New Roman"/>
                      <w:sz w:val="24"/>
                      <w:szCs w:val="24"/>
                      <w:lang w:eastAsia="lv-LV"/>
                    </w:rPr>
                  </w:pPr>
                  <w:r w:rsidRPr="00BE6E26">
                    <w:rPr>
                      <w:rFonts w:eastAsia="Times New Roman" w:cs="Times New Roman"/>
                      <w:sz w:val="24"/>
                      <w:szCs w:val="24"/>
                      <w:lang w:eastAsia="lv-LV"/>
                    </w:rPr>
                    <w:t>Tomēr diskusijās par klasifikācijas sistēmas izveidi kritēriju svītrot rosinājusi arī Finanšu ministrija, norādot, ka Direktīva 2014/24/ES šādu vērtējumu publisko iepirkumu pretendentiem neparedz.</w:t>
                  </w:r>
                </w:p>
                <w:p w:rsidR="008519B5" w:rsidRPr="008519B5" w:rsidP="009E5BC9" w14:paraId="3C5517AD" w14:textId="74019121">
                  <w:pPr>
                    <w:pStyle w:val="ListParagraph"/>
                    <w:numPr>
                      <w:ilvl w:val="0"/>
                      <w:numId w:val="3"/>
                    </w:numPr>
                    <w:tabs>
                      <w:tab w:val="left" w:pos="640"/>
                    </w:tabs>
                    <w:ind w:left="71" w:firstLine="0"/>
                    <w:jc w:val="both"/>
                    <w:rPr>
                      <w:rFonts w:eastAsia="Times New Roman" w:cs="Times New Roman"/>
                      <w:sz w:val="24"/>
                      <w:szCs w:val="24"/>
                      <w:lang w:eastAsia="lv-LV"/>
                    </w:rPr>
                  </w:pPr>
                  <w:r>
                    <w:rPr>
                      <w:rFonts w:eastAsia="Times New Roman" w:cs="Times New Roman"/>
                      <w:sz w:val="24"/>
                      <w:szCs w:val="24"/>
                      <w:lang w:eastAsia="lv-LV"/>
                    </w:rPr>
                    <w:t>lai visiem būvuzņēmumiem būtu iespēja piedalīties publiskajos iepirkumos</w:t>
                  </w:r>
                  <w:r w:rsidR="005E76EB">
                    <w:rPr>
                      <w:rFonts w:eastAsia="Times New Roman" w:cs="Times New Roman"/>
                      <w:sz w:val="24"/>
                      <w:szCs w:val="24"/>
                      <w:lang w:eastAsia="lv-LV"/>
                    </w:rPr>
                    <w:t xml:space="preserve"> un lai veicinātu jaunu būvuzņēmumu iekļaušanos būvniecības pakalpojumu tirgū</w:t>
                  </w:r>
                  <w:r>
                    <w:rPr>
                      <w:rFonts w:eastAsia="Times New Roman" w:cs="Times New Roman"/>
                      <w:sz w:val="24"/>
                      <w:szCs w:val="24"/>
                      <w:lang w:eastAsia="lv-LV"/>
                    </w:rPr>
                    <w:t>, klasificēt arī tos būvuzņēmumus, kuri ir reģistrēti būvkomersantu reģistrā mazāk nekā vienu gadu</w:t>
                  </w:r>
                  <w:r w:rsidR="005E76EB">
                    <w:rPr>
                      <w:rFonts w:eastAsia="Times New Roman" w:cs="Times New Roman"/>
                      <w:sz w:val="24"/>
                      <w:szCs w:val="24"/>
                      <w:lang w:eastAsia="lv-LV"/>
                    </w:rPr>
                    <w:t>;</w:t>
                  </w:r>
                  <w:r>
                    <w:rPr>
                      <w:rFonts w:eastAsia="Times New Roman" w:cs="Times New Roman"/>
                      <w:sz w:val="24"/>
                      <w:szCs w:val="24"/>
                      <w:lang w:eastAsia="lv-LV"/>
                    </w:rPr>
                    <w:t xml:space="preserve"> ņemot vērā, ka šādi būvuzņēmumi līdz vienam darbības gadam ir vēl darbības attīstības procesā</w:t>
                  </w:r>
                  <w:r w:rsidR="00AB68C9">
                    <w:rPr>
                      <w:rFonts w:eastAsia="Times New Roman" w:cs="Times New Roman"/>
                      <w:sz w:val="24"/>
                      <w:szCs w:val="24"/>
                      <w:lang w:eastAsia="lv-LV"/>
                    </w:rPr>
                    <w:t xml:space="preserve"> un līdz ar to nevar nodrošināt darbības rezultatīvos rādītājus</w:t>
                  </w:r>
                  <w:r>
                    <w:rPr>
                      <w:rFonts w:eastAsia="Times New Roman" w:cs="Times New Roman"/>
                      <w:sz w:val="24"/>
                      <w:szCs w:val="24"/>
                      <w:lang w:eastAsia="lv-LV"/>
                    </w:rPr>
                    <w:t>, vispārējo klasificēšanas kritēriju piemērošana</w:t>
                  </w:r>
                  <w:r w:rsidR="00AB68C9">
                    <w:rPr>
                      <w:rFonts w:eastAsia="Times New Roman" w:cs="Times New Roman"/>
                      <w:sz w:val="24"/>
                      <w:szCs w:val="24"/>
                      <w:lang w:eastAsia="lv-LV"/>
                    </w:rPr>
                    <w:t xml:space="preserve"> uz</w:t>
                  </w:r>
                  <w:r>
                    <w:rPr>
                      <w:rFonts w:eastAsia="Times New Roman" w:cs="Times New Roman"/>
                      <w:sz w:val="24"/>
                      <w:szCs w:val="24"/>
                      <w:lang w:eastAsia="lv-LV"/>
                    </w:rPr>
                    <w:t xml:space="preserve"> tiem</w:t>
                  </w:r>
                  <w:r w:rsidR="00AB68C9">
                    <w:rPr>
                      <w:rFonts w:eastAsia="Times New Roman" w:cs="Times New Roman"/>
                      <w:sz w:val="24"/>
                      <w:szCs w:val="24"/>
                      <w:lang w:eastAsia="lv-LV"/>
                    </w:rPr>
                    <w:t xml:space="preserve"> netiks attiecināta, bet tiem tiks </w:t>
                  </w:r>
                  <w:r>
                    <w:rPr>
                      <w:rFonts w:eastAsia="Times New Roman" w:cs="Times New Roman"/>
                      <w:sz w:val="24"/>
                      <w:szCs w:val="24"/>
                      <w:lang w:eastAsia="lv-LV"/>
                    </w:rPr>
                    <w:t>piešķirt</w:t>
                  </w:r>
                  <w:r w:rsidR="00AB68C9">
                    <w:rPr>
                      <w:rFonts w:eastAsia="Times New Roman" w:cs="Times New Roman"/>
                      <w:sz w:val="24"/>
                      <w:szCs w:val="24"/>
                      <w:lang w:eastAsia="lv-LV"/>
                    </w:rPr>
                    <w:t>a</w:t>
                  </w:r>
                  <w:r>
                    <w:rPr>
                      <w:rFonts w:eastAsia="Times New Roman" w:cs="Times New Roman"/>
                      <w:sz w:val="24"/>
                      <w:szCs w:val="24"/>
                      <w:lang w:eastAsia="lv-LV"/>
                    </w:rPr>
                    <w:t xml:space="preserve"> </w:t>
                  </w:r>
                  <w:r w:rsidR="005E76EB">
                    <w:rPr>
                      <w:rFonts w:eastAsia="Times New Roman" w:cs="Times New Roman"/>
                      <w:sz w:val="24"/>
                      <w:szCs w:val="24"/>
                      <w:lang w:eastAsia="lv-LV"/>
                    </w:rPr>
                    <w:t>zemākā klase (</w:t>
                  </w:r>
                  <w:r>
                    <w:rPr>
                      <w:rFonts w:eastAsia="Times New Roman" w:cs="Times New Roman"/>
                      <w:sz w:val="24"/>
                      <w:szCs w:val="24"/>
                      <w:lang w:eastAsia="lv-LV"/>
                    </w:rPr>
                    <w:t>5.klas</w:t>
                  </w:r>
                  <w:r w:rsidR="00AB68C9">
                    <w:rPr>
                      <w:rFonts w:eastAsia="Times New Roman" w:cs="Times New Roman"/>
                      <w:sz w:val="24"/>
                      <w:szCs w:val="24"/>
                      <w:lang w:eastAsia="lv-LV"/>
                    </w:rPr>
                    <w:t>e</w:t>
                  </w:r>
                  <w:r w:rsidR="005E76EB">
                    <w:rPr>
                      <w:rFonts w:eastAsia="Times New Roman" w:cs="Times New Roman"/>
                      <w:sz w:val="24"/>
                      <w:szCs w:val="24"/>
                      <w:lang w:eastAsia="lv-LV"/>
                    </w:rPr>
                    <w:t>).</w:t>
                  </w:r>
                </w:p>
              </w:tc>
            </w:tr>
            <w:tr w14:paraId="56755199"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12B336E4" w14:textId="77777777">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004D7710" w14:textId="77777777">
                  <w:pPr>
                    <w:rPr>
                      <w:rFonts w:eastAsia="Times New Roman" w:cs="Times New Roman"/>
                      <w:sz w:val="24"/>
                      <w:szCs w:val="24"/>
                      <w:lang w:eastAsia="lv-LV"/>
                    </w:rPr>
                  </w:pPr>
                  <w:r w:rsidRPr="00B34185">
                    <w:rPr>
                      <w:rFonts w:eastAsia="Times New Roman" w:cs="Times New Roman"/>
                      <w:sz w:val="24"/>
                      <w:szCs w:val="24"/>
                      <w:lang w:eastAsia="lv-LV"/>
                    </w:rPr>
                    <w:t>Projekta izstrādē iesaistītās institūcijas</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767569" w:rsidRPr="003300C8" w:rsidP="00885107" w14:paraId="36DD5710" w14:textId="77777777">
                  <w:pPr>
                    <w:jc w:val="both"/>
                    <w:rPr>
                      <w:rFonts w:eastAsia="Times New Roman" w:cs="Times New Roman"/>
                      <w:sz w:val="24"/>
                      <w:szCs w:val="24"/>
                      <w:lang w:eastAsia="lv-LV"/>
                    </w:rPr>
                  </w:pPr>
                  <w:r w:rsidRPr="003300C8">
                    <w:rPr>
                      <w:rFonts w:eastAsia="Times New Roman" w:cs="Times New Roman"/>
                      <w:sz w:val="24"/>
                      <w:szCs w:val="24"/>
                      <w:lang w:eastAsia="lv-LV"/>
                    </w:rPr>
                    <w:t>Latvijas Būvniecības padome</w:t>
                  </w:r>
                  <w:r w:rsidRPr="003300C8" w:rsidR="003B72B6">
                    <w:rPr>
                      <w:rFonts w:eastAsia="Times New Roman" w:cs="Times New Roman"/>
                      <w:sz w:val="24"/>
                      <w:szCs w:val="24"/>
                      <w:lang w:eastAsia="lv-LV"/>
                    </w:rPr>
                    <w:t xml:space="preserve"> 201</w:t>
                  </w:r>
                  <w:r w:rsidRPr="003300C8" w:rsidR="00DD356D">
                    <w:rPr>
                      <w:rFonts w:eastAsia="Times New Roman" w:cs="Times New Roman"/>
                      <w:sz w:val="24"/>
                      <w:szCs w:val="24"/>
                      <w:lang w:eastAsia="lv-LV"/>
                    </w:rPr>
                    <w:t>7</w:t>
                  </w:r>
                  <w:r w:rsidRPr="003300C8" w:rsidR="003B72B6">
                    <w:rPr>
                      <w:rFonts w:eastAsia="Times New Roman" w:cs="Times New Roman"/>
                      <w:sz w:val="24"/>
                      <w:szCs w:val="24"/>
                      <w:lang w:eastAsia="lv-LV"/>
                    </w:rPr>
                    <w:t>.</w:t>
                  </w:r>
                  <w:r w:rsidRPr="003300C8" w:rsidR="00BA325E">
                    <w:rPr>
                      <w:rFonts w:eastAsia="Times New Roman" w:cs="Times New Roman"/>
                      <w:sz w:val="24"/>
                      <w:szCs w:val="24"/>
                      <w:lang w:eastAsia="lv-LV"/>
                    </w:rPr>
                    <w:t> </w:t>
                  </w:r>
                  <w:r w:rsidRPr="003300C8" w:rsidR="003B72B6">
                    <w:rPr>
                      <w:rFonts w:eastAsia="Times New Roman" w:cs="Times New Roman"/>
                      <w:sz w:val="24"/>
                      <w:szCs w:val="24"/>
                      <w:lang w:eastAsia="lv-LV"/>
                    </w:rPr>
                    <w:t>gada 1</w:t>
                  </w:r>
                  <w:r w:rsidRPr="003300C8">
                    <w:rPr>
                      <w:rFonts w:eastAsia="Times New Roman" w:cs="Times New Roman"/>
                      <w:sz w:val="24"/>
                      <w:szCs w:val="24"/>
                      <w:lang w:eastAsia="lv-LV"/>
                    </w:rPr>
                    <w:t>4</w:t>
                  </w:r>
                  <w:r w:rsidRPr="003300C8" w:rsidR="003B72B6">
                    <w:rPr>
                      <w:rFonts w:eastAsia="Times New Roman" w:cs="Times New Roman"/>
                      <w:sz w:val="24"/>
                      <w:szCs w:val="24"/>
                      <w:lang w:eastAsia="lv-LV"/>
                    </w:rPr>
                    <w:t>.</w:t>
                  </w:r>
                  <w:r w:rsidRPr="003300C8" w:rsidR="00BA325E">
                    <w:rPr>
                      <w:rFonts w:eastAsia="Times New Roman" w:cs="Times New Roman"/>
                      <w:sz w:val="24"/>
                      <w:szCs w:val="24"/>
                      <w:lang w:eastAsia="lv-LV"/>
                    </w:rPr>
                    <w:t> </w:t>
                  </w:r>
                  <w:r w:rsidRPr="003300C8" w:rsidR="00DD356D">
                    <w:rPr>
                      <w:rFonts w:eastAsia="Times New Roman" w:cs="Times New Roman"/>
                      <w:sz w:val="24"/>
                      <w:szCs w:val="24"/>
                      <w:lang w:eastAsia="lv-LV"/>
                    </w:rPr>
                    <w:t>jūnija</w:t>
                  </w:r>
                  <w:r w:rsidRPr="003300C8" w:rsidR="003B72B6">
                    <w:rPr>
                      <w:rFonts w:eastAsia="Times New Roman" w:cs="Times New Roman"/>
                      <w:sz w:val="24"/>
                      <w:szCs w:val="24"/>
                      <w:lang w:eastAsia="lv-LV"/>
                    </w:rPr>
                    <w:t xml:space="preserve"> sēdē </w:t>
                  </w:r>
                  <w:r w:rsidRPr="003300C8">
                    <w:rPr>
                      <w:rFonts w:eastAsia="Times New Roman" w:cs="Times New Roman"/>
                      <w:sz w:val="24"/>
                      <w:szCs w:val="24"/>
                      <w:lang w:eastAsia="lv-LV"/>
                    </w:rPr>
                    <w:t xml:space="preserve">lēma par </w:t>
                  </w:r>
                  <w:r w:rsidRPr="003300C8" w:rsidR="003B72B6">
                    <w:rPr>
                      <w:rFonts w:eastAsia="Times New Roman" w:cs="Times New Roman"/>
                      <w:sz w:val="24"/>
                      <w:szCs w:val="24"/>
                      <w:lang w:eastAsia="lv-LV"/>
                    </w:rPr>
                    <w:t xml:space="preserve">darba grupas </w:t>
                  </w:r>
                  <w:r w:rsidRPr="003300C8">
                    <w:rPr>
                      <w:rFonts w:eastAsia="Times New Roman" w:cs="Times New Roman"/>
                      <w:sz w:val="24"/>
                      <w:szCs w:val="24"/>
                      <w:lang w:eastAsia="lv-LV"/>
                    </w:rPr>
                    <w:t>izveidi (14.06.2017. sēd</w:t>
                  </w:r>
                  <w:r w:rsidRPr="003300C8" w:rsidR="003300C8">
                    <w:rPr>
                      <w:rFonts w:eastAsia="Times New Roman" w:cs="Times New Roman"/>
                      <w:sz w:val="24"/>
                      <w:szCs w:val="24"/>
                      <w:lang w:eastAsia="lv-LV"/>
                    </w:rPr>
                    <w:t>es</w:t>
                  </w:r>
                  <w:r w:rsidRPr="003300C8">
                    <w:rPr>
                      <w:rFonts w:eastAsia="Times New Roman" w:cs="Times New Roman"/>
                      <w:sz w:val="24"/>
                      <w:szCs w:val="24"/>
                      <w:lang w:eastAsia="lv-LV"/>
                    </w:rPr>
                    <w:t xml:space="preserve"> darba kārtības 2.2.jautājum</w:t>
                  </w:r>
                  <w:r w:rsidRPr="003300C8" w:rsidR="003300C8">
                    <w:rPr>
                      <w:rFonts w:eastAsia="Times New Roman" w:cs="Times New Roman"/>
                      <w:sz w:val="24"/>
                      <w:szCs w:val="24"/>
                      <w:lang w:eastAsia="lv-LV"/>
                    </w:rPr>
                    <w:t>a</w:t>
                  </w:r>
                  <w:r w:rsidRPr="003300C8">
                    <w:rPr>
                      <w:rFonts w:eastAsia="Times New Roman" w:cs="Times New Roman"/>
                      <w:sz w:val="24"/>
                      <w:szCs w:val="24"/>
                      <w:lang w:eastAsia="lv-LV"/>
                    </w:rPr>
                    <w:t xml:space="preserve"> </w:t>
                  </w:r>
                  <w:r w:rsidRPr="003300C8" w:rsidR="003300C8">
                    <w:rPr>
                      <w:rFonts w:eastAsia="Times New Roman" w:cs="Times New Roman"/>
                      <w:sz w:val="24"/>
                      <w:szCs w:val="24"/>
                      <w:lang w:eastAsia="lv-LV"/>
                    </w:rPr>
                    <w:t>lēmums Nr.4)</w:t>
                  </w:r>
                  <w:r w:rsidRPr="003300C8">
                    <w:rPr>
                      <w:rFonts w:eastAsia="Times New Roman" w:cs="Times New Roman"/>
                      <w:sz w:val="24"/>
                      <w:szCs w:val="24"/>
                      <w:lang w:eastAsia="lv-LV"/>
                    </w:rPr>
                    <w:t xml:space="preserve">, </w:t>
                  </w:r>
                  <w:r w:rsidRPr="003300C8" w:rsidR="003300C8">
                    <w:rPr>
                      <w:rFonts w:eastAsia="Times New Roman" w:cs="Times New Roman"/>
                      <w:sz w:val="24"/>
                      <w:szCs w:val="24"/>
                      <w:lang w:eastAsia="lv-LV"/>
                    </w:rPr>
                    <w:t xml:space="preserve">kurā piedalījās </w:t>
                  </w:r>
                  <w:r w:rsidRPr="003300C8" w:rsidR="003B72B6">
                    <w:rPr>
                      <w:rFonts w:eastAsia="Times New Roman" w:cs="Times New Roman"/>
                      <w:sz w:val="24"/>
                      <w:szCs w:val="24"/>
                      <w:lang w:eastAsia="lv-LV"/>
                    </w:rPr>
                    <w:t xml:space="preserve">pārstāvji no </w:t>
                  </w:r>
                  <w:r w:rsidRPr="003300C8" w:rsidR="003300C8">
                    <w:rPr>
                      <w:rFonts w:eastAsia="Times New Roman" w:cs="Times New Roman"/>
                      <w:sz w:val="24"/>
                      <w:szCs w:val="24"/>
                      <w:lang w:eastAsia="lv-LV"/>
                    </w:rPr>
                    <w:t xml:space="preserve">septiņām </w:t>
                  </w:r>
                  <w:r w:rsidRPr="003300C8" w:rsidR="003B72B6">
                    <w:rPr>
                      <w:rFonts w:eastAsia="Times New Roman" w:cs="Times New Roman"/>
                      <w:sz w:val="24"/>
                      <w:szCs w:val="24"/>
                      <w:lang w:eastAsia="lv-LV"/>
                    </w:rPr>
                    <w:t>sabiedriskajām organizācijām</w:t>
                  </w:r>
                  <w:r w:rsidR="003300C8">
                    <w:rPr>
                      <w:rFonts w:eastAsia="Times New Roman" w:cs="Times New Roman"/>
                      <w:sz w:val="24"/>
                      <w:szCs w:val="24"/>
                      <w:lang w:eastAsia="lv-LV"/>
                    </w:rPr>
                    <w:t xml:space="preserve"> un to pieaicinātie speciālisti un būvniecības nozares uzņēmēji</w:t>
                  </w:r>
                  <w:r w:rsidRPr="003300C8" w:rsidR="003B72B6">
                    <w:rPr>
                      <w:rFonts w:eastAsia="Times New Roman" w:cs="Times New Roman"/>
                      <w:sz w:val="24"/>
                      <w:szCs w:val="24"/>
                      <w:lang w:eastAsia="lv-LV"/>
                    </w:rPr>
                    <w:t>:</w:t>
                  </w:r>
                </w:p>
                <w:p w:rsidR="003300C8" w:rsidRPr="003300C8" w:rsidP="003300C8" w14:paraId="6461C7C5" w14:textId="77777777">
                  <w:pPr>
                    <w:rPr>
                      <w:rFonts w:eastAsia="Times New Roman" w:cs="Times New Roman"/>
                      <w:sz w:val="24"/>
                      <w:szCs w:val="24"/>
                      <w:lang w:eastAsia="lv-LV"/>
                    </w:rPr>
                  </w:pPr>
                  <w:r w:rsidRPr="003300C8">
                    <w:rPr>
                      <w:rFonts w:eastAsia="Times New Roman" w:cs="Times New Roman"/>
                      <w:sz w:val="24"/>
                      <w:szCs w:val="24"/>
                      <w:lang w:eastAsia="lv-LV"/>
                    </w:rPr>
                    <w:t>- biedrība “Latvijas Tirdzniecības un Rūpniecības kamera”,</w:t>
                  </w:r>
                </w:p>
                <w:p w:rsidR="00BA325E" w:rsidRPr="003300C8" w:rsidP="003B72B6" w14:paraId="1639B952" w14:textId="77777777">
                  <w:pPr>
                    <w:rPr>
                      <w:rFonts w:eastAsia="Times New Roman" w:cs="Times New Roman"/>
                      <w:sz w:val="24"/>
                      <w:szCs w:val="24"/>
                      <w:lang w:eastAsia="lv-LV"/>
                    </w:rPr>
                  </w:pPr>
                  <w:r w:rsidRPr="003300C8">
                    <w:rPr>
                      <w:rFonts w:eastAsia="Times New Roman" w:cs="Times New Roman"/>
                      <w:sz w:val="24"/>
                      <w:szCs w:val="24"/>
                      <w:lang w:eastAsia="lv-LV"/>
                    </w:rPr>
                    <w:t>- biedrība “Latvijas Būvuzņēmēju partnerība”,</w:t>
                  </w:r>
                </w:p>
                <w:p w:rsidR="00BA325E" w:rsidRPr="0037133D" w:rsidP="003B72B6" w14:paraId="3F872FB8" w14:textId="77777777">
                  <w:pPr>
                    <w:rPr>
                      <w:rFonts w:eastAsia="Times New Roman" w:cs="Times New Roman"/>
                      <w:sz w:val="24"/>
                      <w:szCs w:val="24"/>
                      <w:highlight w:val="yellow"/>
                      <w:lang w:eastAsia="lv-LV"/>
                    </w:rPr>
                  </w:pPr>
                  <w:r w:rsidRPr="003300C8">
                    <w:rPr>
                      <w:rFonts w:eastAsia="Times New Roman" w:cs="Times New Roman"/>
                      <w:sz w:val="24"/>
                      <w:szCs w:val="24"/>
                      <w:lang w:eastAsia="lv-LV"/>
                    </w:rPr>
                    <w:t>- biedrība “</w:t>
                  </w:r>
                  <w:r w:rsidRPr="003300C8" w:rsidR="003300C8">
                    <w:rPr>
                      <w:rFonts w:eastAsia="Times New Roman" w:cs="Times New Roman"/>
                      <w:sz w:val="24"/>
                      <w:szCs w:val="24"/>
                      <w:lang w:eastAsia="lv-LV"/>
                    </w:rPr>
                    <w:t>Latvijas Siltuma, gāzes un ūdens tehnoloģijas inženieru savienība</w:t>
                  </w:r>
                  <w:r w:rsidRPr="003300C8">
                    <w:rPr>
                      <w:rFonts w:eastAsia="Times New Roman" w:cs="Times New Roman"/>
                      <w:sz w:val="24"/>
                      <w:szCs w:val="24"/>
                      <w:lang w:eastAsia="lv-LV"/>
                    </w:rPr>
                    <w:t>”,</w:t>
                  </w:r>
                </w:p>
                <w:p w:rsidR="00BA325E" w:rsidRPr="003300C8" w:rsidP="00BA325E" w14:paraId="403E70C6" w14:textId="77777777">
                  <w:pPr>
                    <w:rPr>
                      <w:rFonts w:eastAsia="Times New Roman" w:cs="Times New Roman"/>
                      <w:sz w:val="24"/>
                      <w:szCs w:val="24"/>
                      <w:lang w:eastAsia="lv-LV"/>
                    </w:rPr>
                  </w:pPr>
                  <w:r w:rsidRPr="003300C8">
                    <w:rPr>
                      <w:rFonts w:eastAsia="Times New Roman" w:cs="Times New Roman"/>
                      <w:sz w:val="24"/>
                      <w:szCs w:val="24"/>
                      <w:lang w:eastAsia="lv-LV"/>
                    </w:rPr>
                    <w:t xml:space="preserve">- biedrība “Latvijas </w:t>
                  </w:r>
                  <w:r w:rsidRPr="003300C8" w:rsidR="002D63DA">
                    <w:rPr>
                      <w:rFonts w:eastAsia="Times New Roman" w:cs="Times New Roman"/>
                      <w:sz w:val="24"/>
                      <w:szCs w:val="24"/>
                      <w:lang w:eastAsia="lv-LV"/>
                    </w:rPr>
                    <w:t>Ilgtspējīgas būvniecības padome</w:t>
                  </w:r>
                  <w:r w:rsidRPr="003300C8">
                    <w:rPr>
                      <w:rFonts w:eastAsia="Times New Roman" w:cs="Times New Roman"/>
                      <w:sz w:val="24"/>
                      <w:szCs w:val="24"/>
                      <w:lang w:eastAsia="lv-LV"/>
                    </w:rPr>
                    <w:t>”,</w:t>
                  </w:r>
                </w:p>
                <w:p w:rsidR="003B72B6" w:rsidRPr="003300C8" w:rsidP="00BA325E" w14:paraId="367927FC" w14:textId="77777777">
                  <w:pPr>
                    <w:rPr>
                      <w:rFonts w:eastAsia="Times New Roman" w:cs="Times New Roman"/>
                      <w:sz w:val="24"/>
                      <w:szCs w:val="24"/>
                      <w:lang w:eastAsia="lv-LV"/>
                    </w:rPr>
                  </w:pPr>
                  <w:r w:rsidRPr="003300C8">
                    <w:rPr>
                      <w:rFonts w:eastAsia="Times New Roman" w:cs="Times New Roman"/>
                      <w:sz w:val="24"/>
                      <w:szCs w:val="24"/>
                      <w:lang w:eastAsia="lv-LV"/>
                    </w:rPr>
                    <w:t>- biedrība</w:t>
                  </w:r>
                  <w:r w:rsidRPr="003300C8" w:rsidR="003300C8">
                    <w:rPr>
                      <w:rFonts w:eastAsia="Times New Roman" w:cs="Times New Roman"/>
                      <w:sz w:val="24"/>
                      <w:szCs w:val="24"/>
                      <w:lang w:eastAsia="lv-LV"/>
                    </w:rPr>
                    <w:t xml:space="preserve"> “Latvijas Būvnieku asociācija”;</w:t>
                  </w:r>
                </w:p>
                <w:p w:rsidR="003300C8" w:rsidP="00BA325E" w14:paraId="60FFB008" w14:textId="77777777">
                  <w:pPr>
                    <w:rPr>
                      <w:rFonts w:eastAsia="Times New Roman" w:cs="Times New Roman"/>
                      <w:sz w:val="24"/>
                      <w:szCs w:val="24"/>
                      <w:lang w:eastAsia="lv-LV"/>
                    </w:rPr>
                  </w:pPr>
                  <w:r w:rsidRPr="003300C8">
                    <w:rPr>
                      <w:rFonts w:eastAsia="Times New Roman" w:cs="Times New Roman"/>
                      <w:sz w:val="24"/>
                      <w:szCs w:val="24"/>
                      <w:lang w:eastAsia="lv-LV"/>
                    </w:rPr>
                    <w:t>- b</w:t>
                  </w:r>
                  <w:r w:rsidRPr="003300C8" w:rsidR="00BA325E">
                    <w:rPr>
                      <w:rFonts w:eastAsia="Times New Roman" w:cs="Times New Roman"/>
                      <w:sz w:val="24"/>
                      <w:szCs w:val="24"/>
                      <w:lang w:eastAsia="lv-LV"/>
                    </w:rPr>
                    <w:t>iedrība “Latvijas Ceļu būvnieks”</w:t>
                  </w:r>
                  <w:r w:rsidRPr="003300C8" w:rsidR="001D5C80">
                    <w:rPr>
                      <w:rFonts w:eastAsia="Times New Roman" w:cs="Times New Roman"/>
                      <w:sz w:val="24"/>
                      <w:szCs w:val="24"/>
                      <w:lang w:eastAsia="lv-LV"/>
                    </w:rPr>
                    <w:t xml:space="preserve">, </w:t>
                  </w:r>
                </w:p>
                <w:p w:rsidR="003300C8" w:rsidP="003300C8" w14:paraId="4C1119AB" w14:textId="77777777">
                  <w:pPr>
                    <w:rPr>
                      <w:rFonts w:eastAsia="Times New Roman" w:cs="Times New Roman"/>
                      <w:sz w:val="24"/>
                      <w:szCs w:val="24"/>
                      <w:lang w:eastAsia="lv-LV"/>
                    </w:rPr>
                  </w:pPr>
                  <w:r>
                    <w:rPr>
                      <w:rFonts w:eastAsia="Times New Roman" w:cs="Times New Roman"/>
                      <w:sz w:val="24"/>
                      <w:szCs w:val="24"/>
                      <w:lang w:eastAsia="lv-LV"/>
                    </w:rPr>
                    <w:t>- biedrība “</w:t>
                  </w:r>
                  <w:r w:rsidRPr="003300C8">
                    <w:rPr>
                      <w:rFonts w:eastAsia="Times New Roman" w:cs="Times New Roman"/>
                      <w:sz w:val="24"/>
                      <w:szCs w:val="24"/>
                      <w:lang w:eastAsia="lv-LV"/>
                    </w:rPr>
                    <w:t>Latvijas hidromelioratīvo būvnieku asociācija</w:t>
                  </w:r>
                  <w:r>
                    <w:rPr>
                      <w:rFonts w:eastAsia="Times New Roman" w:cs="Times New Roman"/>
                      <w:sz w:val="24"/>
                      <w:szCs w:val="24"/>
                      <w:lang w:eastAsia="lv-LV"/>
                    </w:rPr>
                    <w:t>”.</w:t>
                  </w:r>
                </w:p>
                <w:p w:rsidR="003300C8" w:rsidRPr="003300C8" w:rsidP="00BA325E" w14:paraId="47128B23" w14:textId="77777777">
                  <w:pPr>
                    <w:rPr>
                      <w:rFonts w:eastAsia="Times New Roman" w:cs="Times New Roman"/>
                      <w:sz w:val="24"/>
                      <w:szCs w:val="24"/>
                      <w:lang w:eastAsia="lv-LV"/>
                    </w:rPr>
                  </w:pPr>
                  <w:r>
                    <w:rPr>
                      <w:rFonts w:eastAsia="Times New Roman" w:cs="Times New Roman"/>
                      <w:sz w:val="24"/>
                      <w:szCs w:val="24"/>
                      <w:lang w:eastAsia="lv-LV"/>
                    </w:rPr>
                    <w:t xml:space="preserve">Pieaicināti arī VID un VRAA pārstāvji. </w:t>
                  </w:r>
                </w:p>
                <w:p w:rsidR="00BA325E" w:rsidRPr="00B34185" w:rsidP="00BA325E" w14:paraId="2D70ABA3" w14:textId="77777777">
                  <w:pPr>
                    <w:rPr>
                      <w:rFonts w:eastAsia="Times New Roman" w:cs="Times New Roman"/>
                      <w:sz w:val="24"/>
                      <w:szCs w:val="24"/>
                      <w:lang w:eastAsia="lv-LV"/>
                    </w:rPr>
                  </w:pPr>
                </w:p>
              </w:tc>
            </w:tr>
            <w:tr w14:paraId="79769663" w14:textId="77777777" w:rsidTr="009D1C48">
              <w:tblPrEx>
                <w:tblW w:w="8841" w:type="dxa"/>
                <w:tblLayout w:type="fixed"/>
                <w:tblCellMar>
                  <w:top w:w="20" w:type="dxa"/>
                  <w:left w:w="20" w:type="dxa"/>
                  <w:bottom w:w="20" w:type="dxa"/>
                  <w:right w:w="20" w:type="dxa"/>
                </w:tblCellMar>
                <w:tblLook w:val="04A0"/>
              </w:tblPrEx>
              <w:trPr>
                <w:gridAfter w:val="1"/>
                <w:wAfter w:w="60" w:type="dxa"/>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6DC83C10" w14:textId="77777777">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35B517B7" w14:textId="77777777">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26091" w14:paraId="7F5BA284" w14:textId="77777777">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14:paraId="513CDFC4" w14:textId="77777777" w:rsidTr="009D1C48">
              <w:tblPrEx>
                <w:tblW w:w="8841" w:type="dxa"/>
                <w:tblLayout w:type="fixed"/>
                <w:tblCellMar>
                  <w:top w:w="20" w:type="dxa"/>
                  <w:left w:w="20" w:type="dxa"/>
                  <w:bottom w:w="20" w:type="dxa"/>
                  <w:right w:w="20" w:type="dxa"/>
                </w:tblCellMar>
                <w:tblLook w:val="04A0"/>
              </w:tblPrEx>
              <w:trPr>
                <w:gridAfter w:val="1"/>
                <w:wAfter w:w="60" w:type="dxa"/>
                <w:trHeight w:val="370"/>
              </w:trPr>
              <w:tc>
                <w:tcPr>
                  <w:tcW w:w="8781" w:type="dxa"/>
                  <w:gridSpan w:val="7"/>
                  <w:tcBorders>
                    <w:top w:val="outset" w:sz="6" w:space="0" w:color="414142"/>
                    <w:left w:val="nil"/>
                    <w:bottom w:val="outset" w:sz="6" w:space="0" w:color="414142"/>
                    <w:right w:val="nil"/>
                  </w:tcBorders>
                  <w:vAlign w:val="center"/>
                </w:tcPr>
                <w:p w:rsidR="009D1C48" w:rsidRPr="009E5BC9" w:rsidP="00767569" w14:paraId="3E7608D0" w14:textId="77777777">
                  <w:pPr>
                    <w:spacing w:before="100" w:beforeAutospacing="1" w:after="100" w:afterAutospacing="1" w:line="293" w:lineRule="atLeast"/>
                    <w:jc w:val="center"/>
                    <w:rPr>
                      <w:rFonts w:eastAsia="Times New Roman" w:cs="Times New Roman"/>
                      <w:sz w:val="20"/>
                      <w:szCs w:val="20"/>
                      <w:lang w:eastAsia="lv-LV"/>
                    </w:rPr>
                  </w:pPr>
                </w:p>
              </w:tc>
            </w:tr>
            <w:tr w14:paraId="6C603543"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370"/>
              </w:trPr>
              <w:tc>
                <w:tcPr>
                  <w:tcW w:w="8781" w:type="dxa"/>
                  <w:gridSpan w:val="7"/>
                  <w:tcBorders>
                    <w:top w:val="outset" w:sz="6" w:space="0" w:color="414142"/>
                    <w:left w:val="outset" w:sz="6" w:space="0" w:color="414142"/>
                    <w:bottom w:val="outset" w:sz="6" w:space="0" w:color="414142"/>
                    <w:right w:val="outset" w:sz="6" w:space="0" w:color="414142"/>
                  </w:tcBorders>
                  <w:vAlign w:val="center"/>
                  <w:hideMark/>
                </w:tcPr>
                <w:p w:rsidR="00767569" w:rsidRPr="00B34185" w:rsidP="00767569" w14:paraId="55745EA8" w14:textId="77777777">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II. Tiesību akta projekta ietekme uz sabiedrību, tautsaimniecības attīstību un administratīvo slogu</w:t>
                  </w:r>
                </w:p>
              </w:tc>
            </w:tr>
            <w:tr w14:paraId="534FD25C"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41E82A33" w14:textId="77777777">
                  <w:pP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02A7BEDF" w14:textId="77777777">
                  <w:pPr>
                    <w:rPr>
                      <w:rFonts w:eastAsia="Times New Roman" w:cs="Times New Roman"/>
                      <w:sz w:val="24"/>
                      <w:szCs w:val="24"/>
                      <w:lang w:eastAsia="lv-LV"/>
                    </w:rPr>
                  </w:pPr>
                  <w:r w:rsidRPr="00B34185">
                    <w:rPr>
                      <w:rFonts w:eastAsia="Times New Roman" w:cs="Times New Roman"/>
                      <w:sz w:val="24"/>
                      <w:szCs w:val="24"/>
                      <w:lang w:eastAsia="lv-LV"/>
                    </w:rPr>
                    <w:t xml:space="preserve">Sabiedrības </w:t>
                  </w:r>
                  <w:r w:rsidRPr="00B34185">
                    <w:rPr>
                      <w:rFonts w:eastAsia="Times New Roman" w:cs="Times New Roman"/>
                      <w:sz w:val="24"/>
                      <w:szCs w:val="24"/>
                      <w:lang w:eastAsia="lv-LV"/>
                    </w:rPr>
                    <w:t>mērķgrupas</w:t>
                  </w:r>
                  <w:r w:rsidRPr="00B34185">
                    <w:rPr>
                      <w:rFonts w:eastAsia="Times New Roman" w:cs="Times New Roman"/>
                      <w:sz w:val="24"/>
                      <w:szCs w:val="24"/>
                      <w:lang w:eastAsia="lv-LV"/>
                    </w:rPr>
                    <w:t>, kuras tiesiskais regulējums ietekmē vai varētu ietekmēt</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726091" w:rsidRPr="007509D0" w:rsidP="00483B7D" w14:paraId="78522A67" w14:textId="112478D3">
                  <w:pPr>
                    <w:jc w:val="both"/>
                    <w:rPr>
                      <w:rFonts w:eastAsia="Times New Roman" w:cs="Times New Roman"/>
                      <w:sz w:val="24"/>
                      <w:szCs w:val="24"/>
                      <w:lang w:eastAsia="lv-LV"/>
                    </w:rPr>
                  </w:pPr>
                  <w:r w:rsidRPr="007509D0">
                    <w:rPr>
                      <w:rFonts w:eastAsia="Times New Roman" w:cs="Times New Roman"/>
                      <w:sz w:val="24"/>
                      <w:szCs w:val="24"/>
                      <w:lang w:eastAsia="lv-LV"/>
                    </w:rPr>
                    <w:t>Jebkurš būvkomersants, kas pretendē uz būvdarbu veikšanu Būvniecības likuma 23.</w:t>
                  </w:r>
                  <w:r w:rsidR="00BE6E26">
                    <w:rPr>
                      <w:rFonts w:eastAsia="Times New Roman" w:cs="Times New Roman"/>
                      <w:sz w:val="24"/>
                      <w:szCs w:val="24"/>
                      <w:lang w:eastAsia="lv-LV"/>
                    </w:rPr>
                    <w:t> </w:t>
                  </w:r>
                  <w:r w:rsidRPr="007509D0">
                    <w:rPr>
                      <w:rFonts w:eastAsia="Times New Roman" w:cs="Times New Roman"/>
                      <w:sz w:val="24"/>
                      <w:szCs w:val="24"/>
                      <w:lang w:eastAsia="lv-LV"/>
                    </w:rPr>
                    <w:t xml:space="preserve">panta </w:t>
                  </w:r>
                  <w:r w:rsidRPr="007509D0" w:rsidR="00D47B3D">
                    <w:rPr>
                      <w:rFonts w:eastAsia="Times New Roman" w:cs="Times New Roman"/>
                      <w:sz w:val="24"/>
                      <w:szCs w:val="24"/>
                      <w:lang w:eastAsia="lv-LV"/>
                    </w:rPr>
                    <w:t>pirmās</w:t>
                  </w:r>
                  <w:r w:rsidRPr="007509D0">
                    <w:rPr>
                      <w:rFonts w:eastAsia="Times New Roman" w:cs="Times New Roman"/>
                      <w:sz w:val="24"/>
                      <w:szCs w:val="24"/>
                      <w:lang w:eastAsia="lv-LV"/>
                    </w:rPr>
                    <w:t xml:space="preserve"> daļas izpratnē; jebkurš pasūtītājs, kurš izsludinājis iepirkumu par būvdarbu līguma, kura finansējumam tiks izmantoti publisko tiesību juridiskās personas līdzekļi Eiropas Savienības politiku instrumentu vai citas ārvalstu finanšu palīdzības līdzekļi, piešķiršanu, kā arī iestādes, kuras ir iesaistītas šajā procesā, t.sk. </w:t>
                  </w:r>
                  <w:r w:rsidRPr="007509D0" w:rsidR="00483B7D">
                    <w:rPr>
                      <w:rFonts w:eastAsia="Times New Roman" w:cs="Times New Roman"/>
                      <w:sz w:val="24"/>
                      <w:szCs w:val="24"/>
                      <w:lang w:eastAsia="lv-LV"/>
                    </w:rPr>
                    <w:t>par publisko iepirkumu regulējumu un tā īstenoš</w:t>
                  </w:r>
                  <w:r w:rsidR="003B72E0">
                    <w:rPr>
                      <w:rFonts w:eastAsia="Times New Roman" w:cs="Times New Roman"/>
                      <w:sz w:val="24"/>
                      <w:szCs w:val="24"/>
                      <w:lang w:eastAsia="lv-LV"/>
                    </w:rPr>
                    <w:t>an</w:t>
                  </w:r>
                  <w:r w:rsidRPr="007509D0" w:rsidR="00483B7D">
                    <w:rPr>
                      <w:rFonts w:eastAsia="Times New Roman" w:cs="Times New Roman"/>
                      <w:sz w:val="24"/>
                      <w:szCs w:val="24"/>
                      <w:lang w:eastAsia="lv-LV"/>
                    </w:rPr>
                    <w:t>u atbildīgās</w:t>
                  </w:r>
                  <w:r w:rsidR="003B72E0">
                    <w:rPr>
                      <w:rFonts w:eastAsia="Times New Roman" w:cs="Times New Roman"/>
                      <w:sz w:val="24"/>
                      <w:szCs w:val="24"/>
                      <w:lang w:eastAsia="lv-LV"/>
                    </w:rPr>
                    <w:t xml:space="preserve"> -</w:t>
                  </w:r>
                  <w:r w:rsidRPr="007509D0" w:rsidR="00483B7D">
                    <w:rPr>
                      <w:rFonts w:eastAsia="Times New Roman" w:cs="Times New Roman"/>
                      <w:sz w:val="24"/>
                      <w:szCs w:val="24"/>
                      <w:lang w:eastAsia="lv-LV"/>
                    </w:rPr>
                    <w:t xml:space="preserve"> </w:t>
                  </w:r>
                  <w:r w:rsidRPr="007509D0">
                    <w:rPr>
                      <w:rFonts w:eastAsia="Times New Roman" w:cs="Times New Roman"/>
                      <w:sz w:val="24"/>
                      <w:szCs w:val="24"/>
                      <w:lang w:eastAsia="lv-LV"/>
                    </w:rPr>
                    <w:t>Iepirkumu uzraudzības birojs</w:t>
                  </w:r>
                  <w:r w:rsidRPr="007509D0" w:rsidR="00483B7D">
                    <w:rPr>
                      <w:rFonts w:eastAsia="Times New Roman" w:cs="Times New Roman"/>
                      <w:sz w:val="24"/>
                      <w:szCs w:val="24"/>
                      <w:lang w:eastAsia="lv-LV"/>
                    </w:rPr>
                    <w:t xml:space="preserve"> un</w:t>
                  </w:r>
                  <w:r w:rsidRPr="007509D0">
                    <w:rPr>
                      <w:rFonts w:eastAsia="Times New Roman" w:cs="Times New Roman"/>
                      <w:sz w:val="24"/>
                      <w:szCs w:val="24"/>
                      <w:lang w:eastAsia="lv-LV"/>
                    </w:rPr>
                    <w:t xml:space="preserve"> Finanšu ministrija</w:t>
                  </w:r>
                  <w:r w:rsidRPr="007509D0" w:rsidR="00483B7D">
                    <w:rPr>
                      <w:rFonts w:eastAsia="Times New Roman" w:cs="Times New Roman"/>
                      <w:sz w:val="24"/>
                      <w:szCs w:val="24"/>
                      <w:lang w:eastAsia="lv-LV"/>
                    </w:rPr>
                    <w:t>. P</w:t>
                  </w:r>
                  <w:r w:rsidRPr="007509D0">
                    <w:rPr>
                      <w:rFonts w:eastAsia="Times New Roman" w:cs="Times New Roman"/>
                      <w:sz w:val="24"/>
                      <w:szCs w:val="24"/>
                      <w:lang w:eastAsia="lv-LV"/>
                    </w:rPr>
                    <w:t>ašvaldību Būvvaldes</w:t>
                  </w:r>
                  <w:r w:rsidRPr="007509D0" w:rsidR="00483B7D">
                    <w:rPr>
                      <w:rFonts w:eastAsia="Times New Roman" w:cs="Times New Roman"/>
                      <w:sz w:val="24"/>
                      <w:szCs w:val="24"/>
                      <w:lang w:eastAsia="lv-LV"/>
                    </w:rPr>
                    <w:t xml:space="preserve">, </w:t>
                  </w:r>
                  <w:r w:rsidRPr="007509D0">
                    <w:rPr>
                      <w:rFonts w:eastAsia="Times New Roman" w:cs="Times New Roman"/>
                      <w:sz w:val="24"/>
                      <w:szCs w:val="24"/>
                      <w:lang w:eastAsia="lv-LV"/>
                    </w:rPr>
                    <w:t>Ekonomikas ministrija un Būvn</w:t>
                  </w:r>
                  <w:r w:rsidRPr="007509D0" w:rsidR="007509D0">
                    <w:rPr>
                      <w:rFonts w:eastAsia="Times New Roman" w:cs="Times New Roman"/>
                      <w:sz w:val="24"/>
                      <w:szCs w:val="24"/>
                      <w:lang w:eastAsia="lv-LV"/>
                    </w:rPr>
                    <w:t>iecības valsts kontroles birojs, Valsts Ieņēmumu dienests, Valsts Reģionālās attīstības aģentūra.</w:t>
                  </w:r>
                  <w:r w:rsidRPr="007509D0">
                    <w:rPr>
                      <w:rFonts w:eastAsia="Times New Roman" w:cs="Times New Roman"/>
                      <w:sz w:val="24"/>
                      <w:szCs w:val="24"/>
                      <w:lang w:eastAsia="lv-LV"/>
                    </w:rPr>
                    <w:t xml:space="preserve"> </w:t>
                  </w:r>
                </w:p>
                <w:p w:rsidR="00726091" w:rsidRPr="007509D0" w:rsidP="00483B7D" w14:paraId="0331B6DF" w14:textId="392F8268">
                  <w:pPr>
                    <w:jc w:val="both"/>
                    <w:rPr>
                      <w:rFonts w:eastAsia="Times New Roman" w:cs="Times New Roman"/>
                      <w:sz w:val="24"/>
                      <w:szCs w:val="24"/>
                      <w:lang w:eastAsia="lv-LV"/>
                    </w:rPr>
                  </w:pPr>
                  <w:r w:rsidRPr="007509D0">
                    <w:rPr>
                      <w:rFonts w:eastAsia="Times New Roman" w:cs="Times New Roman"/>
                      <w:sz w:val="24"/>
                      <w:szCs w:val="24"/>
                      <w:lang w:eastAsia="lv-LV"/>
                    </w:rPr>
                    <w:t xml:space="preserve">Būvkomersantu reģistrā reģistrēts aptuveni </w:t>
                  </w:r>
                  <w:r w:rsidRPr="007509D0" w:rsidR="00F07AC8">
                    <w:rPr>
                      <w:rFonts w:eastAsia="Times New Roman" w:cs="Times New Roman"/>
                      <w:sz w:val="24"/>
                      <w:szCs w:val="24"/>
                      <w:lang w:eastAsia="lv-LV"/>
                    </w:rPr>
                    <w:t>2300</w:t>
                  </w:r>
                  <w:r w:rsidR="00F07AC8">
                    <w:rPr>
                      <w:rFonts w:eastAsia="Times New Roman" w:cs="Times New Roman"/>
                      <w:sz w:val="24"/>
                      <w:szCs w:val="24"/>
                      <w:lang w:eastAsia="lv-LV"/>
                    </w:rPr>
                    <w:t> </w:t>
                  </w:r>
                  <w:r w:rsidRPr="007509D0">
                    <w:rPr>
                      <w:rFonts w:eastAsia="Times New Roman" w:cs="Times New Roman"/>
                      <w:sz w:val="24"/>
                      <w:szCs w:val="24"/>
                      <w:lang w:eastAsia="lv-LV"/>
                    </w:rPr>
                    <w:t>uzņēmumu (skaits ir pastāvīgi mainīgs), kas atbilst vispārējā kārtībā kvalificējama būvuzņēmuma kritērijiem. Tomēr, tā kā klasifikācijas  sistēma ir atvērta, uzņēmumu skaits, kas var izteikt vēlmi klasificēties, lai pretendētu uz būvdarbu līgumu Būvniecības likuma 23.</w:t>
                  </w:r>
                  <w:r w:rsidR="00BE6E26">
                    <w:rPr>
                      <w:rFonts w:eastAsia="Times New Roman" w:cs="Times New Roman"/>
                      <w:sz w:val="24"/>
                      <w:szCs w:val="24"/>
                      <w:lang w:eastAsia="lv-LV"/>
                    </w:rPr>
                    <w:t> </w:t>
                  </w:r>
                  <w:r w:rsidRPr="007509D0">
                    <w:rPr>
                      <w:rFonts w:eastAsia="Times New Roman" w:cs="Times New Roman"/>
                      <w:sz w:val="24"/>
                      <w:szCs w:val="24"/>
                      <w:lang w:eastAsia="lv-LV"/>
                    </w:rPr>
                    <w:t xml:space="preserve">panta pirmās daļas izpratnē, ir lielāks. </w:t>
                  </w:r>
                </w:p>
                <w:p w:rsidR="00767569" w:rsidRPr="0037133D" w:rsidP="00483B7D" w14:paraId="25414063" w14:textId="77777777">
                  <w:pPr>
                    <w:jc w:val="both"/>
                    <w:rPr>
                      <w:rFonts w:eastAsia="Times New Roman" w:cs="Times New Roman"/>
                      <w:sz w:val="24"/>
                      <w:szCs w:val="24"/>
                      <w:lang w:eastAsia="lv-LV"/>
                    </w:rPr>
                  </w:pPr>
                  <w:r w:rsidRPr="007509D0">
                    <w:rPr>
                      <w:rFonts w:eastAsia="Times New Roman" w:cs="Times New Roman"/>
                      <w:sz w:val="24"/>
                      <w:szCs w:val="24"/>
                      <w:lang w:eastAsia="lv-LV"/>
                    </w:rPr>
                    <w:t>Ietekmi uz pārējo sabiedrības grupu aptuveno skaitlisko lielumu nav iespējams noteikt.</w:t>
                  </w:r>
                </w:p>
              </w:tc>
            </w:tr>
            <w:tr w14:paraId="4C678E82"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3845ED56" w14:textId="77777777">
                  <w:pP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6DAED4E1" w14:textId="77777777">
                  <w:pPr>
                    <w:rPr>
                      <w:rFonts w:eastAsia="Times New Roman" w:cs="Times New Roman"/>
                      <w:sz w:val="24"/>
                      <w:szCs w:val="24"/>
                      <w:lang w:eastAsia="lv-LV"/>
                    </w:rPr>
                  </w:pPr>
                  <w:r w:rsidRPr="00B34185">
                    <w:rPr>
                      <w:rFonts w:eastAsia="Times New Roman" w:cs="Times New Roman"/>
                      <w:sz w:val="24"/>
                      <w:szCs w:val="24"/>
                      <w:lang w:eastAsia="lv-LV"/>
                    </w:rPr>
                    <w:t>Tiesiskā regulējuma ietekme uz tautsaimniecību un administratīvo slogu</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5800B6" w:rsidRPr="00B34185" w:rsidP="003D7DBB" w14:paraId="466C8643" w14:textId="15F5D32D">
                  <w:pPr>
                    <w:jc w:val="both"/>
                    <w:rPr>
                      <w:rFonts w:eastAsia="Times New Roman" w:cs="Times New Roman"/>
                      <w:sz w:val="24"/>
                      <w:szCs w:val="24"/>
                      <w:lang w:eastAsia="lv-LV"/>
                    </w:rPr>
                  </w:pPr>
                  <w:r w:rsidRPr="007509D0">
                    <w:rPr>
                      <w:rFonts w:eastAsia="Times New Roman" w:cs="Times New Roman"/>
                      <w:sz w:val="24"/>
                      <w:szCs w:val="24"/>
                      <w:lang w:eastAsia="lv-LV"/>
                    </w:rPr>
                    <w:t>Projekta ietekme uz būvniecības nozari ir pozitīva</w:t>
                  </w:r>
                  <w:r w:rsidRPr="007509D0" w:rsidR="006D58D5">
                    <w:rPr>
                      <w:rFonts w:eastAsia="Times New Roman" w:cs="Times New Roman"/>
                      <w:sz w:val="24"/>
                      <w:szCs w:val="24"/>
                      <w:lang w:eastAsia="lv-LV"/>
                    </w:rPr>
                    <w:t xml:space="preserve">. Sistemātiska būvuzņēmumu izvērtēšana </w:t>
                  </w:r>
                  <w:r w:rsidR="007509D0">
                    <w:rPr>
                      <w:rFonts w:eastAsia="Times New Roman" w:cs="Times New Roman"/>
                      <w:sz w:val="24"/>
                      <w:szCs w:val="24"/>
                      <w:lang w:eastAsia="lv-LV"/>
                    </w:rPr>
                    <w:t xml:space="preserve">pēc vienotiem principiem </w:t>
                  </w:r>
                  <w:r w:rsidR="00EA7261">
                    <w:rPr>
                      <w:rFonts w:eastAsia="Times New Roman" w:cs="Times New Roman"/>
                      <w:sz w:val="24"/>
                      <w:szCs w:val="24"/>
                      <w:lang w:eastAsia="lv-LV"/>
                    </w:rPr>
                    <w:t>veicina godīgu konkurenci.</w:t>
                  </w:r>
                  <w:r w:rsidRPr="007509D0" w:rsidR="006D58D5">
                    <w:rPr>
                      <w:rFonts w:eastAsia="Times New Roman" w:cs="Times New Roman"/>
                      <w:sz w:val="24"/>
                      <w:szCs w:val="24"/>
                      <w:lang w:eastAsia="lv-LV"/>
                    </w:rPr>
                    <w:t xml:space="preserve"> </w:t>
                  </w:r>
                  <w:r w:rsidR="007509D0">
                    <w:rPr>
                      <w:rFonts w:eastAsia="Times New Roman" w:cs="Times New Roman"/>
                      <w:sz w:val="24"/>
                      <w:szCs w:val="24"/>
                      <w:lang w:eastAsia="lv-LV"/>
                    </w:rPr>
                    <w:t xml:space="preserve">Klasifikācijas piemērošana publisko būvdarbu iepirkumos </w:t>
                  </w:r>
                  <w:r w:rsidRPr="007509D0" w:rsidR="00EA7261">
                    <w:rPr>
                      <w:rFonts w:eastAsia="Times New Roman" w:cs="Times New Roman"/>
                      <w:sz w:val="24"/>
                      <w:szCs w:val="24"/>
                      <w:lang w:eastAsia="lv-LV"/>
                    </w:rPr>
                    <w:t>atvieglo</w:t>
                  </w:r>
                  <w:r w:rsidR="00EA7261">
                    <w:rPr>
                      <w:rFonts w:eastAsia="Times New Roman" w:cs="Times New Roman"/>
                      <w:sz w:val="24"/>
                      <w:szCs w:val="24"/>
                      <w:lang w:eastAsia="lv-LV"/>
                    </w:rPr>
                    <w:t>s</w:t>
                  </w:r>
                  <w:r w:rsidRPr="007509D0" w:rsidR="00EA7261">
                    <w:rPr>
                      <w:rFonts w:eastAsia="Times New Roman" w:cs="Times New Roman"/>
                      <w:sz w:val="24"/>
                      <w:szCs w:val="24"/>
                      <w:lang w:eastAsia="lv-LV"/>
                    </w:rPr>
                    <w:t xml:space="preserve"> un padar</w:t>
                  </w:r>
                  <w:r w:rsidR="00EA7261">
                    <w:rPr>
                      <w:rFonts w:eastAsia="Times New Roman" w:cs="Times New Roman"/>
                      <w:sz w:val="24"/>
                      <w:szCs w:val="24"/>
                      <w:lang w:eastAsia="lv-LV"/>
                    </w:rPr>
                    <w:t>īs</w:t>
                  </w:r>
                  <w:r w:rsidRPr="007509D0" w:rsidR="00EA7261">
                    <w:rPr>
                      <w:rFonts w:eastAsia="Times New Roman" w:cs="Times New Roman"/>
                      <w:sz w:val="24"/>
                      <w:szCs w:val="24"/>
                      <w:lang w:eastAsia="lv-LV"/>
                    </w:rPr>
                    <w:t xml:space="preserve"> caurspīdīg</w:t>
                  </w:r>
                  <w:r w:rsidR="00EA7261">
                    <w:rPr>
                      <w:rFonts w:eastAsia="Times New Roman" w:cs="Times New Roman"/>
                      <w:sz w:val="24"/>
                      <w:szCs w:val="24"/>
                      <w:lang w:eastAsia="lv-LV"/>
                    </w:rPr>
                    <w:t xml:space="preserve">āku pretendentu atlases procesu un </w:t>
                  </w:r>
                  <w:r w:rsidR="007509D0">
                    <w:rPr>
                      <w:rFonts w:eastAsia="Times New Roman" w:cs="Times New Roman"/>
                      <w:sz w:val="24"/>
                      <w:szCs w:val="24"/>
                      <w:lang w:eastAsia="lv-LV"/>
                    </w:rPr>
                    <w:t>s</w:t>
                  </w:r>
                  <w:r w:rsidRPr="007509D0" w:rsidR="006D58D5">
                    <w:rPr>
                      <w:rFonts w:eastAsia="Times New Roman" w:cs="Times New Roman"/>
                      <w:sz w:val="24"/>
                      <w:szCs w:val="24"/>
                      <w:lang w:eastAsia="lv-LV"/>
                    </w:rPr>
                    <w:t>amazin</w:t>
                  </w:r>
                  <w:r w:rsidR="003300C8">
                    <w:rPr>
                      <w:rFonts w:eastAsia="Times New Roman" w:cs="Times New Roman"/>
                      <w:sz w:val="24"/>
                      <w:szCs w:val="24"/>
                      <w:lang w:eastAsia="lv-LV"/>
                    </w:rPr>
                    <w:t>ās</w:t>
                  </w:r>
                  <w:r w:rsidR="00EA7261">
                    <w:rPr>
                      <w:rFonts w:eastAsia="Times New Roman" w:cs="Times New Roman"/>
                      <w:sz w:val="24"/>
                      <w:szCs w:val="24"/>
                      <w:lang w:eastAsia="lv-LV"/>
                    </w:rPr>
                    <w:t xml:space="preserve"> iespēju “pastkastītes” uzņēmumiem iesaistīties publisko būvdarbu izpildē</w:t>
                  </w:r>
                  <w:r w:rsidRPr="007509D0" w:rsidR="006D58D5">
                    <w:rPr>
                      <w:rFonts w:eastAsia="Times New Roman" w:cs="Times New Roman"/>
                      <w:sz w:val="24"/>
                      <w:szCs w:val="24"/>
                      <w:lang w:eastAsia="lv-LV"/>
                    </w:rPr>
                    <w:t xml:space="preserve">. </w:t>
                  </w:r>
                </w:p>
              </w:tc>
            </w:tr>
            <w:tr w14:paraId="14A9EF2D" w14:textId="77777777" w:rsidTr="00BC5DEE">
              <w:tblPrEx>
                <w:tblW w:w="8841" w:type="dxa"/>
                <w:tblLayout w:type="fixed"/>
                <w:tblCellMar>
                  <w:top w:w="20" w:type="dxa"/>
                  <w:left w:w="20" w:type="dxa"/>
                  <w:bottom w:w="20" w:type="dxa"/>
                  <w:right w:w="20" w:type="dxa"/>
                </w:tblCellMar>
                <w:tblLook w:val="04A0"/>
              </w:tblPrEx>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767569" w14:paraId="3BD2E6B8" w14:textId="77777777">
                  <w:pP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24EA045A" w14:textId="77777777">
                  <w:pPr>
                    <w:rPr>
                      <w:rFonts w:eastAsia="Times New Roman" w:cs="Times New Roman"/>
                      <w:sz w:val="24"/>
                      <w:szCs w:val="24"/>
                      <w:lang w:eastAsia="lv-LV"/>
                    </w:rPr>
                  </w:pPr>
                  <w:r w:rsidRPr="00B34185">
                    <w:rPr>
                      <w:rFonts w:eastAsia="Times New Roman" w:cs="Times New Roman"/>
                      <w:sz w:val="24"/>
                      <w:szCs w:val="24"/>
                      <w:lang w:eastAsia="lv-LV"/>
                    </w:rPr>
                    <w:t>Administratīvo izmaksu monetārs novērtējums</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767569" w:rsidRPr="0037133D" w:rsidP="00420022" w14:paraId="40B5AC90" w14:textId="77777777">
                  <w:pPr>
                    <w:rPr>
                      <w:rFonts w:eastAsia="Times New Roman" w:cs="Times New Roman"/>
                      <w:sz w:val="24"/>
                      <w:szCs w:val="24"/>
                      <w:highlight w:val="yellow"/>
                      <w:lang w:eastAsia="lv-LV"/>
                    </w:rPr>
                  </w:pPr>
                  <w:r w:rsidRPr="005A6092">
                    <w:rPr>
                      <w:rFonts w:eastAsia="Times New Roman" w:cs="Times New Roman"/>
                      <w:sz w:val="24"/>
                      <w:szCs w:val="24"/>
                      <w:lang w:eastAsia="lv-LV"/>
                    </w:rPr>
                    <w:t>Projekts šo jomu neskar.</w:t>
                  </w:r>
                </w:p>
              </w:tc>
            </w:tr>
            <w:tr w14:paraId="18BA8743" w14:textId="77777777" w:rsidTr="009D1C48">
              <w:tblPrEx>
                <w:tblW w:w="8841" w:type="dxa"/>
                <w:tblLayout w:type="fixed"/>
                <w:tblCellMar>
                  <w:top w:w="20" w:type="dxa"/>
                  <w:left w:w="20" w:type="dxa"/>
                  <w:bottom w:w="20" w:type="dxa"/>
                  <w:right w:w="20" w:type="dxa"/>
                </w:tblCellMar>
                <w:tblLook w:val="04A0"/>
              </w:tblPrEx>
              <w:trPr>
                <w:gridAfter w:val="1"/>
                <w:wAfter w:w="60" w:type="dxa"/>
                <w:trHeight w:val="23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P="008235BE" w14:paraId="5649432D" w14:textId="77777777">
                  <w:pPr>
                    <w:jc w:val="both"/>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8235BE" w14:paraId="53A2E72B" w14:textId="77777777">
                  <w:pPr>
                    <w:jc w:val="both"/>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2"/>
                  <w:tcBorders>
                    <w:top w:val="outset" w:sz="6" w:space="0" w:color="414142"/>
                    <w:left w:val="outset" w:sz="6" w:space="0" w:color="414142"/>
                    <w:bottom w:val="outset" w:sz="6" w:space="0" w:color="414142"/>
                    <w:right w:val="outset" w:sz="6" w:space="0" w:color="414142"/>
                  </w:tcBorders>
                  <w:hideMark/>
                </w:tcPr>
                <w:p w:rsidR="00767569" w:rsidRPr="0037133D" w:rsidP="008235BE" w14:paraId="2B8B43F3" w14:textId="77777777">
                  <w:pPr>
                    <w:jc w:val="both"/>
                    <w:rPr>
                      <w:rFonts w:eastAsia="Times New Roman" w:cs="Times New Roman"/>
                      <w:sz w:val="24"/>
                      <w:szCs w:val="24"/>
                      <w:highlight w:val="yellow"/>
                      <w:lang w:eastAsia="lv-LV"/>
                    </w:rPr>
                  </w:pPr>
                  <w:r w:rsidRPr="007509D0">
                    <w:rPr>
                      <w:rFonts w:eastAsia="Times New Roman" w:cs="Times New Roman"/>
                      <w:sz w:val="24"/>
                      <w:szCs w:val="24"/>
                      <w:lang w:eastAsia="lv-LV"/>
                    </w:rPr>
                    <w:t xml:space="preserve">Nepieciešamie precizējumi </w:t>
                  </w:r>
                  <w:r w:rsidRPr="007509D0" w:rsidR="007509D0">
                    <w:rPr>
                      <w:rFonts w:eastAsia="Times New Roman" w:cs="Times New Roman"/>
                      <w:sz w:val="24"/>
                      <w:szCs w:val="24"/>
                      <w:lang w:eastAsia="lv-LV"/>
                    </w:rPr>
                    <w:t>izstrādāti, ņemot vērā</w:t>
                  </w:r>
                  <w:r w:rsidRPr="007509D0">
                    <w:rPr>
                      <w:rFonts w:eastAsia="Times New Roman" w:cs="Times New Roman"/>
                      <w:sz w:val="24"/>
                      <w:szCs w:val="24"/>
                      <w:lang w:eastAsia="lv-LV"/>
                    </w:rPr>
                    <w:t xml:space="preserve"> klasifikācijas</w:t>
                  </w:r>
                  <w:r w:rsidR="00EA7261">
                    <w:rPr>
                      <w:rFonts w:eastAsia="Times New Roman" w:cs="Times New Roman"/>
                      <w:sz w:val="24"/>
                      <w:szCs w:val="24"/>
                      <w:lang w:eastAsia="lv-LV"/>
                    </w:rPr>
                    <w:t xml:space="preserve"> informācijas tehnoloģiju</w:t>
                  </w:r>
                  <w:r w:rsidRPr="007509D0">
                    <w:rPr>
                      <w:rFonts w:eastAsia="Times New Roman" w:cs="Times New Roman"/>
                      <w:sz w:val="24"/>
                      <w:szCs w:val="24"/>
                      <w:lang w:eastAsia="lv-LV"/>
                    </w:rPr>
                    <w:t xml:space="preserve"> </w:t>
                  </w:r>
                  <w:r w:rsidR="00EA7261">
                    <w:rPr>
                      <w:rFonts w:eastAsia="Times New Roman" w:cs="Times New Roman"/>
                      <w:sz w:val="24"/>
                      <w:szCs w:val="24"/>
                      <w:lang w:eastAsia="lv-LV"/>
                    </w:rPr>
                    <w:t>funkcionālo risinājumu būvniecības informācijas sistēmā</w:t>
                  </w:r>
                  <w:r w:rsidRPr="007509D0">
                    <w:rPr>
                      <w:rFonts w:eastAsia="Times New Roman" w:cs="Times New Roman"/>
                      <w:sz w:val="24"/>
                      <w:szCs w:val="24"/>
                      <w:lang w:eastAsia="lv-LV"/>
                    </w:rPr>
                    <w:t>.</w:t>
                  </w:r>
                  <w:r w:rsidRPr="007509D0" w:rsidR="007509D0">
                    <w:rPr>
                      <w:rFonts w:eastAsia="Times New Roman" w:cs="Times New Roman"/>
                      <w:sz w:val="24"/>
                      <w:szCs w:val="24"/>
                      <w:lang w:eastAsia="lv-LV"/>
                    </w:rPr>
                    <w:t xml:space="preserve"> </w:t>
                  </w:r>
                </w:p>
              </w:tc>
            </w:tr>
            <w:tr w14:paraId="2AEC2924"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trHeight w:val="240"/>
                <w:jc w:val="center"/>
              </w:trPr>
              <w:tc>
                <w:tcPr>
                  <w:tcW w:w="8781" w:type="dxa"/>
                  <w:gridSpan w:val="7"/>
                  <w:tcBorders>
                    <w:top w:val="outset" w:sz="6" w:space="0" w:color="414142"/>
                    <w:left w:val="nil"/>
                    <w:bottom w:val="outset" w:sz="6" w:space="0" w:color="414142"/>
                    <w:right w:val="nil"/>
                  </w:tcBorders>
                  <w:vAlign w:val="center"/>
                </w:tcPr>
                <w:p w:rsidR="009D1C48" w:rsidRPr="00B34185" w:rsidP="008235BE" w14:paraId="627B2FF8" w14:textId="77777777">
                  <w:pPr>
                    <w:rPr>
                      <w:rFonts w:eastAsia="Times New Roman" w:cs="Times New Roman"/>
                      <w:sz w:val="24"/>
                      <w:szCs w:val="24"/>
                      <w:lang w:eastAsia="lv-LV"/>
                    </w:rPr>
                  </w:pPr>
                </w:p>
              </w:tc>
            </w:tr>
            <w:tr w14:paraId="0C7585CC" w14:textId="77777777" w:rsidTr="00F56781">
              <w:tblPrEx>
                <w:tblW w:w="8841" w:type="dxa"/>
                <w:jc w:val="center"/>
                <w:tblLayout w:type="fixed"/>
                <w:tblCellMar>
                  <w:top w:w="20" w:type="dxa"/>
                  <w:left w:w="20" w:type="dxa"/>
                  <w:bottom w:w="20" w:type="dxa"/>
                  <w:right w:w="20" w:type="dxa"/>
                </w:tblCellMar>
                <w:tblLook w:val="04A0"/>
              </w:tblPrEx>
              <w:trPr>
                <w:gridAfter w:val="1"/>
                <w:wAfter w:w="60" w:type="dxa"/>
                <w:trHeight w:val="300"/>
                <w:jc w:val="center"/>
              </w:trPr>
              <w:tc>
                <w:tcPr>
                  <w:tcW w:w="8781" w:type="dxa"/>
                  <w:gridSpan w:val="7"/>
                  <w:tcBorders>
                    <w:top w:val="single" w:sz="4" w:space="0" w:color="auto"/>
                    <w:left w:val="nil"/>
                    <w:bottom w:val="outset" w:sz="6" w:space="0" w:color="414142"/>
                    <w:right w:val="nil"/>
                  </w:tcBorders>
                  <w:vAlign w:val="center"/>
                </w:tcPr>
                <w:tbl>
                  <w:tblPr>
                    <w:tblStyle w:val="TableGrid"/>
                    <w:tblpPr w:leftFromText="180" w:rightFromText="180" w:vertAnchor="page" w:horzAnchor="margin" w:tblpY="1"/>
                    <w:tblW w:w="8740" w:type="dxa"/>
                    <w:tblLayout w:type="fixed"/>
                    <w:tblLook w:val="04A0"/>
                  </w:tblPr>
                  <w:tblGrid>
                    <w:gridCol w:w="2493"/>
                    <w:gridCol w:w="1127"/>
                    <w:gridCol w:w="1319"/>
                    <w:gridCol w:w="1195"/>
                    <w:gridCol w:w="1195"/>
                    <w:gridCol w:w="1411"/>
                  </w:tblGrid>
                  <w:tr w14:paraId="2761E7EA" w14:textId="77777777" w:rsidTr="005421DC">
                    <w:tblPrEx>
                      <w:tblW w:w="8740" w:type="dxa"/>
                      <w:tblLayout w:type="fixed"/>
                      <w:tblLook w:val="04A0"/>
                    </w:tblPrEx>
                    <w:trPr>
                      <w:trHeight w:val="361"/>
                    </w:trPr>
                    <w:tc>
                      <w:tcPr>
                        <w:tcW w:w="8740" w:type="dxa"/>
                        <w:gridSpan w:val="6"/>
                        <w:hideMark/>
                      </w:tcPr>
                      <w:p w:rsidR="003B66A6" w:rsidRPr="00F2409B" w:rsidP="003B66A6" w14:paraId="38C2E1EC" w14:textId="77777777">
                        <w:pPr>
                          <w:ind w:firstLine="300"/>
                          <w:jc w:val="center"/>
                          <w:rPr>
                            <w:rFonts w:eastAsia="Times New Roman" w:cs="Times New Roman"/>
                            <w:b/>
                            <w:bCs/>
                            <w:sz w:val="24"/>
                            <w:szCs w:val="24"/>
                            <w:lang w:eastAsia="lv-LV"/>
                          </w:rPr>
                        </w:pPr>
                        <w:r w:rsidRPr="00F2409B">
                          <w:rPr>
                            <w:rFonts w:eastAsia="Times New Roman" w:cs="Times New Roman"/>
                            <w:b/>
                            <w:bCs/>
                            <w:sz w:val="24"/>
                            <w:szCs w:val="24"/>
                            <w:lang w:eastAsia="lv-LV"/>
                          </w:rPr>
                          <w:t>III. Tiesību akta projekta ietekme uz valsts budžetu un pašvaldību budžetiem</w:t>
                        </w:r>
                      </w:p>
                    </w:tc>
                  </w:tr>
                  <w:tr w14:paraId="0ECD4051" w14:textId="77777777" w:rsidTr="005421DC">
                    <w:tblPrEx>
                      <w:tblW w:w="8740" w:type="dxa"/>
                      <w:tblLayout w:type="fixed"/>
                      <w:tblLook w:val="04A0"/>
                    </w:tblPrEx>
                    <w:trPr>
                      <w:trHeight w:val="327"/>
                    </w:trPr>
                    <w:tc>
                      <w:tcPr>
                        <w:tcW w:w="2493" w:type="dxa"/>
                        <w:vMerge w:val="restart"/>
                        <w:hideMark/>
                      </w:tcPr>
                      <w:p w:rsidR="003B66A6" w:rsidRPr="00F2409B" w:rsidP="003B66A6" w14:paraId="720AB2ED" w14:textId="77777777">
                        <w:pPr>
                          <w:ind w:firstLine="300"/>
                          <w:jc w:val="center"/>
                          <w:rPr>
                            <w:rFonts w:eastAsia="Times New Roman" w:cs="Times New Roman"/>
                            <w:b/>
                            <w:bCs/>
                            <w:sz w:val="24"/>
                            <w:szCs w:val="24"/>
                            <w:lang w:eastAsia="lv-LV"/>
                          </w:rPr>
                        </w:pPr>
                        <w:r w:rsidRPr="00F2409B">
                          <w:rPr>
                            <w:rFonts w:eastAsia="Times New Roman" w:cs="Times New Roman"/>
                            <w:b/>
                            <w:bCs/>
                            <w:sz w:val="24"/>
                            <w:szCs w:val="24"/>
                            <w:lang w:eastAsia="lv-LV"/>
                          </w:rPr>
                          <w:t>Rādītāji</w:t>
                        </w:r>
                      </w:p>
                      <w:p w:rsidR="003B66A6" w:rsidRPr="008448BD" w:rsidP="003B66A6" w14:paraId="1F7F33C6" w14:textId="77777777">
                        <w:pPr>
                          <w:ind w:firstLine="300"/>
                          <w:jc w:val="center"/>
                          <w:rPr>
                            <w:rFonts w:eastAsia="Times New Roman" w:cs="Times New Roman"/>
                            <w:b/>
                            <w:bCs/>
                            <w:sz w:val="24"/>
                            <w:szCs w:val="24"/>
                            <w:lang w:eastAsia="lv-LV"/>
                          </w:rPr>
                        </w:pPr>
                      </w:p>
                      <w:p w:rsidR="003B66A6" w:rsidRPr="000218F6" w:rsidP="003B66A6" w14:paraId="6DF1E834" w14:textId="77777777">
                        <w:pPr>
                          <w:ind w:firstLine="300"/>
                          <w:jc w:val="center"/>
                          <w:rPr>
                            <w:rFonts w:eastAsia="Times New Roman" w:cs="Times New Roman"/>
                            <w:b/>
                            <w:bCs/>
                            <w:sz w:val="24"/>
                            <w:szCs w:val="24"/>
                            <w:lang w:eastAsia="lv-LV"/>
                          </w:rPr>
                        </w:pPr>
                      </w:p>
                    </w:tc>
                    <w:tc>
                      <w:tcPr>
                        <w:tcW w:w="2446" w:type="dxa"/>
                        <w:gridSpan w:val="2"/>
                        <w:vMerge w:val="restart"/>
                        <w:hideMark/>
                      </w:tcPr>
                      <w:p w:rsidR="003B66A6" w:rsidRPr="000218F6" w:rsidP="003B66A6" w14:paraId="7465F259" w14:textId="77777777">
                        <w:pPr>
                          <w:ind w:firstLine="300"/>
                          <w:jc w:val="center"/>
                          <w:rPr>
                            <w:rFonts w:eastAsia="Times New Roman" w:cs="Times New Roman"/>
                            <w:b/>
                            <w:bCs/>
                            <w:sz w:val="24"/>
                            <w:szCs w:val="24"/>
                            <w:lang w:eastAsia="lv-LV"/>
                          </w:rPr>
                        </w:pPr>
                        <w:r w:rsidRPr="000218F6">
                          <w:rPr>
                            <w:rFonts w:eastAsia="Times New Roman" w:cs="Times New Roman"/>
                            <w:b/>
                            <w:bCs/>
                            <w:sz w:val="24"/>
                            <w:szCs w:val="24"/>
                            <w:lang w:eastAsia="lv-LV"/>
                          </w:rPr>
                          <w:t>2018</w:t>
                        </w:r>
                      </w:p>
                    </w:tc>
                    <w:tc>
                      <w:tcPr>
                        <w:tcW w:w="3801" w:type="dxa"/>
                        <w:gridSpan w:val="3"/>
                        <w:hideMark/>
                      </w:tcPr>
                      <w:p w:rsidR="003B66A6" w:rsidRPr="000218F6" w:rsidP="003B66A6" w14:paraId="060F2A0F" w14:textId="77777777">
                        <w:pPr>
                          <w:ind w:firstLine="300"/>
                          <w:jc w:val="center"/>
                          <w:rPr>
                            <w:rFonts w:eastAsia="Times New Roman" w:cs="Times New Roman"/>
                            <w:sz w:val="24"/>
                            <w:szCs w:val="24"/>
                            <w:lang w:eastAsia="lv-LV"/>
                          </w:rPr>
                        </w:pPr>
                        <w:r w:rsidRPr="000218F6">
                          <w:rPr>
                            <w:rFonts w:eastAsia="Times New Roman" w:cs="Times New Roman"/>
                            <w:sz w:val="24"/>
                            <w:szCs w:val="24"/>
                            <w:lang w:eastAsia="lv-LV"/>
                          </w:rPr>
                          <w:t>Turpmākie trīs gadi (</w:t>
                        </w:r>
                        <w:r w:rsidRPr="000218F6">
                          <w:rPr>
                            <w:rFonts w:eastAsia="Times New Roman" w:cs="Times New Roman"/>
                            <w:i/>
                            <w:sz w:val="24"/>
                            <w:szCs w:val="24"/>
                            <w:lang w:eastAsia="lv-LV"/>
                          </w:rPr>
                          <w:t>euro</w:t>
                        </w:r>
                        <w:r w:rsidRPr="000218F6">
                          <w:rPr>
                            <w:rFonts w:eastAsia="Times New Roman" w:cs="Times New Roman"/>
                            <w:sz w:val="24"/>
                            <w:szCs w:val="24"/>
                            <w:lang w:eastAsia="lv-LV"/>
                          </w:rPr>
                          <w:t>)</w:t>
                        </w:r>
                      </w:p>
                    </w:tc>
                  </w:tr>
                  <w:tr w14:paraId="4B9D2B13" w14:textId="77777777" w:rsidTr="005421DC">
                    <w:tblPrEx>
                      <w:tblW w:w="8740" w:type="dxa"/>
                      <w:tblLayout w:type="fixed"/>
                      <w:tblLook w:val="04A0"/>
                    </w:tblPrEx>
                    <w:trPr>
                      <w:trHeight w:val="327"/>
                    </w:trPr>
                    <w:tc>
                      <w:tcPr>
                        <w:tcW w:w="2493" w:type="dxa"/>
                        <w:vMerge/>
                        <w:hideMark/>
                      </w:tcPr>
                      <w:p w:rsidR="003B66A6" w:rsidRPr="000218F6" w:rsidP="003B66A6" w14:paraId="7329261C" w14:textId="77777777">
                        <w:pPr>
                          <w:rPr>
                            <w:rFonts w:eastAsia="Times New Roman" w:cs="Times New Roman"/>
                            <w:b/>
                            <w:bCs/>
                            <w:sz w:val="24"/>
                            <w:szCs w:val="24"/>
                            <w:lang w:eastAsia="lv-LV"/>
                          </w:rPr>
                        </w:pPr>
                      </w:p>
                    </w:tc>
                    <w:tc>
                      <w:tcPr>
                        <w:tcW w:w="2446" w:type="dxa"/>
                        <w:gridSpan w:val="2"/>
                        <w:vMerge/>
                        <w:hideMark/>
                      </w:tcPr>
                      <w:p w:rsidR="003B66A6" w:rsidRPr="000218F6" w:rsidP="003B66A6" w14:paraId="0CA7F357" w14:textId="77777777">
                        <w:pPr>
                          <w:rPr>
                            <w:rFonts w:eastAsia="Times New Roman" w:cs="Times New Roman"/>
                            <w:b/>
                            <w:bCs/>
                            <w:sz w:val="24"/>
                            <w:szCs w:val="24"/>
                            <w:lang w:eastAsia="lv-LV"/>
                          </w:rPr>
                        </w:pPr>
                      </w:p>
                    </w:tc>
                    <w:tc>
                      <w:tcPr>
                        <w:tcW w:w="1195" w:type="dxa"/>
                        <w:hideMark/>
                      </w:tcPr>
                      <w:p w:rsidR="003B66A6" w:rsidRPr="000218F6" w:rsidP="003B66A6" w14:paraId="222F0B20" w14:textId="77777777">
                        <w:pPr>
                          <w:ind w:firstLine="300"/>
                          <w:jc w:val="center"/>
                          <w:rPr>
                            <w:rFonts w:eastAsia="Times New Roman" w:cs="Times New Roman"/>
                            <w:b/>
                            <w:bCs/>
                            <w:sz w:val="24"/>
                            <w:szCs w:val="24"/>
                            <w:lang w:eastAsia="lv-LV"/>
                          </w:rPr>
                        </w:pPr>
                        <w:r w:rsidRPr="000218F6">
                          <w:rPr>
                            <w:rFonts w:eastAsia="Times New Roman" w:cs="Times New Roman"/>
                            <w:b/>
                            <w:bCs/>
                            <w:sz w:val="24"/>
                            <w:szCs w:val="24"/>
                            <w:lang w:eastAsia="lv-LV"/>
                          </w:rPr>
                          <w:t>2019</w:t>
                        </w:r>
                      </w:p>
                    </w:tc>
                    <w:tc>
                      <w:tcPr>
                        <w:tcW w:w="1195" w:type="dxa"/>
                        <w:hideMark/>
                      </w:tcPr>
                      <w:p w:rsidR="003B66A6" w:rsidRPr="000218F6" w:rsidP="003B66A6" w14:paraId="01CA9F26" w14:textId="77777777">
                        <w:pPr>
                          <w:ind w:firstLine="300"/>
                          <w:jc w:val="center"/>
                          <w:rPr>
                            <w:rFonts w:eastAsia="Times New Roman" w:cs="Times New Roman"/>
                            <w:b/>
                            <w:bCs/>
                            <w:sz w:val="24"/>
                            <w:szCs w:val="24"/>
                            <w:lang w:eastAsia="lv-LV"/>
                          </w:rPr>
                        </w:pPr>
                        <w:r w:rsidRPr="000218F6">
                          <w:rPr>
                            <w:rFonts w:eastAsia="Times New Roman" w:cs="Times New Roman"/>
                            <w:b/>
                            <w:bCs/>
                            <w:sz w:val="24"/>
                            <w:szCs w:val="24"/>
                            <w:lang w:eastAsia="lv-LV"/>
                          </w:rPr>
                          <w:t>2020</w:t>
                        </w:r>
                      </w:p>
                    </w:tc>
                    <w:tc>
                      <w:tcPr>
                        <w:tcW w:w="1411" w:type="dxa"/>
                        <w:hideMark/>
                      </w:tcPr>
                      <w:p w:rsidR="003B66A6" w:rsidRPr="000218F6" w:rsidP="003B66A6" w14:paraId="55482415" w14:textId="77777777">
                        <w:pPr>
                          <w:ind w:firstLine="300"/>
                          <w:jc w:val="center"/>
                          <w:rPr>
                            <w:rFonts w:eastAsia="Times New Roman" w:cs="Times New Roman"/>
                            <w:b/>
                            <w:bCs/>
                            <w:sz w:val="24"/>
                            <w:szCs w:val="24"/>
                            <w:lang w:eastAsia="lv-LV"/>
                          </w:rPr>
                        </w:pPr>
                        <w:r w:rsidRPr="000218F6">
                          <w:rPr>
                            <w:rFonts w:eastAsia="Times New Roman" w:cs="Times New Roman"/>
                            <w:b/>
                            <w:bCs/>
                            <w:sz w:val="24"/>
                            <w:szCs w:val="24"/>
                            <w:lang w:eastAsia="lv-LV"/>
                          </w:rPr>
                          <w:t>2021</w:t>
                        </w:r>
                      </w:p>
                    </w:tc>
                  </w:tr>
                  <w:tr w14:paraId="72BA40B4" w14:textId="77777777" w:rsidTr="005421DC">
                    <w:tblPrEx>
                      <w:tblW w:w="8740" w:type="dxa"/>
                      <w:tblLayout w:type="fixed"/>
                      <w:tblLook w:val="04A0"/>
                    </w:tblPrEx>
                    <w:trPr>
                      <w:trHeight w:val="327"/>
                    </w:trPr>
                    <w:tc>
                      <w:tcPr>
                        <w:tcW w:w="2493" w:type="dxa"/>
                        <w:vMerge/>
                        <w:hideMark/>
                      </w:tcPr>
                      <w:p w:rsidR="003B66A6" w:rsidRPr="000218F6" w:rsidP="003B66A6" w14:paraId="678A4287" w14:textId="77777777">
                        <w:pPr>
                          <w:rPr>
                            <w:rFonts w:eastAsia="Times New Roman" w:cs="Times New Roman"/>
                            <w:b/>
                            <w:bCs/>
                            <w:sz w:val="24"/>
                            <w:szCs w:val="24"/>
                            <w:lang w:eastAsia="lv-LV"/>
                          </w:rPr>
                        </w:pPr>
                      </w:p>
                    </w:tc>
                    <w:tc>
                      <w:tcPr>
                        <w:tcW w:w="1127" w:type="dxa"/>
                        <w:hideMark/>
                      </w:tcPr>
                      <w:p w:rsidR="003B66A6" w:rsidRPr="000218F6" w:rsidP="003B66A6" w14:paraId="3E2731F3" w14:textId="77777777">
                        <w:pPr>
                          <w:jc w:val="center"/>
                          <w:rPr>
                            <w:rFonts w:eastAsia="Times New Roman" w:cs="Times New Roman"/>
                            <w:sz w:val="24"/>
                            <w:szCs w:val="24"/>
                            <w:lang w:eastAsia="lv-LV"/>
                          </w:rPr>
                        </w:pPr>
                        <w:r w:rsidRPr="000218F6">
                          <w:rPr>
                            <w:rFonts w:eastAsia="Times New Roman" w:cs="Times New Roman"/>
                            <w:sz w:val="24"/>
                            <w:szCs w:val="24"/>
                            <w:lang w:eastAsia="lv-LV"/>
                          </w:rPr>
                          <w:t>saskaņā ar valsts budžetu kārtējam gadam</w:t>
                        </w:r>
                      </w:p>
                    </w:tc>
                    <w:tc>
                      <w:tcPr>
                        <w:tcW w:w="1319" w:type="dxa"/>
                        <w:hideMark/>
                      </w:tcPr>
                      <w:p w:rsidR="003B66A6" w:rsidRPr="000218F6" w:rsidP="003B66A6" w14:paraId="00B40941" w14:textId="77777777">
                        <w:pPr>
                          <w:jc w:val="center"/>
                          <w:rPr>
                            <w:rFonts w:eastAsia="Times New Roman" w:cs="Times New Roman"/>
                            <w:sz w:val="24"/>
                            <w:szCs w:val="24"/>
                            <w:lang w:eastAsia="lv-LV"/>
                          </w:rPr>
                        </w:pPr>
                        <w:r w:rsidRPr="000218F6">
                          <w:rPr>
                            <w:rFonts w:eastAsia="Times New Roman" w:cs="Times New Roman"/>
                            <w:sz w:val="24"/>
                            <w:szCs w:val="24"/>
                            <w:lang w:eastAsia="lv-LV"/>
                          </w:rPr>
                          <w:t>izmaiņas kārtējā gadā, salīdzinot ar valsts budžetu kārtējam gadam</w:t>
                        </w:r>
                      </w:p>
                    </w:tc>
                    <w:tc>
                      <w:tcPr>
                        <w:tcW w:w="1195" w:type="dxa"/>
                        <w:hideMark/>
                      </w:tcPr>
                      <w:p w:rsidR="003B66A6" w:rsidRPr="000218F6" w:rsidP="003B66A6" w14:paraId="15D3AB27" w14:textId="77777777">
                        <w:pPr>
                          <w:jc w:val="center"/>
                          <w:rPr>
                            <w:rFonts w:eastAsia="Times New Roman" w:cs="Times New Roman"/>
                            <w:sz w:val="24"/>
                            <w:szCs w:val="24"/>
                            <w:lang w:eastAsia="lv-LV"/>
                          </w:rPr>
                        </w:pPr>
                        <w:r w:rsidRPr="000218F6">
                          <w:rPr>
                            <w:rFonts w:eastAsia="Times New Roman" w:cs="Times New Roman"/>
                            <w:sz w:val="24"/>
                            <w:szCs w:val="24"/>
                            <w:lang w:eastAsia="lv-LV"/>
                          </w:rPr>
                          <w:t>izmaiņas, salīdzinot ar 2018. gadu</w:t>
                        </w:r>
                      </w:p>
                    </w:tc>
                    <w:tc>
                      <w:tcPr>
                        <w:tcW w:w="1195" w:type="dxa"/>
                        <w:hideMark/>
                      </w:tcPr>
                      <w:p w:rsidR="003B66A6" w:rsidRPr="000218F6" w:rsidP="003B66A6" w14:paraId="7459B4E8" w14:textId="77777777">
                        <w:pPr>
                          <w:jc w:val="center"/>
                          <w:rPr>
                            <w:rFonts w:eastAsia="Times New Roman" w:cs="Times New Roman"/>
                            <w:sz w:val="24"/>
                            <w:szCs w:val="24"/>
                            <w:lang w:eastAsia="lv-LV"/>
                          </w:rPr>
                        </w:pPr>
                        <w:r w:rsidRPr="000218F6">
                          <w:rPr>
                            <w:rFonts w:eastAsia="Times New Roman" w:cs="Times New Roman"/>
                            <w:sz w:val="24"/>
                            <w:szCs w:val="24"/>
                            <w:lang w:eastAsia="lv-LV"/>
                          </w:rPr>
                          <w:t>izmaiņas, salīdzinot ar 2018. gadu</w:t>
                        </w:r>
                      </w:p>
                    </w:tc>
                    <w:tc>
                      <w:tcPr>
                        <w:tcW w:w="1411" w:type="dxa"/>
                        <w:hideMark/>
                      </w:tcPr>
                      <w:p w:rsidR="003B66A6" w:rsidRPr="000218F6" w:rsidP="003B66A6" w14:paraId="307E2766" w14:textId="77777777">
                        <w:pPr>
                          <w:jc w:val="center"/>
                          <w:rPr>
                            <w:rFonts w:eastAsia="Times New Roman" w:cs="Times New Roman"/>
                            <w:sz w:val="24"/>
                            <w:szCs w:val="24"/>
                            <w:lang w:eastAsia="lv-LV"/>
                          </w:rPr>
                        </w:pPr>
                        <w:r w:rsidRPr="000218F6">
                          <w:rPr>
                            <w:rFonts w:eastAsia="Times New Roman" w:cs="Times New Roman"/>
                            <w:sz w:val="24"/>
                            <w:szCs w:val="24"/>
                            <w:lang w:eastAsia="lv-LV"/>
                          </w:rPr>
                          <w:t>izmaiņas, salīdzinot ar 2018. gadu</w:t>
                        </w:r>
                      </w:p>
                    </w:tc>
                  </w:tr>
                  <w:tr w14:paraId="5D68B6E8" w14:textId="77777777" w:rsidTr="005421DC">
                    <w:tblPrEx>
                      <w:tblW w:w="8740" w:type="dxa"/>
                      <w:tblLayout w:type="fixed"/>
                      <w:tblLook w:val="04A0"/>
                    </w:tblPrEx>
                    <w:trPr>
                      <w:trHeight w:val="286"/>
                    </w:trPr>
                    <w:tc>
                      <w:tcPr>
                        <w:tcW w:w="2493" w:type="dxa"/>
                        <w:hideMark/>
                      </w:tcPr>
                      <w:p w:rsidR="003B66A6" w:rsidRPr="00F2409B" w:rsidP="003B66A6" w14:paraId="6E51329F" w14:textId="77777777">
                        <w:pPr>
                          <w:ind w:firstLine="300"/>
                          <w:jc w:val="center"/>
                          <w:rPr>
                            <w:rFonts w:eastAsia="Times New Roman" w:cs="Times New Roman"/>
                            <w:sz w:val="24"/>
                            <w:szCs w:val="24"/>
                            <w:lang w:eastAsia="lv-LV"/>
                          </w:rPr>
                        </w:pPr>
                        <w:r w:rsidRPr="00F2409B">
                          <w:rPr>
                            <w:rFonts w:eastAsia="Times New Roman" w:cs="Times New Roman"/>
                            <w:sz w:val="24"/>
                            <w:szCs w:val="24"/>
                            <w:lang w:eastAsia="lv-LV"/>
                          </w:rPr>
                          <w:t>1</w:t>
                        </w:r>
                      </w:p>
                    </w:tc>
                    <w:tc>
                      <w:tcPr>
                        <w:tcW w:w="1127" w:type="dxa"/>
                        <w:hideMark/>
                      </w:tcPr>
                      <w:p w:rsidR="003B66A6" w:rsidRPr="008448BD" w:rsidP="003B66A6" w14:paraId="3C0FFA11" w14:textId="77777777">
                        <w:pPr>
                          <w:ind w:firstLine="300"/>
                          <w:jc w:val="center"/>
                          <w:rPr>
                            <w:rFonts w:eastAsia="Times New Roman" w:cs="Times New Roman"/>
                            <w:sz w:val="24"/>
                            <w:szCs w:val="24"/>
                            <w:lang w:eastAsia="lv-LV"/>
                          </w:rPr>
                        </w:pPr>
                        <w:r w:rsidRPr="008448BD">
                          <w:rPr>
                            <w:rFonts w:eastAsia="Times New Roman" w:cs="Times New Roman"/>
                            <w:sz w:val="24"/>
                            <w:szCs w:val="24"/>
                            <w:lang w:eastAsia="lv-LV"/>
                          </w:rPr>
                          <w:t>2</w:t>
                        </w:r>
                      </w:p>
                    </w:tc>
                    <w:tc>
                      <w:tcPr>
                        <w:tcW w:w="1319" w:type="dxa"/>
                        <w:hideMark/>
                      </w:tcPr>
                      <w:p w:rsidR="003B66A6" w:rsidRPr="000218F6" w:rsidP="003B66A6" w14:paraId="4BF94534" w14:textId="77777777">
                        <w:pPr>
                          <w:jc w:val="center"/>
                          <w:rPr>
                            <w:rFonts w:eastAsia="Times New Roman" w:cs="Times New Roman"/>
                            <w:sz w:val="24"/>
                            <w:szCs w:val="24"/>
                            <w:lang w:eastAsia="lv-LV"/>
                          </w:rPr>
                        </w:pPr>
                        <w:r w:rsidRPr="000218F6">
                          <w:rPr>
                            <w:rFonts w:eastAsia="Times New Roman" w:cs="Times New Roman"/>
                            <w:sz w:val="24"/>
                            <w:szCs w:val="24"/>
                            <w:lang w:eastAsia="lv-LV"/>
                          </w:rPr>
                          <w:t>3</w:t>
                        </w:r>
                      </w:p>
                    </w:tc>
                    <w:tc>
                      <w:tcPr>
                        <w:tcW w:w="1195" w:type="dxa"/>
                        <w:hideMark/>
                      </w:tcPr>
                      <w:p w:rsidR="003B66A6" w:rsidRPr="000218F6" w:rsidP="003B66A6" w14:paraId="34E0AC5D" w14:textId="77777777">
                        <w:pPr>
                          <w:jc w:val="center"/>
                          <w:rPr>
                            <w:rFonts w:eastAsia="Times New Roman" w:cs="Times New Roman"/>
                            <w:sz w:val="24"/>
                            <w:szCs w:val="24"/>
                            <w:lang w:eastAsia="lv-LV"/>
                          </w:rPr>
                        </w:pPr>
                        <w:r w:rsidRPr="000218F6">
                          <w:rPr>
                            <w:rFonts w:eastAsia="Times New Roman" w:cs="Times New Roman"/>
                            <w:sz w:val="24"/>
                            <w:szCs w:val="24"/>
                            <w:lang w:eastAsia="lv-LV"/>
                          </w:rPr>
                          <w:t>4</w:t>
                        </w:r>
                      </w:p>
                    </w:tc>
                    <w:tc>
                      <w:tcPr>
                        <w:tcW w:w="1195" w:type="dxa"/>
                        <w:hideMark/>
                      </w:tcPr>
                      <w:p w:rsidR="003B66A6" w:rsidRPr="000218F6" w:rsidP="003B66A6" w14:paraId="2A4148C6" w14:textId="77777777">
                        <w:pPr>
                          <w:ind w:firstLine="300"/>
                          <w:jc w:val="center"/>
                          <w:rPr>
                            <w:rFonts w:eastAsia="Times New Roman" w:cs="Times New Roman"/>
                            <w:sz w:val="24"/>
                            <w:szCs w:val="24"/>
                            <w:lang w:eastAsia="lv-LV"/>
                          </w:rPr>
                        </w:pPr>
                        <w:r w:rsidRPr="000218F6">
                          <w:rPr>
                            <w:rFonts w:eastAsia="Times New Roman" w:cs="Times New Roman"/>
                            <w:sz w:val="24"/>
                            <w:szCs w:val="24"/>
                            <w:lang w:eastAsia="lv-LV"/>
                          </w:rPr>
                          <w:t>5</w:t>
                        </w:r>
                      </w:p>
                    </w:tc>
                    <w:tc>
                      <w:tcPr>
                        <w:tcW w:w="1411" w:type="dxa"/>
                        <w:hideMark/>
                      </w:tcPr>
                      <w:p w:rsidR="003B66A6" w:rsidRPr="000218F6" w:rsidP="003B66A6" w14:paraId="2591975E" w14:textId="77777777">
                        <w:pPr>
                          <w:ind w:firstLine="300"/>
                          <w:jc w:val="center"/>
                          <w:rPr>
                            <w:rFonts w:eastAsia="Times New Roman" w:cs="Times New Roman"/>
                            <w:sz w:val="24"/>
                            <w:szCs w:val="24"/>
                            <w:lang w:eastAsia="lv-LV"/>
                          </w:rPr>
                        </w:pPr>
                        <w:r w:rsidRPr="000218F6">
                          <w:rPr>
                            <w:rFonts w:eastAsia="Times New Roman" w:cs="Times New Roman"/>
                            <w:sz w:val="24"/>
                            <w:szCs w:val="24"/>
                            <w:lang w:eastAsia="lv-LV"/>
                          </w:rPr>
                          <w:t>6</w:t>
                        </w:r>
                      </w:p>
                    </w:tc>
                  </w:tr>
                  <w:tr w14:paraId="4943DFC5" w14:textId="77777777" w:rsidTr="005421DC">
                    <w:tblPrEx>
                      <w:tblW w:w="8740" w:type="dxa"/>
                      <w:tblLayout w:type="fixed"/>
                      <w:tblLook w:val="04A0"/>
                    </w:tblPrEx>
                    <w:trPr>
                      <w:trHeight w:val="286"/>
                    </w:trPr>
                    <w:tc>
                      <w:tcPr>
                        <w:tcW w:w="2493" w:type="dxa"/>
                        <w:hideMark/>
                      </w:tcPr>
                      <w:p w:rsidR="003B66A6" w:rsidRPr="00F2409B" w:rsidP="003B66A6" w14:paraId="153DC03F" w14:textId="77777777">
                        <w:pPr>
                          <w:rPr>
                            <w:rFonts w:eastAsia="Times New Roman" w:cs="Times New Roman"/>
                            <w:sz w:val="24"/>
                            <w:szCs w:val="24"/>
                            <w:lang w:eastAsia="lv-LV"/>
                          </w:rPr>
                        </w:pPr>
                        <w:r w:rsidRPr="00F2409B">
                          <w:rPr>
                            <w:rFonts w:eastAsia="Times New Roman" w:cs="Times New Roman"/>
                            <w:sz w:val="24"/>
                            <w:szCs w:val="24"/>
                            <w:lang w:eastAsia="lv-LV"/>
                          </w:rPr>
                          <w:t>1. Budžeta ieņēmumi:</w:t>
                        </w:r>
                      </w:p>
                    </w:tc>
                    <w:tc>
                      <w:tcPr>
                        <w:tcW w:w="1127" w:type="dxa"/>
                        <w:hideMark/>
                      </w:tcPr>
                      <w:p w:rsidR="003B66A6" w:rsidRPr="008448BD" w:rsidP="003B66A6" w14:paraId="7D04DBD1" w14:textId="77777777">
                        <w:pPr>
                          <w:jc w:val="center"/>
                          <w:rPr>
                            <w:rFonts w:eastAsia="Times New Roman" w:cs="Times New Roman"/>
                            <w:sz w:val="24"/>
                            <w:szCs w:val="24"/>
                            <w:lang w:eastAsia="lv-LV"/>
                          </w:rPr>
                        </w:pPr>
                        <w:r w:rsidRPr="008448BD">
                          <w:rPr>
                            <w:rFonts w:eastAsia="Times New Roman" w:cs="Times New Roman"/>
                            <w:sz w:val="24"/>
                            <w:szCs w:val="24"/>
                            <w:lang w:eastAsia="lv-LV"/>
                          </w:rPr>
                          <w:t>0</w:t>
                        </w:r>
                      </w:p>
                    </w:tc>
                    <w:tc>
                      <w:tcPr>
                        <w:tcW w:w="1319" w:type="dxa"/>
                        <w:hideMark/>
                      </w:tcPr>
                      <w:p w:rsidR="003B66A6" w:rsidRPr="000218F6" w:rsidP="003B66A6" w14:paraId="3E71E433"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324C5B5C"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3659A24D"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hideMark/>
                      </w:tcPr>
                      <w:p w:rsidR="003B66A6" w:rsidRPr="000218F6" w:rsidP="003B66A6" w14:paraId="27B4418F" w14:textId="77777777">
                        <w:pPr>
                          <w:jc w:val="center"/>
                          <w:rPr>
                            <w:rFonts w:eastAsia="Times New Roman" w:cs="Times New Roman"/>
                            <w:sz w:val="24"/>
                            <w:szCs w:val="24"/>
                            <w:lang w:eastAsia="lv-LV"/>
                          </w:rPr>
                        </w:pPr>
                        <w:r w:rsidRPr="000218F6">
                          <w:rPr>
                            <w:rFonts w:eastAsia="Times New Roman" w:cs="Times New Roman"/>
                            <w:sz w:val="24"/>
                            <w:szCs w:val="24"/>
                          </w:rPr>
                          <w:t>0</w:t>
                        </w:r>
                      </w:p>
                    </w:tc>
                  </w:tr>
                  <w:tr w14:paraId="6A04E5FF" w14:textId="77777777" w:rsidTr="005421DC">
                    <w:tblPrEx>
                      <w:tblW w:w="8740" w:type="dxa"/>
                      <w:tblLayout w:type="fixed"/>
                      <w:tblLook w:val="04A0"/>
                    </w:tblPrEx>
                    <w:trPr>
                      <w:trHeight w:val="1119"/>
                    </w:trPr>
                    <w:tc>
                      <w:tcPr>
                        <w:tcW w:w="2493" w:type="dxa"/>
                        <w:hideMark/>
                      </w:tcPr>
                      <w:p w:rsidR="003B66A6" w:rsidRPr="008448BD" w:rsidP="003B66A6" w14:paraId="4BEC53B8" w14:textId="77777777">
                        <w:pPr>
                          <w:rPr>
                            <w:rFonts w:eastAsia="Times New Roman" w:cs="Times New Roman"/>
                            <w:sz w:val="24"/>
                            <w:szCs w:val="24"/>
                            <w:lang w:eastAsia="lv-LV"/>
                          </w:rPr>
                        </w:pPr>
                        <w:r w:rsidRPr="00F2409B">
                          <w:rPr>
                            <w:rFonts w:eastAsia="Times New Roman" w:cs="Times New Roman"/>
                            <w:sz w:val="24"/>
                            <w:szCs w:val="24"/>
                            <w:lang w:eastAsia="lv-LV"/>
                          </w:rPr>
                          <w:t>1.1. valsts pamatbudžets, tai skaitā ieņēmumi no maksas pakalpojumiem un citi pašu ieņēmumi</w:t>
                        </w:r>
                      </w:p>
                    </w:tc>
                    <w:tc>
                      <w:tcPr>
                        <w:tcW w:w="1127" w:type="dxa"/>
                      </w:tcPr>
                      <w:p w:rsidR="003B66A6" w:rsidRPr="000218F6" w:rsidP="003B66A6" w14:paraId="44549ACD"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319" w:type="dxa"/>
                      </w:tcPr>
                      <w:p w:rsidR="003B66A6" w:rsidRPr="000218F6" w:rsidP="003B66A6" w14:paraId="7CC385F5" w14:textId="77777777">
                        <w:pPr>
                          <w:jc w:val="center"/>
                          <w:rPr>
                            <w:rFonts w:eastAsia="Times New Roman" w:cs="Times New Roman"/>
                            <w:sz w:val="24"/>
                            <w:szCs w:val="24"/>
                            <w:lang w:eastAsia="lv-LV"/>
                          </w:rPr>
                        </w:pPr>
                        <w:r w:rsidRPr="000218F6">
                          <w:rPr>
                            <w:rFonts w:eastAsia="Times New Roman" w:cs="Times New Roman"/>
                            <w:sz w:val="24"/>
                            <w:szCs w:val="24"/>
                          </w:rPr>
                          <w:t>0</w:t>
                        </w:r>
                      </w:p>
                    </w:tc>
                    <w:tc>
                      <w:tcPr>
                        <w:tcW w:w="1195" w:type="dxa"/>
                      </w:tcPr>
                      <w:p w:rsidR="003B66A6" w:rsidRPr="000218F6" w:rsidP="003B66A6" w14:paraId="73F6FFE3"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65C39947" w14:textId="77777777">
                        <w:pPr>
                          <w:jc w:val="center"/>
                          <w:rPr>
                            <w:rFonts w:eastAsia="Times New Roman" w:cs="Times New Roman"/>
                            <w:sz w:val="24"/>
                            <w:szCs w:val="24"/>
                            <w:lang w:eastAsia="lv-LV"/>
                          </w:rPr>
                        </w:pPr>
                        <w:r w:rsidRPr="000218F6">
                          <w:rPr>
                            <w:rFonts w:eastAsia="Times New Roman" w:cs="Times New Roman"/>
                            <w:sz w:val="24"/>
                            <w:szCs w:val="24"/>
                          </w:rPr>
                          <w:t>0</w:t>
                        </w:r>
                      </w:p>
                    </w:tc>
                    <w:tc>
                      <w:tcPr>
                        <w:tcW w:w="1411" w:type="dxa"/>
                      </w:tcPr>
                      <w:p w:rsidR="003B66A6" w:rsidRPr="000218F6" w:rsidP="003B66A6" w14:paraId="1BDC35B3" w14:textId="77777777">
                        <w:pPr>
                          <w:jc w:val="center"/>
                          <w:rPr>
                            <w:rFonts w:eastAsia="Times New Roman" w:cs="Times New Roman"/>
                            <w:sz w:val="24"/>
                            <w:szCs w:val="24"/>
                            <w:lang w:eastAsia="lv-LV"/>
                          </w:rPr>
                        </w:pPr>
                        <w:r w:rsidRPr="000218F6">
                          <w:rPr>
                            <w:rFonts w:eastAsia="Times New Roman" w:cs="Times New Roman"/>
                            <w:sz w:val="24"/>
                            <w:szCs w:val="24"/>
                          </w:rPr>
                          <w:t>0</w:t>
                        </w:r>
                      </w:p>
                    </w:tc>
                  </w:tr>
                  <w:tr w14:paraId="455425A3" w14:textId="77777777" w:rsidTr="005421DC">
                    <w:tblPrEx>
                      <w:tblW w:w="8740" w:type="dxa"/>
                      <w:tblLayout w:type="fixed"/>
                      <w:tblLook w:val="04A0"/>
                    </w:tblPrEx>
                    <w:trPr>
                      <w:trHeight w:val="559"/>
                    </w:trPr>
                    <w:tc>
                      <w:tcPr>
                        <w:tcW w:w="2493" w:type="dxa"/>
                        <w:hideMark/>
                      </w:tcPr>
                      <w:p w:rsidR="003B66A6" w:rsidRPr="008448BD" w:rsidP="003B66A6" w14:paraId="58F85CE6" w14:textId="77777777">
                        <w:pPr>
                          <w:rPr>
                            <w:rFonts w:eastAsia="Times New Roman" w:cs="Times New Roman"/>
                            <w:sz w:val="24"/>
                            <w:szCs w:val="24"/>
                            <w:lang w:eastAsia="lv-LV"/>
                          </w:rPr>
                        </w:pPr>
                        <w:r w:rsidRPr="00F2409B">
                          <w:rPr>
                            <w:rFonts w:eastAsia="Times New Roman" w:cs="Times New Roman"/>
                            <w:sz w:val="24"/>
                            <w:szCs w:val="24"/>
                            <w:lang w:eastAsia="lv-LV"/>
                          </w:rPr>
                          <w:t>1.2. valsts speciālais budžets</w:t>
                        </w:r>
                      </w:p>
                    </w:tc>
                    <w:tc>
                      <w:tcPr>
                        <w:tcW w:w="1127" w:type="dxa"/>
                      </w:tcPr>
                      <w:p w:rsidR="003B66A6" w:rsidRPr="000218F6" w:rsidP="003B66A6" w14:paraId="4B10C7A9" w14:textId="77777777">
                        <w:pPr>
                          <w:jc w:val="center"/>
                          <w:rPr>
                            <w:rFonts w:eastAsia="Times New Roman" w:cs="Times New Roman"/>
                            <w:sz w:val="24"/>
                            <w:szCs w:val="24"/>
                            <w:lang w:eastAsia="lv-LV"/>
                          </w:rPr>
                        </w:pPr>
                        <w:r w:rsidRPr="000218F6">
                          <w:rPr>
                            <w:rFonts w:eastAsia="Times New Roman" w:cs="Times New Roman"/>
                            <w:sz w:val="24"/>
                            <w:szCs w:val="24"/>
                          </w:rPr>
                          <w:t>0</w:t>
                        </w:r>
                      </w:p>
                    </w:tc>
                    <w:tc>
                      <w:tcPr>
                        <w:tcW w:w="1319" w:type="dxa"/>
                      </w:tcPr>
                      <w:p w:rsidR="003B66A6" w:rsidRPr="000218F6" w:rsidP="003B66A6" w14:paraId="5DC86BA5" w14:textId="77777777">
                        <w:pPr>
                          <w:jc w:val="center"/>
                          <w:rPr>
                            <w:rFonts w:eastAsia="Times New Roman" w:cs="Times New Roman"/>
                            <w:sz w:val="24"/>
                            <w:szCs w:val="24"/>
                            <w:lang w:eastAsia="lv-LV"/>
                          </w:rPr>
                        </w:pPr>
                        <w:r w:rsidRPr="000218F6">
                          <w:rPr>
                            <w:rFonts w:eastAsia="Times New Roman" w:cs="Times New Roman"/>
                            <w:sz w:val="24"/>
                            <w:szCs w:val="24"/>
                          </w:rPr>
                          <w:t>0</w:t>
                        </w:r>
                      </w:p>
                    </w:tc>
                    <w:tc>
                      <w:tcPr>
                        <w:tcW w:w="1195" w:type="dxa"/>
                      </w:tcPr>
                      <w:p w:rsidR="003B66A6" w:rsidRPr="000218F6" w:rsidP="003B66A6" w14:paraId="6CD67D31"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7B8DC259" w14:textId="77777777">
                        <w:pPr>
                          <w:jc w:val="center"/>
                          <w:rPr>
                            <w:rFonts w:eastAsia="Times New Roman" w:cs="Times New Roman"/>
                            <w:sz w:val="24"/>
                            <w:szCs w:val="24"/>
                            <w:lang w:eastAsia="lv-LV"/>
                          </w:rPr>
                        </w:pPr>
                        <w:r w:rsidRPr="000218F6">
                          <w:rPr>
                            <w:rFonts w:eastAsia="Times New Roman" w:cs="Times New Roman"/>
                            <w:sz w:val="24"/>
                            <w:szCs w:val="24"/>
                          </w:rPr>
                          <w:t>0</w:t>
                        </w:r>
                      </w:p>
                    </w:tc>
                    <w:tc>
                      <w:tcPr>
                        <w:tcW w:w="1411" w:type="dxa"/>
                      </w:tcPr>
                      <w:p w:rsidR="003B66A6" w:rsidRPr="000218F6" w:rsidP="003B66A6" w14:paraId="0865D2C9" w14:textId="77777777">
                        <w:pPr>
                          <w:jc w:val="center"/>
                          <w:rPr>
                            <w:rFonts w:eastAsia="Times New Roman" w:cs="Times New Roman"/>
                            <w:sz w:val="24"/>
                            <w:szCs w:val="24"/>
                            <w:lang w:eastAsia="lv-LV"/>
                          </w:rPr>
                        </w:pPr>
                        <w:r w:rsidRPr="000218F6">
                          <w:rPr>
                            <w:rFonts w:eastAsia="Times New Roman" w:cs="Times New Roman"/>
                            <w:sz w:val="24"/>
                            <w:szCs w:val="24"/>
                          </w:rPr>
                          <w:t>0</w:t>
                        </w:r>
                      </w:p>
                    </w:tc>
                  </w:tr>
                  <w:tr w14:paraId="5A9A1D84" w14:textId="77777777" w:rsidTr="005421DC">
                    <w:tblPrEx>
                      <w:tblW w:w="8740" w:type="dxa"/>
                      <w:tblLayout w:type="fixed"/>
                      <w:tblLook w:val="04A0"/>
                    </w:tblPrEx>
                    <w:trPr>
                      <w:trHeight w:val="300"/>
                    </w:trPr>
                    <w:tc>
                      <w:tcPr>
                        <w:tcW w:w="2493" w:type="dxa"/>
                        <w:hideMark/>
                      </w:tcPr>
                      <w:p w:rsidR="003B66A6" w:rsidRPr="00F2409B" w:rsidP="003B66A6" w14:paraId="4834B608" w14:textId="77777777">
                        <w:pPr>
                          <w:rPr>
                            <w:rFonts w:eastAsia="Times New Roman" w:cs="Times New Roman"/>
                            <w:sz w:val="24"/>
                            <w:szCs w:val="24"/>
                            <w:lang w:eastAsia="lv-LV"/>
                          </w:rPr>
                        </w:pPr>
                        <w:r w:rsidRPr="00F2409B">
                          <w:rPr>
                            <w:rFonts w:eastAsia="Times New Roman" w:cs="Times New Roman"/>
                            <w:sz w:val="24"/>
                            <w:szCs w:val="24"/>
                            <w:lang w:eastAsia="lv-LV"/>
                          </w:rPr>
                          <w:t>1.3. pašvaldību budžets</w:t>
                        </w:r>
                      </w:p>
                    </w:tc>
                    <w:tc>
                      <w:tcPr>
                        <w:tcW w:w="1127" w:type="dxa"/>
                      </w:tcPr>
                      <w:p w:rsidR="003B66A6" w:rsidRPr="008448BD" w:rsidP="003B66A6" w14:paraId="29382640" w14:textId="77777777">
                        <w:pPr>
                          <w:jc w:val="center"/>
                          <w:rPr>
                            <w:rFonts w:eastAsia="Times New Roman" w:cs="Times New Roman"/>
                            <w:sz w:val="24"/>
                            <w:szCs w:val="24"/>
                            <w:lang w:eastAsia="lv-LV"/>
                          </w:rPr>
                        </w:pPr>
                        <w:r w:rsidRPr="008448BD">
                          <w:rPr>
                            <w:rFonts w:eastAsia="Times New Roman" w:cs="Times New Roman"/>
                            <w:sz w:val="24"/>
                            <w:szCs w:val="24"/>
                          </w:rPr>
                          <w:t>0</w:t>
                        </w:r>
                      </w:p>
                    </w:tc>
                    <w:tc>
                      <w:tcPr>
                        <w:tcW w:w="1319" w:type="dxa"/>
                      </w:tcPr>
                      <w:p w:rsidR="003B66A6" w:rsidRPr="000218F6" w:rsidP="003B66A6" w14:paraId="6A203AD1"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717D4E65"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6F357D29"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tcPr>
                      <w:p w:rsidR="003B66A6" w:rsidRPr="000218F6" w:rsidP="003B66A6" w14:paraId="720F937D"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57AE48AB" w14:textId="77777777" w:rsidTr="005421DC">
                    <w:tblPrEx>
                      <w:tblW w:w="8740" w:type="dxa"/>
                      <w:tblLayout w:type="fixed"/>
                      <w:tblLook w:val="04A0"/>
                    </w:tblPrEx>
                    <w:trPr>
                      <w:trHeight w:val="286"/>
                    </w:trPr>
                    <w:tc>
                      <w:tcPr>
                        <w:tcW w:w="2493" w:type="dxa"/>
                        <w:hideMark/>
                      </w:tcPr>
                      <w:p w:rsidR="003B66A6" w:rsidRPr="00F2409B" w:rsidP="003B66A6" w14:paraId="656B3B93" w14:textId="77777777">
                        <w:pPr>
                          <w:rPr>
                            <w:rFonts w:eastAsia="Times New Roman" w:cs="Times New Roman"/>
                            <w:sz w:val="24"/>
                            <w:szCs w:val="24"/>
                            <w:lang w:eastAsia="lv-LV"/>
                          </w:rPr>
                        </w:pPr>
                        <w:r w:rsidRPr="00F2409B">
                          <w:rPr>
                            <w:rFonts w:eastAsia="Times New Roman" w:cs="Times New Roman"/>
                            <w:sz w:val="24"/>
                            <w:szCs w:val="24"/>
                            <w:lang w:eastAsia="lv-LV"/>
                          </w:rPr>
                          <w:t>2. Budžeta izdevumi:</w:t>
                        </w:r>
                      </w:p>
                    </w:tc>
                    <w:tc>
                      <w:tcPr>
                        <w:tcW w:w="1127" w:type="dxa"/>
                      </w:tcPr>
                      <w:p w:rsidR="003B66A6" w:rsidRPr="008448BD" w:rsidP="003B66A6" w14:paraId="5DD96273" w14:textId="77777777">
                        <w:pPr>
                          <w:jc w:val="center"/>
                          <w:rPr>
                            <w:rFonts w:eastAsia="Times New Roman" w:cs="Times New Roman"/>
                            <w:sz w:val="24"/>
                            <w:szCs w:val="24"/>
                            <w:lang w:eastAsia="lv-LV"/>
                          </w:rPr>
                        </w:pPr>
                        <w:r w:rsidRPr="008448BD">
                          <w:rPr>
                            <w:rFonts w:eastAsia="Times New Roman" w:cs="Times New Roman"/>
                            <w:sz w:val="24"/>
                            <w:szCs w:val="24"/>
                            <w:lang w:eastAsia="lv-LV"/>
                          </w:rPr>
                          <w:t>0</w:t>
                        </w:r>
                      </w:p>
                    </w:tc>
                    <w:tc>
                      <w:tcPr>
                        <w:tcW w:w="1319" w:type="dxa"/>
                      </w:tcPr>
                      <w:p w:rsidR="003B66A6" w:rsidRPr="000218F6" w:rsidP="003B66A6" w14:paraId="77A2ACC4" w14:textId="2B510971">
                        <w:pPr>
                          <w:jc w:val="center"/>
                          <w:rPr>
                            <w:rFonts w:eastAsia="Times New Roman" w:cs="Times New Roman"/>
                            <w:sz w:val="24"/>
                            <w:szCs w:val="24"/>
                            <w:lang w:eastAsia="lv-LV"/>
                          </w:rPr>
                        </w:pPr>
                        <w:r w:rsidRPr="000218F6">
                          <w:rPr>
                            <w:rFonts w:eastAsia="Times New Roman" w:cs="Times New Roman"/>
                            <w:sz w:val="24"/>
                            <w:szCs w:val="24"/>
                            <w:lang w:eastAsia="lv-LV"/>
                          </w:rPr>
                          <w:t>12 5</w:t>
                        </w:r>
                        <w:r w:rsidR="00565D24">
                          <w:rPr>
                            <w:rFonts w:eastAsia="Times New Roman" w:cs="Times New Roman"/>
                            <w:sz w:val="24"/>
                            <w:szCs w:val="24"/>
                            <w:lang w:eastAsia="lv-LV"/>
                          </w:rPr>
                          <w:t>23</w:t>
                        </w:r>
                      </w:p>
                    </w:tc>
                    <w:tc>
                      <w:tcPr>
                        <w:tcW w:w="1195" w:type="dxa"/>
                      </w:tcPr>
                      <w:p w:rsidR="003B66A6" w:rsidRPr="000218F6" w:rsidP="003B66A6" w14:paraId="36CAD6FC" w14:textId="77777777">
                        <w:pPr>
                          <w:jc w:val="center"/>
                          <w:rPr>
                            <w:rFonts w:cs="Times New Roman"/>
                            <w:sz w:val="24"/>
                            <w:szCs w:val="24"/>
                          </w:rPr>
                        </w:pPr>
                        <w:r w:rsidRPr="000218F6">
                          <w:rPr>
                            <w:rFonts w:cs="Times New Roman"/>
                            <w:sz w:val="24"/>
                            <w:szCs w:val="24"/>
                          </w:rPr>
                          <w:t>0</w:t>
                        </w:r>
                      </w:p>
                    </w:tc>
                    <w:tc>
                      <w:tcPr>
                        <w:tcW w:w="1195" w:type="dxa"/>
                      </w:tcPr>
                      <w:p w:rsidR="003B66A6" w:rsidRPr="000218F6" w:rsidP="003B66A6" w14:paraId="1EA65E16" w14:textId="77777777">
                        <w:pPr>
                          <w:jc w:val="center"/>
                          <w:rPr>
                            <w:rFonts w:cs="Times New Roman"/>
                            <w:sz w:val="24"/>
                            <w:szCs w:val="24"/>
                          </w:rPr>
                        </w:pPr>
                        <w:r w:rsidRPr="000218F6">
                          <w:rPr>
                            <w:rFonts w:cs="Times New Roman"/>
                            <w:sz w:val="24"/>
                            <w:szCs w:val="24"/>
                          </w:rPr>
                          <w:t>0</w:t>
                        </w:r>
                      </w:p>
                    </w:tc>
                    <w:tc>
                      <w:tcPr>
                        <w:tcW w:w="1411" w:type="dxa"/>
                      </w:tcPr>
                      <w:p w:rsidR="003B66A6" w:rsidRPr="000218F6" w:rsidP="003B66A6" w14:paraId="6F7431FA" w14:textId="77777777">
                        <w:pPr>
                          <w:jc w:val="center"/>
                          <w:rPr>
                            <w:rFonts w:cs="Times New Roman"/>
                            <w:sz w:val="24"/>
                            <w:szCs w:val="24"/>
                          </w:rPr>
                        </w:pPr>
                        <w:r w:rsidRPr="000218F6">
                          <w:rPr>
                            <w:rFonts w:cs="Times New Roman"/>
                            <w:sz w:val="24"/>
                            <w:szCs w:val="24"/>
                          </w:rPr>
                          <w:t>0</w:t>
                        </w:r>
                      </w:p>
                    </w:tc>
                  </w:tr>
                  <w:tr w14:paraId="741A3D48" w14:textId="77777777" w:rsidTr="005421DC">
                    <w:tblPrEx>
                      <w:tblW w:w="8740" w:type="dxa"/>
                      <w:tblLayout w:type="fixed"/>
                      <w:tblLook w:val="04A0"/>
                    </w:tblPrEx>
                    <w:trPr>
                      <w:trHeight w:val="286"/>
                    </w:trPr>
                    <w:tc>
                      <w:tcPr>
                        <w:tcW w:w="2493" w:type="dxa"/>
                        <w:hideMark/>
                      </w:tcPr>
                      <w:p w:rsidR="003B66A6" w:rsidRPr="008448BD" w:rsidP="003B66A6" w14:paraId="5426A3E8" w14:textId="77777777">
                        <w:pPr>
                          <w:rPr>
                            <w:rFonts w:eastAsia="Times New Roman" w:cs="Times New Roman"/>
                            <w:sz w:val="24"/>
                            <w:szCs w:val="24"/>
                            <w:lang w:eastAsia="lv-LV"/>
                          </w:rPr>
                        </w:pPr>
                        <w:r w:rsidRPr="00F2409B">
                          <w:rPr>
                            <w:rFonts w:eastAsia="Times New Roman" w:cs="Times New Roman"/>
                            <w:sz w:val="24"/>
                            <w:szCs w:val="24"/>
                            <w:lang w:eastAsia="lv-LV"/>
                          </w:rPr>
                          <w:t>2.1. valsts pamatbudžets</w:t>
                        </w:r>
                      </w:p>
                    </w:tc>
                    <w:tc>
                      <w:tcPr>
                        <w:tcW w:w="1127" w:type="dxa"/>
                      </w:tcPr>
                      <w:p w:rsidR="003B66A6" w:rsidRPr="000218F6" w:rsidP="003B66A6" w14:paraId="696AE8AD"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319" w:type="dxa"/>
                      </w:tcPr>
                      <w:p w:rsidR="003B66A6" w:rsidRPr="000218F6" w:rsidP="003B66A6" w14:paraId="456D162E" w14:textId="56B81355">
                        <w:pPr>
                          <w:jc w:val="center"/>
                          <w:rPr>
                            <w:rFonts w:eastAsia="Times New Roman" w:cs="Times New Roman"/>
                            <w:sz w:val="24"/>
                            <w:szCs w:val="24"/>
                            <w:lang w:eastAsia="lv-LV"/>
                          </w:rPr>
                        </w:pPr>
                        <w:r w:rsidRPr="000218F6">
                          <w:rPr>
                            <w:rFonts w:eastAsia="Times New Roman" w:cs="Times New Roman"/>
                            <w:sz w:val="24"/>
                            <w:szCs w:val="24"/>
                            <w:lang w:eastAsia="lv-LV"/>
                          </w:rPr>
                          <w:t>12 5</w:t>
                        </w:r>
                        <w:r w:rsidR="00565D24">
                          <w:rPr>
                            <w:rFonts w:eastAsia="Times New Roman" w:cs="Times New Roman"/>
                            <w:sz w:val="24"/>
                            <w:szCs w:val="24"/>
                            <w:lang w:eastAsia="lv-LV"/>
                          </w:rPr>
                          <w:t>23</w:t>
                        </w:r>
                      </w:p>
                    </w:tc>
                    <w:tc>
                      <w:tcPr>
                        <w:tcW w:w="1195" w:type="dxa"/>
                      </w:tcPr>
                      <w:p w:rsidR="003B66A6" w:rsidRPr="000218F6" w:rsidP="003B66A6" w14:paraId="04F8BAAE" w14:textId="77777777">
                        <w:pPr>
                          <w:jc w:val="center"/>
                          <w:rPr>
                            <w:rFonts w:cs="Times New Roman"/>
                            <w:sz w:val="24"/>
                            <w:szCs w:val="24"/>
                          </w:rPr>
                        </w:pPr>
                        <w:r w:rsidRPr="000218F6">
                          <w:rPr>
                            <w:rFonts w:cs="Times New Roman"/>
                            <w:sz w:val="24"/>
                            <w:szCs w:val="24"/>
                          </w:rPr>
                          <w:t>0</w:t>
                        </w:r>
                      </w:p>
                    </w:tc>
                    <w:tc>
                      <w:tcPr>
                        <w:tcW w:w="1195" w:type="dxa"/>
                      </w:tcPr>
                      <w:p w:rsidR="003B66A6" w:rsidRPr="000218F6" w:rsidP="003B66A6" w14:paraId="551E6220" w14:textId="77777777">
                        <w:pPr>
                          <w:jc w:val="center"/>
                          <w:rPr>
                            <w:rFonts w:cs="Times New Roman"/>
                            <w:sz w:val="24"/>
                            <w:szCs w:val="24"/>
                          </w:rPr>
                        </w:pPr>
                        <w:r w:rsidRPr="000218F6">
                          <w:rPr>
                            <w:rFonts w:cs="Times New Roman"/>
                            <w:sz w:val="24"/>
                            <w:szCs w:val="24"/>
                          </w:rPr>
                          <w:t>0</w:t>
                        </w:r>
                      </w:p>
                    </w:tc>
                    <w:tc>
                      <w:tcPr>
                        <w:tcW w:w="1411" w:type="dxa"/>
                      </w:tcPr>
                      <w:p w:rsidR="003B66A6" w:rsidRPr="000218F6" w:rsidP="003B66A6" w14:paraId="09A75951" w14:textId="77777777">
                        <w:pPr>
                          <w:jc w:val="center"/>
                          <w:rPr>
                            <w:rFonts w:cs="Times New Roman"/>
                            <w:sz w:val="24"/>
                            <w:szCs w:val="24"/>
                          </w:rPr>
                        </w:pPr>
                        <w:r w:rsidRPr="000218F6">
                          <w:rPr>
                            <w:rFonts w:cs="Times New Roman"/>
                            <w:sz w:val="24"/>
                            <w:szCs w:val="24"/>
                          </w:rPr>
                          <w:t>0</w:t>
                        </w:r>
                      </w:p>
                    </w:tc>
                  </w:tr>
                  <w:tr w14:paraId="7D234C53" w14:textId="77777777" w:rsidTr="005421DC">
                    <w:tblPrEx>
                      <w:tblW w:w="8740" w:type="dxa"/>
                      <w:tblLayout w:type="fixed"/>
                      <w:tblLook w:val="04A0"/>
                    </w:tblPrEx>
                    <w:trPr>
                      <w:trHeight w:val="559"/>
                    </w:trPr>
                    <w:tc>
                      <w:tcPr>
                        <w:tcW w:w="2493" w:type="dxa"/>
                        <w:hideMark/>
                      </w:tcPr>
                      <w:p w:rsidR="003B66A6" w:rsidRPr="008448BD" w:rsidP="003B66A6" w14:paraId="2DADF096" w14:textId="77777777">
                        <w:pPr>
                          <w:rPr>
                            <w:rFonts w:eastAsia="Times New Roman" w:cs="Times New Roman"/>
                            <w:sz w:val="24"/>
                            <w:szCs w:val="24"/>
                            <w:lang w:eastAsia="lv-LV"/>
                          </w:rPr>
                        </w:pPr>
                        <w:r w:rsidRPr="00F2409B">
                          <w:rPr>
                            <w:rFonts w:eastAsia="Times New Roman" w:cs="Times New Roman"/>
                            <w:sz w:val="24"/>
                            <w:szCs w:val="24"/>
                            <w:lang w:eastAsia="lv-LV"/>
                          </w:rPr>
                          <w:t>2.2. valsts speciālais budžets</w:t>
                        </w:r>
                      </w:p>
                    </w:tc>
                    <w:tc>
                      <w:tcPr>
                        <w:tcW w:w="1127" w:type="dxa"/>
                      </w:tcPr>
                      <w:p w:rsidR="003B66A6" w:rsidRPr="000218F6" w:rsidP="003B66A6" w14:paraId="04F38708"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319" w:type="dxa"/>
                      </w:tcPr>
                      <w:p w:rsidR="003B66A6" w:rsidRPr="000218F6" w:rsidP="003B66A6" w14:paraId="0D8FFDE6"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680C18AD"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331B8090"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tcPr>
                      <w:p w:rsidR="003B66A6" w:rsidRPr="000218F6" w:rsidP="003B66A6" w14:paraId="411FD460"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6430EB67" w14:textId="77777777" w:rsidTr="005421DC">
                    <w:tblPrEx>
                      <w:tblW w:w="8740" w:type="dxa"/>
                      <w:tblLayout w:type="fixed"/>
                      <w:tblLook w:val="04A0"/>
                    </w:tblPrEx>
                    <w:trPr>
                      <w:trHeight w:val="286"/>
                    </w:trPr>
                    <w:tc>
                      <w:tcPr>
                        <w:tcW w:w="2493" w:type="dxa"/>
                        <w:hideMark/>
                      </w:tcPr>
                      <w:p w:rsidR="003B66A6" w:rsidRPr="00F2409B" w:rsidP="003B66A6" w14:paraId="4E340A1B" w14:textId="77777777">
                        <w:pPr>
                          <w:rPr>
                            <w:rFonts w:eastAsia="Times New Roman" w:cs="Times New Roman"/>
                            <w:sz w:val="24"/>
                            <w:szCs w:val="24"/>
                            <w:lang w:eastAsia="lv-LV"/>
                          </w:rPr>
                        </w:pPr>
                        <w:r w:rsidRPr="00F2409B">
                          <w:rPr>
                            <w:rFonts w:eastAsia="Times New Roman" w:cs="Times New Roman"/>
                            <w:sz w:val="24"/>
                            <w:szCs w:val="24"/>
                            <w:lang w:eastAsia="lv-LV"/>
                          </w:rPr>
                          <w:t>2.3. pašvaldību budžets</w:t>
                        </w:r>
                      </w:p>
                    </w:tc>
                    <w:tc>
                      <w:tcPr>
                        <w:tcW w:w="1127" w:type="dxa"/>
                      </w:tcPr>
                      <w:p w:rsidR="003B66A6" w:rsidRPr="008448BD" w:rsidP="003B66A6" w14:paraId="3D7494B0" w14:textId="77777777">
                        <w:pPr>
                          <w:jc w:val="center"/>
                          <w:rPr>
                            <w:rFonts w:eastAsia="Times New Roman" w:cs="Times New Roman"/>
                            <w:sz w:val="24"/>
                            <w:szCs w:val="24"/>
                            <w:lang w:eastAsia="lv-LV"/>
                          </w:rPr>
                        </w:pPr>
                        <w:r w:rsidRPr="008448BD">
                          <w:rPr>
                            <w:rFonts w:eastAsia="Times New Roman" w:cs="Times New Roman"/>
                            <w:sz w:val="24"/>
                            <w:szCs w:val="24"/>
                            <w:lang w:eastAsia="lv-LV"/>
                          </w:rPr>
                          <w:t>0</w:t>
                        </w:r>
                      </w:p>
                    </w:tc>
                    <w:tc>
                      <w:tcPr>
                        <w:tcW w:w="1319" w:type="dxa"/>
                      </w:tcPr>
                      <w:p w:rsidR="003B66A6" w:rsidRPr="000218F6" w:rsidP="003B66A6" w14:paraId="3C78E679"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052E9530"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671E151F"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tcPr>
                      <w:p w:rsidR="003B66A6" w:rsidRPr="000218F6" w:rsidP="003B66A6" w14:paraId="081D396E"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15234C72" w14:textId="77777777" w:rsidTr="005421DC">
                    <w:tblPrEx>
                      <w:tblW w:w="8740" w:type="dxa"/>
                      <w:tblLayout w:type="fixed"/>
                      <w:tblLook w:val="04A0"/>
                    </w:tblPrEx>
                    <w:trPr>
                      <w:trHeight w:val="300"/>
                    </w:trPr>
                    <w:tc>
                      <w:tcPr>
                        <w:tcW w:w="2493" w:type="dxa"/>
                        <w:hideMark/>
                      </w:tcPr>
                      <w:p w:rsidR="003B66A6" w:rsidRPr="00F2409B" w:rsidP="003B66A6" w14:paraId="43C3C255" w14:textId="77777777">
                        <w:pPr>
                          <w:rPr>
                            <w:rFonts w:eastAsia="Times New Roman" w:cs="Times New Roman"/>
                            <w:sz w:val="24"/>
                            <w:szCs w:val="24"/>
                            <w:lang w:eastAsia="lv-LV"/>
                          </w:rPr>
                        </w:pPr>
                        <w:r w:rsidRPr="00F2409B">
                          <w:rPr>
                            <w:rFonts w:eastAsia="Times New Roman" w:cs="Times New Roman"/>
                            <w:sz w:val="24"/>
                            <w:szCs w:val="24"/>
                            <w:lang w:eastAsia="lv-LV"/>
                          </w:rPr>
                          <w:t>3. Finansiālā ietekme:</w:t>
                        </w:r>
                      </w:p>
                    </w:tc>
                    <w:tc>
                      <w:tcPr>
                        <w:tcW w:w="1127" w:type="dxa"/>
                      </w:tcPr>
                      <w:p w:rsidR="003B66A6" w:rsidRPr="008448BD" w:rsidP="003B66A6" w14:paraId="480310A5" w14:textId="77777777">
                        <w:pPr>
                          <w:jc w:val="center"/>
                          <w:rPr>
                            <w:rFonts w:eastAsia="Times New Roman" w:cs="Times New Roman"/>
                            <w:sz w:val="24"/>
                            <w:szCs w:val="24"/>
                            <w:lang w:eastAsia="lv-LV"/>
                          </w:rPr>
                        </w:pPr>
                        <w:r w:rsidRPr="008448BD">
                          <w:rPr>
                            <w:rFonts w:eastAsia="Times New Roman" w:cs="Times New Roman"/>
                            <w:sz w:val="24"/>
                            <w:szCs w:val="24"/>
                            <w:lang w:eastAsia="lv-LV"/>
                          </w:rPr>
                          <w:t>0</w:t>
                        </w:r>
                      </w:p>
                    </w:tc>
                    <w:tc>
                      <w:tcPr>
                        <w:tcW w:w="1319" w:type="dxa"/>
                      </w:tcPr>
                      <w:p w:rsidR="003B66A6" w:rsidRPr="000218F6" w:rsidP="003B66A6" w14:paraId="38A254A5" w14:textId="1E68EF07">
                        <w:pPr>
                          <w:jc w:val="center"/>
                          <w:rPr>
                            <w:rFonts w:eastAsia="Times New Roman" w:cs="Times New Roman"/>
                            <w:sz w:val="24"/>
                            <w:szCs w:val="24"/>
                            <w:lang w:eastAsia="lv-LV"/>
                          </w:rPr>
                        </w:pPr>
                        <w:r w:rsidRPr="000218F6">
                          <w:rPr>
                            <w:rFonts w:eastAsia="Times New Roman" w:cs="Times New Roman"/>
                            <w:sz w:val="24"/>
                            <w:szCs w:val="24"/>
                            <w:lang w:eastAsia="lv-LV"/>
                          </w:rPr>
                          <w:t>-12 5</w:t>
                        </w:r>
                        <w:r w:rsidR="003D739E">
                          <w:rPr>
                            <w:rFonts w:eastAsia="Times New Roman" w:cs="Times New Roman"/>
                            <w:sz w:val="24"/>
                            <w:szCs w:val="24"/>
                            <w:lang w:eastAsia="lv-LV"/>
                          </w:rPr>
                          <w:t>23</w:t>
                        </w:r>
                      </w:p>
                    </w:tc>
                    <w:tc>
                      <w:tcPr>
                        <w:tcW w:w="1195" w:type="dxa"/>
                      </w:tcPr>
                      <w:p w:rsidR="003B66A6" w:rsidRPr="000218F6" w:rsidP="003B66A6" w14:paraId="46961B74" w14:textId="77777777">
                        <w:pPr>
                          <w:jc w:val="center"/>
                          <w:rPr>
                            <w:rFonts w:cs="Times New Roman"/>
                            <w:sz w:val="24"/>
                            <w:szCs w:val="24"/>
                          </w:rPr>
                        </w:pPr>
                        <w:r w:rsidRPr="000218F6">
                          <w:rPr>
                            <w:rFonts w:cs="Times New Roman"/>
                            <w:sz w:val="24"/>
                            <w:szCs w:val="24"/>
                          </w:rPr>
                          <w:t>0</w:t>
                        </w:r>
                      </w:p>
                    </w:tc>
                    <w:tc>
                      <w:tcPr>
                        <w:tcW w:w="1195" w:type="dxa"/>
                      </w:tcPr>
                      <w:p w:rsidR="003B66A6" w:rsidRPr="000218F6" w:rsidP="003B66A6" w14:paraId="07A7FEFF" w14:textId="77777777">
                        <w:pPr>
                          <w:jc w:val="center"/>
                          <w:rPr>
                            <w:rFonts w:cs="Times New Roman"/>
                            <w:sz w:val="24"/>
                            <w:szCs w:val="24"/>
                          </w:rPr>
                        </w:pPr>
                        <w:r w:rsidRPr="000218F6">
                          <w:rPr>
                            <w:rFonts w:cs="Times New Roman"/>
                            <w:sz w:val="24"/>
                            <w:szCs w:val="24"/>
                          </w:rPr>
                          <w:t>0</w:t>
                        </w:r>
                      </w:p>
                    </w:tc>
                    <w:tc>
                      <w:tcPr>
                        <w:tcW w:w="1411" w:type="dxa"/>
                      </w:tcPr>
                      <w:p w:rsidR="003B66A6" w:rsidRPr="000218F6" w:rsidP="003B66A6" w14:paraId="52EE258C" w14:textId="77777777">
                        <w:pPr>
                          <w:jc w:val="center"/>
                          <w:rPr>
                            <w:rFonts w:cs="Times New Roman"/>
                            <w:sz w:val="24"/>
                            <w:szCs w:val="24"/>
                          </w:rPr>
                        </w:pPr>
                        <w:r w:rsidRPr="000218F6">
                          <w:rPr>
                            <w:rFonts w:cs="Times New Roman"/>
                            <w:sz w:val="24"/>
                            <w:szCs w:val="24"/>
                          </w:rPr>
                          <w:t>0</w:t>
                        </w:r>
                      </w:p>
                    </w:tc>
                  </w:tr>
                  <w:tr w14:paraId="6059ED2B" w14:textId="77777777" w:rsidTr="005421DC">
                    <w:tblPrEx>
                      <w:tblW w:w="8740" w:type="dxa"/>
                      <w:tblLayout w:type="fixed"/>
                      <w:tblLook w:val="04A0"/>
                    </w:tblPrEx>
                    <w:trPr>
                      <w:trHeight w:val="286"/>
                    </w:trPr>
                    <w:tc>
                      <w:tcPr>
                        <w:tcW w:w="2493" w:type="dxa"/>
                        <w:hideMark/>
                      </w:tcPr>
                      <w:p w:rsidR="003B66A6" w:rsidRPr="008448BD" w:rsidP="003B66A6" w14:paraId="06386A10" w14:textId="77777777">
                        <w:pPr>
                          <w:rPr>
                            <w:rFonts w:eastAsia="Times New Roman" w:cs="Times New Roman"/>
                            <w:sz w:val="24"/>
                            <w:szCs w:val="24"/>
                            <w:lang w:eastAsia="lv-LV"/>
                          </w:rPr>
                        </w:pPr>
                        <w:r w:rsidRPr="00F2409B">
                          <w:rPr>
                            <w:rFonts w:eastAsia="Times New Roman" w:cs="Times New Roman"/>
                            <w:sz w:val="24"/>
                            <w:szCs w:val="24"/>
                            <w:lang w:eastAsia="lv-LV"/>
                          </w:rPr>
                          <w:t>3.1. valsts pamatbudžets</w:t>
                        </w:r>
                      </w:p>
                    </w:tc>
                    <w:tc>
                      <w:tcPr>
                        <w:tcW w:w="1127" w:type="dxa"/>
                      </w:tcPr>
                      <w:p w:rsidR="003B66A6" w:rsidRPr="000218F6" w:rsidP="003B66A6" w14:paraId="3D49A794"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319" w:type="dxa"/>
                      </w:tcPr>
                      <w:p w:rsidR="003B66A6" w:rsidRPr="000218F6" w:rsidP="003B66A6" w14:paraId="4DAEA258" w14:textId="4602629A">
                        <w:pPr>
                          <w:jc w:val="center"/>
                          <w:rPr>
                            <w:rFonts w:eastAsia="Times New Roman" w:cs="Times New Roman"/>
                            <w:sz w:val="24"/>
                            <w:szCs w:val="24"/>
                            <w:lang w:eastAsia="lv-LV"/>
                          </w:rPr>
                        </w:pPr>
                        <w:r w:rsidRPr="000218F6">
                          <w:rPr>
                            <w:rFonts w:eastAsia="Times New Roman" w:cs="Times New Roman"/>
                            <w:sz w:val="24"/>
                            <w:szCs w:val="24"/>
                            <w:lang w:eastAsia="lv-LV"/>
                          </w:rPr>
                          <w:t>-12 5</w:t>
                        </w:r>
                        <w:r w:rsidR="00565D24">
                          <w:rPr>
                            <w:rFonts w:eastAsia="Times New Roman" w:cs="Times New Roman"/>
                            <w:sz w:val="24"/>
                            <w:szCs w:val="24"/>
                            <w:lang w:eastAsia="lv-LV"/>
                          </w:rPr>
                          <w:t>23</w:t>
                        </w:r>
                      </w:p>
                    </w:tc>
                    <w:tc>
                      <w:tcPr>
                        <w:tcW w:w="1195" w:type="dxa"/>
                      </w:tcPr>
                      <w:p w:rsidR="003B66A6" w:rsidRPr="000218F6" w:rsidP="003B66A6" w14:paraId="3F96F20B" w14:textId="77777777">
                        <w:pPr>
                          <w:jc w:val="center"/>
                          <w:rPr>
                            <w:rFonts w:cs="Times New Roman"/>
                            <w:sz w:val="24"/>
                            <w:szCs w:val="24"/>
                          </w:rPr>
                        </w:pPr>
                        <w:r w:rsidRPr="000218F6">
                          <w:rPr>
                            <w:rFonts w:cs="Times New Roman"/>
                            <w:sz w:val="24"/>
                            <w:szCs w:val="24"/>
                          </w:rPr>
                          <w:t>0</w:t>
                        </w:r>
                      </w:p>
                    </w:tc>
                    <w:tc>
                      <w:tcPr>
                        <w:tcW w:w="1195" w:type="dxa"/>
                      </w:tcPr>
                      <w:p w:rsidR="003B66A6" w:rsidRPr="000218F6" w:rsidP="003B66A6" w14:paraId="1CD0754D" w14:textId="77777777">
                        <w:pPr>
                          <w:jc w:val="center"/>
                          <w:rPr>
                            <w:rFonts w:cs="Times New Roman"/>
                            <w:sz w:val="24"/>
                            <w:szCs w:val="24"/>
                          </w:rPr>
                        </w:pPr>
                        <w:r w:rsidRPr="000218F6">
                          <w:rPr>
                            <w:rFonts w:cs="Times New Roman"/>
                            <w:sz w:val="24"/>
                            <w:szCs w:val="24"/>
                          </w:rPr>
                          <w:t>0</w:t>
                        </w:r>
                      </w:p>
                    </w:tc>
                    <w:tc>
                      <w:tcPr>
                        <w:tcW w:w="1411" w:type="dxa"/>
                      </w:tcPr>
                      <w:p w:rsidR="003B66A6" w:rsidRPr="000218F6" w:rsidP="003B66A6" w14:paraId="0430D4A2" w14:textId="77777777">
                        <w:pPr>
                          <w:jc w:val="center"/>
                          <w:rPr>
                            <w:rFonts w:cs="Times New Roman"/>
                            <w:sz w:val="24"/>
                            <w:szCs w:val="24"/>
                          </w:rPr>
                        </w:pPr>
                        <w:r w:rsidRPr="000218F6">
                          <w:rPr>
                            <w:rFonts w:cs="Times New Roman"/>
                            <w:sz w:val="24"/>
                            <w:szCs w:val="24"/>
                          </w:rPr>
                          <w:t>0</w:t>
                        </w:r>
                      </w:p>
                    </w:tc>
                  </w:tr>
                  <w:tr w14:paraId="7FC846E7" w14:textId="77777777" w:rsidTr="005421DC">
                    <w:tblPrEx>
                      <w:tblW w:w="8740" w:type="dxa"/>
                      <w:tblLayout w:type="fixed"/>
                      <w:tblLook w:val="04A0"/>
                    </w:tblPrEx>
                    <w:trPr>
                      <w:trHeight w:val="286"/>
                    </w:trPr>
                    <w:tc>
                      <w:tcPr>
                        <w:tcW w:w="2493" w:type="dxa"/>
                        <w:hideMark/>
                      </w:tcPr>
                      <w:p w:rsidR="003B66A6" w:rsidRPr="00F2409B" w:rsidP="003B66A6" w14:paraId="74EC6BCD" w14:textId="77777777">
                        <w:pPr>
                          <w:rPr>
                            <w:rFonts w:eastAsia="Times New Roman" w:cs="Times New Roman"/>
                            <w:sz w:val="24"/>
                            <w:szCs w:val="24"/>
                            <w:lang w:eastAsia="lv-LV"/>
                          </w:rPr>
                        </w:pPr>
                        <w:r w:rsidRPr="00F2409B">
                          <w:rPr>
                            <w:rFonts w:eastAsia="Times New Roman" w:cs="Times New Roman"/>
                            <w:sz w:val="24"/>
                            <w:szCs w:val="24"/>
                            <w:lang w:eastAsia="lv-LV"/>
                          </w:rPr>
                          <w:t>3.2. speciālais budžets</w:t>
                        </w:r>
                      </w:p>
                    </w:tc>
                    <w:tc>
                      <w:tcPr>
                        <w:tcW w:w="1127" w:type="dxa"/>
                      </w:tcPr>
                      <w:p w:rsidR="003B66A6" w:rsidRPr="008448BD" w:rsidP="003B66A6" w14:paraId="2CF087DE" w14:textId="77777777">
                        <w:pPr>
                          <w:jc w:val="center"/>
                          <w:rPr>
                            <w:rFonts w:eastAsia="Times New Roman" w:cs="Times New Roman"/>
                            <w:sz w:val="24"/>
                            <w:szCs w:val="24"/>
                            <w:lang w:eastAsia="lv-LV"/>
                          </w:rPr>
                        </w:pPr>
                        <w:r w:rsidRPr="008448BD">
                          <w:rPr>
                            <w:rFonts w:eastAsia="Times New Roman" w:cs="Times New Roman"/>
                            <w:sz w:val="24"/>
                            <w:szCs w:val="24"/>
                            <w:lang w:eastAsia="lv-LV"/>
                          </w:rPr>
                          <w:t>0</w:t>
                        </w:r>
                      </w:p>
                    </w:tc>
                    <w:tc>
                      <w:tcPr>
                        <w:tcW w:w="1319" w:type="dxa"/>
                      </w:tcPr>
                      <w:p w:rsidR="003B66A6" w:rsidRPr="000218F6" w:rsidP="003B66A6" w14:paraId="229914CF"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65C015C6"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15103F33"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tcPr>
                      <w:p w:rsidR="003B66A6" w:rsidRPr="000218F6" w:rsidP="003B66A6" w14:paraId="2B553B14"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6A88C411" w14:textId="77777777" w:rsidTr="005421DC">
                    <w:tblPrEx>
                      <w:tblW w:w="8740" w:type="dxa"/>
                      <w:tblLayout w:type="fixed"/>
                      <w:tblLook w:val="04A0"/>
                    </w:tblPrEx>
                    <w:trPr>
                      <w:trHeight w:val="286"/>
                    </w:trPr>
                    <w:tc>
                      <w:tcPr>
                        <w:tcW w:w="2493" w:type="dxa"/>
                        <w:hideMark/>
                      </w:tcPr>
                      <w:p w:rsidR="003B66A6" w:rsidRPr="00F2409B" w:rsidP="003B66A6" w14:paraId="4155078D" w14:textId="77777777">
                        <w:pPr>
                          <w:rPr>
                            <w:rFonts w:eastAsia="Times New Roman" w:cs="Times New Roman"/>
                            <w:sz w:val="24"/>
                            <w:szCs w:val="24"/>
                            <w:lang w:eastAsia="lv-LV"/>
                          </w:rPr>
                        </w:pPr>
                        <w:r w:rsidRPr="00F2409B">
                          <w:rPr>
                            <w:rFonts w:eastAsia="Times New Roman" w:cs="Times New Roman"/>
                            <w:sz w:val="24"/>
                            <w:szCs w:val="24"/>
                            <w:lang w:eastAsia="lv-LV"/>
                          </w:rPr>
                          <w:t>3.3. pašvaldību budžets</w:t>
                        </w:r>
                      </w:p>
                    </w:tc>
                    <w:tc>
                      <w:tcPr>
                        <w:tcW w:w="1127" w:type="dxa"/>
                      </w:tcPr>
                      <w:p w:rsidR="003B66A6" w:rsidRPr="008448BD" w:rsidP="003B66A6" w14:paraId="760F7AF8" w14:textId="77777777">
                        <w:pPr>
                          <w:jc w:val="center"/>
                          <w:rPr>
                            <w:rFonts w:eastAsia="Times New Roman" w:cs="Times New Roman"/>
                            <w:sz w:val="24"/>
                            <w:szCs w:val="24"/>
                            <w:lang w:eastAsia="lv-LV"/>
                          </w:rPr>
                        </w:pPr>
                        <w:r w:rsidRPr="008448BD">
                          <w:rPr>
                            <w:rFonts w:eastAsia="Times New Roman" w:cs="Times New Roman"/>
                            <w:sz w:val="24"/>
                            <w:szCs w:val="24"/>
                            <w:lang w:eastAsia="lv-LV"/>
                          </w:rPr>
                          <w:t>0</w:t>
                        </w:r>
                      </w:p>
                    </w:tc>
                    <w:tc>
                      <w:tcPr>
                        <w:tcW w:w="1319" w:type="dxa"/>
                      </w:tcPr>
                      <w:p w:rsidR="003B66A6" w:rsidRPr="000218F6" w:rsidP="003B66A6" w14:paraId="4AED78A0"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133967C5"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3B66A6" w:rsidRPr="000218F6" w:rsidP="003B66A6" w14:paraId="1C4EBBA6"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tcPr>
                      <w:p w:rsidR="003B66A6" w:rsidRPr="000218F6" w:rsidP="003B66A6" w14:paraId="138182EF"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59188FCD" w14:textId="77777777" w:rsidTr="005421DC">
                    <w:tblPrEx>
                      <w:tblW w:w="8740" w:type="dxa"/>
                      <w:tblLayout w:type="fixed"/>
                      <w:tblLook w:val="04A0"/>
                    </w:tblPrEx>
                    <w:trPr>
                      <w:trHeight w:val="1679"/>
                    </w:trPr>
                    <w:tc>
                      <w:tcPr>
                        <w:tcW w:w="2493" w:type="dxa"/>
                        <w:hideMark/>
                      </w:tcPr>
                      <w:p w:rsidR="003B66A6" w:rsidRPr="008448BD" w:rsidP="003B66A6" w14:paraId="1BD6B7B0" w14:textId="77777777">
                        <w:pPr>
                          <w:rPr>
                            <w:rFonts w:eastAsia="Times New Roman" w:cs="Times New Roman"/>
                            <w:sz w:val="24"/>
                            <w:szCs w:val="24"/>
                            <w:lang w:eastAsia="lv-LV"/>
                          </w:rPr>
                        </w:pPr>
                        <w:r w:rsidRPr="00F2409B">
                          <w:rPr>
                            <w:rFonts w:eastAsia="Times New Roman" w:cs="Times New Roman"/>
                            <w:sz w:val="24"/>
                            <w:szCs w:val="24"/>
                            <w:lang w:eastAsia="lv-LV"/>
                          </w:rPr>
                          <w:t>4. Finanšu līdzekļi papildu izdevumu finansēšanai (kompensējošu izdevumu samazinājumu norāda ar "+" zīmi)</w:t>
                        </w:r>
                      </w:p>
                    </w:tc>
                    <w:tc>
                      <w:tcPr>
                        <w:tcW w:w="1127" w:type="dxa"/>
                        <w:hideMark/>
                      </w:tcPr>
                      <w:p w:rsidR="003B66A6" w:rsidRPr="000218F6" w:rsidP="003B66A6" w14:paraId="1751A9EA" w14:textId="77777777">
                        <w:pPr>
                          <w:jc w:val="center"/>
                          <w:rPr>
                            <w:rFonts w:eastAsia="Times New Roman" w:cs="Times New Roman"/>
                            <w:sz w:val="24"/>
                            <w:szCs w:val="24"/>
                            <w:lang w:eastAsia="lv-LV"/>
                          </w:rPr>
                        </w:pPr>
                        <w:r w:rsidRPr="000218F6">
                          <w:rPr>
                            <w:rFonts w:eastAsia="Times New Roman" w:cs="Times New Roman"/>
                            <w:sz w:val="24"/>
                            <w:szCs w:val="24"/>
                            <w:lang w:eastAsia="lv-LV"/>
                          </w:rPr>
                          <w:t>X</w:t>
                        </w:r>
                      </w:p>
                    </w:tc>
                    <w:tc>
                      <w:tcPr>
                        <w:tcW w:w="1319" w:type="dxa"/>
                      </w:tcPr>
                      <w:p w:rsidR="003B66A6" w:rsidRPr="000218F6" w:rsidP="003B66A6" w14:paraId="32F03AB8" w14:textId="224E3628">
                        <w:pPr>
                          <w:jc w:val="center"/>
                          <w:rPr>
                            <w:rFonts w:eastAsia="Times New Roman" w:cs="Times New Roman"/>
                            <w:sz w:val="24"/>
                            <w:szCs w:val="24"/>
                            <w:lang w:eastAsia="lv-LV"/>
                          </w:rPr>
                        </w:pPr>
                        <w:r w:rsidRPr="000218F6">
                          <w:rPr>
                            <w:rFonts w:eastAsia="Times New Roman" w:cs="Times New Roman"/>
                            <w:sz w:val="24"/>
                            <w:szCs w:val="24"/>
                            <w:lang w:eastAsia="lv-LV"/>
                          </w:rPr>
                          <w:t>12 5</w:t>
                        </w:r>
                        <w:r w:rsidR="00565D24">
                          <w:rPr>
                            <w:rFonts w:eastAsia="Times New Roman" w:cs="Times New Roman"/>
                            <w:sz w:val="24"/>
                            <w:szCs w:val="24"/>
                            <w:lang w:eastAsia="lv-LV"/>
                          </w:rPr>
                          <w:t>23</w:t>
                        </w:r>
                      </w:p>
                    </w:tc>
                    <w:tc>
                      <w:tcPr>
                        <w:tcW w:w="1195" w:type="dxa"/>
                      </w:tcPr>
                      <w:p w:rsidR="003B66A6" w:rsidRPr="000218F6" w:rsidP="003B66A6" w14:paraId="45096DF9"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tcPr>
                      <w:p w:rsidR="00F94AA5" w:rsidP="003B66A6" w14:paraId="2D8D7E68" w14:textId="77777777">
                        <w:pPr>
                          <w:jc w:val="center"/>
                          <w:rPr>
                            <w:rFonts w:eastAsia="Times New Roman" w:cs="Times New Roman"/>
                            <w:sz w:val="24"/>
                            <w:szCs w:val="24"/>
                            <w:lang w:eastAsia="lv-LV"/>
                          </w:rPr>
                        </w:pPr>
                      </w:p>
                      <w:p w:rsidR="003B66A6" w:rsidRPr="000218F6" w:rsidP="003B66A6" w14:paraId="15CCCE17" w14:textId="1264513E">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tcPr>
                      <w:p w:rsidR="003B66A6" w:rsidRPr="000218F6" w:rsidP="003B66A6" w14:paraId="6D0AF9A8"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570D7545" w14:textId="77777777" w:rsidTr="005421DC">
                    <w:tblPrEx>
                      <w:tblW w:w="8740" w:type="dxa"/>
                      <w:tblLayout w:type="fixed"/>
                      <w:tblLook w:val="04A0"/>
                    </w:tblPrEx>
                    <w:trPr>
                      <w:trHeight w:val="559"/>
                    </w:trPr>
                    <w:tc>
                      <w:tcPr>
                        <w:tcW w:w="2493" w:type="dxa"/>
                        <w:hideMark/>
                      </w:tcPr>
                      <w:p w:rsidR="003B66A6" w:rsidRPr="008448BD" w:rsidP="003B66A6" w14:paraId="1E51895C" w14:textId="77777777">
                        <w:pPr>
                          <w:rPr>
                            <w:rFonts w:eastAsia="Times New Roman" w:cs="Times New Roman"/>
                            <w:sz w:val="24"/>
                            <w:szCs w:val="24"/>
                            <w:lang w:eastAsia="lv-LV"/>
                          </w:rPr>
                        </w:pPr>
                        <w:r w:rsidRPr="00F2409B">
                          <w:rPr>
                            <w:rFonts w:eastAsia="Times New Roman" w:cs="Times New Roman"/>
                            <w:sz w:val="24"/>
                            <w:szCs w:val="24"/>
                            <w:lang w:eastAsia="lv-LV"/>
                          </w:rPr>
                          <w:t>5. Precizēta finansiālā ietekme:</w:t>
                        </w:r>
                      </w:p>
                    </w:tc>
                    <w:tc>
                      <w:tcPr>
                        <w:tcW w:w="1127" w:type="dxa"/>
                        <w:vMerge w:val="restart"/>
                        <w:hideMark/>
                      </w:tcPr>
                      <w:p w:rsidR="003B66A6" w:rsidRPr="000218F6" w:rsidP="003B66A6" w14:paraId="390F58C0" w14:textId="77777777">
                        <w:pPr>
                          <w:ind w:firstLine="300"/>
                          <w:jc w:val="center"/>
                          <w:rPr>
                            <w:rFonts w:eastAsia="Times New Roman" w:cs="Times New Roman"/>
                            <w:sz w:val="24"/>
                            <w:szCs w:val="24"/>
                            <w:lang w:eastAsia="lv-LV"/>
                          </w:rPr>
                        </w:pPr>
                        <w:r w:rsidRPr="000218F6">
                          <w:rPr>
                            <w:rFonts w:eastAsia="Times New Roman" w:cs="Times New Roman"/>
                            <w:sz w:val="24"/>
                            <w:szCs w:val="24"/>
                            <w:lang w:eastAsia="lv-LV"/>
                          </w:rPr>
                          <w:t>X</w:t>
                        </w:r>
                      </w:p>
                    </w:tc>
                    <w:tc>
                      <w:tcPr>
                        <w:tcW w:w="1319" w:type="dxa"/>
                        <w:hideMark/>
                      </w:tcPr>
                      <w:p w:rsidR="003B66A6" w:rsidRPr="000218F6" w:rsidP="003B66A6" w14:paraId="1CCC9EC9"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70F4411C" w14:textId="77777777">
                        <w:pPr>
                          <w:jc w:val="center"/>
                          <w:rPr>
                            <w:rFonts w:cs="Times New Roman"/>
                            <w:sz w:val="24"/>
                            <w:szCs w:val="24"/>
                          </w:rPr>
                        </w:pPr>
                        <w:r w:rsidRPr="000218F6">
                          <w:rPr>
                            <w:rFonts w:eastAsia="Times New Roman" w:cs="Times New Roman"/>
                            <w:sz w:val="24"/>
                            <w:szCs w:val="24"/>
                            <w:lang w:eastAsia="lv-LV"/>
                          </w:rPr>
                          <w:t>0</w:t>
                        </w:r>
                      </w:p>
                    </w:tc>
                    <w:tc>
                      <w:tcPr>
                        <w:tcW w:w="1195" w:type="dxa"/>
                        <w:hideMark/>
                      </w:tcPr>
                      <w:p w:rsidR="003B66A6" w:rsidRPr="000218F6" w:rsidP="003B66A6" w14:paraId="6572C2EF" w14:textId="77777777">
                        <w:pPr>
                          <w:jc w:val="center"/>
                          <w:rPr>
                            <w:rFonts w:cs="Times New Roman"/>
                            <w:sz w:val="24"/>
                            <w:szCs w:val="24"/>
                          </w:rPr>
                        </w:pPr>
                        <w:r w:rsidRPr="000218F6">
                          <w:rPr>
                            <w:rFonts w:eastAsia="Times New Roman" w:cs="Times New Roman"/>
                            <w:sz w:val="24"/>
                            <w:szCs w:val="24"/>
                            <w:lang w:eastAsia="lv-LV"/>
                          </w:rPr>
                          <w:t>0</w:t>
                        </w:r>
                      </w:p>
                    </w:tc>
                    <w:tc>
                      <w:tcPr>
                        <w:tcW w:w="1411" w:type="dxa"/>
                        <w:hideMark/>
                      </w:tcPr>
                      <w:p w:rsidR="003B66A6" w:rsidRPr="000218F6" w:rsidP="003B66A6" w14:paraId="7EAD3D16" w14:textId="77777777">
                        <w:pPr>
                          <w:jc w:val="center"/>
                          <w:rPr>
                            <w:rFonts w:cs="Times New Roman"/>
                            <w:sz w:val="24"/>
                            <w:szCs w:val="24"/>
                          </w:rPr>
                        </w:pPr>
                        <w:r w:rsidRPr="000218F6">
                          <w:rPr>
                            <w:rFonts w:eastAsia="Times New Roman" w:cs="Times New Roman"/>
                            <w:sz w:val="24"/>
                            <w:szCs w:val="24"/>
                            <w:lang w:eastAsia="lv-LV"/>
                          </w:rPr>
                          <w:t>0</w:t>
                        </w:r>
                      </w:p>
                    </w:tc>
                  </w:tr>
                  <w:tr w14:paraId="104A71E6" w14:textId="77777777" w:rsidTr="005421DC">
                    <w:tblPrEx>
                      <w:tblW w:w="8740" w:type="dxa"/>
                      <w:tblLayout w:type="fixed"/>
                      <w:tblLook w:val="04A0"/>
                    </w:tblPrEx>
                    <w:trPr>
                      <w:trHeight w:val="286"/>
                    </w:trPr>
                    <w:tc>
                      <w:tcPr>
                        <w:tcW w:w="2493" w:type="dxa"/>
                        <w:hideMark/>
                      </w:tcPr>
                      <w:p w:rsidR="003B66A6" w:rsidRPr="008448BD" w:rsidP="003B66A6" w14:paraId="3A58B0B5" w14:textId="77777777">
                        <w:pPr>
                          <w:rPr>
                            <w:rFonts w:eastAsia="Times New Roman" w:cs="Times New Roman"/>
                            <w:sz w:val="24"/>
                            <w:szCs w:val="24"/>
                            <w:lang w:eastAsia="lv-LV"/>
                          </w:rPr>
                        </w:pPr>
                        <w:r w:rsidRPr="00F2409B">
                          <w:rPr>
                            <w:rFonts w:eastAsia="Times New Roman" w:cs="Times New Roman"/>
                            <w:sz w:val="24"/>
                            <w:szCs w:val="24"/>
                            <w:lang w:eastAsia="lv-LV"/>
                          </w:rPr>
                          <w:t xml:space="preserve">5.1. valsts </w:t>
                        </w:r>
                        <w:r w:rsidRPr="008448BD">
                          <w:rPr>
                            <w:rFonts w:eastAsia="Times New Roman" w:cs="Times New Roman"/>
                            <w:sz w:val="24"/>
                            <w:szCs w:val="24"/>
                            <w:lang w:eastAsia="lv-LV"/>
                          </w:rPr>
                          <w:t>pamatbudžets</w:t>
                        </w:r>
                      </w:p>
                    </w:tc>
                    <w:tc>
                      <w:tcPr>
                        <w:tcW w:w="1127" w:type="dxa"/>
                        <w:vMerge/>
                        <w:hideMark/>
                      </w:tcPr>
                      <w:p w:rsidR="003B66A6" w:rsidRPr="000218F6" w:rsidP="003B66A6" w14:paraId="777FE505" w14:textId="77777777">
                        <w:pPr>
                          <w:rPr>
                            <w:rFonts w:eastAsia="Times New Roman" w:cs="Times New Roman"/>
                            <w:sz w:val="24"/>
                            <w:szCs w:val="24"/>
                            <w:lang w:eastAsia="lv-LV"/>
                          </w:rPr>
                        </w:pPr>
                      </w:p>
                    </w:tc>
                    <w:tc>
                      <w:tcPr>
                        <w:tcW w:w="1319" w:type="dxa"/>
                        <w:hideMark/>
                      </w:tcPr>
                      <w:p w:rsidR="003B66A6" w:rsidRPr="000218F6" w:rsidP="003B66A6" w14:paraId="0081E5C9"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1258F1F7" w14:textId="77777777">
                        <w:pPr>
                          <w:jc w:val="center"/>
                          <w:rPr>
                            <w:rFonts w:cs="Times New Roman"/>
                            <w:sz w:val="24"/>
                            <w:szCs w:val="24"/>
                          </w:rPr>
                        </w:pPr>
                        <w:r w:rsidRPr="000218F6">
                          <w:rPr>
                            <w:rFonts w:eastAsia="Times New Roman" w:cs="Times New Roman"/>
                            <w:sz w:val="24"/>
                            <w:szCs w:val="24"/>
                            <w:lang w:eastAsia="lv-LV"/>
                          </w:rPr>
                          <w:t>0</w:t>
                        </w:r>
                      </w:p>
                    </w:tc>
                    <w:tc>
                      <w:tcPr>
                        <w:tcW w:w="1195" w:type="dxa"/>
                        <w:hideMark/>
                      </w:tcPr>
                      <w:p w:rsidR="003B66A6" w:rsidRPr="000218F6" w:rsidP="003B66A6" w14:paraId="79474F12" w14:textId="77777777">
                        <w:pPr>
                          <w:jc w:val="center"/>
                          <w:rPr>
                            <w:rFonts w:cs="Times New Roman"/>
                            <w:sz w:val="24"/>
                            <w:szCs w:val="24"/>
                          </w:rPr>
                        </w:pPr>
                        <w:r w:rsidRPr="000218F6">
                          <w:rPr>
                            <w:rFonts w:eastAsia="Times New Roman" w:cs="Times New Roman"/>
                            <w:sz w:val="24"/>
                            <w:szCs w:val="24"/>
                            <w:lang w:eastAsia="lv-LV"/>
                          </w:rPr>
                          <w:t>0</w:t>
                        </w:r>
                      </w:p>
                    </w:tc>
                    <w:tc>
                      <w:tcPr>
                        <w:tcW w:w="1411" w:type="dxa"/>
                        <w:hideMark/>
                      </w:tcPr>
                      <w:p w:rsidR="003B66A6" w:rsidRPr="000218F6" w:rsidP="003B66A6" w14:paraId="3FB14FAD" w14:textId="77777777">
                        <w:pPr>
                          <w:jc w:val="center"/>
                          <w:rPr>
                            <w:rFonts w:cs="Times New Roman"/>
                            <w:sz w:val="24"/>
                            <w:szCs w:val="24"/>
                          </w:rPr>
                        </w:pPr>
                        <w:r w:rsidRPr="000218F6">
                          <w:rPr>
                            <w:rFonts w:eastAsia="Times New Roman" w:cs="Times New Roman"/>
                            <w:sz w:val="24"/>
                            <w:szCs w:val="24"/>
                            <w:lang w:eastAsia="lv-LV"/>
                          </w:rPr>
                          <w:t>0</w:t>
                        </w:r>
                      </w:p>
                    </w:tc>
                  </w:tr>
                  <w:tr w14:paraId="353B38D7" w14:textId="77777777" w:rsidTr="005421DC">
                    <w:tblPrEx>
                      <w:tblW w:w="8740" w:type="dxa"/>
                      <w:tblLayout w:type="fixed"/>
                      <w:tblLook w:val="04A0"/>
                    </w:tblPrEx>
                    <w:trPr>
                      <w:trHeight w:val="286"/>
                    </w:trPr>
                    <w:tc>
                      <w:tcPr>
                        <w:tcW w:w="2493" w:type="dxa"/>
                        <w:hideMark/>
                      </w:tcPr>
                      <w:p w:rsidR="003B66A6" w:rsidRPr="00F2409B" w:rsidP="003B66A6" w14:paraId="13003410" w14:textId="77777777">
                        <w:pPr>
                          <w:rPr>
                            <w:rFonts w:eastAsia="Times New Roman" w:cs="Times New Roman"/>
                            <w:sz w:val="24"/>
                            <w:szCs w:val="24"/>
                            <w:lang w:eastAsia="lv-LV"/>
                          </w:rPr>
                        </w:pPr>
                        <w:r w:rsidRPr="00F2409B">
                          <w:rPr>
                            <w:rFonts w:eastAsia="Times New Roman" w:cs="Times New Roman"/>
                            <w:sz w:val="24"/>
                            <w:szCs w:val="24"/>
                            <w:lang w:eastAsia="lv-LV"/>
                          </w:rPr>
                          <w:t>5.2. speciālais budžets</w:t>
                        </w:r>
                      </w:p>
                    </w:tc>
                    <w:tc>
                      <w:tcPr>
                        <w:tcW w:w="1127" w:type="dxa"/>
                        <w:vMerge/>
                        <w:hideMark/>
                      </w:tcPr>
                      <w:p w:rsidR="003B66A6" w:rsidRPr="000218F6" w:rsidP="003B66A6" w14:paraId="09DA0370" w14:textId="77777777">
                        <w:pPr>
                          <w:rPr>
                            <w:rFonts w:eastAsia="Times New Roman" w:cs="Times New Roman"/>
                            <w:sz w:val="24"/>
                            <w:szCs w:val="24"/>
                            <w:lang w:eastAsia="lv-LV"/>
                          </w:rPr>
                        </w:pPr>
                      </w:p>
                    </w:tc>
                    <w:tc>
                      <w:tcPr>
                        <w:tcW w:w="1319" w:type="dxa"/>
                        <w:hideMark/>
                      </w:tcPr>
                      <w:p w:rsidR="003B66A6" w:rsidRPr="000218F6" w:rsidP="003B66A6" w14:paraId="0BC286F4" w14:textId="77777777">
                        <w:pPr>
                          <w:tabs>
                            <w:tab w:val="center" w:pos="901"/>
                          </w:tabs>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40BFF903"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1FC0AEAD"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hideMark/>
                      </w:tcPr>
                      <w:p w:rsidR="003B66A6" w:rsidRPr="000218F6" w:rsidP="003B66A6" w14:paraId="3DF9DA5F"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6BC05FE8" w14:textId="77777777" w:rsidTr="005421DC">
                    <w:tblPrEx>
                      <w:tblW w:w="8740" w:type="dxa"/>
                      <w:tblLayout w:type="fixed"/>
                      <w:tblLook w:val="04A0"/>
                    </w:tblPrEx>
                    <w:trPr>
                      <w:trHeight w:val="300"/>
                    </w:trPr>
                    <w:tc>
                      <w:tcPr>
                        <w:tcW w:w="2493" w:type="dxa"/>
                        <w:hideMark/>
                      </w:tcPr>
                      <w:p w:rsidR="003B66A6" w:rsidRPr="00F2409B" w:rsidP="003B66A6" w14:paraId="3C007123" w14:textId="77777777">
                        <w:pPr>
                          <w:rPr>
                            <w:rFonts w:eastAsia="Times New Roman" w:cs="Times New Roman"/>
                            <w:sz w:val="24"/>
                            <w:szCs w:val="24"/>
                            <w:lang w:eastAsia="lv-LV"/>
                          </w:rPr>
                        </w:pPr>
                        <w:r w:rsidRPr="00F2409B">
                          <w:rPr>
                            <w:rFonts w:eastAsia="Times New Roman" w:cs="Times New Roman"/>
                            <w:sz w:val="24"/>
                            <w:szCs w:val="24"/>
                            <w:lang w:eastAsia="lv-LV"/>
                          </w:rPr>
                          <w:t>5.3. pašvaldību budžets</w:t>
                        </w:r>
                      </w:p>
                    </w:tc>
                    <w:tc>
                      <w:tcPr>
                        <w:tcW w:w="1127" w:type="dxa"/>
                        <w:vMerge/>
                        <w:hideMark/>
                      </w:tcPr>
                      <w:p w:rsidR="003B66A6" w:rsidRPr="000218F6" w:rsidP="003B66A6" w14:paraId="78012E2B" w14:textId="77777777">
                        <w:pPr>
                          <w:rPr>
                            <w:rFonts w:eastAsia="Times New Roman" w:cs="Times New Roman"/>
                            <w:sz w:val="24"/>
                            <w:szCs w:val="24"/>
                            <w:lang w:eastAsia="lv-LV"/>
                          </w:rPr>
                        </w:pPr>
                      </w:p>
                    </w:tc>
                    <w:tc>
                      <w:tcPr>
                        <w:tcW w:w="1319" w:type="dxa"/>
                        <w:hideMark/>
                      </w:tcPr>
                      <w:p w:rsidR="003B66A6" w:rsidRPr="000218F6" w:rsidP="003B66A6" w14:paraId="60551B62"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3C0870DE"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195" w:type="dxa"/>
                        <w:hideMark/>
                      </w:tcPr>
                      <w:p w:rsidR="003B66A6" w:rsidRPr="000218F6" w:rsidP="003B66A6" w14:paraId="2ADECE90"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c>
                      <w:tcPr>
                        <w:tcW w:w="1411" w:type="dxa"/>
                        <w:hideMark/>
                      </w:tcPr>
                      <w:p w:rsidR="003B66A6" w:rsidRPr="000218F6" w:rsidP="003B66A6" w14:paraId="40A742F4" w14:textId="77777777">
                        <w:pPr>
                          <w:jc w:val="center"/>
                          <w:rPr>
                            <w:rFonts w:eastAsia="Times New Roman" w:cs="Times New Roman"/>
                            <w:sz w:val="24"/>
                            <w:szCs w:val="24"/>
                            <w:lang w:eastAsia="lv-LV"/>
                          </w:rPr>
                        </w:pPr>
                        <w:r w:rsidRPr="000218F6">
                          <w:rPr>
                            <w:rFonts w:eastAsia="Times New Roman" w:cs="Times New Roman"/>
                            <w:sz w:val="24"/>
                            <w:szCs w:val="24"/>
                            <w:lang w:eastAsia="lv-LV"/>
                          </w:rPr>
                          <w:t>0</w:t>
                        </w:r>
                      </w:p>
                    </w:tc>
                  </w:tr>
                  <w:tr w14:paraId="31CBADC9" w14:textId="77777777" w:rsidTr="005421DC">
                    <w:tblPrEx>
                      <w:tblW w:w="8740" w:type="dxa"/>
                      <w:tblLayout w:type="fixed"/>
                      <w:tblLook w:val="04A0"/>
                    </w:tblPrEx>
                    <w:trPr>
                      <w:trHeight w:val="545"/>
                    </w:trPr>
                    <w:tc>
                      <w:tcPr>
                        <w:tcW w:w="2493" w:type="dxa"/>
                        <w:hideMark/>
                      </w:tcPr>
                      <w:p w:rsidR="003B66A6" w:rsidRPr="00F2409B" w:rsidP="003B66A6" w14:paraId="4E2C3C3E" w14:textId="77777777">
                        <w:pPr>
                          <w:rPr>
                            <w:rFonts w:eastAsia="Times New Roman" w:cs="Times New Roman"/>
                            <w:sz w:val="24"/>
                            <w:szCs w:val="24"/>
                            <w:lang w:eastAsia="lv-LV"/>
                          </w:rPr>
                        </w:pPr>
                        <w:r w:rsidRPr="00F2409B">
                          <w:rPr>
                            <w:rFonts w:eastAsia="Times New Roman" w:cs="Times New Roman"/>
                            <w:sz w:val="24"/>
                            <w:szCs w:val="24"/>
                            <w:lang w:eastAsia="lv-LV"/>
                          </w:rPr>
                          <w:t xml:space="preserve">6. Detalizēts ieņēmumu un izdevumu aprēķins (ja nepieciešams, detalizētu ieņēmumu un izdevumu aprēķinu </w:t>
                        </w:r>
                        <w:r w:rsidRPr="00F2409B">
                          <w:rPr>
                            <w:rFonts w:eastAsia="Times New Roman" w:cs="Times New Roman"/>
                            <w:sz w:val="24"/>
                            <w:szCs w:val="24"/>
                            <w:lang w:eastAsia="lv-LV"/>
                          </w:rPr>
                          <w:t>var pievienot anotācijas pielikumā):</w:t>
                        </w:r>
                      </w:p>
                    </w:tc>
                    <w:tc>
                      <w:tcPr>
                        <w:tcW w:w="6247" w:type="dxa"/>
                        <w:gridSpan w:val="5"/>
                        <w:vMerge w:val="restart"/>
                      </w:tcPr>
                      <w:p w:rsidR="003B66A6" w:rsidRPr="000218F6" w:rsidP="003B66A6" w14:paraId="2FA6EC80" w14:textId="6915BA5F">
                        <w:pPr>
                          <w:jc w:val="both"/>
                          <w:rPr>
                            <w:rFonts w:cs="Times New Roman"/>
                            <w:sz w:val="24"/>
                            <w:szCs w:val="24"/>
                          </w:rPr>
                        </w:pPr>
                        <w:r w:rsidRPr="00F2409B">
                          <w:rPr>
                            <w:rFonts w:eastAsia="Times New Roman" w:cs="Times New Roman"/>
                            <w:sz w:val="24"/>
                            <w:szCs w:val="24"/>
                            <w:lang w:eastAsia="lv-LV"/>
                          </w:rPr>
                          <w:t xml:space="preserve">Lai nodrošinātu noteikumu projekta īstenošanu, nepieciešams veikt pielāgošanas darbus Būvniecības informācijas sistēmā. Ņemot vērā līdz šim esošās Būvniecības informācijas sistēmas izstrādes un pielāgošanas izmaksas, aprēķināts, ka </w:t>
                        </w:r>
                        <w:r w:rsidRPr="00F2409B" w:rsidR="005C53F0">
                          <w:rPr>
                            <w:rFonts w:eastAsia="Times New Roman" w:cs="Times New Roman"/>
                            <w:sz w:val="24"/>
                            <w:szCs w:val="24"/>
                            <w:lang w:eastAsia="lv-LV"/>
                          </w:rPr>
                          <w:t>noteikumu</w:t>
                        </w:r>
                        <w:r w:rsidR="005C53F0">
                          <w:rPr>
                            <w:rFonts w:eastAsia="Times New Roman" w:cs="Times New Roman"/>
                            <w:sz w:val="24"/>
                            <w:szCs w:val="24"/>
                            <w:lang w:eastAsia="lv-LV"/>
                          </w:rPr>
                          <w:t>   </w:t>
                        </w:r>
                        <w:r w:rsidRPr="00F2409B">
                          <w:rPr>
                            <w:rFonts w:eastAsia="Times New Roman" w:cs="Times New Roman"/>
                            <w:sz w:val="24"/>
                            <w:szCs w:val="24"/>
                            <w:lang w:eastAsia="lv-LV"/>
                          </w:rPr>
                          <w:t xml:space="preserve">projektā paredzēto grozījumu ieviešanai </w:t>
                        </w:r>
                        <w:r w:rsidRPr="00F2409B">
                          <w:rPr>
                            <w:rFonts w:eastAsia="Times New Roman" w:cs="Times New Roman"/>
                            <w:sz w:val="24"/>
                            <w:szCs w:val="24"/>
                            <w:lang w:eastAsia="lv-LV"/>
                          </w:rPr>
                          <w:t>nepieciešamas  </w:t>
                        </w:r>
                        <w:r w:rsidR="00891B1C">
                          <w:rPr>
                            <w:rFonts w:eastAsia="Times New Roman" w:cs="Times New Roman"/>
                            <w:sz w:val="24"/>
                            <w:szCs w:val="24"/>
                            <w:lang w:eastAsia="lv-LV"/>
                          </w:rPr>
                          <w:t>34</w:t>
                        </w:r>
                        <w:r w:rsidR="00556158">
                          <w:rPr>
                            <w:rFonts w:eastAsia="Times New Roman" w:cs="Times New Roman"/>
                            <w:sz w:val="24"/>
                            <w:szCs w:val="24"/>
                            <w:lang w:eastAsia="lv-LV"/>
                          </w:rPr>
                          <w:t>,</w:t>
                        </w:r>
                        <w:r w:rsidR="00885C34">
                          <w:rPr>
                            <w:rFonts w:eastAsia="Times New Roman" w:cs="Times New Roman"/>
                            <w:sz w:val="24"/>
                            <w:szCs w:val="24"/>
                            <w:lang w:eastAsia="lv-LV"/>
                          </w:rPr>
                          <w:t>5</w:t>
                        </w:r>
                        <w:r w:rsidR="005C53F0">
                          <w:rPr>
                            <w:rFonts w:eastAsia="Times New Roman" w:cs="Times New Roman"/>
                            <w:sz w:val="24"/>
                            <w:szCs w:val="24"/>
                            <w:lang w:eastAsia="lv-LV"/>
                          </w:rPr>
                          <w:t> </w:t>
                        </w:r>
                        <w:r w:rsidRPr="00F2409B">
                          <w:rPr>
                            <w:rFonts w:eastAsia="Times New Roman" w:cs="Times New Roman"/>
                            <w:sz w:val="24"/>
                            <w:szCs w:val="24"/>
                            <w:lang w:eastAsia="lv-LV"/>
                          </w:rPr>
                          <w:t xml:space="preserve">cilvēkdienas. Vienas cilvēkdienas izmaksas ir 300 EUR (neieskaitot PVN), līdz ar to pielāgošanas izmaksas varētu sasniegt </w:t>
                        </w:r>
                        <w:r w:rsidR="00556158">
                          <w:rPr>
                            <w:rFonts w:eastAsia="Times New Roman" w:cs="Times New Roman"/>
                            <w:sz w:val="24"/>
                            <w:szCs w:val="24"/>
                            <w:lang w:eastAsia="lv-LV"/>
                          </w:rPr>
                          <w:t>12</w:t>
                        </w:r>
                        <w:r w:rsidRPr="00F2409B">
                          <w:rPr>
                            <w:rFonts w:eastAsia="Times New Roman" w:cs="Times New Roman"/>
                            <w:sz w:val="24"/>
                            <w:szCs w:val="24"/>
                            <w:lang w:eastAsia="lv-LV"/>
                          </w:rPr>
                          <w:t xml:space="preserve"> </w:t>
                        </w:r>
                        <w:r w:rsidR="00556158">
                          <w:rPr>
                            <w:rFonts w:eastAsia="Times New Roman" w:cs="Times New Roman"/>
                            <w:sz w:val="24"/>
                            <w:szCs w:val="24"/>
                            <w:lang w:eastAsia="lv-LV"/>
                          </w:rPr>
                          <w:t>5</w:t>
                        </w:r>
                        <w:r w:rsidR="00BC61A0">
                          <w:rPr>
                            <w:rFonts w:eastAsia="Times New Roman" w:cs="Times New Roman"/>
                            <w:sz w:val="24"/>
                            <w:szCs w:val="24"/>
                            <w:lang w:eastAsia="lv-LV"/>
                          </w:rPr>
                          <w:t>23</w:t>
                        </w:r>
                        <w:r w:rsidRPr="00F2409B">
                          <w:rPr>
                            <w:rFonts w:eastAsia="Times New Roman" w:cs="Times New Roman"/>
                            <w:sz w:val="24"/>
                            <w:szCs w:val="24"/>
                            <w:lang w:eastAsia="lv-LV"/>
                          </w:rPr>
                          <w:t xml:space="preserve"> EUR (</w:t>
                        </w:r>
                        <w:r w:rsidR="00DC301B">
                          <w:rPr>
                            <w:rFonts w:eastAsia="Times New Roman" w:cs="Times New Roman"/>
                            <w:sz w:val="24"/>
                            <w:szCs w:val="24"/>
                            <w:lang w:eastAsia="lv-LV"/>
                          </w:rPr>
                          <w:t>34</w:t>
                        </w:r>
                        <w:r w:rsidR="00556158">
                          <w:rPr>
                            <w:rFonts w:eastAsia="Times New Roman" w:cs="Times New Roman"/>
                            <w:sz w:val="24"/>
                            <w:szCs w:val="24"/>
                            <w:lang w:eastAsia="lv-LV"/>
                          </w:rPr>
                          <w:t>,</w:t>
                        </w:r>
                        <w:r w:rsidR="00DC301B">
                          <w:rPr>
                            <w:rFonts w:eastAsia="Times New Roman" w:cs="Times New Roman"/>
                            <w:sz w:val="24"/>
                            <w:szCs w:val="24"/>
                            <w:lang w:eastAsia="lv-LV"/>
                          </w:rPr>
                          <w:t>5</w:t>
                        </w:r>
                        <w:r w:rsidRPr="00F2409B">
                          <w:rPr>
                            <w:rFonts w:eastAsia="Times New Roman" w:cs="Times New Roman"/>
                            <w:sz w:val="24"/>
                            <w:szCs w:val="24"/>
                            <w:lang w:eastAsia="lv-LV"/>
                          </w:rPr>
                          <w:t>  x (300 + PVN 21%)).</w:t>
                        </w:r>
                      </w:p>
                    </w:tc>
                  </w:tr>
                  <w:tr w14:paraId="0786BC45" w14:textId="77777777" w:rsidTr="005421DC">
                    <w:tblPrEx>
                      <w:tblW w:w="8740" w:type="dxa"/>
                      <w:tblLayout w:type="fixed"/>
                      <w:tblLook w:val="04A0"/>
                    </w:tblPrEx>
                    <w:trPr>
                      <w:trHeight w:val="573"/>
                    </w:trPr>
                    <w:tc>
                      <w:tcPr>
                        <w:tcW w:w="2493" w:type="dxa"/>
                        <w:hideMark/>
                      </w:tcPr>
                      <w:p w:rsidR="003B66A6" w:rsidRPr="008448BD" w:rsidP="003B66A6" w14:paraId="6DD6D634" w14:textId="77777777">
                        <w:pPr>
                          <w:rPr>
                            <w:rFonts w:eastAsia="Times New Roman" w:cs="Times New Roman"/>
                            <w:sz w:val="24"/>
                            <w:szCs w:val="24"/>
                            <w:lang w:eastAsia="lv-LV"/>
                          </w:rPr>
                        </w:pPr>
                        <w:r w:rsidRPr="00F2409B">
                          <w:rPr>
                            <w:rFonts w:eastAsia="Times New Roman" w:cs="Times New Roman"/>
                            <w:sz w:val="24"/>
                            <w:szCs w:val="24"/>
                            <w:lang w:eastAsia="lv-LV"/>
                          </w:rPr>
                          <w:t>6.1. detalizēts ieņēmumu aprēķins</w:t>
                        </w:r>
                      </w:p>
                    </w:tc>
                    <w:tc>
                      <w:tcPr>
                        <w:tcW w:w="6247" w:type="dxa"/>
                        <w:gridSpan w:val="5"/>
                        <w:vMerge/>
                        <w:hideMark/>
                      </w:tcPr>
                      <w:p w:rsidR="003B66A6" w:rsidRPr="000218F6" w:rsidP="003B66A6" w14:paraId="65E46F17" w14:textId="77777777">
                        <w:pPr>
                          <w:rPr>
                            <w:rFonts w:cs="Times New Roman"/>
                            <w:color w:val="000000"/>
                            <w:sz w:val="24"/>
                            <w:szCs w:val="24"/>
                          </w:rPr>
                        </w:pPr>
                      </w:p>
                    </w:tc>
                  </w:tr>
                  <w:tr w14:paraId="360CF640" w14:textId="77777777" w:rsidTr="005421DC">
                    <w:tblPrEx>
                      <w:tblW w:w="8740" w:type="dxa"/>
                      <w:tblLayout w:type="fixed"/>
                      <w:tblLook w:val="04A0"/>
                    </w:tblPrEx>
                    <w:trPr>
                      <w:trHeight w:val="559"/>
                    </w:trPr>
                    <w:tc>
                      <w:tcPr>
                        <w:tcW w:w="2493" w:type="dxa"/>
                        <w:hideMark/>
                      </w:tcPr>
                      <w:p w:rsidR="003B66A6" w:rsidRPr="008448BD" w:rsidP="003B66A6" w14:paraId="56F160A8" w14:textId="77777777">
                        <w:pPr>
                          <w:rPr>
                            <w:rFonts w:eastAsia="Times New Roman" w:cs="Times New Roman"/>
                            <w:sz w:val="24"/>
                            <w:szCs w:val="24"/>
                            <w:lang w:eastAsia="lv-LV"/>
                          </w:rPr>
                        </w:pPr>
                        <w:r w:rsidRPr="00F2409B">
                          <w:rPr>
                            <w:rFonts w:eastAsia="Times New Roman" w:cs="Times New Roman"/>
                            <w:sz w:val="24"/>
                            <w:szCs w:val="24"/>
                            <w:lang w:eastAsia="lv-LV"/>
                          </w:rPr>
                          <w:t>6.2. detalizēts izdevumu aprēķins</w:t>
                        </w:r>
                      </w:p>
                    </w:tc>
                    <w:tc>
                      <w:tcPr>
                        <w:tcW w:w="6247" w:type="dxa"/>
                        <w:gridSpan w:val="5"/>
                        <w:vMerge/>
                        <w:hideMark/>
                      </w:tcPr>
                      <w:p w:rsidR="003B66A6" w:rsidRPr="000218F6" w:rsidP="003B66A6" w14:paraId="0515F2B6" w14:textId="77777777">
                        <w:pPr>
                          <w:rPr>
                            <w:rFonts w:cs="Times New Roman"/>
                            <w:color w:val="000000"/>
                            <w:sz w:val="24"/>
                            <w:szCs w:val="24"/>
                          </w:rPr>
                        </w:pPr>
                      </w:p>
                    </w:tc>
                  </w:tr>
                  <w:tr w14:paraId="6979F2BA" w14:textId="77777777" w:rsidTr="001E6E69">
                    <w:tblPrEx>
                      <w:tblW w:w="8740" w:type="dxa"/>
                      <w:tblLayout w:type="fixed"/>
                      <w:tblLook w:val="04A0"/>
                    </w:tblPrEx>
                    <w:trPr>
                      <w:trHeight w:val="1545"/>
                    </w:trPr>
                    <w:tc>
                      <w:tcPr>
                        <w:tcW w:w="2493" w:type="dxa"/>
                        <w:hideMark/>
                      </w:tcPr>
                      <w:p w:rsidR="003B66A6" w:rsidRPr="00F2409B" w:rsidP="003B66A6" w14:paraId="2A4FCFB1" w14:textId="77777777">
                        <w:pPr>
                          <w:rPr>
                            <w:rFonts w:eastAsia="Times New Roman" w:cs="Times New Roman"/>
                            <w:sz w:val="24"/>
                            <w:szCs w:val="24"/>
                            <w:lang w:eastAsia="lv-LV"/>
                          </w:rPr>
                        </w:pPr>
                        <w:r w:rsidRPr="00F2409B">
                          <w:rPr>
                            <w:rFonts w:eastAsia="Times New Roman" w:cs="Times New Roman"/>
                            <w:sz w:val="24"/>
                            <w:szCs w:val="24"/>
                            <w:lang w:eastAsia="lv-LV"/>
                          </w:rPr>
                          <w:t>7. Cita informācija</w:t>
                        </w:r>
                      </w:p>
                      <w:p w:rsidR="003B66A6" w:rsidRPr="008448BD" w:rsidP="003B66A6" w14:paraId="52DF75FE" w14:textId="77777777">
                        <w:pPr>
                          <w:rPr>
                            <w:rFonts w:eastAsia="Times New Roman" w:cs="Times New Roman"/>
                            <w:sz w:val="24"/>
                            <w:szCs w:val="24"/>
                            <w:lang w:eastAsia="lv-LV"/>
                          </w:rPr>
                        </w:pPr>
                      </w:p>
                      <w:p w:rsidR="003B66A6" w:rsidRPr="000218F6" w:rsidP="003B66A6" w14:paraId="61BE700E" w14:textId="77777777">
                        <w:pPr>
                          <w:rPr>
                            <w:rFonts w:eastAsia="Times New Roman" w:cs="Times New Roman"/>
                            <w:sz w:val="24"/>
                            <w:szCs w:val="24"/>
                            <w:lang w:eastAsia="lv-LV"/>
                          </w:rPr>
                        </w:pPr>
                      </w:p>
                      <w:p w:rsidR="003B66A6" w:rsidRPr="000218F6" w:rsidP="003B66A6" w14:paraId="61DDC0AB" w14:textId="77777777">
                        <w:pPr>
                          <w:rPr>
                            <w:rFonts w:eastAsia="Times New Roman" w:cs="Times New Roman"/>
                            <w:sz w:val="24"/>
                            <w:szCs w:val="24"/>
                            <w:lang w:eastAsia="lv-LV"/>
                          </w:rPr>
                        </w:pPr>
                      </w:p>
                      <w:p w:rsidR="003B66A6" w:rsidRPr="000218F6" w:rsidP="003B66A6" w14:paraId="13355C6E" w14:textId="77777777">
                        <w:pPr>
                          <w:rPr>
                            <w:rFonts w:eastAsia="Times New Roman" w:cs="Times New Roman"/>
                            <w:sz w:val="24"/>
                            <w:szCs w:val="24"/>
                            <w:lang w:eastAsia="lv-LV"/>
                          </w:rPr>
                        </w:pPr>
                      </w:p>
                    </w:tc>
                    <w:tc>
                      <w:tcPr>
                        <w:tcW w:w="6247" w:type="dxa"/>
                        <w:gridSpan w:val="5"/>
                      </w:tcPr>
                      <w:p w:rsidR="00F2409B" w:rsidRPr="00556158" w:rsidP="00F2409B" w14:paraId="0127A88E" w14:textId="73706F6F">
                        <w:pPr>
                          <w:jc w:val="both"/>
                          <w:rPr>
                            <w:rFonts w:eastAsia="Times New Roman" w:cs="Times New Roman"/>
                            <w:sz w:val="24"/>
                            <w:szCs w:val="24"/>
                            <w:lang w:eastAsia="lv-LV"/>
                          </w:rPr>
                        </w:pPr>
                        <w:r w:rsidRPr="00556158">
                          <w:rPr>
                            <w:rFonts w:eastAsia="Times New Roman" w:cs="Times New Roman"/>
                            <w:sz w:val="24"/>
                            <w:szCs w:val="24"/>
                            <w:lang w:eastAsia="lv-LV"/>
                          </w:rPr>
                          <w:t>Nepieciešamie izdevumi 12 5</w:t>
                        </w:r>
                        <w:r w:rsidR="000C2308">
                          <w:rPr>
                            <w:rFonts w:eastAsia="Times New Roman" w:cs="Times New Roman"/>
                            <w:sz w:val="24"/>
                            <w:szCs w:val="24"/>
                            <w:lang w:eastAsia="lv-LV"/>
                          </w:rPr>
                          <w:t>23</w:t>
                        </w:r>
                        <w:r w:rsidRPr="00556158">
                          <w:rPr>
                            <w:rFonts w:eastAsia="Times New Roman" w:cs="Times New Roman"/>
                            <w:sz w:val="24"/>
                            <w:szCs w:val="24"/>
                            <w:lang w:eastAsia="lv-LV"/>
                          </w:rPr>
                          <w:t xml:space="preserve"> </w:t>
                        </w:r>
                        <w:r w:rsidRPr="00556158">
                          <w:rPr>
                            <w:rFonts w:eastAsia="Times New Roman" w:cs="Times New Roman"/>
                            <w:i/>
                            <w:sz w:val="24"/>
                            <w:szCs w:val="24"/>
                            <w:lang w:eastAsia="lv-LV"/>
                          </w:rPr>
                          <w:t>euro</w:t>
                        </w:r>
                        <w:r w:rsidRPr="00556158">
                          <w:rPr>
                            <w:rFonts w:eastAsia="Times New Roman" w:cs="Times New Roman"/>
                            <w:sz w:val="24"/>
                            <w:szCs w:val="24"/>
                            <w:lang w:eastAsia="lv-LV"/>
                          </w:rPr>
                          <w:t xml:space="preserve"> apmērā tiks segti </w:t>
                        </w:r>
                        <w:r w:rsidRPr="00556158">
                          <w:rPr>
                            <w:sz w:val="24"/>
                            <w:szCs w:val="24"/>
                            <w:lang w:eastAsia="lv-LV"/>
                          </w:rPr>
                          <w:t xml:space="preserve">no </w:t>
                        </w:r>
                        <w:r w:rsidRPr="00556158" w:rsidR="001E6E69">
                          <w:rPr>
                            <w:sz w:val="24"/>
                            <w:szCs w:val="24"/>
                            <w:lang w:eastAsia="lv-LV"/>
                          </w:rPr>
                          <w:t xml:space="preserve">Ekonomikas ministrijas budžeta programmas 20.00.00 “Būvniecība” </w:t>
                        </w:r>
                        <w:r w:rsidRPr="00556158">
                          <w:rPr>
                            <w:sz w:val="24"/>
                            <w:szCs w:val="24"/>
                            <w:lang w:eastAsia="lv-LV"/>
                          </w:rPr>
                          <w:t>2018.gadā Būvniecības informācijas sistēmas uzturēšanai piešķirt</w:t>
                        </w:r>
                        <w:r w:rsidRPr="00556158" w:rsidR="001E6E69">
                          <w:rPr>
                            <w:sz w:val="24"/>
                            <w:szCs w:val="24"/>
                            <w:lang w:eastAsia="lv-LV"/>
                          </w:rPr>
                          <w:t>ajiem valsts budžeta līdzekļiem.</w:t>
                        </w:r>
                      </w:p>
                    </w:tc>
                  </w:tr>
                </w:tbl>
                <w:p w:rsidR="005421DC" w:rsidRPr="008448BD" w:rsidP="003B66A6" w14:paraId="7E75E8EB" w14:textId="2A48496B">
                  <w:pPr>
                    <w:spacing w:before="100" w:beforeAutospacing="1" w:after="100" w:afterAutospacing="1" w:line="293" w:lineRule="atLeast"/>
                    <w:rPr>
                      <w:rFonts w:eastAsia="Times New Roman" w:cs="Times New Roman"/>
                      <w:sz w:val="24"/>
                      <w:szCs w:val="24"/>
                      <w:lang w:eastAsia="lv-LV"/>
                    </w:rPr>
                  </w:pPr>
                </w:p>
              </w:tc>
            </w:tr>
            <w:tr w14:paraId="0CCC751F"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300"/>
                <w:jc w:val="center"/>
              </w:trPr>
              <w:tc>
                <w:tcPr>
                  <w:tcW w:w="8781" w:type="dxa"/>
                  <w:gridSpan w:val="7"/>
                  <w:tcBorders>
                    <w:top w:val="outset" w:sz="6" w:space="0" w:color="414142"/>
                    <w:left w:val="outset" w:sz="6" w:space="0" w:color="414142"/>
                    <w:bottom w:val="outset" w:sz="6" w:space="0" w:color="414142"/>
                    <w:right w:val="outset" w:sz="6" w:space="0" w:color="414142"/>
                  </w:tcBorders>
                  <w:vAlign w:val="center"/>
                  <w:hideMark/>
                </w:tcPr>
                <w:p w:rsidR="00767569" w:rsidRPr="00B34185" w:rsidP="00767569" w14:paraId="019002EA" w14:textId="77777777">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IV. Tiesību akta projekta ietekme uz spēkā esošo tiesību normu sistēmu</w:t>
                  </w:r>
                </w:p>
              </w:tc>
            </w:tr>
            <w:tr w14:paraId="6A5ACB0F"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1AB5DCE3" w14:textId="77777777">
                  <w:pPr>
                    <w:rPr>
                      <w:rFonts w:eastAsia="Times New Roman" w:cs="Times New Roman"/>
                      <w:sz w:val="20"/>
                      <w:szCs w:val="20"/>
                      <w:lang w:eastAsia="lv-LV"/>
                    </w:rPr>
                  </w:pPr>
                  <w:r w:rsidRPr="00B34185">
                    <w:rPr>
                      <w:rFonts w:eastAsia="Times New Roman" w:cs="Times New Roman"/>
                      <w:sz w:val="20"/>
                      <w:szCs w:val="20"/>
                      <w:lang w:eastAsia="lv-LV"/>
                    </w:rPr>
                    <w:t>1.</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P="00767569" w14:paraId="4DE7BF67" w14:textId="77777777">
                  <w:pPr>
                    <w:rPr>
                      <w:rFonts w:eastAsia="Times New Roman" w:cs="Times New Roman"/>
                      <w:sz w:val="24"/>
                      <w:szCs w:val="20"/>
                      <w:lang w:eastAsia="lv-LV"/>
                    </w:rPr>
                  </w:pPr>
                  <w:r w:rsidRPr="006E099A">
                    <w:rPr>
                      <w:rFonts w:eastAsia="Times New Roman" w:cs="Times New Roman"/>
                      <w:sz w:val="24"/>
                      <w:szCs w:val="20"/>
                      <w:lang w:eastAsia="lv-LV"/>
                    </w:rPr>
                    <w:t>Nepieciešamie saistītie tiesību aktu projekti</w:t>
                  </w:r>
                </w:p>
              </w:tc>
              <w:tc>
                <w:tcPr>
                  <w:tcW w:w="6050" w:type="dxa"/>
                  <w:gridSpan w:val="4"/>
                  <w:tcBorders>
                    <w:top w:val="outset" w:sz="6" w:space="0" w:color="414142"/>
                    <w:left w:val="outset" w:sz="6" w:space="0" w:color="414142"/>
                    <w:bottom w:val="outset" w:sz="6" w:space="0" w:color="414142"/>
                    <w:right w:val="outset" w:sz="6" w:space="0" w:color="414142"/>
                  </w:tcBorders>
                  <w:hideMark/>
                </w:tcPr>
                <w:p w:rsidR="001D597A" w:rsidRPr="007509D0" w:rsidP="008235BE" w14:paraId="4EA6A6D3" w14:textId="77777777">
                  <w:pPr>
                    <w:jc w:val="both"/>
                    <w:rPr>
                      <w:rFonts w:eastAsia="Times New Roman" w:cs="Times New Roman"/>
                      <w:sz w:val="24"/>
                      <w:szCs w:val="24"/>
                      <w:lang w:eastAsia="lv-LV"/>
                    </w:rPr>
                  </w:pPr>
                  <w:r w:rsidRPr="007509D0">
                    <w:rPr>
                      <w:rFonts w:eastAsia="Times New Roman" w:cs="Times New Roman"/>
                      <w:sz w:val="24"/>
                      <w:szCs w:val="24"/>
                      <w:lang w:eastAsia="lv-LV"/>
                    </w:rPr>
                    <w:t>Izstrādājot prasības būvkomersantam attiecībā uz pieredzi un klasi publisku būvdarbu veikšanai būvju grupās, atbilstoši Publisko iepirkumu</w:t>
                  </w:r>
                  <w:r w:rsidRPr="007509D0" w:rsidR="006E099A">
                    <w:rPr>
                      <w:rFonts w:eastAsia="Times New Roman" w:cs="Times New Roman"/>
                      <w:sz w:val="24"/>
                      <w:szCs w:val="24"/>
                      <w:lang w:eastAsia="lv-LV"/>
                    </w:rPr>
                    <w:t xml:space="preserve"> likuma 44.panta trešajai daļai un Sabiedrisko pakalpojumu sniedzēju iepirkumu likuma</w:t>
                  </w:r>
                  <w:r w:rsidRPr="007509D0">
                    <w:rPr>
                      <w:rFonts w:eastAsia="Times New Roman" w:cs="Times New Roman"/>
                      <w:sz w:val="24"/>
                      <w:szCs w:val="24"/>
                      <w:lang w:eastAsia="lv-LV"/>
                    </w:rPr>
                    <w:t xml:space="preserve"> </w:t>
                  </w:r>
                  <w:r w:rsidRPr="007509D0" w:rsidR="006E099A">
                    <w:rPr>
                      <w:rFonts w:eastAsia="Times New Roman" w:cs="Times New Roman"/>
                      <w:sz w:val="24"/>
                      <w:szCs w:val="24"/>
                      <w:lang w:eastAsia="lv-LV"/>
                    </w:rPr>
                    <w:t xml:space="preserve">50.panata trešajai daļai, </w:t>
                  </w:r>
                  <w:r w:rsidRPr="007509D0">
                    <w:rPr>
                      <w:rFonts w:eastAsia="Times New Roman" w:cs="Times New Roman"/>
                      <w:sz w:val="24"/>
                      <w:szCs w:val="24"/>
                      <w:lang w:eastAsia="lv-LV"/>
                    </w:rPr>
                    <w:t xml:space="preserve">jāņem vērā klasifikācijas kārtības precizējumi. </w:t>
                  </w:r>
                </w:p>
              </w:tc>
            </w:tr>
            <w:tr w14:paraId="6D605F12"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382CF98F" w14:textId="77777777">
                  <w:pPr>
                    <w:rPr>
                      <w:rFonts w:eastAsia="Times New Roman" w:cs="Times New Roman"/>
                      <w:sz w:val="20"/>
                      <w:szCs w:val="20"/>
                      <w:lang w:eastAsia="lv-LV"/>
                    </w:rPr>
                  </w:pPr>
                  <w:r w:rsidRPr="00B34185">
                    <w:rPr>
                      <w:rFonts w:eastAsia="Times New Roman" w:cs="Times New Roman"/>
                      <w:sz w:val="20"/>
                      <w:szCs w:val="20"/>
                      <w:lang w:eastAsia="lv-LV"/>
                    </w:rPr>
                    <w:t>2.</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P="00767569" w14:paraId="306EA723" w14:textId="77777777">
                  <w:pPr>
                    <w:rPr>
                      <w:rFonts w:eastAsia="Times New Roman" w:cs="Times New Roman"/>
                      <w:sz w:val="24"/>
                      <w:szCs w:val="20"/>
                      <w:lang w:eastAsia="lv-LV"/>
                    </w:rPr>
                  </w:pPr>
                  <w:r w:rsidRPr="006E099A">
                    <w:rPr>
                      <w:rFonts w:eastAsia="Times New Roman" w:cs="Times New Roman"/>
                      <w:sz w:val="24"/>
                      <w:szCs w:val="20"/>
                      <w:lang w:eastAsia="lv-LV"/>
                    </w:rPr>
                    <w:t>Atbildīgā institūcija</w:t>
                  </w:r>
                </w:p>
              </w:tc>
              <w:tc>
                <w:tcPr>
                  <w:tcW w:w="6050" w:type="dxa"/>
                  <w:gridSpan w:val="4"/>
                  <w:tcBorders>
                    <w:top w:val="outset" w:sz="6" w:space="0" w:color="414142"/>
                    <w:left w:val="outset" w:sz="6" w:space="0" w:color="414142"/>
                    <w:bottom w:val="outset" w:sz="6" w:space="0" w:color="414142"/>
                    <w:right w:val="outset" w:sz="6" w:space="0" w:color="414142"/>
                  </w:tcBorders>
                  <w:hideMark/>
                </w:tcPr>
                <w:p w:rsidR="00767569" w:rsidRPr="0037133D" w:rsidP="00767569" w14:paraId="200EA86F" w14:textId="77777777">
                  <w:pPr>
                    <w:rPr>
                      <w:rFonts w:eastAsia="Times New Roman" w:cs="Times New Roman"/>
                      <w:sz w:val="24"/>
                      <w:szCs w:val="24"/>
                      <w:highlight w:val="yellow"/>
                      <w:lang w:eastAsia="lv-LV"/>
                    </w:rPr>
                  </w:pPr>
                  <w:r w:rsidRPr="007509D0">
                    <w:rPr>
                      <w:rFonts w:eastAsia="Times New Roman" w:cs="Times New Roman"/>
                      <w:sz w:val="24"/>
                      <w:szCs w:val="24"/>
                      <w:lang w:eastAsia="lv-LV"/>
                    </w:rPr>
                    <w:t>Ekonomikas ministrija</w:t>
                  </w:r>
                </w:p>
              </w:tc>
            </w:tr>
            <w:tr w14:paraId="68D31539"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252C30F3" w14:textId="77777777">
                  <w:pPr>
                    <w:rPr>
                      <w:rFonts w:eastAsia="Times New Roman" w:cs="Times New Roman"/>
                      <w:sz w:val="20"/>
                      <w:szCs w:val="20"/>
                      <w:lang w:eastAsia="lv-LV"/>
                    </w:rPr>
                  </w:pPr>
                  <w:r w:rsidRPr="00B34185">
                    <w:rPr>
                      <w:rFonts w:eastAsia="Times New Roman" w:cs="Times New Roman"/>
                      <w:sz w:val="20"/>
                      <w:szCs w:val="20"/>
                      <w:lang w:eastAsia="lv-LV"/>
                    </w:rPr>
                    <w:t>3.</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P="00767569" w14:paraId="2B5E940C" w14:textId="77777777">
                  <w:pPr>
                    <w:rPr>
                      <w:rFonts w:eastAsia="Times New Roman" w:cs="Times New Roman"/>
                      <w:sz w:val="24"/>
                      <w:szCs w:val="20"/>
                      <w:lang w:eastAsia="lv-LV"/>
                    </w:rPr>
                  </w:pPr>
                  <w:r w:rsidRPr="006E099A">
                    <w:rPr>
                      <w:rFonts w:eastAsia="Times New Roman" w:cs="Times New Roman"/>
                      <w:sz w:val="24"/>
                      <w:szCs w:val="20"/>
                      <w:lang w:eastAsia="lv-LV"/>
                    </w:rPr>
                    <w:t>Cita informācija</w:t>
                  </w:r>
                </w:p>
              </w:tc>
              <w:tc>
                <w:tcPr>
                  <w:tcW w:w="6050" w:type="dxa"/>
                  <w:gridSpan w:val="4"/>
                  <w:tcBorders>
                    <w:top w:val="outset" w:sz="6" w:space="0" w:color="414142"/>
                    <w:left w:val="outset" w:sz="6" w:space="0" w:color="414142"/>
                    <w:bottom w:val="outset" w:sz="6" w:space="0" w:color="414142"/>
                    <w:right w:val="outset" w:sz="6" w:space="0" w:color="414142"/>
                  </w:tcBorders>
                  <w:hideMark/>
                </w:tcPr>
                <w:p w:rsidR="00767569" w:rsidRPr="00B34185" w:rsidP="008235BE" w14:paraId="66626BEB" w14:textId="77777777">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14:paraId="3639C73F"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trHeight w:val="280"/>
                <w:jc w:val="center"/>
              </w:trPr>
              <w:tc>
                <w:tcPr>
                  <w:tcW w:w="8781" w:type="dxa"/>
                  <w:gridSpan w:val="7"/>
                  <w:tcBorders>
                    <w:top w:val="outset" w:sz="6" w:space="0" w:color="414142"/>
                    <w:left w:val="nil"/>
                    <w:bottom w:val="outset" w:sz="6" w:space="0" w:color="414142"/>
                    <w:right w:val="nil"/>
                  </w:tcBorders>
                  <w:vAlign w:val="center"/>
                </w:tcPr>
                <w:p w:rsidR="009D1C48" w:rsidRPr="007B06FC" w:rsidP="00767569" w14:paraId="41DC29BB" w14:textId="77777777">
                  <w:pPr>
                    <w:spacing w:before="100" w:beforeAutospacing="1" w:after="100" w:afterAutospacing="1" w:line="293" w:lineRule="atLeast"/>
                    <w:jc w:val="center"/>
                    <w:rPr>
                      <w:rFonts w:eastAsia="Times New Roman" w:cs="Times New Roman"/>
                      <w:b/>
                      <w:bCs/>
                      <w:sz w:val="24"/>
                      <w:szCs w:val="24"/>
                      <w:lang w:eastAsia="lv-LV"/>
                    </w:rPr>
                  </w:pPr>
                </w:p>
              </w:tc>
            </w:tr>
            <w:tr w14:paraId="70F55B42"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280"/>
                <w:jc w:val="center"/>
              </w:trPr>
              <w:tc>
                <w:tcPr>
                  <w:tcW w:w="8781" w:type="dxa"/>
                  <w:gridSpan w:val="7"/>
                  <w:tcBorders>
                    <w:top w:val="outset" w:sz="6" w:space="0" w:color="414142"/>
                    <w:left w:val="outset" w:sz="6" w:space="0" w:color="414142"/>
                    <w:bottom w:val="outset" w:sz="6" w:space="0" w:color="414142"/>
                    <w:right w:val="outset" w:sz="6" w:space="0" w:color="414142"/>
                  </w:tcBorders>
                  <w:vAlign w:val="center"/>
                </w:tcPr>
                <w:p w:rsidR="007B06FC" w:rsidRPr="00B34185" w:rsidP="00767569" w14:paraId="04E21968" w14:textId="77777777">
                  <w:pPr>
                    <w:spacing w:before="100" w:beforeAutospacing="1" w:after="100" w:afterAutospacing="1" w:line="293" w:lineRule="atLeast"/>
                    <w:jc w:val="center"/>
                    <w:rPr>
                      <w:rFonts w:eastAsia="Times New Roman" w:cs="Times New Roman"/>
                      <w:b/>
                      <w:bCs/>
                      <w:sz w:val="24"/>
                      <w:szCs w:val="24"/>
                      <w:lang w:eastAsia="lv-LV"/>
                    </w:rPr>
                  </w:pPr>
                  <w:r w:rsidRPr="007B06FC">
                    <w:rPr>
                      <w:rFonts w:eastAsia="Times New Roman" w:cs="Times New Roman"/>
                      <w:b/>
                      <w:bCs/>
                      <w:sz w:val="24"/>
                      <w:szCs w:val="24"/>
                      <w:lang w:eastAsia="lv-LV"/>
                    </w:rPr>
                    <w:t>V. Tiesību akta projekta atbilstība Latvijas Republikas starptautiskajām saistībām</w:t>
                  </w:r>
                </w:p>
              </w:tc>
            </w:tr>
            <w:tr w14:paraId="0F4FBD39"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trHeight w:val="280"/>
                <w:jc w:val="center"/>
              </w:trPr>
              <w:tc>
                <w:tcPr>
                  <w:tcW w:w="8781" w:type="dxa"/>
                  <w:gridSpan w:val="7"/>
                  <w:tcBorders>
                    <w:top w:val="outset" w:sz="6" w:space="0" w:color="414142"/>
                    <w:left w:val="outset" w:sz="6" w:space="0" w:color="414142"/>
                    <w:bottom w:val="outset" w:sz="6" w:space="0" w:color="414142"/>
                    <w:right w:val="outset" w:sz="6" w:space="0" w:color="414142"/>
                  </w:tcBorders>
                  <w:vAlign w:val="center"/>
                </w:tcPr>
                <w:p w:rsidR="007B06FC" w:rsidRPr="007B06FC" w:rsidP="00767569" w14:paraId="0FBAE0D3" w14:textId="77777777">
                  <w:pPr>
                    <w:spacing w:before="100" w:beforeAutospacing="1" w:after="100" w:afterAutospacing="1" w:line="293" w:lineRule="atLeast"/>
                    <w:jc w:val="center"/>
                    <w:rPr>
                      <w:rFonts w:eastAsia="Times New Roman" w:cs="Times New Roman"/>
                      <w:bCs/>
                      <w:sz w:val="24"/>
                      <w:szCs w:val="24"/>
                      <w:lang w:eastAsia="lv-LV"/>
                    </w:rPr>
                  </w:pPr>
                  <w:r w:rsidRPr="007B06FC">
                    <w:rPr>
                      <w:rFonts w:eastAsia="Times New Roman" w:cs="Times New Roman"/>
                      <w:bCs/>
                      <w:sz w:val="24"/>
                      <w:szCs w:val="24"/>
                      <w:lang w:eastAsia="lv-LV"/>
                    </w:rPr>
                    <w:t>Projekts šo jomu neskar</w:t>
                  </w:r>
                </w:p>
              </w:tc>
            </w:tr>
            <w:tr w14:paraId="5EAD22D7"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trHeight w:val="280"/>
                <w:jc w:val="center"/>
              </w:trPr>
              <w:tc>
                <w:tcPr>
                  <w:tcW w:w="8781" w:type="dxa"/>
                  <w:gridSpan w:val="7"/>
                  <w:tcBorders>
                    <w:top w:val="outset" w:sz="6" w:space="0" w:color="414142"/>
                    <w:left w:val="nil"/>
                    <w:bottom w:val="outset" w:sz="6" w:space="0" w:color="414142"/>
                    <w:right w:val="nil"/>
                  </w:tcBorders>
                  <w:vAlign w:val="center"/>
                </w:tcPr>
                <w:p w:rsidR="009D1C48" w:rsidRPr="00B34185" w:rsidP="00767569" w14:paraId="700DDB90" w14:textId="77777777">
                  <w:pPr>
                    <w:spacing w:before="100" w:beforeAutospacing="1" w:after="100" w:afterAutospacing="1" w:line="293" w:lineRule="atLeast"/>
                    <w:jc w:val="center"/>
                    <w:rPr>
                      <w:rFonts w:eastAsia="Times New Roman" w:cs="Times New Roman"/>
                      <w:b/>
                      <w:bCs/>
                      <w:sz w:val="24"/>
                      <w:szCs w:val="24"/>
                      <w:lang w:eastAsia="lv-LV"/>
                    </w:rPr>
                  </w:pPr>
                </w:p>
              </w:tc>
            </w:tr>
            <w:tr w14:paraId="7E3DFD99"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280"/>
                <w:jc w:val="center"/>
              </w:trPr>
              <w:tc>
                <w:tcPr>
                  <w:tcW w:w="8781" w:type="dxa"/>
                  <w:gridSpan w:val="7"/>
                  <w:tcBorders>
                    <w:top w:val="outset" w:sz="6" w:space="0" w:color="414142"/>
                    <w:left w:val="outset" w:sz="6" w:space="0" w:color="414142"/>
                    <w:bottom w:val="outset" w:sz="6" w:space="0" w:color="414142"/>
                    <w:right w:val="outset" w:sz="6" w:space="0" w:color="414142"/>
                  </w:tcBorders>
                  <w:vAlign w:val="center"/>
                  <w:hideMark/>
                </w:tcPr>
                <w:p w:rsidR="00767569" w:rsidRPr="00B34185" w:rsidP="00767569" w14:paraId="011ADA86" w14:textId="77777777">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 Sabiedrības līdzdalība un komunikācijas aktivitātes</w:t>
                  </w:r>
                </w:p>
              </w:tc>
            </w:tr>
            <w:tr w14:paraId="6DEA30F5"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3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2B36DC42" w14:textId="77777777">
                  <w:pPr>
                    <w:rPr>
                      <w:rFonts w:eastAsia="Times New Roman" w:cs="Times New Roman"/>
                      <w:sz w:val="20"/>
                      <w:szCs w:val="20"/>
                      <w:lang w:eastAsia="lv-LV"/>
                    </w:rPr>
                  </w:pPr>
                  <w:r w:rsidRPr="00B34185">
                    <w:rPr>
                      <w:rFonts w:eastAsia="Times New Roman" w:cs="Times New Roman"/>
                      <w:sz w:val="20"/>
                      <w:szCs w:val="20"/>
                      <w:lang w:eastAsia="lv-LV"/>
                    </w:rPr>
                    <w:t>1.</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72AC90C9" w14:textId="77777777">
                  <w:pPr>
                    <w:rPr>
                      <w:rFonts w:eastAsia="Times New Roman" w:cs="Times New Roman"/>
                      <w:sz w:val="24"/>
                      <w:szCs w:val="24"/>
                      <w:lang w:eastAsia="lv-LV"/>
                    </w:rPr>
                  </w:pPr>
                  <w:r w:rsidRPr="00B34185">
                    <w:rPr>
                      <w:rFonts w:eastAsia="Times New Roman" w:cs="Times New Roman"/>
                      <w:sz w:val="24"/>
                      <w:szCs w:val="24"/>
                      <w:lang w:eastAsia="lv-LV"/>
                    </w:rPr>
                    <w:t>Plānotās sabiedrības līdzdalības un komunikācijas aktivitātes saistībā ar projektu</w:t>
                  </w:r>
                </w:p>
              </w:tc>
              <w:tc>
                <w:tcPr>
                  <w:tcW w:w="5971" w:type="dxa"/>
                  <w:gridSpan w:val="3"/>
                  <w:tcBorders>
                    <w:top w:val="outset" w:sz="6" w:space="0" w:color="414142"/>
                    <w:left w:val="outset" w:sz="6" w:space="0" w:color="414142"/>
                    <w:bottom w:val="outset" w:sz="6" w:space="0" w:color="414142"/>
                    <w:right w:val="outset" w:sz="6" w:space="0" w:color="414142"/>
                  </w:tcBorders>
                  <w:hideMark/>
                </w:tcPr>
                <w:p w:rsidR="007509D0" w:rsidRPr="007509D0" w:rsidP="001D597A" w14:paraId="613B73CA" w14:textId="77777777">
                  <w:pPr>
                    <w:jc w:val="both"/>
                    <w:rPr>
                      <w:rFonts w:eastAsia="Times New Roman" w:cs="Times New Roman"/>
                      <w:sz w:val="24"/>
                      <w:szCs w:val="24"/>
                      <w:lang w:eastAsia="lv-LV"/>
                    </w:rPr>
                  </w:pPr>
                  <w:r w:rsidRPr="007509D0">
                    <w:rPr>
                      <w:rFonts w:eastAsia="Times New Roman" w:cs="Times New Roman"/>
                      <w:sz w:val="24"/>
                      <w:szCs w:val="24"/>
                      <w:lang w:eastAsia="lv-LV"/>
                    </w:rPr>
                    <w:t xml:space="preserve">Noteikumu grozījumu projekts sabiedrībai publiski pieejams Ekonomikas ministrijas mājās lapā internetā, kā arī pēc izsludināšanas Valsts sekretāra sanāksmē būs pieejams Ministru kabineta mājās lapā internetā. </w:t>
                  </w:r>
                </w:p>
                <w:p w:rsidR="00767569" w:rsidRPr="007509D0" w:rsidP="001D597A" w14:paraId="40D6077E" w14:textId="77777777">
                  <w:pPr>
                    <w:jc w:val="both"/>
                    <w:rPr>
                      <w:rFonts w:eastAsia="Times New Roman" w:cs="Times New Roman"/>
                      <w:sz w:val="24"/>
                      <w:szCs w:val="24"/>
                      <w:lang w:eastAsia="lv-LV"/>
                    </w:rPr>
                  </w:pPr>
                  <w:r w:rsidRPr="007509D0">
                    <w:rPr>
                      <w:rFonts w:eastAsia="Times New Roman" w:cs="Times New Roman"/>
                      <w:sz w:val="24"/>
                      <w:szCs w:val="24"/>
                      <w:lang w:eastAsia="lv-LV"/>
                    </w:rPr>
                    <w:t xml:space="preserve">Noteikumu projekta izstrādē iesaistīta Latvijas Būvniecības padomes veidotā nozares ekspertu darba grupa, kurā piedalījās septiņu organizāciju pārstāvji.  </w:t>
                  </w:r>
                </w:p>
              </w:tc>
            </w:tr>
            <w:tr w14:paraId="4EAB6898" w14:textId="77777777" w:rsidTr="00BC5DEE">
              <w:tblPrEx>
                <w:tblW w:w="8841" w:type="dxa"/>
                <w:jc w:val="center"/>
                <w:tblLayout w:type="fixed"/>
                <w:tblCellMar>
                  <w:top w:w="20" w:type="dxa"/>
                  <w:left w:w="20" w:type="dxa"/>
                  <w:bottom w:w="20" w:type="dxa"/>
                  <w:right w:w="20" w:type="dxa"/>
                </w:tblCellMar>
                <w:tblLook w:val="04A0"/>
              </w:tblPrEx>
              <w:trPr>
                <w:trHeight w:val="22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4C650C15" w14:textId="77777777">
                  <w:pPr>
                    <w:rPr>
                      <w:rFonts w:eastAsia="Times New Roman" w:cs="Times New Roman"/>
                      <w:sz w:val="20"/>
                      <w:szCs w:val="20"/>
                      <w:lang w:eastAsia="lv-LV"/>
                    </w:rPr>
                  </w:pPr>
                  <w:r w:rsidRPr="00B34185">
                    <w:rPr>
                      <w:rFonts w:eastAsia="Times New Roman" w:cs="Times New Roman"/>
                      <w:sz w:val="20"/>
                      <w:szCs w:val="20"/>
                      <w:lang w:eastAsia="lv-LV"/>
                    </w:rPr>
                    <w:t>2.</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5B8D5CD1" w14:textId="77777777">
                  <w:pPr>
                    <w:rPr>
                      <w:rFonts w:eastAsia="Times New Roman" w:cs="Times New Roman"/>
                      <w:sz w:val="24"/>
                      <w:szCs w:val="24"/>
                      <w:lang w:eastAsia="lv-LV"/>
                    </w:rPr>
                  </w:pPr>
                  <w:r w:rsidRPr="00B34185">
                    <w:rPr>
                      <w:rFonts w:eastAsia="Times New Roman" w:cs="Times New Roman"/>
                      <w:sz w:val="24"/>
                      <w:szCs w:val="24"/>
                      <w:lang w:eastAsia="lv-LV"/>
                    </w:rPr>
                    <w:t>Sabiedrības līdzdalība projekta izstrādē</w:t>
                  </w:r>
                </w:p>
              </w:tc>
              <w:tc>
                <w:tcPr>
                  <w:tcW w:w="5971" w:type="dxa"/>
                  <w:gridSpan w:val="3"/>
                  <w:tcBorders>
                    <w:top w:val="outset" w:sz="6" w:space="0" w:color="414142"/>
                    <w:left w:val="outset" w:sz="6" w:space="0" w:color="414142"/>
                    <w:bottom w:val="outset" w:sz="6" w:space="0" w:color="414142"/>
                    <w:right w:val="outset" w:sz="6" w:space="0" w:color="414142"/>
                  </w:tcBorders>
                  <w:hideMark/>
                </w:tcPr>
                <w:p w:rsidR="00767569" w:rsidRPr="0037133D" w:rsidP="00F76533" w14:paraId="592E99F0" w14:textId="77777777">
                  <w:pPr>
                    <w:jc w:val="both"/>
                    <w:rPr>
                      <w:rFonts w:eastAsia="Times New Roman" w:cs="Times New Roman"/>
                      <w:sz w:val="24"/>
                      <w:szCs w:val="24"/>
                      <w:highlight w:val="yellow"/>
                      <w:lang w:eastAsia="lv-LV"/>
                    </w:rPr>
                  </w:pPr>
                  <w:r w:rsidRPr="00832260">
                    <w:rPr>
                      <w:rFonts w:eastAsia="Times New Roman" w:cs="Times New Roman"/>
                      <w:sz w:val="24"/>
                      <w:szCs w:val="24"/>
                      <w:lang w:eastAsia="lv-LV"/>
                    </w:rPr>
                    <w:t xml:space="preserve">Latvijas Būvniecības padome izveidoja darba grupu, kas laika periodā no 2017.gada jūlija līdz augustam sanāca uz trim sēdēm, kurās izskatīja nepieciešamos grozījumus. </w:t>
                  </w:r>
                  <w:r w:rsidRPr="00832260" w:rsidR="00F76533">
                    <w:rPr>
                      <w:rFonts w:eastAsia="Times New Roman" w:cs="Times New Roman"/>
                      <w:sz w:val="24"/>
                      <w:szCs w:val="24"/>
                      <w:lang w:eastAsia="lv-LV"/>
                    </w:rPr>
                    <w:t>Izstrādātais grozījumu projekts nosūtīts Latvijas Būvniecības padome</w:t>
                  </w:r>
                  <w:r w:rsidRPr="00832260">
                    <w:rPr>
                      <w:rFonts w:eastAsia="Times New Roman" w:cs="Times New Roman"/>
                      <w:sz w:val="24"/>
                      <w:szCs w:val="24"/>
                      <w:lang w:eastAsia="lv-LV"/>
                    </w:rPr>
                    <w:t xml:space="preserve">i izskatīšanai </w:t>
                  </w:r>
                  <w:r w:rsidRPr="00832260" w:rsidR="00F76533">
                    <w:rPr>
                      <w:rFonts w:eastAsia="Times New Roman" w:cs="Times New Roman"/>
                      <w:sz w:val="24"/>
                      <w:szCs w:val="24"/>
                      <w:lang w:eastAsia="lv-LV"/>
                    </w:rPr>
                    <w:t>201</w:t>
                  </w:r>
                  <w:r w:rsidRPr="00832260">
                    <w:rPr>
                      <w:rFonts w:eastAsia="Times New Roman" w:cs="Times New Roman"/>
                      <w:sz w:val="24"/>
                      <w:szCs w:val="24"/>
                      <w:lang w:eastAsia="lv-LV"/>
                    </w:rPr>
                    <w:t>7</w:t>
                  </w:r>
                  <w:r w:rsidRPr="00832260" w:rsidR="00F76533">
                    <w:rPr>
                      <w:rFonts w:eastAsia="Times New Roman" w:cs="Times New Roman"/>
                      <w:sz w:val="24"/>
                      <w:szCs w:val="24"/>
                      <w:lang w:eastAsia="lv-LV"/>
                    </w:rPr>
                    <w:t xml:space="preserve">.gada </w:t>
                  </w:r>
                  <w:r w:rsidRPr="00832260">
                    <w:rPr>
                      <w:rFonts w:eastAsia="Times New Roman" w:cs="Times New Roman"/>
                      <w:sz w:val="24"/>
                      <w:szCs w:val="24"/>
                      <w:lang w:eastAsia="lv-LV"/>
                    </w:rPr>
                    <w:t>22</w:t>
                  </w:r>
                  <w:r w:rsidRPr="00832260" w:rsidR="00F76533">
                    <w:rPr>
                      <w:rFonts w:eastAsia="Times New Roman" w:cs="Times New Roman"/>
                      <w:sz w:val="24"/>
                      <w:szCs w:val="24"/>
                      <w:lang w:eastAsia="lv-LV"/>
                    </w:rPr>
                    <w:t>.august</w:t>
                  </w:r>
                  <w:r w:rsidRPr="00832260">
                    <w:rPr>
                      <w:rFonts w:eastAsia="Times New Roman" w:cs="Times New Roman"/>
                      <w:sz w:val="24"/>
                      <w:szCs w:val="24"/>
                      <w:lang w:eastAsia="lv-LV"/>
                    </w:rPr>
                    <w:t>a</w:t>
                  </w:r>
                  <w:r w:rsidRPr="00832260" w:rsidR="00F76533">
                    <w:rPr>
                      <w:rFonts w:eastAsia="Times New Roman" w:cs="Times New Roman"/>
                      <w:sz w:val="24"/>
                      <w:szCs w:val="24"/>
                      <w:lang w:eastAsia="lv-LV"/>
                    </w:rPr>
                    <w:t xml:space="preserve"> </w:t>
                  </w:r>
                  <w:r w:rsidRPr="00832260">
                    <w:rPr>
                      <w:rFonts w:eastAsia="Times New Roman" w:cs="Times New Roman"/>
                      <w:sz w:val="24"/>
                      <w:szCs w:val="24"/>
                      <w:lang w:eastAsia="lv-LV"/>
                    </w:rPr>
                    <w:t xml:space="preserve">sēdē. </w:t>
                  </w:r>
                </w:p>
              </w:tc>
              <w:tc>
                <w:tcPr>
                  <w:tcW w:w="60" w:type="dxa"/>
                </w:tcPr>
                <w:p w:rsidR="00767569" w:rsidRPr="00B34185" w14:paraId="6BD4681F" w14:textId="77777777">
                  <w:r w:rsidRPr="00B34185">
                    <w:tab/>
                  </w:r>
                </w:p>
              </w:tc>
            </w:tr>
            <w:tr w14:paraId="3D757F45"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20D86876" w14:textId="77777777">
                  <w:pPr>
                    <w:rPr>
                      <w:rFonts w:eastAsia="Times New Roman" w:cs="Times New Roman"/>
                      <w:sz w:val="20"/>
                      <w:szCs w:val="20"/>
                      <w:lang w:eastAsia="lv-LV"/>
                    </w:rPr>
                  </w:pPr>
                  <w:r w:rsidRPr="00B34185">
                    <w:rPr>
                      <w:rFonts w:eastAsia="Times New Roman" w:cs="Times New Roman"/>
                      <w:sz w:val="20"/>
                      <w:szCs w:val="20"/>
                      <w:lang w:eastAsia="lv-LV"/>
                    </w:rPr>
                    <w:t>3.</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292C3728" w14:textId="77777777">
                  <w:pPr>
                    <w:rPr>
                      <w:rFonts w:eastAsia="Times New Roman" w:cs="Times New Roman"/>
                      <w:sz w:val="24"/>
                      <w:szCs w:val="24"/>
                      <w:lang w:eastAsia="lv-LV"/>
                    </w:rPr>
                  </w:pPr>
                  <w:r w:rsidRPr="00B34185">
                    <w:rPr>
                      <w:rFonts w:eastAsia="Times New Roman" w:cs="Times New Roman"/>
                      <w:sz w:val="24"/>
                      <w:szCs w:val="24"/>
                      <w:lang w:eastAsia="lv-LV"/>
                    </w:rPr>
                    <w:t>Sabiedrības līdzdalības rezultāti</w:t>
                  </w:r>
                </w:p>
              </w:tc>
              <w:tc>
                <w:tcPr>
                  <w:tcW w:w="5971" w:type="dxa"/>
                  <w:gridSpan w:val="3"/>
                  <w:tcBorders>
                    <w:top w:val="outset" w:sz="6" w:space="0" w:color="414142"/>
                    <w:left w:val="outset" w:sz="6" w:space="0" w:color="414142"/>
                    <w:bottom w:val="outset" w:sz="6" w:space="0" w:color="414142"/>
                    <w:right w:val="outset" w:sz="6" w:space="0" w:color="414142"/>
                  </w:tcBorders>
                  <w:hideMark/>
                </w:tcPr>
                <w:p w:rsidR="00767569" w:rsidRPr="006E0DF8" w:rsidP="00832260" w14:paraId="204CCD87" w14:textId="77777777">
                  <w:pPr>
                    <w:jc w:val="both"/>
                    <w:rPr>
                      <w:rFonts w:eastAsia="Times New Roman" w:cs="Times New Roman"/>
                      <w:sz w:val="24"/>
                      <w:szCs w:val="24"/>
                      <w:lang w:eastAsia="lv-LV"/>
                    </w:rPr>
                  </w:pPr>
                  <w:r w:rsidRPr="006E0DF8">
                    <w:rPr>
                      <w:rFonts w:eastAsia="Times New Roman" w:cs="Times New Roman"/>
                      <w:sz w:val="24"/>
                      <w:szCs w:val="24"/>
                      <w:lang w:eastAsia="lv-LV"/>
                    </w:rPr>
                    <w:t>Latvijas Būvniecības padomes iz</w:t>
                  </w:r>
                  <w:r w:rsidRPr="006E0DF8" w:rsidR="006E0DF8">
                    <w:rPr>
                      <w:rFonts w:eastAsia="Times New Roman" w:cs="Times New Roman"/>
                      <w:sz w:val="24"/>
                      <w:szCs w:val="24"/>
                      <w:lang w:eastAsia="lv-LV"/>
                    </w:rPr>
                    <w:t>veidot</w:t>
                  </w:r>
                  <w:r w:rsidR="00832260">
                    <w:rPr>
                      <w:rFonts w:eastAsia="Times New Roman" w:cs="Times New Roman"/>
                      <w:sz w:val="24"/>
                      <w:szCs w:val="24"/>
                      <w:lang w:eastAsia="lv-LV"/>
                    </w:rPr>
                    <w:t>ajā</w:t>
                  </w:r>
                  <w:r w:rsidRPr="006E0DF8" w:rsidR="006E0DF8">
                    <w:rPr>
                      <w:rFonts w:eastAsia="Times New Roman" w:cs="Times New Roman"/>
                      <w:sz w:val="24"/>
                      <w:szCs w:val="24"/>
                      <w:lang w:eastAsia="lv-LV"/>
                    </w:rPr>
                    <w:t xml:space="preserve"> darba grupā pārstāvēto organizāciju viedoklis par atsevišķiem kritērijiem ir atšķirīgs. </w:t>
                  </w:r>
                  <w:r w:rsidR="00832260">
                    <w:rPr>
                      <w:rFonts w:eastAsia="Times New Roman" w:cs="Times New Roman"/>
                      <w:sz w:val="24"/>
                      <w:szCs w:val="24"/>
                      <w:lang w:eastAsia="lv-LV"/>
                    </w:rPr>
                    <w:t xml:space="preserve">Atbalsta daļēji. </w:t>
                  </w:r>
                </w:p>
              </w:tc>
            </w:tr>
            <w:tr w14:paraId="6A1F0540"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5FA061FE" w14:textId="77777777">
                  <w:pPr>
                    <w:rPr>
                      <w:rFonts w:eastAsia="Times New Roman" w:cs="Times New Roman"/>
                      <w:sz w:val="20"/>
                      <w:szCs w:val="20"/>
                      <w:lang w:eastAsia="lv-LV"/>
                    </w:rPr>
                  </w:pPr>
                  <w:r w:rsidRPr="00B34185">
                    <w:rPr>
                      <w:rFonts w:eastAsia="Times New Roman" w:cs="Times New Roman"/>
                      <w:sz w:val="20"/>
                      <w:szCs w:val="20"/>
                      <w:lang w:eastAsia="lv-LV"/>
                    </w:rPr>
                    <w:t>4.</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767569" w14:paraId="26DC24A4" w14:textId="77777777">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971" w:type="dxa"/>
                  <w:gridSpan w:val="3"/>
                  <w:tcBorders>
                    <w:top w:val="outset" w:sz="6" w:space="0" w:color="414142"/>
                    <w:left w:val="outset" w:sz="6" w:space="0" w:color="414142"/>
                    <w:bottom w:val="outset" w:sz="6" w:space="0" w:color="414142"/>
                    <w:right w:val="outset" w:sz="6" w:space="0" w:color="414142"/>
                  </w:tcBorders>
                  <w:hideMark/>
                </w:tcPr>
                <w:p w:rsidR="00767569" w:rsidRPr="00B34185" w:rsidP="00F76533" w14:paraId="66767979" w14:textId="77777777">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14:paraId="05D0E9E4" w14:textId="77777777" w:rsidTr="009D1C48">
              <w:tblPrEx>
                <w:tblW w:w="8841" w:type="dxa"/>
                <w:jc w:val="center"/>
                <w:tblLayout w:type="fixed"/>
                <w:tblCellMar>
                  <w:top w:w="20" w:type="dxa"/>
                  <w:left w:w="20" w:type="dxa"/>
                  <w:bottom w:w="20" w:type="dxa"/>
                  <w:right w:w="20" w:type="dxa"/>
                </w:tblCellMar>
                <w:tblLook w:val="04A0"/>
              </w:tblPrEx>
              <w:trPr>
                <w:gridAfter w:val="1"/>
                <w:wAfter w:w="60" w:type="dxa"/>
                <w:trHeight w:val="250"/>
                <w:jc w:val="center"/>
              </w:trPr>
              <w:tc>
                <w:tcPr>
                  <w:tcW w:w="8781" w:type="dxa"/>
                  <w:gridSpan w:val="7"/>
                  <w:tcBorders>
                    <w:top w:val="outset" w:sz="6" w:space="0" w:color="414142"/>
                    <w:left w:val="nil"/>
                    <w:bottom w:val="outset" w:sz="6" w:space="0" w:color="414142"/>
                    <w:right w:val="nil"/>
                  </w:tcBorders>
                  <w:vAlign w:val="center"/>
                </w:tcPr>
                <w:p w:rsidR="00772FCA" w:rsidRPr="00B34185" w:rsidP="00767569" w14:paraId="0F7B3C9C" w14:textId="7C40B770">
                  <w:pPr>
                    <w:spacing w:before="100" w:beforeAutospacing="1" w:after="100" w:afterAutospacing="1" w:line="293" w:lineRule="atLeast"/>
                    <w:jc w:val="center"/>
                    <w:rPr>
                      <w:rFonts w:eastAsia="Times New Roman" w:cs="Times New Roman"/>
                      <w:b/>
                      <w:bCs/>
                      <w:sz w:val="24"/>
                      <w:szCs w:val="24"/>
                      <w:lang w:eastAsia="lv-LV"/>
                    </w:rPr>
                  </w:pPr>
                </w:p>
              </w:tc>
            </w:tr>
            <w:tr w14:paraId="3D312532"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250"/>
                <w:jc w:val="center"/>
              </w:trPr>
              <w:tc>
                <w:tcPr>
                  <w:tcW w:w="8781" w:type="dxa"/>
                  <w:gridSpan w:val="7"/>
                  <w:tcBorders>
                    <w:top w:val="outset" w:sz="6" w:space="0" w:color="414142"/>
                    <w:left w:val="outset" w:sz="6" w:space="0" w:color="414142"/>
                    <w:bottom w:val="outset" w:sz="6" w:space="0" w:color="414142"/>
                    <w:right w:val="outset" w:sz="6" w:space="0" w:color="414142"/>
                  </w:tcBorders>
                  <w:vAlign w:val="center"/>
                  <w:hideMark/>
                </w:tcPr>
                <w:p w:rsidR="00767569" w:rsidRPr="00B34185" w:rsidP="00767569" w14:paraId="4319507A" w14:textId="77777777">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VII. Tiesību akta projekta izpildes nodrošināšana un tās ietekme uz institūcijām</w:t>
                  </w:r>
                </w:p>
              </w:tc>
            </w:tr>
            <w:tr w14:paraId="179B3656"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28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216CD6F1" w14:textId="77777777">
                  <w:pPr>
                    <w:rPr>
                      <w:rFonts w:eastAsia="Times New Roman" w:cs="Times New Roman"/>
                      <w:sz w:val="20"/>
                      <w:szCs w:val="20"/>
                      <w:lang w:eastAsia="lv-LV"/>
                    </w:rPr>
                  </w:pPr>
                  <w:r w:rsidRPr="00B34185">
                    <w:rPr>
                      <w:rFonts w:eastAsia="Times New Roman" w:cs="Times New Roman"/>
                      <w:sz w:val="20"/>
                      <w:szCs w:val="20"/>
                      <w:lang w:eastAsia="lv-LV"/>
                    </w:rPr>
                    <w:t>1.</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P="00767569" w14:paraId="677EA4FA" w14:textId="77777777">
                  <w:pPr>
                    <w:rPr>
                      <w:rFonts w:eastAsia="Times New Roman" w:cs="Times New Roman"/>
                      <w:sz w:val="24"/>
                      <w:szCs w:val="24"/>
                      <w:lang w:eastAsia="lv-LV"/>
                    </w:rPr>
                  </w:pPr>
                  <w:r w:rsidRPr="00B34185">
                    <w:rPr>
                      <w:rFonts w:eastAsia="Times New Roman" w:cs="Times New Roman"/>
                      <w:sz w:val="24"/>
                      <w:szCs w:val="24"/>
                      <w:lang w:eastAsia="lv-LV"/>
                    </w:rPr>
                    <w:t>Projekta izpildē iesaistītās institūcijas</w:t>
                  </w:r>
                </w:p>
              </w:tc>
              <w:tc>
                <w:tcPr>
                  <w:tcW w:w="5330" w:type="dxa"/>
                  <w:tcBorders>
                    <w:top w:val="outset" w:sz="6" w:space="0" w:color="414142"/>
                    <w:left w:val="outset" w:sz="6" w:space="0" w:color="414142"/>
                    <w:bottom w:val="outset" w:sz="6" w:space="0" w:color="414142"/>
                    <w:right w:val="outset" w:sz="6" w:space="0" w:color="414142"/>
                  </w:tcBorders>
                  <w:hideMark/>
                </w:tcPr>
                <w:p w:rsidR="00767569" w:rsidRPr="0037133D" w:rsidP="00BD51E4" w14:paraId="008C0B54" w14:textId="77777777">
                  <w:pPr>
                    <w:rPr>
                      <w:rFonts w:eastAsia="Times New Roman" w:cs="Times New Roman"/>
                      <w:sz w:val="24"/>
                      <w:szCs w:val="24"/>
                      <w:highlight w:val="yellow"/>
                      <w:lang w:eastAsia="lv-LV"/>
                    </w:rPr>
                  </w:pPr>
                  <w:r w:rsidRPr="006E0DF8">
                    <w:rPr>
                      <w:rFonts w:eastAsia="Times New Roman" w:cs="Times New Roman"/>
                      <w:sz w:val="24"/>
                      <w:szCs w:val="24"/>
                      <w:lang w:eastAsia="lv-LV"/>
                    </w:rPr>
                    <w:t>Ekonomikas ministrija, Būvniecības valsts kontroles birojs</w:t>
                  </w:r>
                  <w:r w:rsidRPr="006E0DF8" w:rsidR="006E0DF8">
                    <w:rPr>
                      <w:rFonts w:eastAsia="Times New Roman" w:cs="Times New Roman"/>
                      <w:sz w:val="24"/>
                      <w:szCs w:val="24"/>
                      <w:lang w:eastAsia="lv-LV"/>
                    </w:rPr>
                    <w:t>, Valsts Ieņēmumu dienests, Valsts Reģionālās attīstības aģentūra</w:t>
                  </w:r>
                  <w:r w:rsidRPr="0037133D">
                    <w:rPr>
                      <w:rFonts w:eastAsia="Times New Roman" w:cs="Times New Roman"/>
                      <w:sz w:val="24"/>
                      <w:szCs w:val="24"/>
                      <w:highlight w:val="yellow"/>
                      <w:lang w:eastAsia="lv-LV"/>
                    </w:rPr>
                    <w:t xml:space="preserve"> </w:t>
                  </w:r>
                </w:p>
              </w:tc>
            </w:tr>
            <w:tr w14:paraId="7404DEB3"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30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38804A26" w14:textId="77777777">
                  <w:pPr>
                    <w:rPr>
                      <w:rFonts w:eastAsia="Times New Roman" w:cs="Times New Roman"/>
                      <w:sz w:val="20"/>
                      <w:szCs w:val="20"/>
                      <w:lang w:eastAsia="lv-LV"/>
                    </w:rPr>
                  </w:pPr>
                  <w:r w:rsidRPr="00B34185">
                    <w:rPr>
                      <w:rFonts w:eastAsia="Times New Roman" w:cs="Times New Roman"/>
                      <w:sz w:val="20"/>
                      <w:szCs w:val="20"/>
                      <w:lang w:eastAsia="lv-LV"/>
                    </w:rPr>
                    <w:t>2.</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P="00767569" w14:paraId="2CA96F08" w14:textId="77777777">
                  <w:pPr>
                    <w:rPr>
                      <w:rFonts w:eastAsia="Times New Roman" w:cs="Times New Roman"/>
                      <w:sz w:val="24"/>
                      <w:szCs w:val="24"/>
                      <w:lang w:eastAsia="lv-LV"/>
                    </w:rPr>
                  </w:pPr>
                  <w:r w:rsidRPr="00B34185">
                    <w:rPr>
                      <w:rFonts w:eastAsia="Times New Roman" w:cs="Times New Roman"/>
                      <w:sz w:val="24"/>
                      <w:szCs w:val="24"/>
                      <w:lang w:eastAsia="lv-LV"/>
                    </w:rPr>
                    <w:t>Projekta izpildes ietekme uz pārvaldes funkcijām un institucionālo struktūru.</w:t>
                  </w:r>
                </w:p>
                <w:p w:rsidR="00767569" w:rsidRPr="00B34185" w:rsidP="00767569" w14:paraId="7B15522E" w14:textId="77777777">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Jaunu institūciju izveide, esošu institūciju likvidācija vai reorganizācija, to ietekme uz institūcijas cilvēkresursiem</w:t>
                  </w:r>
                </w:p>
              </w:tc>
              <w:tc>
                <w:tcPr>
                  <w:tcW w:w="5330"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7BFEAB77" w14:textId="77777777">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14:paraId="737A2745" w14:textId="77777777" w:rsidTr="00BC5DEE">
              <w:tblPrEx>
                <w:tblW w:w="8841" w:type="dxa"/>
                <w:jc w:val="center"/>
                <w:tblLayout w:type="fixed"/>
                <w:tblCellMar>
                  <w:top w:w="20" w:type="dxa"/>
                  <w:left w:w="20" w:type="dxa"/>
                  <w:bottom w:w="20" w:type="dxa"/>
                  <w:right w:w="20" w:type="dxa"/>
                </w:tblCellMar>
                <w:tblLook w:val="04A0"/>
              </w:tblPrEx>
              <w:trPr>
                <w:gridAfter w:val="1"/>
                <w:wAfter w:w="60" w:type="dxa"/>
                <w:trHeight w:val="2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P="00767569" w14:paraId="79E07D93" w14:textId="77777777">
                  <w:pPr>
                    <w:rPr>
                      <w:rFonts w:eastAsia="Times New Roman" w:cs="Times New Roman"/>
                      <w:sz w:val="20"/>
                      <w:szCs w:val="20"/>
                      <w:lang w:eastAsia="lv-LV"/>
                    </w:rPr>
                  </w:pPr>
                  <w:r w:rsidRPr="00B34185">
                    <w:rPr>
                      <w:rFonts w:eastAsia="Times New Roman" w:cs="Times New Roman"/>
                      <w:sz w:val="20"/>
                      <w:szCs w:val="20"/>
                      <w:lang w:eastAsia="lv-LV"/>
                    </w:rPr>
                    <w:t>3.</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P="00767569" w14:paraId="343E56AE" w14:textId="77777777">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330" w:type="dxa"/>
                  <w:tcBorders>
                    <w:top w:val="outset" w:sz="6" w:space="0" w:color="414142"/>
                    <w:left w:val="outset" w:sz="6" w:space="0" w:color="414142"/>
                    <w:bottom w:val="outset" w:sz="6" w:space="0" w:color="414142"/>
                    <w:right w:val="outset" w:sz="6" w:space="0" w:color="414142"/>
                  </w:tcBorders>
                  <w:hideMark/>
                </w:tcPr>
                <w:p w:rsidR="00767569" w:rsidRPr="00B34185" w:rsidP="00144667" w14:paraId="569028CD" w14:textId="2F8F6440">
                  <w:pPr>
                    <w:rPr>
                      <w:rFonts w:eastAsia="Times New Roman" w:cs="Times New Roman"/>
                      <w:sz w:val="24"/>
                      <w:szCs w:val="24"/>
                      <w:lang w:eastAsia="lv-LV"/>
                    </w:rPr>
                  </w:pPr>
                  <w:r>
                    <w:rPr>
                      <w:rFonts w:eastAsia="Times New Roman" w:cs="Times New Roman"/>
                      <w:sz w:val="24"/>
                      <w:szCs w:val="24"/>
                      <w:lang w:eastAsia="lv-LV"/>
                    </w:rPr>
                    <w:t xml:space="preserve">Nav. </w:t>
                  </w:r>
                </w:p>
              </w:tc>
            </w:tr>
          </w:tbl>
          <w:p w:rsidR="00767569" w:rsidRPr="00767569" w:rsidP="00767569" w14:paraId="30418A5D" w14:textId="77777777">
            <w:pPr>
              <w:jc w:val="center"/>
              <w:rPr>
                <w:rFonts w:eastAsia="Times New Roman" w:cs="Times New Roman"/>
                <w:color w:val="414142"/>
                <w:sz w:val="27"/>
                <w:szCs w:val="27"/>
                <w:lang w:eastAsia="lv-LV"/>
              </w:rPr>
            </w:pPr>
          </w:p>
        </w:tc>
        <w:tc>
          <w:tcPr>
            <w:tcW w:w="270" w:type="dxa"/>
            <w:shd w:val="clear" w:color="auto" w:fill="FFFFFF"/>
            <w:vAlign w:val="center"/>
            <w:hideMark/>
          </w:tcPr>
          <w:p w:rsidR="00767569" w:rsidRPr="00767569" w:rsidP="00767569" w14:paraId="5D65D4D8" w14:textId="77777777">
            <w:pPr>
              <w:rPr>
                <w:rFonts w:eastAsia="Times New Roman" w:cs="Times New Roman"/>
                <w:color w:val="000000"/>
                <w:sz w:val="27"/>
                <w:szCs w:val="27"/>
                <w:lang w:eastAsia="lv-LV"/>
              </w:rPr>
            </w:pPr>
            <w:r w:rsidRPr="00767569">
              <w:rPr>
                <w:rFonts w:eastAsia="Times New Roman" w:cs="Times New Roman"/>
                <w:color w:val="000000"/>
                <w:sz w:val="27"/>
                <w:szCs w:val="27"/>
                <w:lang w:eastAsia="lv-LV"/>
              </w:rPr>
              <w:t> </w:t>
            </w:r>
          </w:p>
        </w:tc>
      </w:tr>
    </w:tbl>
    <w:p w:rsidR="00144667" w:rsidP="00BD51E4" w14:paraId="78423CB9" w14:textId="77777777">
      <w:pPr>
        <w:rPr>
          <w:sz w:val="24"/>
          <w:szCs w:val="24"/>
        </w:rPr>
      </w:pPr>
    </w:p>
    <w:p w:rsidR="009E5BC9" w:rsidP="00BD51E4" w14:paraId="2880DBBE" w14:textId="77777777">
      <w:pPr>
        <w:rPr>
          <w:sz w:val="24"/>
          <w:szCs w:val="24"/>
        </w:rPr>
      </w:pPr>
    </w:p>
    <w:p w:rsidR="00BD51E4" w:rsidRPr="00144667" w:rsidP="00BD51E4" w14:paraId="47574C26" w14:textId="0FA42DE1">
      <w:pPr>
        <w:rPr>
          <w:sz w:val="24"/>
          <w:szCs w:val="24"/>
        </w:rPr>
      </w:pPr>
      <w:r w:rsidRPr="00144667">
        <w:rPr>
          <w:sz w:val="24"/>
          <w:szCs w:val="24"/>
        </w:rPr>
        <w:t>Ministru prezidenta biedrs</w:t>
      </w:r>
    </w:p>
    <w:p w:rsidR="00BD51E4" w:rsidRPr="00144667" w:rsidP="000649A2" w14:paraId="7B112492" w14:textId="77777777">
      <w:pPr>
        <w:tabs>
          <w:tab w:val="left" w:pos="7513"/>
        </w:tabs>
        <w:rPr>
          <w:sz w:val="24"/>
          <w:szCs w:val="24"/>
        </w:rPr>
      </w:pPr>
      <w:r w:rsidRPr="00144667">
        <w:rPr>
          <w:sz w:val="24"/>
          <w:szCs w:val="24"/>
        </w:rPr>
        <w:t xml:space="preserve">Ekonomikas ministrs </w:t>
      </w:r>
      <w:r w:rsidRPr="00144667">
        <w:rPr>
          <w:sz w:val="24"/>
          <w:szCs w:val="24"/>
        </w:rPr>
        <w:tab/>
        <w:t>A. Ašeradens</w:t>
      </w:r>
    </w:p>
    <w:p w:rsidR="00BD51E4" w:rsidRPr="00144667" w:rsidP="00BD51E4" w14:paraId="5BB4DBEA" w14:textId="77777777">
      <w:pPr>
        <w:rPr>
          <w:sz w:val="24"/>
          <w:szCs w:val="24"/>
        </w:rPr>
      </w:pPr>
    </w:p>
    <w:p w:rsidR="00BD51E4" w:rsidRPr="00144667" w:rsidP="00BD51E4" w14:paraId="446588FB" w14:textId="77777777">
      <w:pPr>
        <w:rPr>
          <w:sz w:val="24"/>
          <w:szCs w:val="24"/>
        </w:rPr>
      </w:pPr>
      <w:r w:rsidRPr="00144667">
        <w:rPr>
          <w:sz w:val="24"/>
          <w:szCs w:val="24"/>
        </w:rPr>
        <w:t xml:space="preserve">Vīza: </w:t>
      </w:r>
    </w:p>
    <w:p w:rsidR="00BD51E4" w:rsidRPr="00144667" w:rsidP="000649A2" w14:paraId="0644F162" w14:textId="77777777">
      <w:pPr>
        <w:tabs>
          <w:tab w:val="left" w:pos="7513"/>
        </w:tabs>
        <w:rPr>
          <w:sz w:val="24"/>
          <w:szCs w:val="24"/>
        </w:rPr>
      </w:pPr>
      <w:r w:rsidRPr="00144667">
        <w:rPr>
          <w:sz w:val="24"/>
          <w:szCs w:val="24"/>
        </w:rPr>
        <w:t>Valsts sekretārs</w:t>
      </w:r>
      <w:r w:rsidRPr="00144667">
        <w:rPr>
          <w:sz w:val="24"/>
          <w:szCs w:val="24"/>
        </w:rPr>
        <w:tab/>
      </w:r>
      <w:r w:rsidRPr="00144667">
        <w:rPr>
          <w:sz w:val="24"/>
          <w:szCs w:val="24"/>
        </w:rPr>
        <w:t>J.Stinka</w:t>
      </w:r>
    </w:p>
    <w:p w:rsidR="00BD51E4" w:rsidP="00BD51E4" w14:paraId="1DECFB2B" w14:textId="77777777"/>
    <w:p w:rsidR="009E5BC9" w:rsidP="00BD51E4" w14:paraId="586CF476" w14:textId="77777777">
      <w:pPr>
        <w:rPr>
          <w:sz w:val="20"/>
          <w:szCs w:val="20"/>
        </w:rPr>
      </w:pPr>
    </w:p>
    <w:p w:rsidR="009E5BC9" w:rsidP="00BD51E4" w14:paraId="3161597C" w14:textId="77777777">
      <w:pPr>
        <w:rPr>
          <w:sz w:val="20"/>
          <w:szCs w:val="20"/>
        </w:rPr>
      </w:pPr>
    </w:p>
    <w:p w:rsidR="009E5BC9" w:rsidP="00BD51E4" w14:paraId="713DED7C" w14:textId="77777777">
      <w:pPr>
        <w:rPr>
          <w:sz w:val="20"/>
          <w:szCs w:val="20"/>
        </w:rPr>
      </w:pPr>
    </w:p>
    <w:p w:rsidR="009E5BC9" w:rsidP="00BD51E4" w14:paraId="321F797A" w14:textId="77777777">
      <w:pPr>
        <w:rPr>
          <w:sz w:val="20"/>
          <w:szCs w:val="20"/>
        </w:rPr>
      </w:pPr>
    </w:p>
    <w:p w:rsidR="009E5BC9" w:rsidP="00BD51E4" w14:paraId="1BE60910" w14:textId="77777777">
      <w:pPr>
        <w:rPr>
          <w:sz w:val="20"/>
          <w:szCs w:val="20"/>
        </w:rPr>
      </w:pPr>
    </w:p>
    <w:p w:rsidR="009E5BC9" w:rsidP="00BD51E4" w14:paraId="5E3C892F" w14:textId="77777777">
      <w:pPr>
        <w:rPr>
          <w:sz w:val="20"/>
          <w:szCs w:val="20"/>
        </w:rPr>
      </w:pPr>
    </w:p>
    <w:p w:rsidR="009E5BC9" w:rsidP="00BD51E4" w14:paraId="479819F2" w14:textId="77777777">
      <w:pPr>
        <w:rPr>
          <w:sz w:val="20"/>
          <w:szCs w:val="20"/>
        </w:rPr>
      </w:pPr>
    </w:p>
    <w:p w:rsidR="009E5BC9" w:rsidP="00BD51E4" w14:paraId="16BBE1C2" w14:textId="77777777">
      <w:pPr>
        <w:rPr>
          <w:sz w:val="20"/>
          <w:szCs w:val="20"/>
        </w:rPr>
      </w:pPr>
    </w:p>
    <w:p w:rsidR="009E5BC9" w:rsidP="00BD51E4" w14:paraId="7FAEE328" w14:textId="77777777">
      <w:pPr>
        <w:rPr>
          <w:sz w:val="20"/>
          <w:szCs w:val="20"/>
        </w:rPr>
      </w:pPr>
    </w:p>
    <w:p w:rsidR="009E5BC9" w:rsidP="00BD51E4" w14:paraId="30FF6A8B" w14:textId="77777777">
      <w:pPr>
        <w:rPr>
          <w:sz w:val="20"/>
          <w:szCs w:val="20"/>
        </w:rPr>
      </w:pPr>
    </w:p>
    <w:p w:rsidR="009E5BC9" w:rsidP="00BD51E4" w14:paraId="1802504E" w14:textId="77777777">
      <w:pPr>
        <w:rPr>
          <w:sz w:val="20"/>
          <w:szCs w:val="20"/>
        </w:rPr>
      </w:pPr>
    </w:p>
    <w:p w:rsidR="009E5BC9" w:rsidP="00BD51E4" w14:paraId="1F59CEC6" w14:textId="77777777">
      <w:pPr>
        <w:rPr>
          <w:sz w:val="20"/>
          <w:szCs w:val="20"/>
        </w:rPr>
      </w:pPr>
    </w:p>
    <w:p w:rsidR="009E5BC9" w:rsidP="00BD51E4" w14:paraId="59A75C87" w14:textId="77777777">
      <w:pPr>
        <w:rPr>
          <w:sz w:val="20"/>
          <w:szCs w:val="20"/>
        </w:rPr>
      </w:pPr>
    </w:p>
    <w:p w:rsidR="009E5BC9" w:rsidP="00BD51E4" w14:paraId="49C29AB5" w14:textId="77777777">
      <w:pPr>
        <w:rPr>
          <w:sz w:val="20"/>
          <w:szCs w:val="20"/>
        </w:rPr>
      </w:pPr>
    </w:p>
    <w:p w:rsidR="009E5BC9" w:rsidP="00BD51E4" w14:paraId="6D22E903" w14:textId="77777777">
      <w:pPr>
        <w:rPr>
          <w:sz w:val="20"/>
          <w:szCs w:val="20"/>
        </w:rPr>
      </w:pPr>
    </w:p>
    <w:p w:rsidR="009E5BC9" w:rsidP="00BD51E4" w14:paraId="299DC471" w14:textId="77777777">
      <w:pPr>
        <w:rPr>
          <w:sz w:val="20"/>
          <w:szCs w:val="20"/>
        </w:rPr>
      </w:pPr>
    </w:p>
    <w:p w:rsidR="009E5BC9" w:rsidP="00BD51E4" w14:paraId="1B55919F" w14:textId="77777777">
      <w:pPr>
        <w:rPr>
          <w:sz w:val="20"/>
          <w:szCs w:val="20"/>
        </w:rPr>
      </w:pPr>
    </w:p>
    <w:p w:rsidR="009E5BC9" w:rsidP="00BD51E4" w14:paraId="6941A4CF" w14:textId="77777777">
      <w:pPr>
        <w:rPr>
          <w:sz w:val="20"/>
          <w:szCs w:val="20"/>
        </w:rPr>
      </w:pPr>
    </w:p>
    <w:p w:rsidR="009E5BC9" w:rsidP="00BD51E4" w14:paraId="53733AB9" w14:textId="77777777">
      <w:pPr>
        <w:rPr>
          <w:sz w:val="20"/>
          <w:szCs w:val="20"/>
        </w:rPr>
      </w:pPr>
    </w:p>
    <w:p w:rsidR="009E5BC9" w:rsidP="00BD51E4" w14:paraId="0F19F473" w14:textId="77777777">
      <w:pPr>
        <w:rPr>
          <w:sz w:val="20"/>
          <w:szCs w:val="20"/>
        </w:rPr>
      </w:pPr>
    </w:p>
    <w:p w:rsidR="009E5BC9" w:rsidP="00BD51E4" w14:paraId="7DC64E69" w14:textId="77777777">
      <w:pPr>
        <w:rPr>
          <w:sz w:val="20"/>
          <w:szCs w:val="20"/>
        </w:rPr>
      </w:pPr>
    </w:p>
    <w:p w:rsidR="009E5BC9" w:rsidP="00BD51E4" w14:paraId="7B327591" w14:textId="77777777">
      <w:pPr>
        <w:rPr>
          <w:sz w:val="20"/>
          <w:szCs w:val="20"/>
        </w:rPr>
      </w:pPr>
    </w:p>
    <w:p w:rsidR="009E5BC9" w:rsidP="00BD51E4" w14:paraId="7EC0D81C" w14:textId="77777777">
      <w:pPr>
        <w:rPr>
          <w:sz w:val="20"/>
          <w:szCs w:val="20"/>
        </w:rPr>
      </w:pPr>
    </w:p>
    <w:p w:rsidR="009E5BC9" w:rsidP="00BD51E4" w14:paraId="7E781FF4" w14:textId="77777777">
      <w:pPr>
        <w:rPr>
          <w:sz w:val="20"/>
          <w:szCs w:val="20"/>
        </w:rPr>
      </w:pPr>
    </w:p>
    <w:p w:rsidR="009E5BC9" w:rsidP="00BD51E4" w14:paraId="2FAB1C24" w14:textId="77777777">
      <w:pPr>
        <w:rPr>
          <w:sz w:val="20"/>
          <w:szCs w:val="20"/>
        </w:rPr>
      </w:pPr>
    </w:p>
    <w:p w:rsidR="009E5BC9" w:rsidP="00BD51E4" w14:paraId="5CB0150C" w14:textId="77777777">
      <w:pPr>
        <w:rPr>
          <w:sz w:val="20"/>
          <w:szCs w:val="20"/>
        </w:rPr>
      </w:pPr>
    </w:p>
    <w:p w:rsidR="009E5BC9" w:rsidP="00BD51E4" w14:paraId="66B520E7" w14:textId="77777777">
      <w:pPr>
        <w:rPr>
          <w:sz w:val="20"/>
          <w:szCs w:val="20"/>
        </w:rPr>
      </w:pPr>
    </w:p>
    <w:p w:rsidR="009E5BC9" w:rsidP="00BD51E4" w14:paraId="585D7720" w14:textId="77777777">
      <w:pPr>
        <w:rPr>
          <w:sz w:val="20"/>
          <w:szCs w:val="20"/>
        </w:rPr>
      </w:pPr>
    </w:p>
    <w:p w:rsidR="009E5BC9" w:rsidP="00BD51E4" w14:paraId="1E74FB41" w14:textId="77777777">
      <w:pPr>
        <w:rPr>
          <w:sz w:val="20"/>
          <w:szCs w:val="20"/>
        </w:rPr>
      </w:pPr>
    </w:p>
    <w:p w:rsidR="009E5BC9" w:rsidP="00BD51E4" w14:paraId="78ADF360" w14:textId="77777777">
      <w:pPr>
        <w:rPr>
          <w:sz w:val="20"/>
          <w:szCs w:val="20"/>
        </w:rPr>
      </w:pPr>
    </w:p>
    <w:p w:rsidR="00BD51E4" w:rsidRPr="00F660B4" w:rsidP="00BD51E4" w14:paraId="276C6DCD" w14:textId="7EF784C8">
      <w:pPr>
        <w:rPr>
          <w:sz w:val="20"/>
          <w:szCs w:val="20"/>
        </w:rPr>
      </w:pPr>
      <w:r w:rsidRPr="00F660B4">
        <w:rPr>
          <w:sz w:val="20"/>
          <w:szCs w:val="20"/>
        </w:rPr>
        <w:t>Fomina, 67013148</w:t>
      </w:r>
    </w:p>
    <w:p w:rsidR="00F660B4" w:rsidRPr="00F660B4" w:rsidP="00BD51E4" w14:paraId="27C0B515" w14:textId="7C76AE92">
      <w:pPr>
        <w:rPr>
          <w:sz w:val="20"/>
          <w:szCs w:val="20"/>
        </w:rPr>
      </w:pPr>
      <w:r w:rsidRPr="00F660B4">
        <w:rPr>
          <w:sz w:val="20"/>
          <w:szCs w:val="20"/>
        </w:rPr>
        <w:t>kristine.fomina@em.gov.lv</w:t>
      </w:r>
    </w:p>
    <w:sectPr w:rsidSect="00CC7E27">
      <w:headerReference w:type="default" r:id="rId6"/>
      <w:footerReference w:type="default" r:id="rId7"/>
      <w:footerReference w:type="first" r:id="rId8"/>
      <w:pgSz w:w="11906" w:h="16838"/>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027A" w:rsidRPr="00412C53" w:rsidP="00F660B4" w14:paraId="76E88B0A" w14:textId="712E7D0F">
    <w:pPr>
      <w:pStyle w:val="Footer"/>
      <w:rPr>
        <w:sz w:val="20"/>
        <w:szCs w:val="20"/>
      </w:rPr>
    </w:pPr>
    <w:r>
      <w:rPr>
        <w:sz w:val="20"/>
        <w:szCs w:val="20"/>
      </w:rPr>
      <w:t>EManot_</w:t>
    </w:r>
    <w:r w:rsidR="00856A59">
      <w:rPr>
        <w:sz w:val="20"/>
        <w:szCs w:val="20"/>
      </w:rPr>
      <w:t>2</w:t>
    </w:r>
    <w:r w:rsidR="00296F53">
      <w:rPr>
        <w:sz w:val="20"/>
        <w:szCs w:val="20"/>
      </w:rPr>
      <w:t>1</w:t>
    </w:r>
    <w:r w:rsidR="001B1B7A">
      <w:rPr>
        <w:sz w:val="20"/>
        <w:szCs w:val="20"/>
      </w:rPr>
      <w:t>03</w:t>
    </w:r>
    <w:r>
      <w:rPr>
        <w:sz w:val="20"/>
        <w:szCs w:val="20"/>
      </w:rPr>
      <w:t>18_</w:t>
    </w:r>
    <w:r w:rsidRPr="00412C53" w:rsidR="00840B16">
      <w:rPr>
        <w:sz w:val="20"/>
        <w:szCs w:val="20"/>
      </w:rPr>
      <w:fldChar w:fldCharType="begin"/>
    </w:r>
    <w:r w:rsidRPr="00412C53" w:rsidR="00840B16">
      <w:rPr>
        <w:sz w:val="20"/>
        <w:szCs w:val="20"/>
      </w:rPr>
      <w:instrText xml:space="preserve"> FILENAME \* MERGEFORMAT </w:instrText>
    </w:r>
    <w:r w:rsidRPr="00412C53" w:rsidR="00840B16">
      <w:rPr>
        <w:sz w:val="20"/>
        <w:szCs w:val="20"/>
      </w:rPr>
      <w:fldChar w:fldCharType="separate"/>
    </w:r>
    <w:r w:rsidRPr="00412C53" w:rsidR="00840B16">
      <w:rPr>
        <w:sz w:val="20"/>
        <w:szCs w:val="20"/>
      </w:rPr>
      <w:fldChar w:fldCharType="end"/>
    </w:r>
    <w:r w:rsidRPr="00412C53" w:rsidR="00840B16">
      <w:rPr>
        <w:sz w:val="20"/>
        <w:szCs w:val="20"/>
      </w:rPr>
      <w:t>klasifikacija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027A" w:rsidRPr="008519B5" w:rsidP="002D63DA" w14:paraId="53CA68BB" w14:textId="79EBEE5A">
    <w:pPr>
      <w:pStyle w:val="Footer"/>
      <w:jc w:val="both"/>
      <w:rPr>
        <w:sz w:val="20"/>
        <w:szCs w:val="20"/>
      </w:rPr>
    </w:pPr>
    <w:r>
      <w:rPr>
        <w:sz w:val="20"/>
        <w:szCs w:val="20"/>
      </w:rPr>
      <w:t>EManot_</w:t>
    </w:r>
    <w:r w:rsidR="00856A59">
      <w:rPr>
        <w:sz w:val="20"/>
        <w:szCs w:val="20"/>
      </w:rPr>
      <w:t>2</w:t>
    </w:r>
    <w:r w:rsidR="00296F53">
      <w:rPr>
        <w:sz w:val="20"/>
        <w:szCs w:val="20"/>
      </w:rPr>
      <w:t>1</w:t>
    </w:r>
    <w:r>
      <w:rPr>
        <w:sz w:val="20"/>
        <w:szCs w:val="20"/>
      </w:rPr>
      <w:t>0</w:t>
    </w:r>
    <w:r w:rsidR="001B1B7A">
      <w:rPr>
        <w:sz w:val="20"/>
        <w:szCs w:val="20"/>
      </w:rPr>
      <w:t>3</w:t>
    </w:r>
    <w:r>
      <w:rPr>
        <w:sz w:val="20"/>
        <w:szCs w:val="20"/>
      </w:rPr>
      <w:t>18_</w:t>
    </w:r>
    <w:r w:rsidRPr="00412C53">
      <w:rPr>
        <w:sz w:val="20"/>
        <w:szCs w:val="20"/>
      </w:rPr>
      <w:fldChar w:fldCharType="begin"/>
    </w:r>
    <w:r w:rsidRPr="00412C53">
      <w:rPr>
        <w:sz w:val="20"/>
        <w:szCs w:val="20"/>
      </w:rPr>
      <w:instrText xml:space="preserve"> FILENAME \* MERGEFORMAT </w:instrText>
    </w:r>
    <w:r w:rsidRPr="00412C53">
      <w:rPr>
        <w:sz w:val="20"/>
        <w:szCs w:val="20"/>
      </w:rPr>
      <w:fldChar w:fldCharType="separate"/>
    </w:r>
    <w:r w:rsidRPr="00412C53">
      <w:rPr>
        <w:sz w:val="20"/>
        <w:szCs w:val="20"/>
      </w:rPr>
      <w:fldChar w:fldCharType="end"/>
    </w:r>
    <w:r w:rsidRPr="00412C53">
      <w:rPr>
        <w:sz w:val="20"/>
        <w:szCs w:val="20"/>
      </w:rPr>
      <w:t>klasifikacija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0B16" w:rsidP="00CC7E27" w14:paraId="0D175ED6" w14:textId="77777777">
      <w:r>
        <w:separator/>
      </w:r>
    </w:p>
  </w:footnote>
  <w:footnote w:type="continuationSeparator" w:id="1">
    <w:p w:rsidR="00840B16" w:rsidP="00CC7E27" w14:paraId="498C328F" w14:textId="77777777">
      <w:r>
        <w:continuationSeparator/>
      </w:r>
    </w:p>
  </w:footnote>
  <w:footnote w:id="2">
    <w:p w:rsidR="001E027A" w14:paraId="20E455E3" w14:textId="77777777">
      <w:pPr>
        <w:pStyle w:val="FootnoteText"/>
      </w:pPr>
      <w:r>
        <w:rPr>
          <w:rStyle w:val="FootnoteReference"/>
        </w:rPr>
        <w:footnoteRef/>
      </w:r>
      <w:r>
        <w:t xml:space="preserve"> Būvniecības informācijas sistēmas dati 2017.gada jūlijā</w:t>
      </w:r>
    </w:p>
  </w:footnote>
  <w:footnote w:id="3">
    <w:p w:rsidR="001E027A" w:rsidRPr="00CA122A" w14:paraId="72BFBB68" w14:textId="77777777">
      <w:pPr>
        <w:pStyle w:val="FootnoteText"/>
      </w:pPr>
      <w:r w:rsidRPr="00CA122A">
        <w:rPr>
          <w:rStyle w:val="FootnoteReference"/>
        </w:rPr>
        <w:footnoteRef/>
      </w:r>
      <w:r w:rsidRPr="00CA122A">
        <w:t xml:space="preserve"> </w:t>
      </w:r>
      <w:r>
        <w:fldChar w:fldCharType="begin"/>
      </w:r>
      <w:r>
        <w:instrText xml:space="preserve"> HYPERLINK "https://www.iub.gov.lv/lv/node/702" </w:instrText>
      </w:r>
      <w:r>
        <w:fldChar w:fldCharType="separate"/>
      </w:r>
      <w:r w:rsidRPr="00CA122A">
        <w:rPr>
          <w:rStyle w:val="Hyperlink"/>
          <w:color w:val="auto"/>
        </w:rPr>
        <w:t>https://www.iub.gov.lv/lv/node/702</w:t>
      </w:r>
      <w:r>
        <w:fldChar w:fldCharType="end"/>
      </w:r>
      <w:r w:rsidRPr="00CA122A">
        <w:t xml:space="preserve"> </w:t>
      </w:r>
    </w:p>
  </w:footnote>
  <w:footnote w:id="4">
    <w:p w:rsidR="00A55AFA" w:rsidP="00A55AFA" w14:paraId="55C5C9BB" w14:textId="6689B2CF">
      <w:pPr>
        <w:pStyle w:val="FootnoteText"/>
      </w:pPr>
      <w:r>
        <w:rPr>
          <w:rStyle w:val="FootnoteReference"/>
        </w:rPr>
        <w:footnoteRef/>
      </w:r>
      <w:r>
        <w:t xml:space="preserve"> </w:t>
      </w:r>
      <w:r w:rsidRPr="00A55AFA">
        <w:t>36</w:t>
      </w:r>
      <w:r>
        <w:t>,</w:t>
      </w:r>
      <w:r w:rsidRPr="00A55AFA">
        <w:t>3% salīdzinājumā ar valstī kopumā</w:t>
      </w:r>
      <w:r>
        <w:t xml:space="preserve"> </w:t>
      </w:r>
      <w:r w:rsidRPr="00A55AFA">
        <w:t>– 17</w:t>
      </w:r>
      <w:r w:rsidR="005B40F1">
        <w:t>,</w:t>
      </w:r>
      <w:r w:rsidRPr="00A55AFA">
        <w:t>9%</w:t>
      </w:r>
      <w:r>
        <w:t xml:space="preserve"> un darbinieku skaita neuzrādīšana</w:t>
      </w:r>
      <w:r w:rsidR="005B40F1">
        <w:t xml:space="preserve">: </w:t>
      </w:r>
      <w:r>
        <w:t>23</w:t>
      </w:r>
      <w:r w:rsidR="005B40F1">
        <w:t>,</w:t>
      </w:r>
      <w:r>
        <w:t>5%</w:t>
      </w:r>
    </w:p>
    <w:p w:rsidR="00A55AFA" w:rsidP="00A55AFA" w14:paraId="27AEEE94" w14:textId="018FF9F7">
      <w:pPr>
        <w:pStyle w:val="FootnoteText"/>
      </w:pPr>
      <w:r>
        <w:t xml:space="preserve">salīdzinājumā ar </w:t>
      </w:r>
      <w:r w:rsidR="005B40F1">
        <w:t xml:space="preserve">valstī kopumā neuzrādīto nodarbinātību </w:t>
      </w:r>
      <w:r>
        <w:t>9</w:t>
      </w:r>
      <w:r w:rsidR="005B40F1">
        <w:t>,</w:t>
      </w:r>
      <w:r>
        <w:t>6%</w:t>
      </w:r>
      <w:r w:rsidR="005B40F1">
        <w:t xml:space="preserve"> (</w:t>
      </w:r>
      <w:r w:rsidRPr="00A55AFA">
        <w:t>http://www.latvijasbuvnieki.lv/content/uploads/2017/07/BASE_petijums_web.pdf</w:t>
      </w:r>
      <w:r w:rsidR="005B40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83729907"/>
      <w:docPartObj>
        <w:docPartGallery w:val="Page Numbers (Top of Page)"/>
        <w:docPartUnique/>
      </w:docPartObj>
    </w:sdtPr>
    <w:sdtEndPr>
      <w:rPr>
        <w:noProof/>
      </w:rPr>
    </w:sdtEndPr>
    <w:sdtContent>
      <w:p w:rsidR="001E027A" w:rsidRPr="00CC7E27" w14:paraId="3BD1C527" w14:textId="521F9A41">
        <w:pPr>
          <w:pStyle w:val="Header"/>
          <w:jc w:val="center"/>
          <w:rPr>
            <w:sz w:val="24"/>
            <w:szCs w:val="24"/>
          </w:rPr>
        </w:pPr>
        <w:r w:rsidRPr="00CC7E27">
          <w:rPr>
            <w:sz w:val="24"/>
            <w:szCs w:val="24"/>
          </w:rPr>
          <w:fldChar w:fldCharType="begin"/>
        </w:r>
        <w:r w:rsidRPr="00CC7E27">
          <w:rPr>
            <w:sz w:val="24"/>
            <w:szCs w:val="24"/>
          </w:rPr>
          <w:instrText xml:space="preserve"> PAGE   \* MERGEFORMAT </w:instrText>
        </w:r>
        <w:r w:rsidRPr="00CC7E27">
          <w:rPr>
            <w:sz w:val="24"/>
            <w:szCs w:val="24"/>
          </w:rPr>
          <w:fldChar w:fldCharType="separate"/>
        </w:r>
        <w:r w:rsidR="00296F53">
          <w:rPr>
            <w:noProof/>
            <w:sz w:val="24"/>
            <w:szCs w:val="24"/>
          </w:rPr>
          <w:t>9</w:t>
        </w:r>
        <w:r w:rsidRPr="00CC7E27">
          <w:rPr>
            <w:noProof/>
            <w:sz w:val="24"/>
            <w:szCs w:val="24"/>
          </w:rPr>
          <w:fldChar w:fldCharType="end"/>
        </w:r>
      </w:p>
    </w:sdtContent>
  </w:sdt>
  <w:p w:rsidR="001E027A" w14:paraId="79854F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D443F6"/>
    <w:multiLevelType w:val="hybridMultilevel"/>
    <w:tmpl w:val="5D76F0D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9F42801"/>
    <w:multiLevelType w:val="hybridMultilevel"/>
    <w:tmpl w:val="6666C5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48774535"/>
    <w:multiLevelType w:val="hybridMultilevel"/>
    <w:tmpl w:val="90E8B1E8"/>
    <w:lvl w:ilvl="0">
      <w:start w:val="1"/>
      <w:numFmt w:val="decimal"/>
      <w:lvlText w:val="%1)"/>
      <w:lvlJc w:val="left"/>
      <w:pPr>
        <w:ind w:left="668" w:hanging="384"/>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15:restartNumberingAfterBreak="1">
    <w:nsid w:val="5C0B6EDD"/>
    <w:multiLevelType w:val="hybridMultilevel"/>
    <w:tmpl w:val="7CFC456C"/>
    <w:lvl w:ilvl="0">
      <w:start w:val="1"/>
      <w:numFmt w:val="decimal"/>
      <w:lvlText w:val="%1)"/>
      <w:lvlJc w:val="left"/>
      <w:pPr>
        <w:ind w:left="668" w:hanging="384"/>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1">
    <w:nsid w:val="674F7D94"/>
    <w:multiLevelType w:val="hybridMultilevel"/>
    <w:tmpl w:val="E544EA14"/>
    <w:lvl w:ilvl="0">
      <w:start w:val="1"/>
      <w:numFmt w:val="decimal"/>
      <w:lvlText w:val="%1)"/>
      <w:lvlJc w:val="left"/>
      <w:pPr>
        <w:ind w:left="668" w:hanging="384"/>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9"/>
    <w:rsid w:val="00000C06"/>
    <w:rsid w:val="000218F6"/>
    <w:rsid w:val="000303A2"/>
    <w:rsid w:val="0003159C"/>
    <w:rsid w:val="0003776F"/>
    <w:rsid w:val="0006326E"/>
    <w:rsid w:val="00063582"/>
    <w:rsid w:val="000649A2"/>
    <w:rsid w:val="0007581D"/>
    <w:rsid w:val="00085385"/>
    <w:rsid w:val="00090257"/>
    <w:rsid w:val="000A24B1"/>
    <w:rsid w:val="000A5507"/>
    <w:rsid w:val="000B2422"/>
    <w:rsid w:val="000C2308"/>
    <w:rsid w:val="000D4D07"/>
    <w:rsid w:val="000D5A1A"/>
    <w:rsid w:val="000E0157"/>
    <w:rsid w:val="001001EE"/>
    <w:rsid w:val="00123FE3"/>
    <w:rsid w:val="001373E8"/>
    <w:rsid w:val="00144667"/>
    <w:rsid w:val="001611EF"/>
    <w:rsid w:val="00165042"/>
    <w:rsid w:val="00172FD8"/>
    <w:rsid w:val="00180DEC"/>
    <w:rsid w:val="001B1B7A"/>
    <w:rsid w:val="001B57E0"/>
    <w:rsid w:val="001C03FF"/>
    <w:rsid w:val="001C53C1"/>
    <w:rsid w:val="001D597A"/>
    <w:rsid w:val="001D5AC4"/>
    <w:rsid w:val="001D5C80"/>
    <w:rsid w:val="001E027A"/>
    <w:rsid w:val="001E5C07"/>
    <w:rsid w:val="001E6E69"/>
    <w:rsid w:val="001F0D22"/>
    <w:rsid w:val="0020783D"/>
    <w:rsid w:val="00221B04"/>
    <w:rsid w:val="00244FA2"/>
    <w:rsid w:val="00266CD6"/>
    <w:rsid w:val="002737E0"/>
    <w:rsid w:val="00291D2F"/>
    <w:rsid w:val="00296CEE"/>
    <w:rsid w:val="00296F53"/>
    <w:rsid w:val="002A72FF"/>
    <w:rsid w:val="002A7AE5"/>
    <w:rsid w:val="002D32D7"/>
    <w:rsid w:val="002D63DA"/>
    <w:rsid w:val="002E23BD"/>
    <w:rsid w:val="002F2208"/>
    <w:rsid w:val="003140FD"/>
    <w:rsid w:val="00315F6A"/>
    <w:rsid w:val="003300C8"/>
    <w:rsid w:val="00345FB8"/>
    <w:rsid w:val="00361DB0"/>
    <w:rsid w:val="00367AE6"/>
    <w:rsid w:val="0037133D"/>
    <w:rsid w:val="0039136D"/>
    <w:rsid w:val="003A2E94"/>
    <w:rsid w:val="003B362A"/>
    <w:rsid w:val="003B38EA"/>
    <w:rsid w:val="003B5605"/>
    <w:rsid w:val="003B66A6"/>
    <w:rsid w:val="003B72B6"/>
    <w:rsid w:val="003B72E0"/>
    <w:rsid w:val="003D7038"/>
    <w:rsid w:val="003D739E"/>
    <w:rsid w:val="003D7DBB"/>
    <w:rsid w:val="003E5BC8"/>
    <w:rsid w:val="003F2A9F"/>
    <w:rsid w:val="003F7300"/>
    <w:rsid w:val="003F7B60"/>
    <w:rsid w:val="0040093E"/>
    <w:rsid w:val="00412A5A"/>
    <w:rsid w:val="00412C53"/>
    <w:rsid w:val="00420022"/>
    <w:rsid w:val="004527F9"/>
    <w:rsid w:val="004608E5"/>
    <w:rsid w:val="00461369"/>
    <w:rsid w:val="00463D9A"/>
    <w:rsid w:val="00483B7D"/>
    <w:rsid w:val="00491E35"/>
    <w:rsid w:val="004946C6"/>
    <w:rsid w:val="005128C3"/>
    <w:rsid w:val="00513F78"/>
    <w:rsid w:val="00527AD3"/>
    <w:rsid w:val="00532B05"/>
    <w:rsid w:val="00535D2F"/>
    <w:rsid w:val="005421DC"/>
    <w:rsid w:val="00552AD9"/>
    <w:rsid w:val="00556158"/>
    <w:rsid w:val="00565D24"/>
    <w:rsid w:val="005664CE"/>
    <w:rsid w:val="005674A2"/>
    <w:rsid w:val="00567CAA"/>
    <w:rsid w:val="00570703"/>
    <w:rsid w:val="00571D47"/>
    <w:rsid w:val="0057330C"/>
    <w:rsid w:val="005800B6"/>
    <w:rsid w:val="00585A51"/>
    <w:rsid w:val="0058775A"/>
    <w:rsid w:val="00591B98"/>
    <w:rsid w:val="0059259D"/>
    <w:rsid w:val="00592676"/>
    <w:rsid w:val="005A6092"/>
    <w:rsid w:val="005B40F1"/>
    <w:rsid w:val="005B5BD0"/>
    <w:rsid w:val="005C071E"/>
    <w:rsid w:val="005C53F0"/>
    <w:rsid w:val="005D397D"/>
    <w:rsid w:val="005E18E8"/>
    <w:rsid w:val="005E2836"/>
    <w:rsid w:val="005E76EB"/>
    <w:rsid w:val="005F5852"/>
    <w:rsid w:val="00612348"/>
    <w:rsid w:val="006270E6"/>
    <w:rsid w:val="00635A1A"/>
    <w:rsid w:val="00642D5F"/>
    <w:rsid w:val="0065088C"/>
    <w:rsid w:val="00681200"/>
    <w:rsid w:val="006861AE"/>
    <w:rsid w:val="00687841"/>
    <w:rsid w:val="00694A6C"/>
    <w:rsid w:val="006A00B1"/>
    <w:rsid w:val="006B637F"/>
    <w:rsid w:val="006D206F"/>
    <w:rsid w:val="006D513B"/>
    <w:rsid w:val="006D58D5"/>
    <w:rsid w:val="006E099A"/>
    <w:rsid w:val="006E0DF8"/>
    <w:rsid w:val="006E1409"/>
    <w:rsid w:val="006F0357"/>
    <w:rsid w:val="00705C21"/>
    <w:rsid w:val="00713C30"/>
    <w:rsid w:val="007177BE"/>
    <w:rsid w:val="00726091"/>
    <w:rsid w:val="007313EF"/>
    <w:rsid w:val="00745C7E"/>
    <w:rsid w:val="007509D0"/>
    <w:rsid w:val="007519E1"/>
    <w:rsid w:val="00764A05"/>
    <w:rsid w:val="00767569"/>
    <w:rsid w:val="00772FCA"/>
    <w:rsid w:val="00775D0E"/>
    <w:rsid w:val="00784006"/>
    <w:rsid w:val="00795AB8"/>
    <w:rsid w:val="00796085"/>
    <w:rsid w:val="007B06FC"/>
    <w:rsid w:val="007D775B"/>
    <w:rsid w:val="00810D3D"/>
    <w:rsid w:val="0082111C"/>
    <w:rsid w:val="008235BE"/>
    <w:rsid w:val="00832260"/>
    <w:rsid w:val="00836585"/>
    <w:rsid w:val="00840B16"/>
    <w:rsid w:val="00842539"/>
    <w:rsid w:val="0084370A"/>
    <w:rsid w:val="008448BD"/>
    <w:rsid w:val="008519B5"/>
    <w:rsid w:val="00851D54"/>
    <w:rsid w:val="00856A59"/>
    <w:rsid w:val="00864EC1"/>
    <w:rsid w:val="008705E9"/>
    <w:rsid w:val="00876199"/>
    <w:rsid w:val="00885107"/>
    <w:rsid w:val="00885C34"/>
    <w:rsid w:val="00887288"/>
    <w:rsid w:val="008905FF"/>
    <w:rsid w:val="00891B1C"/>
    <w:rsid w:val="00895533"/>
    <w:rsid w:val="008960BA"/>
    <w:rsid w:val="008B6739"/>
    <w:rsid w:val="008C537F"/>
    <w:rsid w:val="008F4932"/>
    <w:rsid w:val="008F5AEC"/>
    <w:rsid w:val="00901BBF"/>
    <w:rsid w:val="009027FA"/>
    <w:rsid w:val="009228EC"/>
    <w:rsid w:val="00931A6F"/>
    <w:rsid w:val="00932D1C"/>
    <w:rsid w:val="00932FEC"/>
    <w:rsid w:val="009411F3"/>
    <w:rsid w:val="0095097F"/>
    <w:rsid w:val="00955B65"/>
    <w:rsid w:val="0098715F"/>
    <w:rsid w:val="009C6CFB"/>
    <w:rsid w:val="009D1C48"/>
    <w:rsid w:val="009D25AA"/>
    <w:rsid w:val="009E5BC9"/>
    <w:rsid w:val="009E6617"/>
    <w:rsid w:val="009F0B09"/>
    <w:rsid w:val="009F1D9D"/>
    <w:rsid w:val="00A376F5"/>
    <w:rsid w:val="00A5243B"/>
    <w:rsid w:val="00A55AFA"/>
    <w:rsid w:val="00A733C2"/>
    <w:rsid w:val="00A85B74"/>
    <w:rsid w:val="00A934E9"/>
    <w:rsid w:val="00AA1977"/>
    <w:rsid w:val="00AA2805"/>
    <w:rsid w:val="00AB008D"/>
    <w:rsid w:val="00AB2441"/>
    <w:rsid w:val="00AB61E1"/>
    <w:rsid w:val="00AB68C9"/>
    <w:rsid w:val="00AB7339"/>
    <w:rsid w:val="00AC78F9"/>
    <w:rsid w:val="00AD08F0"/>
    <w:rsid w:val="00B14C8B"/>
    <w:rsid w:val="00B26FA8"/>
    <w:rsid w:val="00B31878"/>
    <w:rsid w:val="00B34185"/>
    <w:rsid w:val="00B56F5F"/>
    <w:rsid w:val="00B702C6"/>
    <w:rsid w:val="00BA1BBB"/>
    <w:rsid w:val="00BA325E"/>
    <w:rsid w:val="00BA326E"/>
    <w:rsid w:val="00BA7E0B"/>
    <w:rsid w:val="00BC301D"/>
    <w:rsid w:val="00BC5DEE"/>
    <w:rsid w:val="00BC61A0"/>
    <w:rsid w:val="00BC6EF7"/>
    <w:rsid w:val="00BD51E4"/>
    <w:rsid w:val="00BD6E69"/>
    <w:rsid w:val="00BE6E26"/>
    <w:rsid w:val="00BF2E6E"/>
    <w:rsid w:val="00BF4216"/>
    <w:rsid w:val="00C04CA7"/>
    <w:rsid w:val="00C3377B"/>
    <w:rsid w:val="00C342AC"/>
    <w:rsid w:val="00C52B95"/>
    <w:rsid w:val="00C64FEB"/>
    <w:rsid w:val="00C76EF9"/>
    <w:rsid w:val="00C805FD"/>
    <w:rsid w:val="00CA122A"/>
    <w:rsid w:val="00CA31D4"/>
    <w:rsid w:val="00CA6111"/>
    <w:rsid w:val="00CC152A"/>
    <w:rsid w:val="00CC7E27"/>
    <w:rsid w:val="00CD43FC"/>
    <w:rsid w:val="00D06B4A"/>
    <w:rsid w:val="00D169DB"/>
    <w:rsid w:val="00D4069A"/>
    <w:rsid w:val="00D44CE5"/>
    <w:rsid w:val="00D47080"/>
    <w:rsid w:val="00D47B3D"/>
    <w:rsid w:val="00D82FE4"/>
    <w:rsid w:val="00D84272"/>
    <w:rsid w:val="00DC301B"/>
    <w:rsid w:val="00DD356D"/>
    <w:rsid w:val="00DF0E18"/>
    <w:rsid w:val="00E16F6E"/>
    <w:rsid w:val="00E307ED"/>
    <w:rsid w:val="00E337DD"/>
    <w:rsid w:val="00E43FF7"/>
    <w:rsid w:val="00E63794"/>
    <w:rsid w:val="00E66BE1"/>
    <w:rsid w:val="00EA26B5"/>
    <w:rsid w:val="00EA5C6A"/>
    <w:rsid w:val="00EA7261"/>
    <w:rsid w:val="00EB093E"/>
    <w:rsid w:val="00EF12DB"/>
    <w:rsid w:val="00EF4F20"/>
    <w:rsid w:val="00F031E6"/>
    <w:rsid w:val="00F07AC8"/>
    <w:rsid w:val="00F1253A"/>
    <w:rsid w:val="00F2409B"/>
    <w:rsid w:val="00F53212"/>
    <w:rsid w:val="00F53CBB"/>
    <w:rsid w:val="00F56781"/>
    <w:rsid w:val="00F660B4"/>
    <w:rsid w:val="00F71B56"/>
    <w:rsid w:val="00F76533"/>
    <w:rsid w:val="00F81E80"/>
    <w:rsid w:val="00F94AA5"/>
    <w:rsid w:val="00F96A7B"/>
    <w:rsid w:val="00FA1DE1"/>
    <w:rsid w:val="00FA2B81"/>
    <w:rsid w:val="00FC1DA6"/>
    <w:rsid w:val="00FD3BC0"/>
    <w:rsid w:val="00FF716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6882A2B-F5BB-41B0-B445-70B1CDC9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67569"/>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767569"/>
  </w:style>
  <w:style w:type="character" w:styleId="Hyperlink">
    <w:name w:val="Hyperlink"/>
    <w:basedOn w:val="DefaultParagraphFont"/>
    <w:uiPriority w:val="99"/>
    <w:unhideWhenUsed/>
    <w:rsid w:val="00767569"/>
    <w:rPr>
      <w:color w:val="0000FF"/>
      <w:u w:val="single"/>
    </w:rPr>
  </w:style>
  <w:style w:type="paragraph" w:customStyle="1" w:styleId="tvhtml">
    <w:name w:val="tv_html"/>
    <w:basedOn w:val="Normal"/>
    <w:rsid w:val="00767569"/>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3B72B6"/>
    <w:pPr>
      <w:ind w:left="720"/>
      <w:contextualSpacing/>
    </w:pPr>
  </w:style>
  <w:style w:type="paragraph" w:styleId="Header">
    <w:name w:val="header"/>
    <w:basedOn w:val="Normal"/>
    <w:link w:val="HeaderChar"/>
    <w:uiPriority w:val="99"/>
    <w:unhideWhenUsed/>
    <w:rsid w:val="00CC7E27"/>
    <w:pPr>
      <w:tabs>
        <w:tab w:val="center" w:pos="4153"/>
        <w:tab w:val="right" w:pos="8306"/>
      </w:tabs>
    </w:pPr>
  </w:style>
  <w:style w:type="character" w:customStyle="1" w:styleId="HeaderChar">
    <w:name w:val="Header Char"/>
    <w:basedOn w:val="DefaultParagraphFont"/>
    <w:link w:val="Header"/>
    <w:uiPriority w:val="99"/>
    <w:rsid w:val="00CC7E27"/>
  </w:style>
  <w:style w:type="paragraph" w:styleId="Footer">
    <w:name w:val="footer"/>
    <w:basedOn w:val="Normal"/>
    <w:link w:val="FooterChar"/>
    <w:uiPriority w:val="99"/>
    <w:unhideWhenUsed/>
    <w:rsid w:val="00CC7E27"/>
    <w:pPr>
      <w:tabs>
        <w:tab w:val="center" w:pos="4153"/>
        <w:tab w:val="right" w:pos="8306"/>
      </w:tabs>
    </w:pPr>
  </w:style>
  <w:style w:type="character" w:customStyle="1" w:styleId="FooterChar">
    <w:name w:val="Footer Char"/>
    <w:basedOn w:val="DefaultParagraphFont"/>
    <w:link w:val="Footer"/>
    <w:uiPriority w:val="99"/>
    <w:rsid w:val="00CC7E27"/>
  </w:style>
  <w:style w:type="paragraph" w:styleId="FootnoteText">
    <w:name w:val="footnote text"/>
    <w:basedOn w:val="Normal"/>
    <w:link w:val="FootnoteTextChar"/>
    <w:uiPriority w:val="99"/>
    <w:semiHidden/>
    <w:unhideWhenUsed/>
    <w:rsid w:val="00FF716C"/>
    <w:rPr>
      <w:sz w:val="20"/>
      <w:szCs w:val="20"/>
    </w:rPr>
  </w:style>
  <w:style w:type="character" w:customStyle="1" w:styleId="FootnoteTextChar">
    <w:name w:val="Footnote Text Char"/>
    <w:basedOn w:val="DefaultParagraphFont"/>
    <w:link w:val="FootnoteText"/>
    <w:uiPriority w:val="99"/>
    <w:semiHidden/>
    <w:rsid w:val="00FF716C"/>
    <w:rPr>
      <w:sz w:val="20"/>
      <w:szCs w:val="20"/>
    </w:rPr>
  </w:style>
  <w:style w:type="character" w:styleId="FootnoteReference">
    <w:name w:val="footnote reference"/>
    <w:basedOn w:val="DefaultParagraphFont"/>
    <w:uiPriority w:val="99"/>
    <w:semiHidden/>
    <w:unhideWhenUsed/>
    <w:rsid w:val="00FF716C"/>
    <w:rPr>
      <w:vertAlign w:val="superscript"/>
    </w:rPr>
  </w:style>
  <w:style w:type="paragraph" w:styleId="BalloonText">
    <w:name w:val="Balloon Text"/>
    <w:basedOn w:val="Normal"/>
    <w:link w:val="BalloonTextChar"/>
    <w:uiPriority w:val="99"/>
    <w:semiHidden/>
    <w:unhideWhenUsed/>
    <w:rsid w:val="00F12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3A"/>
    <w:rPr>
      <w:rFonts w:ascii="Segoe UI" w:hAnsi="Segoe UI" w:cs="Segoe UI"/>
      <w:sz w:val="18"/>
      <w:szCs w:val="18"/>
    </w:rPr>
  </w:style>
  <w:style w:type="character" w:styleId="CommentReference">
    <w:name w:val="annotation reference"/>
    <w:basedOn w:val="DefaultParagraphFont"/>
    <w:uiPriority w:val="99"/>
    <w:semiHidden/>
    <w:unhideWhenUsed/>
    <w:rsid w:val="005F5852"/>
    <w:rPr>
      <w:sz w:val="16"/>
      <w:szCs w:val="16"/>
    </w:rPr>
  </w:style>
  <w:style w:type="paragraph" w:styleId="CommentText">
    <w:name w:val="annotation text"/>
    <w:basedOn w:val="Normal"/>
    <w:link w:val="CommentTextChar"/>
    <w:uiPriority w:val="99"/>
    <w:semiHidden/>
    <w:unhideWhenUsed/>
    <w:rsid w:val="005F5852"/>
    <w:rPr>
      <w:sz w:val="20"/>
      <w:szCs w:val="20"/>
    </w:rPr>
  </w:style>
  <w:style w:type="character" w:customStyle="1" w:styleId="CommentTextChar">
    <w:name w:val="Comment Text Char"/>
    <w:basedOn w:val="DefaultParagraphFont"/>
    <w:link w:val="CommentText"/>
    <w:uiPriority w:val="99"/>
    <w:semiHidden/>
    <w:rsid w:val="005F5852"/>
    <w:rPr>
      <w:sz w:val="20"/>
      <w:szCs w:val="20"/>
    </w:rPr>
  </w:style>
  <w:style w:type="paragraph" w:styleId="CommentSubject">
    <w:name w:val="annotation subject"/>
    <w:basedOn w:val="CommentText"/>
    <w:next w:val="CommentText"/>
    <w:link w:val="CommentSubjectChar"/>
    <w:uiPriority w:val="99"/>
    <w:semiHidden/>
    <w:unhideWhenUsed/>
    <w:rsid w:val="005F5852"/>
    <w:rPr>
      <w:b/>
      <w:bCs/>
    </w:rPr>
  </w:style>
  <w:style w:type="character" w:customStyle="1" w:styleId="CommentSubjectChar">
    <w:name w:val="Comment Subject Char"/>
    <w:basedOn w:val="CommentTextChar"/>
    <w:link w:val="CommentSubject"/>
    <w:uiPriority w:val="99"/>
    <w:semiHidden/>
    <w:rsid w:val="005F5852"/>
    <w:rPr>
      <w:b/>
      <w:bCs/>
      <w:sz w:val="20"/>
      <w:szCs w:val="20"/>
    </w:rPr>
  </w:style>
  <w:style w:type="paragraph" w:customStyle="1" w:styleId="c7">
    <w:name w:val="c7"/>
    <w:basedOn w:val="Normal"/>
    <w:uiPriority w:val="99"/>
    <w:semiHidden/>
    <w:rsid w:val="00BC6EF7"/>
    <w:pPr>
      <w:spacing w:before="100" w:beforeAutospacing="1" w:after="100" w:afterAutospacing="1"/>
    </w:pPr>
    <w:rPr>
      <w:rFonts w:eastAsia="Calibri" w:cs="Times New Roman"/>
      <w:sz w:val="24"/>
      <w:szCs w:val="24"/>
      <w:lang w:eastAsia="lv-LV"/>
    </w:rPr>
  </w:style>
  <w:style w:type="character" w:customStyle="1" w:styleId="c5">
    <w:name w:val="c5"/>
    <w:rsid w:val="00BC6EF7"/>
  </w:style>
  <w:style w:type="table" w:styleId="TableGrid">
    <w:name w:val="Table Grid"/>
    <w:basedOn w:val="TableNormal"/>
    <w:uiPriority w:val="39"/>
    <w:rsid w:val="0054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6063-ABCD-4926-9FEE-CEB2E15D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12256</Words>
  <Characters>6987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Grozījumi Ministru kabineta 2016.gada 12.aprīļa noteikumos Nr.211 "Būvkomersantu klasifikācijas noteikumi"</vt:lpstr>
    </vt:vector>
  </TitlesOfParts>
  <Company>Ekonomikas ministrija</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12.aprīļa noteikumos Nr.211 "Būvkomersantu klasifikācijas noteikumi"</dc:title>
  <dc:subject>Izziņa</dc:subject>
  <dc:creator>Kristīne Fomina</dc:creator>
  <dc:description>67013148, kristine.fomina@em.gov.lv</dc:description>
  <cp:lastModifiedBy>Kristīne Fomina</cp:lastModifiedBy>
  <cp:revision>36</cp:revision>
  <dcterms:created xsi:type="dcterms:W3CDTF">2018-01-29T07:40:00Z</dcterms:created>
  <dcterms:modified xsi:type="dcterms:W3CDTF">2018-03-21T13:44:00Z</dcterms:modified>
</cp:coreProperties>
</file>