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8CCC9" w14:textId="379FA38C" w:rsidR="00E00FD4" w:rsidRPr="00590D7A" w:rsidRDefault="00E861E7" w:rsidP="00E00FD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1. </w:t>
      </w:r>
      <w:r w:rsidR="00DC5AD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P</w:t>
      </w:r>
      <w:r w:rsidRPr="009661B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ielikums </w:t>
      </w:r>
    </w:p>
    <w:p w14:paraId="32351F0D" w14:textId="77777777" w:rsidR="00E00FD4" w:rsidRPr="00590D7A" w:rsidRDefault="00E861E7" w:rsidP="00E00FD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9661B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Ministru kabineta </w:t>
      </w:r>
    </w:p>
    <w:p w14:paraId="3AF4FC02" w14:textId="133A62CC" w:rsidR="00E00FD4" w:rsidRPr="00590D7A" w:rsidRDefault="00E861E7" w:rsidP="00E00FD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9661B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2018. gada</w:t>
      </w:r>
      <w:r w:rsidR="002940B5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__</w:t>
      </w:r>
      <w:r w:rsidR="0072052D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</w:t>
      </w:r>
      <w:r w:rsidRPr="00590D7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2940B5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____</w:t>
      </w:r>
      <w:r w:rsidRPr="009661B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</w:p>
    <w:p w14:paraId="63749ABD" w14:textId="3E0082EE" w:rsidR="00E00FD4" w:rsidRPr="00590D7A" w:rsidRDefault="00E861E7" w:rsidP="00E00FD4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9661B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noteikumiem Nr.</w:t>
      </w:r>
      <w:r w:rsidRPr="00590D7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2940B5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__</w:t>
      </w:r>
    </w:p>
    <w:p w14:paraId="0B611F7A" w14:textId="77777777" w:rsidR="00E00FD4" w:rsidRPr="00590D7A" w:rsidRDefault="00E00FD4" w:rsidP="00E00FD4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14:paraId="2801447E" w14:textId="53D6016B" w:rsidR="00E00FD4" w:rsidRPr="009D4DB2" w:rsidRDefault="00E861E7" w:rsidP="00E00FD4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>T</w:t>
      </w:r>
      <w:r w:rsidR="002940B5" w:rsidRPr="002940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>ransporta enerģijas siltumnīcefekta gāzu emisiju daudzuma aprēķināšan</w:t>
      </w:r>
      <w:r w:rsidR="002940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>a</w:t>
      </w:r>
    </w:p>
    <w:p w14:paraId="53AD5FF4" w14:textId="77777777" w:rsidR="00E00FD4" w:rsidRPr="009D4DB2" w:rsidRDefault="00E00FD4" w:rsidP="00E00FD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14:paraId="3D46E6BD" w14:textId="44FEBD45" w:rsidR="00E00FD4" w:rsidRPr="00D91D9B" w:rsidRDefault="00E861E7" w:rsidP="00E00FD4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</w:pPr>
      <w:r w:rsidRPr="00D91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I. </w:t>
      </w:r>
      <w:r w:rsidR="002940B5" w:rsidRPr="00D91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Transporta enerģijas</w:t>
      </w:r>
      <w:r w:rsidR="002940B5" w:rsidRPr="00D91D9B">
        <w:rPr>
          <w:sz w:val="24"/>
          <w:szCs w:val="24"/>
        </w:rPr>
        <w:t xml:space="preserve"> </w:t>
      </w:r>
      <w:r w:rsidR="002940B5" w:rsidRPr="00D91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siltumnīcefekta gāzu emisiju intensitātes aprēķināšana </w:t>
      </w:r>
    </w:p>
    <w:p w14:paraId="640EA4FE" w14:textId="77777777" w:rsidR="00E00FD4" w:rsidRDefault="00E00FD4" w:rsidP="00E00FD4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14:paraId="6476CD40" w14:textId="1E200B16" w:rsidR="002940B5" w:rsidRPr="002940B5" w:rsidRDefault="00E861E7" w:rsidP="002940B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1</w:t>
      </w:r>
      <w:r w:rsidRPr="002940B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. </w:t>
      </w:r>
      <w:r w:rsidR="00C1179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Degvielas p</w:t>
      </w:r>
      <w:r w:rsidRPr="002940B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iegādātāja </w:t>
      </w:r>
      <w:r w:rsidRPr="002940B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siltumnīcefekta gāzu intensitāti no visu piegādāto transporta enerģijas aprites cikla siltumnīcefekta gāzu emisijām aprēķina, izmantojot šādu formulu:</w:t>
      </w:r>
    </w:p>
    <w:p w14:paraId="3CAD0703" w14:textId="4ED37C57" w:rsidR="002940B5" w:rsidRPr="000C7B7C" w:rsidRDefault="00E861E7" w:rsidP="00F04418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lv-LV"/>
        </w:rPr>
      </w:pPr>
      <m:oMathPara>
        <m:oMath>
          <m:r>
            <w:rPr>
              <w:rFonts w:ascii="Cambria Math" w:hAnsi="Cambria Math"/>
              <w:sz w:val="28"/>
            </w:rPr>
            <m:t xml:space="preserve"> </m:t>
          </m:r>
          <m:sSub>
            <m:sSubPr>
              <m:ctrlPr>
                <w:rPr>
                  <w:rFonts w:ascii="Cambria Math" w:hAnsi="Cambria Math"/>
                  <w:i/>
                  <w:sz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</w:rPr>
                <m:t>Pieg</m:t>
              </m:r>
              <m:r>
                <w:rPr>
                  <w:rFonts w:ascii="Cambria Math" w:hAnsi="Cambria Math"/>
                  <w:sz w:val="28"/>
                </w:rPr>
                <m:t>ā</m:t>
              </m:r>
              <m:r>
                <w:rPr>
                  <w:rFonts w:ascii="Cambria Math" w:hAnsi="Cambria Math"/>
                  <w:sz w:val="28"/>
                </w:rPr>
                <m:t>d</m:t>
              </m:r>
              <m:r>
                <w:rPr>
                  <w:rFonts w:ascii="Cambria Math" w:hAnsi="Cambria Math"/>
                  <w:sz w:val="28"/>
                </w:rPr>
                <m:t>ā</m:t>
              </m:r>
              <m:r>
                <w:rPr>
                  <w:rFonts w:ascii="Cambria Math" w:hAnsi="Cambria Math"/>
                  <w:sz w:val="28"/>
                </w:rPr>
                <m:t>t</m:t>
              </m:r>
              <m:r>
                <w:rPr>
                  <w:rFonts w:ascii="Cambria Math" w:hAnsi="Cambria Math"/>
                  <w:sz w:val="28"/>
                </w:rPr>
                <m:t>ā</m:t>
              </m:r>
              <m:r>
                <w:rPr>
                  <w:rFonts w:ascii="Cambria Math" w:hAnsi="Cambria Math"/>
                  <w:sz w:val="28"/>
                </w:rPr>
                <m:t>ja</m:t>
              </m:r>
              <m:r>
                <w:rPr>
                  <w:rFonts w:ascii="Cambria Math" w:hAnsi="Cambria Math"/>
                  <w:sz w:val="28"/>
                </w:rPr>
                <m:t xml:space="preserve"> </m:t>
              </m:r>
              <m:r>
                <w:rPr>
                  <w:rFonts w:ascii="Cambria Math" w:hAnsi="Cambria Math"/>
                  <w:sz w:val="28"/>
                </w:rPr>
                <m:t>SEG</m:t>
              </m:r>
              <m:r>
                <w:rPr>
                  <w:rFonts w:ascii="Cambria Math" w:hAnsi="Cambria Math"/>
                  <w:sz w:val="28"/>
                </w:rPr>
                <m:t xml:space="preserve"> </m:t>
              </m:r>
              <m:r>
                <w:rPr>
                  <w:rFonts w:ascii="Cambria Math" w:hAnsi="Cambria Math"/>
                  <w:sz w:val="28"/>
                </w:rPr>
                <m:t>intensit</m:t>
              </m:r>
              <m:r>
                <w:rPr>
                  <w:rFonts w:ascii="Cambria Math" w:hAnsi="Cambria Math"/>
                  <w:sz w:val="28"/>
                </w:rPr>
                <m:t>ā</m:t>
              </m:r>
              <m:r>
                <w:rPr>
                  <w:rFonts w:ascii="Cambria Math" w:hAnsi="Cambria Math"/>
                  <w:sz w:val="28"/>
                </w:rPr>
                <m:t>te</m:t>
              </m:r>
            </m:e>
            <m:sub>
              <m:r>
                <w:rPr>
                  <w:rFonts w:ascii="Cambria Math" w:hAnsi="Cambria Math"/>
                  <w:sz w:val="28"/>
                </w:rPr>
                <m:t>(#)</m:t>
              </m:r>
            </m:sub>
          </m:sSub>
          <m:r>
            <w:rPr>
              <w:rFonts w:ascii="Cambria Math" w:hAnsi="Cambria Math"/>
              <w:sz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nary>
                <m:naryPr>
                  <m:chr m:val="∑"/>
                  <m:limLoc m:val="subSup"/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8"/>
                    </w:rPr>
                    <m:t>x</m:t>
                  </m:r>
                </m:sub>
                <m:sup/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</w:rPr>
                            <m:t>SEGi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</w:rPr>
                            <m:t>x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8"/>
                        </w:rPr>
                        <m:t xml:space="preserve"> ×</m:t>
                      </m:r>
                      <m:r>
                        <w:rPr>
                          <w:rFonts w:ascii="Cambria Math" w:hAnsi="Cambria Math"/>
                          <w:sz w:val="28"/>
                        </w:rPr>
                        <m:t>KK</m:t>
                      </m:r>
                      <m:r>
                        <w:rPr>
                          <w:rFonts w:ascii="Cambria Math" w:hAnsi="Cambria Math"/>
                          <w:sz w:val="28"/>
                        </w:rPr>
                        <m:t xml:space="preserve"> × 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</w:rPr>
                            <m:t>MJ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</w:rPr>
                            <m:t>x</m:t>
                          </m:r>
                        </m:sub>
                      </m:sSub>
                    </m:e>
                  </m:d>
                  <m:r>
                    <w:rPr>
                      <w:rFonts w:ascii="Cambria Math" w:hAnsi="Cambria Math"/>
                      <w:sz w:val="28"/>
                    </w:rPr>
                    <m:t>-</m:t>
                  </m:r>
                  <m:r>
                    <w:rPr>
                      <w:rFonts w:ascii="Cambria Math" w:hAnsi="Cambria Math"/>
                      <w:sz w:val="28"/>
                    </w:rPr>
                    <m:t>UER</m:t>
                  </m:r>
                </m:e>
              </m:nary>
            </m:num>
            <m:den>
              <m:nary>
                <m:naryPr>
                  <m:chr m:val="∑"/>
                  <m:limLoc m:val="undOvr"/>
                  <m:supHide m:val="1"/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8"/>
                    </w:rPr>
                    <m:t>X</m:t>
                  </m:r>
                </m:sub>
                <m:sup/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MJ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</w:rPr>
                        <m:t>x</m:t>
                      </m:r>
                    </m:sub>
                  </m:sSub>
                </m:e>
              </m:nary>
            </m:den>
          </m:f>
        </m:oMath>
      </m:oMathPara>
    </w:p>
    <w:p w14:paraId="68C33506" w14:textId="3FA087E9" w:rsidR="002940B5" w:rsidRPr="002940B5" w:rsidRDefault="00E861E7" w:rsidP="002940B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2940B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kur: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065"/>
      </w:tblGrid>
      <w:tr w:rsidR="00EB520C" w14:paraId="0477CACA" w14:textId="77777777" w:rsidTr="002940B5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23D60524" w14:textId="1CA4ABBF" w:rsidR="002940B5" w:rsidRPr="002940B5" w:rsidRDefault="002940B5" w:rsidP="002940B5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64900760" w14:textId="1465874E" w:rsidR="002940B5" w:rsidRPr="00FF7EA1" w:rsidRDefault="00E861E7" w:rsidP="00FF7EA1">
            <w:pPr>
              <w:pStyle w:val="ListParagraph"/>
              <w:numPr>
                <w:ilvl w:val="0"/>
                <w:numId w:val="1"/>
              </w:num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lv-LV"/>
              </w:rPr>
            </w:pPr>
            <w:r w:rsidRPr="00FF7EA1">
              <w:rPr>
                <w:rFonts w:ascii="inherit" w:eastAsia="Times New Roman" w:hAnsi="inherit" w:cs="Times New Roman"/>
                <w:b/>
                <w:color w:val="000000"/>
                <w:sz w:val="24"/>
                <w:szCs w:val="24"/>
                <w:lang w:eastAsia="lv-LV"/>
              </w:rPr>
              <w:t>“#”</w:t>
            </w:r>
            <w:r w:rsidRPr="00FF7EA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lv-LV"/>
              </w:rPr>
              <w:t xml:space="preserve"> ir piegādātājs (identificēts subjekts, kas ir akcīzes nodokļa maksātājs), identificēts ar identifikācijas numuru, kas Komisijas Regulā (EK) Nr. 684/2009</w:t>
            </w:r>
            <w:hyperlink r:id="rId8" w:anchor="ntr1-L_2015107LV.01003101-E0001" w:history="1">
              <w:r w:rsidRPr="00FF7EA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eastAsia="lv-LV"/>
                </w:rPr>
                <w:t> (</w:t>
              </w:r>
              <w:r w:rsidRPr="00FF7EA1">
                <w:rPr>
                  <w:rFonts w:ascii="inherit" w:eastAsia="Times New Roman" w:hAnsi="inherit" w:cs="Times New Roman"/>
                  <w:color w:val="0000FF"/>
                  <w:sz w:val="17"/>
                  <w:szCs w:val="17"/>
                  <w:u w:val="single"/>
                  <w:vertAlign w:val="superscript"/>
                  <w:lang w:eastAsia="lv-LV"/>
                </w:rPr>
                <w:t>1</w:t>
              </w:r>
              <w:r w:rsidRPr="00FF7EA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eastAsia="lv-LV"/>
                </w:rPr>
                <w:t>)</w:t>
              </w:r>
            </w:hyperlink>
            <w:r w:rsidRPr="00FF7EA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lv-LV"/>
              </w:rPr>
              <w:t> definēts kā komersanta akcīzes identifikācijas numurs (akcīzes nodokļa datu apmaiņas sistēmas (</w:t>
            </w:r>
            <w:r w:rsidRPr="00FF7EA1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lang w:eastAsia="lv-LV"/>
              </w:rPr>
              <w:t>SEED</w:t>
            </w:r>
            <w:r w:rsidRPr="00FF7EA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lv-LV"/>
              </w:rPr>
              <w:t>) reģistrācijas n</w:t>
            </w:r>
            <w:r w:rsidRPr="00FF7EA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lv-LV"/>
              </w:rPr>
              <w:t xml:space="preserve">umurs vai pievienotās vērtības nodokļa </w:t>
            </w:r>
            <w:proofErr w:type="gramStart"/>
            <w:r w:rsidRPr="00FF7EA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lv-LV"/>
              </w:rPr>
              <w:t>(</w:t>
            </w:r>
            <w:proofErr w:type="gramEnd"/>
            <w:r w:rsidRPr="00FF7EA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lv-LV"/>
              </w:rPr>
              <w:t>PVN) identifikācijas numurs minētās regulas I pielikuma 1. tabulas 5. punkta a) apakšpunktā piegādes tipa kodiem 1 līdz 5 un 8), un šī persona ir arī tā, kura bija atbildīga par akcīzes nodokļa maksāšanu saskaņā ar P</w:t>
            </w:r>
            <w:r w:rsidRPr="00FF7EA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lv-LV"/>
              </w:rPr>
              <w:t>adomes Direktīvas 2008/118/EK</w:t>
            </w:r>
            <w:hyperlink r:id="rId9" w:anchor="ntr2-L_2015107LV.01003101-E0002" w:history="1">
              <w:r w:rsidRPr="00FF7EA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eastAsia="lv-LV"/>
                </w:rPr>
                <w:t> (</w:t>
              </w:r>
              <w:r w:rsidRPr="00FF7EA1">
                <w:rPr>
                  <w:rFonts w:ascii="inherit" w:eastAsia="Times New Roman" w:hAnsi="inherit" w:cs="Times New Roman"/>
                  <w:color w:val="0000FF"/>
                  <w:sz w:val="17"/>
                  <w:szCs w:val="17"/>
                  <w:u w:val="single"/>
                  <w:vertAlign w:val="superscript"/>
                  <w:lang w:eastAsia="lv-LV"/>
                </w:rPr>
                <w:t>2</w:t>
              </w:r>
              <w:r w:rsidRPr="00FF7EA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eastAsia="lv-LV"/>
                </w:rPr>
                <w:t>)</w:t>
              </w:r>
            </w:hyperlink>
            <w:r w:rsidRPr="00FF7EA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lv-LV"/>
              </w:rPr>
              <w:t xml:space="preserve"> 8. pantu brīdī, kad akcīzes nodoklis kļuva uzliekams saskaņā ar Direktīvas 2008/118/EK </w:t>
            </w:r>
            <w:r w:rsidRPr="00FF7EA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lv-LV"/>
              </w:rPr>
              <w:t>7. panta 2. punktu. Ja šis identifikācijas numurs nav pieejams, dalībvalstis nodrošina, ka saskaņā ar valsts akcīzes nodokļa ziņošanas shēmu tiek izveidots līdzvērtīgs identifikācijas līdzeklis;</w:t>
            </w:r>
          </w:p>
        </w:tc>
      </w:tr>
    </w:tbl>
    <w:p w14:paraId="02AB63DB" w14:textId="77777777" w:rsidR="002940B5" w:rsidRPr="002940B5" w:rsidRDefault="002940B5" w:rsidP="002940B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065"/>
      </w:tblGrid>
      <w:tr w:rsidR="00EB520C" w14:paraId="019B913A" w14:textId="77777777" w:rsidTr="002940B5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04226C14" w14:textId="39A77968" w:rsidR="002940B5" w:rsidRPr="002940B5" w:rsidRDefault="002940B5" w:rsidP="002940B5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3798F27E" w14:textId="2CCC8897" w:rsidR="002940B5" w:rsidRPr="00FF7EA1" w:rsidRDefault="00E861E7" w:rsidP="00FF7EA1">
            <w:pPr>
              <w:pStyle w:val="ListParagraph"/>
              <w:numPr>
                <w:ilvl w:val="0"/>
                <w:numId w:val="1"/>
              </w:num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lv-LV"/>
              </w:rPr>
            </w:pPr>
            <w:r w:rsidRPr="00FF7EA1">
              <w:rPr>
                <w:rFonts w:ascii="inherit" w:eastAsia="Times New Roman" w:hAnsi="inherit" w:cs="Times New Roman"/>
                <w:b/>
                <w:color w:val="000000"/>
                <w:sz w:val="24"/>
                <w:szCs w:val="24"/>
                <w:lang w:eastAsia="lv-LV"/>
              </w:rPr>
              <w:t>“x”</w:t>
            </w:r>
            <w:r w:rsidRPr="00FF7EA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lv-LV"/>
              </w:rPr>
              <w:t xml:space="preserve"> ir </w:t>
            </w:r>
            <w:r w:rsidR="00C11798" w:rsidRPr="00FF7EA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lv-LV"/>
              </w:rPr>
              <w:t xml:space="preserve">transporta </w:t>
            </w:r>
            <w:r w:rsidRPr="00FF7EA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lv-LV"/>
              </w:rPr>
              <w:t xml:space="preserve">enerģijas veidi, kas ietilpst </w:t>
            </w:r>
            <w:r w:rsidR="00C11798" w:rsidRPr="00FF7EA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lv-LV"/>
              </w:rPr>
              <w:t>šī noteikumu projekta</w:t>
            </w:r>
            <w:r w:rsidRPr="00FF7EA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lv-LV"/>
              </w:rPr>
              <w:t xml:space="preserve"> darbības jomā, kā norādīts Regulas (EK) Nr. 684/2009 I pielikuma 1. tabulas 17. punkta c) apakšpunktā</w:t>
            </w:r>
            <w:r>
              <w:rPr>
                <w:rStyle w:val="FootnoteReference"/>
                <w:rFonts w:ascii="inherit" w:eastAsia="Times New Roman" w:hAnsi="inherit" w:cs="Times New Roman"/>
                <w:color w:val="000000"/>
                <w:sz w:val="24"/>
                <w:szCs w:val="24"/>
                <w:lang w:eastAsia="lv-LV"/>
              </w:rPr>
              <w:footnoteReference w:id="1"/>
            </w:r>
            <w:r w:rsidR="00C11798" w:rsidRPr="00FF7EA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lv-LV"/>
              </w:rPr>
              <w:t>;</w:t>
            </w:r>
          </w:p>
        </w:tc>
      </w:tr>
    </w:tbl>
    <w:p w14:paraId="481F10DF" w14:textId="77777777" w:rsidR="002940B5" w:rsidRPr="002940B5" w:rsidRDefault="002940B5" w:rsidP="002940B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065"/>
      </w:tblGrid>
      <w:tr w:rsidR="00EB520C" w14:paraId="79AEDB22" w14:textId="77777777" w:rsidTr="002940B5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6AD71AB2" w14:textId="77F25213" w:rsidR="002940B5" w:rsidRPr="002940B5" w:rsidRDefault="002940B5" w:rsidP="002940B5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5928023E" w14:textId="1F239BFE" w:rsidR="002940B5" w:rsidRPr="002940B5" w:rsidRDefault="00E861E7" w:rsidP="005B4BD8">
            <w:pPr>
              <w:spacing w:before="120" w:after="0" w:line="240" w:lineRule="auto"/>
              <w:ind w:left="284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inherit" w:eastAsia="Times New Roman" w:hAnsi="inherit" w:cs="Times New Roman"/>
                <w:b/>
                <w:color w:val="000000"/>
                <w:sz w:val="24"/>
                <w:szCs w:val="24"/>
                <w:lang w:eastAsia="lv-LV"/>
              </w:rPr>
              <w:t xml:space="preserve">c) </w:t>
            </w:r>
            <w:r w:rsidRPr="002940B5">
              <w:rPr>
                <w:rFonts w:ascii="inherit" w:eastAsia="Times New Roman" w:hAnsi="inherit" w:cs="Times New Roman"/>
                <w:b/>
                <w:color w:val="000000"/>
                <w:sz w:val="24"/>
                <w:szCs w:val="24"/>
                <w:lang w:eastAsia="lv-LV"/>
              </w:rPr>
              <w:t>“</w:t>
            </w:r>
            <w:proofErr w:type="spellStart"/>
            <w:r w:rsidRPr="002940B5">
              <w:rPr>
                <w:rFonts w:ascii="inherit" w:eastAsia="Times New Roman" w:hAnsi="inherit" w:cs="Times New Roman"/>
                <w:b/>
                <w:color w:val="000000"/>
                <w:sz w:val="24"/>
                <w:szCs w:val="24"/>
                <w:lang w:eastAsia="lv-LV"/>
              </w:rPr>
              <w:t>MJ</w:t>
            </w:r>
            <w:r w:rsidRPr="002940B5">
              <w:rPr>
                <w:rFonts w:ascii="inherit" w:eastAsia="Times New Roman" w:hAnsi="inherit" w:cs="Times New Roman"/>
                <w:b/>
                <w:color w:val="000000"/>
                <w:sz w:val="17"/>
                <w:szCs w:val="17"/>
                <w:vertAlign w:val="subscript"/>
                <w:lang w:eastAsia="lv-LV"/>
              </w:rPr>
              <w:t>x</w:t>
            </w:r>
            <w:proofErr w:type="spellEnd"/>
            <w:r w:rsidRPr="002940B5">
              <w:rPr>
                <w:rFonts w:ascii="inherit" w:eastAsia="Times New Roman" w:hAnsi="inherit" w:cs="Times New Roman"/>
                <w:b/>
                <w:color w:val="000000"/>
                <w:sz w:val="24"/>
                <w:szCs w:val="24"/>
                <w:lang w:eastAsia="lv-LV"/>
              </w:rPr>
              <w:t>”</w:t>
            </w:r>
            <w:r w:rsidRPr="002940B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lv-LV"/>
              </w:rPr>
              <w:t xml:space="preserve"> ir piegādātās enerģijas kopējais daudzums, pārrēķināts no degvielas “x” paziņotajiem daud</w:t>
            </w:r>
            <w:r w:rsidR="005B4BD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lv-LV"/>
              </w:rPr>
              <w:t xml:space="preserve">zumiem un izteikts </w:t>
            </w:r>
            <w:proofErr w:type="spellStart"/>
            <w:r w:rsidR="005B4BD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lv-LV"/>
              </w:rPr>
              <w:t>megadžoulos</w:t>
            </w:r>
            <w:proofErr w:type="spellEnd"/>
            <w:r w:rsidR="005B4BD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lv-LV"/>
              </w:rPr>
              <w:t xml:space="preserve">, kur </w:t>
            </w:r>
            <w:r w:rsidR="0036348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lv-LV"/>
              </w:rPr>
              <w:t>MJ</w:t>
            </w:r>
            <w:r w:rsidRPr="002940B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lv-LV"/>
              </w:rPr>
              <w:t xml:space="preserve"> aprēķina šādi: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"/>
              <w:gridCol w:w="8998"/>
            </w:tblGrid>
            <w:tr w:rsidR="00EB520C" w14:paraId="488BC530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6EEAEDCC" w14:textId="640990BC" w:rsidR="002940B5" w:rsidRPr="002940B5" w:rsidRDefault="00E861E7" w:rsidP="002940B5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  <w:t xml:space="preserve">i  </w:t>
                  </w:r>
                </w:p>
              </w:tc>
              <w:tc>
                <w:tcPr>
                  <w:tcW w:w="0" w:type="auto"/>
                  <w:hideMark/>
                </w:tcPr>
                <w:p w14:paraId="45B18CD1" w14:textId="4499C447" w:rsidR="002940B5" w:rsidRPr="002940B5" w:rsidRDefault="00E861E7" w:rsidP="002940B5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  <w:t xml:space="preserve">) </w:t>
                  </w:r>
                  <w:r w:rsidRPr="002940B5"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  <w:t>Katra degvielas veida katras degvielas daudzums</w:t>
                  </w:r>
                </w:p>
                <w:p w14:paraId="4774025F" w14:textId="67F1E762" w:rsidR="002940B5" w:rsidRPr="002940B5" w:rsidRDefault="00E861E7" w:rsidP="002940B5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</w:pPr>
                  <w:r w:rsidRPr="002940B5"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  <w:t xml:space="preserve">To aprēķina pēc datiem, kas ziņoti saskaņā ar Regulas (EK) Nr. 684/2009 I pielikuma 1. tabulas 17. punkta d), f) un o) apakšpunktu. Biodegvielas daudzumus pārrēķina to enerģijas </w:t>
                  </w:r>
                  <w:r w:rsidRPr="002940B5"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  <w:t xml:space="preserve">saturā, kas izteikts kā zemākā siltumspēja, saskaņā </w:t>
                  </w:r>
                  <w:r w:rsidR="00C11798" w:rsidRPr="00C11798">
                    <w:rPr>
                      <w:rFonts w:ascii="inherit" w:eastAsia="Times New Roman" w:hAnsi="inherit" w:cs="Times New Roman"/>
                      <w:sz w:val="24"/>
                      <w:szCs w:val="24"/>
                      <w:u w:val="single"/>
                      <w:lang w:eastAsia="lv-LV"/>
                    </w:rPr>
                    <w:t>ar normatīvajiem aktiem, kas nosaka transporta enerģijas energoietilpību</w:t>
                  </w:r>
                  <w:r w:rsidR="00C11798" w:rsidRPr="00C11798"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  <w:t xml:space="preserve"> </w:t>
                  </w:r>
                  <w:r w:rsidRPr="002940B5"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  <w:t>noteiktajām enerģijas blīvuma vērtībām. Nebioloģiskas izcelsmes degvielu daudzumus pārrēķina to enerģijas saturā, kas izteikts kā z</w:t>
                  </w:r>
                  <w:r w:rsidRPr="002940B5"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  <w:t>emākā siltumspēja, saskaņā ar Apvienotā izpētes centra </w:t>
                  </w:r>
                  <w:r w:rsidRPr="002940B5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lv-LV"/>
                    </w:rPr>
                    <w:t>EUCAR-CONCAWE</w:t>
                  </w:r>
                  <w:r w:rsidRPr="002940B5"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  <w:t> (</w:t>
                  </w:r>
                  <w:r w:rsidRPr="002940B5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lv-LV"/>
                    </w:rPr>
                    <w:t>JEC)</w:t>
                  </w:r>
                  <w:hyperlink r:id="rId10" w:anchor="ntr3-L_2015107LV.01003101-E0003" w:history="1">
                    <w:r w:rsidRPr="002940B5">
                      <w:rPr>
                        <w:rFonts w:ascii="inherit" w:eastAsia="Times New Roman" w:hAnsi="inherit" w:cs="Times New Roman"/>
                        <w:color w:val="0000FF"/>
                        <w:sz w:val="24"/>
                        <w:szCs w:val="24"/>
                        <w:u w:val="single"/>
                        <w:lang w:eastAsia="lv-LV"/>
                      </w:rPr>
                      <w:t> (</w:t>
                    </w:r>
                    <w:r w:rsidRPr="002940B5">
                      <w:rPr>
                        <w:rFonts w:ascii="inherit" w:eastAsia="Times New Roman" w:hAnsi="inherit" w:cs="Times New Roman"/>
                        <w:color w:val="0000FF"/>
                        <w:sz w:val="17"/>
                        <w:szCs w:val="17"/>
                        <w:u w:val="single"/>
                        <w:vertAlign w:val="superscript"/>
                        <w:lang w:eastAsia="lv-LV"/>
                      </w:rPr>
                      <w:t>3</w:t>
                    </w:r>
                    <w:r w:rsidRPr="002940B5">
                      <w:rPr>
                        <w:rFonts w:ascii="inherit" w:eastAsia="Times New Roman" w:hAnsi="inherit" w:cs="Times New Roman"/>
                        <w:color w:val="0000FF"/>
                        <w:sz w:val="24"/>
                        <w:szCs w:val="24"/>
                        <w:u w:val="single"/>
                        <w:lang w:eastAsia="lv-LV"/>
                      </w:rPr>
                      <w:t>)</w:t>
                    </w:r>
                  </w:hyperlink>
                  <w:r w:rsidRPr="002940B5"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  <w:t> 2013. gada jūlija ziņojuma (4. versija) </w:t>
                  </w:r>
                  <w:proofErr w:type="spellStart"/>
                  <w:r w:rsidRPr="002940B5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lv-LV"/>
                    </w:rPr>
                    <w:t>Well-to-Tank</w:t>
                  </w:r>
                  <w:proofErr w:type="spellEnd"/>
                  <w:r w:rsidRPr="002940B5"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  <w:t> </w:t>
                  </w:r>
                  <w:hyperlink r:id="rId11" w:anchor="ntr4-L_2015107LV.01003101-E0004" w:history="1">
                    <w:r w:rsidRPr="002940B5">
                      <w:rPr>
                        <w:rFonts w:ascii="inherit" w:eastAsia="Times New Roman" w:hAnsi="inherit" w:cs="Times New Roman"/>
                        <w:color w:val="0000FF"/>
                        <w:sz w:val="24"/>
                        <w:szCs w:val="24"/>
                        <w:u w:val="single"/>
                        <w:lang w:eastAsia="lv-LV"/>
                      </w:rPr>
                      <w:t> (</w:t>
                    </w:r>
                    <w:r w:rsidRPr="002940B5">
                      <w:rPr>
                        <w:rFonts w:ascii="inherit" w:eastAsia="Times New Roman" w:hAnsi="inherit" w:cs="Times New Roman"/>
                        <w:color w:val="0000FF"/>
                        <w:sz w:val="17"/>
                        <w:szCs w:val="17"/>
                        <w:u w:val="single"/>
                        <w:vertAlign w:val="superscript"/>
                        <w:lang w:eastAsia="lv-LV"/>
                      </w:rPr>
                      <w:t>4</w:t>
                    </w:r>
                    <w:r w:rsidRPr="002940B5">
                      <w:rPr>
                        <w:rFonts w:ascii="inherit" w:eastAsia="Times New Roman" w:hAnsi="inherit" w:cs="Times New Roman"/>
                        <w:color w:val="0000FF"/>
                        <w:sz w:val="24"/>
                        <w:szCs w:val="24"/>
                        <w:u w:val="single"/>
                        <w:lang w:eastAsia="lv-LV"/>
                      </w:rPr>
                      <w:t>)</w:t>
                    </w:r>
                  </w:hyperlink>
                  <w:r w:rsidRPr="002940B5"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  <w:t> 1. pielikumā noteiktajām enerģijas blīvuma vērtībām.</w:t>
                  </w:r>
                </w:p>
              </w:tc>
            </w:tr>
          </w:tbl>
          <w:p w14:paraId="351891A3" w14:textId="77777777" w:rsidR="002940B5" w:rsidRPr="002940B5" w:rsidRDefault="002940B5" w:rsidP="002940B5">
            <w:pPr>
              <w:spacing w:after="0" w:line="240" w:lineRule="auto"/>
              <w:rPr>
                <w:rFonts w:ascii="inherit" w:eastAsia="Times New Roman" w:hAnsi="inherit" w:cs="Times New Roman"/>
                <w:vanish/>
                <w:color w:val="000000"/>
                <w:sz w:val="24"/>
                <w:szCs w:val="24"/>
                <w:lang w:eastAsia="lv-LV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4"/>
              <w:gridCol w:w="8851"/>
            </w:tblGrid>
            <w:tr w:rsidR="00EB520C" w14:paraId="750CAC08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0A97F3D5" w14:textId="0D70983D" w:rsidR="002940B5" w:rsidRPr="002940B5" w:rsidRDefault="00E861E7" w:rsidP="002940B5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</w:pPr>
                  <w:proofErr w:type="spellStart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  <w:t>ii</w:t>
                  </w:r>
                  <w:proofErr w:type="spellEnd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  <w:t>)</w:t>
                  </w:r>
                </w:p>
              </w:tc>
              <w:tc>
                <w:tcPr>
                  <w:tcW w:w="0" w:type="auto"/>
                  <w:hideMark/>
                </w:tcPr>
                <w:p w14:paraId="0271EF26" w14:textId="16AFFF84" w:rsidR="002940B5" w:rsidRPr="002940B5" w:rsidRDefault="00E861E7" w:rsidP="002940B5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  <w:t xml:space="preserve"> </w:t>
                  </w:r>
                  <w:r w:rsidRPr="002940B5"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  <w:t xml:space="preserve">Vienlaicīga </w:t>
                  </w:r>
                  <w:r w:rsidR="00C11798"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  <w:t>naftas izcelsmes</w:t>
                  </w:r>
                  <w:r w:rsidRPr="002940B5"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  <w:t xml:space="preserve"> degvielu un biodegvielu </w:t>
                  </w:r>
                  <w:proofErr w:type="spellStart"/>
                  <w:r w:rsidRPr="002940B5"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  <w:t>līdzpārstrāde</w:t>
                  </w:r>
                  <w:proofErr w:type="spellEnd"/>
                </w:p>
                <w:p w14:paraId="67F04431" w14:textId="7B83CD12" w:rsidR="002940B5" w:rsidRPr="002940B5" w:rsidRDefault="00E861E7" w:rsidP="002940B5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</w:pPr>
                  <w:r w:rsidRPr="002940B5"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  <w:t xml:space="preserve">Pārstrāde ietver jebkādas tādas modifikācijas piegādātās </w:t>
                  </w:r>
                  <w:r w:rsidR="00C11798"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  <w:t xml:space="preserve">transporta </w:t>
                  </w:r>
                  <w:r w:rsidRPr="002940B5"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  <w:t xml:space="preserve">enerģijas aprites ciklā, kas rada izmaiņas produkta molekulārajā struktūrā. Par šādu pārstrādi nav uzskatāma </w:t>
                  </w:r>
                  <w:proofErr w:type="spellStart"/>
                  <w:r w:rsidRPr="002940B5"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  <w:t>denaturanta</w:t>
                  </w:r>
                  <w:proofErr w:type="spellEnd"/>
                  <w:r w:rsidRPr="002940B5"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  <w:t xml:space="preserve"> pievienošana. Kopā ar nebiol</w:t>
                  </w:r>
                  <w:r w:rsidRPr="002940B5"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  <w:t xml:space="preserve">oģiskas izcelsmes degvielām </w:t>
                  </w:r>
                  <w:proofErr w:type="spellStart"/>
                  <w:r w:rsidRPr="002940B5"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  <w:t>līdzpārstrādāto</w:t>
                  </w:r>
                  <w:proofErr w:type="spellEnd"/>
                  <w:r w:rsidRPr="002940B5"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  <w:t xml:space="preserve"> biodegvielu daudzums atspoguļo biodegvielas </w:t>
                  </w:r>
                  <w:proofErr w:type="spellStart"/>
                  <w:r w:rsidRPr="002940B5"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  <w:t>pēcpārstrādes</w:t>
                  </w:r>
                  <w:proofErr w:type="spellEnd"/>
                  <w:r w:rsidRPr="002940B5"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  <w:t xml:space="preserve"> stāvokli. </w:t>
                  </w:r>
                  <w:proofErr w:type="spellStart"/>
                  <w:r w:rsidRPr="002940B5"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  <w:t>Līdzpārstrādātās</w:t>
                  </w:r>
                  <w:proofErr w:type="spellEnd"/>
                  <w:r w:rsidRPr="002940B5"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  <w:t xml:space="preserve"> </w:t>
                  </w:r>
                  <w:r w:rsidRPr="002940B5"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  <w:lastRenderedPageBreak/>
                    <w:t xml:space="preserve">biodegvielas daudzumu nosaka saskaņā ar </w:t>
                  </w:r>
                  <w:proofErr w:type="spellStart"/>
                  <w:r w:rsidRPr="002940B5"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  <w:t>līdzpārstrādes</w:t>
                  </w:r>
                  <w:proofErr w:type="spellEnd"/>
                  <w:r w:rsidRPr="002940B5"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  <w:t xml:space="preserve"> procesa energobilanci un efektivitāti, kā noteikts </w:t>
                  </w:r>
                  <w:r w:rsidRPr="002940B5">
                    <w:rPr>
                      <w:rFonts w:ascii="inherit" w:eastAsia="Times New Roman" w:hAnsi="inherit" w:cs="Times New Roman"/>
                      <w:b/>
                      <w:sz w:val="24"/>
                      <w:szCs w:val="24"/>
                      <w:lang w:eastAsia="lv-LV"/>
                    </w:rPr>
                    <w:t>Direktīvas 98/70/EK I</w:t>
                  </w:r>
                  <w:r w:rsidRPr="002940B5">
                    <w:rPr>
                      <w:rFonts w:ascii="inherit" w:eastAsia="Times New Roman" w:hAnsi="inherit" w:cs="Times New Roman"/>
                      <w:b/>
                      <w:sz w:val="24"/>
                      <w:szCs w:val="24"/>
                      <w:lang w:eastAsia="lv-LV"/>
                    </w:rPr>
                    <w:t>V pielikuma C daļas 17. punktā</w:t>
                  </w:r>
                  <w:r w:rsidRPr="002940B5"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  <w:t>.</w:t>
                  </w:r>
                </w:p>
                <w:p w14:paraId="0774FF45" w14:textId="77777777" w:rsidR="002940B5" w:rsidRPr="002940B5" w:rsidRDefault="00E861E7" w:rsidP="002940B5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</w:pPr>
                  <w:r w:rsidRPr="002940B5"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  <w:t>Ja ar fosilajām degvielām tiek sajauktas vairākas biodegvielas, piegādātāji aprēķinos ņem vērā un dalībvalstīm ziņo katras biodegvielas daudzumu un veidu.</w:t>
                  </w:r>
                </w:p>
                <w:p w14:paraId="2E71C106" w14:textId="0A1B16D7" w:rsidR="002940B5" w:rsidRPr="002940B5" w:rsidRDefault="00E861E7" w:rsidP="002940B5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</w:pPr>
                  <w:r w:rsidRPr="002940B5"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  <w:t xml:space="preserve">Piegādātās biodegvielas daudzumu, kas neatbilst </w:t>
                  </w:r>
                  <w:r w:rsidR="00C11798">
                    <w:rPr>
                      <w:rFonts w:ascii="inherit" w:eastAsia="Times New Roman" w:hAnsi="inherit" w:cs="Times New Roman"/>
                      <w:b/>
                      <w:sz w:val="24"/>
                      <w:szCs w:val="24"/>
                      <w:lang w:eastAsia="lv-LV"/>
                    </w:rPr>
                    <w:t xml:space="preserve">normatīvajos aktos, kas nosaka biodegvielu un bioloģiski šķidro kurināmo ilgtspējības kritērijus, </w:t>
                  </w:r>
                  <w:r w:rsidRPr="002940B5"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  <w:t xml:space="preserve"> minētajiem ilgtspējības kritērijiem, ieskaita kā </w:t>
                  </w:r>
                  <w:r w:rsidR="00C11798"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  <w:t>naftas izcelsmes</w:t>
                  </w:r>
                  <w:r w:rsidRPr="002940B5"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  <w:t xml:space="preserve"> degvielu.</w:t>
                  </w:r>
                </w:p>
                <w:p w14:paraId="5D06DD8B" w14:textId="0301563F" w:rsidR="002940B5" w:rsidRPr="002940B5" w:rsidRDefault="00E861E7" w:rsidP="002940B5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</w:pPr>
                  <w:r w:rsidRPr="002940B5"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  <w:t>Benzīna</w:t>
                  </w:r>
                  <w:r w:rsidR="002478AB"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  <w:t xml:space="preserve"> </w:t>
                  </w:r>
                  <w:r w:rsidRPr="002940B5"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  <w:t>–</w:t>
                  </w:r>
                  <w:r w:rsidR="002478AB"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  <w:t xml:space="preserve"> </w:t>
                  </w:r>
                  <w:r w:rsidRPr="002940B5"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  <w:t>etanola maisījuma E85 daudzumu Eiropas Parlamenta un Padomes Regulas (E</w:t>
                  </w:r>
                  <w:r w:rsidRPr="002940B5"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  <w:t>K) Nr. 443/2009</w:t>
                  </w:r>
                  <w:hyperlink r:id="rId12" w:anchor="ntr5-L_2015107LV.01003101-E0005" w:history="1">
                    <w:r w:rsidRPr="002940B5">
                      <w:rPr>
                        <w:rFonts w:ascii="inherit" w:eastAsia="Times New Roman" w:hAnsi="inherit" w:cs="Times New Roman"/>
                        <w:color w:val="0000FF"/>
                        <w:sz w:val="24"/>
                        <w:szCs w:val="24"/>
                        <w:u w:val="single"/>
                        <w:lang w:eastAsia="lv-LV"/>
                      </w:rPr>
                      <w:t> (</w:t>
                    </w:r>
                    <w:r w:rsidRPr="002940B5">
                      <w:rPr>
                        <w:rFonts w:ascii="inherit" w:eastAsia="Times New Roman" w:hAnsi="inherit" w:cs="Times New Roman"/>
                        <w:color w:val="0000FF"/>
                        <w:sz w:val="17"/>
                        <w:szCs w:val="17"/>
                        <w:u w:val="single"/>
                        <w:vertAlign w:val="superscript"/>
                        <w:lang w:eastAsia="lv-LV"/>
                      </w:rPr>
                      <w:t>5</w:t>
                    </w:r>
                    <w:r w:rsidRPr="002940B5">
                      <w:rPr>
                        <w:rFonts w:ascii="inherit" w:eastAsia="Times New Roman" w:hAnsi="inherit" w:cs="Times New Roman"/>
                        <w:color w:val="0000FF"/>
                        <w:sz w:val="24"/>
                        <w:szCs w:val="24"/>
                        <w:u w:val="single"/>
                        <w:lang w:eastAsia="lv-LV"/>
                      </w:rPr>
                      <w:t>)</w:t>
                    </w:r>
                  </w:hyperlink>
                  <w:r w:rsidRPr="002940B5"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  <w:t> 6. panta izpildei aprēķina kā atsevišķu degvielu.</w:t>
                  </w:r>
                </w:p>
                <w:p w14:paraId="6B6DF995" w14:textId="3A248836" w:rsidR="002940B5" w:rsidRPr="002940B5" w:rsidRDefault="00E861E7" w:rsidP="002940B5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</w:pPr>
                  <w:r w:rsidRPr="002940B5"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  <w:t>Ja dati par daudzumiem netiek vākti, ievērojot Regu</w:t>
                  </w:r>
                  <w:r w:rsidRPr="002940B5"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  <w:t xml:space="preserve">lu (EK) Nr. 684/2009, dalībvalstis savāc ekvivalentus datus saskaņā ar valstī izveidotu akcīzes nodokļa ziņošanas </w:t>
                  </w:r>
                  <w:r w:rsidR="00C11798"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  <w:t>kārtību</w:t>
                  </w:r>
                  <w:r w:rsidRPr="002940B5"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  <w:t>.</w:t>
                  </w:r>
                </w:p>
              </w:tc>
            </w:tr>
          </w:tbl>
          <w:p w14:paraId="0230A61F" w14:textId="77777777" w:rsidR="002940B5" w:rsidRPr="002940B5" w:rsidRDefault="002940B5" w:rsidP="002940B5">
            <w:pPr>
              <w:spacing w:after="0" w:line="240" w:lineRule="auto"/>
              <w:rPr>
                <w:rFonts w:ascii="inherit" w:eastAsia="Times New Roman" w:hAnsi="inherit" w:cs="Times New Roman"/>
                <w:vanish/>
                <w:color w:val="000000"/>
                <w:sz w:val="24"/>
                <w:szCs w:val="24"/>
                <w:lang w:eastAsia="lv-LV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6"/>
              <w:gridCol w:w="8639"/>
            </w:tblGrid>
            <w:tr w:rsidR="00EB520C" w14:paraId="1B31276C" w14:textId="77777777" w:rsidTr="00C11798">
              <w:trPr>
                <w:tblCellSpacing w:w="0" w:type="dxa"/>
              </w:trPr>
              <w:tc>
                <w:tcPr>
                  <w:tcW w:w="235" w:type="pct"/>
                  <w:hideMark/>
                </w:tcPr>
                <w:p w14:paraId="1F61A671" w14:textId="288FEDE8" w:rsidR="002940B5" w:rsidRPr="002940B5" w:rsidRDefault="00E861E7" w:rsidP="002940B5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</w:pPr>
                  <w:proofErr w:type="spellStart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  <w:t>iii</w:t>
                  </w:r>
                  <w:proofErr w:type="spellEnd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  <w:t>)</w:t>
                  </w:r>
                  <w:r w:rsidR="00363480"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  <w:t xml:space="preserve">  </w:t>
                  </w:r>
                </w:p>
              </w:tc>
              <w:tc>
                <w:tcPr>
                  <w:tcW w:w="4765" w:type="pct"/>
                  <w:hideMark/>
                </w:tcPr>
                <w:p w14:paraId="003AF2DB" w14:textId="307BC875" w:rsidR="002940B5" w:rsidRPr="002940B5" w:rsidRDefault="00E861E7" w:rsidP="002940B5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  <w:t xml:space="preserve"> </w:t>
                  </w:r>
                  <w:r w:rsidRPr="002940B5"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  <w:t>Patērētais elektroenerģijas daudzums</w:t>
                  </w:r>
                </w:p>
                <w:p w14:paraId="70836FB5" w14:textId="77777777" w:rsidR="002940B5" w:rsidRPr="002940B5" w:rsidRDefault="00E861E7" w:rsidP="002940B5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</w:pPr>
                  <w:r w:rsidRPr="002940B5"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  <w:t xml:space="preserve">Tas ir autotransportlīdzekļos vai motociklos patērētais elektroenerģijas daudzums, ja </w:t>
                  </w:r>
                  <w:r w:rsidRPr="002940B5"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  <w:t>piegādātājs šo enerģijas daudzumu paziņo katras dalībvalsts attiecīgajai iestādei saskaņā ar šādu formulu:</w:t>
                  </w:r>
                </w:p>
                <w:p w14:paraId="7D615CC7" w14:textId="77777777" w:rsidR="002940B5" w:rsidRPr="002940B5" w:rsidRDefault="00E861E7" w:rsidP="002940B5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</w:pPr>
                  <w:r w:rsidRPr="002940B5"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  <w:t>patērētā elektroenerģija = nobrauktais attālums (km) × elektroenerģijas patēriņa efektivitāte (MJ/km);</w:t>
                  </w:r>
                </w:p>
              </w:tc>
            </w:tr>
          </w:tbl>
          <w:p w14:paraId="47C207B7" w14:textId="77777777" w:rsidR="002940B5" w:rsidRPr="002940B5" w:rsidRDefault="002940B5" w:rsidP="002940B5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</w:tbl>
    <w:p w14:paraId="44199785" w14:textId="77777777" w:rsidR="002940B5" w:rsidRPr="002940B5" w:rsidRDefault="002940B5" w:rsidP="002940B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W w:w="5003" w:type="pct"/>
        <w:tblCellSpacing w:w="0" w:type="dxa"/>
        <w:tblInd w:w="-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"/>
        <w:gridCol w:w="9051"/>
      </w:tblGrid>
      <w:tr w:rsidR="00EB520C" w14:paraId="241D6B4E" w14:textId="77777777" w:rsidTr="005B4BD8">
        <w:trPr>
          <w:tblCellSpacing w:w="0" w:type="dxa"/>
        </w:trPr>
        <w:tc>
          <w:tcPr>
            <w:tcW w:w="14" w:type="pct"/>
            <w:shd w:val="clear" w:color="auto" w:fill="FFFFFF"/>
          </w:tcPr>
          <w:p w14:paraId="24D6A003" w14:textId="09B98FB4" w:rsidR="002940B5" w:rsidRPr="002940B5" w:rsidRDefault="00E861E7" w:rsidP="002940B5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lv-LV"/>
              </w:rPr>
              <w:t>“</w:t>
            </w:r>
          </w:p>
        </w:tc>
        <w:tc>
          <w:tcPr>
            <w:tcW w:w="4986" w:type="pct"/>
            <w:shd w:val="clear" w:color="auto" w:fill="FFFFFF"/>
            <w:hideMark/>
          </w:tcPr>
          <w:p w14:paraId="2419CFE0" w14:textId="40287B54" w:rsidR="002940B5" w:rsidRPr="002940B5" w:rsidRDefault="00E861E7" w:rsidP="002940B5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lv-LV"/>
              </w:rPr>
              <w:t>“</w:t>
            </w:r>
            <w:proofErr w:type="spellStart"/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lv-LV"/>
              </w:rPr>
              <w:t>a</w:t>
            </w:r>
            <w:r w:rsidRPr="002940B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lv-LV"/>
              </w:rPr>
              <w:t>ugšposma</w:t>
            </w:r>
            <w:proofErr w:type="spellEnd"/>
            <w:r w:rsidRPr="002940B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lv-LV"/>
              </w:rPr>
              <w:t xml:space="preserve"> emisiju samazinājums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lv-LV"/>
              </w:rPr>
              <w:t>”</w:t>
            </w:r>
            <w:r w:rsidRPr="002940B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lv-LV"/>
              </w:rPr>
              <w:t xml:space="preserve"> (AES)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lv-LV"/>
              </w:rPr>
              <w:t xml:space="preserve"> - </w:t>
            </w:r>
            <w:r w:rsidRPr="002940B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lv-LV"/>
              </w:rPr>
              <w:t xml:space="preserve">ir piegādātāja deklarētais siltumnīcefekta gāzu </w:t>
            </w:r>
            <w:proofErr w:type="spellStart"/>
            <w:r w:rsidRPr="002940B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lv-LV"/>
              </w:rPr>
              <w:t>augšposma</w:t>
            </w:r>
            <w:proofErr w:type="spellEnd"/>
            <w:r w:rsidRPr="002940B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lv-LV"/>
              </w:rPr>
              <w:t xml:space="preserve"> emisiju samazinājums, izteikts g CO</w:t>
            </w:r>
            <w:r w:rsidRPr="002940B5">
              <w:rPr>
                <w:rFonts w:ascii="inherit" w:eastAsia="Times New Roman" w:hAnsi="inherit" w:cs="Times New Roman"/>
                <w:color w:val="000000"/>
                <w:sz w:val="17"/>
                <w:szCs w:val="17"/>
                <w:vertAlign w:val="subscript"/>
                <w:lang w:eastAsia="lv-LV"/>
              </w:rPr>
              <w:t xml:space="preserve">2 </w:t>
            </w:r>
            <w:proofErr w:type="spellStart"/>
            <w:r w:rsidRPr="002940B5">
              <w:rPr>
                <w:rFonts w:ascii="inherit" w:eastAsia="Times New Roman" w:hAnsi="inherit" w:cs="Times New Roman"/>
                <w:color w:val="000000"/>
                <w:sz w:val="17"/>
                <w:szCs w:val="17"/>
                <w:vertAlign w:val="subscript"/>
                <w:lang w:eastAsia="lv-LV"/>
              </w:rPr>
              <w:t>ekv</w:t>
            </w:r>
            <w:proofErr w:type="spellEnd"/>
            <w:r w:rsidRPr="002940B5">
              <w:rPr>
                <w:rFonts w:ascii="inherit" w:eastAsia="Times New Roman" w:hAnsi="inherit" w:cs="Times New Roman"/>
                <w:color w:val="000000"/>
                <w:sz w:val="17"/>
                <w:szCs w:val="17"/>
                <w:vertAlign w:val="subscript"/>
                <w:lang w:eastAsia="lv-LV"/>
              </w:rPr>
              <w:t>.</w:t>
            </w:r>
            <w:r w:rsidRPr="002940B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lv-LV"/>
              </w:rPr>
              <w:t xml:space="preserve">, </w:t>
            </w: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1"/>
              <w:gridCol w:w="8640"/>
            </w:tblGrid>
            <w:tr w:rsidR="00EB520C" w14:paraId="0274333E" w14:textId="77777777" w:rsidTr="005B4BD8">
              <w:trPr>
                <w:tblCellSpacing w:w="0" w:type="dxa"/>
              </w:trPr>
              <w:tc>
                <w:tcPr>
                  <w:tcW w:w="411" w:type="dxa"/>
                  <w:hideMark/>
                </w:tcPr>
                <w:p w14:paraId="0D4882DE" w14:textId="48640DA5" w:rsidR="002940B5" w:rsidRPr="005B4BD8" w:rsidRDefault="00E861E7" w:rsidP="005B4BD8">
                  <w:pPr>
                    <w:spacing w:before="120" w:after="0" w:line="240" w:lineRule="auto"/>
                    <w:ind w:right="-89"/>
                    <w:jc w:val="both"/>
                    <w:rPr>
                      <w:rFonts w:ascii="inherit" w:eastAsia="Times New Roman" w:hAnsi="inherit" w:cs="Times New Roman"/>
                      <w:b/>
                      <w:sz w:val="24"/>
                      <w:szCs w:val="24"/>
                      <w:lang w:eastAsia="lv-LV"/>
                    </w:rPr>
                  </w:pPr>
                  <w:r w:rsidRPr="005B4BD8">
                    <w:rPr>
                      <w:rFonts w:ascii="inherit" w:eastAsia="Times New Roman" w:hAnsi="inherit" w:cs="Times New Roman"/>
                      <w:b/>
                      <w:sz w:val="24"/>
                      <w:szCs w:val="24"/>
                      <w:lang w:eastAsia="lv-LV"/>
                    </w:rPr>
                    <w:t>d)</w:t>
                  </w:r>
                </w:p>
              </w:tc>
              <w:tc>
                <w:tcPr>
                  <w:tcW w:w="8640" w:type="dxa"/>
                  <w:hideMark/>
                </w:tcPr>
                <w:p w14:paraId="31D144DC" w14:textId="39B8E8B1" w:rsidR="002940B5" w:rsidRDefault="00E861E7" w:rsidP="002940B5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  <w:t xml:space="preserve"> </w:t>
                  </w:r>
                  <w:proofErr w:type="spellStart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  <w:t>A</w:t>
                  </w:r>
                  <w:r w:rsidRPr="00363480"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  <w:t>ugšposma</w:t>
                  </w:r>
                  <w:proofErr w:type="spellEnd"/>
                  <w:r w:rsidRPr="00363480"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  <w:t xml:space="preserve"> emisiju samazinājums </w:t>
                  </w:r>
                </w:p>
                <w:p w14:paraId="347BB600" w14:textId="55A4455E" w:rsidR="005B4BD8" w:rsidRPr="002940B5" w:rsidRDefault="00E861E7" w:rsidP="002940B5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  <w:t xml:space="preserve">i) </w:t>
                  </w:r>
                  <w:proofErr w:type="spellStart"/>
                  <w:r w:rsidRPr="005B4BD8"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  <w:t>Augšposma</w:t>
                  </w:r>
                  <w:proofErr w:type="spellEnd"/>
                  <w:r w:rsidRPr="005B4BD8"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  <w:t xml:space="preserve"> emisiju samazinājums atbilstība prasībām, ja tas ir kvantificēts un ziņots saskaņā ar šādām prasībām</w:t>
                  </w:r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  <w:t>:</w:t>
                  </w:r>
                </w:p>
                <w:p w14:paraId="444B66F7" w14:textId="41C70418" w:rsidR="002940B5" w:rsidRPr="002940B5" w:rsidRDefault="00E861E7" w:rsidP="002940B5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  <w:t xml:space="preserve">- </w:t>
                  </w:r>
                  <w:r w:rsidRPr="002940B5"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  <w:t>AES piemēro tikai benzīna, dīzeļdegvielas, </w:t>
                  </w:r>
                  <w:r w:rsidRPr="002940B5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lv-LV"/>
                    </w:rPr>
                    <w:t>CNG</w:t>
                  </w:r>
                  <w:r w:rsidRPr="002940B5"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  <w:t> vai </w:t>
                  </w:r>
                  <w:r w:rsidRPr="002940B5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lv-LV"/>
                    </w:rPr>
                    <w:t>LPG</w:t>
                  </w:r>
                  <w:r w:rsidRPr="002940B5"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  <w:t xml:space="preserve"> standartvērtību daļai, kas attiecas uz vidējām </w:t>
                  </w:r>
                  <w:proofErr w:type="spellStart"/>
                  <w:r w:rsidRPr="002940B5"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  <w:t>augšposma</w:t>
                  </w:r>
                  <w:proofErr w:type="spellEnd"/>
                  <w:r w:rsidRPr="002940B5"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  <w:t xml:space="preserve"> emisijām.</w:t>
                  </w:r>
                </w:p>
                <w:p w14:paraId="1BB9F0AB" w14:textId="781C971B" w:rsidR="002940B5" w:rsidRPr="002940B5" w:rsidRDefault="00E861E7" w:rsidP="002940B5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  <w:t xml:space="preserve">- </w:t>
                  </w:r>
                  <w:r w:rsidR="00363480"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  <w:t xml:space="preserve"> </w:t>
                  </w:r>
                  <w:r w:rsidRPr="002940B5"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  <w:t>Jebkurā valstī radušos AES var ieskaitīt kā siltumnīcefekta gāzu emisiju samazinājumus attiecībā uz jebkura piegādātāja piegādātā</w:t>
                  </w:r>
                  <w:r w:rsidRPr="002940B5"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  <w:t>m degvielām no jebkādiem izejvielu avotiem.</w:t>
                  </w:r>
                </w:p>
                <w:p w14:paraId="475288EB" w14:textId="0D13753A" w:rsidR="002940B5" w:rsidRPr="002940B5" w:rsidRDefault="00E861E7" w:rsidP="002940B5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  <w:t xml:space="preserve">- </w:t>
                  </w:r>
                  <w:r w:rsidR="00363480"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  <w:t xml:space="preserve"> </w:t>
                  </w:r>
                  <w:r w:rsidRPr="002940B5"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  <w:t>AES ieskaita tikai tad, ja tie ir saistīti ar projektiem, kas sākti pēc 2011. gada 1. janvāra.</w:t>
                  </w:r>
                </w:p>
                <w:p w14:paraId="445B6D12" w14:textId="6EB8600B" w:rsidR="002940B5" w:rsidRPr="002940B5" w:rsidRDefault="00E861E7" w:rsidP="002940B5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  <w:t xml:space="preserve">- </w:t>
                  </w:r>
                  <w:r w:rsidRPr="002940B5"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  <w:t xml:space="preserve">Nav jāpierāda, ka AES nebūtu radušies bez </w:t>
                  </w:r>
                  <w:r w:rsidRPr="002940B5">
                    <w:rPr>
                      <w:rFonts w:ascii="inherit" w:eastAsia="Times New Roman" w:hAnsi="inherit" w:cs="Times New Roman"/>
                      <w:b/>
                      <w:sz w:val="24"/>
                      <w:szCs w:val="24"/>
                      <w:lang w:eastAsia="lv-LV"/>
                    </w:rPr>
                    <w:t>Direktīvas 98/70/EK 7.a pantā noteiktajām</w:t>
                  </w:r>
                  <w:r w:rsidRPr="002940B5"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  <w:t xml:space="preserve"> ziņošanas prasībām.</w:t>
                  </w:r>
                </w:p>
              </w:tc>
            </w:tr>
          </w:tbl>
          <w:p w14:paraId="3EDE93FC" w14:textId="77777777" w:rsidR="002940B5" w:rsidRPr="002940B5" w:rsidRDefault="002940B5" w:rsidP="002940B5">
            <w:pPr>
              <w:spacing w:after="0" w:line="240" w:lineRule="auto"/>
              <w:rPr>
                <w:rFonts w:ascii="inherit" w:eastAsia="Times New Roman" w:hAnsi="inherit" w:cs="Times New Roman"/>
                <w:vanish/>
                <w:color w:val="000000"/>
                <w:sz w:val="24"/>
                <w:szCs w:val="24"/>
                <w:lang w:eastAsia="lv-LV"/>
              </w:rPr>
            </w:pPr>
          </w:p>
          <w:tbl>
            <w:tblPr>
              <w:tblW w:w="9051" w:type="dxa"/>
              <w:tblCellSpacing w:w="0" w:type="dxa"/>
              <w:tblInd w:w="411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"/>
              <w:gridCol w:w="8835"/>
            </w:tblGrid>
            <w:tr w:rsidR="00EB520C" w14:paraId="6571898A" w14:textId="77777777" w:rsidTr="005B4BD8">
              <w:trPr>
                <w:tblCellSpacing w:w="0" w:type="dxa"/>
              </w:trPr>
              <w:tc>
                <w:tcPr>
                  <w:tcW w:w="216" w:type="dxa"/>
                  <w:hideMark/>
                </w:tcPr>
                <w:p w14:paraId="7BE008CE" w14:textId="5EDA454C" w:rsidR="002940B5" w:rsidRPr="002940B5" w:rsidRDefault="00E861E7" w:rsidP="002940B5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</w:pPr>
                  <w:proofErr w:type="spellStart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  <w:t>ii</w:t>
                  </w:r>
                  <w:proofErr w:type="spellEnd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  <w:t xml:space="preserve">) </w:t>
                  </w:r>
                  <w:r w:rsidR="00363480"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  <w:t xml:space="preserve">. </w:t>
                  </w:r>
                </w:p>
              </w:tc>
              <w:tc>
                <w:tcPr>
                  <w:tcW w:w="8835" w:type="dxa"/>
                  <w:hideMark/>
                </w:tcPr>
                <w:p w14:paraId="5CBECB02" w14:textId="61E602DE" w:rsidR="002940B5" w:rsidRPr="002940B5" w:rsidRDefault="00E861E7" w:rsidP="005B4BD8">
                  <w:pPr>
                    <w:spacing w:before="120" w:after="0" w:line="240" w:lineRule="auto"/>
                    <w:ind w:left="342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</w:pPr>
                  <w:r w:rsidRPr="002940B5"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  <w:t>Aprēķin</w:t>
                  </w:r>
                  <w:r w:rsidR="00363480"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  <w:t>os ņem vērā šādas prasības:</w:t>
                  </w:r>
                </w:p>
                <w:p w14:paraId="1E7EF574" w14:textId="6DB3072E" w:rsidR="002940B5" w:rsidRPr="002940B5" w:rsidRDefault="00E861E7" w:rsidP="002940B5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  <w:t xml:space="preserve">- </w:t>
                  </w:r>
                  <w:r w:rsidR="00363480"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  <w:t xml:space="preserve"> </w:t>
                  </w:r>
                  <w:r w:rsidRPr="002940B5"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  <w:t>Ar naftas un gāzes ražošanu saistīto AES aprēķina un validē saskaņā ar principiem un standartiem, kas noteikti starptautiskajos standartos, konkrētāk, ISO 14064, ISO 14065 un ISO 14066.</w:t>
                  </w:r>
                </w:p>
                <w:p w14:paraId="079B21EF" w14:textId="4D800006" w:rsidR="002940B5" w:rsidRPr="002940B5" w:rsidRDefault="00E861E7" w:rsidP="002940B5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  <w:t>-</w:t>
                  </w:r>
                  <w:proofErr w:type="gramStart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  <w:t xml:space="preserve"> </w:t>
                  </w:r>
                  <w:r w:rsidR="00363480"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  <w:t xml:space="preserve"> </w:t>
                  </w:r>
                  <w:proofErr w:type="gramEnd"/>
                  <w:r w:rsidRPr="002940B5"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  <w:t xml:space="preserve">AES un pamatstandarta emisijas </w:t>
                  </w:r>
                  <w:proofErr w:type="spellStart"/>
                  <w:r w:rsidRPr="002940B5"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  <w:t>monitorē</w:t>
                  </w:r>
                  <w:proofErr w:type="spellEnd"/>
                  <w:r w:rsidRPr="002940B5"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  <w:t>, ziņo un verificē saskaņā ar ISO 14064 un nodrošinot rezultātus, kas ir tikpat uzticami kā tie, ko iegūst saskaņā ar Komisijas Regulu (ES) Nr. 600/2012</w:t>
                  </w:r>
                  <w:hyperlink r:id="rId13" w:anchor="ntr6-L_2015107LV.01003101-E0006" w:history="1">
                    <w:r w:rsidRPr="002940B5">
                      <w:rPr>
                        <w:rFonts w:ascii="inherit" w:eastAsia="Times New Roman" w:hAnsi="inherit" w:cs="Times New Roman"/>
                        <w:color w:val="0000FF"/>
                        <w:sz w:val="24"/>
                        <w:szCs w:val="24"/>
                        <w:u w:val="single"/>
                        <w:lang w:eastAsia="lv-LV"/>
                      </w:rPr>
                      <w:t> (</w:t>
                    </w:r>
                    <w:r w:rsidRPr="002940B5">
                      <w:rPr>
                        <w:rFonts w:ascii="inherit" w:eastAsia="Times New Roman" w:hAnsi="inherit" w:cs="Times New Roman"/>
                        <w:color w:val="0000FF"/>
                        <w:sz w:val="17"/>
                        <w:szCs w:val="17"/>
                        <w:u w:val="single"/>
                        <w:vertAlign w:val="superscript"/>
                        <w:lang w:eastAsia="lv-LV"/>
                      </w:rPr>
                      <w:t>6</w:t>
                    </w:r>
                    <w:r w:rsidRPr="002940B5">
                      <w:rPr>
                        <w:rFonts w:ascii="inherit" w:eastAsia="Times New Roman" w:hAnsi="inherit" w:cs="Times New Roman"/>
                        <w:color w:val="0000FF"/>
                        <w:sz w:val="24"/>
                        <w:szCs w:val="24"/>
                        <w:u w:val="single"/>
                        <w:lang w:eastAsia="lv-LV"/>
                      </w:rPr>
                      <w:t>)</w:t>
                    </w:r>
                  </w:hyperlink>
                  <w:r w:rsidRPr="002940B5"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  <w:t> un Komisijas Regulu (ES) Nr. 601/2012</w:t>
                  </w:r>
                  <w:hyperlink r:id="rId14" w:anchor="ntr7-L_2015107LV.01003101-E0007" w:history="1">
                    <w:r w:rsidRPr="002940B5">
                      <w:rPr>
                        <w:rFonts w:ascii="inherit" w:eastAsia="Times New Roman" w:hAnsi="inherit" w:cs="Times New Roman"/>
                        <w:color w:val="0000FF"/>
                        <w:sz w:val="24"/>
                        <w:szCs w:val="24"/>
                        <w:u w:val="single"/>
                        <w:lang w:eastAsia="lv-LV"/>
                      </w:rPr>
                      <w:t> (</w:t>
                    </w:r>
                    <w:r w:rsidRPr="002940B5">
                      <w:rPr>
                        <w:rFonts w:ascii="inherit" w:eastAsia="Times New Roman" w:hAnsi="inherit" w:cs="Times New Roman"/>
                        <w:color w:val="0000FF"/>
                        <w:sz w:val="17"/>
                        <w:szCs w:val="17"/>
                        <w:u w:val="single"/>
                        <w:vertAlign w:val="superscript"/>
                        <w:lang w:eastAsia="lv-LV"/>
                      </w:rPr>
                      <w:t>7</w:t>
                    </w:r>
                    <w:r w:rsidRPr="002940B5">
                      <w:rPr>
                        <w:rFonts w:ascii="inherit" w:eastAsia="Times New Roman" w:hAnsi="inherit" w:cs="Times New Roman"/>
                        <w:color w:val="0000FF"/>
                        <w:sz w:val="24"/>
                        <w:szCs w:val="24"/>
                        <w:u w:val="single"/>
                        <w:lang w:eastAsia="lv-LV"/>
                      </w:rPr>
                      <w:t>)</w:t>
                    </w:r>
                  </w:hyperlink>
                  <w:r w:rsidRPr="002940B5"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  <w:t>. AES</w:t>
                  </w:r>
                  <w:r w:rsidRPr="002940B5"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  <w:t xml:space="preserve"> aprēķināšanas metožu verifikācija jāveic saskaņā ar ISO 14064-3, un verificētājai organizācijai jābūt akreditētai saskaņā ar ISO 14065;</w:t>
                  </w:r>
                </w:p>
              </w:tc>
            </w:tr>
          </w:tbl>
          <w:p w14:paraId="4FB66A6B" w14:textId="77777777" w:rsidR="002940B5" w:rsidRPr="002940B5" w:rsidRDefault="002940B5" w:rsidP="002940B5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</w:tbl>
    <w:p w14:paraId="17AA6069" w14:textId="77777777" w:rsidR="002940B5" w:rsidRPr="002940B5" w:rsidRDefault="002940B5" w:rsidP="002940B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065"/>
      </w:tblGrid>
      <w:tr w:rsidR="00EB520C" w14:paraId="79F1F93C" w14:textId="77777777" w:rsidTr="00363480">
        <w:trPr>
          <w:tblCellSpacing w:w="0" w:type="dxa"/>
        </w:trPr>
        <w:tc>
          <w:tcPr>
            <w:tcW w:w="0" w:type="auto"/>
            <w:shd w:val="clear" w:color="auto" w:fill="FFFFFF"/>
          </w:tcPr>
          <w:p w14:paraId="7E416426" w14:textId="11866886" w:rsidR="002940B5" w:rsidRPr="002940B5" w:rsidRDefault="002940B5" w:rsidP="002940B5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2DABF500" w14:textId="6C8800FA" w:rsidR="002940B5" w:rsidRPr="002940B5" w:rsidRDefault="00E861E7" w:rsidP="002940B5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lv-LV"/>
              </w:rPr>
            </w:pPr>
            <w:r w:rsidRPr="005B4BD8">
              <w:rPr>
                <w:rFonts w:ascii="inherit" w:eastAsia="Times New Roman" w:hAnsi="inherit" w:cs="Times New Roman"/>
                <w:b/>
                <w:color w:val="000000"/>
                <w:sz w:val="24"/>
                <w:szCs w:val="24"/>
                <w:lang w:eastAsia="lv-LV"/>
              </w:rPr>
              <w:t>e)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2940B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lv-LV"/>
              </w:rPr>
              <w:t>“</w:t>
            </w:r>
            <w:proofErr w:type="spellStart"/>
            <w:r w:rsidRPr="002940B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lv-LV"/>
              </w:rPr>
              <w:t>SEGix</w:t>
            </w:r>
            <w:proofErr w:type="spellEnd"/>
            <w:r w:rsidRPr="002940B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lv-LV"/>
              </w:rPr>
              <w:t>” ir degviela</w:t>
            </w:r>
            <w:r w:rsidR="008E5AA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lv-LV"/>
              </w:rPr>
              <w:t>s</w:t>
            </w:r>
            <w:r w:rsidRPr="002940B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lv-LV"/>
              </w:rPr>
              <w:t xml:space="preserve"> vai enerģijas “x” siltumnīcefekta gāzu intensitāte, izteikta g CO</w:t>
            </w:r>
            <w:r w:rsidRPr="002940B5">
              <w:rPr>
                <w:rFonts w:ascii="inherit" w:eastAsia="Times New Roman" w:hAnsi="inherit" w:cs="Times New Roman"/>
                <w:color w:val="000000"/>
                <w:sz w:val="17"/>
                <w:szCs w:val="17"/>
                <w:vertAlign w:val="subscript"/>
                <w:lang w:eastAsia="lv-LV"/>
              </w:rPr>
              <w:t>2 </w:t>
            </w:r>
            <w:proofErr w:type="spellStart"/>
            <w:r w:rsidRPr="002940B5">
              <w:rPr>
                <w:rFonts w:ascii="inherit" w:eastAsia="Times New Roman" w:hAnsi="inherit" w:cs="Times New Roman"/>
                <w:color w:val="000000"/>
                <w:sz w:val="17"/>
                <w:szCs w:val="17"/>
                <w:vertAlign w:val="subscript"/>
                <w:lang w:eastAsia="lv-LV"/>
              </w:rPr>
              <w:t>ekv</w:t>
            </w:r>
            <w:proofErr w:type="spellEnd"/>
            <w:r w:rsidRPr="002940B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lv-LV"/>
              </w:rPr>
              <w:t xml:space="preserve">./MJ. </w:t>
            </w:r>
            <w:r w:rsidR="0078654C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lv-LV"/>
              </w:rPr>
              <w:t>i)</w:t>
            </w:r>
            <w:r w:rsidR="0036348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lv-LV"/>
              </w:rPr>
              <w:t xml:space="preserve"> Degvielas p</w:t>
            </w:r>
            <w:r w:rsidRPr="002940B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lv-LV"/>
              </w:rPr>
              <w:t>iegādātāji katras degvielas vai enerģijas</w:t>
            </w:r>
            <w:r w:rsidR="008E5AA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="008E5AA8" w:rsidRPr="002940B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lv-LV"/>
              </w:rPr>
              <w:t xml:space="preserve">“x” </w:t>
            </w:r>
            <w:r w:rsidRPr="002940B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lv-LV"/>
              </w:rPr>
              <w:t>siltumnīcefekta gāzu intensitāti aprēķina šādi: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"/>
              <w:gridCol w:w="8985"/>
            </w:tblGrid>
            <w:tr w:rsidR="00EB520C" w14:paraId="3E35CB9D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38E2C9C2" w14:textId="33FC3A06" w:rsidR="002940B5" w:rsidRPr="002940B5" w:rsidRDefault="00E861E7" w:rsidP="002940B5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  <w:lastRenderedPageBreak/>
                    <w:t xml:space="preserve">-  </w:t>
                  </w:r>
                </w:p>
              </w:tc>
              <w:tc>
                <w:tcPr>
                  <w:tcW w:w="0" w:type="auto"/>
                  <w:hideMark/>
                </w:tcPr>
                <w:p w14:paraId="6F62D943" w14:textId="764FE30C" w:rsidR="002940B5" w:rsidRPr="002940B5" w:rsidRDefault="00E861E7" w:rsidP="002940B5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  <w:t xml:space="preserve"> </w:t>
                  </w:r>
                  <w:r w:rsidRPr="002940B5"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  <w:t>Nebioloģiskas izcelsmes degvielu siltumnīcefekta gāzu intensitāte ir katra degvielas veida “aprites cikla svērtā siltumnīcefekta gāzu intensitāte uz vienību”</w:t>
                  </w:r>
                  <w:r w:rsidRPr="002940B5"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  <w:t>, kas norādīta šā pielikuma 2. daļas 5. punktā iekļautās tabulas pēdējā ailē.</w:t>
                  </w:r>
                </w:p>
              </w:tc>
            </w:tr>
          </w:tbl>
          <w:p w14:paraId="30D10BA5" w14:textId="77777777" w:rsidR="002940B5" w:rsidRPr="002940B5" w:rsidRDefault="002940B5" w:rsidP="002940B5">
            <w:pPr>
              <w:spacing w:after="0" w:line="240" w:lineRule="auto"/>
              <w:rPr>
                <w:rFonts w:ascii="inherit" w:eastAsia="Times New Roman" w:hAnsi="inherit" w:cs="Times New Roman"/>
                <w:vanish/>
                <w:color w:val="000000"/>
                <w:sz w:val="24"/>
                <w:szCs w:val="24"/>
                <w:lang w:eastAsia="lv-LV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6"/>
              <w:gridCol w:w="8929"/>
            </w:tblGrid>
            <w:tr w:rsidR="00EB520C" w14:paraId="764D443A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5EB888F7" w14:textId="167B92BF" w:rsidR="002940B5" w:rsidRPr="002940B5" w:rsidRDefault="00E861E7" w:rsidP="002940B5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  <w:t>-</w:t>
                  </w:r>
                </w:p>
              </w:tc>
              <w:tc>
                <w:tcPr>
                  <w:tcW w:w="0" w:type="auto"/>
                  <w:hideMark/>
                </w:tcPr>
                <w:p w14:paraId="686B4545" w14:textId="77777777" w:rsidR="002940B5" w:rsidRPr="002940B5" w:rsidRDefault="00E861E7" w:rsidP="002940B5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</w:pPr>
                  <w:r w:rsidRPr="002940B5"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  <w:t>Elektroenerģiju aprēķina saskaņā ar 2. daļas 6. punktu.</w:t>
                  </w:r>
                </w:p>
              </w:tc>
            </w:tr>
          </w:tbl>
          <w:p w14:paraId="0D3F4EF3" w14:textId="77777777" w:rsidR="002940B5" w:rsidRPr="002940B5" w:rsidRDefault="002940B5" w:rsidP="002940B5">
            <w:pPr>
              <w:spacing w:after="0" w:line="240" w:lineRule="auto"/>
              <w:rPr>
                <w:rFonts w:ascii="inherit" w:eastAsia="Times New Roman" w:hAnsi="inherit" w:cs="Times New Roman"/>
                <w:vanish/>
                <w:color w:val="000000"/>
                <w:sz w:val="24"/>
                <w:szCs w:val="24"/>
                <w:lang w:eastAsia="lv-LV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"/>
              <w:gridCol w:w="8985"/>
            </w:tblGrid>
            <w:tr w:rsidR="00EB520C" w14:paraId="1AA6C317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50C466B7" w14:textId="3ACA7B4E" w:rsidR="002940B5" w:rsidRPr="002940B5" w:rsidRDefault="00E861E7" w:rsidP="002940B5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  <w:t>-</w:t>
                  </w:r>
                  <w:r w:rsidR="00363480"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  <w:t xml:space="preserve">  </w:t>
                  </w:r>
                </w:p>
              </w:tc>
              <w:tc>
                <w:tcPr>
                  <w:tcW w:w="0" w:type="auto"/>
                  <w:hideMark/>
                </w:tcPr>
                <w:p w14:paraId="19A55B4A" w14:textId="109B911C" w:rsidR="002940B5" w:rsidRPr="002940B5" w:rsidRDefault="00E861E7" w:rsidP="002940B5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  <w:t xml:space="preserve"> </w:t>
                  </w:r>
                  <w:r w:rsidRPr="002940B5"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  <w:t>Biodegvielu siltumnīcefekta gāzu intensitāte</w:t>
                  </w:r>
                </w:p>
                <w:p w14:paraId="77ABF36E" w14:textId="2BC4DB1C" w:rsidR="002940B5" w:rsidRPr="002940B5" w:rsidRDefault="00E861E7" w:rsidP="002940B5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</w:pPr>
                  <w:r w:rsidRPr="002940B5"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  <w:t xml:space="preserve">To biodegvielu siltumnīcefekta gāzu intensitāti, kuras atbilst </w:t>
                  </w:r>
                  <w:r w:rsidR="00C11798" w:rsidRPr="00C11798"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  <w:t>normatīvajos aktos, kas nosaka biodegvielu un bioloģiski šķidro kurināmo ilgtspējības kritērijus</w:t>
                  </w:r>
                  <w:r w:rsidR="00C11798"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  <w:t>,</w:t>
                  </w:r>
                  <w:r w:rsidRPr="002940B5"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  <w:t xml:space="preserve"> minētajiem ilgtspējības kritērijiem, aprēķina saskaņā ar minētās direktīvas 7.d pantu. Ja dati par biodegvielu aprites cikla siltumnīcefekta gāzu emisijām ieg</w:t>
                  </w:r>
                  <w:r w:rsidRPr="002940B5"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  <w:t xml:space="preserve">ūti saskaņā ar nolīgumu vai shēmu, par kuru saskaņā ar </w:t>
                  </w:r>
                  <w:r w:rsidRPr="002940B5">
                    <w:rPr>
                      <w:rFonts w:ascii="inherit" w:eastAsia="Times New Roman" w:hAnsi="inherit" w:cs="Times New Roman"/>
                      <w:b/>
                      <w:sz w:val="24"/>
                      <w:szCs w:val="24"/>
                      <w:lang w:eastAsia="lv-LV"/>
                    </w:rPr>
                    <w:t>Direktīvas 98/70/EK 7.c panta</w:t>
                  </w:r>
                  <w:r w:rsidRPr="002940B5"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  <w:t xml:space="preserve"> </w:t>
                  </w:r>
                  <w:r w:rsidRPr="002940B5">
                    <w:rPr>
                      <w:rFonts w:ascii="inherit" w:eastAsia="Times New Roman" w:hAnsi="inherit" w:cs="Times New Roman"/>
                      <w:b/>
                      <w:sz w:val="24"/>
                      <w:szCs w:val="24"/>
                      <w:lang w:eastAsia="lv-LV"/>
                    </w:rPr>
                    <w:t>4. punktu</w:t>
                  </w:r>
                  <w:r w:rsidRPr="002940B5"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  <w:t xml:space="preserve"> pieņemts lēmums, kas attiecas uz minētās direktīvas 7.b panta 2. punktu, šie dati jāizmanto arī biodegvielu siltumnīcefekta gāzu intensitātes noteikšanai saskaņā</w:t>
                  </w:r>
                  <w:r w:rsidRPr="002940B5"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  <w:t xml:space="preserve"> ar minētās direktīvas </w:t>
                  </w:r>
                  <w:r w:rsidRPr="002940B5">
                    <w:rPr>
                      <w:rFonts w:ascii="inherit" w:eastAsia="Times New Roman" w:hAnsi="inherit" w:cs="Times New Roman"/>
                      <w:b/>
                      <w:sz w:val="24"/>
                      <w:szCs w:val="24"/>
                      <w:lang w:eastAsia="lv-LV"/>
                    </w:rPr>
                    <w:t>7.b panta 1. punktu</w:t>
                  </w:r>
                  <w:r w:rsidRPr="002940B5"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  <w:t xml:space="preserve">. To biodegvielu siltumnīcefekta gāzu intensitāte, kuras neatbilst </w:t>
                  </w:r>
                  <w:r w:rsidR="00C11798" w:rsidRPr="00C11798">
                    <w:rPr>
                      <w:rFonts w:ascii="inherit" w:eastAsia="Times New Roman" w:hAnsi="inherit" w:cs="Times New Roman"/>
                      <w:b/>
                      <w:sz w:val="24"/>
                      <w:szCs w:val="24"/>
                      <w:lang w:eastAsia="lv-LV"/>
                    </w:rPr>
                    <w:t>normatīvajos aktos, kas nosaka biodegvielu un bioloģiski šķidro kurināmo ilgtspējības kritērijus</w:t>
                  </w:r>
                  <w:r w:rsidR="00C11798">
                    <w:rPr>
                      <w:rFonts w:ascii="inherit" w:eastAsia="Times New Roman" w:hAnsi="inherit" w:cs="Times New Roman"/>
                      <w:b/>
                      <w:sz w:val="24"/>
                      <w:szCs w:val="24"/>
                      <w:lang w:eastAsia="lv-LV"/>
                    </w:rPr>
                    <w:t>,</w:t>
                  </w:r>
                  <w:r w:rsidR="00C11798" w:rsidRPr="00C11798">
                    <w:rPr>
                      <w:rFonts w:ascii="inherit" w:eastAsia="Times New Roman" w:hAnsi="inherit" w:cs="Times New Roman"/>
                      <w:b/>
                      <w:sz w:val="24"/>
                      <w:szCs w:val="24"/>
                      <w:lang w:eastAsia="lv-LV"/>
                    </w:rPr>
                    <w:t xml:space="preserve"> </w:t>
                  </w:r>
                  <w:r w:rsidRPr="002940B5"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  <w:t xml:space="preserve">minētajiem ilgtspējības kritērijiem, ir vienāda </w:t>
                  </w:r>
                  <w:r w:rsidRPr="002940B5"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  <w:t>ar to attiecīgo fosilo degvielu siltumnīcefekta gāzu intensitāti, kuras iegūst no tradicionālās jēlnaftas vai gāzes.</w:t>
                  </w:r>
                </w:p>
              </w:tc>
            </w:tr>
          </w:tbl>
          <w:p w14:paraId="0A971436" w14:textId="77777777" w:rsidR="002940B5" w:rsidRPr="002940B5" w:rsidRDefault="002940B5" w:rsidP="002940B5">
            <w:pPr>
              <w:spacing w:after="0" w:line="240" w:lineRule="auto"/>
              <w:rPr>
                <w:rFonts w:ascii="inherit" w:eastAsia="Times New Roman" w:hAnsi="inherit" w:cs="Times New Roman"/>
                <w:vanish/>
                <w:color w:val="000000"/>
                <w:sz w:val="24"/>
                <w:szCs w:val="24"/>
                <w:lang w:eastAsia="lv-LV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"/>
              <w:gridCol w:w="8985"/>
            </w:tblGrid>
            <w:tr w:rsidR="00EB520C" w14:paraId="1678E6B9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60EF20B3" w14:textId="5FECC366" w:rsidR="002940B5" w:rsidRPr="002940B5" w:rsidRDefault="00E861E7" w:rsidP="002940B5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  <w:t>-</w:t>
                  </w:r>
                </w:p>
              </w:tc>
              <w:tc>
                <w:tcPr>
                  <w:tcW w:w="0" w:type="auto"/>
                  <w:hideMark/>
                </w:tcPr>
                <w:p w14:paraId="50C65F00" w14:textId="5B327471" w:rsidR="002940B5" w:rsidRPr="002940B5" w:rsidRDefault="00E861E7" w:rsidP="002940B5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  <w:t xml:space="preserve"> </w:t>
                  </w:r>
                  <w:r w:rsidRPr="002940B5"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  <w:t xml:space="preserve">Nebioloģiskas izcelsmes degvielu un biodegvielu vienlaicīga </w:t>
                  </w:r>
                  <w:proofErr w:type="spellStart"/>
                  <w:r w:rsidRPr="002940B5"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  <w:t>līdzpārstrāde</w:t>
                  </w:r>
                  <w:proofErr w:type="spellEnd"/>
                </w:p>
                <w:p w14:paraId="65375305" w14:textId="77777777" w:rsidR="002940B5" w:rsidRPr="002940B5" w:rsidRDefault="00E861E7" w:rsidP="002940B5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</w:pPr>
                  <w:r w:rsidRPr="002940B5"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  <w:t xml:space="preserve">Kopā ar fosilajām degvielām </w:t>
                  </w:r>
                  <w:proofErr w:type="spellStart"/>
                  <w:r w:rsidRPr="002940B5"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  <w:t>līdzpārstrādāto</w:t>
                  </w:r>
                  <w:proofErr w:type="spellEnd"/>
                  <w:r w:rsidRPr="002940B5"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  <w:t xml:space="preserve"> biodegvielu silt</w:t>
                  </w:r>
                  <w:r w:rsidRPr="002940B5"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  <w:t xml:space="preserve">umnīcefekta gāzu intensitāte atspoguļo biodegvielas </w:t>
                  </w:r>
                  <w:proofErr w:type="spellStart"/>
                  <w:r w:rsidRPr="002940B5"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  <w:t>pēcpārstrādes</w:t>
                  </w:r>
                  <w:proofErr w:type="spellEnd"/>
                  <w:r w:rsidRPr="002940B5"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  <w:t xml:space="preserve"> stāvokli;</w:t>
                  </w:r>
                </w:p>
              </w:tc>
            </w:tr>
          </w:tbl>
          <w:p w14:paraId="3737FD02" w14:textId="77777777" w:rsidR="002940B5" w:rsidRPr="002940B5" w:rsidRDefault="002940B5" w:rsidP="002940B5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</w:tbl>
    <w:p w14:paraId="52F365E3" w14:textId="77777777" w:rsidR="002940B5" w:rsidRPr="002940B5" w:rsidRDefault="002940B5" w:rsidP="002940B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065"/>
      </w:tblGrid>
      <w:tr w:rsidR="00EB520C" w14:paraId="13069A25" w14:textId="77777777" w:rsidTr="00363480">
        <w:trPr>
          <w:tblCellSpacing w:w="0" w:type="dxa"/>
        </w:trPr>
        <w:tc>
          <w:tcPr>
            <w:tcW w:w="0" w:type="auto"/>
            <w:shd w:val="clear" w:color="auto" w:fill="FFFFFF"/>
          </w:tcPr>
          <w:p w14:paraId="5E988F4D" w14:textId="7F3F031A" w:rsidR="002940B5" w:rsidRPr="002940B5" w:rsidRDefault="002940B5" w:rsidP="002940B5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1DBE7503" w14:textId="4B0938C7" w:rsidR="002940B5" w:rsidRDefault="00E861E7" w:rsidP="002940B5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lv-LV"/>
              </w:rPr>
              <w:t xml:space="preserve">- </w:t>
            </w:r>
            <w:r w:rsidRPr="002940B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lv-LV"/>
              </w:rPr>
              <w:t>“KK” ir korekcijas koeficienti, ar kuriem rādītājus pielāgo spēka piedziņas bloka efektivitātei:</w:t>
            </w:r>
          </w:p>
          <w:p w14:paraId="0FADF099" w14:textId="77777777" w:rsidR="0009337A" w:rsidRPr="002940B5" w:rsidRDefault="0009337A" w:rsidP="002940B5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lv-LV"/>
              </w:rPr>
            </w:pPr>
          </w:p>
          <w:tbl>
            <w:tblPr>
              <w:tblW w:w="5000" w:type="pct"/>
              <w:tblCellSpacing w:w="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50"/>
              <w:gridCol w:w="2999"/>
            </w:tblGrid>
            <w:tr w:rsidR="00EB520C" w14:paraId="1D49AF61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2E9BA71E" w14:textId="77777777" w:rsidR="002940B5" w:rsidRPr="002940B5" w:rsidRDefault="00E861E7" w:rsidP="002940B5">
                  <w:pPr>
                    <w:spacing w:before="60" w:after="60" w:line="240" w:lineRule="auto"/>
                    <w:ind w:right="195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lang w:eastAsia="lv-LV"/>
                    </w:rPr>
                  </w:pPr>
                  <w:r w:rsidRPr="002940B5">
                    <w:rPr>
                      <w:rFonts w:ascii="inherit" w:eastAsia="Times New Roman" w:hAnsi="inherit" w:cs="Times New Roman"/>
                      <w:b/>
                      <w:bCs/>
                      <w:lang w:eastAsia="lv-LV"/>
                    </w:rPr>
                    <w:t>Galvenā pārveides tehnoloģija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2466F820" w14:textId="77777777" w:rsidR="002940B5" w:rsidRPr="002940B5" w:rsidRDefault="00E861E7" w:rsidP="002940B5">
                  <w:pPr>
                    <w:spacing w:before="60" w:after="60" w:line="240" w:lineRule="auto"/>
                    <w:ind w:right="195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lang w:eastAsia="lv-LV"/>
                    </w:rPr>
                  </w:pPr>
                  <w:r w:rsidRPr="002940B5">
                    <w:rPr>
                      <w:rFonts w:ascii="inherit" w:eastAsia="Times New Roman" w:hAnsi="inherit" w:cs="Times New Roman"/>
                      <w:b/>
                      <w:bCs/>
                      <w:lang w:eastAsia="lv-LV"/>
                    </w:rPr>
                    <w:t>Efektivitātes koeficients</w:t>
                  </w:r>
                </w:p>
              </w:tc>
            </w:tr>
            <w:tr w:rsidR="00EB520C" w14:paraId="55AD00CE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2ED9E838" w14:textId="77777777" w:rsidR="002940B5" w:rsidRPr="002940B5" w:rsidRDefault="00E861E7" w:rsidP="002940B5">
                  <w:pPr>
                    <w:spacing w:before="60" w:after="60" w:line="240" w:lineRule="auto"/>
                    <w:rPr>
                      <w:rFonts w:ascii="inherit" w:eastAsia="Times New Roman" w:hAnsi="inherit" w:cs="Times New Roman"/>
                      <w:lang w:eastAsia="lv-LV"/>
                    </w:rPr>
                  </w:pPr>
                  <w:r w:rsidRPr="002940B5">
                    <w:rPr>
                      <w:rFonts w:ascii="inherit" w:eastAsia="Times New Roman" w:hAnsi="inherit" w:cs="Times New Roman"/>
                      <w:lang w:eastAsia="lv-LV"/>
                    </w:rPr>
                    <w:t>Iekšdedzes dzinējs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78AE66DC" w14:textId="77777777" w:rsidR="002940B5" w:rsidRPr="002940B5" w:rsidRDefault="00E861E7" w:rsidP="002940B5">
                  <w:pPr>
                    <w:spacing w:before="60" w:after="60" w:line="240" w:lineRule="auto"/>
                    <w:rPr>
                      <w:rFonts w:ascii="inherit" w:eastAsia="Times New Roman" w:hAnsi="inherit" w:cs="Times New Roman"/>
                      <w:lang w:eastAsia="lv-LV"/>
                    </w:rPr>
                  </w:pPr>
                  <w:r w:rsidRPr="002940B5">
                    <w:rPr>
                      <w:rFonts w:ascii="inherit" w:eastAsia="Times New Roman" w:hAnsi="inherit" w:cs="Times New Roman"/>
                      <w:lang w:eastAsia="lv-LV"/>
                    </w:rPr>
                    <w:t>1</w:t>
                  </w:r>
                </w:p>
              </w:tc>
            </w:tr>
            <w:tr w:rsidR="00EB520C" w14:paraId="518D1BD4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6904B47A" w14:textId="77777777" w:rsidR="002940B5" w:rsidRPr="002940B5" w:rsidRDefault="00E861E7" w:rsidP="002940B5">
                  <w:pPr>
                    <w:spacing w:before="60" w:after="60" w:line="240" w:lineRule="auto"/>
                    <w:rPr>
                      <w:rFonts w:ascii="inherit" w:eastAsia="Times New Roman" w:hAnsi="inherit" w:cs="Times New Roman"/>
                      <w:lang w:eastAsia="lv-LV"/>
                    </w:rPr>
                  </w:pPr>
                  <w:r w:rsidRPr="002940B5">
                    <w:rPr>
                      <w:rFonts w:ascii="inherit" w:eastAsia="Times New Roman" w:hAnsi="inherit" w:cs="Times New Roman"/>
                      <w:lang w:eastAsia="lv-LV"/>
                    </w:rPr>
                    <w:t>Elektriskais spēka piedziņas bloks ar akumulatoru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748C9DC2" w14:textId="77777777" w:rsidR="002940B5" w:rsidRPr="002940B5" w:rsidRDefault="00E861E7" w:rsidP="002940B5">
                  <w:pPr>
                    <w:spacing w:before="60" w:after="60" w:line="240" w:lineRule="auto"/>
                    <w:rPr>
                      <w:rFonts w:ascii="inherit" w:eastAsia="Times New Roman" w:hAnsi="inherit" w:cs="Times New Roman"/>
                      <w:lang w:eastAsia="lv-LV"/>
                    </w:rPr>
                  </w:pPr>
                  <w:r w:rsidRPr="002940B5">
                    <w:rPr>
                      <w:rFonts w:ascii="inherit" w:eastAsia="Times New Roman" w:hAnsi="inherit" w:cs="Times New Roman"/>
                      <w:lang w:eastAsia="lv-LV"/>
                    </w:rPr>
                    <w:t>0,4</w:t>
                  </w:r>
                </w:p>
              </w:tc>
            </w:tr>
            <w:tr w:rsidR="00EB520C" w14:paraId="18D7C04C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2D7173B3" w14:textId="77777777" w:rsidR="002940B5" w:rsidRPr="002940B5" w:rsidRDefault="00E861E7" w:rsidP="002940B5">
                  <w:pPr>
                    <w:spacing w:before="60" w:after="60" w:line="240" w:lineRule="auto"/>
                    <w:rPr>
                      <w:rFonts w:ascii="inherit" w:eastAsia="Times New Roman" w:hAnsi="inherit" w:cs="Times New Roman"/>
                      <w:lang w:eastAsia="lv-LV"/>
                    </w:rPr>
                  </w:pPr>
                  <w:r w:rsidRPr="002940B5">
                    <w:rPr>
                      <w:rFonts w:ascii="inherit" w:eastAsia="Times New Roman" w:hAnsi="inherit" w:cs="Times New Roman"/>
                      <w:lang w:eastAsia="lv-LV"/>
                    </w:rPr>
                    <w:t>Elektriskais spēka piedziņas bloks ar ūdeņraža elementu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74707224" w14:textId="77777777" w:rsidR="002940B5" w:rsidRPr="002940B5" w:rsidRDefault="00E861E7" w:rsidP="002940B5">
                  <w:pPr>
                    <w:spacing w:before="60" w:after="60" w:line="240" w:lineRule="auto"/>
                    <w:rPr>
                      <w:rFonts w:ascii="inherit" w:eastAsia="Times New Roman" w:hAnsi="inherit" w:cs="Times New Roman"/>
                      <w:lang w:eastAsia="lv-LV"/>
                    </w:rPr>
                  </w:pPr>
                  <w:r w:rsidRPr="002940B5">
                    <w:rPr>
                      <w:rFonts w:ascii="inherit" w:eastAsia="Times New Roman" w:hAnsi="inherit" w:cs="Times New Roman"/>
                      <w:lang w:eastAsia="lv-LV"/>
                    </w:rPr>
                    <w:t>0,4</w:t>
                  </w:r>
                </w:p>
              </w:tc>
            </w:tr>
          </w:tbl>
          <w:p w14:paraId="27F8E8C5" w14:textId="77777777" w:rsidR="002940B5" w:rsidRPr="002940B5" w:rsidRDefault="002940B5" w:rsidP="002940B5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</w:tbl>
    <w:p w14:paraId="5EF1699F" w14:textId="12B112AF" w:rsidR="00F54D00" w:rsidRDefault="00F54D00" w:rsidP="00E00FD4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</w:p>
    <w:p w14:paraId="2E2678DA" w14:textId="54CE3BB8" w:rsidR="002940B5" w:rsidRDefault="002940B5" w:rsidP="00E00FD4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</w:p>
    <w:p w14:paraId="4DA7025E" w14:textId="7EDDC6A9" w:rsidR="005B7E0A" w:rsidRPr="009060AA" w:rsidRDefault="00E861E7" w:rsidP="002478AB">
      <w:pPr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>II. </w:t>
      </w:r>
      <w:r w:rsidR="00247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>Degvielas piegādātāju ziņojumi par degvielām, kas nav biodegvielas</w:t>
      </w:r>
    </w:p>
    <w:p w14:paraId="0A415519" w14:textId="621511BA" w:rsidR="00D138B2" w:rsidRDefault="00E861E7" w:rsidP="000933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337A">
        <w:rPr>
          <w:rFonts w:ascii="Times New Roman" w:hAnsi="Times New Roman" w:cs="Times New Roman"/>
          <w:sz w:val="24"/>
          <w:szCs w:val="24"/>
        </w:rPr>
        <w:t xml:space="preserve">1. Vidējā aprites cikla siltumnīcefekta gāzu intensitātes </w:t>
      </w:r>
      <w:r w:rsidRPr="0009337A">
        <w:rPr>
          <w:rFonts w:ascii="Times New Roman" w:hAnsi="Times New Roman" w:cs="Times New Roman"/>
          <w:sz w:val="24"/>
          <w:szCs w:val="24"/>
        </w:rPr>
        <w:t>standartvērtības degvielām, kas nav biodegvielas, un elektroenerģijai</w:t>
      </w:r>
    </w:p>
    <w:p w14:paraId="5D55E8A8" w14:textId="77777777" w:rsidR="0009337A" w:rsidRDefault="0009337A" w:rsidP="000933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8"/>
        <w:gridCol w:w="2207"/>
        <w:gridCol w:w="1813"/>
        <w:gridCol w:w="2117"/>
      </w:tblGrid>
      <w:tr w:rsidR="00EB520C" w14:paraId="28742105" w14:textId="77777777" w:rsidTr="0009337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002974" w14:textId="77777777" w:rsidR="0009337A" w:rsidRPr="0009337A" w:rsidRDefault="00E861E7" w:rsidP="0009337A">
            <w:pPr>
              <w:spacing w:before="60" w:after="60" w:line="240" w:lineRule="auto"/>
              <w:ind w:right="195"/>
              <w:jc w:val="center"/>
              <w:rPr>
                <w:rFonts w:ascii="inherit" w:eastAsia="Times New Roman" w:hAnsi="inherit" w:cs="Times New Roman"/>
                <w:b/>
                <w:bCs/>
                <w:color w:val="000000"/>
                <w:lang w:eastAsia="lv-LV"/>
              </w:rPr>
            </w:pPr>
            <w:proofErr w:type="spellStart"/>
            <w:r w:rsidRPr="0009337A">
              <w:rPr>
                <w:rFonts w:ascii="inherit" w:eastAsia="Times New Roman" w:hAnsi="inherit" w:cs="Times New Roman"/>
                <w:b/>
                <w:bCs/>
                <w:color w:val="000000"/>
                <w:lang w:eastAsia="lv-LV"/>
              </w:rPr>
              <w:t>Jēlmateriāla</w:t>
            </w:r>
            <w:proofErr w:type="spellEnd"/>
            <w:r w:rsidRPr="0009337A">
              <w:rPr>
                <w:rFonts w:ascii="inherit" w:eastAsia="Times New Roman" w:hAnsi="inherit" w:cs="Times New Roman"/>
                <w:b/>
                <w:bCs/>
                <w:color w:val="000000"/>
                <w:lang w:eastAsia="lv-LV"/>
              </w:rPr>
              <w:t xml:space="preserve"> avots un process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430C73" w14:textId="77777777" w:rsidR="0009337A" w:rsidRPr="0009337A" w:rsidRDefault="00E861E7" w:rsidP="0009337A">
            <w:pPr>
              <w:spacing w:before="60" w:after="60" w:line="240" w:lineRule="auto"/>
              <w:ind w:right="195"/>
              <w:jc w:val="center"/>
              <w:rPr>
                <w:rFonts w:ascii="inherit" w:eastAsia="Times New Roman" w:hAnsi="inherit" w:cs="Times New Roman"/>
                <w:b/>
                <w:bCs/>
                <w:color w:val="000000"/>
                <w:lang w:eastAsia="lv-LV"/>
              </w:rPr>
            </w:pPr>
            <w:r w:rsidRPr="0009337A">
              <w:rPr>
                <w:rFonts w:ascii="inherit" w:eastAsia="Times New Roman" w:hAnsi="inherit" w:cs="Times New Roman"/>
                <w:b/>
                <w:bCs/>
                <w:color w:val="000000"/>
                <w:lang w:eastAsia="lv-LV"/>
              </w:rPr>
              <w:t>Tirgū laistās degvielas veids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41724A" w14:textId="77777777" w:rsidR="0009337A" w:rsidRPr="0009337A" w:rsidRDefault="00E861E7" w:rsidP="0009337A">
            <w:pPr>
              <w:spacing w:before="60" w:after="60" w:line="240" w:lineRule="auto"/>
              <w:ind w:right="195"/>
              <w:jc w:val="center"/>
              <w:rPr>
                <w:rFonts w:ascii="inherit" w:eastAsia="Times New Roman" w:hAnsi="inherit" w:cs="Times New Roman"/>
                <w:b/>
                <w:bCs/>
                <w:color w:val="000000"/>
                <w:lang w:eastAsia="lv-LV"/>
              </w:rPr>
            </w:pPr>
            <w:r w:rsidRPr="0009337A">
              <w:rPr>
                <w:rFonts w:ascii="inherit" w:eastAsia="Times New Roman" w:hAnsi="inherit" w:cs="Times New Roman"/>
                <w:b/>
                <w:bCs/>
                <w:color w:val="000000"/>
                <w:lang w:eastAsia="lv-LV"/>
              </w:rPr>
              <w:t>Aprites cikla SEG intensitāte (g CO</w:t>
            </w:r>
            <w:r w:rsidRPr="0009337A">
              <w:rPr>
                <w:rFonts w:ascii="inherit" w:eastAsia="Times New Roman" w:hAnsi="inherit" w:cs="Times New Roman"/>
                <w:b/>
                <w:bCs/>
                <w:color w:val="000000"/>
                <w:sz w:val="15"/>
                <w:szCs w:val="15"/>
                <w:vertAlign w:val="subscript"/>
                <w:lang w:eastAsia="lv-LV"/>
              </w:rPr>
              <w:t>2</w:t>
            </w:r>
            <w:r w:rsidRPr="0009337A">
              <w:rPr>
                <w:rFonts w:ascii="inherit" w:eastAsia="Times New Roman" w:hAnsi="inherit" w:cs="Times New Roman"/>
                <w:b/>
                <w:bCs/>
                <w:color w:val="000000"/>
                <w:lang w:eastAsia="lv-LV"/>
              </w:rPr>
              <w:t> </w:t>
            </w:r>
            <w:proofErr w:type="spellStart"/>
            <w:r w:rsidRPr="0009337A">
              <w:rPr>
                <w:rFonts w:ascii="inherit" w:eastAsia="Times New Roman" w:hAnsi="inherit" w:cs="Times New Roman"/>
                <w:b/>
                <w:bCs/>
                <w:color w:val="000000"/>
                <w:sz w:val="15"/>
                <w:szCs w:val="15"/>
                <w:vertAlign w:val="subscript"/>
                <w:lang w:eastAsia="lv-LV"/>
              </w:rPr>
              <w:t>ekv</w:t>
            </w:r>
            <w:proofErr w:type="spellEnd"/>
            <w:r w:rsidRPr="0009337A">
              <w:rPr>
                <w:rFonts w:ascii="inherit" w:eastAsia="Times New Roman" w:hAnsi="inherit" w:cs="Times New Roman"/>
                <w:b/>
                <w:bCs/>
                <w:color w:val="000000"/>
                <w:sz w:val="15"/>
                <w:szCs w:val="15"/>
                <w:vertAlign w:val="subscript"/>
                <w:lang w:eastAsia="lv-LV"/>
              </w:rPr>
              <w:t>.</w:t>
            </w:r>
            <w:r w:rsidRPr="0009337A">
              <w:rPr>
                <w:rFonts w:ascii="inherit" w:eastAsia="Times New Roman" w:hAnsi="inherit" w:cs="Times New Roman"/>
                <w:b/>
                <w:bCs/>
                <w:color w:val="000000"/>
                <w:lang w:eastAsia="lv-LV"/>
              </w:rPr>
              <w:t>/MJ)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CA6AE9" w14:textId="77777777" w:rsidR="0009337A" w:rsidRPr="0009337A" w:rsidRDefault="00E861E7" w:rsidP="0009337A">
            <w:pPr>
              <w:spacing w:before="60" w:after="60" w:line="240" w:lineRule="auto"/>
              <w:ind w:right="195"/>
              <w:jc w:val="center"/>
              <w:rPr>
                <w:rFonts w:ascii="inherit" w:eastAsia="Times New Roman" w:hAnsi="inherit" w:cs="Times New Roman"/>
                <w:b/>
                <w:bCs/>
                <w:color w:val="000000"/>
                <w:lang w:eastAsia="lv-LV"/>
              </w:rPr>
            </w:pPr>
            <w:r w:rsidRPr="0009337A">
              <w:rPr>
                <w:rFonts w:ascii="inherit" w:eastAsia="Times New Roman" w:hAnsi="inherit" w:cs="Times New Roman"/>
                <w:b/>
                <w:bCs/>
                <w:color w:val="000000"/>
                <w:lang w:eastAsia="lv-LV"/>
              </w:rPr>
              <w:t>Svērtā aprites cikla SEG intensitāte (g CO</w:t>
            </w:r>
            <w:r w:rsidRPr="0009337A">
              <w:rPr>
                <w:rFonts w:ascii="inherit" w:eastAsia="Times New Roman" w:hAnsi="inherit" w:cs="Times New Roman"/>
                <w:b/>
                <w:bCs/>
                <w:color w:val="000000"/>
                <w:sz w:val="15"/>
                <w:szCs w:val="15"/>
                <w:vertAlign w:val="subscript"/>
                <w:lang w:eastAsia="lv-LV"/>
              </w:rPr>
              <w:t>2</w:t>
            </w:r>
            <w:r w:rsidRPr="0009337A">
              <w:rPr>
                <w:rFonts w:ascii="inherit" w:eastAsia="Times New Roman" w:hAnsi="inherit" w:cs="Times New Roman"/>
                <w:b/>
                <w:bCs/>
                <w:color w:val="000000"/>
                <w:lang w:eastAsia="lv-LV"/>
              </w:rPr>
              <w:t> </w:t>
            </w:r>
            <w:proofErr w:type="spellStart"/>
            <w:r w:rsidRPr="0009337A">
              <w:rPr>
                <w:rFonts w:ascii="inherit" w:eastAsia="Times New Roman" w:hAnsi="inherit" w:cs="Times New Roman"/>
                <w:b/>
                <w:bCs/>
                <w:color w:val="000000"/>
                <w:sz w:val="15"/>
                <w:szCs w:val="15"/>
                <w:vertAlign w:val="subscript"/>
                <w:lang w:eastAsia="lv-LV"/>
              </w:rPr>
              <w:t>ekv</w:t>
            </w:r>
            <w:proofErr w:type="spellEnd"/>
            <w:r w:rsidRPr="0009337A">
              <w:rPr>
                <w:rFonts w:ascii="inherit" w:eastAsia="Times New Roman" w:hAnsi="inherit" w:cs="Times New Roman"/>
                <w:b/>
                <w:bCs/>
                <w:color w:val="000000"/>
                <w:sz w:val="15"/>
                <w:szCs w:val="15"/>
                <w:vertAlign w:val="subscript"/>
                <w:lang w:eastAsia="lv-LV"/>
              </w:rPr>
              <w:t>.</w:t>
            </w:r>
            <w:r w:rsidRPr="0009337A">
              <w:rPr>
                <w:rFonts w:ascii="inherit" w:eastAsia="Times New Roman" w:hAnsi="inherit" w:cs="Times New Roman"/>
                <w:b/>
                <w:bCs/>
                <w:color w:val="000000"/>
                <w:lang w:eastAsia="lv-LV"/>
              </w:rPr>
              <w:t>/MJ)</w:t>
            </w:r>
          </w:p>
        </w:tc>
      </w:tr>
      <w:tr w:rsidR="00EB520C" w14:paraId="315198A8" w14:textId="77777777" w:rsidTr="0009337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239563" w14:textId="77777777" w:rsidR="0009337A" w:rsidRPr="0009337A" w:rsidRDefault="00E861E7" w:rsidP="0009337A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lang w:eastAsia="lv-LV"/>
              </w:rPr>
            </w:pPr>
            <w:r w:rsidRPr="0009337A">
              <w:rPr>
                <w:rFonts w:ascii="inherit" w:eastAsia="Times New Roman" w:hAnsi="inherit" w:cs="Times New Roman"/>
                <w:color w:val="000000"/>
                <w:lang w:eastAsia="lv-LV"/>
              </w:rPr>
              <w:t>Tradicionālā jēlnafta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269EE8" w14:textId="77777777" w:rsidR="0009337A" w:rsidRPr="0009337A" w:rsidRDefault="00E861E7" w:rsidP="0009337A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lang w:eastAsia="lv-LV"/>
              </w:rPr>
            </w:pPr>
            <w:r w:rsidRPr="0009337A">
              <w:rPr>
                <w:rFonts w:ascii="inherit" w:eastAsia="Times New Roman" w:hAnsi="inherit" w:cs="Times New Roman"/>
                <w:color w:val="000000"/>
                <w:lang w:eastAsia="lv-LV"/>
              </w:rPr>
              <w:t>Benzīns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AAD6A3" w14:textId="77777777" w:rsidR="0009337A" w:rsidRPr="0009337A" w:rsidRDefault="00E861E7" w:rsidP="0009337A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lang w:eastAsia="lv-LV"/>
              </w:rPr>
            </w:pPr>
            <w:r w:rsidRPr="0009337A">
              <w:rPr>
                <w:rFonts w:ascii="inherit" w:eastAsia="Times New Roman" w:hAnsi="inherit" w:cs="Times New Roman"/>
                <w:color w:val="000000"/>
                <w:lang w:eastAsia="lv-LV"/>
              </w:rPr>
              <w:t>93,2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F91970" w14:textId="77777777" w:rsidR="0009337A" w:rsidRPr="0009337A" w:rsidRDefault="00E861E7" w:rsidP="0009337A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lang w:eastAsia="lv-LV"/>
              </w:rPr>
            </w:pPr>
            <w:r w:rsidRPr="0009337A">
              <w:rPr>
                <w:rFonts w:ascii="inherit" w:eastAsia="Times New Roman" w:hAnsi="inherit" w:cs="Times New Roman"/>
                <w:color w:val="000000"/>
                <w:lang w:eastAsia="lv-LV"/>
              </w:rPr>
              <w:t>93,3</w:t>
            </w:r>
          </w:p>
        </w:tc>
      </w:tr>
      <w:tr w:rsidR="00EB520C" w14:paraId="08F8539C" w14:textId="77777777" w:rsidTr="0009337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5A3D00" w14:textId="77777777" w:rsidR="0009337A" w:rsidRPr="0009337A" w:rsidRDefault="00E861E7" w:rsidP="0009337A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lang w:eastAsia="lv-LV"/>
              </w:rPr>
            </w:pPr>
            <w:r w:rsidRPr="0009337A">
              <w:rPr>
                <w:rFonts w:ascii="inherit" w:eastAsia="Times New Roman" w:hAnsi="inherit" w:cs="Times New Roman"/>
                <w:color w:val="000000"/>
                <w:lang w:eastAsia="lv-LV"/>
              </w:rPr>
              <w:t>No dabasgāzes sintezēta šķidrā degviela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E2E5EA" w14:textId="77777777" w:rsidR="0009337A" w:rsidRPr="0009337A" w:rsidRDefault="0009337A" w:rsidP="0009337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9B35B2" w14:textId="77777777" w:rsidR="0009337A" w:rsidRPr="0009337A" w:rsidRDefault="00E861E7" w:rsidP="0009337A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lang w:eastAsia="lv-LV"/>
              </w:rPr>
            </w:pPr>
            <w:r w:rsidRPr="0009337A">
              <w:rPr>
                <w:rFonts w:ascii="inherit" w:eastAsia="Times New Roman" w:hAnsi="inherit" w:cs="Times New Roman"/>
                <w:color w:val="000000"/>
                <w:lang w:eastAsia="lv-LV"/>
              </w:rPr>
              <w:t>94,3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67D8E2" w14:textId="77777777" w:rsidR="0009337A" w:rsidRPr="0009337A" w:rsidRDefault="0009337A" w:rsidP="0009337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lang w:eastAsia="lv-LV"/>
              </w:rPr>
            </w:pPr>
          </w:p>
        </w:tc>
      </w:tr>
      <w:tr w:rsidR="00EB520C" w14:paraId="59E891F4" w14:textId="77777777" w:rsidTr="0009337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AC44BD" w14:textId="77777777" w:rsidR="0009337A" w:rsidRPr="0009337A" w:rsidRDefault="00E861E7" w:rsidP="0009337A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lang w:eastAsia="lv-LV"/>
              </w:rPr>
            </w:pPr>
            <w:r w:rsidRPr="0009337A">
              <w:rPr>
                <w:rFonts w:ascii="inherit" w:eastAsia="Times New Roman" w:hAnsi="inherit" w:cs="Times New Roman"/>
                <w:color w:val="000000"/>
                <w:lang w:eastAsia="lv-LV"/>
              </w:rPr>
              <w:t>No oglēm iegūta šķidrā degviela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D5E1ED" w14:textId="77777777" w:rsidR="0009337A" w:rsidRPr="0009337A" w:rsidRDefault="0009337A" w:rsidP="0009337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48FDB7" w14:textId="77777777" w:rsidR="0009337A" w:rsidRPr="0009337A" w:rsidRDefault="00E861E7" w:rsidP="0009337A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lang w:eastAsia="lv-LV"/>
              </w:rPr>
            </w:pPr>
            <w:r w:rsidRPr="0009337A">
              <w:rPr>
                <w:rFonts w:ascii="inherit" w:eastAsia="Times New Roman" w:hAnsi="inherit" w:cs="Times New Roman"/>
                <w:color w:val="000000"/>
                <w:lang w:eastAsia="lv-LV"/>
              </w:rPr>
              <w:t>172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3A2D4C" w14:textId="77777777" w:rsidR="0009337A" w:rsidRPr="0009337A" w:rsidRDefault="0009337A" w:rsidP="0009337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lang w:eastAsia="lv-LV"/>
              </w:rPr>
            </w:pPr>
          </w:p>
        </w:tc>
      </w:tr>
      <w:tr w:rsidR="00EB520C" w14:paraId="655E0328" w14:textId="77777777" w:rsidTr="0009337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341335" w14:textId="77777777" w:rsidR="0009337A" w:rsidRPr="0009337A" w:rsidRDefault="00E861E7" w:rsidP="0009337A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lang w:eastAsia="lv-LV"/>
              </w:rPr>
            </w:pPr>
            <w:r w:rsidRPr="0009337A">
              <w:rPr>
                <w:rFonts w:ascii="inherit" w:eastAsia="Times New Roman" w:hAnsi="inherit" w:cs="Times New Roman"/>
                <w:color w:val="000000"/>
                <w:lang w:eastAsia="lv-LV"/>
              </w:rPr>
              <w:t>Dabīgais bitumens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D1C2BA" w14:textId="77777777" w:rsidR="0009337A" w:rsidRPr="0009337A" w:rsidRDefault="0009337A" w:rsidP="0009337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2837AE" w14:textId="77777777" w:rsidR="0009337A" w:rsidRPr="0009337A" w:rsidRDefault="00E861E7" w:rsidP="0009337A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lang w:eastAsia="lv-LV"/>
              </w:rPr>
            </w:pPr>
            <w:r w:rsidRPr="0009337A">
              <w:rPr>
                <w:rFonts w:ascii="inherit" w:eastAsia="Times New Roman" w:hAnsi="inherit" w:cs="Times New Roman"/>
                <w:color w:val="000000"/>
                <w:lang w:eastAsia="lv-LV"/>
              </w:rPr>
              <w:t>107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ECED71" w14:textId="77777777" w:rsidR="0009337A" w:rsidRPr="0009337A" w:rsidRDefault="0009337A" w:rsidP="0009337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lang w:eastAsia="lv-LV"/>
              </w:rPr>
            </w:pPr>
          </w:p>
        </w:tc>
      </w:tr>
      <w:tr w:rsidR="00EB520C" w14:paraId="257D8F8B" w14:textId="77777777" w:rsidTr="0009337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AC0014" w14:textId="77777777" w:rsidR="0009337A" w:rsidRPr="0009337A" w:rsidRDefault="00E861E7" w:rsidP="0009337A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lang w:eastAsia="lv-LV"/>
              </w:rPr>
            </w:pPr>
            <w:r w:rsidRPr="0009337A">
              <w:rPr>
                <w:rFonts w:ascii="inherit" w:eastAsia="Times New Roman" w:hAnsi="inherit" w:cs="Times New Roman"/>
                <w:color w:val="000000"/>
                <w:lang w:eastAsia="lv-LV"/>
              </w:rPr>
              <w:t>Degslāneklis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8BE457" w14:textId="77777777" w:rsidR="0009337A" w:rsidRPr="0009337A" w:rsidRDefault="0009337A" w:rsidP="0009337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C3DF15" w14:textId="77777777" w:rsidR="0009337A" w:rsidRPr="0009337A" w:rsidRDefault="00E861E7" w:rsidP="0009337A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lang w:eastAsia="lv-LV"/>
              </w:rPr>
            </w:pPr>
            <w:r w:rsidRPr="0009337A">
              <w:rPr>
                <w:rFonts w:ascii="inherit" w:eastAsia="Times New Roman" w:hAnsi="inherit" w:cs="Times New Roman"/>
                <w:color w:val="000000"/>
                <w:lang w:eastAsia="lv-LV"/>
              </w:rPr>
              <w:t>131,3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51FDAC" w14:textId="77777777" w:rsidR="0009337A" w:rsidRPr="0009337A" w:rsidRDefault="0009337A" w:rsidP="0009337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lang w:eastAsia="lv-LV"/>
              </w:rPr>
            </w:pPr>
          </w:p>
        </w:tc>
      </w:tr>
      <w:tr w:rsidR="00EB520C" w14:paraId="25FEBC15" w14:textId="77777777" w:rsidTr="0009337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F89C17" w14:textId="77777777" w:rsidR="0009337A" w:rsidRPr="0009337A" w:rsidRDefault="00E861E7" w:rsidP="0009337A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lang w:eastAsia="lv-LV"/>
              </w:rPr>
            </w:pPr>
            <w:r w:rsidRPr="0009337A">
              <w:rPr>
                <w:rFonts w:ascii="inherit" w:eastAsia="Times New Roman" w:hAnsi="inherit" w:cs="Times New Roman"/>
                <w:color w:val="000000"/>
                <w:lang w:eastAsia="lv-LV"/>
              </w:rPr>
              <w:t>Tradicionālā jēlnafta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88FAF7" w14:textId="77777777" w:rsidR="0009337A" w:rsidRPr="0009337A" w:rsidRDefault="00E861E7" w:rsidP="0009337A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lang w:eastAsia="lv-LV"/>
              </w:rPr>
            </w:pPr>
            <w:r w:rsidRPr="0009337A">
              <w:rPr>
                <w:rFonts w:ascii="inherit" w:eastAsia="Times New Roman" w:hAnsi="inherit" w:cs="Times New Roman"/>
                <w:color w:val="000000"/>
                <w:lang w:eastAsia="lv-LV"/>
              </w:rPr>
              <w:t>Dīzeļdegviela vai gāzeļļa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10C30D" w14:textId="77777777" w:rsidR="0009337A" w:rsidRPr="0009337A" w:rsidRDefault="00E861E7" w:rsidP="0009337A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lang w:eastAsia="lv-LV"/>
              </w:rPr>
            </w:pPr>
            <w:r w:rsidRPr="0009337A">
              <w:rPr>
                <w:rFonts w:ascii="inherit" w:eastAsia="Times New Roman" w:hAnsi="inherit" w:cs="Times New Roman"/>
                <w:color w:val="000000"/>
                <w:lang w:eastAsia="lv-LV"/>
              </w:rPr>
              <w:t>95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17A417" w14:textId="77777777" w:rsidR="0009337A" w:rsidRPr="0009337A" w:rsidRDefault="00E861E7" w:rsidP="0009337A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lang w:eastAsia="lv-LV"/>
              </w:rPr>
            </w:pPr>
            <w:r w:rsidRPr="0009337A">
              <w:rPr>
                <w:rFonts w:ascii="inherit" w:eastAsia="Times New Roman" w:hAnsi="inherit" w:cs="Times New Roman"/>
                <w:color w:val="000000"/>
                <w:lang w:eastAsia="lv-LV"/>
              </w:rPr>
              <w:t>95,1</w:t>
            </w:r>
          </w:p>
        </w:tc>
      </w:tr>
      <w:tr w:rsidR="00EB520C" w14:paraId="52A9474B" w14:textId="77777777" w:rsidTr="0009337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822E2C" w14:textId="77777777" w:rsidR="0009337A" w:rsidRPr="0009337A" w:rsidRDefault="00E861E7" w:rsidP="0009337A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lang w:eastAsia="lv-LV"/>
              </w:rPr>
            </w:pPr>
            <w:r w:rsidRPr="0009337A">
              <w:rPr>
                <w:rFonts w:ascii="inherit" w:eastAsia="Times New Roman" w:hAnsi="inherit" w:cs="Times New Roman"/>
                <w:color w:val="000000"/>
                <w:lang w:eastAsia="lv-LV"/>
              </w:rPr>
              <w:lastRenderedPageBreak/>
              <w:t>No dabasgāzes sintezēta šķidrā degviela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322C77" w14:textId="77777777" w:rsidR="0009337A" w:rsidRPr="0009337A" w:rsidRDefault="0009337A" w:rsidP="0009337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E0D34F" w14:textId="77777777" w:rsidR="0009337A" w:rsidRPr="0009337A" w:rsidRDefault="00E861E7" w:rsidP="0009337A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lang w:eastAsia="lv-LV"/>
              </w:rPr>
            </w:pPr>
            <w:r w:rsidRPr="0009337A">
              <w:rPr>
                <w:rFonts w:ascii="inherit" w:eastAsia="Times New Roman" w:hAnsi="inherit" w:cs="Times New Roman"/>
                <w:color w:val="000000"/>
                <w:lang w:eastAsia="lv-LV"/>
              </w:rPr>
              <w:t>94,3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173DC3" w14:textId="77777777" w:rsidR="0009337A" w:rsidRPr="0009337A" w:rsidRDefault="0009337A" w:rsidP="0009337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lang w:eastAsia="lv-LV"/>
              </w:rPr>
            </w:pPr>
          </w:p>
        </w:tc>
      </w:tr>
      <w:tr w:rsidR="00EB520C" w14:paraId="4D4C2E54" w14:textId="77777777" w:rsidTr="0009337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20DFFD" w14:textId="77777777" w:rsidR="0009337A" w:rsidRPr="0009337A" w:rsidRDefault="00E861E7" w:rsidP="0009337A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lang w:eastAsia="lv-LV"/>
              </w:rPr>
            </w:pPr>
            <w:r w:rsidRPr="0009337A">
              <w:rPr>
                <w:rFonts w:ascii="inherit" w:eastAsia="Times New Roman" w:hAnsi="inherit" w:cs="Times New Roman"/>
                <w:color w:val="000000"/>
                <w:lang w:eastAsia="lv-LV"/>
              </w:rPr>
              <w:t>No oglēm iegūta šķidrā degviela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3DBB49" w14:textId="77777777" w:rsidR="0009337A" w:rsidRPr="0009337A" w:rsidRDefault="0009337A" w:rsidP="0009337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46B935" w14:textId="77777777" w:rsidR="0009337A" w:rsidRPr="0009337A" w:rsidRDefault="00E861E7" w:rsidP="0009337A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lang w:eastAsia="lv-LV"/>
              </w:rPr>
            </w:pPr>
            <w:r w:rsidRPr="0009337A">
              <w:rPr>
                <w:rFonts w:ascii="inherit" w:eastAsia="Times New Roman" w:hAnsi="inherit" w:cs="Times New Roman"/>
                <w:color w:val="000000"/>
                <w:lang w:eastAsia="lv-LV"/>
              </w:rPr>
              <w:t>172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3C105A" w14:textId="77777777" w:rsidR="0009337A" w:rsidRPr="0009337A" w:rsidRDefault="0009337A" w:rsidP="0009337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lang w:eastAsia="lv-LV"/>
              </w:rPr>
            </w:pPr>
          </w:p>
        </w:tc>
      </w:tr>
      <w:tr w:rsidR="00EB520C" w14:paraId="2B1AB5DF" w14:textId="77777777" w:rsidTr="0009337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9A19FD" w14:textId="77777777" w:rsidR="0009337A" w:rsidRPr="0009337A" w:rsidRDefault="00E861E7" w:rsidP="0009337A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lang w:eastAsia="lv-LV"/>
              </w:rPr>
            </w:pPr>
            <w:r w:rsidRPr="0009337A">
              <w:rPr>
                <w:rFonts w:ascii="inherit" w:eastAsia="Times New Roman" w:hAnsi="inherit" w:cs="Times New Roman"/>
                <w:color w:val="000000"/>
                <w:lang w:eastAsia="lv-LV"/>
              </w:rPr>
              <w:t>Dabīgais bitumens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E3F811" w14:textId="77777777" w:rsidR="0009337A" w:rsidRPr="0009337A" w:rsidRDefault="0009337A" w:rsidP="0009337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B09970" w14:textId="77777777" w:rsidR="0009337A" w:rsidRPr="0009337A" w:rsidRDefault="00E861E7" w:rsidP="0009337A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lang w:eastAsia="lv-LV"/>
              </w:rPr>
            </w:pPr>
            <w:r w:rsidRPr="0009337A">
              <w:rPr>
                <w:rFonts w:ascii="inherit" w:eastAsia="Times New Roman" w:hAnsi="inherit" w:cs="Times New Roman"/>
                <w:color w:val="000000"/>
                <w:lang w:eastAsia="lv-LV"/>
              </w:rPr>
              <w:t>108,5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FB41DD" w14:textId="77777777" w:rsidR="0009337A" w:rsidRPr="0009337A" w:rsidRDefault="0009337A" w:rsidP="0009337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lang w:eastAsia="lv-LV"/>
              </w:rPr>
            </w:pPr>
          </w:p>
        </w:tc>
      </w:tr>
      <w:tr w:rsidR="00EB520C" w14:paraId="5CCE99B0" w14:textId="77777777" w:rsidTr="0009337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BFE5C8" w14:textId="77777777" w:rsidR="0009337A" w:rsidRPr="0009337A" w:rsidRDefault="00E861E7" w:rsidP="0009337A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lang w:eastAsia="lv-LV"/>
              </w:rPr>
            </w:pPr>
            <w:r w:rsidRPr="0009337A">
              <w:rPr>
                <w:rFonts w:ascii="inherit" w:eastAsia="Times New Roman" w:hAnsi="inherit" w:cs="Times New Roman"/>
                <w:color w:val="000000"/>
                <w:lang w:eastAsia="lv-LV"/>
              </w:rPr>
              <w:t>Degslāneklis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DF0537" w14:textId="77777777" w:rsidR="0009337A" w:rsidRPr="0009337A" w:rsidRDefault="0009337A" w:rsidP="0009337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D80DD5" w14:textId="77777777" w:rsidR="0009337A" w:rsidRPr="0009337A" w:rsidRDefault="00E861E7" w:rsidP="0009337A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lang w:eastAsia="lv-LV"/>
              </w:rPr>
            </w:pPr>
            <w:r w:rsidRPr="0009337A">
              <w:rPr>
                <w:rFonts w:ascii="inherit" w:eastAsia="Times New Roman" w:hAnsi="inherit" w:cs="Times New Roman"/>
                <w:color w:val="000000"/>
                <w:lang w:eastAsia="lv-LV"/>
              </w:rPr>
              <w:t>133,7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979227" w14:textId="77777777" w:rsidR="0009337A" w:rsidRPr="0009337A" w:rsidRDefault="0009337A" w:rsidP="0009337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lang w:eastAsia="lv-LV"/>
              </w:rPr>
            </w:pPr>
          </w:p>
        </w:tc>
      </w:tr>
      <w:tr w:rsidR="00EB520C" w14:paraId="4D803199" w14:textId="77777777" w:rsidTr="0009337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EAE5A0" w14:textId="77777777" w:rsidR="0009337A" w:rsidRPr="0009337A" w:rsidRDefault="00E861E7" w:rsidP="0009337A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lang w:eastAsia="lv-LV"/>
              </w:rPr>
            </w:pPr>
            <w:r w:rsidRPr="0009337A">
              <w:rPr>
                <w:rFonts w:ascii="inherit" w:eastAsia="Times New Roman" w:hAnsi="inherit" w:cs="Times New Roman"/>
                <w:color w:val="000000"/>
                <w:lang w:eastAsia="lv-LV"/>
              </w:rPr>
              <w:t>Visi fosilie avoti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783285" w14:textId="77777777" w:rsidR="0009337A" w:rsidRPr="0009337A" w:rsidRDefault="00E861E7" w:rsidP="0009337A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lang w:eastAsia="lv-LV"/>
              </w:rPr>
            </w:pPr>
            <w:r w:rsidRPr="0009337A">
              <w:rPr>
                <w:rFonts w:ascii="inherit" w:eastAsia="Times New Roman" w:hAnsi="inherit" w:cs="Times New Roman"/>
                <w:color w:val="000000"/>
                <w:lang w:eastAsia="lv-LV"/>
              </w:rPr>
              <w:t>Sašķidrināta naftas gāze dzirksteļaizdedzes motorā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36FAD9" w14:textId="77777777" w:rsidR="0009337A" w:rsidRPr="0009337A" w:rsidRDefault="00E861E7" w:rsidP="0009337A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lang w:eastAsia="lv-LV"/>
              </w:rPr>
            </w:pPr>
            <w:r w:rsidRPr="0009337A">
              <w:rPr>
                <w:rFonts w:ascii="inherit" w:eastAsia="Times New Roman" w:hAnsi="inherit" w:cs="Times New Roman"/>
                <w:color w:val="000000"/>
                <w:lang w:eastAsia="lv-LV"/>
              </w:rPr>
              <w:t>73,6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422B33" w14:textId="77777777" w:rsidR="0009337A" w:rsidRPr="0009337A" w:rsidRDefault="00E861E7" w:rsidP="0009337A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lang w:eastAsia="lv-LV"/>
              </w:rPr>
            </w:pPr>
            <w:r w:rsidRPr="0009337A">
              <w:rPr>
                <w:rFonts w:ascii="inherit" w:eastAsia="Times New Roman" w:hAnsi="inherit" w:cs="Times New Roman"/>
                <w:color w:val="000000"/>
                <w:lang w:eastAsia="lv-LV"/>
              </w:rPr>
              <w:t>73,6</w:t>
            </w:r>
          </w:p>
        </w:tc>
      </w:tr>
      <w:tr w:rsidR="00EB520C" w14:paraId="6246BDC4" w14:textId="77777777" w:rsidTr="0009337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FB8DE7" w14:textId="77777777" w:rsidR="0009337A" w:rsidRPr="0009337A" w:rsidRDefault="00E861E7" w:rsidP="0009337A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lang w:eastAsia="lv-LV"/>
              </w:rPr>
            </w:pPr>
            <w:r w:rsidRPr="0009337A">
              <w:rPr>
                <w:rFonts w:ascii="inherit" w:eastAsia="Times New Roman" w:hAnsi="inherit" w:cs="Times New Roman"/>
                <w:color w:val="000000"/>
                <w:lang w:eastAsia="lv-LV"/>
              </w:rPr>
              <w:t>Dabasgāze, ES kombinācija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7FB028" w14:textId="77777777" w:rsidR="0009337A" w:rsidRPr="0009337A" w:rsidRDefault="00E861E7" w:rsidP="0009337A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lang w:eastAsia="lv-LV"/>
              </w:rPr>
            </w:pPr>
            <w:r w:rsidRPr="0009337A">
              <w:rPr>
                <w:rFonts w:ascii="inherit" w:eastAsia="Times New Roman" w:hAnsi="inherit" w:cs="Times New Roman"/>
                <w:color w:val="000000"/>
                <w:lang w:eastAsia="lv-LV"/>
              </w:rPr>
              <w:t>Saspiesta dabasgāze dzirksteļaizdedzes motorā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95D530" w14:textId="77777777" w:rsidR="0009337A" w:rsidRPr="0009337A" w:rsidRDefault="00E861E7" w:rsidP="0009337A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lang w:eastAsia="lv-LV"/>
              </w:rPr>
            </w:pPr>
            <w:r w:rsidRPr="0009337A">
              <w:rPr>
                <w:rFonts w:ascii="inherit" w:eastAsia="Times New Roman" w:hAnsi="inherit" w:cs="Times New Roman"/>
                <w:color w:val="000000"/>
                <w:lang w:eastAsia="lv-LV"/>
              </w:rPr>
              <w:t>69,3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204012" w14:textId="77777777" w:rsidR="0009337A" w:rsidRPr="0009337A" w:rsidRDefault="00E861E7" w:rsidP="0009337A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lang w:eastAsia="lv-LV"/>
              </w:rPr>
            </w:pPr>
            <w:r w:rsidRPr="0009337A">
              <w:rPr>
                <w:rFonts w:ascii="inherit" w:eastAsia="Times New Roman" w:hAnsi="inherit" w:cs="Times New Roman"/>
                <w:color w:val="000000"/>
                <w:lang w:eastAsia="lv-LV"/>
              </w:rPr>
              <w:t>69,3</w:t>
            </w:r>
          </w:p>
        </w:tc>
      </w:tr>
      <w:tr w:rsidR="00EB520C" w14:paraId="3C07700D" w14:textId="77777777" w:rsidTr="0009337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EAF021" w14:textId="77777777" w:rsidR="0009337A" w:rsidRPr="0009337A" w:rsidRDefault="00E861E7" w:rsidP="0009337A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lang w:eastAsia="lv-LV"/>
              </w:rPr>
            </w:pPr>
            <w:r w:rsidRPr="0009337A">
              <w:rPr>
                <w:rFonts w:ascii="inherit" w:eastAsia="Times New Roman" w:hAnsi="inherit" w:cs="Times New Roman"/>
                <w:color w:val="000000"/>
                <w:lang w:eastAsia="lv-LV"/>
              </w:rPr>
              <w:t>Dabasgāze, ES kombinācija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0AF95B" w14:textId="77777777" w:rsidR="0009337A" w:rsidRPr="0009337A" w:rsidRDefault="00E861E7" w:rsidP="0009337A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lang w:eastAsia="lv-LV"/>
              </w:rPr>
            </w:pPr>
            <w:r w:rsidRPr="0009337A">
              <w:rPr>
                <w:rFonts w:ascii="inherit" w:eastAsia="Times New Roman" w:hAnsi="inherit" w:cs="Times New Roman"/>
                <w:color w:val="000000"/>
                <w:lang w:eastAsia="lv-LV"/>
              </w:rPr>
              <w:t>Sašķidrināta dabasgāze dzirksteļaizdedzes motorā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0CE9F5" w14:textId="77777777" w:rsidR="0009337A" w:rsidRPr="0009337A" w:rsidRDefault="00E861E7" w:rsidP="0009337A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lang w:eastAsia="lv-LV"/>
              </w:rPr>
            </w:pPr>
            <w:r w:rsidRPr="0009337A">
              <w:rPr>
                <w:rFonts w:ascii="inherit" w:eastAsia="Times New Roman" w:hAnsi="inherit" w:cs="Times New Roman"/>
                <w:color w:val="000000"/>
                <w:lang w:eastAsia="lv-LV"/>
              </w:rPr>
              <w:t>74,5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7823F0" w14:textId="77777777" w:rsidR="0009337A" w:rsidRPr="0009337A" w:rsidRDefault="00E861E7" w:rsidP="0009337A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lang w:eastAsia="lv-LV"/>
              </w:rPr>
            </w:pPr>
            <w:r w:rsidRPr="0009337A">
              <w:rPr>
                <w:rFonts w:ascii="inherit" w:eastAsia="Times New Roman" w:hAnsi="inherit" w:cs="Times New Roman"/>
                <w:color w:val="000000"/>
                <w:lang w:eastAsia="lv-LV"/>
              </w:rPr>
              <w:t>74,5</w:t>
            </w:r>
          </w:p>
        </w:tc>
      </w:tr>
      <w:tr w:rsidR="00EB520C" w14:paraId="3428656D" w14:textId="77777777" w:rsidTr="0009337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626F9A" w14:textId="77777777" w:rsidR="0009337A" w:rsidRPr="0009337A" w:rsidRDefault="00E861E7" w:rsidP="0009337A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lang w:eastAsia="lv-LV"/>
              </w:rPr>
            </w:pPr>
            <w:proofErr w:type="spellStart"/>
            <w:r w:rsidRPr="0009337A">
              <w:rPr>
                <w:rFonts w:ascii="inherit" w:eastAsia="Times New Roman" w:hAnsi="inherit" w:cs="Times New Roman"/>
                <w:color w:val="000000"/>
                <w:lang w:eastAsia="lv-LV"/>
              </w:rPr>
              <w:t>Sabatjē</w:t>
            </w:r>
            <w:proofErr w:type="spellEnd"/>
            <w:r w:rsidRPr="0009337A">
              <w:rPr>
                <w:rFonts w:ascii="inherit" w:eastAsia="Times New Roman" w:hAnsi="inherit" w:cs="Times New Roman"/>
                <w:color w:val="000000"/>
                <w:lang w:eastAsia="lv-LV"/>
              </w:rPr>
              <w:t xml:space="preserve"> reakcija, izmantojot ūdeņradi, kas iegūts nebioloģisku atjaunojamu energoresursu enerģijas elektrolīzē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60285B" w14:textId="77777777" w:rsidR="0009337A" w:rsidRPr="0009337A" w:rsidRDefault="00E861E7" w:rsidP="0009337A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lang w:eastAsia="lv-LV"/>
              </w:rPr>
            </w:pPr>
            <w:r w:rsidRPr="0009337A">
              <w:rPr>
                <w:rFonts w:ascii="inherit" w:eastAsia="Times New Roman" w:hAnsi="inherit" w:cs="Times New Roman"/>
                <w:color w:val="000000"/>
                <w:lang w:eastAsia="lv-LV"/>
              </w:rPr>
              <w:t>Saspiests sintētiskais metāns dzirksteļaizdedzes motorā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F91ADA" w14:textId="77777777" w:rsidR="0009337A" w:rsidRPr="0009337A" w:rsidRDefault="00E861E7" w:rsidP="0009337A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lang w:eastAsia="lv-LV"/>
              </w:rPr>
            </w:pPr>
            <w:r w:rsidRPr="0009337A">
              <w:rPr>
                <w:rFonts w:ascii="inherit" w:eastAsia="Times New Roman" w:hAnsi="inherit" w:cs="Times New Roman"/>
                <w:color w:val="000000"/>
                <w:lang w:eastAsia="lv-LV"/>
              </w:rPr>
              <w:t>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87F756" w14:textId="77777777" w:rsidR="0009337A" w:rsidRPr="0009337A" w:rsidRDefault="00E861E7" w:rsidP="0009337A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lang w:eastAsia="lv-LV"/>
              </w:rPr>
            </w:pPr>
            <w:r w:rsidRPr="0009337A">
              <w:rPr>
                <w:rFonts w:ascii="inherit" w:eastAsia="Times New Roman" w:hAnsi="inherit" w:cs="Times New Roman"/>
                <w:color w:val="000000"/>
                <w:lang w:eastAsia="lv-LV"/>
              </w:rPr>
              <w:t>3,3</w:t>
            </w:r>
          </w:p>
        </w:tc>
      </w:tr>
      <w:tr w:rsidR="00EB520C" w14:paraId="66D178BE" w14:textId="77777777" w:rsidTr="0009337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C7CF82" w14:textId="77777777" w:rsidR="0009337A" w:rsidRPr="0009337A" w:rsidRDefault="00E861E7" w:rsidP="0009337A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lang w:eastAsia="lv-LV"/>
              </w:rPr>
            </w:pPr>
            <w:r w:rsidRPr="0009337A">
              <w:rPr>
                <w:rFonts w:ascii="inherit" w:eastAsia="Times New Roman" w:hAnsi="inherit" w:cs="Times New Roman"/>
                <w:color w:val="000000"/>
                <w:lang w:eastAsia="lv-LV"/>
              </w:rPr>
              <w:t xml:space="preserve">Dabasgāze, tvaika </w:t>
            </w:r>
            <w:proofErr w:type="spellStart"/>
            <w:r w:rsidRPr="0009337A">
              <w:rPr>
                <w:rFonts w:ascii="inherit" w:eastAsia="Times New Roman" w:hAnsi="inherit" w:cs="Times New Roman"/>
                <w:color w:val="000000"/>
                <w:lang w:eastAsia="lv-LV"/>
              </w:rPr>
              <w:t>riformings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705796" w14:textId="77777777" w:rsidR="0009337A" w:rsidRPr="0009337A" w:rsidRDefault="00E861E7" w:rsidP="0009337A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lang w:eastAsia="lv-LV"/>
              </w:rPr>
            </w:pPr>
            <w:r w:rsidRPr="0009337A">
              <w:rPr>
                <w:rFonts w:ascii="inherit" w:eastAsia="Times New Roman" w:hAnsi="inherit" w:cs="Times New Roman"/>
                <w:color w:val="000000"/>
                <w:lang w:eastAsia="lv-LV"/>
              </w:rPr>
              <w:t>Saspiests ūdeņradis ūdeņraža elementā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DCF986" w14:textId="77777777" w:rsidR="0009337A" w:rsidRPr="0009337A" w:rsidRDefault="00E861E7" w:rsidP="0009337A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lang w:eastAsia="lv-LV"/>
              </w:rPr>
            </w:pPr>
            <w:r w:rsidRPr="0009337A">
              <w:rPr>
                <w:rFonts w:ascii="inherit" w:eastAsia="Times New Roman" w:hAnsi="inherit" w:cs="Times New Roman"/>
                <w:color w:val="000000"/>
                <w:lang w:eastAsia="lv-LV"/>
              </w:rPr>
              <w:t>104,3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5D4FF7" w14:textId="77777777" w:rsidR="0009337A" w:rsidRPr="0009337A" w:rsidRDefault="00E861E7" w:rsidP="0009337A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lang w:eastAsia="lv-LV"/>
              </w:rPr>
            </w:pPr>
            <w:r w:rsidRPr="0009337A">
              <w:rPr>
                <w:rFonts w:ascii="inherit" w:eastAsia="Times New Roman" w:hAnsi="inherit" w:cs="Times New Roman"/>
                <w:color w:val="000000"/>
                <w:lang w:eastAsia="lv-LV"/>
              </w:rPr>
              <w:t>104,3</w:t>
            </w:r>
          </w:p>
        </w:tc>
      </w:tr>
      <w:tr w:rsidR="00EB520C" w14:paraId="59BEE7FF" w14:textId="77777777" w:rsidTr="0009337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11EBD7" w14:textId="77777777" w:rsidR="0009337A" w:rsidRPr="0009337A" w:rsidRDefault="00E861E7" w:rsidP="0009337A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lang w:eastAsia="lv-LV"/>
              </w:rPr>
            </w:pPr>
            <w:r w:rsidRPr="0009337A">
              <w:rPr>
                <w:rFonts w:ascii="inherit" w:eastAsia="Times New Roman" w:hAnsi="inherit" w:cs="Times New Roman"/>
                <w:color w:val="000000"/>
                <w:lang w:eastAsia="lv-LV"/>
              </w:rPr>
              <w:t>Elektrolīze, kurai enerģiju nodrošina tikai no nebioloģiskiem atjaunojamiem energoresursiem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915048" w14:textId="77777777" w:rsidR="0009337A" w:rsidRPr="0009337A" w:rsidRDefault="00E861E7" w:rsidP="0009337A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lang w:eastAsia="lv-LV"/>
              </w:rPr>
            </w:pPr>
            <w:r w:rsidRPr="0009337A">
              <w:rPr>
                <w:rFonts w:ascii="inherit" w:eastAsia="Times New Roman" w:hAnsi="inherit" w:cs="Times New Roman"/>
                <w:color w:val="000000"/>
                <w:lang w:eastAsia="lv-LV"/>
              </w:rPr>
              <w:t>Saspiests ūdeņradis ūdeņraža elementā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C17DF8" w14:textId="77777777" w:rsidR="0009337A" w:rsidRPr="0009337A" w:rsidRDefault="00E861E7" w:rsidP="0009337A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lang w:eastAsia="lv-LV"/>
              </w:rPr>
            </w:pPr>
            <w:r w:rsidRPr="0009337A">
              <w:rPr>
                <w:rFonts w:ascii="inherit" w:eastAsia="Times New Roman" w:hAnsi="inherit" w:cs="Times New Roman"/>
                <w:color w:val="000000"/>
                <w:lang w:eastAsia="lv-LV"/>
              </w:rPr>
              <w:t>9,1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0A8C8E" w14:textId="77777777" w:rsidR="0009337A" w:rsidRPr="0009337A" w:rsidRDefault="00E861E7" w:rsidP="0009337A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lang w:eastAsia="lv-LV"/>
              </w:rPr>
            </w:pPr>
            <w:r w:rsidRPr="0009337A">
              <w:rPr>
                <w:rFonts w:ascii="inherit" w:eastAsia="Times New Roman" w:hAnsi="inherit" w:cs="Times New Roman"/>
                <w:color w:val="000000"/>
                <w:lang w:eastAsia="lv-LV"/>
              </w:rPr>
              <w:t>9,1</w:t>
            </w:r>
          </w:p>
        </w:tc>
      </w:tr>
      <w:tr w:rsidR="00EB520C" w14:paraId="401FDFAC" w14:textId="77777777" w:rsidTr="0009337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D6F543" w14:textId="77777777" w:rsidR="0009337A" w:rsidRPr="0009337A" w:rsidRDefault="00E861E7" w:rsidP="0009337A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lang w:eastAsia="lv-LV"/>
              </w:rPr>
            </w:pPr>
            <w:r w:rsidRPr="0009337A">
              <w:rPr>
                <w:rFonts w:ascii="inherit" w:eastAsia="Times New Roman" w:hAnsi="inherit" w:cs="Times New Roman"/>
                <w:color w:val="000000"/>
                <w:lang w:eastAsia="lv-LV"/>
              </w:rPr>
              <w:t>Ogles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8BB3BA" w14:textId="77777777" w:rsidR="0009337A" w:rsidRPr="0009337A" w:rsidRDefault="00E861E7" w:rsidP="0009337A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lang w:eastAsia="lv-LV"/>
              </w:rPr>
            </w:pPr>
            <w:r w:rsidRPr="0009337A">
              <w:rPr>
                <w:rFonts w:ascii="inherit" w:eastAsia="Times New Roman" w:hAnsi="inherit" w:cs="Times New Roman"/>
                <w:color w:val="000000"/>
                <w:lang w:eastAsia="lv-LV"/>
              </w:rPr>
              <w:t xml:space="preserve">Saspiests ūdeņradis </w:t>
            </w:r>
            <w:r w:rsidRPr="0009337A">
              <w:rPr>
                <w:rFonts w:ascii="inherit" w:eastAsia="Times New Roman" w:hAnsi="inherit" w:cs="Times New Roman"/>
                <w:color w:val="000000"/>
                <w:lang w:eastAsia="lv-LV"/>
              </w:rPr>
              <w:t>ūdeņraža elementā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7ABCBE" w14:textId="77777777" w:rsidR="0009337A" w:rsidRPr="0009337A" w:rsidRDefault="00E861E7" w:rsidP="0009337A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lang w:eastAsia="lv-LV"/>
              </w:rPr>
            </w:pPr>
            <w:r w:rsidRPr="0009337A">
              <w:rPr>
                <w:rFonts w:ascii="inherit" w:eastAsia="Times New Roman" w:hAnsi="inherit" w:cs="Times New Roman"/>
                <w:color w:val="000000"/>
                <w:lang w:eastAsia="lv-LV"/>
              </w:rPr>
              <w:t>234,4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A77427" w14:textId="77777777" w:rsidR="0009337A" w:rsidRPr="0009337A" w:rsidRDefault="00E861E7" w:rsidP="0009337A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lang w:eastAsia="lv-LV"/>
              </w:rPr>
            </w:pPr>
            <w:r w:rsidRPr="0009337A">
              <w:rPr>
                <w:rFonts w:ascii="inherit" w:eastAsia="Times New Roman" w:hAnsi="inherit" w:cs="Times New Roman"/>
                <w:color w:val="000000"/>
                <w:lang w:eastAsia="lv-LV"/>
              </w:rPr>
              <w:t>234,4</w:t>
            </w:r>
          </w:p>
        </w:tc>
      </w:tr>
      <w:tr w:rsidR="00EB520C" w14:paraId="0EE523A9" w14:textId="77777777" w:rsidTr="0009337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D4ABB8" w14:textId="77777777" w:rsidR="0009337A" w:rsidRPr="0009337A" w:rsidRDefault="00E861E7" w:rsidP="0009337A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lang w:eastAsia="lv-LV"/>
              </w:rPr>
            </w:pPr>
            <w:r w:rsidRPr="0009337A">
              <w:rPr>
                <w:rFonts w:ascii="inherit" w:eastAsia="Times New Roman" w:hAnsi="inherit" w:cs="Times New Roman"/>
                <w:color w:val="000000"/>
                <w:lang w:eastAsia="lv-LV"/>
              </w:rPr>
              <w:t>Ogles ar procesā emitētā oglekļa uztveršanu un uzglabāšanu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CC6A56" w14:textId="77777777" w:rsidR="0009337A" w:rsidRPr="0009337A" w:rsidRDefault="00E861E7" w:rsidP="0009337A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lang w:eastAsia="lv-LV"/>
              </w:rPr>
            </w:pPr>
            <w:r w:rsidRPr="0009337A">
              <w:rPr>
                <w:rFonts w:ascii="inherit" w:eastAsia="Times New Roman" w:hAnsi="inherit" w:cs="Times New Roman"/>
                <w:color w:val="000000"/>
                <w:lang w:eastAsia="lv-LV"/>
              </w:rPr>
              <w:t>Saspiests ūdeņradis ūdeņraža elementā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1863CC" w14:textId="77777777" w:rsidR="0009337A" w:rsidRPr="0009337A" w:rsidRDefault="00E861E7" w:rsidP="0009337A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lang w:eastAsia="lv-LV"/>
              </w:rPr>
            </w:pPr>
            <w:r w:rsidRPr="0009337A">
              <w:rPr>
                <w:rFonts w:ascii="inherit" w:eastAsia="Times New Roman" w:hAnsi="inherit" w:cs="Times New Roman"/>
                <w:color w:val="000000"/>
                <w:lang w:eastAsia="lv-LV"/>
              </w:rPr>
              <w:t>52,7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B95B02" w14:textId="77777777" w:rsidR="0009337A" w:rsidRPr="0009337A" w:rsidRDefault="00E861E7" w:rsidP="0009337A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lang w:eastAsia="lv-LV"/>
              </w:rPr>
            </w:pPr>
            <w:r w:rsidRPr="0009337A">
              <w:rPr>
                <w:rFonts w:ascii="inherit" w:eastAsia="Times New Roman" w:hAnsi="inherit" w:cs="Times New Roman"/>
                <w:color w:val="000000"/>
                <w:lang w:eastAsia="lv-LV"/>
              </w:rPr>
              <w:t>52,7</w:t>
            </w:r>
          </w:p>
        </w:tc>
      </w:tr>
      <w:tr w:rsidR="00EB520C" w14:paraId="1CFA919B" w14:textId="77777777" w:rsidTr="0009337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95CC43" w14:textId="77777777" w:rsidR="0009337A" w:rsidRPr="0009337A" w:rsidRDefault="00E861E7" w:rsidP="0009337A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lang w:eastAsia="lv-LV"/>
              </w:rPr>
            </w:pPr>
            <w:r w:rsidRPr="0009337A">
              <w:rPr>
                <w:rFonts w:ascii="inherit" w:eastAsia="Times New Roman" w:hAnsi="inherit" w:cs="Times New Roman"/>
                <w:color w:val="000000"/>
                <w:lang w:eastAsia="lv-LV"/>
              </w:rPr>
              <w:t>No fosilajām izejvielām iegūtas plastmasas atkritumi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C9CCDB" w14:textId="77777777" w:rsidR="0009337A" w:rsidRPr="0009337A" w:rsidRDefault="00E861E7" w:rsidP="0009337A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lang w:eastAsia="lv-LV"/>
              </w:rPr>
            </w:pPr>
            <w:r w:rsidRPr="0009337A">
              <w:rPr>
                <w:rFonts w:ascii="inherit" w:eastAsia="Times New Roman" w:hAnsi="inherit" w:cs="Times New Roman"/>
                <w:color w:val="000000"/>
                <w:lang w:eastAsia="lv-LV"/>
              </w:rPr>
              <w:t>Benzīns, dīzeļdegviela vai gāzeļļa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C4AEF9" w14:textId="77777777" w:rsidR="0009337A" w:rsidRPr="0009337A" w:rsidRDefault="00E861E7" w:rsidP="0009337A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lang w:eastAsia="lv-LV"/>
              </w:rPr>
            </w:pPr>
            <w:r w:rsidRPr="0009337A">
              <w:rPr>
                <w:rFonts w:ascii="inherit" w:eastAsia="Times New Roman" w:hAnsi="inherit" w:cs="Times New Roman"/>
                <w:color w:val="000000"/>
                <w:lang w:eastAsia="lv-LV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794FE3" w14:textId="77777777" w:rsidR="0009337A" w:rsidRPr="0009337A" w:rsidRDefault="00E861E7" w:rsidP="0009337A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/>
                <w:lang w:eastAsia="lv-LV"/>
              </w:rPr>
            </w:pPr>
            <w:r w:rsidRPr="0009337A">
              <w:rPr>
                <w:rFonts w:ascii="inherit" w:eastAsia="Times New Roman" w:hAnsi="inherit" w:cs="Times New Roman"/>
                <w:color w:val="000000"/>
                <w:lang w:eastAsia="lv-LV"/>
              </w:rPr>
              <w:t>86</w:t>
            </w:r>
          </w:p>
        </w:tc>
      </w:tr>
    </w:tbl>
    <w:p w14:paraId="76D28940" w14:textId="77777777" w:rsidR="0009337A" w:rsidRPr="0009337A" w:rsidRDefault="0009337A" w:rsidP="000933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6A43C0" w14:textId="221761B1" w:rsidR="00F54D00" w:rsidRDefault="00F54D00" w:rsidP="00DC5AD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760B92F2" w14:textId="77777777" w:rsidR="00DC5AD6" w:rsidRPr="009D4DB2" w:rsidRDefault="00DC5AD6" w:rsidP="00DC5AD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1F582EC2" w14:textId="77777777" w:rsidR="00907C87" w:rsidRPr="00617B58" w:rsidRDefault="00E861E7" w:rsidP="00907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B58">
        <w:rPr>
          <w:rFonts w:ascii="Times New Roman" w:hAnsi="Times New Roman" w:cs="Times New Roman"/>
          <w:sz w:val="28"/>
          <w:szCs w:val="28"/>
        </w:rPr>
        <w:t xml:space="preserve">Ministru prezidenta biedrs, </w:t>
      </w:r>
    </w:p>
    <w:p w14:paraId="1506925C" w14:textId="77777777" w:rsidR="00907C87" w:rsidRPr="00617B58" w:rsidRDefault="00E861E7" w:rsidP="00907C87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B58">
        <w:rPr>
          <w:rFonts w:ascii="Times New Roman" w:hAnsi="Times New Roman" w:cs="Times New Roman"/>
          <w:sz w:val="28"/>
          <w:szCs w:val="28"/>
        </w:rPr>
        <w:t xml:space="preserve">ekonomikas ministrs </w:t>
      </w:r>
      <w:r w:rsidRPr="00617B5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17B58">
        <w:rPr>
          <w:rFonts w:ascii="Times New Roman" w:hAnsi="Times New Roman" w:cs="Times New Roman"/>
          <w:sz w:val="28"/>
          <w:szCs w:val="28"/>
        </w:rPr>
        <w:t>A.Ašeradens</w:t>
      </w:r>
      <w:proofErr w:type="spellEnd"/>
    </w:p>
    <w:p w14:paraId="38298AA5" w14:textId="77777777" w:rsidR="00907C87" w:rsidRPr="00617B58" w:rsidRDefault="00907C87" w:rsidP="00907C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B8B0C3" w14:textId="77777777" w:rsidR="00907C87" w:rsidRPr="00617B58" w:rsidRDefault="00E861E7" w:rsidP="00907C87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B58">
        <w:rPr>
          <w:rFonts w:ascii="Times New Roman" w:hAnsi="Times New Roman" w:cs="Times New Roman"/>
          <w:sz w:val="28"/>
          <w:szCs w:val="28"/>
        </w:rPr>
        <w:t xml:space="preserve">Valsts sekretārs </w:t>
      </w:r>
      <w:r w:rsidRPr="00617B5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Ē</w:t>
      </w:r>
      <w:r w:rsidRPr="00617B5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Eglītis</w:t>
      </w:r>
    </w:p>
    <w:p w14:paraId="66A87438" w14:textId="10FCB786" w:rsidR="00907C87" w:rsidRDefault="00907C87" w:rsidP="00907C87">
      <w:pPr>
        <w:tabs>
          <w:tab w:val="left" w:pos="6804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1C8C2A02" w14:textId="77777777" w:rsidR="00907C87" w:rsidRPr="00907C87" w:rsidRDefault="00907C87" w:rsidP="00907C87">
      <w:pPr>
        <w:rPr>
          <w:rFonts w:ascii="Times New Roman" w:hAnsi="Times New Roman" w:cs="Times New Roman"/>
          <w:sz w:val="28"/>
          <w:szCs w:val="28"/>
        </w:rPr>
      </w:pPr>
    </w:p>
    <w:p w14:paraId="4A194EFE" w14:textId="7F8E66B8" w:rsidR="00F54D00" w:rsidRPr="00907C87" w:rsidRDefault="00E861E7" w:rsidP="00907C87">
      <w:pPr>
        <w:tabs>
          <w:tab w:val="left" w:pos="11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F54D00" w:rsidRPr="00907C87" w:rsidSect="002940B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418" w:right="1134" w:bottom="1134" w:left="170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91EAAA" w14:textId="77777777" w:rsidR="00E861E7" w:rsidRDefault="00E861E7">
      <w:pPr>
        <w:spacing w:after="0" w:line="240" w:lineRule="auto"/>
      </w:pPr>
      <w:r>
        <w:separator/>
      </w:r>
    </w:p>
  </w:endnote>
  <w:endnote w:type="continuationSeparator" w:id="0">
    <w:p w14:paraId="07B26E6D" w14:textId="77777777" w:rsidR="00E861E7" w:rsidRDefault="00E86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7EDDA" w14:textId="77777777" w:rsidR="00907C87" w:rsidRDefault="00907C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588A9" w14:textId="4C851049" w:rsidR="0009337A" w:rsidRPr="0009337A" w:rsidRDefault="00E861E7" w:rsidP="0009337A">
    <w:pPr>
      <w:pStyle w:val="Footer"/>
      <w:ind w:left="284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EMNotp1_24</w:t>
    </w:r>
    <w:r w:rsidRPr="0009337A">
      <w:rPr>
        <w:rFonts w:ascii="Times New Roman" w:hAnsi="Times New Roman" w:cs="Times New Roman"/>
        <w:sz w:val="20"/>
        <w:szCs w:val="20"/>
      </w:rPr>
      <w:t xml:space="preserve">0418_6%_SEG, Ministru kabineta noteikumu </w:t>
    </w:r>
    <w:r w:rsidRPr="0009337A">
      <w:rPr>
        <w:rFonts w:ascii="Times New Roman" w:hAnsi="Times New Roman" w:cs="Times New Roman"/>
        <w:sz w:val="20"/>
        <w:szCs w:val="20"/>
      </w:rPr>
      <w:t>projekts “Prasības transporta enerģijas aprites cikla siltumnīcefekta gāzu emisiju daudzuma un tā samazinājuma aprēķināšanai” 1.pielikums</w:t>
    </w:r>
  </w:p>
  <w:p w14:paraId="3214EB57" w14:textId="3DE3A4C9" w:rsidR="00620572" w:rsidRPr="0009337A" w:rsidRDefault="00620572" w:rsidP="000933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D0663" w14:textId="1EB9A7DE" w:rsidR="00620572" w:rsidRPr="0009337A" w:rsidRDefault="00E861E7" w:rsidP="00620572">
    <w:pPr>
      <w:pStyle w:val="Footer"/>
      <w:ind w:left="284"/>
      <w:rPr>
        <w:rFonts w:ascii="Times New Roman" w:hAnsi="Times New Roman" w:cs="Times New Roman"/>
        <w:sz w:val="20"/>
        <w:szCs w:val="20"/>
      </w:rPr>
    </w:pPr>
    <w:r w:rsidRPr="0009337A">
      <w:rPr>
        <w:rFonts w:ascii="Times New Roman" w:hAnsi="Times New Roman" w:cs="Times New Roman"/>
        <w:sz w:val="20"/>
        <w:szCs w:val="20"/>
      </w:rPr>
      <w:t>EMNotp1_</w:t>
    </w:r>
    <w:r w:rsidR="00DE2695">
      <w:rPr>
        <w:rFonts w:ascii="Times New Roman" w:hAnsi="Times New Roman" w:cs="Times New Roman"/>
        <w:sz w:val="20"/>
        <w:szCs w:val="20"/>
      </w:rPr>
      <w:t>24</w:t>
    </w:r>
    <w:r w:rsidRPr="0009337A">
      <w:rPr>
        <w:rFonts w:ascii="Times New Roman" w:hAnsi="Times New Roman" w:cs="Times New Roman"/>
        <w:sz w:val="20"/>
        <w:szCs w:val="20"/>
      </w:rPr>
      <w:t xml:space="preserve">0418_6%_SEG, Ministru kabineta noteikumu projekts “Prasības transporta enerģijas aprites cikla </w:t>
    </w:r>
    <w:r w:rsidRPr="0009337A">
      <w:rPr>
        <w:rFonts w:ascii="Times New Roman" w:hAnsi="Times New Roman" w:cs="Times New Roman"/>
        <w:sz w:val="20"/>
        <w:szCs w:val="20"/>
      </w:rPr>
      <w:t>siltumnīcefekta gāzu emisiju daudzuma un tā samazinājuma aprēķināšanai” 1.pielikums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B1E401" w14:textId="77777777" w:rsidR="00E861E7" w:rsidRDefault="00E861E7" w:rsidP="00620572">
      <w:pPr>
        <w:spacing w:after="0" w:line="240" w:lineRule="auto"/>
      </w:pPr>
      <w:r>
        <w:separator/>
      </w:r>
    </w:p>
  </w:footnote>
  <w:footnote w:type="continuationSeparator" w:id="0">
    <w:p w14:paraId="64EDED2E" w14:textId="77777777" w:rsidR="00E861E7" w:rsidRDefault="00E861E7" w:rsidP="00620572">
      <w:pPr>
        <w:spacing w:after="0" w:line="240" w:lineRule="auto"/>
      </w:pPr>
      <w:r>
        <w:continuationSeparator/>
      </w:r>
    </w:p>
  </w:footnote>
  <w:footnote w:id="1">
    <w:p w14:paraId="01EE6E48" w14:textId="0203466B" w:rsidR="00C11798" w:rsidRDefault="00E861E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11798">
        <w:t xml:space="preserve"> Ja šie dati nav pieejami, dalībvalstis savāc ekvivalentus datus saskaņā ar valstī izveidotu akcīzes nodokļa ziņošanas shēmu;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C6E8A" w14:textId="77777777" w:rsidR="00907C87" w:rsidRDefault="00907C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32746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55CE5059" w14:textId="6DC56830" w:rsidR="00620572" w:rsidRPr="00620572" w:rsidRDefault="00E861E7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2057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2057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2057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41D7B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62057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66ED58E5" w14:textId="77777777" w:rsidR="00620572" w:rsidRDefault="006205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ABD6E" w14:textId="77777777" w:rsidR="00907C87" w:rsidRDefault="00907C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3D6B7501"/>
    <w:multiLevelType w:val="hybridMultilevel"/>
    <w:tmpl w:val="C980ECDE"/>
    <w:lvl w:ilvl="0" w:tplc="04B6FDF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ABD211DC" w:tentative="1">
      <w:start w:val="1"/>
      <w:numFmt w:val="lowerLetter"/>
      <w:lvlText w:val="%2."/>
      <w:lvlJc w:val="left"/>
      <w:pPr>
        <w:ind w:left="1440" w:hanging="360"/>
      </w:pPr>
    </w:lvl>
    <w:lvl w:ilvl="2" w:tplc="609CDF6C" w:tentative="1">
      <w:start w:val="1"/>
      <w:numFmt w:val="lowerRoman"/>
      <w:lvlText w:val="%3."/>
      <w:lvlJc w:val="right"/>
      <w:pPr>
        <w:ind w:left="2160" w:hanging="180"/>
      </w:pPr>
    </w:lvl>
    <w:lvl w:ilvl="3" w:tplc="CBD64D36" w:tentative="1">
      <w:start w:val="1"/>
      <w:numFmt w:val="decimal"/>
      <w:lvlText w:val="%4."/>
      <w:lvlJc w:val="left"/>
      <w:pPr>
        <w:ind w:left="2880" w:hanging="360"/>
      </w:pPr>
    </w:lvl>
    <w:lvl w:ilvl="4" w:tplc="76F030C0" w:tentative="1">
      <w:start w:val="1"/>
      <w:numFmt w:val="lowerLetter"/>
      <w:lvlText w:val="%5."/>
      <w:lvlJc w:val="left"/>
      <w:pPr>
        <w:ind w:left="3600" w:hanging="360"/>
      </w:pPr>
    </w:lvl>
    <w:lvl w:ilvl="5" w:tplc="96329322" w:tentative="1">
      <w:start w:val="1"/>
      <w:numFmt w:val="lowerRoman"/>
      <w:lvlText w:val="%6."/>
      <w:lvlJc w:val="right"/>
      <w:pPr>
        <w:ind w:left="4320" w:hanging="180"/>
      </w:pPr>
    </w:lvl>
    <w:lvl w:ilvl="6" w:tplc="FB92D964" w:tentative="1">
      <w:start w:val="1"/>
      <w:numFmt w:val="decimal"/>
      <w:lvlText w:val="%7."/>
      <w:lvlJc w:val="left"/>
      <w:pPr>
        <w:ind w:left="5040" w:hanging="360"/>
      </w:pPr>
    </w:lvl>
    <w:lvl w:ilvl="7" w:tplc="83806F9E" w:tentative="1">
      <w:start w:val="1"/>
      <w:numFmt w:val="lowerLetter"/>
      <w:lvlText w:val="%8."/>
      <w:lvlJc w:val="left"/>
      <w:pPr>
        <w:ind w:left="5760" w:hanging="360"/>
      </w:pPr>
    </w:lvl>
    <w:lvl w:ilvl="8" w:tplc="943895F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1B6"/>
    <w:rsid w:val="0009337A"/>
    <w:rsid w:val="000B0583"/>
    <w:rsid w:val="000C7B7C"/>
    <w:rsid w:val="000E7AB7"/>
    <w:rsid w:val="001150AC"/>
    <w:rsid w:val="001766BE"/>
    <w:rsid w:val="00241D7B"/>
    <w:rsid w:val="002478AB"/>
    <w:rsid w:val="00265735"/>
    <w:rsid w:val="002940B5"/>
    <w:rsid w:val="0030116B"/>
    <w:rsid w:val="00363480"/>
    <w:rsid w:val="00590D7A"/>
    <w:rsid w:val="005B4BD8"/>
    <w:rsid w:val="005B7E0A"/>
    <w:rsid w:val="005F2FAC"/>
    <w:rsid w:val="00617B58"/>
    <w:rsid w:val="00620572"/>
    <w:rsid w:val="0072052D"/>
    <w:rsid w:val="00741A58"/>
    <w:rsid w:val="007864F2"/>
    <w:rsid w:val="0078654C"/>
    <w:rsid w:val="00892015"/>
    <w:rsid w:val="008D005D"/>
    <w:rsid w:val="008E4F45"/>
    <w:rsid w:val="008E5AA8"/>
    <w:rsid w:val="009060AA"/>
    <w:rsid w:val="00907C87"/>
    <w:rsid w:val="009661B6"/>
    <w:rsid w:val="009825B2"/>
    <w:rsid w:val="009C5BC9"/>
    <w:rsid w:val="009D4DB2"/>
    <w:rsid w:val="00AD6F4E"/>
    <w:rsid w:val="00AF6699"/>
    <w:rsid w:val="00B067BF"/>
    <w:rsid w:val="00C11396"/>
    <w:rsid w:val="00C11798"/>
    <w:rsid w:val="00D138B2"/>
    <w:rsid w:val="00D91D9B"/>
    <w:rsid w:val="00DC5AD6"/>
    <w:rsid w:val="00DE2695"/>
    <w:rsid w:val="00E00FD4"/>
    <w:rsid w:val="00E861E7"/>
    <w:rsid w:val="00EB520C"/>
    <w:rsid w:val="00EE054B"/>
    <w:rsid w:val="00EE7D5A"/>
    <w:rsid w:val="00F04418"/>
    <w:rsid w:val="00F54D00"/>
    <w:rsid w:val="00F62457"/>
    <w:rsid w:val="00FB1F95"/>
    <w:rsid w:val="00FF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125477-F67B-44C3-A55C-877EAC17D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0F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05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572"/>
  </w:style>
  <w:style w:type="paragraph" w:styleId="Footer">
    <w:name w:val="footer"/>
    <w:basedOn w:val="Normal"/>
    <w:link w:val="FooterChar"/>
    <w:uiPriority w:val="99"/>
    <w:unhideWhenUsed/>
    <w:rsid w:val="006205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572"/>
  </w:style>
  <w:style w:type="paragraph" w:styleId="BalloonText">
    <w:name w:val="Balloon Text"/>
    <w:basedOn w:val="Normal"/>
    <w:link w:val="BalloonTextChar"/>
    <w:uiPriority w:val="99"/>
    <w:semiHidden/>
    <w:unhideWhenUsed/>
    <w:rsid w:val="00620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572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179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179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117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LV/TXT/HTML/?uri=CELEX:32015L0652&amp;from=EN" TargetMode="External"/><Relationship Id="rId13" Type="http://schemas.openxmlformats.org/officeDocument/2006/relationships/hyperlink" Target="https://eur-lex.europa.eu/legal-content/LV/TXT/HTML/?uri=CELEX:32015L0652&amp;from=EN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eur-lex.europa.eu/legal-content/LV/TXT/HTML/?uri=CELEX:32015L0652&amp;from=EN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ur-lex.europa.eu/legal-content/LV/TXT/HTML/?uri=CELEX:32015L0652&amp;from=E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eur-lex.europa.eu/legal-content/LV/TXT/HTML/?uri=CELEX:32015L0652&amp;from=EN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eur-lex.europa.eu/legal-content/LV/TXT/HTML/?uri=CELEX:32015L0652&amp;from=EN" TargetMode="External"/><Relationship Id="rId14" Type="http://schemas.openxmlformats.org/officeDocument/2006/relationships/hyperlink" Target="https://eur-lex.europa.eu/legal-content/LV/TXT/HTML/?uri=CELEX:32015L0652&amp;from=E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923B0-B207-4B3A-9984-6E0D6084A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6458</Words>
  <Characters>3682</Characters>
  <Application>Microsoft Office Word</Application>
  <DocSecurity>0</DocSecurity>
  <Lines>30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Baiba Logina</dc:creator>
  <cp:lastModifiedBy>Jekaterina Borovika</cp:lastModifiedBy>
  <cp:revision>2</cp:revision>
  <cp:lastPrinted>2018-03-28T12:14:00Z</cp:lastPrinted>
  <dcterms:created xsi:type="dcterms:W3CDTF">2018-05-08T14:15:00Z</dcterms:created>
  <dcterms:modified xsi:type="dcterms:W3CDTF">2018-05-08T14:15:00Z</dcterms:modified>
</cp:coreProperties>
</file>