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E60D4C" w:rsidRPr="007D2D45" w:rsidP="00E60D4C">
      <w:pPr>
        <w:pStyle w:val="ListParagraph"/>
        <w:ind w:left="0" w:firstLine="426"/>
        <w:jc w:val="right"/>
        <w:rPr>
          <w:i/>
        </w:rPr>
      </w:pPr>
      <w:bookmarkStart w:id="0" w:name="_GoBack"/>
      <w:bookmarkEnd w:id="0"/>
      <w:r w:rsidRPr="007D2D45">
        <w:rPr>
          <w:i/>
        </w:rPr>
        <w:t>Projekts</w:t>
      </w:r>
      <w:r w:rsidRPr="007D2D45" w:rsidR="00F364FE">
        <w:rPr>
          <w:i/>
        </w:rPr>
        <w:t xml:space="preserve"> </w:t>
      </w:r>
    </w:p>
    <w:p w:rsidR="00E60D4C" w:rsidRPr="00E04BE9" w:rsidP="007C32B3">
      <w:pPr>
        <w:pStyle w:val="ListParagraph"/>
        <w:spacing w:after="120"/>
        <w:ind w:left="0" w:firstLine="425"/>
        <w:jc w:val="center"/>
        <w:rPr>
          <w:b/>
        </w:rPr>
      </w:pPr>
      <w:bookmarkStart w:id="1" w:name="_Hlk503961720"/>
      <w:r w:rsidRPr="00E04BE9">
        <w:rPr>
          <w:b/>
        </w:rPr>
        <w:t>Informatīvais ziņojums</w:t>
      </w:r>
      <w:r w:rsidRPr="00E04BE9" w:rsidR="00F364FE">
        <w:rPr>
          <w:b/>
        </w:rPr>
        <w:t xml:space="preserve"> </w:t>
      </w:r>
    </w:p>
    <w:p w:rsidR="00F50245" w:rsidRPr="00E04BE9" w:rsidP="00762EAE">
      <w:pPr>
        <w:pStyle w:val="ListParagraph"/>
        <w:ind w:left="0"/>
        <w:jc w:val="center"/>
        <w:rPr>
          <w:b/>
        </w:rPr>
      </w:pPr>
      <w:bookmarkStart w:id="2" w:name="_Hlk505603872"/>
      <w:r w:rsidRPr="00E04BE9">
        <w:rPr>
          <w:b/>
        </w:rPr>
        <w:t>P</w:t>
      </w:r>
      <w:r w:rsidRPr="00E04BE9" w:rsidR="007C32B3">
        <w:rPr>
          <w:b/>
        </w:rPr>
        <w:t xml:space="preserve">ar </w:t>
      </w:r>
      <w:bookmarkStart w:id="3" w:name="_Hlk501526890"/>
      <w:r w:rsidRPr="00E04BE9" w:rsidR="002A3875">
        <w:rPr>
          <w:b/>
        </w:rPr>
        <w:t xml:space="preserve">akciju sabiedrības </w:t>
      </w:r>
      <w:r w:rsidR="00676E3D">
        <w:rPr>
          <w:b/>
        </w:rPr>
        <w:t>"</w:t>
      </w:r>
      <w:r w:rsidRPr="00E04BE9" w:rsidR="002A3875">
        <w:rPr>
          <w:b/>
        </w:rPr>
        <w:t>Attīstības finanšu institūcija Altum</w:t>
      </w:r>
      <w:bookmarkEnd w:id="3"/>
      <w:r w:rsidR="00676E3D">
        <w:rPr>
          <w:b/>
        </w:rPr>
        <w:t>"</w:t>
      </w:r>
      <w:r w:rsidRPr="00E04BE9" w:rsidR="002A3875">
        <w:rPr>
          <w:b/>
        </w:rPr>
        <w:t xml:space="preserve"> </w:t>
      </w:r>
      <w:r w:rsidRPr="00E04BE9" w:rsidR="007C32B3">
        <w:rPr>
          <w:b/>
        </w:rPr>
        <w:t>kapitāla atdeves nodrošināšanu, īstenojot 4.2.1.1.pasākumu</w:t>
      </w:r>
      <w:r w:rsidRPr="00E04BE9">
        <w:rPr>
          <w:b/>
        </w:rPr>
        <w:t xml:space="preserve"> </w:t>
      </w:r>
      <w:r w:rsidR="00676E3D">
        <w:rPr>
          <w:b/>
        </w:rPr>
        <w:t>"</w:t>
      </w:r>
      <w:r w:rsidRPr="00E04BE9" w:rsidR="00980030">
        <w:rPr>
          <w:b/>
        </w:rPr>
        <w:t>Veicināt energoefektivitātes paaugstināšanu dzīvojamās ēkās</w:t>
      </w:r>
      <w:r w:rsidR="00676E3D">
        <w:rPr>
          <w:b/>
        </w:rPr>
        <w:t>"</w:t>
      </w:r>
      <w:bookmarkEnd w:id="1"/>
      <w:bookmarkEnd w:id="2"/>
    </w:p>
    <w:p w:rsidR="00F50245" w:rsidRPr="00E04BE9" w:rsidP="00A15627">
      <w:pPr>
        <w:pStyle w:val="ListParagraph"/>
        <w:ind w:left="0" w:firstLine="426"/>
        <w:jc w:val="both"/>
      </w:pPr>
    </w:p>
    <w:p w:rsidR="00086DD6" w:rsidRPr="00E04BE9" w:rsidP="002A3A95">
      <w:pPr>
        <w:pStyle w:val="ListParagraph"/>
        <w:spacing w:after="120"/>
        <w:ind w:left="0" w:firstLine="425"/>
        <w:jc w:val="both"/>
      </w:pPr>
      <w:r w:rsidRPr="00E04BE9">
        <w:t xml:space="preserve">Informatīvais ziņojums sagatavots saskaņā ar </w:t>
      </w:r>
      <w:r w:rsidRPr="00E04BE9" w:rsidR="000B7DA3">
        <w:t xml:space="preserve">Ministru kabineta 2016.gada 1.novembra </w:t>
      </w:r>
      <w:r w:rsidRPr="00E04BE9">
        <w:t>lēmumu</w:t>
      </w:r>
      <w:r>
        <w:rPr>
          <w:vertAlign w:val="superscript"/>
        </w:rPr>
        <w:footnoteReference w:id="2"/>
      </w:r>
      <w:r w:rsidRPr="00E04BE9">
        <w:t xml:space="preserve">: </w:t>
      </w:r>
      <w:r w:rsidR="00676E3D">
        <w:t>"</w:t>
      </w:r>
      <w:r w:rsidRPr="00E04BE9">
        <w:t xml:space="preserve">Ekonomikas ministrijai pēc Eiropas Komisijas pozitīva viedokļa saņemšanas par sabiedrības </w:t>
      </w:r>
      <w:r w:rsidR="00676E3D">
        <w:t>"</w:t>
      </w:r>
      <w:r w:rsidRPr="00E04BE9">
        <w:t>Altum</w:t>
      </w:r>
      <w:r w:rsidR="00676E3D">
        <w:t>"</w:t>
      </w:r>
      <w:r w:rsidRPr="00E04BE9">
        <w:t xml:space="preserve"> kapitāla izmantošanas maksas noteikšanu, iesniegt izskatīšanai Ministru kabinetā informatīvo ziņojumu un protokollēmuma projektu par sabiedrības </w:t>
      </w:r>
      <w:bookmarkStart w:id="5" w:name="_Hlk499292186"/>
      <w:r w:rsidR="00676E3D">
        <w:t>"</w:t>
      </w:r>
      <w:r w:rsidRPr="00E04BE9">
        <w:t>Altum</w:t>
      </w:r>
      <w:r w:rsidR="00676E3D">
        <w:t>"</w:t>
      </w:r>
      <w:r w:rsidRPr="00E04BE9">
        <w:t xml:space="preserve"> </w:t>
      </w:r>
      <w:bookmarkStart w:id="6" w:name="_Hlk499293718"/>
      <w:r w:rsidRPr="00E04BE9">
        <w:t>kapitāla atdeves nodrošināšanu</w:t>
      </w:r>
      <w:bookmarkEnd w:id="6"/>
      <w:r w:rsidRPr="00E04BE9">
        <w:t xml:space="preserve">, īstenojot </w:t>
      </w:r>
      <w:bookmarkStart w:id="7" w:name="_Hlk499290491"/>
      <w:r w:rsidRPr="00E04BE9">
        <w:t>4.2.1.1.pasākumu</w:t>
      </w:r>
      <w:bookmarkEnd w:id="7"/>
      <w:r w:rsidR="00676E3D">
        <w:t>"</w:t>
      </w:r>
      <w:bookmarkEnd w:id="5"/>
      <w:r w:rsidRPr="00E04BE9">
        <w:t>.</w:t>
      </w:r>
    </w:p>
    <w:p w:rsidR="00915A4E" w:rsidRPr="00E04BE9" w:rsidP="007D60D8">
      <w:pPr>
        <w:pStyle w:val="ListParagraph"/>
        <w:numPr>
          <w:ilvl w:val="0"/>
          <w:numId w:val="20"/>
        </w:numPr>
        <w:spacing w:after="120"/>
        <w:ind w:left="284"/>
        <w:jc w:val="both"/>
      </w:pPr>
      <w:r w:rsidRPr="00E04BE9">
        <w:rPr>
          <w:u w:val="single"/>
        </w:rPr>
        <w:t xml:space="preserve">Pozitīva viedokļa saņemšana no Eiropas Komisijas par </w:t>
      </w:r>
      <w:r w:rsidRPr="00E04BE9" w:rsidR="00835A90">
        <w:rPr>
          <w:u w:val="single"/>
        </w:rPr>
        <w:t xml:space="preserve">maksas noteikšanu par </w:t>
      </w:r>
      <w:r w:rsidR="00676E3D">
        <w:rPr>
          <w:u w:val="single"/>
        </w:rPr>
        <w:t xml:space="preserve">akciju </w:t>
      </w:r>
      <w:r w:rsidRPr="00E04BE9">
        <w:rPr>
          <w:u w:val="single"/>
        </w:rPr>
        <w:t>sabiedrīb</w:t>
      </w:r>
      <w:r w:rsidRPr="00E04BE9" w:rsidR="00835A90">
        <w:rPr>
          <w:u w:val="single"/>
        </w:rPr>
        <w:t>as</w:t>
      </w:r>
      <w:r w:rsidR="00676E3D">
        <w:rPr>
          <w:u w:val="single"/>
        </w:rPr>
        <w:t xml:space="preserve"> "Attīstības finanšu institūcija</w:t>
      </w:r>
      <w:r w:rsidRPr="00E04BE9" w:rsidR="00835A90">
        <w:rPr>
          <w:u w:val="single"/>
        </w:rPr>
        <w:t xml:space="preserve"> Altum</w:t>
      </w:r>
      <w:r w:rsidR="00676E3D">
        <w:rPr>
          <w:u w:val="single"/>
        </w:rPr>
        <w:t>"</w:t>
      </w:r>
      <w:r w:rsidRPr="00E04BE9" w:rsidR="00835A90">
        <w:rPr>
          <w:u w:val="single"/>
        </w:rPr>
        <w:t xml:space="preserve"> kapitāla izmantošanu</w:t>
      </w:r>
      <w:r w:rsidR="009A772D">
        <w:rPr>
          <w:u w:val="single"/>
        </w:rPr>
        <w:t>.</w:t>
      </w:r>
    </w:p>
    <w:p w:rsidR="00B52991" w:rsidRPr="00E04BE9" w:rsidP="007E69B6">
      <w:pPr>
        <w:pStyle w:val="ListParagraph"/>
        <w:ind w:left="0" w:firstLine="426"/>
        <w:jc w:val="both"/>
        <w:rPr>
          <w:bCs/>
        </w:rPr>
      </w:pPr>
      <w:r w:rsidRPr="00E04BE9">
        <w:t xml:space="preserve">Ņemot vērā Eiropas Komisijas </w:t>
      </w:r>
      <w:r w:rsidRPr="00E04BE9" w:rsidR="00B02A4A">
        <w:t>2015.</w:t>
      </w:r>
      <w:r w:rsidRPr="00E04BE9" w:rsidR="004F56BC">
        <w:t>gada 9.jūnija</w:t>
      </w:r>
      <w:r w:rsidRPr="00E04BE9" w:rsidR="00B02A4A">
        <w:t xml:space="preserve"> </w:t>
      </w:r>
      <w:r w:rsidRPr="00E04BE9">
        <w:t>lēmumu N</w:t>
      </w:r>
      <w:r w:rsidRPr="00E04BE9" w:rsidR="004F56BC">
        <w:t>r.</w:t>
      </w:r>
      <w:r w:rsidRPr="00E04BE9">
        <w:t xml:space="preserve"> SA.36904 (2014/N) </w:t>
      </w:r>
      <w:bookmarkStart w:id="8" w:name="_Hlk497207267"/>
      <w:r w:rsidR="00676E3D">
        <w:t>"</w:t>
      </w:r>
      <w:r w:rsidRPr="00E04BE9">
        <w:t xml:space="preserve">LHZB attīstības (programmu) </w:t>
      </w:r>
      <w:r w:rsidRPr="00E04BE9" w:rsidR="00B02A4A">
        <w:t>daļa</w:t>
      </w:r>
      <w:r w:rsidRPr="00E04BE9">
        <w:t xml:space="preserve"> un Latvijas</w:t>
      </w:r>
      <w:r w:rsidRPr="00E04BE9" w:rsidR="00B02A4A">
        <w:t xml:space="preserve"> vienotās</w:t>
      </w:r>
      <w:r w:rsidRPr="00E04BE9">
        <w:t xml:space="preserve"> attīstības finanšu institūcijas izveide</w:t>
      </w:r>
      <w:r w:rsidR="00676E3D">
        <w:t>"</w:t>
      </w:r>
      <w:r w:rsidRPr="00E04BE9">
        <w:t xml:space="preserve"> </w:t>
      </w:r>
      <w:bookmarkEnd w:id="8"/>
      <w:r w:rsidRPr="00E04BE9" w:rsidR="00B02A4A">
        <w:t>un</w:t>
      </w:r>
      <w:r w:rsidRPr="00E04BE9">
        <w:t xml:space="preserve"> </w:t>
      </w:r>
      <w:r w:rsidRPr="00E04BE9" w:rsidR="00915A4E">
        <w:t xml:space="preserve">jautājumus, kas tika apspriesti </w:t>
      </w:r>
      <w:r w:rsidRPr="00E04BE9" w:rsidR="000E0100">
        <w:t xml:space="preserve">Finanšu ministrijas pārstāvju </w:t>
      </w:r>
      <w:r w:rsidRPr="00A258C8" w:rsidR="00411393">
        <w:t>2016.gada 29.j</w:t>
      </w:r>
      <w:r w:rsidRPr="005F70BF" w:rsidR="00411393">
        <w:t>ūnija</w:t>
      </w:r>
      <w:r w:rsidRPr="00E04BE9" w:rsidR="00915A4E">
        <w:t>sanāksmē ar Eiropas Komisijas Konkurences ģenerāldirektorātu</w:t>
      </w:r>
      <w:r w:rsidRPr="00E04BE9" w:rsidR="003C0D7A">
        <w:t xml:space="preserve">, Konkurences </w:t>
      </w:r>
      <w:r w:rsidRPr="00E04BE9" w:rsidR="00296CF0">
        <w:t>ģenerā</w:t>
      </w:r>
      <w:r w:rsidRPr="00E04BE9" w:rsidR="003C0D7A">
        <w:t>ldirektorātam</w:t>
      </w:r>
      <w:r w:rsidRPr="00E04BE9" w:rsidR="00133344">
        <w:t xml:space="preserve"> izskatīš</w:t>
      </w:r>
      <w:r w:rsidRPr="00E04BE9" w:rsidR="000A791D">
        <w:t>a</w:t>
      </w:r>
      <w:r w:rsidRPr="00E04BE9" w:rsidR="00133344">
        <w:t>nai</w:t>
      </w:r>
      <w:r w:rsidRPr="00E04BE9" w:rsidR="003C0D7A">
        <w:t xml:space="preserve"> tika nosūtīts dokuments</w:t>
      </w:r>
      <w:r w:rsidRPr="00E04BE9" w:rsidR="00133344">
        <w:t xml:space="preserve"> </w:t>
      </w:r>
      <w:r w:rsidR="00676E3D">
        <w:t>"</w:t>
      </w:r>
      <w:bookmarkStart w:id="9" w:name="_Hlk497210579"/>
      <w:r w:rsidRPr="00E04BE9" w:rsidR="00133344">
        <w:t>Par atbalsta programmu īstenošanai izmantotā Altum pašu kapitāla atdevi</w:t>
      </w:r>
      <w:bookmarkEnd w:id="9"/>
      <w:r w:rsidR="00676E3D">
        <w:t>"</w:t>
      </w:r>
      <w:r w:rsidRPr="00E04BE9" w:rsidR="004F56BC">
        <w:t xml:space="preserve"> ar </w:t>
      </w:r>
      <w:r w:rsidRPr="00E04BE9" w:rsidR="00980030">
        <w:t>lūg</w:t>
      </w:r>
      <w:r w:rsidRPr="00E04BE9" w:rsidR="004F56BC">
        <w:t>umu</w:t>
      </w:r>
      <w:r w:rsidRPr="00E04BE9" w:rsidR="00980030">
        <w:t xml:space="preserve"> </w:t>
      </w:r>
      <w:r w:rsidRPr="00E04BE9" w:rsidR="00133344">
        <w:t>sniegt apsti</w:t>
      </w:r>
      <w:r w:rsidRPr="00E04BE9" w:rsidR="003C0D7A">
        <w:t>prinājumu</w:t>
      </w:r>
      <w:r w:rsidRPr="00E04BE9" w:rsidR="00133344">
        <w:t xml:space="preserve">, ka </w:t>
      </w:r>
      <w:r w:rsidRPr="00A4650C" w:rsidR="00A4650C">
        <w:t xml:space="preserve">akciju sabiedrība </w:t>
      </w:r>
      <w:r w:rsidR="00676E3D">
        <w:t>"</w:t>
      </w:r>
      <w:r w:rsidRPr="00A4650C" w:rsidR="00A4650C">
        <w:t>Attīstības finanšu institūcija Altum</w:t>
      </w:r>
      <w:r w:rsidR="00676E3D">
        <w:t>"</w:t>
      </w:r>
      <w:r w:rsidRPr="00A4650C" w:rsidR="00A4650C">
        <w:t xml:space="preserve"> </w:t>
      </w:r>
      <w:r w:rsidR="00A4650C">
        <w:t xml:space="preserve">(turpmāk – </w:t>
      </w:r>
      <w:r w:rsidRPr="00E04BE9" w:rsidR="007E69B6">
        <w:rPr>
          <w:bCs/>
        </w:rPr>
        <w:t>Altum</w:t>
      </w:r>
      <w:r w:rsidR="00A4650C">
        <w:rPr>
          <w:bCs/>
        </w:rPr>
        <w:t>)</w:t>
      </w:r>
      <w:r w:rsidRPr="00E04BE9" w:rsidR="007E69B6">
        <w:rPr>
          <w:bCs/>
        </w:rPr>
        <w:t xml:space="preserve"> netiek pārkompensēt</w:t>
      </w:r>
      <w:r w:rsidR="00AF1911">
        <w:rPr>
          <w:bCs/>
        </w:rPr>
        <w:t>a</w:t>
      </w:r>
      <w:r w:rsidRPr="00E04BE9" w:rsidR="007E69B6">
        <w:rPr>
          <w:bCs/>
        </w:rPr>
        <w:t>,</w:t>
      </w:r>
      <w:r w:rsidRPr="00E04BE9" w:rsidR="007E69B6">
        <w:t xml:space="preserve"> </w:t>
      </w:r>
      <w:r w:rsidRPr="00E04BE9" w:rsidR="007E69B6">
        <w:rPr>
          <w:bCs/>
        </w:rPr>
        <w:t>saņemot ienākumus</w:t>
      </w:r>
      <w:r>
        <w:rPr>
          <w:rStyle w:val="FootnoteReference"/>
        </w:rPr>
        <w:footnoteReference w:id="3"/>
      </w:r>
      <w:r w:rsidRPr="00E04BE9" w:rsidR="007E69B6">
        <w:t xml:space="preserve"> </w:t>
      </w:r>
      <w:r w:rsidRPr="00E04BE9" w:rsidR="007E69B6">
        <w:rPr>
          <w:bCs/>
        </w:rPr>
        <w:t>par programmu īstenošanai izmantoto pašu kapitāla daļu</w:t>
      </w:r>
      <w:r w:rsidRPr="00E04BE9" w:rsidR="007E69B6">
        <w:t xml:space="preserve">, kas </w:t>
      </w:r>
      <w:r w:rsidRPr="00E04BE9" w:rsidR="007E69B6">
        <w:rPr>
          <w:bCs/>
        </w:rPr>
        <w:t xml:space="preserve">atbilst Altum uzņemtajiem programmu </w:t>
      </w:r>
      <w:r w:rsidRPr="00E04BE9" w:rsidR="00FE3726">
        <w:rPr>
          <w:bCs/>
        </w:rPr>
        <w:t>īstenošanas</w:t>
      </w:r>
      <w:r w:rsidRPr="00E04BE9" w:rsidR="007E69B6">
        <w:rPr>
          <w:bCs/>
        </w:rPr>
        <w:t xml:space="preserve"> riskiem un kas var veidot pozitīvu kapitāla atdevi, izpildot </w:t>
      </w:r>
      <w:r w:rsidRPr="00E04BE9" w:rsidR="00980030">
        <w:rPr>
          <w:bCs/>
        </w:rPr>
        <w:t xml:space="preserve">šādus </w:t>
      </w:r>
      <w:r w:rsidRPr="00E04BE9" w:rsidR="007E69B6">
        <w:rPr>
          <w:bCs/>
        </w:rPr>
        <w:t>nosacījumus</w:t>
      </w:r>
      <w:r w:rsidR="00676E3D">
        <w:t>:</w:t>
      </w:r>
    </w:p>
    <w:p w:rsidR="00B52991" w:rsidRPr="00E04BE9" w:rsidP="0097100F">
      <w:pPr>
        <w:pStyle w:val="ListParagraph"/>
        <w:numPr>
          <w:ilvl w:val="1"/>
          <w:numId w:val="12"/>
        </w:numPr>
        <w:ind w:left="709" w:hanging="425"/>
        <w:jc w:val="both"/>
      </w:pPr>
      <w:r w:rsidRPr="00E04BE9">
        <w:t xml:space="preserve">Altum darbojas atbilstoši Eiropas Komisijas </w:t>
      </w:r>
      <w:r w:rsidRPr="00E04BE9" w:rsidR="007118C3">
        <w:t xml:space="preserve">2015.gada 9.jūnija </w:t>
      </w:r>
      <w:r w:rsidRPr="00E04BE9">
        <w:t xml:space="preserve">lēmumam </w:t>
      </w:r>
      <w:r w:rsidRPr="00E04BE9" w:rsidR="00C72D9E">
        <w:t xml:space="preserve">No SA.36904 (2014/N) </w:t>
      </w:r>
      <w:r w:rsidR="00676E3D">
        <w:t>"</w:t>
      </w:r>
      <w:r w:rsidRPr="00E04BE9">
        <w:t>LHZB attīstības (programmu) daļa un Latvijas vienotās attīstības finanšu institūcijas izveide</w:t>
      </w:r>
      <w:r w:rsidR="00676E3D">
        <w:t>"</w:t>
      </w:r>
      <w:r w:rsidRPr="00E04BE9">
        <w:t xml:space="preserve">; </w:t>
      </w:r>
    </w:p>
    <w:p w:rsidR="00B52991" w:rsidRPr="00E04BE9" w:rsidP="0097100F">
      <w:pPr>
        <w:pStyle w:val="ListParagraph"/>
        <w:numPr>
          <w:ilvl w:val="1"/>
          <w:numId w:val="12"/>
        </w:numPr>
        <w:spacing w:after="120"/>
        <w:ind w:left="709" w:hanging="425"/>
        <w:jc w:val="both"/>
      </w:pPr>
      <w:r w:rsidRPr="00E04BE9">
        <w:t>Altum</w:t>
      </w:r>
      <w:r w:rsidRPr="00E04BE9" w:rsidR="009379D9">
        <w:t xml:space="preserve"> īsteno pasākumus, kas nodrošina, ka maksa par pašu kapitālu, kas tiek izmantot</w:t>
      </w:r>
      <w:r w:rsidRPr="00E04BE9" w:rsidR="00980030">
        <w:t>a</w:t>
      </w:r>
      <w:r w:rsidRPr="00E04BE9" w:rsidR="009379D9">
        <w:t xml:space="preserve"> programmu īstenošanai, kopā ar ieņēmumiem</w:t>
      </w:r>
      <w:r w:rsidRPr="00E04BE9" w:rsidR="001C753B">
        <w:t xml:space="preserve"> no programmas</w:t>
      </w:r>
      <w:r>
        <w:rPr>
          <w:rStyle w:val="FootnoteReference"/>
        </w:rPr>
        <w:footnoteReference w:id="4"/>
      </w:r>
      <w:r w:rsidRPr="00E04BE9" w:rsidR="001C753B">
        <w:t xml:space="preserve"> </w:t>
      </w:r>
      <w:r w:rsidRPr="00E04BE9" w:rsidR="009379D9">
        <w:t>veido pašu kapitāla atdevi</w:t>
      </w:r>
      <w:r w:rsidRPr="00E04BE9" w:rsidR="001C753B">
        <w:t xml:space="preserve">, kas atbilst </w:t>
      </w:r>
      <w:r w:rsidRPr="00E04BE9" w:rsidR="00FE3726">
        <w:t xml:space="preserve">kapitāla </w:t>
      </w:r>
      <w:r w:rsidRPr="00E04BE9" w:rsidR="00FE3726">
        <w:t>atdevei</w:t>
      </w:r>
      <w:r w:rsidRPr="00E04BE9" w:rsidR="00FE3726">
        <w:t xml:space="preserve"> </w:t>
      </w:r>
      <w:r w:rsidR="005F70BF">
        <w:t>Eiropas Savienības</w:t>
      </w:r>
      <w:r w:rsidRPr="00E04BE9" w:rsidR="005F70BF">
        <w:t xml:space="preserve"> </w:t>
      </w:r>
      <w:r w:rsidRPr="00E04BE9" w:rsidR="00FE3726">
        <w:t>dalībvalstu</w:t>
      </w:r>
      <w:r w:rsidRPr="00E04BE9" w:rsidR="001C753B">
        <w:t xml:space="preserve"> </w:t>
      </w:r>
      <w:r w:rsidRPr="00E04BE9" w:rsidR="00FE3726">
        <w:t>attīst</w:t>
      </w:r>
      <w:r w:rsidRPr="00E04BE9" w:rsidR="000A12DB">
        <w:t>ības fi</w:t>
      </w:r>
      <w:r w:rsidRPr="00E04BE9" w:rsidR="00FE3726">
        <w:t>n</w:t>
      </w:r>
      <w:r w:rsidRPr="00E04BE9" w:rsidR="000A12DB">
        <w:t>an</w:t>
      </w:r>
      <w:r w:rsidRPr="00E04BE9" w:rsidR="00FE3726">
        <w:t xml:space="preserve">šu institūcijās, kas ir līdzīgas </w:t>
      </w:r>
      <w:r w:rsidRPr="00E04BE9">
        <w:t>Altum</w:t>
      </w:r>
      <w:r w:rsidRPr="00E04BE9">
        <w:t xml:space="preserve"> (</w:t>
      </w:r>
      <w:r w:rsidRPr="00E04BE9">
        <w:t>Bulgarian</w:t>
      </w:r>
      <w:r w:rsidRPr="00E04BE9">
        <w:t xml:space="preserve"> </w:t>
      </w:r>
      <w:r w:rsidRPr="00E04BE9">
        <w:t>Development</w:t>
      </w:r>
      <w:r w:rsidRPr="00E04BE9">
        <w:t xml:space="preserve"> </w:t>
      </w:r>
      <w:r w:rsidRPr="00E04BE9">
        <w:t>Bank</w:t>
      </w:r>
      <w:r w:rsidRPr="00E04BE9">
        <w:t xml:space="preserve">, </w:t>
      </w:r>
      <w:r w:rsidRPr="00E04BE9">
        <w:t>Croatian</w:t>
      </w:r>
      <w:r w:rsidRPr="00E04BE9">
        <w:t xml:space="preserve"> </w:t>
      </w:r>
      <w:r w:rsidRPr="00E04BE9">
        <w:t>Bank</w:t>
      </w:r>
      <w:r w:rsidRPr="00E04BE9">
        <w:t xml:space="preserve"> </w:t>
      </w:r>
      <w:r w:rsidRPr="00E04BE9">
        <w:t>for</w:t>
      </w:r>
      <w:r w:rsidRPr="00E04BE9">
        <w:t xml:space="preserve"> </w:t>
      </w:r>
      <w:r w:rsidRPr="00E04BE9">
        <w:t>Reconstruction</w:t>
      </w:r>
      <w:r w:rsidRPr="00E04BE9">
        <w:t xml:space="preserve"> </w:t>
      </w:r>
      <w:r w:rsidRPr="00E04BE9">
        <w:t>and</w:t>
      </w:r>
      <w:r w:rsidRPr="00E04BE9">
        <w:t xml:space="preserve"> </w:t>
      </w:r>
      <w:r w:rsidRPr="00E04BE9">
        <w:t>Development</w:t>
      </w:r>
      <w:r w:rsidRPr="00E04BE9">
        <w:t xml:space="preserve">, </w:t>
      </w:r>
      <w:r w:rsidRPr="00E04BE9">
        <w:t>Czech-Moravian</w:t>
      </w:r>
      <w:r w:rsidRPr="00E04BE9">
        <w:t xml:space="preserve"> </w:t>
      </w:r>
      <w:r w:rsidRPr="00E04BE9">
        <w:t>Guarantee</w:t>
      </w:r>
      <w:r w:rsidRPr="00E04BE9">
        <w:t xml:space="preserve"> </w:t>
      </w:r>
      <w:r w:rsidRPr="00E04BE9">
        <w:t>and</w:t>
      </w:r>
      <w:r w:rsidRPr="00E04BE9">
        <w:t xml:space="preserve"> </w:t>
      </w:r>
      <w:r w:rsidRPr="00E04BE9">
        <w:t>Development</w:t>
      </w:r>
      <w:r w:rsidRPr="00E04BE9">
        <w:t xml:space="preserve"> </w:t>
      </w:r>
      <w:r w:rsidRPr="00E04BE9">
        <w:t>Bank</w:t>
      </w:r>
      <w:r w:rsidRPr="00E04BE9">
        <w:t xml:space="preserve">, </w:t>
      </w:r>
      <w:r w:rsidRPr="00E04BE9">
        <w:t>Fund</w:t>
      </w:r>
      <w:r w:rsidRPr="00E04BE9">
        <w:t xml:space="preserve"> </w:t>
      </w:r>
      <w:r w:rsidRPr="00E04BE9">
        <w:t>KredEx</w:t>
      </w:r>
      <w:r w:rsidRPr="00E04BE9">
        <w:t xml:space="preserve">, </w:t>
      </w:r>
      <w:r w:rsidRPr="00E04BE9">
        <w:t>Finnvera</w:t>
      </w:r>
      <w:r w:rsidRPr="00E04BE9">
        <w:t xml:space="preserve">, </w:t>
      </w:r>
      <w:r w:rsidRPr="00E04BE9">
        <w:t>Slovak</w:t>
      </w:r>
      <w:r w:rsidRPr="00E04BE9">
        <w:t xml:space="preserve"> </w:t>
      </w:r>
      <w:r w:rsidRPr="00E04BE9">
        <w:t>Guarantee</w:t>
      </w:r>
      <w:r w:rsidRPr="00E04BE9">
        <w:t xml:space="preserve"> </w:t>
      </w:r>
      <w:r w:rsidRPr="00E04BE9">
        <w:t>and</w:t>
      </w:r>
      <w:r w:rsidRPr="00E04BE9">
        <w:t xml:space="preserve"> </w:t>
      </w:r>
      <w:r w:rsidRPr="00E04BE9">
        <w:t>Development</w:t>
      </w:r>
      <w:r w:rsidRPr="00E04BE9">
        <w:t xml:space="preserve"> </w:t>
      </w:r>
      <w:r w:rsidRPr="00E04BE9">
        <w:t>Bank</w:t>
      </w:r>
      <w:r w:rsidRPr="00E04BE9">
        <w:t>, SID Bank).</w:t>
      </w:r>
      <w:r w:rsidR="00676E3D">
        <w:t>"</w:t>
      </w:r>
      <w:r w:rsidRPr="00E04BE9">
        <w:t xml:space="preserve"> </w:t>
      </w:r>
    </w:p>
    <w:p w:rsidR="004534B9" w:rsidRPr="00E04BE9" w:rsidP="005454B4">
      <w:pPr>
        <w:pStyle w:val="ListParagraph"/>
        <w:ind w:left="0" w:firstLine="425"/>
        <w:jc w:val="both"/>
      </w:pPr>
      <w:r w:rsidRPr="00E04BE9">
        <w:t>2017.</w:t>
      </w:r>
      <w:r w:rsidRPr="00E04BE9" w:rsidR="004F56BC">
        <w:t>gada 30.jūnijā</w:t>
      </w:r>
      <w:r w:rsidRPr="00E04BE9">
        <w:t xml:space="preserve"> Eiropas Komisijas Konkurences </w:t>
      </w:r>
      <w:r w:rsidRPr="00E04BE9" w:rsidR="000A12DB">
        <w:t>ģenerā</w:t>
      </w:r>
      <w:r w:rsidRPr="00E04BE9">
        <w:t>ldirektorāts elektroniskā pasta vēstulē sniedza pozitīvu viedokli par</w:t>
      </w:r>
      <w:r w:rsidRPr="00E04BE9" w:rsidR="00250D71">
        <w:t xml:space="preserve"> </w:t>
      </w:r>
      <w:r w:rsidRPr="00E04BE9" w:rsidR="00980030">
        <w:t>Altum</w:t>
      </w:r>
      <w:r w:rsidRPr="00E04BE9">
        <w:t xml:space="preserve"> </w:t>
      </w:r>
      <w:r w:rsidRPr="00E04BE9" w:rsidR="00E261D7">
        <w:t xml:space="preserve">sagatavoto </w:t>
      </w:r>
      <w:r w:rsidRPr="00E04BE9">
        <w:t xml:space="preserve">dokumentu </w:t>
      </w:r>
      <w:r w:rsidR="00676E3D">
        <w:t>"</w:t>
      </w:r>
      <w:r w:rsidRPr="00E04BE9" w:rsidR="00BF2518">
        <w:t>Par atbalsta programmu īstenošanai izmantotā Altum pašu kapitāla atdevi</w:t>
      </w:r>
      <w:r w:rsidR="00676E3D">
        <w:t>"</w:t>
      </w:r>
      <w:r w:rsidRPr="00E04BE9" w:rsidR="00E261D7">
        <w:t>. Eiro</w:t>
      </w:r>
      <w:r w:rsidRPr="00E04BE9" w:rsidR="000A12DB">
        <w:t>pas Komisija</w:t>
      </w:r>
      <w:r w:rsidRPr="00E04BE9" w:rsidR="00E261D7">
        <w:t xml:space="preserve"> vēstulē</w:t>
      </w:r>
      <w:r w:rsidRPr="00E04BE9">
        <w:t xml:space="preserve"> nor</w:t>
      </w:r>
      <w:r w:rsidRPr="00E04BE9" w:rsidR="00E261D7">
        <w:t>ād</w:t>
      </w:r>
      <w:r w:rsidRPr="00E04BE9" w:rsidR="00B5156C">
        <w:t>īja</w:t>
      </w:r>
      <w:r w:rsidRPr="00E04BE9">
        <w:t xml:space="preserve">: </w:t>
      </w:r>
    </w:p>
    <w:p w:rsidR="00BF2518" w:rsidP="00AB6B00">
      <w:pPr>
        <w:pStyle w:val="ListParagraph"/>
        <w:ind w:left="0" w:firstLine="426"/>
        <w:jc w:val="both"/>
      </w:pPr>
      <w:r>
        <w:t>"</w:t>
      </w:r>
      <w:r w:rsidRPr="00E04BE9" w:rsidR="00296CF0">
        <w:t>Mēs saprotam, ka Jūsu mērķis</w:t>
      </w:r>
      <w:r w:rsidRPr="00E04BE9" w:rsidR="00474562">
        <w:t xml:space="preserve"> ir </w:t>
      </w:r>
      <w:r w:rsidRPr="00E04BE9" w:rsidR="00296CF0">
        <w:t>sa</w:t>
      </w:r>
      <w:r w:rsidRPr="00E04BE9" w:rsidR="00474562">
        <w:t>ņem</w:t>
      </w:r>
      <w:r w:rsidRPr="00E04BE9" w:rsidR="00296CF0">
        <w:t>t</w:t>
      </w:r>
      <w:r w:rsidRPr="00E04BE9" w:rsidR="00474562">
        <w:t xml:space="preserve"> maksu </w:t>
      </w:r>
      <w:r w:rsidRPr="00E04BE9" w:rsidR="00474562">
        <w:rPr>
          <w:bCs/>
        </w:rPr>
        <w:t>par programmu īstenošanai izmantoto Altum pašu kapitālu</w:t>
      </w:r>
      <w:r w:rsidRPr="00E04BE9" w:rsidR="00474562">
        <w:t xml:space="preserve">, kas </w:t>
      </w:r>
      <w:r w:rsidRPr="00E04BE9" w:rsidR="00474562">
        <w:rPr>
          <w:bCs/>
        </w:rPr>
        <w:t>atbilst Altum uzņemtajiem programmu īstenošanas riskiem (</w:t>
      </w:r>
      <w:r w:rsidRPr="00E04BE9">
        <w:rPr>
          <w:bCs/>
        </w:rPr>
        <w:t xml:space="preserve">piemēram, kapitāls izmantots </w:t>
      </w:r>
      <w:r w:rsidRPr="00E04BE9" w:rsidR="00E261D7">
        <w:rPr>
          <w:bCs/>
        </w:rPr>
        <w:t>aktivitātēm</w:t>
      </w:r>
      <w:r w:rsidRPr="00E04BE9" w:rsidR="000A12DB">
        <w:rPr>
          <w:bCs/>
        </w:rPr>
        <w:t>, par kurām Altum</w:t>
      </w:r>
      <w:r w:rsidRPr="00E04BE9" w:rsidR="00E261D7">
        <w:rPr>
          <w:bCs/>
        </w:rPr>
        <w:t xml:space="preserve"> uzņemas risku</w:t>
      </w:r>
      <w:r w:rsidRPr="00E04BE9" w:rsidR="00835A90">
        <w:rPr>
          <w:bCs/>
        </w:rPr>
        <w:t xml:space="preserve"> pats</w:t>
      </w:r>
      <w:r w:rsidRPr="00E04BE9">
        <w:rPr>
          <w:bCs/>
        </w:rPr>
        <w:t xml:space="preserve">). </w:t>
      </w:r>
      <w:r w:rsidRPr="00E04BE9" w:rsidR="00B5156C">
        <w:rPr>
          <w:bCs/>
        </w:rPr>
        <w:t>Atbilstoši</w:t>
      </w:r>
      <w:r w:rsidRPr="00E04BE9">
        <w:rPr>
          <w:bCs/>
        </w:rPr>
        <w:t xml:space="preserve"> </w:t>
      </w:r>
      <w:r w:rsidRPr="00E04BE9">
        <w:t>mūsu veikt</w:t>
      </w:r>
      <w:r w:rsidRPr="00E04BE9" w:rsidR="00B5156C">
        <w:t>ajai</w:t>
      </w:r>
      <w:r w:rsidRPr="00E04BE9">
        <w:t xml:space="preserve"> Jūsu dokumentu anal</w:t>
      </w:r>
      <w:r w:rsidRPr="00E04BE9" w:rsidR="00B5156C">
        <w:t>īzei</w:t>
      </w:r>
      <w:r w:rsidRPr="00E04BE9">
        <w:t xml:space="preserve"> un m</w:t>
      </w:r>
      <w:r w:rsidRPr="00E04BE9" w:rsidR="00E261D7">
        <w:t>ūsu izpratn</w:t>
      </w:r>
      <w:r w:rsidRPr="00E04BE9" w:rsidR="00B5156C">
        <w:t>e</w:t>
      </w:r>
      <w:r w:rsidRPr="00E04BE9" w:rsidR="00E261D7">
        <w:t>i</w:t>
      </w:r>
      <w:r w:rsidRPr="00E04BE9">
        <w:t xml:space="preserve">, ka Altum </w:t>
      </w:r>
      <w:r w:rsidRPr="00E04BE9" w:rsidR="00E261D7">
        <w:t>v</w:t>
      </w:r>
      <w:r w:rsidRPr="00E04BE9" w:rsidR="0035752D">
        <w:t xml:space="preserve">ēlas piemērot </w:t>
      </w:r>
      <w:r w:rsidRPr="00E04BE9" w:rsidR="00AB6B00">
        <w:t>tirgum vairāk atbilstošu</w:t>
      </w:r>
      <w:r w:rsidRPr="00E04BE9" w:rsidR="0035752D">
        <w:t xml:space="preserve"> </w:t>
      </w:r>
      <w:r w:rsidRPr="00E04BE9" w:rsidR="000A12DB">
        <w:t>maksu par kapitālu, ko Altum</w:t>
      </w:r>
      <w:r w:rsidRPr="00E04BE9" w:rsidR="0035752D">
        <w:t xml:space="preserve"> izmanto</w:t>
      </w:r>
      <w:r w:rsidRPr="00E04BE9" w:rsidR="00AB6B00">
        <w:t xml:space="preserve"> </w:t>
      </w:r>
      <w:r w:rsidRPr="00E04BE9" w:rsidR="0035752D">
        <w:t xml:space="preserve">savām programmām, mēs </w:t>
      </w:r>
      <w:r w:rsidRPr="00E04BE9" w:rsidR="00AB6B00">
        <w:t>nesaskatām</w:t>
      </w:r>
      <w:r w:rsidRPr="00E04BE9" w:rsidR="0035752D">
        <w:t>, ka šis priekšlikums pārkāpj valsts atbalsta noteikum</w:t>
      </w:r>
      <w:r w:rsidRPr="00E04BE9" w:rsidR="00AB6B00">
        <w:t>us vai</w:t>
      </w:r>
      <w:r w:rsidRPr="00E04BE9" w:rsidR="00835A90">
        <w:t>,</w:t>
      </w:r>
      <w:r w:rsidRPr="00E04BE9" w:rsidR="00AB6B00">
        <w:t xml:space="preserve"> precīzāk</w:t>
      </w:r>
      <w:r w:rsidRPr="00E04BE9" w:rsidR="00835A90">
        <w:t>,</w:t>
      </w:r>
      <w:r w:rsidRPr="00E04BE9" w:rsidR="00AB6B00">
        <w:t xml:space="preserve"> Komisijas 2015.gada 9.</w:t>
      </w:r>
      <w:r w:rsidRPr="00E04BE9" w:rsidR="0035752D">
        <w:t>jūni</w:t>
      </w:r>
      <w:r w:rsidRPr="00E04BE9" w:rsidR="008B3F06">
        <w:t>ja lēmumu</w:t>
      </w:r>
      <w:r w:rsidRPr="00E04BE9" w:rsidR="000A12DB">
        <w:t xml:space="preserve"> un</w:t>
      </w:r>
      <w:r w:rsidRPr="00E04BE9" w:rsidR="008B3F06">
        <w:t>,</w:t>
      </w:r>
      <w:r w:rsidRPr="00E04BE9" w:rsidR="000A12DB">
        <w:t xml:space="preserve"> </w:t>
      </w:r>
      <w:r w:rsidRPr="00E04BE9" w:rsidR="00AB6B00">
        <w:t>tādēļ</w:t>
      </w:r>
      <w:r w:rsidRPr="00E04BE9" w:rsidR="008B3F06">
        <w:t>,</w:t>
      </w:r>
      <w:r w:rsidRPr="00E04BE9" w:rsidR="00AB6B00">
        <w:t xml:space="preserve"> </w:t>
      </w:r>
      <w:r w:rsidRPr="00E04BE9" w:rsidR="008B3F06">
        <w:t xml:space="preserve">citu </w:t>
      </w:r>
      <w:r w:rsidRPr="00E04BE9" w:rsidR="0035752D">
        <w:t>k</w:t>
      </w:r>
      <w:r w:rsidRPr="00E04BE9" w:rsidR="00AB6B00">
        <w:t>omentāru</w:t>
      </w:r>
      <w:r w:rsidRPr="00E04BE9" w:rsidR="008B3F06">
        <w:t xml:space="preserve"> nav</w:t>
      </w:r>
      <w:r w:rsidRPr="00E04BE9" w:rsidR="0035752D">
        <w:t>.</w:t>
      </w:r>
      <w:r>
        <w:t>"</w:t>
      </w:r>
    </w:p>
    <w:p w:rsidR="007D60D8" w:rsidRPr="00E04BE9" w:rsidP="00AB6B00">
      <w:pPr>
        <w:pStyle w:val="ListParagraph"/>
        <w:ind w:left="0" w:firstLine="426"/>
        <w:jc w:val="both"/>
      </w:pPr>
    </w:p>
    <w:p w:rsidR="00084CDE" w:rsidRPr="007D60D8" w:rsidP="007D60D8">
      <w:pPr>
        <w:pStyle w:val="ListParagraph"/>
        <w:numPr>
          <w:ilvl w:val="0"/>
          <w:numId w:val="20"/>
        </w:numPr>
        <w:spacing w:after="120"/>
        <w:ind w:left="284"/>
        <w:jc w:val="both"/>
        <w:rPr>
          <w:u w:val="single"/>
        </w:rPr>
      </w:pPr>
      <w:r w:rsidRPr="00E04BE9">
        <w:rPr>
          <w:u w:val="single"/>
        </w:rPr>
        <w:t xml:space="preserve">Normatīvajos aktos noteiktais </w:t>
      </w:r>
      <w:r w:rsidRPr="00E04BE9" w:rsidR="00150C4A">
        <w:rPr>
          <w:u w:val="single"/>
        </w:rPr>
        <w:t>Altum peļ</w:t>
      </w:r>
      <w:r w:rsidRPr="00E04BE9" w:rsidR="00FF4509">
        <w:rPr>
          <w:u w:val="single"/>
        </w:rPr>
        <w:t>ņas izlietojums</w:t>
      </w:r>
    </w:p>
    <w:p w:rsidR="005454B4" w:rsidP="00894905">
      <w:pPr>
        <w:pStyle w:val="ListParagraph"/>
        <w:ind w:left="0" w:firstLine="425"/>
        <w:jc w:val="both"/>
      </w:pPr>
      <w:r w:rsidRPr="00E04BE9">
        <w:t xml:space="preserve">Saskaņā ar Attīstības finanšu institūcijas likumu </w:t>
      </w:r>
      <w:r w:rsidR="005F70BF">
        <w:t>(</w:t>
      </w:r>
      <w:r w:rsidRPr="00E04BE9" w:rsidR="00894905">
        <w:t>15.panta otr</w:t>
      </w:r>
      <w:r w:rsidR="005F70BF">
        <w:t>ā</w:t>
      </w:r>
      <w:r w:rsidRPr="00E04BE9">
        <w:t xml:space="preserve"> daļ</w:t>
      </w:r>
      <w:r w:rsidR="005F70BF">
        <w:t>a)</w:t>
      </w:r>
      <w:r w:rsidR="00411393">
        <w:t xml:space="preserve">  </w:t>
      </w:r>
      <w:r w:rsidRPr="00E04BE9">
        <w:t>Altum peļņa ir jānovirza rezerves kapitāla veidošanai, kas paredzēts</w:t>
      </w:r>
      <w:r w:rsidRPr="00E04BE9" w:rsidR="00894905">
        <w:t xml:space="preserve"> </w:t>
      </w:r>
      <w:r w:rsidRPr="00E04BE9" w:rsidR="00234B7A">
        <w:t xml:space="preserve">finanšu </w:t>
      </w:r>
      <w:r w:rsidRPr="00E04BE9">
        <w:t>stabilitātes un ilgtspējīgas darbības nodrošināšanai, kā arī apstiprināto progr</w:t>
      </w:r>
      <w:r w:rsidRPr="00E04BE9" w:rsidR="00234B7A">
        <w:t>ammu risku ietekmes mazināšanai</w:t>
      </w:r>
      <w:r w:rsidRPr="00E04BE9">
        <w:t xml:space="preserve">. </w:t>
      </w:r>
    </w:p>
    <w:p w:rsidR="007D60D8" w:rsidRPr="00E04BE9" w:rsidP="00894905">
      <w:pPr>
        <w:pStyle w:val="ListParagraph"/>
        <w:ind w:left="0" w:firstLine="425"/>
        <w:jc w:val="both"/>
      </w:pPr>
    </w:p>
    <w:p w:rsidR="007D60D8" w:rsidP="007D60D8">
      <w:pPr>
        <w:pStyle w:val="ListParagraph"/>
        <w:numPr>
          <w:ilvl w:val="0"/>
          <w:numId w:val="20"/>
        </w:numPr>
        <w:spacing w:after="120"/>
        <w:ind w:left="284"/>
        <w:jc w:val="both"/>
        <w:rPr>
          <w:u w:val="single"/>
        </w:rPr>
      </w:pPr>
      <w:r w:rsidRPr="00E04BE9">
        <w:rPr>
          <w:u w:val="single"/>
        </w:rPr>
        <w:t xml:space="preserve">Altum kapitāla atdeves </w:t>
      </w:r>
      <w:r w:rsidR="00F35907">
        <w:rPr>
          <w:u w:val="single"/>
        </w:rPr>
        <w:t>finansēšanas</w:t>
      </w:r>
      <w:r w:rsidR="007B07F3">
        <w:rPr>
          <w:u w:val="single"/>
        </w:rPr>
        <w:t xml:space="preserve"> kārtība</w:t>
      </w:r>
    </w:p>
    <w:p w:rsidR="007929E1" w:rsidP="007929E1">
      <w:pPr>
        <w:pStyle w:val="ListParagraph"/>
        <w:spacing w:before="120" w:after="120"/>
        <w:ind w:left="0" w:firstLine="360"/>
        <w:jc w:val="both"/>
      </w:pPr>
      <w:r>
        <w:rPr>
          <w:bCs/>
        </w:rPr>
        <w:t>Altum</w:t>
      </w:r>
      <w:r w:rsidRPr="0037437B">
        <w:rPr>
          <w:bCs/>
        </w:rPr>
        <w:t xml:space="preserve"> </w:t>
      </w:r>
      <w:r w:rsidRPr="0037437B" w:rsidR="00F868E3">
        <w:rPr>
          <w:bCs/>
        </w:rPr>
        <w:t>izmantot</w:t>
      </w:r>
      <w:r w:rsidR="00B753F3">
        <w:rPr>
          <w:bCs/>
        </w:rPr>
        <w:t>ā</w:t>
      </w:r>
      <w:r w:rsidR="00F868E3">
        <w:rPr>
          <w:bCs/>
        </w:rPr>
        <w:t xml:space="preserve"> </w:t>
      </w:r>
      <w:r w:rsidRPr="0037437B" w:rsidR="00F868E3">
        <w:rPr>
          <w:bCs/>
        </w:rPr>
        <w:t>pašu kapitāl</w:t>
      </w:r>
      <w:r>
        <w:rPr>
          <w:bCs/>
        </w:rPr>
        <w:t>a</w:t>
      </w:r>
      <w:r w:rsidRPr="0037437B" w:rsidR="00F868E3">
        <w:rPr>
          <w:bCs/>
        </w:rPr>
        <w:t xml:space="preserve"> apmēr</w:t>
      </w:r>
      <w:r>
        <w:rPr>
          <w:bCs/>
        </w:rPr>
        <w:t>s</w:t>
      </w:r>
      <w:r w:rsidR="00F868E3">
        <w:rPr>
          <w:bCs/>
        </w:rPr>
        <w:t>,</w:t>
      </w:r>
      <w:r w:rsidRPr="0037437B" w:rsidR="00F868E3">
        <w:rPr>
          <w:bCs/>
        </w:rPr>
        <w:t xml:space="preserve"> par kuru nepieciešams segt izmaksas par uzņemto risku</w:t>
      </w:r>
      <w:r w:rsidR="00F868E3">
        <w:rPr>
          <w:bCs/>
        </w:rPr>
        <w:t xml:space="preserve">, atbilst sagaidāmajiem paredzamajiem un sagaidāmajiem neparedzamajiem zaudējumiem, ko Altum uzņemas programmas īstenošanā un kas nav segti ar </w:t>
      </w:r>
      <w:r w:rsidR="00302267">
        <w:rPr>
          <w:bCs/>
        </w:rPr>
        <w:t xml:space="preserve">riska segumu no </w:t>
      </w:r>
      <w:r w:rsidR="00F868E3">
        <w:rPr>
          <w:bCs/>
        </w:rPr>
        <w:t xml:space="preserve">publiskiem resursiem. </w:t>
      </w:r>
    </w:p>
    <w:p w:rsidR="006D707A" w:rsidRPr="000A09DA" w:rsidP="007B07F3">
      <w:pPr>
        <w:pStyle w:val="ListParagraph"/>
        <w:ind w:left="0"/>
        <w:jc w:val="center"/>
        <w:rPr>
          <w:b/>
          <w:i/>
          <w:sz w:val="22"/>
          <w:szCs w:val="22"/>
        </w:rPr>
      </w:pPr>
      <w:r w:rsidRPr="000A09DA">
        <w:rPr>
          <w:b/>
          <w:i/>
        </w:rPr>
        <w:t>Tabula Nr.1. "Programmu īstenošanā Altum uzņemto risku apjoms, kas nosaka uz programmām attiecināmā Altum pašu kapitāla apmēru"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59"/>
        <w:gridCol w:w="1701"/>
        <w:gridCol w:w="2126"/>
        <w:gridCol w:w="2268"/>
      </w:tblGrid>
      <w:tr w:rsidTr="007A28A8">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76"/>
        </w:trPr>
        <w:tc>
          <w:tcPr>
            <w:tcW w:w="1560" w:type="dxa"/>
            <w:shd w:val="clear" w:color="auto" w:fill="auto"/>
          </w:tcPr>
          <w:p w:rsidR="006D707A" w:rsidRPr="000A09DA" w:rsidP="007A28A8">
            <w:pPr>
              <w:pStyle w:val="ListParagraph"/>
              <w:ind w:left="0"/>
              <w:jc w:val="center"/>
              <w:rPr>
                <w:b/>
                <w:sz w:val="22"/>
                <w:szCs w:val="22"/>
              </w:rPr>
            </w:pPr>
            <w:r w:rsidRPr="000A09DA">
              <w:rPr>
                <w:b/>
                <w:sz w:val="22"/>
                <w:szCs w:val="22"/>
              </w:rPr>
              <w:t>Instruments</w:t>
            </w:r>
          </w:p>
        </w:tc>
        <w:tc>
          <w:tcPr>
            <w:tcW w:w="1559" w:type="dxa"/>
          </w:tcPr>
          <w:p w:rsidR="006D707A" w:rsidRPr="000A09DA" w:rsidP="007A28A8">
            <w:pPr>
              <w:pStyle w:val="ListParagraph"/>
              <w:ind w:left="0"/>
              <w:jc w:val="center"/>
              <w:rPr>
                <w:b/>
                <w:sz w:val="22"/>
                <w:szCs w:val="22"/>
              </w:rPr>
            </w:pPr>
            <w:r w:rsidRPr="000A09DA">
              <w:rPr>
                <w:b/>
                <w:sz w:val="22"/>
                <w:szCs w:val="22"/>
              </w:rPr>
              <w:t>Programmas</w:t>
            </w:r>
          </w:p>
          <w:p w:rsidR="006D707A" w:rsidRPr="000A09DA" w:rsidP="007A28A8">
            <w:pPr>
              <w:pStyle w:val="ListParagraph"/>
              <w:ind w:left="0"/>
              <w:jc w:val="center"/>
              <w:rPr>
                <w:b/>
                <w:sz w:val="22"/>
                <w:szCs w:val="22"/>
              </w:rPr>
            </w:pPr>
            <w:r w:rsidRPr="000A09DA">
              <w:rPr>
                <w:b/>
                <w:sz w:val="22"/>
                <w:szCs w:val="22"/>
              </w:rPr>
              <w:t>instrumentu</w:t>
            </w:r>
          </w:p>
          <w:p w:rsidR="006D707A" w:rsidRPr="000A09DA" w:rsidP="007A28A8">
            <w:pPr>
              <w:pStyle w:val="ListParagraph"/>
              <w:ind w:left="0"/>
              <w:jc w:val="center"/>
              <w:rPr>
                <w:b/>
                <w:sz w:val="22"/>
                <w:szCs w:val="22"/>
              </w:rPr>
            </w:pPr>
            <w:r w:rsidRPr="000A09DA">
              <w:rPr>
                <w:b/>
                <w:sz w:val="22"/>
                <w:szCs w:val="22"/>
              </w:rPr>
              <w:t>apjoms,</w:t>
            </w:r>
          </w:p>
          <w:p w:rsidR="006D707A" w:rsidRPr="000A09DA" w:rsidP="007A28A8">
            <w:pPr>
              <w:pStyle w:val="ListParagraph"/>
              <w:ind w:left="0"/>
              <w:jc w:val="center"/>
              <w:rPr>
                <w:b/>
                <w:sz w:val="22"/>
                <w:szCs w:val="22"/>
              </w:rPr>
            </w:pPr>
            <w:r w:rsidRPr="000A09DA">
              <w:rPr>
                <w:b/>
                <w:sz w:val="22"/>
                <w:szCs w:val="22"/>
              </w:rPr>
              <w:t>EUR</w:t>
            </w:r>
          </w:p>
        </w:tc>
        <w:tc>
          <w:tcPr>
            <w:tcW w:w="1701" w:type="dxa"/>
            <w:shd w:val="clear" w:color="auto" w:fill="auto"/>
          </w:tcPr>
          <w:p w:rsidR="006D707A" w:rsidRPr="000A09DA" w:rsidP="007A28A8">
            <w:pPr>
              <w:pStyle w:val="ListParagraph"/>
              <w:ind w:left="0"/>
              <w:jc w:val="center"/>
              <w:rPr>
                <w:b/>
                <w:sz w:val="22"/>
                <w:szCs w:val="22"/>
              </w:rPr>
            </w:pPr>
            <w:r w:rsidRPr="000A09DA">
              <w:rPr>
                <w:b/>
                <w:sz w:val="22"/>
                <w:szCs w:val="22"/>
              </w:rPr>
              <w:t xml:space="preserve">Nesegto </w:t>
            </w:r>
            <w:r w:rsidRPr="000A09DA">
              <w:rPr>
                <w:b/>
                <w:sz w:val="22"/>
                <w:szCs w:val="22"/>
              </w:rPr>
              <w:t>pro</w:t>
            </w:r>
            <w:r w:rsidRPr="000A09DA">
              <w:rPr>
                <w:b/>
                <w:sz w:val="22"/>
                <w:szCs w:val="22"/>
              </w:rPr>
              <w:t xml:space="preserve">- </w:t>
            </w:r>
            <w:r w:rsidRPr="000A09DA">
              <w:rPr>
                <w:b/>
                <w:sz w:val="22"/>
                <w:szCs w:val="22"/>
              </w:rPr>
              <w:t>grammas</w:t>
            </w:r>
            <w:r w:rsidRPr="000A09DA">
              <w:rPr>
                <w:b/>
                <w:sz w:val="22"/>
                <w:szCs w:val="22"/>
              </w:rPr>
              <w:t xml:space="preserve"> risku apjoms kopā, EUR</w:t>
            </w:r>
          </w:p>
        </w:tc>
        <w:tc>
          <w:tcPr>
            <w:tcW w:w="2126" w:type="dxa"/>
          </w:tcPr>
          <w:p w:rsidR="006D707A" w:rsidRPr="000A09DA" w:rsidP="007A28A8">
            <w:pPr>
              <w:pStyle w:val="ListParagraph"/>
              <w:ind w:left="0"/>
              <w:jc w:val="center"/>
              <w:rPr>
                <w:b/>
                <w:sz w:val="22"/>
                <w:szCs w:val="22"/>
              </w:rPr>
            </w:pPr>
            <w:r w:rsidRPr="000A09DA">
              <w:rPr>
                <w:b/>
                <w:bCs/>
                <w:sz w:val="22"/>
                <w:szCs w:val="22"/>
              </w:rPr>
              <w:t>Tsk</w:t>
            </w:r>
            <w:r w:rsidRPr="000A09DA">
              <w:rPr>
                <w:b/>
                <w:bCs/>
                <w:sz w:val="22"/>
                <w:szCs w:val="22"/>
              </w:rPr>
              <w:t>. (nesegtiem) sagaidāmajiem paredzamajiem zaudējumiem, EUR</w:t>
            </w:r>
          </w:p>
        </w:tc>
        <w:tc>
          <w:tcPr>
            <w:tcW w:w="2268" w:type="dxa"/>
          </w:tcPr>
          <w:p w:rsidR="006D707A" w:rsidRPr="000A09DA" w:rsidP="007A28A8">
            <w:pPr>
              <w:pStyle w:val="ListParagraph"/>
              <w:ind w:left="0"/>
              <w:jc w:val="center"/>
              <w:rPr>
                <w:b/>
                <w:sz w:val="22"/>
                <w:szCs w:val="22"/>
              </w:rPr>
            </w:pPr>
            <w:r w:rsidRPr="000A09DA">
              <w:rPr>
                <w:b/>
                <w:bCs/>
                <w:sz w:val="22"/>
                <w:szCs w:val="22"/>
              </w:rPr>
              <w:t>Tsk</w:t>
            </w:r>
            <w:r w:rsidRPr="000A09DA">
              <w:rPr>
                <w:b/>
                <w:bCs/>
                <w:sz w:val="22"/>
                <w:szCs w:val="22"/>
              </w:rPr>
              <w:t>. (nesegtiem) sagaidāmajiem neparedzamajiem zaudējumiem, EUR</w:t>
            </w:r>
          </w:p>
        </w:tc>
      </w:tr>
      <w:tr w:rsidTr="007A28A8">
        <w:tblPrEx>
          <w:tblW w:w="9214" w:type="dxa"/>
          <w:tblInd w:w="108" w:type="dxa"/>
          <w:tblLayout w:type="fixed"/>
          <w:tblLook w:val="04A0"/>
        </w:tblPrEx>
        <w:trPr>
          <w:trHeight w:val="215"/>
        </w:trPr>
        <w:tc>
          <w:tcPr>
            <w:tcW w:w="1560" w:type="dxa"/>
            <w:shd w:val="clear" w:color="auto" w:fill="auto"/>
          </w:tcPr>
          <w:p w:rsidR="006D707A" w:rsidRPr="000A09DA" w:rsidP="007A28A8">
            <w:pPr>
              <w:pStyle w:val="ListParagraph"/>
              <w:ind w:left="0"/>
              <w:rPr>
                <w:b/>
                <w:sz w:val="22"/>
                <w:szCs w:val="22"/>
              </w:rPr>
            </w:pPr>
            <w:r w:rsidRPr="000A09DA">
              <w:rPr>
                <w:b/>
                <w:sz w:val="22"/>
                <w:szCs w:val="22"/>
              </w:rPr>
              <w:t>Aizdevumi</w:t>
            </w:r>
          </w:p>
          <w:p w:rsidR="006D707A" w:rsidRPr="000A09DA" w:rsidP="007A28A8">
            <w:pPr>
              <w:pStyle w:val="ListParagraph"/>
              <w:ind w:left="0"/>
              <w:rPr>
                <w:sz w:val="22"/>
                <w:szCs w:val="22"/>
              </w:rPr>
            </w:pPr>
            <w:r w:rsidRPr="000A09DA">
              <w:rPr>
                <w:sz w:val="22"/>
                <w:szCs w:val="22"/>
              </w:rPr>
              <w:t>2018.-2034.g.</w:t>
            </w:r>
          </w:p>
        </w:tc>
        <w:tc>
          <w:tcPr>
            <w:tcW w:w="1559" w:type="dxa"/>
            <w:vMerge w:val="restart"/>
          </w:tcPr>
          <w:p w:rsidR="006D707A" w:rsidRPr="000A09DA" w:rsidP="007A28A8">
            <w:pPr>
              <w:pStyle w:val="ListParagraph"/>
              <w:ind w:left="0"/>
              <w:jc w:val="right"/>
              <w:rPr>
                <w:sz w:val="22"/>
                <w:szCs w:val="22"/>
              </w:rPr>
            </w:pPr>
            <w:r w:rsidRPr="000A09DA">
              <w:rPr>
                <w:sz w:val="22"/>
                <w:szCs w:val="22"/>
              </w:rPr>
              <w:t>30 091 114*</w:t>
            </w:r>
          </w:p>
          <w:p w:rsidR="006D707A" w:rsidRPr="000A09DA" w:rsidP="007A28A8">
            <w:pPr>
              <w:pStyle w:val="ListParagraph"/>
              <w:ind w:left="0"/>
              <w:jc w:val="right"/>
              <w:rPr>
                <w:sz w:val="22"/>
                <w:szCs w:val="22"/>
              </w:rPr>
            </w:pPr>
          </w:p>
          <w:p w:rsidR="006D707A" w:rsidRPr="000A09DA" w:rsidP="007A28A8">
            <w:pPr>
              <w:pStyle w:val="ListParagraph"/>
              <w:ind w:left="0"/>
              <w:jc w:val="right"/>
              <w:rPr>
                <w:sz w:val="22"/>
                <w:szCs w:val="22"/>
              </w:rPr>
            </w:pPr>
          </w:p>
        </w:tc>
        <w:tc>
          <w:tcPr>
            <w:tcW w:w="1701" w:type="dxa"/>
            <w:shd w:val="clear" w:color="auto" w:fill="auto"/>
          </w:tcPr>
          <w:p w:rsidR="006D707A" w:rsidRPr="000A09DA" w:rsidP="007A28A8">
            <w:pPr>
              <w:pStyle w:val="ListParagraph"/>
              <w:ind w:left="0"/>
              <w:jc w:val="right"/>
              <w:rPr>
                <w:sz w:val="22"/>
                <w:szCs w:val="22"/>
              </w:rPr>
            </w:pPr>
            <w:r w:rsidRPr="000A09DA">
              <w:rPr>
                <w:sz w:val="22"/>
                <w:szCs w:val="22"/>
              </w:rPr>
              <w:t xml:space="preserve">440 552 </w:t>
            </w:r>
          </w:p>
        </w:tc>
        <w:tc>
          <w:tcPr>
            <w:tcW w:w="2126" w:type="dxa"/>
          </w:tcPr>
          <w:p w:rsidR="006D707A" w:rsidRPr="000A09DA" w:rsidP="007A28A8">
            <w:pPr>
              <w:jc w:val="right"/>
              <w:rPr>
                <w:bCs/>
                <w:color w:val="000000"/>
                <w:sz w:val="20"/>
                <w:szCs w:val="20"/>
              </w:rPr>
            </w:pPr>
            <w:r w:rsidRPr="000A09DA">
              <w:rPr>
                <w:bCs/>
                <w:color w:val="000000"/>
                <w:sz w:val="20"/>
                <w:szCs w:val="20"/>
              </w:rPr>
              <w:t xml:space="preserve">213 464 </w:t>
            </w:r>
          </w:p>
        </w:tc>
        <w:tc>
          <w:tcPr>
            <w:tcW w:w="2268" w:type="dxa"/>
          </w:tcPr>
          <w:p w:rsidR="006D707A" w:rsidRPr="000A09DA" w:rsidP="007A28A8">
            <w:pPr>
              <w:pStyle w:val="ListParagraph"/>
              <w:ind w:left="0"/>
              <w:jc w:val="right"/>
              <w:rPr>
                <w:sz w:val="22"/>
                <w:szCs w:val="22"/>
              </w:rPr>
            </w:pPr>
            <w:r w:rsidRPr="000A09DA">
              <w:rPr>
                <w:sz w:val="22"/>
                <w:szCs w:val="22"/>
              </w:rPr>
              <w:t xml:space="preserve">227 089** </w:t>
            </w:r>
          </w:p>
        </w:tc>
      </w:tr>
      <w:tr w:rsidTr="007A28A8">
        <w:tblPrEx>
          <w:tblW w:w="9214" w:type="dxa"/>
          <w:tblInd w:w="108" w:type="dxa"/>
          <w:tblLayout w:type="fixed"/>
          <w:tblLook w:val="04A0"/>
        </w:tblPrEx>
        <w:trPr>
          <w:trHeight w:val="215"/>
        </w:trPr>
        <w:tc>
          <w:tcPr>
            <w:tcW w:w="1560" w:type="dxa"/>
            <w:shd w:val="clear" w:color="auto" w:fill="auto"/>
          </w:tcPr>
          <w:p w:rsidR="006D707A" w:rsidRPr="000A09DA" w:rsidP="007A28A8">
            <w:pPr>
              <w:pStyle w:val="ListParagraph"/>
              <w:ind w:left="0"/>
              <w:rPr>
                <w:b/>
                <w:sz w:val="22"/>
                <w:szCs w:val="22"/>
              </w:rPr>
            </w:pPr>
            <w:r w:rsidRPr="000A09DA">
              <w:rPr>
                <w:b/>
                <w:sz w:val="22"/>
                <w:szCs w:val="22"/>
              </w:rPr>
              <w:t>Garantijas</w:t>
            </w:r>
          </w:p>
          <w:p w:rsidR="006D707A" w:rsidRPr="000A09DA" w:rsidP="007A28A8">
            <w:pPr>
              <w:pStyle w:val="ListParagraph"/>
              <w:ind w:left="0"/>
              <w:rPr>
                <w:b/>
                <w:sz w:val="22"/>
                <w:szCs w:val="22"/>
              </w:rPr>
            </w:pPr>
            <w:r w:rsidRPr="000A09DA">
              <w:rPr>
                <w:sz w:val="22"/>
                <w:szCs w:val="22"/>
              </w:rPr>
              <w:t>2016.-2034.g.</w:t>
            </w:r>
          </w:p>
        </w:tc>
        <w:tc>
          <w:tcPr>
            <w:tcW w:w="1559" w:type="dxa"/>
            <w:vMerge/>
          </w:tcPr>
          <w:p w:rsidR="006D707A" w:rsidRPr="000A09DA" w:rsidP="007A28A8">
            <w:pPr>
              <w:pStyle w:val="ListParagraph"/>
              <w:ind w:left="0"/>
              <w:jc w:val="right"/>
              <w:rPr>
                <w:sz w:val="22"/>
                <w:szCs w:val="22"/>
              </w:rPr>
            </w:pPr>
          </w:p>
        </w:tc>
        <w:tc>
          <w:tcPr>
            <w:tcW w:w="1701" w:type="dxa"/>
            <w:shd w:val="clear" w:color="auto" w:fill="auto"/>
          </w:tcPr>
          <w:p w:rsidR="006D707A" w:rsidRPr="000A09DA" w:rsidP="007A28A8">
            <w:pPr>
              <w:pStyle w:val="ListParagraph"/>
              <w:ind w:left="0"/>
              <w:jc w:val="right"/>
              <w:rPr>
                <w:sz w:val="22"/>
                <w:szCs w:val="22"/>
              </w:rPr>
            </w:pPr>
            <w:r w:rsidRPr="000A09DA">
              <w:rPr>
                <w:sz w:val="22"/>
                <w:szCs w:val="22"/>
              </w:rPr>
              <w:t xml:space="preserve">2 594 320 </w:t>
            </w:r>
          </w:p>
        </w:tc>
        <w:tc>
          <w:tcPr>
            <w:tcW w:w="2126" w:type="dxa"/>
          </w:tcPr>
          <w:p w:rsidR="006D707A" w:rsidRPr="000A09DA" w:rsidP="007A28A8">
            <w:pPr>
              <w:pStyle w:val="ListParagraph"/>
              <w:ind w:left="0"/>
              <w:jc w:val="right"/>
              <w:rPr>
                <w:sz w:val="22"/>
                <w:szCs w:val="22"/>
              </w:rPr>
            </w:pPr>
            <w:r w:rsidRPr="000A09DA">
              <w:rPr>
                <w:sz w:val="22"/>
                <w:szCs w:val="22"/>
              </w:rPr>
              <w:t xml:space="preserve">972 870 </w:t>
            </w:r>
          </w:p>
        </w:tc>
        <w:tc>
          <w:tcPr>
            <w:tcW w:w="2268" w:type="dxa"/>
          </w:tcPr>
          <w:p w:rsidR="006D707A" w:rsidRPr="000A09DA" w:rsidP="007A28A8">
            <w:pPr>
              <w:pStyle w:val="ListParagraph"/>
              <w:ind w:left="0"/>
              <w:jc w:val="right"/>
              <w:rPr>
                <w:sz w:val="22"/>
                <w:szCs w:val="22"/>
              </w:rPr>
            </w:pPr>
            <w:r w:rsidRPr="000A09DA">
              <w:rPr>
                <w:sz w:val="22"/>
                <w:szCs w:val="22"/>
              </w:rPr>
              <w:t>1 621 450**</w:t>
            </w:r>
          </w:p>
        </w:tc>
      </w:tr>
    </w:tbl>
    <w:p w:rsidR="006D707A" w:rsidRPr="000A09DA" w:rsidP="006D707A">
      <w:pPr>
        <w:pStyle w:val="ListParagraph"/>
        <w:spacing w:before="120" w:after="120"/>
        <w:ind w:left="0" w:firstLine="360"/>
        <w:jc w:val="both"/>
        <w:rPr>
          <w:sz w:val="22"/>
          <w:szCs w:val="22"/>
        </w:rPr>
      </w:pPr>
      <w:r w:rsidRPr="000A09DA">
        <w:rPr>
          <w:sz w:val="22"/>
          <w:szCs w:val="22"/>
        </w:rPr>
        <w:t>* Plānotais atbalsta apjoms: aizdevumi – 10 600 000 EUR un garantijas – 75 000 000 EUR.</w:t>
      </w:r>
    </w:p>
    <w:p w:rsidR="006D707A" w:rsidRPr="006D707A" w:rsidP="006D707A">
      <w:pPr>
        <w:pStyle w:val="ListParagraph"/>
        <w:spacing w:before="120" w:after="120"/>
        <w:ind w:left="0" w:firstLine="360"/>
        <w:jc w:val="both"/>
        <w:rPr>
          <w:sz w:val="22"/>
          <w:szCs w:val="22"/>
        </w:rPr>
      </w:pPr>
      <w:r w:rsidRPr="000A09DA">
        <w:rPr>
          <w:sz w:val="22"/>
          <w:szCs w:val="22"/>
        </w:rPr>
        <w:t xml:space="preserve">** </w:t>
      </w:r>
      <w:r w:rsidRPr="000A09DA">
        <w:rPr>
          <w:sz w:val="20"/>
          <w:szCs w:val="20"/>
        </w:rPr>
        <w:t>Altum riska apjoms un uz programmu attiecināmā kapitāla apjoms samazinās, ja no publiskiem resursiem (atmaksātiem līdzekļiem) programmas īstenošanas beigu posmā tiek izveidots papildus riska segums.</w:t>
      </w:r>
      <w:r w:rsidRPr="000A09DA">
        <w:rPr>
          <w:sz w:val="22"/>
          <w:szCs w:val="22"/>
        </w:rPr>
        <w:t xml:space="preserve"> </w:t>
      </w:r>
    </w:p>
    <w:p w:rsidR="00C97E84" w:rsidRPr="00A458F7" w:rsidP="00085E7C">
      <w:pPr>
        <w:pStyle w:val="ListParagraph"/>
        <w:spacing w:before="120" w:after="120"/>
        <w:ind w:left="0" w:firstLine="357"/>
        <w:jc w:val="both"/>
      </w:pPr>
      <w:r w:rsidRPr="00583541">
        <w:t xml:space="preserve">Altum kapitāla atdeves </w:t>
      </w:r>
      <w:r w:rsidR="00F35907">
        <w:t>finansēšana</w:t>
      </w:r>
      <w:r w:rsidR="00D93BF9">
        <w:t>s avoti</w:t>
      </w:r>
      <w:r w:rsidRPr="00583541" w:rsidR="002A71EF">
        <w:t>,</w:t>
      </w:r>
      <w:r w:rsidRPr="00583541" w:rsidR="00944558">
        <w:t xml:space="preserve"> īstenojot 4.2.1.1.pasākumu</w:t>
      </w:r>
      <w:r w:rsidRPr="00583541" w:rsidR="00724A59">
        <w:t xml:space="preserve"> </w:t>
      </w:r>
      <w:r w:rsidR="00676E3D">
        <w:t>"</w:t>
      </w:r>
      <w:r w:rsidRPr="00583541" w:rsidR="00980030">
        <w:t>Veicināt energoefektivitātes paaugstināšanu dzīvojamās ēkās</w:t>
      </w:r>
      <w:r w:rsidR="00676E3D">
        <w:t>"</w:t>
      </w:r>
      <w:r w:rsidRPr="00583541" w:rsidR="00980030">
        <w:t xml:space="preserve"> (turpmāk </w:t>
      </w:r>
      <w:r w:rsidRPr="00583541" w:rsidR="001E42F4">
        <w:t>–</w:t>
      </w:r>
      <w:r w:rsidRPr="00583541" w:rsidR="00980030">
        <w:t xml:space="preserve"> </w:t>
      </w:r>
      <w:r w:rsidRPr="00583541" w:rsidR="00A4650C">
        <w:t>4.2.1.1.pasākums</w:t>
      </w:r>
      <w:r w:rsidRPr="00583541" w:rsidR="00980030">
        <w:t xml:space="preserve">) ir attēlota </w:t>
      </w:r>
      <w:r w:rsidRPr="00583541" w:rsidR="00226AB1">
        <w:t>T</w:t>
      </w:r>
      <w:r w:rsidRPr="00583541" w:rsidR="00980030">
        <w:t xml:space="preserve">abulā </w:t>
      </w:r>
      <w:r w:rsidRPr="00583541" w:rsidR="00226AB1">
        <w:t>Nr.</w:t>
      </w:r>
      <w:r w:rsidR="00BB3F93">
        <w:t>2</w:t>
      </w:r>
      <w:r w:rsidRPr="00583541" w:rsidR="00226AB1">
        <w:t xml:space="preserve"> </w:t>
      </w:r>
      <w:r w:rsidR="00676E3D">
        <w:t>"</w:t>
      </w:r>
      <w:r w:rsidRPr="00583541" w:rsidR="00980030">
        <w:t xml:space="preserve">Altum pašu kapitāla atdeves </w:t>
      </w:r>
      <w:r w:rsidR="00455759">
        <w:t>finansēšanas</w:t>
      </w:r>
      <w:r w:rsidRPr="00583541" w:rsidR="00455759">
        <w:t xml:space="preserve"> </w:t>
      </w:r>
      <w:r w:rsidRPr="00A458F7" w:rsidR="00D93BF9">
        <w:t>avoti</w:t>
      </w:r>
      <w:r w:rsidRPr="00A458F7" w:rsidR="00676E3D">
        <w:t>"</w:t>
      </w:r>
      <w:r w:rsidRPr="00A458F7" w:rsidR="00724A59">
        <w:t xml:space="preserve">. </w:t>
      </w:r>
    </w:p>
    <w:p w:rsidR="00E95417" w:rsidRPr="00E04BE9" w:rsidP="007B07F3">
      <w:pPr>
        <w:pStyle w:val="ListParagraph"/>
        <w:ind w:left="0"/>
        <w:jc w:val="center"/>
        <w:rPr>
          <w:b/>
          <w:i/>
          <w:sz w:val="22"/>
          <w:szCs w:val="22"/>
        </w:rPr>
      </w:pPr>
      <w:bookmarkStart w:id="10" w:name="_Hlk505842479"/>
      <w:r w:rsidRPr="00A458F7">
        <w:rPr>
          <w:b/>
          <w:i/>
        </w:rPr>
        <w:t>Tabula</w:t>
      </w:r>
      <w:r w:rsidRPr="00A458F7" w:rsidR="00226AB1">
        <w:rPr>
          <w:b/>
          <w:i/>
        </w:rPr>
        <w:t xml:space="preserve"> Nr.</w:t>
      </w:r>
      <w:r w:rsidRPr="00A458F7" w:rsidR="00BB3F93">
        <w:rPr>
          <w:b/>
          <w:i/>
        </w:rPr>
        <w:t>2</w:t>
      </w:r>
      <w:r w:rsidRPr="00A458F7">
        <w:rPr>
          <w:b/>
          <w:i/>
        </w:rPr>
        <w:t xml:space="preserve"> </w:t>
      </w:r>
      <w:r w:rsidRPr="00A458F7" w:rsidR="00676E3D">
        <w:rPr>
          <w:b/>
          <w:i/>
        </w:rPr>
        <w:t>"</w:t>
      </w:r>
      <w:r w:rsidRPr="00A458F7">
        <w:rPr>
          <w:b/>
          <w:i/>
        </w:rPr>
        <w:t xml:space="preserve">Altum pašu kapitāla atdeves </w:t>
      </w:r>
      <w:r w:rsidRPr="00A458F7" w:rsidR="00455759">
        <w:rPr>
          <w:b/>
          <w:i/>
        </w:rPr>
        <w:t xml:space="preserve">finansēšanas </w:t>
      </w:r>
      <w:r w:rsidRPr="00A458F7" w:rsidR="0097100F">
        <w:rPr>
          <w:b/>
          <w:i/>
        </w:rPr>
        <w:t>avoti"</w:t>
      </w:r>
    </w:p>
    <w:tbl>
      <w:tblP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2720"/>
        <w:gridCol w:w="2714"/>
      </w:tblGrid>
      <w:tr w:rsidTr="002A3A95">
        <w:tblPrEx>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
          <w:jc w:val="center"/>
        </w:trPr>
        <w:tc>
          <w:tcPr>
            <w:tcW w:w="2318" w:type="dxa"/>
            <w:shd w:val="clear" w:color="auto" w:fill="auto"/>
          </w:tcPr>
          <w:p w:rsidR="002171FA" w:rsidRPr="00E04BE9" w:rsidP="002A3A95">
            <w:pPr>
              <w:pStyle w:val="ListParagraph"/>
              <w:ind w:left="0"/>
              <w:jc w:val="center"/>
              <w:rPr>
                <w:b/>
                <w:sz w:val="22"/>
                <w:szCs w:val="22"/>
              </w:rPr>
            </w:pPr>
            <w:r w:rsidRPr="00E04BE9">
              <w:rPr>
                <w:b/>
                <w:sz w:val="22"/>
                <w:szCs w:val="22"/>
              </w:rPr>
              <w:t>DME programmas</w:t>
            </w:r>
          </w:p>
        </w:tc>
        <w:tc>
          <w:tcPr>
            <w:tcW w:w="2720" w:type="dxa"/>
            <w:shd w:val="clear" w:color="auto" w:fill="auto"/>
          </w:tcPr>
          <w:p w:rsidR="002171FA" w:rsidRPr="00E04BE9" w:rsidP="002A3A95">
            <w:pPr>
              <w:pStyle w:val="ListParagraph"/>
              <w:ind w:left="0"/>
              <w:jc w:val="center"/>
              <w:rPr>
                <w:b/>
                <w:sz w:val="22"/>
                <w:szCs w:val="22"/>
              </w:rPr>
            </w:pPr>
            <w:r w:rsidRPr="00E04BE9">
              <w:rPr>
                <w:b/>
                <w:sz w:val="22"/>
                <w:szCs w:val="22"/>
              </w:rPr>
              <w:t>Altum finansējuma atmaksas</w:t>
            </w:r>
          </w:p>
        </w:tc>
        <w:tc>
          <w:tcPr>
            <w:tcW w:w="2714" w:type="dxa"/>
            <w:shd w:val="clear" w:color="auto" w:fill="auto"/>
          </w:tcPr>
          <w:p w:rsidR="002171FA" w:rsidRPr="00E04BE9" w:rsidP="002A3A95">
            <w:pPr>
              <w:pStyle w:val="ListParagraph"/>
              <w:ind w:left="0"/>
              <w:jc w:val="center"/>
              <w:rPr>
                <w:b/>
                <w:sz w:val="22"/>
                <w:szCs w:val="22"/>
              </w:rPr>
            </w:pPr>
            <w:r w:rsidRPr="00E04BE9">
              <w:rPr>
                <w:b/>
                <w:sz w:val="22"/>
                <w:szCs w:val="22"/>
              </w:rPr>
              <w:t>Publiskā finansējuma atmaksas</w:t>
            </w:r>
          </w:p>
        </w:tc>
      </w:tr>
      <w:tr w:rsidTr="002A3A95">
        <w:tblPrEx>
          <w:tblW w:w="7752" w:type="dxa"/>
          <w:jc w:val="center"/>
          <w:tblLook w:val="04A0"/>
        </w:tblPrEx>
        <w:trPr>
          <w:jc w:val="center"/>
        </w:trPr>
        <w:tc>
          <w:tcPr>
            <w:tcW w:w="2318" w:type="dxa"/>
            <w:shd w:val="clear" w:color="auto" w:fill="auto"/>
          </w:tcPr>
          <w:p w:rsidR="002171FA" w:rsidRPr="00E04BE9" w:rsidP="002A3A95">
            <w:pPr>
              <w:pStyle w:val="ListParagraph"/>
              <w:ind w:left="0"/>
              <w:jc w:val="center"/>
              <w:rPr>
                <w:b/>
                <w:sz w:val="22"/>
                <w:szCs w:val="22"/>
              </w:rPr>
            </w:pPr>
            <w:r w:rsidRPr="00E04BE9">
              <w:rPr>
                <w:b/>
                <w:sz w:val="22"/>
                <w:szCs w:val="22"/>
              </w:rPr>
              <w:t>Aizdevumi</w:t>
            </w:r>
          </w:p>
        </w:tc>
        <w:tc>
          <w:tcPr>
            <w:tcW w:w="2720" w:type="dxa"/>
            <w:shd w:val="clear" w:color="auto" w:fill="auto"/>
          </w:tcPr>
          <w:p w:rsidR="002171FA" w:rsidRPr="00E04BE9" w:rsidP="002A3A95">
            <w:pPr>
              <w:pStyle w:val="ListParagraph"/>
              <w:ind w:left="0"/>
              <w:jc w:val="center"/>
              <w:rPr>
                <w:sz w:val="22"/>
                <w:szCs w:val="22"/>
              </w:rPr>
            </w:pPr>
            <w:r w:rsidRPr="00E04BE9">
              <w:rPr>
                <w:sz w:val="22"/>
                <w:szCs w:val="22"/>
              </w:rPr>
              <w:t>Paredzēts izmantot</w:t>
            </w:r>
          </w:p>
        </w:tc>
        <w:tc>
          <w:tcPr>
            <w:tcW w:w="2714" w:type="dxa"/>
            <w:shd w:val="clear" w:color="auto" w:fill="auto"/>
          </w:tcPr>
          <w:p w:rsidR="002171FA" w:rsidRPr="00E04BE9" w:rsidP="002A3A95">
            <w:pPr>
              <w:pStyle w:val="ListParagraph"/>
              <w:ind w:left="0"/>
              <w:jc w:val="center"/>
              <w:rPr>
                <w:sz w:val="22"/>
                <w:szCs w:val="22"/>
              </w:rPr>
            </w:pPr>
            <w:r w:rsidRPr="00E04BE9">
              <w:rPr>
                <w:sz w:val="22"/>
                <w:szCs w:val="22"/>
              </w:rPr>
              <w:t>Paredzēts izmantot</w:t>
            </w:r>
          </w:p>
        </w:tc>
      </w:tr>
      <w:tr w:rsidTr="002A3A95">
        <w:tblPrEx>
          <w:tblW w:w="7752" w:type="dxa"/>
          <w:jc w:val="center"/>
          <w:tblLook w:val="04A0"/>
        </w:tblPrEx>
        <w:trPr>
          <w:jc w:val="center"/>
        </w:trPr>
        <w:tc>
          <w:tcPr>
            <w:tcW w:w="2318" w:type="dxa"/>
            <w:shd w:val="clear" w:color="auto" w:fill="auto"/>
          </w:tcPr>
          <w:p w:rsidR="002171FA" w:rsidRPr="00E04BE9" w:rsidP="002A3A95">
            <w:pPr>
              <w:pStyle w:val="ListParagraph"/>
              <w:ind w:left="0"/>
              <w:jc w:val="center"/>
              <w:rPr>
                <w:b/>
                <w:sz w:val="22"/>
                <w:szCs w:val="22"/>
              </w:rPr>
            </w:pPr>
            <w:r w:rsidRPr="00E04BE9">
              <w:rPr>
                <w:b/>
                <w:sz w:val="22"/>
                <w:szCs w:val="22"/>
              </w:rPr>
              <w:t>Garantijas</w:t>
            </w:r>
          </w:p>
        </w:tc>
        <w:tc>
          <w:tcPr>
            <w:tcW w:w="2720" w:type="dxa"/>
            <w:shd w:val="clear" w:color="auto" w:fill="auto"/>
          </w:tcPr>
          <w:p w:rsidR="002171FA" w:rsidRPr="00E04BE9" w:rsidP="002A3A95">
            <w:pPr>
              <w:pStyle w:val="ListParagraph"/>
              <w:ind w:left="0"/>
              <w:jc w:val="center"/>
              <w:rPr>
                <w:sz w:val="22"/>
                <w:szCs w:val="22"/>
              </w:rPr>
            </w:pPr>
            <w:r w:rsidRPr="00E04BE9">
              <w:rPr>
                <w:sz w:val="22"/>
                <w:szCs w:val="22"/>
              </w:rPr>
              <w:t>Nav</w:t>
            </w:r>
          </w:p>
        </w:tc>
        <w:tc>
          <w:tcPr>
            <w:tcW w:w="2714" w:type="dxa"/>
            <w:shd w:val="clear" w:color="auto" w:fill="auto"/>
          </w:tcPr>
          <w:p w:rsidR="002171FA" w:rsidRPr="00E04BE9" w:rsidP="002A3A95">
            <w:pPr>
              <w:pStyle w:val="ListParagraph"/>
              <w:ind w:left="0"/>
              <w:jc w:val="center"/>
              <w:rPr>
                <w:sz w:val="22"/>
                <w:szCs w:val="22"/>
              </w:rPr>
            </w:pPr>
            <w:r w:rsidRPr="00E04BE9">
              <w:rPr>
                <w:sz w:val="22"/>
                <w:szCs w:val="22"/>
              </w:rPr>
              <w:t>Paredzēts izmantot</w:t>
            </w:r>
          </w:p>
        </w:tc>
      </w:tr>
    </w:tbl>
    <w:p w:rsidR="00226AB1" w:rsidRPr="00E04BE9" w:rsidP="00085E7C">
      <w:pPr>
        <w:pStyle w:val="ListParagraph"/>
        <w:spacing w:before="120" w:after="120"/>
        <w:ind w:left="0"/>
        <w:jc w:val="both"/>
        <w:rPr>
          <w:u w:val="single"/>
        </w:rPr>
      </w:pPr>
      <w:bookmarkEnd w:id="10"/>
      <w:r w:rsidRPr="00E04BE9">
        <w:t xml:space="preserve">Saskaņā ar </w:t>
      </w:r>
      <w:bookmarkStart w:id="11" w:name="_Hlk499294976"/>
      <w:r w:rsidRPr="00E04BE9">
        <w:t xml:space="preserve">Ministru kabineta noteikumiem Nr.160 </w:t>
      </w:r>
      <w:bookmarkEnd w:id="11"/>
      <w:r w:rsidR="00676E3D">
        <w:t>"</w:t>
      </w:r>
      <w:r w:rsidRPr="00E04BE9" w:rsidR="00E95417">
        <w:t xml:space="preserve">Darbības programmas </w:t>
      </w:r>
      <w:r w:rsidR="00676E3D">
        <w:t>"</w:t>
      </w:r>
      <w:r w:rsidRPr="00E04BE9" w:rsidR="00E95417">
        <w:t>Izaugsme un nodarbinātība</w:t>
      </w:r>
      <w:r w:rsidR="00676E3D">
        <w:t>"</w:t>
      </w:r>
      <w:r w:rsidRPr="00E04BE9" w:rsidR="00E95417">
        <w:t xml:space="preserve"> 4.2.1.specifiskā atbalsta mērķa </w:t>
      </w:r>
      <w:r w:rsidR="00676E3D">
        <w:t>"</w:t>
      </w:r>
      <w:r w:rsidRPr="00E04BE9" w:rsidR="00E95417">
        <w:t>Veicināt energoefektivitātes paaugstināšanu valsts un dzīvojamās ēkās</w:t>
      </w:r>
      <w:r w:rsidR="00676E3D">
        <w:t>"</w:t>
      </w:r>
      <w:r w:rsidRPr="00E04BE9" w:rsidR="00E95417">
        <w:t xml:space="preserve"> 4.2.1.1.specifiskā atbalsta mērķa pasākuma </w:t>
      </w:r>
      <w:r w:rsidR="00676E3D">
        <w:t>"</w:t>
      </w:r>
      <w:r w:rsidRPr="00E04BE9" w:rsidR="00E95417">
        <w:t>Veicināt energoefektivitātes paaugstināšanu dzīvojamās ēkās</w:t>
      </w:r>
      <w:r w:rsidR="00676E3D">
        <w:t>"</w:t>
      </w:r>
      <w:r w:rsidRPr="00E04BE9" w:rsidR="00E95417">
        <w:t xml:space="preserve"> īstenošanas noteikumi</w:t>
      </w:r>
      <w:r w:rsidR="00676E3D">
        <w:t>"</w:t>
      </w:r>
      <w:r w:rsidRPr="00E04BE9" w:rsidR="00E95417">
        <w:t xml:space="preserve"> </w:t>
      </w:r>
      <w:r w:rsidRPr="00E04BE9" w:rsidR="00E95417">
        <w:t xml:space="preserve">(turpmāk – MK noteikumi Nr.160) </w:t>
      </w:r>
      <w:r w:rsidR="00DF747C">
        <w:t>publiskā</w:t>
      </w:r>
      <w:r w:rsidRPr="00E04BE9">
        <w:t xml:space="preserve"> finansējum</w:t>
      </w:r>
      <w:r w:rsidRPr="00E04BE9">
        <w:t xml:space="preserve">a </w:t>
      </w:r>
      <w:r w:rsidRPr="00E04BE9">
        <w:t>izmant</w:t>
      </w:r>
      <w:r w:rsidRPr="00E04BE9">
        <w:t>ošana</w:t>
      </w:r>
      <w:r w:rsidR="00EE49A7">
        <w:t xml:space="preserve"> vadības izmaksu </w:t>
      </w:r>
      <w:r w:rsidR="000B495F">
        <w:t xml:space="preserve">un kredītriska izdevumu </w:t>
      </w:r>
      <w:r w:rsidR="00EE49A7">
        <w:t>segšanai</w:t>
      </w:r>
      <w:r w:rsidRPr="00E04BE9">
        <w:t xml:space="preserve"> </w:t>
      </w:r>
      <w:r w:rsidRPr="007A3DA3">
        <w:t>ir attēlota Tabulā Nr.</w:t>
      </w:r>
      <w:r w:rsidR="008001B1">
        <w:t>3</w:t>
      </w:r>
      <w:r w:rsidRPr="007A3DA3">
        <w:t xml:space="preserve"> </w:t>
      </w:r>
      <w:r w:rsidR="00676E3D">
        <w:t>"</w:t>
      </w:r>
      <w:r w:rsidRPr="00E04BE9" w:rsidR="00DA14B8">
        <w:t>P</w:t>
      </w:r>
      <w:r w:rsidRPr="00E04BE9">
        <w:t>ubliskā finansējuma izmantošanas kārtība</w:t>
      </w:r>
      <w:r w:rsidR="00676E3D">
        <w:t>"</w:t>
      </w:r>
      <w:r w:rsidRPr="00E04BE9">
        <w:t>.</w:t>
      </w:r>
      <w:r w:rsidRPr="00E04BE9">
        <w:rPr>
          <w:u w:val="single"/>
        </w:rPr>
        <w:t xml:space="preserve"> </w:t>
      </w:r>
    </w:p>
    <w:p w:rsidR="00226AB1" w:rsidRPr="00E04BE9" w:rsidP="007B07F3">
      <w:pPr>
        <w:pStyle w:val="ListParagraph"/>
        <w:ind w:left="0"/>
        <w:jc w:val="center"/>
        <w:rPr>
          <w:b/>
          <w:i/>
          <w:sz w:val="22"/>
          <w:szCs w:val="22"/>
        </w:rPr>
      </w:pPr>
      <w:r w:rsidRPr="00E04BE9">
        <w:rPr>
          <w:b/>
          <w:i/>
        </w:rPr>
        <w:t>Tabula Nr.</w:t>
      </w:r>
      <w:r w:rsidR="008001B1">
        <w:rPr>
          <w:b/>
          <w:i/>
        </w:rPr>
        <w:t>3</w:t>
      </w:r>
      <w:r w:rsidRPr="00E04BE9">
        <w:rPr>
          <w:b/>
          <w:i/>
        </w:rPr>
        <w:t xml:space="preserve"> </w:t>
      </w:r>
      <w:r w:rsidR="00676E3D">
        <w:rPr>
          <w:b/>
          <w:i/>
        </w:rPr>
        <w:t>"</w:t>
      </w:r>
      <w:r w:rsidRPr="00E04BE9" w:rsidR="00DA14B8">
        <w:rPr>
          <w:b/>
          <w:i/>
        </w:rPr>
        <w:t>P</w:t>
      </w:r>
      <w:r w:rsidRPr="00E04BE9">
        <w:rPr>
          <w:b/>
          <w:i/>
        </w:rPr>
        <w:t>ubliskā finansējuma izmantošanas kārtība</w:t>
      </w:r>
      <w:r w:rsidR="00676E3D">
        <w:rPr>
          <w:b/>
          <w:i/>
        </w:rPr>
        <w:t>"</w:t>
      </w:r>
    </w:p>
    <w:tbl>
      <w:tblPr>
        <w:tblW w:w="7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1"/>
        <w:gridCol w:w="2649"/>
        <w:gridCol w:w="2714"/>
      </w:tblGrid>
      <w:tr w:rsidTr="002A3A95">
        <w:tblPrEx>
          <w:tblW w:w="7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
          <w:jc w:val="center"/>
        </w:trPr>
        <w:tc>
          <w:tcPr>
            <w:tcW w:w="2531" w:type="dxa"/>
            <w:shd w:val="clear" w:color="auto" w:fill="auto"/>
          </w:tcPr>
          <w:p w:rsidR="00DA14B8" w:rsidRPr="00E04BE9" w:rsidP="002A3A95">
            <w:pPr>
              <w:pStyle w:val="ListParagraph"/>
              <w:ind w:left="0"/>
              <w:jc w:val="center"/>
              <w:rPr>
                <w:b/>
                <w:sz w:val="22"/>
                <w:szCs w:val="22"/>
              </w:rPr>
            </w:pPr>
            <w:r w:rsidRPr="00E04BE9">
              <w:rPr>
                <w:b/>
                <w:sz w:val="22"/>
                <w:szCs w:val="22"/>
              </w:rPr>
              <w:t>DME programmas</w:t>
            </w:r>
          </w:p>
        </w:tc>
        <w:tc>
          <w:tcPr>
            <w:tcW w:w="2649" w:type="dxa"/>
            <w:shd w:val="clear" w:color="auto" w:fill="auto"/>
          </w:tcPr>
          <w:p w:rsidR="00DA14B8" w:rsidRPr="00E04BE9" w:rsidP="002A3A95">
            <w:pPr>
              <w:pStyle w:val="ListParagraph"/>
              <w:ind w:left="0"/>
              <w:jc w:val="center"/>
              <w:rPr>
                <w:b/>
                <w:sz w:val="22"/>
                <w:szCs w:val="22"/>
              </w:rPr>
            </w:pPr>
            <w:r w:rsidRPr="00E04BE9">
              <w:rPr>
                <w:b/>
                <w:sz w:val="22"/>
                <w:szCs w:val="22"/>
              </w:rPr>
              <w:t>Vadības izmaksas</w:t>
            </w:r>
          </w:p>
        </w:tc>
        <w:tc>
          <w:tcPr>
            <w:tcW w:w="2714" w:type="dxa"/>
            <w:shd w:val="clear" w:color="auto" w:fill="auto"/>
          </w:tcPr>
          <w:p w:rsidR="00DA14B8" w:rsidRPr="00E04BE9" w:rsidP="002A3A95">
            <w:pPr>
              <w:pStyle w:val="ListParagraph"/>
              <w:ind w:left="0"/>
              <w:jc w:val="center"/>
              <w:rPr>
                <w:b/>
                <w:sz w:val="22"/>
                <w:szCs w:val="22"/>
              </w:rPr>
            </w:pPr>
            <w:r w:rsidRPr="00E04BE9">
              <w:rPr>
                <w:b/>
                <w:sz w:val="22"/>
                <w:szCs w:val="22"/>
              </w:rPr>
              <w:t xml:space="preserve">Kredītriska izdevumu </w:t>
            </w:r>
            <w:r w:rsidR="00EE49A7">
              <w:rPr>
                <w:b/>
                <w:sz w:val="22"/>
                <w:szCs w:val="22"/>
              </w:rPr>
              <w:t>segšana</w:t>
            </w:r>
          </w:p>
        </w:tc>
      </w:tr>
      <w:tr w:rsidTr="002A3A95">
        <w:tblPrEx>
          <w:tblW w:w="7894" w:type="dxa"/>
          <w:jc w:val="center"/>
          <w:tblLook w:val="04A0"/>
        </w:tblPrEx>
        <w:trPr>
          <w:jc w:val="center"/>
        </w:trPr>
        <w:tc>
          <w:tcPr>
            <w:tcW w:w="2531" w:type="dxa"/>
            <w:shd w:val="clear" w:color="auto" w:fill="auto"/>
          </w:tcPr>
          <w:p w:rsidR="00DA14B8" w:rsidRPr="00E04BE9" w:rsidP="002A3A95">
            <w:pPr>
              <w:pStyle w:val="ListParagraph"/>
              <w:ind w:left="0"/>
              <w:jc w:val="center"/>
              <w:rPr>
                <w:b/>
                <w:sz w:val="22"/>
                <w:szCs w:val="22"/>
              </w:rPr>
            </w:pPr>
            <w:r w:rsidRPr="00E04BE9">
              <w:rPr>
                <w:b/>
                <w:sz w:val="22"/>
                <w:szCs w:val="22"/>
              </w:rPr>
              <w:t>Aizdevumi</w:t>
            </w:r>
          </w:p>
        </w:tc>
        <w:tc>
          <w:tcPr>
            <w:tcW w:w="2649" w:type="dxa"/>
            <w:shd w:val="clear" w:color="auto" w:fill="auto"/>
          </w:tcPr>
          <w:p w:rsidR="00DA14B8" w:rsidRPr="00E04BE9" w:rsidP="002A3A95">
            <w:pPr>
              <w:pStyle w:val="ListParagraph"/>
              <w:ind w:left="0"/>
              <w:jc w:val="center"/>
              <w:rPr>
                <w:sz w:val="22"/>
                <w:szCs w:val="22"/>
              </w:rPr>
            </w:pPr>
            <w:r w:rsidRPr="00E04BE9">
              <w:rPr>
                <w:sz w:val="22"/>
                <w:szCs w:val="22"/>
              </w:rPr>
              <w:t>Pašreiz</w:t>
            </w:r>
            <w:r w:rsidRPr="00E04BE9" w:rsidR="006716DF">
              <w:rPr>
                <w:sz w:val="22"/>
                <w:szCs w:val="22"/>
              </w:rPr>
              <w:t xml:space="preserve"> n</w:t>
            </w:r>
            <w:r w:rsidRPr="00E04BE9">
              <w:rPr>
                <w:sz w:val="22"/>
                <w:szCs w:val="22"/>
              </w:rPr>
              <w:t>etiek izmantots</w:t>
            </w:r>
          </w:p>
        </w:tc>
        <w:tc>
          <w:tcPr>
            <w:tcW w:w="2714" w:type="dxa"/>
            <w:shd w:val="clear" w:color="auto" w:fill="auto"/>
          </w:tcPr>
          <w:p w:rsidR="00DA14B8" w:rsidRPr="00E04BE9" w:rsidP="002A3A95">
            <w:pPr>
              <w:pStyle w:val="ListParagraph"/>
              <w:ind w:left="0"/>
              <w:jc w:val="center"/>
              <w:rPr>
                <w:sz w:val="22"/>
                <w:szCs w:val="22"/>
              </w:rPr>
            </w:pPr>
            <w:r w:rsidRPr="00E04BE9">
              <w:rPr>
                <w:sz w:val="22"/>
                <w:szCs w:val="22"/>
              </w:rPr>
              <w:t>Tiek izmantots</w:t>
            </w:r>
          </w:p>
        </w:tc>
      </w:tr>
      <w:tr w:rsidTr="002A3A95">
        <w:tblPrEx>
          <w:tblW w:w="7894" w:type="dxa"/>
          <w:jc w:val="center"/>
          <w:tblLook w:val="04A0"/>
        </w:tblPrEx>
        <w:trPr>
          <w:jc w:val="center"/>
        </w:trPr>
        <w:tc>
          <w:tcPr>
            <w:tcW w:w="2531" w:type="dxa"/>
            <w:shd w:val="clear" w:color="auto" w:fill="auto"/>
          </w:tcPr>
          <w:p w:rsidR="00DA14B8" w:rsidRPr="00E04BE9" w:rsidP="002A3A95">
            <w:pPr>
              <w:pStyle w:val="ListParagraph"/>
              <w:ind w:left="0"/>
              <w:jc w:val="center"/>
              <w:rPr>
                <w:b/>
                <w:sz w:val="22"/>
                <w:szCs w:val="22"/>
              </w:rPr>
            </w:pPr>
            <w:r w:rsidRPr="00E04BE9">
              <w:rPr>
                <w:b/>
                <w:sz w:val="22"/>
                <w:szCs w:val="22"/>
              </w:rPr>
              <w:t>Garantijas</w:t>
            </w:r>
          </w:p>
        </w:tc>
        <w:tc>
          <w:tcPr>
            <w:tcW w:w="2649" w:type="dxa"/>
            <w:shd w:val="clear" w:color="auto" w:fill="auto"/>
          </w:tcPr>
          <w:p w:rsidR="00DA14B8" w:rsidRPr="00E04BE9" w:rsidP="002A3A95">
            <w:pPr>
              <w:pStyle w:val="ListParagraph"/>
              <w:ind w:left="0"/>
              <w:jc w:val="center"/>
              <w:rPr>
                <w:sz w:val="22"/>
                <w:szCs w:val="22"/>
              </w:rPr>
            </w:pPr>
            <w:r w:rsidRPr="00E04BE9">
              <w:rPr>
                <w:sz w:val="22"/>
                <w:szCs w:val="22"/>
              </w:rPr>
              <w:t>Tiek izmantots</w:t>
            </w:r>
          </w:p>
        </w:tc>
        <w:tc>
          <w:tcPr>
            <w:tcW w:w="2714" w:type="dxa"/>
            <w:shd w:val="clear" w:color="auto" w:fill="auto"/>
          </w:tcPr>
          <w:p w:rsidR="00DA14B8" w:rsidRPr="00E04BE9" w:rsidP="002A3A95">
            <w:pPr>
              <w:pStyle w:val="ListParagraph"/>
              <w:ind w:left="0"/>
              <w:jc w:val="center"/>
              <w:rPr>
                <w:sz w:val="22"/>
                <w:szCs w:val="22"/>
              </w:rPr>
            </w:pPr>
            <w:r w:rsidRPr="00E04BE9">
              <w:rPr>
                <w:sz w:val="22"/>
                <w:szCs w:val="22"/>
              </w:rPr>
              <w:t>Tiek izmantots</w:t>
            </w:r>
          </w:p>
        </w:tc>
      </w:tr>
    </w:tbl>
    <w:p w:rsidR="0003664B" w:rsidP="002A3A95">
      <w:pPr>
        <w:pStyle w:val="ListParagraph"/>
        <w:ind w:left="0" w:firstLine="425"/>
        <w:jc w:val="both"/>
      </w:pPr>
      <w:r>
        <w:t>Savukārt plānotā pašu kapitāla atdeves likme un apjoms parādīti Tabulā Nr.</w:t>
      </w:r>
      <w:r w:rsidR="008001B1">
        <w:t>4</w:t>
      </w:r>
      <w:r>
        <w:t xml:space="preserve"> </w:t>
      </w:r>
      <w:r w:rsidR="00676E3D">
        <w:t>"</w:t>
      </w:r>
      <w:r>
        <w:t>Plānotais pašu kapitāla atdeves likme un apmērs</w:t>
      </w:r>
      <w:r w:rsidR="00676E3D">
        <w:t>"</w:t>
      </w:r>
      <w:r w:rsidR="002A3A95">
        <w:t>.</w:t>
      </w:r>
    </w:p>
    <w:p w:rsidR="00541F7E" w:rsidP="002A3A95">
      <w:pPr>
        <w:pStyle w:val="ListParagraph"/>
        <w:ind w:left="0" w:firstLine="425"/>
        <w:jc w:val="both"/>
      </w:pPr>
    </w:p>
    <w:p w:rsidR="00541F7E" w:rsidP="002A3A95">
      <w:pPr>
        <w:pStyle w:val="ListParagraph"/>
        <w:ind w:left="0" w:firstLine="425"/>
        <w:jc w:val="both"/>
      </w:pPr>
    </w:p>
    <w:p w:rsidR="00541F7E" w:rsidP="002A3A95">
      <w:pPr>
        <w:pStyle w:val="ListParagraph"/>
        <w:ind w:left="0" w:firstLine="425"/>
        <w:jc w:val="both"/>
      </w:pPr>
    </w:p>
    <w:p w:rsidR="002A215A" w:rsidP="002A3A95">
      <w:pPr>
        <w:pStyle w:val="ListParagraph"/>
        <w:ind w:left="0" w:firstLine="425"/>
        <w:jc w:val="both"/>
      </w:pPr>
    </w:p>
    <w:p w:rsidR="007A3DA3" w:rsidRPr="000B495F" w:rsidP="007B07F3">
      <w:pPr>
        <w:pStyle w:val="ListParagraph"/>
        <w:ind w:left="0"/>
        <w:jc w:val="center"/>
        <w:rPr>
          <w:b/>
          <w:i/>
        </w:rPr>
      </w:pPr>
      <w:r w:rsidRPr="000B495F">
        <w:rPr>
          <w:b/>
          <w:i/>
        </w:rPr>
        <w:t>Tabula Nr.</w:t>
      </w:r>
      <w:r w:rsidR="008001B1">
        <w:rPr>
          <w:b/>
          <w:i/>
        </w:rPr>
        <w:t>4</w:t>
      </w:r>
      <w:r w:rsidRPr="000B495F">
        <w:rPr>
          <w:b/>
          <w:i/>
        </w:rPr>
        <w:t xml:space="preserve"> </w:t>
      </w:r>
      <w:r w:rsidR="00676E3D">
        <w:rPr>
          <w:b/>
          <w:i/>
        </w:rPr>
        <w:t>"</w:t>
      </w:r>
      <w:r w:rsidRPr="000B495F">
        <w:rPr>
          <w:b/>
          <w:i/>
        </w:rPr>
        <w:t>Plānotais pašu kapitāla atdeves likme un apmērs</w:t>
      </w:r>
      <w:r w:rsidR="00676E3D">
        <w:rPr>
          <w:b/>
          <w:i/>
        </w:rPr>
        <w:t>"</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1"/>
        <w:gridCol w:w="2316"/>
        <w:gridCol w:w="2489"/>
      </w:tblGrid>
      <w:tr w:rsidTr="007B07F3">
        <w:tblPrEx>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8"/>
          <w:jc w:val="center"/>
        </w:trPr>
        <w:tc>
          <w:tcPr>
            <w:tcW w:w="4081" w:type="dxa"/>
            <w:shd w:val="clear" w:color="auto" w:fill="auto"/>
          </w:tcPr>
          <w:p w:rsidR="007B07F3" w:rsidRPr="0003664B" w:rsidP="008300A1">
            <w:pPr>
              <w:pStyle w:val="ListParagraph"/>
              <w:ind w:left="0"/>
              <w:jc w:val="both"/>
            </w:pPr>
          </w:p>
        </w:tc>
        <w:tc>
          <w:tcPr>
            <w:tcW w:w="2316" w:type="dxa"/>
            <w:shd w:val="clear" w:color="auto" w:fill="auto"/>
          </w:tcPr>
          <w:p w:rsidR="007B07F3" w:rsidRPr="008300A1" w:rsidP="00C509D2">
            <w:pPr>
              <w:pStyle w:val="ListParagraph"/>
              <w:ind w:left="0"/>
              <w:jc w:val="center"/>
              <w:rPr>
                <w:rFonts w:ascii="Calibri" w:hAnsi="Calibri"/>
                <w:b/>
                <w:bCs/>
                <w:color w:val="FFFFFF"/>
                <w:kern w:val="24"/>
                <w:sz w:val="22"/>
                <w:szCs w:val="22"/>
              </w:rPr>
            </w:pPr>
            <w:r w:rsidRPr="00E04BE9">
              <w:rPr>
                <w:b/>
                <w:sz w:val="22"/>
                <w:szCs w:val="22"/>
              </w:rPr>
              <w:t xml:space="preserve">Aizdevumi </w:t>
            </w:r>
            <w:r w:rsidRPr="008300A1">
              <w:rPr>
                <w:b/>
                <w:bCs/>
                <w:color w:val="FFFFFF"/>
                <w:kern w:val="24"/>
              </w:rPr>
              <w:t>i</w:t>
            </w:r>
          </w:p>
        </w:tc>
        <w:tc>
          <w:tcPr>
            <w:tcW w:w="2489" w:type="dxa"/>
            <w:shd w:val="clear" w:color="auto" w:fill="auto"/>
          </w:tcPr>
          <w:p w:rsidR="007B07F3" w:rsidRPr="008300A1" w:rsidP="00C509D2">
            <w:pPr>
              <w:pStyle w:val="ListParagraph"/>
              <w:ind w:left="0"/>
              <w:jc w:val="center"/>
              <w:rPr>
                <w:rFonts w:ascii="Calibri" w:hAnsi="Calibri"/>
                <w:b/>
                <w:bCs/>
                <w:color w:val="FFFFFF"/>
                <w:kern w:val="24"/>
                <w:sz w:val="22"/>
                <w:szCs w:val="22"/>
              </w:rPr>
            </w:pPr>
            <w:r w:rsidRPr="00E04BE9">
              <w:rPr>
                <w:b/>
                <w:sz w:val="22"/>
                <w:szCs w:val="22"/>
              </w:rPr>
              <w:t>Garantijas</w:t>
            </w:r>
          </w:p>
        </w:tc>
      </w:tr>
      <w:tr w:rsidTr="007B07F3">
        <w:tblPrEx>
          <w:tblW w:w="8886" w:type="dxa"/>
          <w:jc w:val="center"/>
          <w:tblLook w:val="04A0"/>
        </w:tblPrEx>
        <w:trPr>
          <w:trHeight w:val="457"/>
          <w:jc w:val="center"/>
        </w:trPr>
        <w:tc>
          <w:tcPr>
            <w:tcW w:w="4081" w:type="dxa"/>
            <w:shd w:val="clear" w:color="auto" w:fill="auto"/>
          </w:tcPr>
          <w:p w:rsidR="007B07F3" w:rsidRPr="0003664B" w:rsidP="008300A1">
            <w:pPr>
              <w:pStyle w:val="ListParagraph"/>
              <w:ind w:left="0"/>
              <w:jc w:val="both"/>
            </w:pPr>
            <w:r w:rsidRPr="008300A1">
              <w:rPr>
                <w:color w:val="000000"/>
                <w:kern w:val="24"/>
              </w:rPr>
              <w:t>Izmaksu par izmantoto kapitālu iekļaušana klientu maksājumos</w:t>
            </w:r>
          </w:p>
        </w:tc>
        <w:tc>
          <w:tcPr>
            <w:tcW w:w="2316" w:type="dxa"/>
            <w:shd w:val="clear" w:color="auto" w:fill="auto"/>
          </w:tcPr>
          <w:p w:rsidR="007B07F3" w:rsidRPr="008300A1" w:rsidP="008300A1">
            <w:pPr>
              <w:pStyle w:val="ListParagraph"/>
              <w:ind w:left="0"/>
              <w:jc w:val="both"/>
              <w:rPr>
                <w:rFonts w:ascii="Calibri" w:hAnsi="Calibri"/>
                <w:color w:val="000000"/>
                <w:kern w:val="24"/>
                <w:sz w:val="22"/>
                <w:szCs w:val="22"/>
              </w:rPr>
            </w:pPr>
            <w:r w:rsidRPr="008300A1">
              <w:rPr>
                <w:color w:val="000000"/>
                <w:kern w:val="24"/>
              </w:rPr>
              <w:t>Iekļautas</w:t>
            </w:r>
          </w:p>
        </w:tc>
        <w:tc>
          <w:tcPr>
            <w:tcW w:w="2489" w:type="dxa"/>
            <w:shd w:val="clear" w:color="auto" w:fill="auto"/>
          </w:tcPr>
          <w:p w:rsidR="007B07F3" w:rsidRPr="008300A1" w:rsidP="008300A1">
            <w:pPr>
              <w:pStyle w:val="ListParagraph"/>
              <w:ind w:left="0"/>
              <w:jc w:val="both"/>
              <w:rPr>
                <w:rFonts w:ascii="Calibri" w:hAnsi="Calibri"/>
                <w:color w:val="000000"/>
                <w:kern w:val="24"/>
                <w:sz w:val="22"/>
                <w:szCs w:val="22"/>
              </w:rPr>
            </w:pPr>
            <w:r w:rsidRPr="008300A1">
              <w:rPr>
                <w:color w:val="000000"/>
                <w:kern w:val="24"/>
              </w:rPr>
              <w:t>Iekļautas daļējā apmērā</w:t>
            </w:r>
          </w:p>
        </w:tc>
      </w:tr>
      <w:tr w:rsidTr="007B07F3">
        <w:tblPrEx>
          <w:tblW w:w="8886" w:type="dxa"/>
          <w:jc w:val="center"/>
          <w:tblLook w:val="04A0"/>
        </w:tblPrEx>
        <w:trPr>
          <w:trHeight w:val="685"/>
          <w:jc w:val="center"/>
        </w:trPr>
        <w:tc>
          <w:tcPr>
            <w:tcW w:w="4081" w:type="dxa"/>
            <w:shd w:val="clear" w:color="auto" w:fill="auto"/>
          </w:tcPr>
          <w:p w:rsidR="007B07F3" w:rsidRPr="0003664B" w:rsidP="008300A1">
            <w:pPr>
              <w:pStyle w:val="ListParagraph"/>
              <w:ind w:left="0"/>
              <w:jc w:val="both"/>
            </w:pPr>
            <w:r w:rsidRPr="008300A1">
              <w:rPr>
                <w:color w:val="000000"/>
                <w:kern w:val="24"/>
              </w:rPr>
              <w:t>Izmantotā pašu kapitāla plānotā  atdeves likme, % no noslogotā kapitāla</w:t>
            </w:r>
          </w:p>
        </w:tc>
        <w:tc>
          <w:tcPr>
            <w:tcW w:w="2316" w:type="dxa"/>
            <w:shd w:val="clear" w:color="auto" w:fill="auto"/>
          </w:tcPr>
          <w:p w:rsidR="007B07F3" w:rsidRPr="008300A1" w:rsidP="008300A1">
            <w:pPr>
              <w:pStyle w:val="ListParagraph"/>
              <w:ind w:left="0"/>
              <w:jc w:val="both"/>
              <w:rPr>
                <w:rFonts w:ascii="Calibri" w:hAnsi="Calibri"/>
                <w:color w:val="000000"/>
                <w:kern w:val="24"/>
                <w:sz w:val="22"/>
                <w:szCs w:val="22"/>
              </w:rPr>
            </w:pPr>
            <w:r w:rsidRPr="008300A1">
              <w:rPr>
                <w:color w:val="000000"/>
                <w:kern w:val="24"/>
              </w:rPr>
              <w:t>10%</w:t>
            </w:r>
          </w:p>
        </w:tc>
        <w:tc>
          <w:tcPr>
            <w:tcW w:w="2489" w:type="dxa"/>
            <w:shd w:val="clear" w:color="auto" w:fill="auto"/>
          </w:tcPr>
          <w:p w:rsidR="007B07F3" w:rsidRPr="008300A1" w:rsidP="008300A1">
            <w:pPr>
              <w:pStyle w:val="ListParagraph"/>
              <w:ind w:left="0"/>
              <w:jc w:val="both"/>
              <w:rPr>
                <w:rFonts w:ascii="Calibri" w:hAnsi="Calibri"/>
                <w:color w:val="000000"/>
                <w:kern w:val="24"/>
                <w:sz w:val="22"/>
                <w:szCs w:val="22"/>
              </w:rPr>
            </w:pPr>
            <w:r w:rsidRPr="008300A1">
              <w:rPr>
                <w:color w:val="000000"/>
                <w:kern w:val="24"/>
              </w:rPr>
              <w:t>10%</w:t>
            </w:r>
          </w:p>
        </w:tc>
      </w:tr>
      <w:tr w:rsidTr="007B07F3">
        <w:tblPrEx>
          <w:tblW w:w="8886" w:type="dxa"/>
          <w:jc w:val="center"/>
          <w:tblLook w:val="04A0"/>
        </w:tblPrEx>
        <w:trPr>
          <w:trHeight w:val="1143"/>
          <w:jc w:val="center"/>
        </w:trPr>
        <w:tc>
          <w:tcPr>
            <w:tcW w:w="4081" w:type="dxa"/>
            <w:shd w:val="clear" w:color="auto" w:fill="auto"/>
          </w:tcPr>
          <w:p w:rsidR="007B07F3" w:rsidRPr="0003664B" w:rsidP="008300A1">
            <w:pPr>
              <w:pStyle w:val="ListParagraph"/>
              <w:ind w:left="0"/>
              <w:jc w:val="both"/>
            </w:pPr>
            <w:r w:rsidRPr="008300A1">
              <w:rPr>
                <w:color w:val="000000"/>
                <w:kern w:val="24"/>
              </w:rPr>
              <w:t xml:space="preserve">Plānotais apjoms izdevumu </w:t>
            </w:r>
            <w:r w:rsidR="00EE49A7">
              <w:rPr>
                <w:color w:val="000000"/>
                <w:kern w:val="24"/>
              </w:rPr>
              <w:t>segšanai</w:t>
            </w:r>
            <w:r w:rsidRPr="008300A1">
              <w:rPr>
                <w:color w:val="000000"/>
                <w:kern w:val="24"/>
              </w:rPr>
              <w:t xml:space="preserve"> par izmantoto pašu kapitālu, kopā visā programmas īstenošanas laikā, milj. EUR </w:t>
            </w:r>
          </w:p>
        </w:tc>
        <w:tc>
          <w:tcPr>
            <w:tcW w:w="2316" w:type="dxa"/>
            <w:shd w:val="clear" w:color="auto" w:fill="auto"/>
          </w:tcPr>
          <w:p w:rsidR="007B07F3" w:rsidRPr="008300A1" w:rsidP="008300A1">
            <w:pPr>
              <w:pStyle w:val="NormalWeb"/>
              <w:spacing w:before="0" w:beforeAutospacing="0" w:after="0" w:afterAutospacing="0"/>
              <w:jc w:val="both"/>
              <w:rPr>
                <w:rFonts w:ascii="Times New Roman" w:hAnsi="Times New Roman" w:cs="Times New Roman"/>
                <w:color w:val="000000"/>
                <w:kern w:val="24"/>
                <w:sz w:val="22"/>
                <w:szCs w:val="22"/>
                <w:lang w:val="lv-LV"/>
              </w:rPr>
            </w:pPr>
            <w:r w:rsidRPr="008300A1">
              <w:rPr>
                <w:rFonts w:ascii="Times New Roman" w:hAnsi="Times New Roman" w:cs="Times New Roman"/>
                <w:color w:val="000000"/>
                <w:kern w:val="24"/>
                <w:lang w:val="lv-LV"/>
              </w:rPr>
              <w:t>0.3 milj. EUR, 16 gadu periodā no 2018. līdz 2034.gadam</w:t>
            </w:r>
          </w:p>
        </w:tc>
        <w:tc>
          <w:tcPr>
            <w:tcW w:w="2489" w:type="dxa"/>
            <w:shd w:val="clear" w:color="auto" w:fill="auto"/>
          </w:tcPr>
          <w:p w:rsidR="007B07F3" w:rsidRPr="008300A1" w:rsidP="008300A1">
            <w:pPr>
              <w:pStyle w:val="NormalWeb"/>
              <w:spacing w:before="0" w:beforeAutospacing="0" w:after="0" w:afterAutospacing="0"/>
              <w:jc w:val="both"/>
              <w:rPr>
                <w:rFonts w:ascii="Times New Roman" w:hAnsi="Times New Roman" w:cs="Times New Roman"/>
                <w:color w:val="000000"/>
                <w:kern w:val="24"/>
                <w:sz w:val="22"/>
                <w:szCs w:val="22"/>
                <w:lang w:val="lv-LV"/>
              </w:rPr>
            </w:pPr>
            <w:r w:rsidRPr="008300A1">
              <w:rPr>
                <w:rFonts w:ascii="Times New Roman" w:hAnsi="Times New Roman" w:cs="Times New Roman"/>
                <w:color w:val="000000"/>
                <w:kern w:val="24"/>
                <w:lang w:val="lv-LV"/>
              </w:rPr>
              <w:t>2.0 milj. EUR, 18</w:t>
            </w:r>
            <w:r>
              <w:rPr>
                <w:rFonts w:ascii="Times New Roman" w:hAnsi="Times New Roman" w:cs="Times New Roman"/>
                <w:color w:val="000000"/>
                <w:kern w:val="24"/>
                <w:lang w:val="lv-LV"/>
              </w:rPr>
              <w:t xml:space="preserve"> </w:t>
            </w:r>
            <w:r w:rsidRPr="008300A1">
              <w:rPr>
                <w:rFonts w:ascii="Times New Roman" w:hAnsi="Times New Roman" w:cs="Times New Roman"/>
                <w:color w:val="000000"/>
                <w:kern w:val="24"/>
                <w:lang w:val="lv-LV"/>
              </w:rPr>
              <w:t>gadu periodā no 2016. līdz 2034.gadam</w:t>
            </w:r>
          </w:p>
        </w:tc>
      </w:tr>
      <w:tr w:rsidTr="007B07F3">
        <w:tblPrEx>
          <w:tblW w:w="8886" w:type="dxa"/>
          <w:jc w:val="center"/>
          <w:tblLook w:val="04A0"/>
        </w:tblPrEx>
        <w:trPr>
          <w:trHeight w:val="675"/>
          <w:jc w:val="center"/>
        </w:trPr>
        <w:tc>
          <w:tcPr>
            <w:tcW w:w="4081" w:type="dxa"/>
            <w:shd w:val="clear" w:color="auto" w:fill="auto"/>
          </w:tcPr>
          <w:p w:rsidR="007B07F3" w:rsidRPr="0003664B" w:rsidP="008300A1">
            <w:pPr>
              <w:pStyle w:val="ListParagraph"/>
              <w:ind w:left="0"/>
              <w:jc w:val="both"/>
            </w:pPr>
            <w:r w:rsidRPr="008300A1">
              <w:rPr>
                <w:color w:val="000000"/>
                <w:kern w:val="24"/>
              </w:rPr>
              <w:t>Izmantoto datu avots</w:t>
            </w:r>
          </w:p>
        </w:tc>
        <w:tc>
          <w:tcPr>
            <w:tcW w:w="2316" w:type="dxa"/>
            <w:shd w:val="clear" w:color="auto" w:fill="auto"/>
          </w:tcPr>
          <w:p w:rsidR="007B07F3" w:rsidRPr="008300A1" w:rsidP="008300A1">
            <w:pPr>
              <w:pStyle w:val="ListParagraph"/>
              <w:ind w:left="0"/>
              <w:jc w:val="both"/>
              <w:rPr>
                <w:rFonts w:ascii="Calibri" w:hAnsi="Calibri"/>
                <w:color w:val="000000"/>
                <w:kern w:val="24"/>
                <w:sz w:val="22"/>
                <w:szCs w:val="22"/>
              </w:rPr>
            </w:pPr>
            <w:r w:rsidRPr="008300A1">
              <w:rPr>
                <w:color w:val="000000"/>
                <w:kern w:val="24"/>
              </w:rPr>
              <w:t>Aktualizēts programmas ieviešanas plāns</w:t>
            </w:r>
          </w:p>
        </w:tc>
        <w:tc>
          <w:tcPr>
            <w:tcW w:w="2489" w:type="dxa"/>
            <w:shd w:val="clear" w:color="auto" w:fill="auto"/>
          </w:tcPr>
          <w:p w:rsidR="007B07F3" w:rsidRPr="008300A1" w:rsidP="008300A1">
            <w:pPr>
              <w:pStyle w:val="ListParagraph"/>
              <w:ind w:left="0"/>
              <w:jc w:val="both"/>
              <w:rPr>
                <w:rFonts w:ascii="Calibri" w:hAnsi="Calibri"/>
                <w:color w:val="000000"/>
                <w:kern w:val="24"/>
                <w:sz w:val="22"/>
                <w:szCs w:val="22"/>
              </w:rPr>
            </w:pPr>
            <w:r w:rsidRPr="008300A1">
              <w:rPr>
                <w:color w:val="000000"/>
                <w:kern w:val="24"/>
              </w:rPr>
              <w:t>Programmas biznesa plāns</w:t>
            </w:r>
          </w:p>
        </w:tc>
      </w:tr>
    </w:tbl>
    <w:p w:rsidR="00794FE9" w:rsidRPr="00E04BE9" w:rsidP="002A3A95">
      <w:pPr>
        <w:pStyle w:val="ListParagraph"/>
        <w:spacing w:before="120"/>
        <w:ind w:left="0" w:firstLine="425"/>
        <w:jc w:val="both"/>
      </w:pPr>
      <w:r w:rsidRPr="00065684">
        <w:t>4.2.1.1.pasākuma</w:t>
      </w:r>
      <w:r w:rsidRPr="00065684">
        <w:t xml:space="preserve"> </w:t>
      </w:r>
      <w:r w:rsidRPr="00065684" w:rsidR="0055706E">
        <w:t>aizdevum</w:t>
      </w:r>
      <w:r w:rsidRPr="00065684" w:rsidR="00415051">
        <w:t>u</w:t>
      </w:r>
      <w:r w:rsidRPr="00065684" w:rsidR="00B046F8">
        <w:t xml:space="preserve"> finanšu instrumenta</w:t>
      </w:r>
      <w:r w:rsidRPr="00065684" w:rsidR="0055706E">
        <w:t xml:space="preserve"> procentu likmē</w:t>
      </w:r>
      <w:r w:rsidRPr="00065684" w:rsidR="00226AB1">
        <w:t xml:space="preserve"> / garantiju prēmijā</w:t>
      </w:r>
      <w:r w:rsidRPr="00065684" w:rsidR="00B046F8">
        <w:t xml:space="preserve"> tiek iecenota</w:t>
      </w:r>
      <w:r w:rsidRPr="00065684" w:rsidR="002033E5">
        <w:t xml:space="preserve"> kapitāla atdeves komponent</w:t>
      </w:r>
      <w:r w:rsidRPr="00065684" w:rsidR="00B046F8">
        <w:t>e</w:t>
      </w:r>
      <w:r w:rsidR="00836CC5">
        <w:t>, kas nodrošina</w:t>
      </w:r>
      <w:r w:rsidRPr="00836CC5" w:rsidR="00836CC5">
        <w:t xml:space="preserve"> </w:t>
      </w:r>
      <w:r w:rsidR="00836CC5">
        <w:t>d</w:t>
      </w:r>
      <w:r w:rsidRPr="00836CC5" w:rsidR="00836CC5">
        <w:t>aļas no plānotās kapitāla atdeves saņemšan</w:t>
      </w:r>
      <w:r w:rsidR="00836CC5">
        <w:t>u</w:t>
      </w:r>
      <w:r w:rsidRPr="00065684" w:rsidR="002033E5">
        <w:t xml:space="preserve">. </w:t>
      </w:r>
    </w:p>
    <w:p w:rsidR="004D0746" w:rsidRPr="00E04BE9" w:rsidP="004D0746">
      <w:pPr>
        <w:pStyle w:val="ListParagraph"/>
        <w:ind w:left="0" w:firstLine="425"/>
        <w:jc w:val="both"/>
      </w:pPr>
      <w:r w:rsidRPr="00E04BE9">
        <w:rPr>
          <w:u w:val="single"/>
        </w:rPr>
        <w:t>Lai rastu līdzekļus Altum kapitāla atdeves</w:t>
      </w:r>
      <w:r w:rsidRPr="00E04BE9" w:rsidR="00DA14B8">
        <w:rPr>
          <w:u w:val="single"/>
        </w:rPr>
        <w:t xml:space="preserve"> nodrošināšanai</w:t>
      </w:r>
      <w:r w:rsidRPr="00E04BE9">
        <w:t xml:space="preserve">, </w:t>
      </w:r>
      <w:r w:rsidR="00275D2E">
        <w:t>izvērtēt nepieciešamību veikt grozījumus</w:t>
      </w:r>
      <w:r w:rsidRPr="00E04BE9">
        <w:t xml:space="preserve"> MK noteikumos Nr.160, </w:t>
      </w:r>
      <w:r w:rsidRPr="00E04BE9">
        <w:t>paredzot programmas publisko</w:t>
      </w:r>
      <w:r w:rsidR="008864C6">
        <w:t>s</w:t>
      </w:r>
      <w:r w:rsidRPr="00E04BE9">
        <w:t xml:space="preserve"> resursus un to atmaksas izmantot aizdevumu finanšu instrumenta vadības izdevumu </w:t>
      </w:r>
      <w:r w:rsidR="00EE49A7">
        <w:t>segšanai</w:t>
      </w:r>
      <w:r w:rsidRPr="00E04BE9">
        <w:t xml:space="preserve"> (tāpat kā garantiju instrumentā)</w:t>
      </w:r>
      <w:r w:rsidRPr="00E04BE9">
        <w:t xml:space="preserve">. </w:t>
      </w:r>
    </w:p>
    <w:p w:rsidR="00086B70" w:rsidRPr="00086B70" w:rsidP="00AD1AFF">
      <w:pPr>
        <w:pStyle w:val="ListParagraph"/>
        <w:ind w:left="0" w:firstLine="425"/>
        <w:jc w:val="both"/>
      </w:pPr>
      <w:r w:rsidRPr="00086B70">
        <w:rPr>
          <w:u w:val="single"/>
        </w:rPr>
        <w:t>Lai Altum kapitāla atdevi</w:t>
      </w:r>
      <w:r w:rsidR="00541F7E">
        <w:rPr>
          <w:u w:val="single"/>
        </w:rPr>
        <w:t xml:space="preserve"> va</w:t>
      </w:r>
      <w:r w:rsidR="00B95CEC">
        <w:rPr>
          <w:u w:val="single"/>
        </w:rPr>
        <w:t>rētu</w:t>
      </w:r>
      <w:r w:rsidRPr="00086B70">
        <w:rPr>
          <w:u w:val="single"/>
        </w:rPr>
        <w:t xml:space="preserve"> </w:t>
      </w:r>
      <w:r w:rsidR="00B95CEC">
        <w:rPr>
          <w:u w:val="single"/>
        </w:rPr>
        <w:t>segt</w:t>
      </w:r>
      <w:r w:rsidRPr="00086B70">
        <w:rPr>
          <w:u w:val="single"/>
        </w:rPr>
        <w:t xml:space="preserve"> no publiskā finansējuma atm</w:t>
      </w:r>
      <w:r w:rsidRPr="00541F7E">
        <w:rPr>
          <w:u w:val="single"/>
        </w:rPr>
        <w:t>aksām</w:t>
      </w:r>
      <w:r w:rsidRPr="00541F7E">
        <w:t xml:space="preserve">, </w:t>
      </w:r>
      <w:r w:rsidRPr="00541F7E" w:rsidR="00275D2E">
        <w:t>izvērtēt nepieciešamību veikt</w:t>
      </w:r>
      <w:r w:rsidRPr="00086B70">
        <w:t xml:space="preserve"> grozījum</w:t>
      </w:r>
      <w:r w:rsidR="00275D2E">
        <w:t>us</w:t>
      </w:r>
      <w:r w:rsidRPr="00086B70">
        <w:t xml:space="preserve"> MK noteikumos Nr.160, paredzot programmas publiskā finansējuma atmaksu izmantošanu Altum kapitāla atdeves nodrošināšanai. ERAF finansējuma atmaksas paredzēts izmantot kapitāla atdeves nodrošināšanai līdz atbilstības perioda beigām saskaņā ar 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1083/200644.panta  1.daļas c) sadaļu, kas paredz, ka atmaksas var izmantot </w:t>
      </w:r>
      <w:r w:rsidR="00541F7E">
        <w:t>"</w:t>
      </w:r>
      <w:r w:rsidRPr="00086B70">
        <w:t>finanšu instrumenta maksas samaksāšanai</w:t>
      </w:r>
      <w:r w:rsidR="00541F7E">
        <w:t>"</w:t>
      </w:r>
      <w:r w:rsidRPr="00086B70">
        <w:t xml:space="preserve">. </w:t>
      </w:r>
    </w:p>
    <w:p w:rsidR="000E2BBD" w:rsidP="000E2BBD">
      <w:pPr>
        <w:pStyle w:val="ListParagraph"/>
        <w:ind w:left="0" w:firstLine="425"/>
        <w:jc w:val="both"/>
        <w:rPr>
          <w:sz w:val="22"/>
          <w:szCs w:val="22"/>
        </w:rPr>
      </w:pPr>
      <w:r>
        <w:rPr>
          <w:sz w:val="22"/>
          <w:szCs w:val="22"/>
        </w:rPr>
        <w:t xml:space="preserve">Attiecīgi ziņojuma </w:t>
      </w:r>
      <w:r>
        <w:rPr>
          <w:sz w:val="22"/>
          <w:szCs w:val="22"/>
        </w:rPr>
        <w:t>protokollēmumā</w:t>
      </w:r>
      <w:r>
        <w:rPr>
          <w:sz w:val="22"/>
          <w:szCs w:val="22"/>
        </w:rPr>
        <w:t xml:space="preserve"> iekļaut</w:t>
      </w:r>
      <w:r w:rsidR="00A258C8">
        <w:rPr>
          <w:sz w:val="22"/>
          <w:szCs w:val="22"/>
        </w:rPr>
        <w:t>s</w:t>
      </w:r>
      <w:r>
        <w:rPr>
          <w:sz w:val="22"/>
          <w:szCs w:val="22"/>
        </w:rPr>
        <w:t xml:space="preserve"> punkt</w:t>
      </w:r>
      <w:r w:rsidR="00A258C8">
        <w:rPr>
          <w:sz w:val="22"/>
          <w:szCs w:val="22"/>
        </w:rPr>
        <w:t>s</w:t>
      </w:r>
      <w:r>
        <w:rPr>
          <w:sz w:val="22"/>
          <w:szCs w:val="22"/>
        </w:rPr>
        <w:t xml:space="preserve">, </w:t>
      </w:r>
      <w:r w:rsidRPr="00541F7E">
        <w:rPr>
          <w:sz w:val="22"/>
          <w:szCs w:val="22"/>
        </w:rPr>
        <w:t xml:space="preserve">kas paredz </w:t>
      </w:r>
      <w:r w:rsidRPr="00541F7E" w:rsidR="00275D2E">
        <w:rPr>
          <w:sz w:val="22"/>
          <w:szCs w:val="22"/>
        </w:rPr>
        <w:t xml:space="preserve">izvērtēt nepieciešamību </w:t>
      </w:r>
      <w:r w:rsidRPr="00541F7E">
        <w:t>izstrādāt</w:t>
      </w:r>
      <w:r w:rsidRPr="00E04BE9">
        <w:t xml:space="preserve"> MK noteikumu Nr.160 grozījumus</w:t>
      </w:r>
      <w:r>
        <w:t>.</w:t>
      </w:r>
    </w:p>
    <w:p w:rsidR="000E2BBD" w:rsidP="000E2BBD">
      <w:pPr>
        <w:pStyle w:val="ListParagraph"/>
        <w:ind w:left="0" w:firstLine="425"/>
        <w:jc w:val="both"/>
        <w:rPr>
          <w:sz w:val="22"/>
          <w:szCs w:val="22"/>
        </w:rPr>
      </w:pPr>
    </w:p>
    <w:p w:rsidR="008001B1" w:rsidP="000E2BBD">
      <w:pPr>
        <w:pStyle w:val="ListParagraph"/>
        <w:ind w:left="0" w:firstLine="425"/>
        <w:jc w:val="both"/>
        <w:rPr>
          <w:sz w:val="22"/>
          <w:szCs w:val="22"/>
        </w:rPr>
      </w:pPr>
    </w:p>
    <w:p w:rsidR="000E2BBD" w:rsidRPr="000A02DE" w:rsidP="000E2BBD">
      <w:pPr>
        <w:tabs>
          <w:tab w:val="center" w:pos="4465"/>
        </w:tabs>
        <w:ind w:right="-283"/>
        <w:jc w:val="both"/>
        <w:rPr>
          <w:b/>
        </w:rPr>
      </w:pPr>
      <w:r>
        <w:rPr>
          <w:b/>
        </w:rPr>
        <w:t>Ministru prezidenta biedrs</w:t>
      </w:r>
      <w:r w:rsidRPr="000A02DE">
        <w:rPr>
          <w:b/>
        </w:rPr>
        <w:t>,</w:t>
      </w:r>
    </w:p>
    <w:p w:rsidR="006B6787" w:rsidRPr="000857FE" w:rsidP="000857FE">
      <w:pPr>
        <w:tabs>
          <w:tab w:val="center" w:pos="4465"/>
        </w:tabs>
        <w:ind w:right="-283"/>
        <w:jc w:val="both"/>
        <w:rPr>
          <w:b/>
        </w:rPr>
      </w:pPr>
      <w:r>
        <w:rPr>
          <w:b/>
        </w:rPr>
        <w:t>ekonomikas ministrs</w:t>
      </w:r>
      <w:r w:rsidRPr="000A02DE">
        <w:rPr>
          <w:b/>
        </w:rPr>
        <w:tab/>
      </w:r>
      <w:r w:rsidRPr="000A02DE">
        <w:rPr>
          <w:b/>
        </w:rPr>
        <w:tab/>
      </w:r>
      <w:r w:rsidRPr="000A02DE">
        <w:rPr>
          <w:b/>
        </w:rPr>
        <w:tab/>
      </w:r>
      <w:r w:rsidRPr="000A02DE">
        <w:rPr>
          <w:b/>
        </w:rPr>
        <w:tab/>
      </w:r>
      <w:r w:rsidRPr="000A02DE">
        <w:rPr>
          <w:b/>
        </w:rPr>
        <w:tab/>
      </w:r>
      <w:r>
        <w:rPr>
          <w:b/>
        </w:rPr>
        <w:t>A. Ašeradens</w:t>
      </w:r>
    </w:p>
    <w:sectPr w:rsidSect="00B92DE7">
      <w:headerReference w:type="even" r:id="rId6"/>
      <w:footerReference w:type="default" r:id="rId7"/>
      <w:footerReference w:type="first" r:id="rId8"/>
      <w:pgSz w:w="11906" w:h="16838" w:code="9"/>
      <w:pgMar w:top="1418" w:right="1134"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33E5">
    <w:pPr>
      <w:pStyle w:val="Footer"/>
      <w:jc w:val="center"/>
    </w:pPr>
    <w:r>
      <w:fldChar w:fldCharType="begin"/>
    </w:r>
    <w:r>
      <w:instrText xml:space="preserve"> PAGE   \* MERGEFORMAT </w:instrText>
    </w:r>
    <w:r>
      <w:fldChar w:fldCharType="separate"/>
    </w:r>
    <w:r w:rsidR="00541F7E">
      <w:rPr>
        <w:noProof/>
      </w:rPr>
      <w:t>3</w:t>
    </w:r>
    <w:r>
      <w:rPr>
        <w:noProof/>
      </w:rPr>
      <w:fldChar w:fldCharType="end"/>
    </w:r>
  </w:p>
  <w:p w:rsidR="00203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33E5">
    <w:pPr>
      <w:pStyle w:val="Footer"/>
      <w:jc w:val="center"/>
    </w:pPr>
    <w:r>
      <w:fldChar w:fldCharType="begin"/>
    </w:r>
    <w:r>
      <w:instrText xml:space="preserve"> PAGE   \* MERGEFORMAT </w:instrText>
    </w:r>
    <w:r>
      <w:fldChar w:fldCharType="separate"/>
    </w:r>
    <w:r w:rsidR="00541F7E">
      <w:rPr>
        <w:noProof/>
      </w:rPr>
      <w:t>1</w:t>
    </w:r>
    <w:r>
      <w:rPr>
        <w:noProof/>
      </w:rPr>
      <w:fldChar w:fldCharType="end"/>
    </w:r>
  </w:p>
  <w:p w:rsidR="002033E5" w:rsidRPr="002B15BE" w:rsidP="002B15BE">
    <w:pPr>
      <w:pStyle w:val="Heading1"/>
      <w:jc w:val="both"/>
      <w:rPr>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249D">
      <w:r>
        <w:separator/>
      </w:r>
    </w:p>
  </w:footnote>
  <w:footnote w:type="continuationSeparator" w:id="1">
    <w:p w:rsidR="0020249D">
      <w:r>
        <w:continuationSeparator/>
      </w:r>
    </w:p>
  </w:footnote>
  <w:footnote w:id="2">
    <w:p w:rsidR="002033E5" w:rsidRPr="0001184A" w:rsidP="0097100F">
      <w:pPr>
        <w:pStyle w:val="FootnoteText"/>
        <w:jc w:val="both"/>
        <w:rPr>
          <w:lang w:val="lv-LV"/>
        </w:rPr>
      </w:pPr>
      <w:r>
        <w:rPr>
          <w:rStyle w:val="FootnoteReference"/>
        </w:rPr>
        <w:footnoteRef/>
      </w:r>
      <w:r>
        <w:t xml:space="preserve"> </w:t>
      </w:r>
      <w:r w:rsidRPr="0054754A">
        <w:t>Protokols Nr.58, 47.§</w:t>
      </w:r>
      <w:r w:rsidRPr="0054754A">
        <w:rPr>
          <w:lang w:val="lv-LV"/>
        </w:rPr>
        <w:t>,</w:t>
      </w:r>
      <w:r w:rsidRPr="0054754A">
        <w:t xml:space="preserve"> </w:t>
      </w:r>
      <w:r w:rsidRPr="0054754A">
        <w:rPr>
          <w:lang w:val="lv-LV"/>
        </w:rPr>
        <w:t xml:space="preserve">4.p., </w:t>
      </w:r>
      <w:r w:rsidRPr="0054754A">
        <w:t xml:space="preserve">noteikumu projekts </w:t>
      </w:r>
      <w:r w:rsidR="00676E3D">
        <w:rPr>
          <w:lang w:val="lv-LV"/>
        </w:rPr>
        <w:t>"</w:t>
      </w:r>
      <w:r w:rsidRPr="0054754A">
        <w:t xml:space="preserve">Grozījumi </w:t>
      </w:r>
      <w:bookmarkStart w:id="4" w:name="_Hlk503961904"/>
      <w:r w:rsidRPr="0054754A">
        <w:t xml:space="preserve">Ministru kabineta 2016.gada 15.marta noteikumos Nr.160 </w:t>
      </w:r>
      <w:r w:rsidR="00676E3D">
        <w:rPr>
          <w:lang w:val="lv-LV"/>
        </w:rPr>
        <w:t>"</w:t>
      </w:r>
      <w:r w:rsidRPr="0054754A">
        <w:t xml:space="preserve">Darbības programmas </w:t>
      </w:r>
      <w:r w:rsidR="00676E3D">
        <w:rPr>
          <w:lang w:val="lv-LV"/>
        </w:rPr>
        <w:t>"</w:t>
      </w:r>
      <w:r w:rsidRPr="0054754A">
        <w:t>Izaugsme un nodarbinātība</w:t>
      </w:r>
      <w:r w:rsidR="00676E3D">
        <w:rPr>
          <w:lang w:val="lv-LV"/>
        </w:rPr>
        <w:t>"</w:t>
      </w:r>
      <w:r w:rsidRPr="0054754A">
        <w:t xml:space="preserve"> 4.2.1.specifiskā atbalsta mērķa </w:t>
      </w:r>
      <w:r w:rsidR="00676E3D">
        <w:rPr>
          <w:lang w:val="lv-LV"/>
        </w:rPr>
        <w:t>"</w:t>
      </w:r>
      <w:r w:rsidRPr="0054754A">
        <w:t>Veicināt energoefektivitātes paaugstināšanu valsts un dzīvojamās ēkās</w:t>
      </w:r>
      <w:r w:rsidR="00676E3D">
        <w:rPr>
          <w:lang w:val="lv-LV"/>
        </w:rPr>
        <w:t>"</w:t>
      </w:r>
      <w:r w:rsidRPr="0054754A">
        <w:t xml:space="preserve"> 4.2.1.1.specifiskā atbalsta mērķa pasākuma </w:t>
      </w:r>
      <w:r w:rsidR="00676E3D">
        <w:rPr>
          <w:lang w:val="lv-LV"/>
        </w:rPr>
        <w:t>"</w:t>
      </w:r>
      <w:r w:rsidRPr="0054754A">
        <w:t>Veicināt energoefektivitātes paaugstināšanu dzīvojamās ēkās</w:t>
      </w:r>
      <w:r w:rsidR="00676E3D">
        <w:rPr>
          <w:lang w:val="lv-LV"/>
        </w:rPr>
        <w:t>"</w:t>
      </w:r>
      <w:r w:rsidRPr="0054754A">
        <w:t xml:space="preserve"> īstenošanas noteikumi</w:t>
      </w:r>
      <w:r w:rsidR="00676E3D">
        <w:rPr>
          <w:lang w:val="lv-LV"/>
        </w:rPr>
        <w:t>"</w:t>
      </w:r>
      <w:bookmarkEnd w:id="4"/>
      <w:r w:rsidR="00676E3D">
        <w:rPr>
          <w:lang w:val="lv-LV"/>
        </w:rPr>
        <w:t>"</w:t>
      </w:r>
      <w:r w:rsidRPr="0054754A">
        <w:t>.</w:t>
      </w:r>
      <w:r>
        <w:rPr>
          <w:lang w:val="lv-LV"/>
        </w:rPr>
        <w:t xml:space="preserve"> </w:t>
      </w:r>
    </w:p>
  </w:footnote>
  <w:footnote w:id="3">
    <w:p w:rsidR="002033E5" w:rsidRPr="0054754A" w:rsidP="0097100F">
      <w:pPr>
        <w:pStyle w:val="FootnoteText"/>
        <w:jc w:val="both"/>
        <w:rPr>
          <w:lang w:val="lv-LV"/>
        </w:rPr>
      </w:pPr>
      <w:r>
        <w:rPr>
          <w:rStyle w:val="FootnoteReference"/>
        </w:rPr>
        <w:footnoteRef/>
      </w:r>
      <w:r>
        <w:t xml:space="preserve"> </w:t>
      </w:r>
      <w:r w:rsidR="00EE49A7">
        <w:rPr>
          <w:lang w:val="lv-LV"/>
        </w:rPr>
        <w:t>N</w:t>
      </w:r>
      <w:r w:rsidRPr="0054754A">
        <w:rPr>
          <w:lang w:val="lv-LV"/>
        </w:rPr>
        <w:t>o publiskiem fondiem</w:t>
      </w:r>
      <w:r w:rsidRPr="0054754A">
        <w:t xml:space="preserve"> </w:t>
      </w:r>
      <w:r w:rsidRPr="0054754A">
        <w:rPr>
          <w:lang w:val="lv-LV"/>
        </w:rPr>
        <w:t>un</w:t>
      </w:r>
      <w:r w:rsidRPr="0054754A">
        <w:t xml:space="preserve">/vai </w:t>
      </w:r>
      <w:r w:rsidRPr="0054754A">
        <w:rPr>
          <w:lang w:val="lv-LV"/>
        </w:rPr>
        <w:t>ienākumi no klientu maksājumiem.</w:t>
      </w:r>
      <w:r>
        <w:rPr>
          <w:lang w:val="lv-LV"/>
        </w:rPr>
        <w:t xml:space="preserve"> </w:t>
      </w:r>
    </w:p>
  </w:footnote>
  <w:footnote w:id="4">
    <w:p w:rsidR="002033E5" w:rsidRPr="0054754A" w:rsidP="001C753B">
      <w:pPr>
        <w:pStyle w:val="FootnoteText"/>
      </w:pPr>
      <w:r w:rsidRPr="00AF4A75">
        <w:rPr>
          <w:rStyle w:val="FootnoteReference"/>
        </w:rPr>
        <w:footnoteRef/>
      </w:r>
      <w:r w:rsidRPr="00AF4A75">
        <w:t xml:space="preserve"> Fi</w:t>
      </w:r>
      <w:r w:rsidRPr="00AF4A75">
        <w:rPr>
          <w:lang w:val="lv-LV"/>
        </w:rPr>
        <w:t>nan</w:t>
      </w:r>
      <w:r w:rsidRPr="00E01525">
        <w:rPr>
          <w:lang w:val="lv-LV"/>
        </w:rPr>
        <w:t>sēta no</w:t>
      </w:r>
      <w:r w:rsidRPr="00E01525">
        <w:t xml:space="preserve"> </w:t>
      </w:r>
      <w:r w:rsidRPr="00E01525">
        <w:rPr>
          <w:lang w:val="lv-LV"/>
        </w:rPr>
        <w:t>E</w:t>
      </w:r>
      <w:r w:rsidRPr="00E01525" w:rsidR="00411393">
        <w:rPr>
          <w:lang w:val="lv-LV"/>
        </w:rPr>
        <w:t xml:space="preserve">iropas Savienības </w:t>
      </w:r>
      <w:r w:rsidRPr="0097100F">
        <w:t>fondiem.</w:t>
      </w:r>
      <w:r w:rsidRPr="0054754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33E5" w:rsidP="00A81C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03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1C2CA8"/>
    <w:multiLevelType w:val="hybridMultilevel"/>
    <w:tmpl w:val="F1A4A634"/>
    <w:lvl w:ilvl="0">
      <w:start w:val="1"/>
      <w:numFmt w:val="decimal"/>
      <w:lvlText w:val="(%1.)"/>
      <w:lvlJc w:val="left"/>
      <w:pPr>
        <w:ind w:left="360" w:hanging="360"/>
      </w:pPr>
      <w:rPr>
        <w:rFonts w:hint="default"/>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055C48AF"/>
    <w:multiLevelType w:val="hybridMultilevel"/>
    <w:tmpl w:val="7CB6C888"/>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2" w15:restartNumberingAfterBreak="1">
    <w:nsid w:val="0E864CC5"/>
    <w:multiLevelType w:val="hybridMultilevel"/>
    <w:tmpl w:val="292E51B6"/>
    <w:lvl w:ilvl="0">
      <w:start w:val="1"/>
      <w:numFmt w:val="decimal"/>
      <w:lvlText w:val="%1."/>
      <w:lvlJc w:val="left"/>
      <w:pPr>
        <w:ind w:left="1444" w:hanging="360"/>
      </w:pPr>
      <w:rPr>
        <w:rFonts w:hint="default"/>
      </w:rPr>
    </w:lvl>
    <w:lvl w:ilvl="1" w:tentative="1">
      <w:start w:val="1"/>
      <w:numFmt w:val="lowerLetter"/>
      <w:lvlText w:val="%2."/>
      <w:lvlJc w:val="left"/>
      <w:pPr>
        <w:ind w:left="2164" w:hanging="360"/>
      </w:pPr>
    </w:lvl>
    <w:lvl w:ilvl="2" w:tentative="1">
      <w:start w:val="1"/>
      <w:numFmt w:val="lowerRoman"/>
      <w:lvlText w:val="%3."/>
      <w:lvlJc w:val="right"/>
      <w:pPr>
        <w:ind w:left="2884" w:hanging="180"/>
      </w:pPr>
    </w:lvl>
    <w:lvl w:ilvl="3" w:tentative="1">
      <w:start w:val="1"/>
      <w:numFmt w:val="decimal"/>
      <w:lvlText w:val="%4."/>
      <w:lvlJc w:val="left"/>
      <w:pPr>
        <w:ind w:left="3604" w:hanging="360"/>
      </w:pPr>
    </w:lvl>
    <w:lvl w:ilvl="4" w:tentative="1">
      <w:start w:val="1"/>
      <w:numFmt w:val="lowerLetter"/>
      <w:lvlText w:val="%5."/>
      <w:lvlJc w:val="left"/>
      <w:pPr>
        <w:ind w:left="4324" w:hanging="360"/>
      </w:pPr>
    </w:lvl>
    <w:lvl w:ilvl="5" w:tentative="1">
      <w:start w:val="1"/>
      <w:numFmt w:val="lowerRoman"/>
      <w:lvlText w:val="%6."/>
      <w:lvlJc w:val="right"/>
      <w:pPr>
        <w:ind w:left="5044" w:hanging="180"/>
      </w:pPr>
    </w:lvl>
    <w:lvl w:ilvl="6" w:tentative="1">
      <w:start w:val="1"/>
      <w:numFmt w:val="decimal"/>
      <w:lvlText w:val="%7."/>
      <w:lvlJc w:val="left"/>
      <w:pPr>
        <w:ind w:left="5764" w:hanging="360"/>
      </w:pPr>
    </w:lvl>
    <w:lvl w:ilvl="7" w:tentative="1">
      <w:start w:val="1"/>
      <w:numFmt w:val="lowerLetter"/>
      <w:lvlText w:val="%8."/>
      <w:lvlJc w:val="left"/>
      <w:pPr>
        <w:ind w:left="6484" w:hanging="360"/>
      </w:pPr>
    </w:lvl>
    <w:lvl w:ilvl="8" w:tentative="1">
      <w:start w:val="1"/>
      <w:numFmt w:val="lowerRoman"/>
      <w:lvlText w:val="%9."/>
      <w:lvlJc w:val="right"/>
      <w:pPr>
        <w:ind w:left="7204" w:hanging="180"/>
      </w:pPr>
    </w:lvl>
  </w:abstractNum>
  <w:abstractNum w:abstractNumId="3" w15:restartNumberingAfterBreak="1">
    <w:nsid w:val="230F2CEB"/>
    <w:multiLevelType w:val="hybridMultilevel"/>
    <w:tmpl w:val="E530F9D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15:restartNumberingAfterBreak="1">
    <w:nsid w:val="34665DD3"/>
    <w:multiLevelType w:val="hybridMultilevel"/>
    <w:tmpl w:val="02F84DA6"/>
    <w:lvl w:ilvl="0">
      <w:start w:val="1"/>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3C2C2283"/>
    <w:multiLevelType w:val="multilevel"/>
    <w:tmpl w:val="330EF7C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15:restartNumberingAfterBreak="1">
    <w:nsid w:val="4C6A3531"/>
    <w:multiLevelType w:val="hybridMultilevel"/>
    <w:tmpl w:val="A67A25B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51852415"/>
    <w:multiLevelType w:val="hybridMultilevel"/>
    <w:tmpl w:val="CDAE29B0"/>
    <w:lvl w:ilvl="0">
      <w:start w:val="1"/>
      <w:numFmt w:val="decimal"/>
      <w:lvlText w:val="%1."/>
      <w:lvlJc w:val="left"/>
      <w:pPr>
        <w:ind w:left="1145" w:hanging="360"/>
      </w:pPr>
    </w:lvl>
    <w:lvl w:ilvl="1" w:tentative="1">
      <w:start w:val="1"/>
      <w:numFmt w:val="lowerLetter"/>
      <w:lvlText w:val="%2."/>
      <w:lvlJc w:val="left"/>
      <w:pPr>
        <w:ind w:left="1865" w:hanging="360"/>
      </w:pPr>
    </w:lvl>
    <w:lvl w:ilvl="2" w:tentative="1">
      <w:start w:val="1"/>
      <w:numFmt w:val="lowerRoman"/>
      <w:lvlText w:val="%3."/>
      <w:lvlJc w:val="right"/>
      <w:pPr>
        <w:ind w:left="2585" w:hanging="180"/>
      </w:pPr>
    </w:lvl>
    <w:lvl w:ilvl="3" w:tentative="1">
      <w:start w:val="1"/>
      <w:numFmt w:val="decimal"/>
      <w:lvlText w:val="%4."/>
      <w:lvlJc w:val="left"/>
      <w:pPr>
        <w:ind w:left="3305" w:hanging="360"/>
      </w:pPr>
    </w:lvl>
    <w:lvl w:ilvl="4" w:tentative="1">
      <w:start w:val="1"/>
      <w:numFmt w:val="lowerLetter"/>
      <w:lvlText w:val="%5."/>
      <w:lvlJc w:val="left"/>
      <w:pPr>
        <w:ind w:left="4025" w:hanging="360"/>
      </w:pPr>
    </w:lvl>
    <w:lvl w:ilvl="5" w:tentative="1">
      <w:start w:val="1"/>
      <w:numFmt w:val="lowerRoman"/>
      <w:lvlText w:val="%6."/>
      <w:lvlJc w:val="right"/>
      <w:pPr>
        <w:ind w:left="4745" w:hanging="180"/>
      </w:pPr>
    </w:lvl>
    <w:lvl w:ilvl="6" w:tentative="1">
      <w:start w:val="1"/>
      <w:numFmt w:val="decimal"/>
      <w:lvlText w:val="%7."/>
      <w:lvlJc w:val="left"/>
      <w:pPr>
        <w:ind w:left="5465" w:hanging="360"/>
      </w:pPr>
    </w:lvl>
    <w:lvl w:ilvl="7" w:tentative="1">
      <w:start w:val="1"/>
      <w:numFmt w:val="lowerLetter"/>
      <w:lvlText w:val="%8."/>
      <w:lvlJc w:val="left"/>
      <w:pPr>
        <w:ind w:left="6185" w:hanging="360"/>
      </w:pPr>
    </w:lvl>
    <w:lvl w:ilvl="8" w:tentative="1">
      <w:start w:val="1"/>
      <w:numFmt w:val="lowerRoman"/>
      <w:lvlText w:val="%9."/>
      <w:lvlJc w:val="right"/>
      <w:pPr>
        <w:ind w:left="6905" w:hanging="180"/>
      </w:pPr>
    </w:lvl>
  </w:abstractNum>
  <w:abstractNum w:abstractNumId="8" w15:restartNumberingAfterBreak="1">
    <w:nsid w:val="51DA583D"/>
    <w:multiLevelType w:val="hybridMultilevel"/>
    <w:tmpl w:val="EE2479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52636E8B"/>
    <w:multiLevelType w:val="hybridMultilevel"/>
    <w:tmpl w:val="5502962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15:restartNumberingAfterBreak="1">
    <w:nsid w:val="56C17F7C"/>
    <w:multiLevelType w:val="multilevel"/>
    <w:tmpl w:val="C0FAC672"/>
    <w:lvl w:ilvl="0">
      <w:start w:val="1"/>
      <w:numFmt w:val="decimal"/>
      <w:lvlText w:val="%1."/>
      <w:lvlJc w:val="left"/>
      <w:pPr>
        <w:ind w:left="928" w:hanging="360"/>
      </w:pPr>
      <w:rPr>
        <w:rFonts w:hint="default"/>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1">
    <w:nsid w:val="5947402A"/>
    <w:multiLevelType w:val="multilevel"/>
    <w:tmpl w:val="BE8486B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1">
    <w:nsid w:val="604E66C3"/>
    <w:multiLevelType w:val="hybridMultilevel"/>
    <w:tmpl w:val="11346D4E"/>
    <w:lvl w:ilvl="0">
      <w:start w:val="1"/>
      <w:numFmt w:val="bullet"/>
      <w:lvlText w:val=""/>
      <w:lvlJc w:val="left"/>
      <w:pPr>
        <w:ind w:left="2662" w:hanging="360"/>
      </w:pPr>
      <w:rPr>
        <w:rFonts w:ascii="Symbol" w:hAnsi="Symbol" w:hint="default"/>
      </w:rPr>
    </w:lvl>
    <w:lvl w:ilvl="1" w:tentative="1">
      <w:start w:val="1"/>
      <w:numFmt w:val="bullet"/>
      <w:lvlText w:val="o"/>
      <w:lvlJc w:val="left"/>
      <w:pPr>
        <w:ind w:left="3382" w:hanging="360"/>
      </w:pPr>
      <w:rPr>
        <w:rFonts w:ascii="Courier New" w:hAnsi="Courier New" w:cs="Courier New" w:hint="default"/>
      </w:rPr>
    </w:lvl>
    <w:lvl w:ilvl="2" w:tentative="1">
      <w:start w:val="1"/>
      <w:numFmt w:val="bullet"/>
      <w:lvlText w:val=""/>
      <w:lvlJc w:val="left"/>
      <w:pPr>
        <w:ind w:left="4102" w:hanging="360"/>
      </w:pPr>
      <w:rPr>
        <w:rFonts w:ascii="Wingdings" w:hAnsi="Wingdings" w:hint="default"/>
      </w:rPr>
    </w:lvl>
    <w:lvl w:ilvl="3" w:tentative="1">
      <w:start w:val="1"/>
      <w:numFmt w:val="bullet"/>
      <w:lvlText w:val=""/>
      <w:lvlJc w:val="left"/>
      <w:pPr>
        <w:ind w:left="4822" w:hanging="360"/>
      </w:pPr>
      <w:rPr>
        <w:rFonts w:ascii="Symbol" w:hAnsi="Symbol" w:hint="default"/>
      </w:rPr>
    </w:lvl>
    <w:lvl w:ilvl="4" w:tentative="1">
      <w:start w:val="1"/>
      <w:numFmt w:val="bullet"/>
      <w:lvlText w:val="o"/>
      <w:lvlJc w:val="left"/>
      <w:pPr>
        <w:ind w:left="5542" w:hanging="360"/>
      </w:pPr>
      <w:rPr>
        <w:rFonts w:ascii="Courier New" w:hAnsi="Courier New" w:cs="Courier New" w:hint="default"/>
      </w:rPr>
    </w:lvl>
    <w:lvl w:ilvl="5" w:tentative="1">
      <w:start w:val="1"/>
      <w:numFmt w:val="bullet"/>
      <w:lvlText w:val=""/>
      <w:lvlJc w:val="left"/>
      <w:pPr>
        <w:ind w:left="6262" w:hanging="360"/>
      </w:pPr>
      <w:rPr>
        <w:rFonts w:ascii="Wingdings" w:hAnsi="Wingdings" w:hint="default"/>
      </w:rPr>
    </w:lvl>
    <w:lvl w:ilvl="6" w:tentative="1">
      <w:start w:val="1"/>
      <w:numFmt w:val="bullet"/>
      <w:lvlText w:val=""/>
      <w:lvlJc w:val="left"/>
      <w:pPr>
        <w:ind w:left="6982" w:hanging="360"/>
      </w:pPr>
      <w:rPr>
        <w:rFonts w:ascii="Symbol" w:hAnsi="Symbol" w:hint="default"/>
      </w:rPr>
    </w:lvl>
    <w:lvl w:ilvl="7" w:tentative="1">
      <w:start w:val="1"/>
      <w:numFmt w:val="bullet"/>
      <w:lvlText w:val="o"/>
      <w:lvlJc w:val="left"/>
      <w:pPr>
        <w:ind w:left="7702" w:hanging="360"/>
      </w:pPr>
      <w:rPr>
        <w:rFonts w:ascii="Courier New" w:hAnsi="Courier New" w:cs="Courier New" w:hint="default"/>
      </w:rPr>
    </w:lvl>
    <w:lvl w:ilvl="8" w:tentative="1">
      <w:start w:val="1"/>
      <w:numFmt w:val="bullet"/>
      <w:lvlText w:val=""/>
      <w:lvlJc w:val="left"/>
      <w:pPr>
        <w:ind w:left="8422" w:hanging="360"/>
      </w:pPr>
      <w:rPr>
        <w:rFonts w:ascii="Wingdings" w:hAnsi="Wingdings" w:hint="default"/>
      </w:rPr>
    </w:lvl>
  </w:abstractNum>
  <w:abstractNum w:abstractNumId="13" w15:restartNumberingAfterBreak="1">
    <w:nsid w:val="615009F9"/>
    <w:multiLevelType w:val="hybridMultilevel"/>
    <w:tmpl w:val="973690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61AE13A4"/>
    <w:multiLevelType w:val="multilevel"/>
    <w:tmpl w:val="49301D4E"/>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15:restartNumberingAfterBreak="1">
    <w:nsid w:val="6319791F"/>
    <w:multiLevelType w:val="hybridMultilevel"/>
    <w:tmpl w:val="EE1C3D1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15:restartNumberingAfterBreak="1">
    <w:nsid w:val="690F225D"/>
    <w:multiLevelType w:val="hybridMultilevel"/>
    <w:tmpl w:val="F4DAD422"/>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7" w15:restartNumberingAfterBreak="1">
    <w:nsid w:val="6B8762AA"/>
    <w:multiLevelType w:val="hybridMultilevel"/>
    <w:tmpl w:val="E362BF9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1">
    <w:nsid w:val="71CB4816"/>
    <w:multiLevelType w:val="hybridMultilevel"/>
    <w:tmpl w:val="69D0B02C"/>
    <w:lvl w:ilvl="0">
      <w:start w:val="1"/>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1">
    <w:nsid w:val="723939B8"/>
    <w:multiLevelType w:val="multilevel"/>
    <w:tmpl w:val="494A1D80"/>
    <w:lvl w:ilvl="0">
      <w:start w:val="1"/>
      <w:numFmt w:val="decimal"/>
      <w:lvlText w:val="%1."/>
      <w:lvlJc w:val="left"/>
      <w:pPr>
        <w:ind w:left="1211"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2419" w:hanging="720"/>
      </w:pPr>
      <w:rPr>
        <w:rFonts w:hint="default"/>
      </w:rPr>
    </w:lvl>
    <w:lvl w:ilvl="3">
      <w:start w:val="1"/>
      <w:numFmt w:val="decimal"/>
      <w:isLgl/>
      <w:lvlText w:val="%1.%2.%3.%4."/>
      <w:lvlJc w:val="left"/>
      <w:pPr>
        <w:ind w:left="3203" w:hanging="1080"/>
      </w:pPr>
      <w:rPr>
        <w:rFonts w:hint="default"/>
      </w:rPr>
    </w:lvl>
    <w:lvl w:ilvl="4">
      <w:start w:val="1"/>
      <w:numFmt w:val="decimal"/>
      <w:isLgl/>
      <w:lvlText w:val="%1.%2.%3.%4.%5."/>
      <w:lvlJc w:val="left"/>
      <w:pPr>
        <w:ind w:left="3627" w:hanging="1080"/>
      </w:pPr>
      <w:rPr>
        <w:rFonts w:hint="default"/>
      </w:rPr>
    </w:lvl>
    <w:lvl w:ilvl="5">
      <w:start w:val="1"/>
      <w:numFmt w:val="decimal"/>
      <w:isLgl/>
      <w:lvlText w:val="%1.%2.%3.%4.%5.%6."/>
      <w:lvlJc w:val="left"/>
      <w:pPr>
        <w:ind w:left="4411" w:hanging="1440"/>
      </w:pPr>
      <w:rPr>
        <w:rFonts w:hint="default"/>
      </w:rPr>
    </w:lvl>
    <w:lvl w:ilvl="6">
      <w:start w:val="1"/>
      <w:numFmt w:val="decimal"/>
      <w:isLgl/>
      <w:lvlText w:val="%1.%2.%3.%4.%5.%6.%7."/>
      <w:lvlJc w:val="left"/>
      <w:pPr>
        <w:ind w:left="5195" w:hanging="1800"/>
      </w:pPr>
      <w:rPr>
        <w:rFonts w:hint="default"/>
      </w:rPr>
    </w:lvl>
    <w:lvl w:ilvl="7">
      <w:start w:val="1"/>
      <w:numFmt w:val="decimal"/>
      <w:isLgl/>
      <w:lvlText w:val="%1.%2.%3.%4.%5.%6.%7.%8."/>
      <w:lvlJc w:val="left"/>
      <w:pPr>
        <w:ind w:left="5619" w:hanging="1800"/>
      </w:pPr>
      <w:rPr>
        <w:rFonts w:hint="default"/>
      </w:rPr>
    </w:lvl>
    <w:lvl w:ilvl="8">
      <w:start w:val="1"/>
      <w:numFmt w:val="decimal"/>
      <w:isLgl/>
      <w:lvlText w:val="%1.%2.%3.%4.%5.%6.%7.%8.%9."/>
      <w:lvlJc w:val="left"/>
      <w:pPr>
        <w:ind w:left="6403" w:hanging="2160"/>
      </w:pPr>
      <w:rPr>
        <w:rFonts w:hint="default"/>
      </w:rPr>
    </w:lvl>
  </w:abstractNum>
  <w:abstractNum w:abstractNumId="20" w15:restartNumberingAfterBreak="1">
    <w:nsid w:val="75951F65"/>
    <w:multiLevelType w:val="hybridMultilevel"/>
    <w:tmpl w:val="C7929F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1">
    <w:nsid w:val="7B460DBD"/>
    <w:multiLevelType w:val="hybridMultilevel"/>
    <w:tmpl w:val="292E51B6"/>
    <w:lvl w:ilvl="0">
      <w:start w:val="1"/>
      <w:numFmt w:val="decimal"/>
      <w:lvlText w:val="%1."/>
      <w:lvlJc w:val="left"/>
      <w:pPr>
        <w:ind w:left="1444" w:hanging="360"/>
      </w:pPr>
      <w:rPr>
        <w:rFonts w:hint="default"/>
      </w:rPr>
    </w:lvl>
    <w:lvl w:ilvl="1" w:tentative="1">
      <w:start w:val="1"/>
      <w:numFmt w:val="lowerLetter"/>
      <w:lvlText w:val="%2."/>
      <w:lvlJc w:val="left"/>
      <w:pPr>
        <w:ind w:left="2164" w:hanging="360"/>
      </w:pPr>
    </w:lvl>
    <w:lvl w:ilvl="2" w:tentative="1">
      <w:start w:val="1"/>
      <w:numFmt w:val="lowerRoman"/>
      <w:lvlText w:val="%3."/>
      <w:lvlJc w:val="right"/>
      <w:pPr>
        <w:ind w:left="2884" w:hanging="180"/>
      </w:pPr>
    </w:lvl>
    <w:lvl w:ilvl="3" w:tentative="1">
      <w:start w:val="1"/>
      <w:numFmt w:val="decimal"/>
      <w:lvlText w:val="%4."/>
      <w:lvlJc w:val="left"/>
      <w:pPr>
        <w:ind w:left="3604" w:hanging="360"/>
      </w:pPr>
    </w:lvl>
    <w:lvl w:ilvl="4" w:tentative="1">
      <w:start w:val="1"/>
      <w:numFmt w:val="lowerLetter"/>
      <w:lvlText w:val="%5."/>
      <w:lvlJc w:val="left"/>
      <w:pPr>
        <w:ind w:left="4324" w:hanging="360"/>
      </w:pPr>
    </w:lvl>
    <w:lvl w:ilvl="5" w:tentative="1">
      <w:start w:val="1"/>
      <w:numFmt w:val="lowerRoman"/>
      <w:lvlText w:val="%6."/>
      <w:lvlJc w:val="right"/>
      <w:pPr>
        <w:ind w:left="5044" w:hanging="180"/>
      </w:pPr>
    </w:lvl>
    <w:lvl w:ilvl="6" w:tentative="1">
      <w:start w:val="1"/>
      <w:numFmt w:val="decimal"/>
      <w:lvlText w:val="%7."/>
      <w:lvlJc w:val="left"/>
      <w:pPr>
        <w:ind w:left="5764" w:hanging="360"/>
      </w:pPr>
    </w:lvl>
    <w:lvl w:ilvl="7" w:tentative="1">
      <w:start w:val="1"/>
      <w:numFmt w:val="lowerLetter"/>
      <w:lvlText w:val="%8."/>
      <w:lvlJc w:val="left"/>
      <w:pPr>
        <w:ind w:left="6484" w:hanging="360"/>
      </w:pPr>
    </w:lvl>
    <w:lvl w:ilvl="8" w:tentative="1">
      <w:start w:val="1"/>
      <w:numFmt w:val="lowerRoman"/>
      <w:lvlText w:val="%9."/>
      <w:lvlJc w:val="right"/>
      <w:pPr>
        <w:ind w:left="7204" w:hanging="180"/>
      </w:pPr>
    </w:lvl>
  </w:abstractNum>
  <w:num w:numId="1">
    <w:abstractNumId w:val="20"/>
  </w:num>
  <w:num w:numId="2">
    <w:abstractNumId w:val="15"/>
  </w:num>
  <w:num w:numId="3">
    <w:abstractNumId w:val="21"/>
  </w:num>
  <w:num w:numId="4">
    <w:abstractNumId w:val="2"/>
  </w:num>
  <w:num w:numId="5">
    <w:abstractNumId w:val="3"/>
  </w:num>
  <w:num w:numId="6">
    <w:abstractNumId w:val="19"/>
  </w:num>
  <w:num w:numId="7">
    <w:abstractNumId w:val="11"/>
  </w:num>
  <w:num w:numId="8">
    <w:abstractNumId w:val="5"/>
  </w:num>
  <w:num w:numId="9">
    <w:abstractNumId w:val="14"/>
  </w:num>
  <w:num w:numId="10">
    <w:abstractNumId w:val="0"/>
  </w:num>
  <w:num w:numId="11">
    <w:abstractNumId w:val="17"/>
  </w:num>
  <w:num w:numId="12">
    <w:abstractNumId w:val="10"/>
  </w:num>
  <w:num w:numId="13">
    <w:abstractNumId w:val="12"/>
  </w:num>
  <w:num w:numId="14">
    <w:abstractNumId w:val="13"/>
  </w:num>
  <w:num w:numId="15">
    <w:abstractNumId w:val="4"/>
  </w:num>
  <w:num w:numId="16">
    <w:abstractNumId w:val="18"/>
  </w:num>
  <w:num w:numId="17">
    <w:abstractNumId w:val="1"/>
  </w:num>
  <w:num w:numId="18">
    <w:abstractNumId w:val="9"/>
  </w:num>
  <w:num w:numId="19">
    <w:abstractNumId w:val="7"/>
  </w:num>
  <w:num w:numId="20">
    <w:abstractNumId w:val="16"/>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FC"/>
    <w:rsid w:val="000014C2"/>
    <w:rsid w:val="00004CD2"/>
    <w:rsid w:val="00005E77"/>
    <w:rsid w:val="0000689B"/>
    <w:rsid w:val="000105D8"/>
    <w:rsid w:val="0001184A"/>
    <w:rsid w:val="00011AC2"/>
    <w:rsid w:val="00017E68"/>
    <w:rsid w:val="00020C46"/>
    <w:rsid w:val="00021C1B"/>
    <w:rsid w:val="00025D4B"/>
    <w:rsid w:val="00025EF4"/>
    <w:rsid w:val="0003664B"/>
    <w:rsid w:val="000370CF"/>
    <w:rsid w:val="00040457"/>
    <w:rsid w:val="0004106C"/>
    <w:rsid w:val="00042583"/>
    <w:rsid w:val="00042657"/>
    <w:rsid w:val="00043027"/>
    <w:rsid w:val="000506A9"/>
    <w:rsid w:val="0005091F"/>
    <w:rsid w:val="00051C6E"/>
    <w:rsid w:val="000525DD"/>
    <w:rsid w:val="00053CDD"/>
    <w:rsid w:val="00056D02"/>
    <w:rsid w:val="000571CA"/>
    <w:rsid w:val="00060647"/>
    <w:rsid w:val="00062F12"/>
    <w:rsid w:val="00065684"/>
    <w:rsid w:val="00066D2B"/>
    <w:rsid w:val="00072CC3"/>
    <w:rsid w:val="00074EEB"/>
    <w:rsid w:val="00077342"/>
    <w:rsid w:val="00077A84"/>
    <w:rsid w:val="00077C29"/>
    <w:rsid w:val="00080D0D"/>
    <w:rsid w:val="0008224F"/>
    <w:rsid w:val="00084725"/>
    <w:rsid w:val="00084CDE"/>
    <w:rsid w:val="000857FE"/>
    <w:rsid w:val="00085A46"/>
    <w:rsid w:val="00085E7C"/>
    <w:rsid w:val="00086B70"/>
    <w:rsid w:val="00086DD6"/>
    <w:rsid w:val="000910AE"/>
    <w:rsid w:val="0009554E"/>
    <w:rsid w:val="000968D7"/>
    <w:rsid w:val="000A02DE"/>
    <w:rsid w:val="000A09DA"/>
    <w:rsid w:val="000A12DB"/>
    <w:rsid w:val="000A1877"/>
    <w:rsid w:val="000A291F"/>
    <w:rsid w:val="000A2DE8"/>
    <w:rsid w:val="000A791D"/>
    <w:rsid w:val="000A7959"/>
    <w:rsid w:val="000B1532"/>
    <w:rsid w:val="000B495F"/>
    <w:rsid w:val="000B635F"/>
    <w:rsid w:val="000B6FAB"/>
    <w:rsid w:val="000B7DA3"/>
    <w:rsid w:val="000C0C2A"/>
    <w:rsid w:val="000C1AA5"/>
    <w:rsid w:val="000C46E1"/>
    <w:rsid w:val="000D1620"/>
    <w:rsid w:val="000D1E97"/>
    <w:rsid w:val="000D39BA"/>
    <w:rsid w:val="000D4733"/>
    <w:rsid w:val="000E0100"/>
    <w:rsid w:val="000E2BBD"/>
    <w:rsid w:val="000E39EA"/>
    <w:rsid w:val="000E4BF7"/>
    <w:rsid w:val="000F3AC1"/>
    <w:rsid w:val="000F51B1"/>
    <w:rsid w:val="000F5458"/>
    <w:rsid w:val="000F56C0"/>
    <w:rsid w:val="000F6552"/>
    <w:rsid w:val="000F6A43"/>
    <w:rsid w:val="000F74E2"/>
    <w:rsid w:val="00100726"/>
    <w:rsid w:val="00100F08"/>
    <w:rsid w:val="001045C8"/>
    <w:rsid w:val="00105E3B"/>
    <w:rsid w:val="0010607B"/>
    <w:rsid w:val="00110234"/>
    <w:rsid w:val="0011091B"/>
    <w:rsid w:val="00111276"/>
    <w:rsid w:val="00113230"/>
    <w:rsid w:val="001148CB"/>
    <w:rsid w:val="0011611A"/>
    <w:rsid w:val="0011612F"/>
    <w:rsid w:val="001168FA"/>
    <w:rsid w:val="00116924"/>
    <w:rsid w:val="0012024A"/>
    <w:rsid w:val="00120B10"/>
    <w:rsid w:val="0012207B"/>
    <w:rsid w:val="001244E1"/>
    <w:rsid w:val="001277FD"/>
    <w:rsid w:val="00127CCF"/>
    <w:rsid w:val="001327E4"/>
    <w:rsid w:val="00133344"/>
    <w:rsid w:val="00140A60"/>
    <w:rsid w:val="0014324C"/>
    <w:rsid w:val="0014506D"/>
    <w:rsid w:val="0014640C"/>
    <w:rsid w:val="00150A7D"/>
    <w:rsid w:val="00150C4A"/>
    <w:rsid w:val="00151008"/>
    <w:rsid w:val="00157F1F"/>
    <w:rsid w:val="001651EA"/>
    <w:rsid w:val="00165A09"/>
    <w:rsid w:val="001711FA"/>
    <w:rsid w:val="00181026"/>
    <w:rsid w:val="0018165E"/>
    <w:rsid w:val="0018613B"/>
    <w:rsid w:val="00186246"/>
    <w:rsid w:val="0018746B"/>
    <w:rsid w:val="00187A01"/>
    <w:rsid w:val="00187A84"/>
    <w:rsid w:val="001915A1"/>
    <w:rsid w:val="001918A6"/>
    <w:rsid w:val="0019286B"/>
    <w:rsid w:val="00192FF5"/>
    <w:rsid w:val="001A0690"/>
    <w:rsid w:val="001A3A75"/>
    <w:rsid w:val="001A3BE0"/>
    <w:rsid w:val="001A5DEA"/>
    <w:rsid w:val="001B057B"/>
    <w:rsid w:val="001B24B8"/>
    <w:rsid w:val="001B6598"/>
    <w:rsid w:val="001B6A1A"/>
    <w:rsid w:val="001B73AD"/>
    <w:rsid w:val="001C019E"/>
    <w:rsid w:val="001C441B"/>
    <w:rsid w:val="001C4EB1"/>
    <w:rsid w:val="001C6FBB"/>
    <w:rsid w:val="001C753B"/>
    <w:rsid w:val="001D084F"/>
    <w:rsid w:val="001D7287"/>
    <w:rsid w:val="001D75B7"/>
    <w:rsid w:val="001E0C47"/>
    <w:rsid w:val="001E3ADA"/>
    <w:rsid w:val="001E42F4"/>
    <w:rsid w:val="001E77BB"/>
    <w:rsid w:val="00201829"/>
    <w:rsid w:val="002019EC"/>
    <w:rsid w:val="0020249D"/>
    <w:rsid w:val="002033E5"/>
    <w:rsid w:val="00205B0E"/>
    <w:rsid w:val="00205B9A"/>
    <w:rsid w:val="0020715A"/>
    <w:rsid w:val="00211F62"/>
    <w:rsid w:val="002145B1"/>
    <w:rsid w:val="00215547"/>
    <w:rsid w:val="00215C0E"/>
    <w:rsid w:val="00216F0F"/>
    <w:rsid w:val="002171FA"/>
    <w:rsid w:val="00226AB1"/>
    <w:rsid w:val="00226E2C"/>
    <w:rsid w:val="002273A4"/>
    <w:rsid w:val="00230386"/>
    <w:rsid w:val="00231505"/>
    <w:rsid w:val="00234B7A"/>
    <w:rsid w:val="00234D72"/>
    <w:rsid w:val="002355E8"/>
    <w:rsid w:val="002409CE"/>
    <w:rsid w:val="00240B94"/>
    <w:rsid w:val="00246E30"/>
    <w:rsid w:val="00250B01"/>
    <w:rsid w:val="00250D71"/>
    <w:rsid w:val="002541A6"/>
    <w:rsid w:val="0025438C"/>
    <w:rsid w:val="00255B66"/>
    <w:rsid w:val="00256D1F"/>
    <w:rsid w:val="00260AC5"/>
    <w:rsid w:val="0026274B"/>
    <w:rsid w:val="002633F8"/>
    <w:rsid w:val="00263642"/>
    <w:rsid w:val="00274604"/>
    <w:rsid w:val="00275A41"/>
    <w:rsid w:val="00275D2E"/>
    <w:rsid w:val="00275D31"/>
    <w:rsid w:val="002767C3"/>
    <w:rsid w:val="00276DCA"/>
    <w:rsid w:val="00280F69"/>
    <w:rsid w:val="00283665"/>
    <w:rsid w:val="00283AA9"/>
    <w:rsid w:val="00286834"/>
    <w:rsid w:val="00286C17"/>
    <w:rsid w:val="00290248"/>
    <w:rsid w:val="00291A0F"/>
    <w:rsid w:val="0029679E"/>
    <w:rsid w:val="00296CF0"/>
    <w:rsid w:val="00297EF9"/>
    <w:rsid w:val="002A1C6E"/>
    <w:rsid w:val="002A215A"/>
    <w:rsid w:val="002A21D7"/>
    <w:rsid w:val="002A3875"/>
    <w:rsid w:val="002A3A95"/>
    <w:rsid w:val="002A3CAF"/>
    <w:rsid w:val="002A46A3"/>
    <w:rsid w:val="002A546A"/>
    <w:rsid w:val="002A71EF"/>
    <w:rsid w:val="002B0297"/>
    <w:rsid w:val="002B0941"/>
    <w:rsid w:val="002B0E94"/>
    <w:rsid w:val="002B15BE"/>
    <w:rsid w:val="002B1AEF"/>
    <w:rsid w:val="002B3DFC"/>
    <w:rsid w:val="002B5DA0"/>
    <w:rsid w:val="002B6BD0"/>
    <w:rsid w:val="002C00B0"/>
    <w:rsid w:val="002C2984"/>
    <w:rsid w:val="002C31AD"/>
    <w:rsid w:val="002C3AD2"/>
    <w:rsid w:val="002C53C5"/>
    <w:rsid w:val="002C6666"/>
    <w:rsid w:val="002C6A68"/>
    <w:rsid w:val="002D1FA3"/>
    <w:rsid w:val="002D51AA"/>
    <w:rsid w:val="002D51DA"/>
    <w:rsid w:val="002E1C5F"/>
    <w:rsid w:val="002E351A"/>
    <w:rsid w:val="002E36B9"/>
    <w:rsid w:val="002E5C26"/>
    <w:rsid w:val="002E61FA"/>
    <w:rsid w:val="002E6AF7"/>
    <w:rsid w:val="002F14AF"/>
    <w:rsid w:val="002F1CCB"/>
    <w:rsid w:val="002F34F0"/>
    <w:rsid w:val="002F4FC8"/>
    <w:rsid w:val="002F7788"/>
    <w:rsid w:val="00302267"/>
    <w:rsid w:val="00303691"/>
    <w:rsid w:val="00304B0A"/>
    <w:rsid w:val="0031546D"/>
    <w:rsid w:val="003163DB"/>
    <w:rsid w:val="003171F5"/>
    <w:rsid w:val="00322662"/>
    <w:rsid w:val="003235CD"/>
    <w:rsid w:val="0032508B"/>
    <w:rsid w:val="003259FE"/>
    <w:rsid w:val="003262A7"/>
    <w:rsid w:val="00326E5F"/>
    <w:rsid w:val="003277E8"/>
    <w:rsid w:val="00330BE0"/>
    <w:rsid w:val="00336E49"/>
    <w:rsid w:val="00337075"/>
    <w:rsid w:val="00337426"/>
    <w:rsid w:val="003374B8"/>
    <w:rsid w:val="00337C5D"/>
    <w:rsid w:val="00340584"/>
    <w:rsid w:val="00345B2F"/>
    <w:rsid w:val="003558AF"/>
    <w:rsid w:val="0035596B"/>
    <w:rsid w:val="00355AF6"/>
    <w:rsid w:val="0035752D"/>
    <w:rsid w:val="00361B5B"/>
    <w:rsid w:val="00363A10"/>
    <w:rsid w:val="00364122"/>
    <w:rsid w:val="00367EDA"/>
    <w:rsid w:val="0037167B"/>
    <w:rsid w:val="0037198C"/>
    <w:rsid w:val="0037437B"/>
    <w:rsid w:val="00381BC6"/>
    <w:rsid w:val="003840E8"/>
    <w:rsid w:val="0038623E"/>
    <w:rsid w:val="00397487"/>
    <w:rsid w:val="003A3796"/>
    <w:rsid w:val="003A6060"/>
    <w:rsid w:val="003B18BE"/>
    <w:rsid w:val="003B2988"/>
    <w:rsid w:val="003B5ACD"/>
    <w:rsid w:val="003B6144"/>
    <w:rsid w:val="003C0D7A"/>
    <w:rsid w:val="003C1B35"/>
    <w:rsid w:val="003C5E27"/>
    <w:rsid w:val="003C5FDF"/>
    <w:rsid w:val="003C699C"/>
    <w:rsid w:val="003D0638"/>
    <w:rsid w:val="003D2430"/>
    <w:rsid w:val="003D2441"/>
    <w:rsid w:val="003D2CDA"/>
    <w:rsid w:val="003D4979"/>
    <w:rsid w:val="003D6023"/>
    <w:rsid w:val="003D6506"/>
    <w:rsid w:val="003E0C53"/>
    <w:rsid w:val="003E1B4F"/>
    <w:rsid w:val="003E2E40"/>
    <w:rsid w:val="003E3FF4"/>
    <w:rsid w:val="003E468B"/>
    <w:rsid w:val="003E5F66"/>
    <w:rsid w:val="003E6CD9"/>
    <w:rsid w:val="003E75FD"/>
    <w:rsid w:val="003F066C"/>
    <w:rsid w:val="003F41FF"/>
    <w:rsid w:val="003F52E2"/>
    <w:rsid w:val="003F5ADA"/>
    <w:rsid w:val="004024BD"/>
    <w:rsid w:val="0040682E"/>
    <w:rsid w:val="00406E49"/>
    <w:rsid w:val="00407A29"/>
    <w:rsid w:val="00411393"/>
    <w:rsid w:val="0041361F"/>
    <w:rsid w:val="00415051"/>
    <w:rsid w:val="00423ABA"/>
    <w:rsid w:val="00423F58"/>
    <w:rsid w:val="0043010F"/>
    <w:rsid w:val="00433B49"/>
    <w:rsid w:val="004351C1"/>
    <w:rsid w:val="00435C58"/>
    <w:rsid w:val="00436A7D"/>
    <w:rsid w:val="00443ED2"/>
    <w:rsid w:val="0044454D"/>
    <w:rsid w:val="0044660D"/>
    <w:rsid w:val="004508FB"/>
    <w:rsid w:val="004515E4"/>
    <w:rsid w:val="004532E7"/>
    <w:rsid w:val="004534B9"/>
    <w:rsid w:val="004548B3"/>
    <w:rsid w:val="004553B4"/>
    <w:rsid w:val="00455759"/>
    <w:rsid w:val="004561C6"/>
    <w:rsid w:val="00461E82"/>
    <w:rsid w:val="0046274C"/>
    <w:rsid w:val="004640DD"/>
    <w:rsid w:val="0046683C"/>
    <w:rsid w:val="004719C0"/>
    <w:rsid w:val="00474562"/>
    <w:rsid w:val="00475B1A"/>
    <w:rsid w:val="00480667"/>
    <w:rsid w:val="004833CB"/>
    <w:rsid w:val="00487172"/>
    <w:rsid w:val="00487D2D"/>
    <w:rsid w:val="0049055C"/>
    <w:rsid w:val="004910AB"/>
    <w:rsid w:val="00492732"/>
    <w:rsid w:val="00496E7B"/>
    <w:rsid w:val="004A4F6B"/>
    <w:rsid w:val="004B53EB"/>
    <w:rsid w:val="004B5D0D"/>
    <w:rsid w:val="004B7211"/>
    <w:rsid w:val="004C021D"/>
    <w:rsid w:val="004C142C"/>
    <w:rsid w:val="004C2918"/>
    <w:rsid w:val="004C5BA6"/>
    <w:rsid w:val="004D0746"/>
    <w:rsid w:val="004D08C5"/>
    <w:rsid w:val="004D3E54"/>
    <w:rsid w:val="004D6DD9"/>
    <w:rsid w:val="004E021E"/>
    <w:rsid w:val="004E4CAD"/>
    <w:rsid w:val="004E6978"/>
    <w:rsid w:val="004E6E2E"/>
    <w:rsid w:val="004F41CF"/>
    <w:rsid w:val="004F490E"/>
    <w:rsid w:val="004F56BC"/>
    <w:rsid w:val="00504CD7"/>
    <w:rsid w:val="00505D07"/>
    <w:rsid w:val="00506E09"/>
    <w:rsid w:val="00507BC6"/>
    <w:rsid w:val="00507F48"/>
    <w:rsid w:val="00511A45"/>
    <w:rsid w:val="00511EFE"/>
    <w:rsid w:val="00512665"/>
    <w:rsid w:val="00517B2E"/>
    <w:rsid w:val="0052025B"/>
    <w:rsid w:val="005205C1"/>
    <w:rsid w:val="0052190D"/>
    <w:rsid w:val="005224E4"/>
    <w:rsid w:val="005231E3"/>
    <w:rsid w:val="00523668"/>
    <w:rsid w:val="005304B4"/>
    <w:rsid w:val="00533814"/>
    <w:rsid w:val="005358CD"/>
    <w:rsid w:val="00540C09"/>
    <w:rsid w:val="00541F7E"/>
    <w:rsid w:val="005443A3"/>
    <w:rsid w:val="005454B4"/>
    <w:rsid w:val="0054690A"/>
    <w:rsid w:val="0054754A"/>
    <w:rsid w:val="00547930"/>
    <w:rsid w:val="005518BA"/>
    <w:rsid w:val="00551F19"/>
    <w:rsid w:val="00554CB8"/>
    <w:rsid w:val="0055706E"/>
    <w:rsid w:val="005577B7"/>
    <w:rsid w:val="00560267"/>
    <w:rsid w:val="00560BB0"/>
    <w:rsid w:val="00563177"/>
    <w:rsid w:val="005632EB"/>
    <w:rsid w:val="00566342"/>
    <w:rsid w:val="005672C7"/>
    <w:rsid w:val="00570350"/>
    <w:rsid w:val="005711F0"/>
    <w:rsid w:val="0057122F"/>
    <w:rsid w:val="00573698"/>
    <w:rsid w:val="00575203"/>
    <w:rsid w:val="00575A72"/>
    <w:rsid w:val="00580FA7"/>
    <w:rsid w:val="0058329E"/>
    <w:rsid w:val="00583541"/>
    <w:rsid w:val="00585C6C"/>
    <w:rsid w:val="00593840"/>
    <w:rsid w:val="005942A3"/>
    <w:rsid w:val="005969FC"/>
    <w:rsid w:val="005A0054"/>
    <w:rsid w:val="005B0ADF"/>
    <w:rsid w:val="005B2FD5"/>
    <w:rsid w:val="005B7E54"/>
    <w:rsid w:val="005C1A27"/>
    <w:rsid w:val="005C28C3"/>
    <w:rsid w:val="005C3E94"/>
    <w:rsid w:val="005C58F8"/>
    <w:rsid w:val="005C5FC6"/>
    <w:rsid w:val="005D216F"/>
    <w:rsid w:val="005D292E"/>
    <w:rsid w:val="005D2A3C"/>
    <w:rsid w:val="005D56C4"/>
    <w:rsid w:val="005D5845"/>
    <w:rsid w:val="005D76F9"/>
    <w:rsid w:val="005D7917"/>
    <w:rsid w:val="005D7EFA"/>
    <w:rsid w:val="005E0399"/>
    <w:rsid w:val="005E4E2A"/>
    <w:rsid w:val="005E638D"/>
    <w:rsid w:val="005F49AB"/>
    <w:rsid w:val="005F5D82"/>
    <w:rsid w:val="005F70BF"/>
    <w:rsid w:val="00600E2A"/>
    <w:rsid w:val="00601884"/>
    <w:rsid w:val="00603359"/>
    <w:rsid w:val="006049D5"/>
    <w:rsid w:val="0060530F"/>
    <w:rsid w:val="00607F87"/>
    <w:rsid w:val="0061067C"/>
    <w:rsid w:val="006113C1"/>
    <w:rsid w:val="006119EC"/>
    <w:rsid w:val="0061271B"/>
    <w:rsid w:val="0061530B"/>
    <w:rsid w:val="0061648B"/>
    <w:rsid w:val="00617F08"/>
    <w:rsid w:val="00621DAE"/>
    <w:rsid w:val="00623200"/>
    <w:rsid w:val="0062604B"/>
    <w:rsid w:val="00630C57"/>
    <w:rsid w:val="00632B85"/>
    <w:rsid w:val="00634332"/>
    <w:rsid w:val="006346B2"/>
    <w:rsid w:val="00635255"/>
    <w:rsid w:val="00635D51"/>
    <w:rsid w:val="00636CF9"/>
    <w:rsid w:val="00642674"/>
    <w:rsid w:val="00643F18"/>
    <w:rsid w:val="00645E25"/>
    <w:rsid w:val="00645E67"/>
    <w:rsid w:val="00647BF2"/>
    <w:rsid w:val="00650CE6"/>
    <w:rsid w:val="0065414C"/>
    <w:rsid w:val="006546D5"/>
    <w:rsid w:val="006602F3"/>
    <w:rsid w:val="00663512"/>
    <w:rsid w:val="00664316"/>
    <w:rsid w:val="00670A8A"/>
    <w:rsid w:val="0067143E"/>
    <w:rsid w:val="006716DF"/>
    <w:rsid w:val="0067486A"/>
    <w:rsid w:val="00674A18"/>
    <w:rsid w:val="006764FC"/>
    <w:rsid w:val="00676877"/>
    <w:rsid w:val="006768AB"/>
    <w:rsid w:val="00676E3D"/>
    <w:rsid w:val="00677C73"/>
    <w:rsid w:val="00682214"/>
    <w:rsid w:val="00682548"/>
    <w:rsid w:val="006832AA"/>
    <w:rsid w:val="006844D8"/>
    <w:rsid w:val="00685C43"/>
    <w:rsid w:val="006864A2"/>
    <w:rsid w:val="0069575B"/>
    <w:rsid w:val="00695888"/>
    <w:rsid w:val="006963D1"/>
    <w:rsid w:val="006A2ABC"/>
    <w:rsid w:val="006A444E"/>
    <w:rsid w:val="006A540A"/>
    <w:rsid w:val="006A58AE"/>
    <w:rsid w:val="006A6F36"/>
    <w:rsid w:val="006A745D"/>
    <w:rsid w:val="006B0EB6"/>
    <w:rsid w:val="006B506D"/>
    <w:rsid w:val="006B6394"/>
    <w:rsid w:val="006B6787"/>
    <w:rsid w:val="006B6F05"/>
    <w:rsid w:val="006B7C88"/>
    <w:rsid w:val="006C285E"/>
    <w:rsid w:val="006C3861"/>
    <w:rsid w:val="006C753A"/>
    <w:rsid w:val="006D12BC"/>
    <w:rsid w:val="006D573B"/>
    <w:rsid w:val="006D64A8"/>
    <w:rsid w:val="006D707A"/>
    <w:rsid w:val="006E040D"/>
    <w:rsid w:val="006E3AAC"/>
    <w:rsid w:val="006F0AC0"/>
    <w:rsid w:val="006F0E36"/>
    <w:rsid w:val="006F2F14"/>
    <w:rsid w:val="006F32BB"/>
    <w:rsid w:val="006F3304"/>
    <w:rsid w:val="007048FB"/>
    <w:rsid w:val="00706685"/>
    <w:rsid w:val="007075E4"/>
    <w:rsid w:val="007118C3"/>
    <w:rsid w:val="0071551D"/>
    <w:rsid w:val="00716366"/>
    <w:rsid w:val="00721A7E"/>
    <w:rsid w:val="007222BE"/>
    <w:rsid w:val="007230DB"/>
    <w:rsid w:val="00724A59"/>
    <w:rsid w:val="007252DF"/>
    <w:rsid w:val="007314A5"/>
    <w:rsid w:val="007336E8"/>
    <w:rsid w:val="00734E41"/>
    <w:rsid w:val="00737D49"/>
    <w:rsid w:val="00741C6A"/>
    <w:rsid w:val="00742C73"/>
    <w:rsid w:val="00746AA7"/>
    <w:rsid w:val="00751D89"/>
    <w:rsid w:val="00755D7A"/>
    <w:rsid w:val="007606E2"/>
    <w:rsid w:val="00762EAE"/>
    <w:rsid w:val="00765C54"/>
    <w:rsid w:val="00765D27"/>
    <w:rsid w:val="0077084E"/>
    <w:rsid w:val="00772B42"/>
    <w:rsid w:val="00772BCA"/>
    <w:rsid w:val="007735E3"/>
    <w:rsid w:val="007744C9"/>
    <w:rsid w:val="00775316"/>
    <w:rsid w:val="007807A5"/>
    <w:rsid w:val="007840FC"/>
    <w:rsid w:val="0078631B"/>
    <w:rsid w:val="00786E52"/>
    <w:rsid w:val="007916E4"/>
    <w:rsid w:val="00791FDF"/>
    <w:rsid w:val="0079267B"/>
    <w:rsid w:val="007929E1"/>
    <w:rsid w:val="00794FE9"/>
    <w:rsid w:val="00795EC1"/>
    <w:rsid w:val="00796799"/>
    <w:rsid w:val="007A28A8"/>
    <w:rsid w:val="007A3DA3"/>
    <w:rsid w:val="007A461B"/>
    <w:rsid w:val="007A59E1"/>
    <w:rsid w:val="007B07F3"/>
    <w:rsid w:val="007B2EC1"/>
    <w:rsid w:val="007B3022"/>
    <w:rsid w:val="007B4959"/>
    <w:rsid w:val="007B5B4A"/>
    <w:rsid w:val="007B604D"/>
    <w:rsid w:val="007B6BD0"/>
    <w:rsid w:val="007C1D8C"/>
    <w:rsid w:val="007C32B3"/>
    <w:rsid w:val="007C338C"/>
    <w:rsid w:val="007C487E"/>
    <w:rsid w:val="007C5D2C"/>
    <w:rsid w:val="007C6B5B"/>
    <w:rsid w:val="007D29BC"/>
    <w:rsid w:val="007D2D45"/>
    <w:rsid w:val="007D4323"/>
    <w:rsid w:val="007D60D8"/>
    <w:rsid w:val="007D756F"/>
    <w:rsid w:val="007D7A0D"/>
    <w:rsid w:val="007E0174"/>
    <w:rsid w:val="007E0ADA"/>
    <w:rsid w:val="007E1418"/>
    <w:rsid w:val="007E2EE9"/>
    <w:rsid w:val="007E69B6"/>
    <w:rsid w:val="007F2585"/>
    <w:rsid w:val="007F2FA9"/>
    <w:rsid w:val="007F4878"/>
    <w:rsid w:val="007F5DF9"/>
    <w:rsid w:val="008001B1"/>
    <w:rsid w:val="00803DB7"/>
    <w:rsid w:val="008055E3"/>
    <w:rsid w:val="00807F74"/>
    <w:rsid w:val="008105B7"/>
    <w:rsid w:val="00816413"/>
    <w:rsid w:val="00820D77"/>
    <w:rsid w:val="0082173F"/>
    <w:rsid w:val="00825F68"/>
    <w:rsid w:val="008300A1"/>
    <w:rsid w:val="0083183C"/>
    <w:rsid w:val="008329D7"/>
    <w:rsid w:val="00835A90"/>
    <w:rsid w:val="0083673C"/>
    <w:rsid w:val="00836CC5"/>
    <w:rsid w:val="008456EC"/>
    <w:rsid w:val="008638DB"/>
    <w:rsid w:val="00864A92"/>
    <w:rsid w:val="00864F55"/>
    <w:rsid w:val="008653BE"/>
    <w:rsid w:val="008656F4"/>
    <w:rsid w:val="008662A6"/>
    <w:rsid w:val="00873E76"/>
    <w:rsid w:val="0087789B"/>
    <w:rsid w:val="0088045C"/>
    <w:rsid w:val="00880862"/>
    <w:rsid w:val="00882C05"/>
    <w:rsid w:val="008864C6"/>
    <w:rsid w:val="00890D37"/>
    <w:rsid w:val="008938B4"/>
    <w:rsid w:val="00894905"/>
    <w:rsid w:val="008955C9"/>
    <w:rsid w:val="0089563D"/>
    <w:rsid w:val="00897C99"/>
    <w:rsid w:val="008A3712"/>
    <w:rsid w:val="008A4479"/>
    <w:rsid w:val="008A624E"/>
    <w:rsid w:val="008A6B5F"/>
    <w:rsid w:val="008A7FC3"/>
    <w:rsid w:val="008B17A7"/>
    <w:rsid w:val="008B3F06"/>
    <w:rsid w:val="008B52B2"/>
    <w:rsid w:val="008C0864"/>
    <w:rsid w:val="008C14E3"/>
    <w:rsid w:val="008C29AE"/>
    <w:rsid w:val="008C7AA8"/>
    <w:rsid w:val="008D0769"/>
    <w:rsid w:val="008D6B25"/>
    <w:rsid w:val="008E18D6"/>
    <w:rsid w:val="008E1B83"/>
    <w:rsid w:val="008E5794"/>
    <w:rsid w:val="008F0E31"/>
    <w:rsid w:val="008F3889"/>
    <w:rsid w:val="009004E3"/>
    <w:rsid w:val="00900FD4"/>
    <w:rsid w:val="00902390"/>
    <w:rsid w:val="00903965"/>
    <w:rsid w:val="00904F8D"/>
    <w:rsid w:val="0090523D"/>
    <w:rsid w:val="00905866"/>
    <w:rsid w:val="00906A68"/>
    <w:rsid w:val="0091022D"/>
    <w:rsid w:val="00915749"/>
    <w:rsid w:val="00915A4E"/>
    <w:rsid w:val="00917891"/>
    <w:rsid w:val="00920DC3"/>
    <w:rsid w:val="009223E5"/>
    <w:rsid w:val="009253FC"/>
    <w:rsid w:val="00925CC5"/>
    <w:rsid w:val="00933A55"/>
    <w:rsid w:val="00934080"/>
    <w:rsid w:val="009344E9"/>
    <w:rsid w:val="00935399"/>
    <w:rsid w:val="009379D9"/>
    <w:rsid w:val="00943E78"/>
    <w:rsid w:val="00944558"/>
    <w:rsid w:val="00946022"/>
    <w:rsid w:val="0094777B"/>
    <w:rsid w:val="00957589"/>
    <w:rsid w:val="00962A1C"/>
    <w:rsid w:val="00967778"/>
    <w:rsid w:val="0097100F"/>
    <w:rsid w:val="00972051"/>
    <w:rsid w:val="0097320A"/>
    <w:rsid w:val="00975BE3"/>
    <w:rsid w:val="00976037"/>
    <w:rsid w:val="00980030"/>
    <w:rsid w:val="009826FC"/>
    <w:rsid w:val="00984455"/>
    <w:rsid w:val="00985B11"/>
    <w:rsid w:val="00985D9A"/>
    <w:rsid w:val="009875B6"/>
    <w:rsid w:val="0098769F"/>
    <w:rsid w:val="00991E97"/>
    <w:rsid w:val="009923B2"/>
    <w:rsid w:val="00992411"/>
    <w:rsid w:val="00995EB5"/>
    <w:rsid w:val="009962E8"/>
    <w:rsid w:val="009A09AD"/>
    <w:rsid w:val="009A20B5"/>
    <w:rsid w:val="009A2F0D"/>
    <w:rsid w:val="009A5137"/>
    <w:rsid w:val="009A6ABE"/>
    <w:rsid w:val="009A772D"/>
    <w:rsid w:val="009B00F6"/>
    <w:rsid w:val="009B1837"/>
    <w:rsid w:val="009B43E7"/>
    <w:rsid w:val="009B6AEF"/>
    <w:rsid w:val="009C14DF"/>
    <w:rsid w:val="009C6953"/>
    <w:rsid w:val="009C6C21"/>
    <w:rsid w:val="009C6E77"/>
    <w:rsid w:val="009D305C"/>
    <w:rsid w:val="009D6E50"/>
    <w:rsid w:val="009E3452"/>
    <w:rsid w:val="009E448F"/>
    <w:rsid w:val="009E5AAB"/>
    <w:rsid w:val="009F1A6D"/>
    <w:rsid w:val="009F1B3C"/>
    <w:rsid w:val="009F4824"/>
    <w:rsid w:val="00A0068B"/>
    <w:rsid w:val="00A012F7"/>
    <w:rsid w:val="00A01493"/>
    <w:rsid w:val="00A02F44"/>
    <w:rsid w:val="00A06B24"/>
    <w:rsid w:val="00A1205F"/>
    <w:rsid w:val="00A15627"/>
    <w:rsid w:val="00A164C1"/>
    <w:rsid w:val="00A225A9"/>
    <w:rsid w:val="00A258C8"/>
    <w:rsid w:val="00A266FD"/>
    <w:rsid w:val="00A26C06"/>
    <w:rsid w:val="00A303A6"/>
    <w:rsid w:val="00A35794"/>
    <w:rsid w:val="00A3582E"/>
    <w:rsid w:val="00A35ACB"/>
    <w:rsid w:val="00A35D81"/>
    <w:rsid w:val="00A41238"/>
    <w:rsid w:val="00A4200F"/>
    <w:rsid w:val="00A422D6"/>
    <w:rsid w:val="00A458F7"/>
    <w:rsid w:val="00A459F4"/>
    <w:rsid w:val="00A45E5C"/>
    <w:rsid w:val="00A4650C"/>
    <w:rsid w:val="00A53DA2"/>
    <w:rsid w:val="00A545F4"/>
    <w:rsid w:val="00A561B7"/>
    <w:rsid w:val="00A5628E"/>
    <w:rsid w:val="00A6139B"/>
    <w:rsid w:val="00A61FD7"/>
    <w:rsid w:val="00A63054"/>
    <w:rsid w:val="00A64888"/>
    <w:rsid w:val="00A67AC7"/>
    <w:rsid w:val="00A67CBE"/>
    <w:rsid w:val="00A7489B"/>
    <w:rsid w:val="00A77934"/>
    <w:rsid w:val="00A81C8F"/>
    <w:rsid w:val="00A81D08"/>
    <w:rsid w:val="00A845C3"/>
    <w:rsid w:val="00A9174F"/>
    <w:rsid w:val="00A96172"/>
    <w:rsid w:val="00A97A5D"/>
    <w:rsid w:val="00A97D9C"/>
    <w:rsid w:val="00AA05C6"/>
    <w:rsid w:val="00AA4EFB"/>
    <w:rsid w:val="00AA5227"/>
    <w:rsid w:val="00AA52C9"/>
    <w:rsid w:val="00AA69D1"/>
    <w:rsid w:val="00AA6ECD"/>
    <w:rsid w:val="00AA71FE"/>
    <w:rsid w:val="00AB15CE"/>
    <w:rsid w:val="00AB3F83"/>
    <w:rsid w:val="00AB5925"/>
    <w:rsid w:val="00AB6B00"/>
    <w:rsid w:val="00AC03A4"/>
    <w:rsid w:val="00AC0AAA"/>
    <w:rsid w:val="00AD0A2C"/>
    <w:rsid w:val="00AD1AFF"/>
    <w:rsid w:val="00AD367C"/>
    <w:rsid w:val="00AD491A"/>
    <w:rsid w:val="00AD6005"/>
    <w:rsid w:val="00AD7335"/>
    <w:rsid w:val="00AE126B"/>
    <w:rsid w:val="00AE1906"/>
    <w:rsid w:val="00AE3869"/>
    <w:rsid w:val="00AE44AD"/>
    <w:rsid w:val="00AE45C3"/>
    <w:rsid w:val="00AE5F3D"/>
    <w:rsid w:val="00AE726C"/>
    <w:rsid w:val="00AF1911"/>
    <w:rsid w:val="00AF2B4D"/>
    <w:rsid w:val="00AF4A75"/>
    <w:rsid w:val="00B02A4A"/>
    <w:rsid w:val="00B046F8"/>
    <w:rsid w:val="00B10BAF"/>
    <w:rsid w:val="00B11DBA"/>
    <w:rsid w:val="00B158A8"/>
    <w:rsid w:val="00B160F0"/>
    <w:rsid w:val="00B167B6"/>
    <w:rsid w:val="00B17BA1"/>
    <w:rsid w:val="00B20774"/>
    <w:rsid w:val="00B21A6C"/>
    <w:rsid w:val="00B24429"/>
    <w:rsid w:val="00B25F2D"/>
    <w:rsid w:val="00B2697E"/>
    <w:rsid w:val="00B30DD6"/>
    <w:rsid w:val="00B31946"/>
    <w:rsid w:val="00B33ADF"/>
    <w:rsid w:val="00B340CF"/>
    <w:rsid w:val="00B419E1"/>
    <w:rsid w:val="00B41EAA"/>
    <w:rsid w:val="00B42E90"/>
    <w:rsid w:val="00B46A77"/>
    <w:rsid w:val="00B5156C"/>
    <w:rsid w:val="00B516D7"/>
    <w:rsid w:val="00B5189D"/>
    <w:rsid w:val="00B52991"/>
    <w:rsid w:val="00B537DE"/>
    <w:rsid w:val="00B5402B"/>
    <w:rsid w:val="00B60B3B"/>
    <w:rsid w:val="00B635A0"/>
    <w:rsid w:val="00B64F45"/>
    <w:rsid w:val="00B66046"/>
    <w:rsid w:val="00B6673D"/>
    <w:rsid w:val="00B753F3"/>
    <w:rsid w:val="00B75E3B"/>
    <w:rsid w:val="00B77620"/>
    <w:rsid w:val="00B80F6F"/>
    <w:rsid w:val="00B810FD"/>
    <w:rsid w:val="00B81507"/>
    <w:rsid w:val="00B8156F"/>
    <w:rsid w:val="00B83AC1"/>
    <w:rsid w:val="00B84C9B"/>
    <w:rsid w:val="00B84D9E"/>
    <w:rsid w:val="00B90011"/>
    <w:rsid w:val="00B9032E"/>
    <w:rsid w:val="00B92B05"/>
    <w:rsid w:val="00B92DE7"/>
    <w:rsid w:val="00B948F4"/>
    <w:rsid w:val="00B95CEC"/>
    <w:rsid w:val="00BB2B33"/>
    <w:rsid w:val="00BB3F93"/>
    <w:rsid w:val="00BB58BF"/>
    <w:rsid w:val="00BC1003"/>
    <w:rsid w:val="00BC1E5D"/>
    <w:rsid w:val="00BC1F2F"/>
    <w:rsid w:val="00BC29ED"/>
    <w:rsid w:val="00BC6E6F"/>
    <w:rsid w:val="00BD3858"/>
    <w:rsid w:val="00BD46CF"/>
    <w:rsid w:val="00BD59AA"/>
    <w:rsid w:val="00BE17A4"/>
    <w:rsid w:val="00BE315E"/>
    <w:rsid w:val="00BE6CC7"/>
    <w:rsid w:val="00BE7F9C"/>
    <w:rsid w:val="00BF03B5"/>
    <w:rsid w:val="00BF1310"/>
    <w:rsid w:val="00BF2518"/>
    <w:rsid w:val="00BF2BB7"/>
    <w:rsid w:val="00BF566F"/>
    <w:rsid w:val="00BF7357"/>
    <w:rsid w:val="00C00E53"/>
    <w:rsid w:val="00C043A3"/>
    <w:rsid w:val="00C05DB0"/>
    <w:rsid w:val="00C06E18"/>
    <w:rsid w:val="00C112AF"/>
    <w:rsid w:val="00C12188"/>
    <w:rsid w:val="00C12F7C"/>
    <w:rsid w:val="00C15BBC"/>
    <w:rsid w:val="00C161AC"/>
    <w:rsid w:val="00C20468"/>
    <w:rsid w:val="00C22F9D"/>
    <w:rsid w:val="00C25845"/>
    <w:rsid w:val="00C3222E"/>
    <w:rsid w:val="00C34E79"/>
    <w:rsid w:val="00C35338"/>
    <w:rsid w:val="00C35366"/>
    <w:rsid w:val="00C35455"/>
    <w:rsid w:val="00C3731D"/>
    <w:rsid w:val="00C37A91"/>
    <w:rsid w:val="00C420FD"/>
    <w:rsid w:val="00C44C54"/>
    <w:rsid w:val="00C509D2"/>
    <w:rsid w:val="00C51111"/>
    <w:rsid w:val="00C524CA"/>
    <w:rsid w:val="00C53BBE"/>
    <w:rsid w:val="00C63764"/>
    <w:rsid w:val="00C6596B"/>
    <w:rsid w:val="00C65DD8"/>
    <w:rsid w:val="00C66F77"/>
    <w:rsid w:val="00C70427"/>
    <w:rsid w:val="00C72D9E"/>
    <w:rsid w:val="00C75FC4"/>
    <w:rsid w:val="00C76D10"/>
    <w:rsid w:val="00C779E1"/>
    <w:rsid w:val="00C8362A"/>
    <w:rsid w:val="00C8406B"/>
    <w:rsid w:val="00C84D6C"/>
    <w:rsid w:val="00C862C1"/>
    <w:rsid w:val="00C916AE"/>
    <w:rsid w:val="00C91784"/>
    <w:rsid w:val="00C93BFD"/>
    <w:rsid w:val="00C96149"/>
    <w:rsid w:val="00C97E84"/>
    <w:rsid w:val="00CA1772"/>
    <w:rsid w:val="00CA7528"/>
    <w:rsid w:val="00CA7B01"/>
    <w:rsid w:val="00CB120B"/>
    <w:rsid w:val="00CB140B"/>
    <w:rsid w:val="00CB234E"/>
    <w:rsid w:val="00CB2D24"/>
    <w:rsid w:val="00CB4FB8"/>
    <w:rsid w:val="00CB5197"/>
    <w:rsid w:val="00CC28FF"/>
    <w:rsid w:val="00CC429D"/>
    <w:rsid w:val="00CC5DCB"/>
    <w:rsid w:val="00CD1E6D"/>
    <w:rsid w:val="00CD24EB"/>
    <w:rsid w:val="00CE2C5D"/>
    <w:rsid w:val="00CE43FC"/>
    <w:rsid w:val="00CE554C"/>
    <w:rsid w:val="00CF1270"/>
    <w:rsid w:val="00CF17B5"/>
    <w:rsid w:val="00CF285F"/>
    <w:rsid w:val="00CF6AFC"/>
    <w:rsid w:val="00CF72C1"/>
    <w:rsid w:val="00D0081F"/>
    <w:rsid w:val="00D03A75"/>
    <w:rsid w:val="00D04CDB"/>
    <w:rsid w:val="00D04D68"/>
    <w:rsid w:val="00D121FD"/>
    <w:rsid w:val="00D17B1E"/>
    <w:rsid w:val="00D20179"/>
    <w:rsid w:val="00D21A24"/>
    <w:rsid w:val="00D27A11"/>
    <w:rsid w:val="00D339F9"/>
    <w:rsid w:val="00D33D9B"/>
    <w:rsid w:val="00D459A8"/>
    <w:rsid w:val="00D47EBB"/>
    <w:rsid w:val="00D50584"/>
    <w:rsid w:val="00D51EE1"/>
    <w:rsid w:val="00D540D3"/>
    <w:rsid w:val="00D5467C"/>
    <w:rsid w:val="00D55993"/>
    <w:rsid w:val="00D57AC3"/>
    <w:rsid w:val="00D60911"/>
    <w:rsid w:val="00D623AD"/>
    <w:rsid w:val="00D62C8D"/>
    <w:rsid w:val="00D63475"/>
    <w:rsid w:val="00D64DEA"/>
    <w:rsid w:val="00D6595D"/>
    <w:rsid w:val="00D65E21"/>
    <w:rsid w:val="00D70A28"/>
    <w:rsid w:val="00D73FB7"/>
    <w:rsid w:val="00D75311"/>
    <w:rsid w:val="00D75F64"/>
    <w:rsid w:val="00D80265"/>
    <w:rsid w:val="00D80EB2"/>
    <w:rsid w:val="00D923B8"/>
    <w:rsid w:val="00D93BF9"/>
    <w:rsid w:val="00D94ED4"/>
    <w:rsid w:val="00DA061B"/>
    <w:rsid w:val="00DA14B8"/>
    <w:rsid w:val="00DA7E68"/>
    <w:rsid w:val="00DB077D"/>
    <w:rsid w:val="00DB1003"/>
    <w:rsid w:val="00DB2501"/>
    <w:rsid w:val="00DC30D9"/>
    <w:rsid w:val="00DC710E"/>
    <w:rsid w:val="00DD47FC"/>
    <w:rsid w:val="00DD5B41"/>
    <w:rsid w:val="00DD75DB"/>
    <w:rsid w:val="00DD77EC"/>
    <w:rsid w:val="00DD7D4A"/>
    <w:rsid w:val="00DE59CE"/>
    <w:rsid w:val="00DE64A7"/>
    <w:rsid w:val="00DE7E62"/>
    <w:rsid w:val="00DF2249"/>
    <w:rsid w:val="00DF2D8E"/>
    <w:rsid w:val="00DF5D52"/>
    <w:rsid w:val="00DF61C6"/>
    <w:rsid w:val="00DF6FD2"/>
    <w:rsid w:val="00DF747C"/>
    <w:rsid w:val="00DF7559"/>
    <w:rsid w:val="00DF79B7"/>
    <w:rsid w:val="00E00679"/>
    <w:rsid w:val="00E01525"/>
    <w:rsid w:val="00E01B5D"/>
    <w:rsid w:val="00E02DA6"/>
    <w:rsid w:val="00E02F19"/>
    <w:rsid w:val="00E04BE9"/>
    <w:rsid w:val="00E05B80"/>
    <w:rsid w:val="00E07A43"/>
    <w:rsid w:val="00E13B92"/>
    <w:rsid w:val="00E1504E"/>
    <w:rsid w:val="00E1668E"/>
    <w:rsid w:val="00E21B26"/>
    <w:rsid w:val="00E235B1"/>
    <w:rsid w:val="00E25CE0"/>
    <w:rsid w:val="00E261D7"/>
    <w:rsid w:val="00E26EC4"/>
    <w:rsid w:val="00E27D68"/>
    <w:rsid w:val="00E308A0"/>
    <w:rsid w:val="00E32EC5"/>
    <w:rsid w:val="00E3435D"/>
    <w:rsid w:val="00E366E1"/>
    <w:rsid w:val="00E4322B"/>
    <w:rsid w:val="00E43D76"/>
    <w:rsid w:val="00E44074"/>
    <w:rsid w:val="00E44BDC"/>
    <w:rsid w:val="00E452FB"/>
    <w:rsid w:val="00E47145"/>
    <w:rsid w:val="00E4741F"/>
    <w:rsid w:val="00E508A5"/>
    <w:rsid w:val="00E5180A"/>
    <w:rsid w:val="00E552A2"/>
    <w:rsid w:val="00E55916"/>
    <w:rsid w:val="00E567F5"/>
    <w:rsid w:val="00E60D4C"/>
    <w:rsid w:val="00E62DD1"/>
    <w:rsid w:val="00E66560"/>
    <w:rsid w:val="00E67BB8"/>
    <w:rsid w:val="00E75E8A"/>
    <w:rsid w:val="00E774B1"/>
    <w:rsid w:val="00E81067"/>
    <w:rsid w:val="00E8365D"/>
    <w:rsid w:val="00E83989"/>
    <w:rsid w:val="00E83C03"/>
    <w:rsid w:val="00E83F67"/>
    <w:rsid w:val="00E86097"/>
    <w:rsid w:val="00E8652E"/>
    <w:rsid w:val="00E93A94"/>
    <w:rsid w:val="00E93DFA"/>
    <w:rsid w:val="00E95417"/>
    <w:rsid w:val="00E97418"/>
    <w:rsid w:val="00EA0461"/>
    <w:rsid w:val="00EA128D"/>
    <w:rsid w:val="00EA32CA"/>
    <w:rsid w:val="00EA3AC1"/>
    <w:rsid w:val="00EA3E61"/>
    <w:rsid w:val="00EA542A"/>
    <w:rsid w:val="00EA5EC9"/>
    <w:rsid w:val="00EB1900"/>
    <w:rsid w:val="00EB2269"/>
    <w:rsid w:val="00EB769A"/>
    <w:rsid w:val="00EC3B34"/>
    <w:rsid w:val="00EC46B2"/>
    <w:rsid w:val="00EC63C4"/>
    <w:rsid w:val="00ED04F2"/>
    <w:rsid w:val="00ED37F8"/>
    <w:rsid w:val="00ED7FF2"/>
    <w:rsid w:val="00EE43CC"/>
    <w:rsid w:val="00EE49A7"/>
    <w:rsid w:val="00EE5DA8"/>
    <w:rsid w:val="00EF0131"/>
    <w:rsid w:val="00EF1C11"/>
    <w:rsid w:val="00EF4ED6"/>
    <w:rsid w:val="00EF5E46"/>
    <w:rsid w:val="00EF63B6"/>
    <w:rsid w:val="00F005D1"/>
    <w:rsid w:val="00F013DD"/>
    <w:rsid w:val="00F04AF7"/>
    <w:rsid w:val="00F07506"/>
    <w:rsid w:val="00F0766F"/>
    <w:rsid w:val="00F1246E"/>
    <w:rsid w:val="00F16AB0"/>
    <w:rsid w:val="00F23F4D"/>
    <w:rsid w:val="00F24627"/>
    <w:rsid w:val="00F27BE3"/>
    <w:rsid w:val="00F33636"/>
    <w:rsid w:val="00F35907"/>
    <w:rsid w:val="00F359DC"/>
    <w:rsid w:val="00F364FE"/>
    <w:rsid w:val="00F4260E"/>
    <w:rsid w:val="00F44773"/>
    <w:rsid w:val="00F453CF"/>
    <w:rsid w:val="00F45B15"/>
    <w:rsid w:val="00F477B7"/>
    <w:rsid w:val="00F50245"/>
    <w:rsid w:val="00F51BAB"/>
    <w:rsid w:val="00F53714"/>
    <w:rsid w:val="00F53C71"/>
    <w:rsid w:val="00F55262"/>
    <w:rsid w:val="00F5781A"/>
    <w:rsid w:val="00F60E91"/>
    <w:rsid w:val="00F62C7D"/>
    <w:rsid w:val="00F6395E"/>
    <w:rsid w:val="00F63AF4"/>
    <w:rsid w:val="00F66735"/>
    <w:rsid w:val="00F669DE"/>
    <w:rsid w:val="00F674A2"/>
    <w:rsid w:val="00F77D5C"/>
    <w:rsid w:val="00F8200F"/>
    <w:rsid w:val="00F845E9"/>
    <w:rsid w:val="00F8584C"/>
    <w:rsid w:val="00F8655B"/>
    <w:rsid w:val="00F868E3"/>
    <w:rsid w:val="00F915AF"/>
    <w:rsid w:val="00F91DAF"/>
    <w:rsid w:val="00F92133"/>
    <w:rsid w:val="00F93696"/>
    <w:rsid w:val="00F942FC"/>
    <w:rsid w:val="00F9700B"/>
    <w:rsid w:val="00F97778"/>
    <w:rsid w:val="00FA16C8"/>
    <w:rsid w:val="00FA6843"/>
    <w:rsid w:val="00FA6AEF"/>
    <w:rsid w:val="00FA7945"/>
    <w:rsid w:val="00FA7C9A"/>
    <w:rsid w:val="00FB117A"/>
    <w:rsid w:val="00FB236D"/>
    <w:rsid w:val="00FB293A"/>
    <w:rsid w:val="00FB546A"/>
    <w:rsid w:val="00FC1F2B"/>
    <w:rsid w:val="00FC37E0"/>
    <w:rsid w:val="00FC7F12"/>
    <w:rsid w:val="00FD440E"/>
    <w:rsid w:val="00FE1F50"/>
    <w:rsid w:val="00FE3608"/>
    <w:rsid w:val="00FE3726"/>
    <w:rsid w:val="00FE3CC5"/>
    <w:rsid w:val="00FE5C82"/>
    <w:rsid w:val="00FF0AD4"/>
    <w:rsid w:val="00FF339F"/>
    <w:rsid w:val="00FF4509"/>
    <w:rsid w:val="00FF7FD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D911E30-8465-4F78-BF1E-03EBA309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2FC"/>
    <w:rPr>
      <w:sz w:val="24"/>
      <w:szCs w:val="24"/>
    </w:rPr>
  </w:style>
  <w:style w:type="paragraph" w:styleId="Heading1">
    <w:name w:val="heading 1"/>
    <w:basedOn w:val="Normal"/>
    <w:next w:val="Normal"/>
    <w:link w:val="Heading1Char"/>
    <w:uiPriority w:val="99"/>
    <w:qFormat/>
    <w:rsid w:val="005224E4"/>
    <w:pPr>
      <w:keepNext/>
      <w:jc w:val="right"/>
      <w:outlineLvl w:val="0"/>
    </w:pPr>
    <w:rPr>
      <w:sz w:val="28"/>
      <w:lang w:val="x-none" w:eastAsia="en-US"/>
    </w:rPr>
  </w:style>
  <w:style w:type="paragraph" w:styleId="Heading2">
    <w:name w:val="heading 2"/>
    <w:basedOn w:val="Normal"/>
    <w:next w:val="Normal"/>
    <w:link w:val="Heading2Char"/>
    <w:semiHidden/>
    <w:unhideWhenUsed/>
    <w:qFormat/>
    <w:rsid w:val="00621DA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E0174"/>
    <w:pPr>
      <w:spacing w:before="75" w:after="75"/>
      <w:ind w:firstLine="375"/>
      <w:jc w:val="both"/>
    </w:pPr>
  </w:style>
  <w:style w:type="paragraph" w:customStyle="1" w:styleId="NoSpacing1">
    <w:name w:val="No Spacing1"/>
    <w:qFormat/>
    <w:rsid w:val="007E0174"/>
    <w:rPr>
      <w:rFonts w:ascii="Calibri" w:eastAsia="Calibri" w:hAnsi="Calibri"/>
      <w:sz w:val="22"/>
      <w:szCs w:val="22"/>
      <w:lang w:eastAsia="en-US"/>
    </w:rPr>
  </w:style>
  <w:style w:type="paragraph" w:styleId="Header">
    <w:name w:val="header"/>
    <w:basedOn w:val="Normal"/>
    <w:rsid w:val="001327E4"/>
    <w:pPr>
      <w:tabs>
        <w:tab w:val="center" w:pos="4153"/>
        <w:tab w:val="right" w:pos="8306"/>
      </w:tabs>
    </w:pPr>
  </w:style>
  <w:style w:type="paragraph" w:styleId="Footer">
    <w:name w:val="footer"/>
    <w:basedOn w:val="Normal"/>
    <w:link w:val="FooterChar"/>
    <w:uiPriority w:val="99"/>
    <w:rsid w:val="001327E4"/>
    <w:pPr>
      <w:tabs>
        <w:tab w:val="center" w:pos="4153"/>
        <w:tab w:val="right" w:pos="8306"/>
      </w:tabs>
    </w:pPr>
    <w:rPr>
      <w:lang w:val="x-none" w:eastAsia="x-none"/>
    </w:rPr>
  </w:style>
  <w:style w:type="character" w:styleId="PageNumber">
    <w:name w:val="page number"/>
    <w:basedOn w:val="DefaultParagraphFont"/>
    <w:rsid w:val="001327E4"/>
  </w:style>
  <w:style w:type="paragraph" w:styleId="BalloonText">
    <w:name w:val="Balloon Text"/>
    <w:basedOn w:val="Normal"/>
    <w:semiHidden/>
    <w:rsid w:val="0082173F"/>
    <w:rPr>
      <w:rFonts w:ascii="Tahoma" w:hAnsi="Tahoma" w:cs="Tahoma"/>
      <w:sz w:val="16"/>
      <w:szCs w:val="16"/>
    </w:rPr>
  </w:style>
  <w:style w:type="paragraph" w:customStyle="1" w:styleId="naisc">
    <w:name w:val="naisc"/>
    <w:basedOn w:val="Normal"/>
    <w:rsid w:val="003840E8"/>
    <w:pPr>
      <w:spacing w:before="63" w:after="63"/>
      <w:jc w:val="center"/>
    </w:pPr>
  </w:style>
  <w:style w:type="character" w:styleId="CommentReference">
    <w:name w:val="annotation reference"/>
    <w:uiPriority w:val="99"/>
    <w:semiHidden/>
    <w:rsid w:val="00F92133"/>
    <w:rPr>
      <w:sz w:val="16"/>
      <w:szCs w:val="16"/>
    </w:rPr>
  </w:style>
  <w:style w:type="paragraph" w:styleId="CommentText">
    <w:name w:val="annotation text"/>
    <w:basedOn w:val="Normal"/>
    <w:link w:val="CommentTextChar"/>
    <w:uiPriority w:val="99"/>
    <w:rsid w:val="00F92133"/>
    <w:rPr>
      <w:sz w:val="20"/>
      <w:szCs w:val="20"/>
    </w:rPr>
  </w:style>
  <w:style w:type="paragraph" w:styleId="CommentSubject">
    <w:name w:val="annotation subject"/>
    <w:basedOn w:val="CommentText"/>
    <w:next w:val="CommentText"/>
    <w:semiHidden/>
    <w:rsid w:val="00F92133"/>
    <w:rPr>
      <w:b/>
      <w:bCs/>
    </w:rPr>
  </w:style>
  <w:style w:type="character" w:styleId="Hyperlink">
    <w:name w:val="Hyperlink"/>
    <w:rsid w:val="00F92133"/>
    <w:rPr>
      <w:color w:val="0000FF"/>
      <w:u w:val="single"/>
    </w:rPr>
  </w:style>
  <w:style w:type="paragraph" w:customStyle="1" w:styleId="Parastais1">
    <w:name w:val="Parastais1"/>
    <w:qFormat/>
    <w:rsid w:val="00972051"/>
    <w:rPr>
      <w:sz w:val="24"/>
      <w:szCs w:val="24"/>
    </w:rPr>
  </w:style>
  <w:style w:type="table" w:styleId="TableGrid">
    <w:name w:val="Table Grid"/>
    <w:basedOn w:val="TableNormal"/>
    <w:uiPriority w:val="59"/>
    <w:rsid w:val="005D7E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87789B"/>
    <w:pPr>
      <w:spacing w:before="75" w:after="75"/>
      <w:jc w:val="right"/>
    </w:pPr>
  </w:style>
  <w:style w:type="paragraph" w:styleId="Subtitle">
    <w:name w:val="Subtitle"/>
    <w:basedOn w:val="Normal"/>
    <w:next w:val="Normal"/>
    <w:link w:val="SubtitleChar"/>
    <w:qFormat/>
    <w:rsid w:val="00BB2B33"/>
    <w:pPr>
      <w:spacing w:after="60"/>
      <w:jc w:val="center"/>
      <w:outlineLvl w:val="1"/>
    </w:pPr>
    <w:rPr>
      <w:rFonts w:ascii="Cambria" w:hAnsi="Cambria"/>
      <w:lang w:val="x-none" w:eastAsia="x-none"/>
    </w:rPr>
  </w:style>
  <w:style w:type="character" w:customStyle="1" w:styleId="SubtitleChar">
    <w:name w:val="Subtitle Char"/>
    <w:link w:val="Subtitle"/>
    <w:rsid w:val="00BB2B33"/>
    <w:rPr>
      <w:rFonts w:ascii="Cambria" w:eastAsia="Times New Roman" w:hAnsi="Cambria" w:cs="Times New Roman"/>
      <w:sz w:val="24"/>
      <w:szCs w:val="24"/>
    </w:rPr>
  </w:style>
  <w:style w:type="character" w:customStyle="1" w:styleId="CommentTextChar">
    <w:name w:val="Comment Text Char"/>
    <w:link w:val="CommentText"/>
    <w:uiPriority w:val="99"/>
    <w:rsid w:val="00297EF9"/>
  </w:style>
  <w:style w:type="paragraph" w:styleId="NoSpacing">
    <w:name w:val="No Spacing"/>
    <w:uiPriority w:val="1"/>
    <w:qFormat/>
    <w:rsid w:val="00B810FD"/>
    <w:rPr>
      <w:rFonts w:ascii="Calibri" w:eastAsia="Calibri" w:hAnsi="Calibri"/>
      <w:sz w:val="22"/>
      <w:szCs w:val="22"/>
      <w:lang w:eastAsia="en-US"/>
    </w:rPr>
  </w:style>
  <w:style w:type="character" w:customStyle="1" w:styleId="apple-converted-space">
    <w:name w:val="apple-converted-space"/>
    <w:rsid w:val="00D80265"/>
  </w:style>
  <w:style w:type="paragraph" w:customStyle="1" w:styleId="tvhtml">
    <w:name w:val="tv_html"/>
    <w:basedOn w:val="Normal"/>
    <w:rsid w:val="00D80265"/>
    <w:pPr>
      <w:spacing w:before="100" w:beforeAutospacing="1" w:after="100" w:afterAutospacing="1"/>
    </w:pPr>
  </w:style>
  <w:style w:type="character" w:customStyle="1" w:styleId="tvhtml1">
    <w:name w:val="tv_html1"/>
    <w:rsid w:val="00D80265"/>
  </w:style>
  <w:style w:type="paragraph" w:styleId="FootnoteText">
    <w:name w:val="footnote text"/>
    <w:basedOn w:val="Normal"/>
    <w:link w:val="FootnoteTextChar"/>
    <w:uiPriority w:val="99"/>
    <w:rsid w:val="00D80265"/>
    <w:rPr>
      <w:sz w:val="20"/>
      <w:szCs w:val="20"/>
      <w:lang w:val="x-none" w:eastAsia="en-US"/>
    </w:rPr>
  </w:style>
  <w:style w:type="character" w:customStyle="1" w:styleId="FootnoteTextChar">
    <w:name w:val="Footnote Text Char"/>
    <w:link w:val="FootnoteText"/>
    <w:uiPriority w:val="99"/>
    <w:rsid w:val="00D80265"/>
    <w:rPr>
      <w:lang w:eastAsia="en-US"/>
    </w:rPr>
  </w:style>
  <w:style w:type="character" w:customStyle="1" w:styleId="FooterChar">
    <w:name w:val="Footer Char"/>
    <w:link w:val="Footer"/>
    <w:uiPriority w:val="99"/>
    <w:rsid w:val="00F53C71"/>
    <w:rPr>
      <w:sz w:val="24"/>
      <w:szCs w:val="24"/>
    </w:rPr>
  </w:style>
  <w:style w:type="character" w:customStyle="1" w:styleId="Heading1Char">
    <w:name w:val="Heading 1 Char"/>
    <w:link w:val="Heading1"/>
    <w:uiPriority w:val="99"/>
    <w:rsid w:val="005224E4"/>
    <w:rPr>
      <w:sz w:val="28"/>
      <w:szCs w:val="24"/>
      <w:lang w:eastAsia="en-US"/>
    </w:rPr>
  </w:style>
  <w:style w:type="paragraph" w:customStyle="1" w:styleId="tv9008792">
    <w:name w:val="tv900_87_92"/>
    <w:basedOn w:val="Normal"/>
    <w:rsid w:val="005224E4"/>
    <w:pPr>
      <w:spacing w:before="100" w:beforeAutospacing="1" w:after="100" w:afterAutospacing="1"/>
    </w:pPr>
  </w:style>
  <w:style w:type="paragraph" w:styleId="NormalWeb">
    <w:name w:val="Normal (Web)"/>
    <w:basedOn w:val="Normal"/>
    <w:uiPriority w:val="99"/>
    <w:rsid w:val="005224E4"/>
    <w:pPr>
      <w:spacing w:before="100" w:beforeAutospacing="1" w:after="100" w:afterAutospacing="1"/>
    </w:pPr>
    <w:rPr>
      <w:rFonts w:ascii="Arial Unicode MS" w:eastAsia="Calibri" w:hAnsi="Arial Unicode MS" w:cs="Arial Unicode MS"/>
      <w:lang w:val="en-GB" w:eastAsia="en-US"/>
    </w:rPr>
  </w:style>
  <w:style w:type="paragraph" w:customStyle="1" w:styleId="tv213">
    <w:name w:val="tv213"/>
    <w:basedOn w:val="Normal"/>
    <w:rsid w:val="005224E4"/>
    <w:pPr>
      <w:spacing w:before="100" w:beforeAutospacing="1" w:after="100" w:afterAutospacing="1"/>
    </w:pPr>
  </w:style>
  <w:style w:type="paragraph" w:styleId="ListParagraph">
    <w:name w:val="List Paragraph"/>
    <w:basedOn w:val="Normal"/>
    <w:uiPriority w:val="34"/>
    <w:qFormat/>
    <w:rsid w:val="007B3022"/>
    <w:pPr>
      <w:ind w:left="720"/>
    </w:pPr>
    <w:rPr>
      <w:rFonts w:eastAsia="Calibri"/>
    </w:rPr>
  </w:style>
  <w:style w:type="paragraph" w:customStyle="1" w:styleId="nais1">
    <w:name w:val="nais1"/>
    <w:basedOn w:val="Normal"/>
    <w:rsid w:val="00967778"/>
    <w:pPr>
      <w:spacing w:before="100" w:beforeAutospacing="1" w:after="100" w:afterAutospacing="1"/>
    </w:pPr>
  </w:style>
  <w:style w:type="paragraph" w:customStyle="1" w:styleId="tv20687921">
    <w:name w:val="tv206_87_921"/>
    <w:basedOn w:val="Normal"/>
    <w:uiPriority w:val="99"/>
    <w:rsid w:val="002767C3"/>
    <w:pPr>
      <w:spacing w:before="480" w:after="240" w:line="360" w:lineRule="auto"/>
      <w:ind w:firstLine="300"/>
      <w:jc w:val="right"/>
    </w:pPr>
    <w:rPr>
      <w:rFonts w:ascii="Verdana" w:eastAsia="Calibri" w:hAnsi="Verdana"/>
      <w:sz w:val="18"/>
      <w:szCs w:val="18"/>
    </w:rPr>
  </w:style>
  <w:style w:type="character" w:styleId="FootnoteReference">
    <w:name w:val="footnote reference"/>
    <w:uiPriority w:val="99"/>
    <w:unhideWhenUsed/>
    <w:rsid w:val="000B7DA3"/>
    <w:rPr>
      <w:vertAlign w:val="superscript"/>
    </w:rPr>
  </w:style>
  <w:style w:type="character" w:customStyle="1" w:styleId="Heading2Char">
    <w:name w:val="Heading 2 Char"/>
    <w:link w:val="Heading2"/>
    <w:semiHidden/>
    <w:rsid w:val="00621DAE"/>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040A-D513-4F0B-8542-15A65AA7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7020</Characters>
  <Application>Microsoft Office Word</Application>
  <DocSecurity>0</DocSecurity>
  <Lines>58</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Ministru kabineta noteikumu projekts „Grozījumi Ministru kabineta 2012.gada 29.maija noteikumos Nr.381 „Valsts atbalsta piešķiršanas kārtība lauksaimniecībā izmantojamās zemes iegādei lauksaimniecības produkcijas ražošanai””</vt:lpstr>
    </vt:vector>
  </TitlesOfParts>
  <Company>Ekonomikas ministrija</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 par "Altum" kapitāla nodrošināšanu 4.2.1.1.pasākuma ietvaros</dc:subject>
  <dc:creator>Dainis Selickis</dc:creator>
  <dc:description>Dainis.Selickis@em.gov.lv, 67013161</dc:description>
  <cp:lastModifiedBy>Līva Immermane</cp:lastModifiedBy>
  <cp:revision>6</cp:revision>
  <cp:lastPrinted>2017-12-15T07:52:00Z</cp:lastPrinted>
  <dcterms:created xsi:type="dcterms:W3CDTF">2018-04-23T07:17:00Z</dcterms:created>
  <dcterms:modified xsi:type="dcterms:W3CDTF">2018-04-23T11:24:00Z</dcterms:modified>
</cp:coreProperties>
</file>