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6C42C" w14:textId="509C9B88" w:rsidR="00894C55" w:rsidRPr="00913CAE" w:rsidRDefault="00B7612C" w:rsidP="00D9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noteikumu projekta “</w:t>
      </w:r>
      <w:r w:rsidR="00C504C4" w:rsidRPr="00913C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</w:t>
      </w:r>
      <w:r w:rsidR="00056C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ozījumi Ministru kabineta 2015.</w:t>
      </w:r>
      <w:r w:rsidR="00F05C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056C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30.</w:t>
      </w:r>
      <w:r w:rsidR="00F05C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504C4" w:rsidRPr="00913C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jūnija noteikumos Nr.333 “Noteikumi par Latvijas būvnormatīvu LBN</w:t>
      </w:r>
      <w:r w:rsidR="00056C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504C4" w:rsidRPr="00913C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201-15 “Būvju ugunsdrošība””</w:t>
      </w: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C504C4" w:rsidRPr="00913C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4710B017" w14:textId="77777777" w:rsidR="00E5323B" w:rsidRPr="00913CAE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6541A9" w14:paraId="476F3190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02F9B" w14:textId="77777777" w:rsidR="00655F2C" w:rsidRPr="00913CAE" w:rsidRDefault="00B7612C" w:rsidP="00F0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 xml:space="preserve">Tiesību akta projekta </w:t>
            </w: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anotācijas kopsavilkums</w:t>
            </w:r>
          </w:p>
        </w:tc>
      </w:tr>
      <w:tr w:rsidR="006541A9" w14:paraId="68B03B86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D3C81" w14:textId="35B7FBD2" w:rsidR="00E5323B" w:rsidRPr="00913CAE" w:rsidRDefault="00B7612C" w:rsidP="00F05C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</w:t>
            </w:r>
            <w:r w:rsidR="00B37B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6D683" w14:textId="3DDF2B2E" w:rsidR="00E5323B" w:rsidRPr="004C757D" w:rsidRDefault="00B7612C" w:rsidP="0091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05C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Neaizpilda atbilstoši Ministru kabineta 2009.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 </w:t>
            </w:r>
            <w:r w:rsidRPr="00F05C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 </w:t>
            </w:r>
            <w:r w:rsidRPr="00F05C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decembra instrukcijas Nr.19 “Tiesību akta projekta sākotnējās ietekmes izvērtēšanas kārtība” 5.</w:t>
            </w:r>
            <w:r w:rsidRPr="00F05C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lv-LV"/>
              </w:rPr>
              <w:t> </w:t>
            </w:r>
            <w:r w:rsidRPr="00F05C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punktam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4BE87F03" w14:textId="77777777" w:rsidR="00E5323B" w:rsidRPr="00913CAE" w:rsidRDefault="00B7612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13C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541A9" w14:paraId="687F106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D6F2E" w14:textId="77777777" w:rsidR="00655F2C" w:rsidRPr="00913CAE" w:rsidRDefault="00B7612C" w:rsidP="00F0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6541A9" w14:paraId="5CDA7F0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601D5" w14:textId="77777777" w:rsidR="00655F2C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13939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D0877" w14:textId="0E13437D" w:rsidR="00E5323B" w:rsidRPr="00913CAE" w:rsidRDefault="00B7612C" w:rsidP="00E00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4C75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</w:t>
            </w:r>
            <w:r w:rsidR="009748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stru kabineta noteikumu projekts</w:t>
            </w:r>
            <w:r w:rsidRPr="004C75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“Grozījumi Ministru kabineta 2015.</w:t>
            </w:r>
            <w:r w:rsidR="00F05C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 </w:t>
            </w:r>
            <w:r w:rsidRPr="004C75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gada 30.</w:t>
            </w:r>
            <w:r w:rsidR="00F05C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 </w:t>
            </w:r>
            <w:r w:rsidRPr="004C75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jūnija noteikumos Nr.333 “Noteikumi par Latvijas būvnormatīvu LBN 201-15 “Būvju ugunsdrošība”””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(turpmāk – noteikumu projekts)</w:t>
            </w:r>
            <w:r w:rsidR="009F70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izstrādāts </w:t>
            </w:r>
            <w:r w:rsidR="004C75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pēc Ekonomikas ministrijas iniciatīvas, pamatojoties uz </w:t>
            </w:r>
            <w:r w:rsidR="009C32E5"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Būvniecības </w:t>
            </w:r>
            <w:r w:rsid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likuma 5.</w:t>
            </w:r>
            <w:r w:rsidR="00F05C29">
              <w:t> </w:t>
            </w:r>
            <w:r w:rsid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panta pirmās daļas 3.</w:t>
            </w:r>
            <w:r w:rsidR="00F05C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4C75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punkt</w:t>
            </w:r>
            <w:r w:rsidR="00E647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</w:t>
            </w:r>
            <w:r w:rsidR="004C75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6541A9" w14:paraId="573F776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7A8B9" w14:textId="77777777" w:rsidR="00655F2C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0AD1A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Pašreizējā situācija un problēmas, kuru risināšanai tiesību akta projekts izstrādāts, tiesiskā 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9408C" w14:textId="38B189C6" w:rsidR="00E5323B" w:rsidRDefault="00B7612C" w:rsidP="004C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projektā iekļauti </w:t>
            </w:r>
            <w:r w:rsidR="00606736" w:rsidRP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priekšlikumi </w:t>
            </w:r>
            <w:proofErr w:type="gramStart"/>
            <w:r w:rsidR="00606736" w:rsidRP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ņemot vērā līdz šim esošo V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alsts ugunsdzēsības un glābšanas dienesta</w:t>
            </w:r>
            <w:r w:rsidR="00606736" w:rsidRP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praksi būvniecības ugunsdrošības uzraudzības jomā, apkopojot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tā</w:t>
            </w:r>
            <w:r w:rsidR="00606736" w:rsidRP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Tehniskajās komisijās</w:t>
            </w:r>
            <w:proofErr w:type="gramEnd"/>
            <w:r w:rsidR="00606736" w:rsidRP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izskatītos jautājumus par atkāpju no būvnormatīvu ugunsdrošības prasībām un pieņemtos alte</w:t>
            </w:r>
            <w:r w:rsidR="006149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rnatīvos tehniskos risinājumus </w:t>
            </w:r>
            <w:r w:rsidR="00606736" w:rsidRP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atbilstoši Būvniecības likuma 9.</w:t>
            </w:r>
            <w:r w:rsidR="00606736" w:rsidRP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="00F05C2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 </w:t>
            </w:r>
            <w:r w:rsidR="00606736" w:rsidRP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panta septītajai daļai, kā arī ņemot vērā </w:t>
            </w:r>
            <w:proofErr w:type="spellStart"/>
            <w:r w:rsidR="00606736" w:rsidRP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būvspeciālistu</w:t>
            </w:r>
            <w:proofErr w:type="spellEnd"/>
            <w:r w:rsidR="00606736" w:rsidRP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ieteikumus ugunsdrošības jomā. Precizējot esošo Latvijas būvnormatīva LBN 201-15 “Būvju ugunsdrošība” redakciju, tiks veicināts, ka </w:t>
            </w:r>
            <w:proofErr w:type="spellStart"/>
            <w:r w:rsidR="00606736" w:rsidRP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būvspeciālistiem</w:t>
            </w:r>
            <w:proofErr w:type="spellEnd"/>
            <w:r w:rsidR="00606736" w:rsidRP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būs mazāk neskaidrību par attiecīgos būvnormatīva punktos iekļautajām prasībām, </w:t>
            </w:r>
            <w:r w:rsidR="006149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kas </w:t>
            </w:r>
            <w:r w:rsidR="00606736" w:rsidRPr="006067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atvieglos</w:t>
            </w:r>
            <w:r w:rsidR="00606736" w:rsidRPr="006149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606736" w:rsidRP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un ietaupīs laiku </w:t>
            </w:r>
            <w:r w:rsidR="00606736" w:rsidRPr="006067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projektēšanā</w:t>
            </w:r>
            <w:r w:rsidR="00606736" w:rsidRP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606736" w:rsidRPr="004C75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606736" w:rsidRPr="00606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kā arī ļaus daudzkārt izvairīties no būvniecības ierosinātājiem nesamērīga vai nepamatota sloga uzlikšanas.</w:t>
            </w:r>
          </w:p>
          <w:p w14:paraId="4BF1C83B" w14:textId="36E2A486" w:rsidR="00B2518A" w:rsidRPr="00B2518A" w:rsidRDefault="00B7612C" w:rsidP="00B2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Kā piemēru var minēt Latvijas būvnormatīva LBN</w:t>
            </w:r>
            <w:r w:rsidR="00F05C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201-15 “Būvju ugunsdrošība”</w:t>
            </w:r>
            <w:r w:rsidR="009814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25.</w:t>
            </w:r>
            <w:r w:rsidR="00F05C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9814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punktā grozījumu izdarīšanu. Esošā</w:t>
            </w:r>
            <w:r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būvnormatīva </w:t>
            </w:r>
            <w:r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punkta redakcija noteica tikai ugunsslodzes sadalījumu pēc tās pakāpes. Visos gadījumos tā jāaprēķina, kas dažkārt rada zināmas grūtības attiecīgu parametru </w:t>
            </w:r>
            <w:r w:rsidR="0098146A"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sameklēšanai</w:t>
            </w:r>
            <w:r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tās pareizības pamatošanai. Lai atvieglotu ugunsdrošības prasību piemērošanu saistī</w:t>
            </w:r>
            <w:r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bā ar ugunsslodzes noteikšanu, ugunsslodzes grupu pieņem “pēc noklusējuma”, ņemot vērā </w:t>
            </w:r>
            <w:proofErr w:type="gramStart"/>
            <w:r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augstāk aprakstīto</w:t>
            </w:r>
            <w:proofErr w:type="gramEnd"/>
            <w:r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sadalījumu. Nepieciešamības gadījumā ugunsslodzes grupu nosaka</w:t>
            </w:r>
            <w:proofErr w:type="gramStart"/>
            <w:r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veicot ugunsslodzes aprēķinu, attiecīgi piemērojot būvnormatīva 26.</w:t>
            </w:r>
            <w:r w:rsidR="00F05C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punktu</w:t>
            </w:r>
            <w:proofErr w:type="gramEnd"/>
            <w:r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 Ieviešot šo</w:t>
            </w:r>
            <w:r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regulējumu, tiek būtiski samazināta administratīvā, līdz ar to arī finansiālā slodze, kā arī ļauj dažkārt izvairīties no nepamatotas ugunsslodzes samazināšanas, tādējādi nepamatoti samazinot ugunsdrošības prasības. </w:t>
            </w:r>
          </w:p>
          <w:p w14:paraId="52AD23B3" w14:textId="587826F6" w:rsidR="00E275FA" w:rsidRPr="00913CAE" w:rsidRDefault="00B7612C" w:rsidP="00B2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Lai novērstu būvniecības dalībnieku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dažādu punktu prasību interpretācijas,</w:t>
            </w:r>
            <w:r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projektā precizētas defin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īcijas un ieviestas jaunas, piemēram, </w:t>
            </w:r>
            <w:r w:rsidRPr="009814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automātiskā ugunsaizsardzības sistēma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Pr="009814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neautomātiskā ugunsaizsardzības sistēma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kā arī pārskatītas būvju lietošanas veidi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(kas attiecas uz izglī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tības iestādēm</w:t>
            </w:r>
            <w:r w:rsidR="002428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242863" w:rsidRPr="00ED6B13">
              <w:rPr>
                <w:rFonts w:ascii="Times New Roman" w:hAnsi="Times New Roman" w:cs="Times New Roman"/>
                <w:sz w:val="28"/>
                <w:szCs w:val="28"/>
              </w:rPr>
              <w:t>autoservisi</w:t>
            </w:r>
            <w:r w:rsidR="00242863">
              <w:rPr>
                <w:rFonts w:ascii="Times New Roman" w:hAnsi="Times New Roman" w:cs="Times New Roman"/>
                <w:sz w:val="28"/>
                <w:szCs w:val="28"/>
              </w:rPr>
              <w:t>em (auto remontu darbnīcām</w:t>
            </w:r>
            <w:r w:rsidR="00242863" w:rsidRPr="00ED6B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</w:t>
            </w:r>
            <w:r w:rsidR="00B2518A"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izveidot</w:t>
            </w:r>
            <w:r w:rsid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 jauns būves un telpu lietošanas veids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– </w:t>
            </w:r>
            <w:r w:rsidRPr="009814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lauksaimniecībai paredzētas būves un telpas</w:t>
            </w:r>
            <w:r w:rsidR="00B2518A"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kas ir izdalīts no VI</w:t>
            </w:r>
            <w:r w:rsidR="003C37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B2518A"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lietošanas veida. Šobrīd šā</w:t>
            </w:r>
            <w:r w:rsidR="008A01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das</w:t>
            </w:r>
            <w:r w:rsidR="00B2518A"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būvju un telpu lietošanas veida būves un telpas ir iekļautas VI</w:t>
            </w:r>
            <w:r w:rsidR="003C37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B2518A"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lietošanas veidā</w:t>
            </w:r>
            <w:r w:rsidR="002428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242863" w:rsidRPr="002428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ražošanas būves un telpas</w:t>
            </w:r>
            <w:r w:rsidR="002428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B2518A" w:rsidRP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kas uzliek būvniecības ierosinātājiem nesamērīgu un nepamatotu slogu</w:t>
            </w:r>
            <w:r w:rsidR="00B251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Noteikumu projektā precizētas prasības, kas izriet no </w:t>
            </w:r>
            <w:r w:rsidRPr="00FB2B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201</w:t>
            </w:r>
            <w:r w:rsidRPr="00FB2B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</w:t>
            </w:r>
            <w:r w:rsidR="00F05C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FB2B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19.</w:t>
            </w:r>
            <w:r w:rsidR="00F05C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FB2B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aprīļa noteikumiem Nr.238 “Ugunsdrošības noteikumi”.</w:t>
            </w:r>
          </w:p>
        </w:tc>
      </w:tr>
      <w:tr w:rsidR="006541A9" w14:paraId="58FEBC3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54B91" w14:textId="77777777" w:rsidR="00655F2C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0D1A4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763DC" w14:textId="61BC79F8" w:rsidR="00E5323B" w:rsidRPr="00913CAE" w:rsidRDefault="00B7612C" w:rsidP="0060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Valsts ugunsdzēsības un glābšanas dienests,</w:t>
            </w:r>
            <w:r w:rsidRPr="0060673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Būvniecības padome (</w:t>
            </w:r>
            <w:r w:rsidRPr="0060673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Latvijas Tirdzniecības un rūpniecības kamera,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Būvinženieru savienība)</w:t>
            </w:r>
            <w:r w:rsidR="00C779B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6541A9" w14:paraId="3A102C5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8A81C" w14:textId="77777777" w:rsidR="00655F2C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6113C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02D8D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19824008" w14:textId="77777777" w:rsidR="00E5323B" w:rsidRPr="00913CAE" w:rsidRDefault="00B7612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13C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541A9" w14:paraId="6F5D547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F2363" w14:textId="77777777" w:rsidR="00655F2C" w:rsidRPr="00913CAE" w:rsidRDefault="00B7612C" w:rsidP="00F0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6541A9" w14:paraId="470A6B5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D7E31" w14:textId="77777777" w:rsidR="00655F2C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F037A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Sabiedrības mērķgrupas, kuras tiesiskais 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54BD1" w14:textId="78427DA6" w:rsidR="00E00F19" w:rsidRPr="00913CAE" w:rsidRDefault="00B7612C" w:rsidP="00E00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projekta regulējums var ietekmēt jebkuru personu, kura ierosinās un veiks jaunas būves būvniecību, esošas būves atjaunošanu vai pārbūvi, kā arī institūcijas, </w:t>
            </w:r>
            <w:proofErr w:type="gramStart"/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kuras iesaistītas būvniecības procesā</w:t>
            </w:r>
            <w:proofErr w:type="gramEnd"/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Valsts u</w:t>
            </w: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gunsdzēsības un glābšanas dienestu. Tāpat arī ietekmēs būvniecības nozarē strādājošos būvprojekta izstrādātājus.</w:t>
            </w:r>
          </w:p>
        </w:tc>
      </w:tr>
      <w:tr w:rsidR="006541A9" w14:paraId="2053EF8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5B1D6" w14:textId="77777777" w:rsidR="00655F2C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463E4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7EDFF" w14:textId="11D343F9" w:rsidR="00E5323B" w:rsidRDefault="00B7612C" w:rsidP="00FA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Šīs sadaļas 1.</w:t>
            </w:r>
            <w:r w:rsidR="003C37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punktā minētajām sabiedrības mērķgrupām projekta </w:t>
            </w: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tiesiskais regulējums pamatā nemaina tiesības un pienākumus, kā arī veicamās darbības salīdzinājumā ar iepriekšējo regulējumu.</w:t>
            </w:r>
          </w:p>
          <w:p w14:paraId="78BEAFE0" w14:textId="68754044" w:rsidR="00E00F19" w:rsidRPr="00E00F19" w:rsidRDefault="00B7612C" w:rsidP="00E00F1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0F1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Tiesiskais regulējums labvēlīgi ietekmēs ēku būvniecību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jo būs</w:t>
            </w:r>
            <w:r w:rsidRPr="00E00F1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salāgotas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prasības ar ēku ugu</w:t>
            </w:r>
            <w:r w:rsidR="00A041E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nsdrošību un</w:t>
            </w:r>
            <w:r w:rsidRPr="00E00F1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samērīgu investīciju piesaisti.</w:t>
            </w:r>
          </w:p>
          <w:p w14:paraId="26B8F321" w14:textId="466E1F2F" w:rsidR="00E00F19" w:rsidRPr="00913CAE" w:rsidRDefault="00B7612C" w:rsidP="00E00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proofErr w:type="gramStart"/>
            <w:r w:rsidRPr="00E00F1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Novēršot normu interpretāciju</w:t>
            </w:r>
            <w:proofErr w:type="gramEnd"/>
            <w:r w:rsidRPr="00E00F1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administratīvais slogs samazināsies, jo nebūs jāskaņo iespējamās atkāpes būvprojektā gan būvprojekta izstrādātājam, gan institūcijai, kas to pārbauda un saskaņo.</w:t>
            </w:r>
          </w:p>
        </w:tc>
      </w:tr>
      <w:tr w:rsidR="006541A9" w14:paraId="4B1EBAF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93D99" w14:textId="77777777" w:rsidR="00655F2C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D06D4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Administratīvo izmaksu 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BAA3E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="00FA0E66"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rojekts šo jomu neskar</w:t>
            </w:r>
          </w:p>
        </w:tc>
      </w:tr>
      <w:tr w:rsidR="006541A9" w14:paraId="179C70B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7FA55" w14:textId="77777777" w:rsidR="00655F2C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B9633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DFE2A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6541A9" w14:paraId="0EDDE5C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D060D" w14:textId="77777777" w:rsidR="00655F2C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E1E4E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D5A4B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71C51121" w14:textId="77777777" w:rsidR="00E5323B" w:rsidRPr="00913CAE" w:rsidRDefault="00B7612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13C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541A9" w14:paraId="19E956B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F1946" w14:textId="77777777" w:rsidR="00655F2C" w:rsidRPr="00913CAE" w:rsidRDefault="00B7612C" w:rsidP="00F0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6541A9" w14:paraId="144D5F8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F89FC" w14:textId="77777777" w:rsidR="00C30EEE" w:rsidRPr="00913CAE" w:rsidRDefault="00B7612C" w:rsidP="00C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7757068C" w14:textId="77777777" w:rsidR="00E5323B" w:rsidRPr="00913CAE" w:rsidRDefault="00B7612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13C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541A9" w14:paraId="6ED297E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32BC2" w14:textId="77777777" w:rsidR="00655F2C" w:rsidRPr="00913CAE" w:rsidRDefault="00B7612C" w:rsidP="00F0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 xml:space="preserve">IV. </w:t>
            </w: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ietekme uz spēkā esošo tiesību normu sistēmu</w:t>
            </w:r>
          </w:p>
        </w:tc>
      </w:tr>
      <w:tr w:rsidR="006541A9" w14:paraId="2EA33A4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A5E60" w14:textId="77777777" w:rsidR="00C30EEE" w:rsidRPr="00913CAE" w:rsidRDefault="00B7612C" w:rsidP="00C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46FE9DFD" w14:textId="77777777" w:rsidR="00E5323B" w:rsidRPr="00913CAE" w:rsidRDefault="00B7612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13C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541A9" w14:paraId="6058F3A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FCC9A" w14:textId="77777777" w:rsidR="00655F2C" w:rsidRPr="00913CAE" w:rsidRDefault="00B7612C" w:rsidP="00F0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6541A9" w14:paraId="5EC99AF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93BD8" w14:textId="77777777" w:rsidR="00C30EEE" w:rsidRPr="00913CAE" w:rsidRDefault="00B7612C" w:rsidP="00C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774A08B5" w14:textId="2D9E556E" w:rsidR="00E5323B" w:rsidRPr="00913CAE" w:rsidRDefault="00B7612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541A9" w14:paraId="34C086B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CFCF0" w14:textId="77777777" w:rsidR="00655F2C" w:rsidRPr="00913CAE" w:rsidRDefault="00B7612C" w:rsidP="00F0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 xml:space="preserve">VI. Sabiedrības līdzdalība un komunikācijas </w:t>
            </w: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aktivitātes</w:t>
            </w:r>
          </w:p>
        </w:tc>
      </w:tr>
      <w:tr w:rsidR="006541A9" w14:paraId="4BCE23C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BDF62" w14:textId="77777777" w:rsidR="00655F2C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59D73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DB2CD" w14:textId="3930C26A" w:rsidR="00E00F19" w:rsidRPr="00E00F19" w:rsidRDefault="00B7612C" w:rsidP="00E00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projekts sabiedrībai publiski ir pieejams </w:t>
            </w:r>
            <w:r w:rsidR="003C37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kopš 2018. gada 21. aprīļa </w:t>
            </w: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Ekonomikas ministrijas mājās lapā internetā, kā arī pēc izsludināšanas Valsts </w:t>
            </w: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sekretāra sanāksmē būs pieejams Ministru kabineta mājās lapā internetā.</w:t>
            </w:r>
          </w:p>
          <w:p w14:paraId="3F661F5E" w14:textId="200BBA66" w:rsidR="00E5323B" w:rsidRPr="00E00F19" w:rsidRDefault="00B7612C" w:rsidP="00E00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2009.</w:t>
            </w:r>
            <w:r w:rsidR="003C37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25.</w:t>
            </w:r>
            <w:r w:rsidR="003C37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augusta noteikumu Nr.970 „Sabiedrības līdzdalības kārtība attīstības plānošanas procesā” 13.punktā minētās darbības nav jāveic, jo noteikumu projektā p</w:t>
            </w: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aredzētais tiesiskais regulējums pēc būtības nemaina līdzšinējo spēkā esošo regulējumu.</w:t>
            </w:r>
          </w:p>
        </w:tc>
      </w:tr>
      <w:tr w:rsidR="006541A9" w14:paraId="4EC4F25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F5FD6" w14:textId="77777777" w:rsidR="00655F2C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66B7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D4962" w14:textId="645859A3" w:rsidR="00E5323B" w:rsidRPr="00913CAE" w:rsidRDefault="00B7612C" w:rsidP="003C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C37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Sabiedrības pārstāvjiem tika dota iespēja līdzdarboties projekta izstrādē, rakstveidā sniedzot viedokli par noteikumu </w:t>
            </w:r>
            <w:r w:rsidRPr="003C37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projektu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līdz š.g. 7. maijam</w:t>
            </w:r>
            <w:r w:rsidRPr="003C37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6541A9" w14:paraId="210ED45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1E738" w14:textId="77777777" w:rsidR="00655F2C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0339A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84FEC" w14:textId="291BCEF3" w:rsidR="00E5323B" w:rsidRPr="00913CAE" w:rsidRDefault="00B7612C" w:rsidP="00FE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 atsevišķas punktu redakcijas</w:t>
            </w: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apspriest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</w:t>
            </w: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 2017.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17.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E00F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oktobra Latvijas Būvniecības padomē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kura </w:t>
            </w:r>
            <w:r w:rsidR="00FE0CDE" w:rsidRPr="00FE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atbalsta nepieciešamos grozījumus noteikumu projektā.</w:t>
            </w:r>
            <w:r w:rsidRPr="003C37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C376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Citi p</w:t>
            </w:r>
            <w:r w:rsidRPr="003C37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riekšlikumi par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šo </w:t>
            </w:r>
            <w:r w:rsidRPr="003C37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projektu netika saņemti.</w:t>
            </w:r>
          </w:p>
        </w:tc>
      </w:tr>
      <w:tr w:rsidR="006541A9" w14:paraId="5129191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4217C" w14:textId="77777777" w:rsidR="00655F2C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567C4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A9C41" w14:textId="77777777" w:rsidR="00E5323B" w:rsidRPr="00913CAE" w:rsidRDefault="00B7612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30B573E2" w14:textId="1A054330" w:rsidR="00E5323B" w:rsidRDefault="00B7612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13C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541A9" w14:paraId="060E78C8" w14:textId="77777777" w:rsidTr="00C32C4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EE044" w14:textId="77777777" w:rsidR="00FE0CDE" w:rsidRPr="00FE0CDE" w:rsidRDefault="00B7612C" w:rsidP="00F0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FE0CD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6541A9" w14:paraId="6939EF28" w14:textId="77777777" w:rsidTr="00C32C4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C4F98" w14:textId="77777777" w:rsidR="00FE0CDE" w:rsidRPr="00FE0CDE" w:rsidRDefault="00B7612C" w:rsidP="00FE0C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66A3D" w14:textId="77777777" w:rsidR="00FE0CDE" w:rsidRPr="00FE0CDE" w:rsidRDefault="00B7612C" w:rsidP="00FE0C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66EE9" w14:textId="32B902CB" w:rsidR="00FE0CDE" w:rsidRPr="00FE0CDE" w:rsidRDefault="00B7612C" w:rsidP="00FE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FE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Pašvaldības būvvaldes un institūcijas, kas </w:t>
            </w:r>
            <w:r w:rsidRPr="00FE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kontrolē būvniecības procesu, Valsts ugunsdzēsības un glābšanas dienests.</w:t>
            </w:r>
          </w:p>
        </w:tc>
      </w:tr>
      <w:tr w:rsidR="006541A9" w14:paraId="2A4B3E8F" w14:textId="77777777" w:rsidTr="00C32C4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8BDF3" w14:textId="77777777" w:rsidR="00FE0CDE" w:rsidRPr="00FE0CDE" w:rsidRDefault="00B7612C" w:rsidP="00FE0C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C0D1C" w14:textId="77777777" w:rsidR="00FE0CDE" w:rsidRPr="00FE0CDE" w:rsidRDefault="00B7612C" w:rsidP="00FE0C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FE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 xml:space="preserve">Jaunu institūciju izveide, esošu institūciju likvidācija vai reorganizācija, to ietekme </w:t>
            </w:r>
            <w:r w:rsidRPr="00FE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uz </w:t>
            </w:r>
            <w:r w:rsidRPr="00FE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FD27F" w14:textId="31CD9C27" w:rsidR="00FE0CDE" w:rsidRPr="00FE0CDE" w:rsidRDefault="00B7612C" w:rsidP="00FE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FE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lastRenderedPageBreak/>
              <w:t>Jaunas institūcijas netiks veidotas</w:t>
            </w:r>
            <w:proofErr w:type="gramStart"/>
            <w:r w:rsidRPr="00FE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un</w:t>
            </w:r>
            <w:proofErr w:type="gramEnd"/>
            <w:r w:rsidRPr="00FE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nav nepieciešams likvidēt vai reorganizēt esošās institūcijas. Līdz ar to noteikumu projekta izpilde neietekmēs institūciju cilvēkresursus.</w:t>
            </w:r>
          </w:p>
        </w:tc>
      </w:tr>
      <w:tr w:rsidR="006541A9" w14:paraId="41C1BF83" w14:textId="77777777" w:rsidTr="00C32C4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BC77F" w14:textId="77777777" w:rsidR="00FE0CDE" w:rsidRPr="00FE0CDE" w:rsidRDefault="00B7612C" w:rsidP="00FE0C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11AEC" w14:textId="77777777" w:rsidR="00FE0CDE" w:rsidRPr="00FE0CDE" w:rsidRDefault="00B7612C" w:rsidP="00FE0C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283A8" w14:textId="2FFCB2DB" w:rsidR="00FE0CDE" w:rsidRPr="00FE0CDE" w:rsidRDefault="00B7612C" w:rsidP="00FE0C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56EF4487" w14:textId="44CE3E7D" w:rsidR="00FE0CDE" w:rsidRDefault="00FE0CD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628ADC5E" w14:textId="77777777" w:rsidR="00E5323B" w:rsidRPr="00913CAE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4E4AF" w14:textId="77777777" w:rsidR="00D94317" w:rsidRPr="00913CAE" w:rsidRDefault="00B7612C" w:rsidP="00D943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AE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7C35BB94" w14:textId="4B94E70D" w:rsidR="00894C55" w:rsidRDefault="00B7612C" w:rsidP="00D943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AE">
        <w:rPr>
          <w:rFonts w:ascii="Times New Roman" w:hAnsi="Times New Roman" w:cs="Times New Roman"/>
          <w:sz w:val="28"/>
          <w:szCs w:val="28"/>
        </w:rPr>
        <w:t>ekonomikas ministrs</w:t>
      </w:r>
      <w:r w:rsidRPr="00913CAE">
        <w:rPr>
          <w:rFonts w:ascii="Times New Roman" w:hAnsi="Times New Roman" w:cs="Times New Roman"/>
          <w:sz w:val="28"/>
          <w:szCs w:val="28"/>
        </w:rPr>
        <w:tab/>
      </w:r>
      <w:r w:rsidRPr="00913CAE">
        <w:rPr>
          <w:rFonts w:ascii="Times New Roman" w:hAnsi="Times New Roman" w:cs="Times New Roman"/>
          <w:sz w:val="28"/>
          <w:szCs w:val="28"/>
        </w:rPr>
        <w:tab/>
      </w:r>
      <w:r w:rsidR="00FE0C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E0CDE">
        <w:rPr>
          <w:rFonts w:ascii="Times New Roman" w:hAnsi="Times New Roman" w:cs="Times New Roman"/>
          <w:sz w:val="28"/>
          <w:szCs w:val="28"/>
        </w:rPr>
        <w:t>A.</w:t>
      </w:r>
      <w:r w:rsidRPr="00913CAE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p w14:paraId="2A70CDAB" w14:textId="4F905FC3" w:rsidR="00F96436" w:rsidRDefault="00F96436" w:rsidP="00D943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06F9A" w14:textId="77777777" w:rsidR="00F96436" w:rsidRPr="002122F0" w:rsidRDefault="00F96436" w:rsidP="00F96436">
      <w:pPr>
        <w:tabs>
          <w:tab w:val="left" w:pos="709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6498C" w14:textId="77777777" w:rsidR="00F96436" w:rsidRPr="002122F0" w:rsidRDefault="00B7612C" w:rsidP="00F96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22F0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13608190" w14:textId="77777777" w:rsidR="00F96436" w:rsidRPr="002122F0" w:rsidRDefault="00B7612C" w:rsidP="00F96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22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prezidenta biedrs, </w:t>
      </w:r>
    </w:p>
    <w:p w14:paraId="785734F8" w14:textId="6D82660A" w:rsidR="00F96436" w:rsidRPr="002122F0" w:rsidRDefault="00B7612C" w:rsidP="00F96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22F0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2122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22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22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22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22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22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22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122F0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  <w:proofErr w:type="spellEnd"/>
    </w:p>
    <w:p w14:paraId="44980F1F" w14:textId="30CAD25E" w:rsidR="00F96436" w:rsidRDefault="00F96436" w:rsidP="00F9643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F52335" w14:textId="77777777" w:rsidR="008A72BB" w:rsidRPr="002122F0" w:rsidRDefault="008A72BB" w:rsidP="00F9643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88EA03" w14:textId="77777777" w:rsidR="00F96436" w:rsidRPr="002122F0" w:rsidRDefault="00B7612C" w:rsidP="00F9643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22F0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70B6A125" w14:textId="69D95856" w:rsidR="00F96436" w:rsidRPr="003C376C" w:rsidRDefault="00B7612C" w:rsidP="003C37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Ē</w:t>
      </w:r>
      <w:r w:rsidRPr="002122F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Eglītis</w:t>
      </w:r>
    </w:p>
    <w:p w14:paraId="346A0AD6" w14:textId="77777777" w:rsidR="00894C55" w:rsidRPr="00913CAE" w:rsidRDefault="00894C55" w:rsidP="003C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E8723" w14:textId="3F3C01A4" w:rsidR="00C30EEE" w:rsidRDefault="00C30EEE" w:rsidP="0063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7B7E8" w14:textId="77777777" w:rsidR="00AB540D" w:rsidRPr="00913CAE" w:rsidRDefault="00AB540D" w:rsidP="0063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329ED" w14:textId="1E791643" w:rsidR="00D94317" w:rsidRPr="00E00F19" w:rsidRDefault="00B7612C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E00F19">
        <w:rPr>
          <w:rFonts w:ascii="Times New Roman" w:hAnsi="Times New Roman" w:cs="Times New Roman"/>
        </w:rPr>
        <w:t>Avota 67013262</w:t>
      </w:r>
    </w:p>
    <w:p w14:paraId="136C2545" w14:textId="3559F1AB" w:rsidR="00894C55" w:rsidRPr="00E00F19" w:rsidRDefault="00B7612C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E00F19">
        <w:rPr>
          <w:rFonts w:ascii="Times New Roman" w:hAnsi="Times New Roman" w:cs="Times New Roman"/>
        </w:rPr>
        <w:t>Evija.Avota@</w:t>
      </w:r>
      <w:r w:rsidR="00D94317" w:rsidRPr="00E00F19">
        <w:rPr>
          <w:rFonts w:ascii="Times New Roman" w:hAnsi="Times New Roman" w:cs="Times New Roman"/>
        </w:rPr>
        <w:t>em</w:t>
      </w:r>
      <w:r w:rsidRPr="00E00F19">
        <w:rPr>
          <w:rFonts w:ascii="Times New Roman" w:hAnsi="Times New Roman" w:cs="Times New Roman"/>
        </w:rPr>
        <w:t>.gov.lv</w:t>
      </w:r>
    </w:p>
    <w:sectPr w:rsidR="00894C55" w:rsidRPr="00E00F19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D2049" w14:textId="77777777" w:rsidR="00B7612C" w:rsidRDefault="00B7612C">
      <w:pPr>
        <w:spacing w:after="0" w:line="240" w:lineRule="auto"/>
      </w:pPr>
      <w:r>
        <w:separator/>
      </w:r>
    </w:p>
  </w:endnote>
  <w:endnote w:type="continuationSeparator" w:id="0">
    <w:p w14:paraId="6493F4B0" w14:textId="77777777" w:rsidR="00B7612C" w:rsidRDefault="00B7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5CE2" w14:textId="2FAF4DC7" w:rsidR="00894C55" w:rsidRPr="00894C55" w:rsidRDefault="00B7612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C669" w14:textId="076FB1A8" w:rsidR="009A2654" w:rsidRPr="009C32E5" w:rsidRDefault="00B7612C" w:rsidP="009C32E5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1325C" w14:textId="77777777" w:rsidR="00B7612C" w:rsidRDefault="00B7612C">
      <w:pPr>
        <w:spacing w:after="0" w:line="240" w:lineRule="auto"/>
      </w:pPr>
      <w:r>
        <w:separator/>
      </w:r>
    </w:p>
  </w:footnote>
  <w:footnote w:type="continuationSeparator" w:id="0">
    <w:p w14:paraId="510A0A3D" w14:textId="77777777" w:rsidR="00B7612C" w:rsidRDefault="00B7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7683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0C867A" w14:textId="42F199F2" w:rsidR="00532D5C" w:rsidRDefault="00B761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2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8FBF26" w14:textId="77777777" w:rsidR="00894C55" w:rsidRPr="00C25B49" w:rsidRDefault="00894C55">
    <w:pPr>
      <w:pStyle w:val="Header"/>
      <w:jc w:val="center"/>
      <w:rPr>
        <w:rFonts w:ascii="Times New Roman" w:hAnsi="Times New Roman" w:cs="Times New Roman"/>
        <w:sz w:val="2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56CF5"/>
    <w:rsid w:val="000C293F"/>
    <w:rsid w:val="0012316F"/>
    <w:rsid w:val="001B0D78"/>
    <w:rsid w:val="001C0E7F"/>
    <w:rsid w:val="002122F0"/>
    <w:rsid w:val="00227AFF"/>
    <w:rsid w:val="00242863"/>
    <w:rsid w:val="00243426"/>
    <w:rsid w:val="00262BD9"/>
    <w:rsid w:val="002A2045"/>
    <w:rsid w:val="002C0A04"/>
    <w:rsid w:val="002E0713"/>
    <w:rsid w:val="002E1C05"/>
    <w:rsid w:val="002E2C0C"/>
    <w:rsid w:val="003A3648"/>
    <w:rsid w:val="003B0BF9"/>
    <w:rsid w:val="003C376C"/>
    <w:rsid w:val="003E0791"/>
    <w:rsid w:val="003F28AC"/>
    <w:rsid w:val="00406BD9"/>
    <w:rsid w:val="004454FE"/>
    <w:rsid w:val="00456E40"/>
    <w:rsid w:val="00471F27"/>
    <w:rsid w:val="004C757D"/>
    <w:rsid w:val="004D27A1"/>
    <w:rsid w:val="004D78DD"/>
    <w:rsid w:val="0050178F"/>
    <w:rsid w:val="00532D5C"/>
    <w:rsid w:val="005478FD"/>
    <w:rsid w:val="00565CB8"/>
    <w:rsid w:val="005817C2"/>
    <w:rsid w:val="005E5B94"/>
    <w:rsid w:val="00606736"/>
    <w:rsid w:val="006149CB"/>
    <w:rsid w:val="00632C77"/>
    <w:rsid w:val="006541A9"/>
    <w:rsid w:val="00655F2C"/>
    <w:rsid w:val="00684AB1"/>
    <w:rsid w:val="006A7FC6"/>
    <w:rsid w:val="006E1081"/>
    <w:rsid w:val="00720585"/>
    <w:rsid w:val="00773AF6"/>
    <w:rsid w:val="00795F71"/>
    <w:rsid w:val="007D098C"/>
    <w:rsid w:val="007E5F7A"/>
    <w:rsid w:val="007E73AB"/>
    <w:rsid w:val="0081637D"/>
    <w:rsid w:val="00816C11"/>
    <w:rsid w:val="00894C55"/>
    <w:rsid w:val="008A0139"/>
    <w:rsid w:val="008A72BB"/>
    <w:rsid w:val="008C14EE"/>
    <w:rsid w:val="008F610A"/>
    <w:rsid w:val="00913CAE"/>
    <w:rsid w:val="00970676"/>
    <w:rsid w:val="009748BC"/>
    <w:rsid w:val="0098146A"/>
    <w:rsid w:val="009A2654"/>
    <w:rsid w:val="009C32E5"/>
    <w:rsid w:val="009E2CFF"/>
    <w:rsid w:val="009F6F2A"/>
    <w:rsid w:val="009F70AB"/>
    <w:rsid w:val="00A041EB"/>
    <w:rsid w:val="00A10FC3"/>
    <w:rsid w:val="00A6073E"/>
    <w:rsid w:val="00AB540D"/>
    <w:rsid w:val="00AC7F0A"/>
    <w:rsid w:val="00AE2A13"/>
    <w:rsid w:val="00AE5567"/>
    <w:rsid w:val="00AF1239"/>
    <w:rsid w:val="00B16480"/>
    <w:rsid w:val="00B2165C"/>
    <w:rsid w:val="00B2518A"/>
    <w:rsid w:val="00B37B21"/>
    <w:rsid w:val="00B60968"/>
    <w:rsid w:val="00B7612C"/>
    <w:rsid w:val="00BA20AA"/>
    <w:rsid w:val="00BD4425"/>
    <w:rsid w:val="00BD79CB"/>
    <w:rsid w:val="00C07C63"/>
    <w:rsid w:val="00C25B49"/>
    <w:rsid w:val="00C30EEE"/>
    <w:rsid w:val="00C504C4"/>
    <w:rsid w:val="00C610A1"/>
    <w:rsid w:val="00C64532"/>
    <w:rsid w:val="00C779B9"/>
    <w:rsid w:val="00CC0D2D"/>
    <w:rsid w:val="00CD62DF"/>
    <w:rsid w:val="00CE5657"/>
    <w:rsid w:val="00D133F8"/>
    <w:rsid w:val="00D14A3E"/>
    <w:rsid w:val="00D36666"/>
    <w:rsid w:val="00D73A4E"/>
    <w:rsid w:val="00D94317"/>
    <w:rsid w:val="00DF2E1A"/>
    <w:rsid w:val="00E00F19"/>
    <w:rsid w:val="00E10DD1"/>
    <w:rsid w:val="00E275FA"/>
    <w:rsid w:val="00E3716B"/>
    <w:rsid w:val="00E44A74"/>
    <w:rsid w:val="00E5323B"/>
    <w:rsid w:val="00E642CB"/>
    <w:rsid w:val="00E647FC"/>
    <w:rsid w:val="00E70F9F"/>
    <w:rsid w:val="00E8749E"/>
    <w:rsid w:val="00E90C01"/>
    <w:rsid w:val="00EA486E"/>
    <w:rsid w:val="00ED6B13"/>
    <w:rsid w:val="00F05C29"/>
    <w:rsid w:val="00F57B0C"/>
    <w:rsid w:val="00F81F0C"/>
    <w:rsid w:val="00F96436"/>
    <w:rsid w:val="00FA0E66"/>
    <w:rsid w:val="00FB2BF9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0772C-15E4-4E8D-8D87-ADA7A68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9C32E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C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43174-8D16-4CAC-924A-41F1096C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4706</Words>
  <Characters>2683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Jekaterina Borovika</cp:lastModifiedBy>
  <cp:revision>2</cp:revision>
  <dcterms:created xsi:type="dcterms:W3CDTF">2018-05-29T10:25:00Z</dcterms:created>
  <dcterms:modified xsi:type="dcterms:W3CDTF">2018-05-29T10:25:00Z</dcterms:modified>
</cp:coreProperties>
</file>