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B64351" w:rsidRDefault="00B64351" w:rsidP="008924F4">
      <w:pPr>
        <w:shd w:val="clear" w:color="auto" w:fill="FFFFFF"/>
        <w:jc w:val="center"/>
        <w:rPr>
          <w:b/>
          <w:bCs/>
          <w:sz w:val="28"/>
          <w:szCs w:val="28"/>
        </w:rPr>
      </w:pPr>
      <w:r w:rsidRPr="00B64351">
        <w:rPr>
          <w:b/>
          <w:bCs/>
          <w:sz w:val="28"/>
          <w:szCs w:val="28"/>
        </w:rPr>
        <w:t xml:space="preserve">“Par </w:t>
      </w:r>
      <w:r w:rsidR="00087690">
        <w:rPr>
          <w:b/>
          <w:bCs/>
          <w:sz w:val="28"/>
          <w:szCs w:val="28"/>
        </w:rPr>
        <w:t xml:space="preserve">Valsts robežsardzes </w:t>
      </w:r>
      <w:r w:rsidRPr="00B64351">
        <w:rPr>
          <w:b/>
          <w:bCs/>
          <w:sz w:val="28"/>
          <w:szCs w:val="28"/>
        </w:rPr>
        <w:t>amatperson</w:t>
      </w:r>
      <w:r w:rsidR="00982638">
        <w:rPr>
          <w:b/>
          <w:bCs/>
          <w:sz w:val="28"/>
          <w:szCs w:val="28"/>
        </w:rPr>
        <w:t>as</w:t>
      </w:r>
      <w:r w:rsidRPr="00B64351">
        <w:rPr>
          <w:b/>
          <w:bCs/>
          <w:sz w:val="28"/>
          <w:szCs w:val="28"/>
        </w:rPr>
        <w:t xml:space="preserve"> ar speciāl</w:t>
      </w:r>
      <w:r w:rsidR="00982638">
        <w:rPr>
          <w:b/>
          <w:bCs/>
          <w:sz w:val="28"/>
          <w:szCs w:val="28"/>
        </w:rPr>
        <w:t>o</w:t>
      </w:r>
      <w:r w:rsidR="00087690">
        <w:rPr>
          <w:b/>
          <w:bCs/>
          <w:sz w:val="28"/>
          <w:szCs w:val="28"/>
        </w:rPr>
        <w:t xml:space="preserve"> dienesta pakāp</w:t>
      </w:r>
      <w:r w:rsidR="00982638">
        <w:rPr>
          <w:b/>
          <w:bCs/>
          <w:sz w:val="28"/>
          <w:szCs w:val="28"/>
        </w:rPr>
        <w:t>i</w:t>
      </w:r>
      <w:r w:rsidRPr="00B64351">
        <w:rPr>
          <w:b/>
          <w:bCs/>
          <w:sz w:val="28"/>
          <w:szCs w:val="28"/>
        </w:rPr>
        <w:t xml:space="preserve"> dalīb</w:t>
      </w:r>
      <w:r w:rsidR="00982638">
        <w:rPr>
          <w:b/>
          <w:bCs/>
          <w:sz w:val="28"/>
          <w:szCs w:val="28"/>
        </w:rPr>
        <w:t>as laika pagarināšanu</w:t>
      </w:r>
      <w:r w:rsidRPr="00B64351">
        <w:rPr>
          <w:b/>
          <w:bCs/>
          <w:sz w:val="28"/>
          <w:szCs w:val="28"/>
        </w:rPr>
        <w:t xml:space="preserve"> 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00982638" w:rsidRPr="00982638">
              <w:t xml:space="preserve">“Par Valsts robežsardzes amatpersonas ar speciālo dienesta pakāpi dalības laika pagarināšanu Eiropas Savienības novērošanas misijā Gruzijā (EUMM Georgia) un finanšu līdzekļu piešķiršanu no valsts budžeta programmas “Līdzekļi neparedzētiem gadījumiem”” </w:t>
            </w:r>
            <w:r>
              <w:t>(turpmāk –</w:t>
            </w:r>
            <w:r w:rsidR="008177B0">
              <w:t xml:space="preserve"> </w:t>
            </w:r>
            <w:r>
              <w:t xml:space="preserve">projekts) </w:t>
            </w:r>
            <w:r w:rsidR="00B64351">
              <w:t>sagatavots, pamatojoties uz:</w:t>
            </w:r>
          </w:p>
          <w:p w:rsidR="00B64351" w:rsidRDefault="00B64351" w:rsidP="00B64351">
            <w:pPr>
              <w:pStyle w:val="naiskr"/>
              <w:spacing w:before="0" w:after="0"/>
              <w:ind w:left="436" w:hanging="284"/>
              <w:jc w:val="both"/>
            </w:pPr>
            <w:r>
              <w:t>1.</w:t>
            </w:r>
            <w:r>
              <w:tab/>
              <w:t xml:space="preserve">Ministru kabineta </w:t>
            </w:r>
            <w:r w:rsidRPr="0014102F">
              <w:t xml:space="preserve">2016. gada 3. maija </w:t>
            </w:r>
            <w:r>
              <w:t>rīkojuma Nr. 275 “Par Valdības rīcības plānu Deklarācijas par Māra Kučinska vadītā Ministru kabineta iecerēto darbību īstenošanai” apstiprinātā Valdības rīcības plāna 59.1. apakšpunktu: “</w:t>
            </w:r>
            <w:r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t>,</w:t>
            </w:r>
            <w:r w:rsidRPr="003E3FD0">
              <w:t xml:space="preserve"> t.sk. ES-NATO un ES-ASV sadarbības stiprināšanu; dalībvalstu un partneru noturības veicināšanu pret jaunajiem drošības izaicin</w:t>
            </w:r>
            <w:r>
              <w:t xml:space="preserve">ājumiem, tostarp </w:t>
            </w:r>
            <w:proofErr w:type="spellStart"/>
            <w:r>
              <w:t>hibrīddraudiem</w:t>
            </w:r>
            <w:proofErr w:type="spellEnd"/>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 xml:space="preserve">nolemto </w:t>
            </w:r>
            <w:proofErr w:type="gramStart"/>
            <w:r w:rsidR="00234B88">
              <w:t>(</w:t>
            </w:r>
            <w:proofErr w:type="gramEnd"/>
            <w:r w:rsidR="00234B88">
              <w:t>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B64351">
            <w:pPr>
              <w:pStyle w:val="naiskr"/>
              <w:spacing w:before="0" w:after="0"/>
              <w:ind w:left="436" w:hanging="284"/>
              <w:jc w:val="both"/>
            </w:pPr>
            <w:r>
              <w:lastRenderedPageBreak/>
              <w:t>3</w:t>
            </w:r>
            <w:r w:rsidR="00B64351">
              <w:t>.</w:t>
            </w:r>
            <w:r w:rsidR="00B64351">
              <w:tab/>
              <w:t xml:space="preserve">Eiropas Ārējās darbības dienesta </w:t>
            </w:r>
            <w:r w:rsidR="00982638">
              <w:t>Civilo operāciju komandiera 2018</w:t>
            </w:r>
            <w:r w:rsidR="00B64351">
              <w:t xml:space="preserve">. gada </w:t>
            </w:r>
            <w:r w:rsidR="00982638">
              <w:t>10</w:t>
            </w:r>
            <w:r w:rsidR="00B64351">
              <w:t xml:space="preserve">. </w:t>
            </w:r>
            <w:r w:rsidR="00982638">
              <w:t>janvāra</w:t>
            </w:r>
            <w:r w:rsidR="00B64351">
              <w:t xml:space="preserve"> vēstuli</w:t>
            </w:r>
            <w:r w:rsidR="00982638">
              <w:t xml:space="preserve"> ar lūgumu pagarināt</w:t>
            </w:r>
            <w:r w:rsidR="00B64351">
              <w:t xml:space="preserve"> </w:t>
            </w:r>
            <w:r w:rsidR="00982638">
              <w:t>V.Ignatjevam dalības laiku</w:t>
            </w:r>
            <w:r w:rsidR="00B64351">
              <w:t xml:space="preserve"> </w:t>
            </w:r>
            <w:r w:rsidR="00B64351" w:rsidRPr="003E3FD0">
              <w:rPr>
                <w:i/>
              </w:rPr>
              <w:t>EUMM Georgia</w:t>
            </w:r>
            <w:r w:rsidR="00B64351">
              <w:t xml:space="preserve"> </w:t>
            </w:r>
            <w:r w:rsidR="00982638">
              <w:t>līdz 2019. gada 1. jūlijam</w:t>
            </w:r>
            <w:r w:rsidR="00B64351">
              <w:t>;</w:t>
            </w:r>
          </w:p>
          <w:p w:rsidR="00E72817" w:rsidRDefault="00E72817" w:rsidP="00B64351">
            <w:pPr>
              <w:pStyle w:val="naiskr"/>
              <w:spacing w:before="0" w:after="0"/>
              <w:ind w:left="436" w:hanging="284"/>
              <w:jc w:val="both"/>
            </w:pPr>
            <w:r>
              <w:t xml:space="preserve">5. </w:t>
            </w:r>
            <w:r w:rsidRPr="00E72817">
              <w:rPr>
                <w:color w:val="000000"/>
              </w:rPr>
              <w:t>Robežsardzes likuma 5.</w:t>
            </w:r>
            <w:r w:rsidRPr="00E72817">
              <w:rPr>
                <w:color w:val="000000"/>
                <w:vertAlign w:val="superscript"/>
              </w:rPr>
              <w:t>1</w:t>
            </w:r>
            <w:r w:rsidRPr="00E72817">
              <w:rPr>
                <w:color w:val="000000"/>
              </w:rPr>
              <w:t xml:space="preserve"> panta otro daļu</w:t>
            </w:r>
            <w:r>
              <w:rPr>
                <w:color w:val="000000"/>
              </w:rPr>
              <w:t>;</w:t>
            </w:r>
            <w:r>
              <w:t xml:space="preserve"> </w:t>
            </w:r>
          </w:p>
          <w:p w:rsidR="00015D6F" w:rsidRDefault="00E72817" w:rsidP="00B64351">
            <w:pPr>
              <w:pStyle w:val="naiskr"/>
              <w:spacing w:before="0" w:after="0"/>
              <w:ind w:left="436" w:hanging="284"/>
              <w:jc w:val="both"/>
            </w:pPr>
            <w:r>
              <w:t>6</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E72817" w:rsidP="00B64351">
            <w:pPr>
              <w:pStyle w:val="naiskr"/>
              <w:spacing w:before="0" w:after="0"/>
              <w:ind w:left="436" w:hanging="284"/>
              <w:jc w:val="both"/>
            </w:pPr>
            <w:r>
              <w:t>7</w:t>
            </w:r>
            <w:r w:rsidR="00B64351">
              <w:t>.</w:t>
            </w:r>
            <w:r w:rsidR="00B64351">
              <w:tab/>
            </w:r>
            <w:r w:rsidR="00B64351" w:rsidRPr="0014102F">
              <w:t xml:space="preserve">Ministru kabineta </w:t>
            </w:r>
            <w:r w:rsidR="00B64351">
              <w:t>2009. gada 22. decembra noteikumu Nr. 1644 “Kārtība, kādā pieprasa un izlieto budžeta programmas “Līdzekļi neparedzētiem gadījumiem” līdzekļus” 3. punktu.</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234B88" w:rsidRDefault="00234B88" w:rsidP="00234B88">
            <w:pPr>
              <w:pStyle w:val="naiskr"/>
              <w:spacing w:before="0" w:after="0"/>
              <w:jc w:val="both"/>
            </w:pPr>
            <w:r w:rsidRPr="00AF0346">
              <w:t xml:space="preserve">Eiropas Ārējās darbības dienesta </w:t>
            </w:r>
            <w:r w:rsidR="00EE5623">
              <w:t>Civilo oper</w:t>
            </w:r>
            <w:r w:rsidR="00982638">
              <w:t>āciju komandiera 2018</w:t>
            </w:r>
            <w:r w:rsidRPr="00AF0346">
              <w:t xml:space="preserve">. gada </w:t>
            </w:r>
            <w:r w:rsidR="00982638">
              <w:t>10</w:t>
            </w:r>
            <w:r w:rsidRPr="00AF0346">
              <w:t xml:space="preserve">. </w:t>
            </w:r>
            <w:r w:rsidR="00982638">
              <w:t>janvāra</w:t>
            </w:r>
            <w:r w:rsidRPr="00AF0346">
              <w:t xml:space="preserve"> vēstulē </w:t>
            </w:r>
            <w:r w:rsidR="00982638">
              <w:t xml:space="preserve">izteikts lūgums pagarināt V.Ignatjevam dalības laiku </w:t>
            </w:r>
            <w:r w:rsidR="00982638">
              <w:rPr>
                <w:i/>
              </w:rPr>
              <w:t>EUMM Georgia</w:t>
            </w:r>
            <w:r w:rsidR="00982638">
              <w:t xml:space="preserve"> līdz 2019. gada 1. jūlijam</w:t>
            </w:r>
            <w:r w:rsidR="006512C5">
              <w:t>.</w:t>
            </w:r>
          </w:p>
          <w:p w:rsidR="002C0679" w:rsidRDefault="00234B88" w:rsidP="00CA79A6">
            <w:pPr>
              <w:pStyle w:val="naiskr"/>
              <w:spacing w:before="0" w:after="0"/>
              <w:jc w:val="both"/>
            </w:pPr>
            <w:r w:rsidRPr="00AF0346">
              <w:t>Sav</w:t>
            </w:r>
            <w:r w:rsidR="00982638">
              <w:t>ā</w:t>
            </w:r>
            <w:r w:rsidRPr="00AF0346">
              <w:t xml:space="preserve"> diene</w:t>
            </w:r>
            <w:r>
              <w:t>sta ziņojum</w:t>
            </w:r>
            <w:r w:rsidR="00982638">
              <w:t>ā</w:t>
            </w:r>
            <w:r>
              <w:t xml:space="preserve"> </w:t>
            </w:r>
            <w:r w:rsidR="00982638">
              <w:t>V.Ignatjevs</w:t>
            </w:r>
            <w:r>
              <w:t xml:space="preserve"> </w:t>
            </w:r>
            <w:r w:rsidR="006512C5">
              <w:t>piekrita</w:t>
            </w:r>
            <w:r w:rsidRPr="00AF0346">
              <w:t xml:space="preserve"> dalība</w:t>
            </w:r>
            <w:r w:rsidR="00982638">
              <w:t>s laika pagarināšanai</w:t>
            </w:r>
            <w:r w:rsidRPr="00AF0346">
              <w:t xml:space="preserve"> </w:t>
            </w:r>
            <w:r w:rsidR="006512C5" w:rsidRPr="006512C5">
              <w:rPr>
                <w:i/>
              </w:rPr>
              <w:t>EUMM Georgia</w:t>
            </w:r>
            <w:r w:rsidR="006512C5">
              <w:t xml:space="preserve"> </w:t>
            </w:r>
            <w:r w:rsidR="00982638">
              <w:t>līdz 2019. gada 30. jūnijam</w:t>
            </w:r>
            <w:r w:rsidRPr="00AF0346">
              <w:t>.</w:t>
            </w:r>
          </w:p>
          <w:p w:rsidR="002C0679" w:rsidRDefault="002C0679" w:rsidP="002C0679">
            <w:pPr>
              <w:jc w:val="both"/>
            </w:pPr>
            <w:r>
              <w:t>Ievērojot, ka minēt</w:t>
            </w:r>
            <w:r w:rsidR="00982638">
              <w:t>ās</w:t>
            </w:r>
            <w:r>
              <w:t xml:space="preserve"> amatperson</w:t>
            </w:r>
            <w:r w:rsidR="00982638">
              <w:t>as</w:t>
            </w:r>
            <w:r>
              <w:t xml:space="preserve"> dalība misijā turpināsies arī 2019. gadā un to, ka:</w:t>
            </w:r>
          </w:p>
          <w:p w:rsidR="002C0679" w:rsidRDefault="002C0679" w:rsidP="00015D6F">
            <w:pPr>
              <w:jc w:val="both"/>
            </w:pPr>
            <w:r>
              <w:t>- finansējuma apmērs 2019. gadam ir zināms;</w:t>
            </w:r>
          </w:p>
          <w:p w:rsidR="002C0679" w:rsidRDefault="002C0679" w:rsidP="002C0679">
            <w:pPr>
              <w:jc w:val="both"/>
            </w:pPr>
            <w:r>
              <w:t>- ja finansējuma apmērs ir zināms, to ir iespējams paredzēt</w:t>
            </w:r>
            <w:proofErr w:type="gramStart"/>
            <w:r>
              <w:t xml:space="preserve">  </w:t>
            </w:r>
            <w:proofErr w:type="gramEnd"/>
            <w:r>
              <w:t>attiecīgā gada budžeta likumprojektā, negatavojot atsevišķu rīkojuma projektu “Par finanšu līdzekļu piešķiršanu no valsts budžeta programmas “</w:t>
            </w:r>
            <w:r w:rsidRPr="00F00A2E">
              <w:t>Līdzekļi neparedzētiem gadījumiem”</w:t>
            </w:r>
            <w:r w:rsidR="008177B0">
              <w:t>”</w:t>
            </w:r>
            <w:r>
              <w:t>, projekts paredz:</w:t>
            </w:r>
          </w:p>
          <w:p w:rsidR="002C0679" w:rsidRDefault="002C0679" w:rsidP="002C0679">
            <w:pPr>
              <w:jc w:val="both"/>
            </w:pPr>
            <w:r>
              <w:t xml:space="preserve">1. </w:t>
            </w:r>
            <w:r w:rsidR="00982638">
              <w:t xml:space="preserve">pagarināt dalības laiku </w:t>
            </w:r>
            <w:r w:rsidR="00982638">
              <w:rPr>
                <w:i/>
              </w:rPr>
              <w:t>EUMM Georgia</w:t>
            </w:r>
            <w:r>
              <w:t xml:space="preserve"> Valsts </w:t>
            </w:r>
            <w:r w:rsidR="006512C5">
              <w:t>robežsardzes</w:t>
            </w:r>
            <w:r>
              <w:t xml:space="preserve"> amatperson</w:t>
            </w:r>
            <w:r w:rsidR="00982638">
              <w:t>ai</w:t>
            </w:r>
            <w:r>
              <w:t xml:space="preserve"> ar speciālo dienesta pakāpi līdz 2019. gada </w:t>
            </w:r>
            <w:r w:rsidR="00982638">
              <w:t>30</w:t>
            </w:r>
            <w:r>
              <w:t xml:space="preserve">. </w:t>
            </w:r>
            <w:r w:rsidR="00982638">
              <w:t>jūnijam</w:t>
            </w:r>
            <w:r>
              <w:t>;</w:t>
            </w:r>
          </w:p>
          <w:p w:rsidR="002C0679" w:rsidRDefault="00982638" w:rsidP="002C0679">
            <w:pPr>
              <w:jc w:val="both"/>
            </w:pPr>
            <w:r>
              <w:t>2</w:t>
            </w:r>
            <w:r w:rsidR="00654309">
              <w:t>. l</w:t>
            </w:r>
            <w:r w:rsidR="002C0679">
              <w:t>ai nodrošinātu minēt</w:t>
            </w:r>
            <w:r>
              <w:t>ās</w:t>
            </w:r>
            <w:r w:rsidR="002C0679">
              <w:t xml:space="preserve"> amatperson</w:t>
            </w:r>
            <w:r>
              <w:t>as</w:t>
            </w:r>
            <w:r w:rsidR="002C0679">
              <w:t xml:space="preserve"> uzturēšanas izdevumus misijā, </w:t>
            </w:r>
            <w:r w:rsidR="008177B0">
              <w:t>p</w:t>
            </w:r>
            <w:r w:rsidR="002C0679">
              <w:t>rojekts paredz Finanšu ministrijai:</w:t>
            </w:r>
          </w:p>
          <w:p w:rsidR="002C0679" w:rsidRDefault="00EB092D" w:rsidP="002C0679">
            <w:pPr>
              <w:jc w:val="both"/>
              <w:rPr>
                <w:iCs/>
                <w:color w:val="000000"/>
              </w:rPr>
            </w:pPr>
            <w:r>
              <w:t>2</w:t>
            </w:r>
            <w:r w:rsidR="002C0679">
              <w:t xml:space="preserve">.1. </w:t>
            </w:r>
            <w:r w:rsidRPr="00EB092D">
              <w:rPr>
                <w:iCs/>
                <w:color w:val="000000"/>
              </w:rPr>
              <w:t xml:space="preserve">no valsts budžeta programmas </w:t>
            </w:r>
            <w:proofErr w:type="gramStart"/>
            <w:r w:rsidRPr="00EB092D">
              <w:rPr>
                <w:iCs/>
                <w:color w:val="000000"/>
              </w:rPr>
              <w:t>02.00.00 “Līdzekļi neparedzētiem gadījumiem”</w:t>
            </w:r>
            <w:proofErr w:type="gramEnd"/>
            <w:r w:rsidRPr="00EB092D">
              <w:rPr>
                <w:iCs/>
                <w:color w:val="000000"/>
              </w:rPr>
              <w:t xml:space="preserve"> piešķirt Iekšlietu ministrijai (Valsts robežsardzei) 2018. gadā 23 988 </w:t>
            </w:r>
            <w:proofErr w:type="spellStart"/>
            <w:r w:rsidRPr="00EB092D">
              <w:rPr>
                <w:i/>
                <w:iCs/>
                <w:color w:val="000000"/>
              </w:rPr>
              <w:t>euro</w:t>
            </w:r>
            <w:proofErr w:type="spellEnd"/>
            <w:r w:rsidRPr="00EB092D">
              <w:rPr>
                <w:iCs/>
                <w:color w:val="000000"/>
              </w:rPr>
              <w:t>;</w:t>
            </w:r>
          </w:p>
          <w:p w:rsidR="008924F4" w:rsidRPr="00796233" w:rsidRDefault="00EB092D" w:rsidP="002C0679">
            <w:pPr>
              <w:pStyle w:val="naiskr"/>
              <w:spacing w:before="0" w:after="0"/>
              <w:jc w:val="both"/>
            </w:pPr>
            <w:r>
              <w:t>2</w:t>
            </w:r>
            <w:r w:rsidR="002C0679">
              <w:t xml:space="preserve">.2. </w:t>
            </w:r>
            <w:r w:rsidRPr="00EB092D">
              <w:t xml:space="preserve">likumprojekta “Par valsts budžetu 2019. gadam” un likumprojekta “Par vidēja termiņa budžeta ietvaru 2019., 2020. un 2021. gadam” sagatavošanas un izskatīšanas procesā paredzēt finansējumu 2019. gadam 23 817 </w:t>
            </w:r>
            <w:proofErr w:type="spellStart"/>
            <w:r w:rsidRPr="00EB092D">
              <w:rPr>
                <w:i/>
              </w:rPr>
              <w:t>euro</w:t>
            </w:r>
            <w:proofErr w:type="spellEnd"/>
            <w:r w:rsidRPr="00EB092D">
              <w:t xml:space="preserve"> apmērā budžeta programmā </w:t>
            </w:r>
            <w:proofErr w:type="gramStart"/>
            <w:r w:rsidRPr="00EB092D">
              <w:t>10.00.00 “Valsts robežsardzes darbība”</w:t>
            </w:r>
            <w:proofErr w:type="gramEnd"/>
            <w:r w:rsidR="002C0679">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883887">
            <w:r>
              <w:t>Iekšlietu ministrija</w:t>
            </w:r>
            <w:r w:rsidR="00883887">
              <w:t>, Valsts 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 xml:space="preserve">2018.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2019.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2020.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2021.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4C23E0" w:rsidP="00654309">
            <w:pPr>
              <w:jc w:val="center"/>
            </w:pPr>
            <w:r>
              <w:t>57 176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4C23E0" w:rsidP="00654309">
            <w:pPr>
              <w:jc w:val="center"/>
            </w:pPr>
            <w:r>
              <w:t>57 176</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4C23E0" w:rsidP="00654309">
            <w:pPr>
              <w:jc w:val="center"/>
            </w:pPr>
            <w:r>
              <w:t>57 176</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EB092D">
            <w:pPr>
              <w:jc w:val="center"/>
            </w:pPr>
            <w:r>
              <w:t xml:space="preserve">+ </w:t>
            </w:r>
            <w:r w:rsidR="00EB092D">
              <w:t>23 98</w:t>
            </w:r>
            <w:r w:rsidR="007C6F95" w:rsidRPr="007C6F95">
              <w:t>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EB092D">
            <w:pPr>
              <w:jc w:val="center"/>
            </w:pPr>
            <w:r>
              <w:t xml:space="preserve">+ </w:t>
            </w:r>
            <w:r w:rsidR="00EB092D">
              <w:t>23</w:t>
            </w:r>
            <w:r>
              <w:t xml:space="preserve"> </w:t>
            </w:r>
            <w:r w:rsidR="00EB092D">
              <w:t>817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4C23E0" w:rsidP="00654309">
            <w:pPr>
              <w:jc w:val="center"/>
            </w:pPr>
            <w:r>
              <w:t>57 176</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EB092D" w:rsidRPr="00EB092D">
              <w:t>23 988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EB092D" w:rsidRPr="00EB092D">
              <w:t>23 817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EB092D" w:rsidRPr="00EB092D">
              <w:t>23 988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EB092D" w:rsidRPr="00EB092D">
              <w:t>23 817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EB092D" w:rsidRPr="00EB092D">
              <w:t>23 988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EB092D" w:rsidRPr="00EB092D">
              <w:t>23 817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 xml:space="preserve">4. Finanšu līdzekļi papildu izdevumu finansēšanai (kompensējošu izdevumu </w:t>
            </w:r>
            <w:r w:rsidRPr="003A34EC">
              <w:lastRenderedPageBreak/>
              <w:t>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EB092D" w:rsidP="00654309">
            <w:pPr>
              <w:jc w:val="center"/>
            </w:pPr>
            <w:r w:rsidRPr="00EB092D">
              <w:rPr>
                <w:iCs/>
              </w:rPr>
              <w:t>23 988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w:t>
            </w:r>
            <w:r w:rsidR="00EB092D" w:rsidRPr="00EB092D">
              <w:t>23 817</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EB092D" w:rsidRPr="00EB092D">
              <w:t>23 817</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8924F4" w:rsidRPr="003A34EC" w:rsidRDefault="0025588F" w:rsidP="0025588F">
            <w:r>
              <w:t>Detalizēts aprēķins – pielikumā.</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4C23E0" w:rsidRDefault="004C23E0" w:rsidP="0026389E">
            <w:pPr>
              <w:jc w:val="both"/>
              <w:rPr>
                <w:color w:val="000000"/>
              </w:rPr>
            </w:pPr>
            <w:r w:rsidRPr="004C23E0">
              <w:rPr>
                <w:color w:val="000000"/>
              </w:rPr>
              <w:t>Saskaņā ar</w:t>
            </w:r>
            <w:r>
              <w:rPr>
                <w:color w:val="000000"/>
              </w:rPr>
              <w:t xml:space="preserve"> likumu “Par valsts budžetu 2018</w:t>
            </w:r>
            <w:r w:rsidRPr="004C23E0">
              <w:rPr>
                <w:color w:val="000000"/>
              </w:rPr>
              <w:t xml:space="preserve">. gadam” Iekšlietu ministrijai budžeta programmā 10.00.00 “Valsts robežsardzes darbība” plānots finansējums </w:t>
            </w:r>
            <w:r>
              <w:rPr>
                <w:color w:val="000000"/>
              </w:rPr>
              <w:t>57</w:t>
            </w:r>
            <w:r w:rsidRPr="004C23E0">
              <w:rPr>
                <w:color w:val="000000"/>
              </w:rPr>
              <w:t xml:space="preserve"> </w:t>
            </w:r>
            <w:r>
              <w:rPr>
                <w:color w:val="000000"/>
              </w:rPr>
              <w:t>176</w:t>
            </w:r>
            <w:r w:rsidRPr="004C23E0">
              <w:rPr>
                <w:color w:val="000000"/>
              </w:rPr>
              <w:t xml:space="preserve"> </w:t>
            </w:r>
            <w:proofErr w:type="spellStart"/>
            <w:r w:rsidRPr="004C23E0">
              <w:rPr>
                <w:i/>
                <w:color w:val="000000"/>
              </w:rPr>
              <w:t>euro</w:t>
            </w:r>
            <w:proofErr w:type="spellEnd"/>
            <w:r w:rsidRPr="004C23E0">
              <w:rPr>
                <w:color w:val="000000"/>
              </w:rPr>
              <w:t xml:space="preserve"> apmērā, lai nodrošinātu Valsts robežsardzes amatpersonu ar speciālajām dienesta pakāpēm – </w:t>
            </w:r>
            <w:r>
              <w:rPr>
                <w:color w:val="000000"/>
              </w:rPr>
              <w:t>V.Ignatjeva</w:t>
            </w:r>
            <w:r w:rsidRPr="004C23E0">
              <w:rPr>
                <w:color w:val="000000"/>
              </w:rPr>
              <w:t xml:space="preserve"> un </w:t>
            </w:r>
            <w:r w:rsidR="00E362BB">
              <w:rPr>
                <w:color w:val="000000"/>
              </w:rPr>
              <w:t>P.Šarigina</w:t>
            </w:r>
            <w:r w:rsidRPr="004C23E0">
              <w:rPr>
                <w:color w:val="000000"/>
              </w:rPr>
              <w:t xml:space="preserve"> dalību misijā līdz noteiktā termiņa – attiecīgi 201</w:t>
            </w:r>
            <w:r>
              <w:rPr>
                <w:color w:val="000000"/>
              </w:rPr>
              <w:t>8</w:t>
            </w:r>
            <w:r w:rsidRPr="004C23E0">
              <w:rPr>
                <w:color w:val="000000"/>
              </w:rPr>
              <w:t xml:space="preserve">. gada </w:t>
            </w:r>
            <w:r>
              <w:rPr>
                <w:color w:val="000000"/>
              </w:rPr>
              <w:t>30</w:t>
            </w:r>
            <w:r w:rsidRPr="004C23E0">
              <w:rPr>
                <w:color w:val="000000"/>
              </w:rPr>
              <w:t xml:space="preserve">. </w:t>
            </w:r>
            <w:r>
              <w:rPr>
                <w:color w:val="000000"/>
              </w:rPr>
              <w:t>jūnijs</w:t>
            </w:r>
            <w:r w:rsidR="00E362BB">
              <w:rPr>
                <w:color w:val="000000"/>
              </w:rPr>
              <w:t xml:space="preserve"> un 2018. gada 15</w:t>
            </w:r>
            <w:r w:rsidRPr="004C23E0">
              <w:rPr>
                <w:color w:val="000000"/>
              </w:rPr>
              <w:t>. septembris – beigām (s</w:t>
            </w:r>
            <w:r w:rsidR="00E362BB">
              <w:rPr>
                <w:color w:val="000000"/>
              </w:rPr>
              <w:t>askaņā ar Ministru kabineta 2017</w:t>
            </w:r>
            <w:r w:rsidRPr="004C23E0">
              <w:rPr>
                <w:color w:val="000000"/>
              </w:rPr>
              <w:t xml:space="preserve">. gada </w:t>
            </w:r>
            <w:r w:rsidR="00E362BB">
              <w:rPr>
                <w:color w:val="000000"/>
              </w:rPr>
              <w:t>14</w:t>
            </w:r>
            <w:r w:rsidRPr="004C23E0">
              <w:rPr>
                <w:color w:val="000000"/>
              </w:rPr>
              <w:t xml:space="preserve">. </w:t>
            </w:r>
            <w:r w:rsidR="00E362BB">
              <w:rPr>
                <w:color w:val="000000"/>
              </w:rPr>
              <w:t>jūnija</w:t>
            </w:r>
            <w:r w:rsidRPr="004C23E0">
              <w:rPr>
                <w:color w:val="000000"/>
              </w:rPr>
              <w:t xml:space="preserve"> rīkojumu Nr. </w:t>
            </w:r>
            <w:r w:rsidR="00E362BB">
              <w:rPr>
                <w:color w:val="000000"/>
              </w:rPr>
              <w:t>313</w:t>
            </w:r>
            <w:r w:rsidRPr="004C23E0">
              <w:rPr>
                <w:color w:val="000000"/>
              </w:rPr>
              <w:t xml:space="preserve"> “</w:t>
            </w:r>
            <w:r w:rsidR="00E362BB" w:rsidRPr="00E362BB">
              <w:rPr>
                <w:color w:val="000000"/>
              </w:rPr>
              <w:t xml:space="preserve">Par Valsts robežsardzes amatpersonas ar speciālo dienesta pakāpi dalību Eiropas Savienības novērošanas misijā Gruzijā </w:t>
            </w:r>
            <w:r w:rsidR="00E362BB" w:rsidRPr="00E362BB">
              <w:rPr>
                <w:i/>
                <w:color w:val="000000"/>
              </w:rPr>
              <w:t>(EUMM Georgia)</w:t>
            </w:r>
            <w:r w:rsidR="00E362BB" w:rsidRPr="00E362BB">
              <w:rPr>
                <w:color w:val="000000"/>
              </w:rPr>
              <w:t xml:space="preserve"> un finanšu līdzekļu piešķiršanu no valsts budžeta programmas "Lī</w:t>
            </w:r>
            <w:r w:rsidR="00E362BB">
              <w:rPr>
                <w:color w:val="000000"/>
              </w:rPr>
              <w:t>dzekļi neparedzētiem gadījumiem”” 3</w:t>
            </w:r>
            <w:r w:rsidRPr="004C23E0">
              <w:rPr>
                <w:color w:val="000000"/>
              </w:rPr>
              <w:t>.2. apakšpunktu</w:t>
            </w:r>
            <w:r w:rsidR="00E362BB">
              <w:rPr>
                <w:color w:val="000000"/>
              </w:rPr>
              <w:t xml:space="preserve"> un </w:t>
            </w:r>
            <w:r w:rsidR="00E362BB" w:rsidRPr="00E362BB">
              <w:rPr>
                <w:color w:val="000000"/>
              </w:rPr>
              <w:t>Ministru kabinet</w:t>
            </w:r>
            <w:r w:rsidR="00E362BB">
              <w:rPr>
                <w:color w:val="000000"/>
              </w:rPr>
              <w:t>a 2017. gada 4. jūlija rīkojumu Nr. 340 “</w:t>
            </w:r>
            <w:r w:rsidR="00E362BB" w:rsidRPr="00E362BB">
              <w:rPr>
                <w:color w:val="000000"/>
              </w:rPr>
              <w:t xml:space="preserve">Par Valsts robežsardzes amatpersonas ar speciālo dienesta pakāpi dalības laika pagarināšanu Eiropas Savienības novērošanas misijā Gruzijā </w:t>
            </w:r>
            <w:r w:rsidR="00E362BB" w:rsidRPr="00E362BB">
              <w:rPr>
                <w:i/>
                <w:color w:val="000000"/>
              </w:rPr>
              <w:t>(EUMM Georgia)</w:t>
            </w:r>
            <w:r w:rsidR="00E362BB" w:rsidRPr="00E362BB">
              <w:rPr>
                <w:color w:val="000000"/>
              </w:rPr>
              <w:t xml:space="preserve"> un finanšu līdzekļu piešķiršan</w:t>
            </w:r>
            <w:r w:rsidR="00E362BB">
              <w:rPr>
                <w:color w:val="000000"/>
              </w:rPr>
              <w:t>u no valsts budžeta programmas “</w:t>
            </w:r>
            <w:r w:rsidR="00E362BB" w:rsidRPr="00E362BB">
              <w:rPr>
                <w:color w:val="000000"/>
              </w:rPr>
              <w:t>Līdzekļi</w:t>
            </w:r>
            <w:r w:rsidR="00E362BB">
              <w:rPr>
                <w:color w:val="000000"/>
              </w:rPr>
              <w:t xml:space="preserve"> neparedzētiem gadījumiem” 3.2. apakšpunktu</w:t>
            </w:r>
            <w:r w:rsidRPr="004C23E0">
              <w:rPr>
                <w:color w:val="000000"/>
              </w:rPr>
              <w:t>).</w:t>
            </w:r>
          </w:p>
          <w:p w:rsidR="00AF33A2" w:rsidRPr="00AF33A2" w:rsidRDefault="00AF33A2" w:rsidP="0026389E">
            <w:pPr>
              <w:jc w:val="both"/>
              <w:rPr>
                <w:color w:val="000000"/>
              </w:rPr>
            </w:pPr>
            <w:r w:rsidRPr="00AF33A2">
              <w:rPr>
                <w:color w:val="000000"/>
              </w:rPr>
              <w:t xml:space="preserve">Finansējumu izdevumu segšanai 2018. gadā </w:t>
            </w:r>
            <w:r w:rsidR="00E362BB">
              <w:rPr>
                <w:color w:val="000000"/>
              </w:rPr>
              <w:t>23</w:t>
            </w:r>
            <w:r w:rsidRPr="00AF33A2">
              <w:rPr>
                <w:color w:val="000000"/>
              </w:rPr>
              <w:t xml:space="preserve"> </w:t>
            </w:r>
            <w:r w:rsidR="00E362BB">
              <w:rPr>
                <w:color w:val="000000"/>
              </w:rPr>
              <w:t>988</w:t>
            </w:r>
            <w:r w:rsidRPr="00AF33A2">
              <w:rPr>
                <w:color w:val="000000"/>
              </w:rPr>
              <w:t xml:space="preserve"> </w:t>
            </w:r>
            <w:proofErr w:type="spellStart"/>
            <w:r w:rsidRPr="00AF33A2">
              <w:rPr>
                <w:i/>
                <w:color w:val="000000"/>
              </w:rPr>
              <w:t>euro</w:t>
            </w:r>
            <w:proofErr w:type="spellEnd"/>
            <w:r w:rsidRPr="00AF33A2">
              <w:rPr>
                <w:color w:val="000000"/>
              </w:rPr>
              <w:t xml:space="preserve"> apmērā </w:t>
            </w:r>
            <w:r w:rsidR="005D6C6B">
              <w:rPr>
                <w:color w:val="000000"/>
              </w:rPr>
              <w:t xml:space="preserve">Valsts robežsardzei </w:t>
            </w:r>
            <w:r w:rsidRPr="00AF33A2">
              <w:rPr>
                <w:color w:val="000000"/>
              </w:rPr>
              <w:t xml:space="preserve">piešķir no valsts budžeta programmas 02.00.00 “Līdzekļi neparedzētiem gadījumiem”. Likumprojekta “Par valsts budžetu 2019. gadam” un likumprojekta “Par vidēja termiņa budžeta ietvaru 2019., 2020. un 2021. gadam” sagatavošanas un izskatīšanas procesā paredzams finansējums 2019. </w:t>
            </w:r>
            <w:r w:rsidRPr="00AF33A2">
              <w:rPr>
                <w:color w:val="000000"/>
              </w:rPr>
              <w:lastRenderedPageBreak/>
              <w:t xml:space="preserve">gadam </w:t>
            </w:r>
            <w:r w:rsidR="00E362BB">
              <w:rPr>
                <w:color w:val="000000"/>
              </w:rPr>
              <w:t>23</w:t>
            </w:r>
            <w:r w:rsidR="005D6C6B" w:rsidRPr="005D6C6B">
              <w:rPr>
                <w:color w:val="000000"/>
              </w:rPr>
              <w:t xml:space="preserve"> </w:t>
            </w:r>
            <w:r w:rsidR="00E362BB">
              <w:rPr>
                <w:color w:val="000000"/>
              </w:rPr>
              <w:t>817</w:t>
            </w:r>
            <w:r w:rsidR="005D6C6B" w:rsidRPr="005D6C6B">
              <w:rPr>
                <w:color w:val="000000"/>
              </w:rPr>
              <w:t xml:space="preserve"> </w:t>
            </w:r>
            <w:proofErr w:type="spellStart"/>
            <w:r w:rsidR="005D6C6B" w:rsidRPr="005D6C6B">
              <w:rPr>
                <w:i/>
                <w:color w:val="000000"/>
              </w:rPr>
              <w:t>euro</w:t>
            </w:r>
            <w:proofErr w:type="spellEnd"/>
            <w:r w:rsidRPr="00AF33A2">
              <w:rPr>
                <w:color w:val="000000"/>
              </w:rPr>
              <w:t xml:space="preserve"> apmērā, lai segtu izdevumus 2019. gadā līdz </w:t>
            </w:r>
            <w:r w:rsidR="00E362BB">
              <w:rPr>
                <w:color w:val="000000"/>
              </w:rPr>
              <w:t>30</w:t>
            </w:r>
            <w:r w:rsidRPr="00AF33A2">
              <w:rPr>
                <w:color w:val="000000"/>
              </w:rPr>
              <w:t xml:space="preserve">. </w:t>
            </w:r>
            <w:r w:rsidR="00E362BB">
              <w:rPr>
                <w:color w:val="000000"/>
              </w:rPr>
              <w:t>jūnijam</w:t>
            </w:r>
            <w:r w:rsidRPr="00AF33A2">
              <w:rPr>
                <w:color w:val="000000"/>
              </w:rPr>
              <w:t xml:space="preserve"> </w:t>
            </w:r>
            <w:proofErr w:type="gramStart"/>
            <w:r w:rsidR="000A645E">
              <w:rPr>
                <w:color w:val="000000"/>
              </w:rPr>
              <w:t>(</w:t>
            </w:r>
            <w:proofErr w:type="gramEnd"/>
            <w:r w:rsidR="000A645E" w:rsidRPr="000A645E">
              <w:rPr>
                <w:color w:val="000000"/>
              </w:rPr>
              <w:t>budžeta programma 10.00.00 “Valsts robežsardzes darbība”).</w:t>
            </w:r>
          </w:p>
          <w:p w:rsidR="008924F4" w:rsidRPr="003A34EC" w:rsidRDefault="00AF33A2" w:rsidP="0026389E">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lastRenderedPageBreak/>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914A49" w:rsidP="006E6C62">
            <w:pPr>
              <w:jc w:val="center"/>
              <w:rPr>
                <w:b/>
                <w:bCs/>
              </w:rPr>
            </w:pPr>
            <w:r>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30558C" w:rsidP="0030558C">
            <w:r>
              <w:t xml:space="preserve">Finanšu ministrija </w:t>
            </w:r>
            <w:r w:rsidR="000A645E">
              <w:t>un Valsts 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r w:rsidRPr="004D06FF">
        <w:t>Iekšlietu ministrs</w:t>
      </w:r>
      <w:r w:rsidRPr="004D06FF">
        <w:tab/>
      </w:r>
      <w:r>
        <w:t xml:space="preserve">Rihards </w:t>
      </w:r>
      <w:r w:rsidRPr="004D06FF">
        <w:t>Kozlovskis</w:t>
      </w: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right="-649" w:firstLine="0"/>
      </w:pPr>
      <w:r w:rsidRPr="004D06FF">
        <w:t xml:space="preserve">Vīza: </w:t>
      </w:r>
      <w:r>
        <w:t>v</w:t>
      </w:r>
      <w:r w:rsidR="00E13CBB">
        <w:t>alsts sekretārs</w:t>
      </w:r>
      <w:r>
        <w:tab/>
        <w:t>Dimitrijs Trofimovs</w:t>
      </w:r>
    </w:p>
    <w:p w:rsidR="00BC0D16" w:rsidRDefault="00BC0D16" w:rsidP="00BC0D16">
      <w:pPr>
        <w:rPr>
          <w:sz w:val="20"/>
          <w:szCs w:val="20"/>
        </w:rPr>
      </w:pPr>
    </w:p>
    <w:p w:rsidR="00BC0D16" w:rsidRDefault="00BC0D16" w:rsidP="00BC0D16">
      <w:pPr>
        <w:rPr>
          <w:sz w:val="20"/>
          <w:szCs w:val="20"/>
        </w:rPr>
      </w:pPr>
    </w:p>
    <w:p w:rsidR="00BC0D16" w:rsidRDefault="00BC0D16" w:rsidP="00BC0D16">
      <w:pPr>
        <w:rPr>
          <w:sz w:val="20"/>
          <w:szCs w:val="20"/>
        </w:rPr>
      </w:pPr>
    </w:p>
    <w:p w:rsidR="00112599" w:rsidRDefault="0011259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112599" w:rsidRDefault="00112599" w:rsidP="00BC0D16">
      <w:pPr>
        <w:rPr>
          <w:sz w:val="20"/>
          <w:szCs w:val="20"/>
        </w:rPr>
      </w:pPr>
    </w:p>
    <w:p w:rsidR="00BC0D16" w:rsidRDefault="00BC0D16" w:rsidP="00BC0D16">
      <w:pPr>
        <w:rPr>
          <w:sz w:val="20"/>
          <w:szCs w:val="20"/>
        </w:rPr>
      </w:pPr>
    </w:p>
    <w:p w:rsidR="00BC0D16" w:rsidRDefault="00BC0D16"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3C6D4C">
        <w:rPr>
          <w:noProof/>
          <w:sz w:val="20"/>
          <w:szCs w:val="20"/>
          <w:lang w:val="ru-RU"/>
        </w:rPr>
        <w:t>26.04.2018 14:30</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C6D4C">
        <w:rPr>
          <w:noProof/>
          <w:sz w:val="20"/>
          <w:szCs w:val="20"/>
        </w:rPr>
        <w:t>1291</w:t>
      </w:r>
      <w:r>
        <w:rPr>
          <w:sz w:val="20"/>
          <w:szCs w:val="20"/>
        </w:rPr>
        <w:fldChar w:fldCharType="end"/>
      </w:r>
      <w:bookmarkStart w:id="0" w:name="_GoBack"/>
      <w:bookmarkEnd w:id="0"/>
    </w:p>
    <w:p w:rsidR="00BC0D16" w:rsidRPr="00230B7B" w:rsidRDefault="000D328D" w:rsidP="00BC0D16">
      <w:pPr>
        <w:rPr>
          <w:sz w:val="20"/>
          <w:szCs w:val="20"/>
        </w:rPr>
      </w:pPr>
      <w:r>
        <w:rPr>
          <w:sz w:val="20"/>
          <w:szCs w:val="20"/>
        </w:rPr>
        <w:t>I.Silantjevs</w:t>
      </w:r>
      <w:r w:rsidR="00BC0D16" w:rsidRPr="00230B7B">
        <w:rPr>
          <w:sz w:val="20"/>
          <w:szCs w:val="20"/>
        </w:rPr>
        <w:t>, 67219</w:t>
      </w:r>
      <w:r>
        <w:rPr>
          <w:sz w:val="20"/>
          <w:szCs w:val="20"/>
        </w:rPr>
        <w:t>569</w:t>
      </w:r>
    </w:p>
    <w:p w:rsidR="00BC0D16" w:rsidRDefault="003C6D4C" w:rsidP="00BC0D16">
      <w:pPr>
        <w:pStyle w:val="naisf"/>
        <w:tabs>
          <w:tab w:val="left" w:pos="6804"/>
        </w:tabs>
        <w:spacing w:before="0" w:after="0"/>
        <w:ind w:right="-649" w:firstLine="0"/>
        <w:rPr>
          <w:rStyle w:val="Hyperlink"/>
          <w:sz w:val="20"/>
          <w:szCs w:val="20"/>
        </w:rPr>
      </w:pPr>
      <w:hyperlink r:id="rId9" w:history="1">
        <w:r w:rsidRPr="00673F11">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6B" w:rsidRDefault="00014F6B" w:rsidP="00707CC5">
      <w:r>
        <w:separator/>
      </w:r>
    </w:p>
  </w:endnote>
  <w:endnote w:type="continuationSeparator" w:id="0">
    <w:p w:rsidR="00014F6B" w:rsidRDefault="00014F6B"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3C6D4C">
      <w:rPr>
        <w:i/>
        <w:noProof/>
        <w:sz w:val="20"/>
        <w:szCs w:val="20"/>
      </w:rPr>
      <w:t>IEManot_130418_EUMM_GEO</w:t>
    </w:r>
    <w:r w:rsidRPr="00E22CF5">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3C6D4C">
      <w:rPr>
        <w:i/>
        <w:noProof/>
        <w:sz w:val="20"/>
        <w:szCs w:val="20"/>
      </w:rPr>
      <w:t>IEManot_130418_EUMM_GEO</w:t>
    </w:r>
    <w:r w:rsidRPr="0011259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6B" w:rsidRDefault="00014F6B" w:rsidP="00707CC5">
      <w:r>
        <w:separator/>
      </w:r>
    </w:p>
  </w:footnote>
  <w:footnote w:type="continuationSeparator" w:id="0">
    <w:p w:rsidR="00014F6B" w:rsidRDefault="00014F6B" w:rsidP="0070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4A1FE4">
          <w:rPr>
            <w:noProof/>
          </w:rPr>
          <w:t>4</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4F6B"/>
    <w:rsid w:val="00015D6F"/>
    <w:rsid w:val="00074048"/>
    <w:rsid w:val="00087690"/>
    <w:rsid w:val="000A645E"/>
    <w:rsid w:val="000D328D"/>
    <w:rsid w:val="00112599"/>
    <w:rsid w:val="001520EB"/>
    <w:rsid w:val="00160D11"/>
    <w:rsid w:val="00191B00"/>
    <w:rsid w:val="00234B88"/>
    <w:rsid w:val="0025588F"/>
    <w:rsid w:val="0026389E"/>
    <w:rsid w:val="00277D2D"/>
    <w:rsid w:val="002C0679"/>
    <w:rsid w:val="0030558C"/>
    <w:rsid w:val="00357B91"/>
    <w:rsid w:val="00366EA6"/>
    <w:rsid w:val="003C6D4C"/>
    <w:rsid w:val="004A1FE4"/>
    <w:rsid w:val="004C23E0"/>
    <w:rsid w:val="00582815"/>
    <w:rsid w:val="005D6C6B"/>
    <w:rsid w:val="006512C5"/>
    <w:rsid w:val="00654309"/>
    <w:rsid w:val="0069336D"/>
    <w:rsid w:val="00707CC5"/>
    <w:rsid w:val="007923FD"/>
    <w:rsid w:val="007C6F95"/>
    <w:rsid w:val="00801994"/>
    <w:rsid w:val="0080296F"/>
    <w:rsid w:val="008177B0"/>
    <w:rsid w:val="00883887"/>
    <w:rsid w:val="008924F4"/>
    <w:rsid w:val="00914A49"/>
    <w:rsid w:val="009319A3"/>
    <w:rsid w:val="00982638"/>
    <w:rsid w:val="00A454C5"/>
    <w:rsid w:val="00A91844"/>
    <w:rsid w:val="00AA54CB"/>
    <w:rsid w:val="00AF33A2"/>
    <w:rsid w:val="00B36890"/>
    <w:rsid w:val="00B64351"/>
    <w:rsid w:val="00B82BF7"/>
    <w:rsid w:val="00B842D0"/>
    <w:rsid w:val="00BC0D16"/>
    <w:rsid w:val="00C07EE7"/>
    <w:rsid w:val="00C37032"/>
    <w:rsid w:val="00C469AB"/>
    <w:rsid w:val="00C916D7"/>
    <w:rsid w:val="00CA2FE1"/>
    <w:rsid w:val="00CA79A6"/>
    <w:rsid w:val="00CE740B"/>
    <w:rsid w:val="00D642B7"/>
    <w:rsid w:val="00DA6149"/>
    <w:rsid w:val="00E13CBB"/>
    <w:rsid w:val="00E22CF5"/>
    <w:rsid w:val="00E362BB"/>
    <w:rsid w:val="00E72817"/>
    <w:rsid w:val="00EB092D"/>
    <w:rsid w:val="00EE5623"/>
    <w:rsid w:val="00F17F75"/>
    <w:rsid w:val="00F30FEA"/>
    <w:rsid w:val="00FC5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1B33-1037-4A11-97FF-1835A9A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1348</Words>
  <Characters>8496</Characters>
  <Application>Microsoft Office Word</Application>
  <DocSecurity>0</DocSecurity>
  <Lines>472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8</cp:revision>
  <cp:lastPrinted>2018-04-26T11:30:00Z</cp:lastPrinted>
  <dcterms:created xsi:type="dcterms:W3CDTF">2018-04-13T12:40:00Z</dcterms:created>
  <dcterms:modified xsi:type="dcterms:W3CDTF">2018-04-26T12:16:00Z</dcterms:modified>
</cp:coreProperties>
</file>