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4C90" w14:textId="553AC089" w:rsidR="004D15A9" w:rsidRPr="00620B46" w:rsidRDefault="00A33B4B" w:rsidP="00F7166B">
      <w:pPr>
        <w:spacing w:after="0" w:line="240" w:lineRule="auto"/>
        <w:jc w:val="center"/>
        <w:rPr>
          <w:rFonts w:ascii="Times New Roman" w:eastAsia="Times New Roman" w:hAnsi="Times New Roman" w:cs="Times New Roman"/>
          <w:b/>
          <w:bCs/>
          <w:sz w:val="26"/>
          <w:szCs w:val="26"/>
          <w:lang w:eastAsia="lv-LV"/>
        </w:rPr>
      </w:pPr>
      <w:bookmarkStart w:id="0" w:name="OLE_LINK8"/>
      <w:bookmarkStart w:id="1" w:name="OLE_LINK9"/>
      <w:r w:rsidRPr="00620B46">
        <w:rPr>
          <w:rFonts w:ascii="Times New Roman" w:eastAsia="Times New Roman" w:hAnsi="Times New Roman" w:cs="Times New Roman"/>
          <w:b/>
          <w:bCs/>
          <w:sz w:val="26"/>
          <w:szCs w:val="26"/>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377C40" w:rsidRPr="00620B46">
        <w:rPr>
          <w:rFonts w:ascii="Times New Roman" w:eastAsia="Times New Roman" w:hAnsi="Times New Roman" w:cs="Times New Roman"/>
          <w:b/>
          <w:bCs/>
          <w:sz w:val="26"/>
          <w:szCs w:val="26"/>
          <w:lang w:eastAsia="lv-LV"/>
        </w:rPr>
        <w:t>"</w:t>
      </w:r>
      <w:bookmarkEnd w:id="2"/>
      <w:bookmarkEnd w:id="3"/>
      <w:bookmarkEnd w:id="4"/>
      <w:r w:rsidR="00F7166B" w:rsidRPr="00620B46">
        <w:rPr>
          <w:rFonts w:ascii="Times New Roman" w:eastAsia="Times New Roman" w:hAnsi="Times New Roman" w:cs="Times New Roman"/>
          <w:b/>
          <w:bCs/>
          <w:sz w:val="26"/>
          <w:szCs w:val="26"/>
          <w:lang w:eastAsia="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91269C" w:rsidRPr="00620B46">
        <w:rPr>
          <w:rFonts w:ascii="Times New Roman" w:hAnsi="Times New Roman" w:cs="Times New Roman"/>
          <w:b/>
          <w:sz w:val="26"/>
          <w:szCs w:val="26"/>
        </w:rPr>
        <w:t xml:space="preserve"> </w:t>
      </w:r>
      <w:bookmarkEnd w:id="5"/>
      <w:bookmarkEnd w:id="6"/>
      <w:bookmarkEnd w:id="7"/>
      <w:bookmarkEnd w:id="8"/>
      <w:r w:rsidRPr="00620B46">
        <w:rPr>
          <w:rFonts w:ascii="Times New Roman" w:eastAsia="Times New Roman" w:hAnsi="Times New Roman" w:cs="Times New Roman"/>
          <w:b/>
          <w:bCs/>
          <w:sz w:val="26"/>
          <w:szCs w:val="26"/>
          <w:lang w:eastAsia="lv-LV"/>
        </w:rPr>
        <w:t xml:space="preserve">projekta </w:t>
      </w:r>
      <w:r w:rsidR="004D15A9" w:rsidRPr="00620B46">
        <w:rPr>
          <w:rFonts w:ascii="Times New Roman" w:eastAsia="Times New Roman" w:hAnsi="Times New Roman" w:cs="Times New Roman"/>
          <w:b/>
          <w:bCs/>
          <w:sz w:val="26"/>
          <w:szCs w:val="26"/>
          <w:lang w:eastAsia="lv-LV"/>
        </w:rPr>
        <w:t>sākotnējās ietekmes novērtējuma ziņojums (anotācija)</w:t>
      </w:r>
    </w:p>
    <w:bookmarkEnd w:id="0"/>
    <w:bookmarkEnd w:id="1"/>
    <w:p w14:paraId="01CDD508" w14:textId="77777777" w:rsidR="00DA596D" w:rsidRPr="00620B46" w:rsidRDefault="00DA596D"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2A5D03" w:rsidRPr="00620B46" w14:paraId="4E458FBC" w14:textId="77777777" w:rsidTr="002A5D03">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DF4ACD" w14:textId="77777777" w:rsidR="002A5D03" w:rsidRPr="00620B46" w:rsidRDefault="002A5D03" w:rsidP="00DF2054">
            <w:pPr>
              <w:spacing w:after="100" w:afterAutospacing="1" w:line="254" w:lineRule="atLeast"/>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Tiesību akta projekta anotācijas kopsavilkums</w:t>
            </w:r>
          </w:p>
        </w:tc>
      </w:tr>
      <w:tr w:rsidR="002A5D03" w:rsidRPr="00620B46" w14:paraId="39C944F2" w14:textId="77777777" w:rsidTr="002A5D03">
        <w:tc>
          <w:tcPr>
            <w:tcW w:w="1718" w:type="pct"/>
            <w:tcBorders>
              <w:top w:val="outset" w:sz="6" w:space="0" w:color="414142"/>
              <w:left w:val="outset" w:sz="6" w:space="0" w:color="414142"/>
              <w:bottom w:val="outset" w:sz="6" w:space="0" w:color="414142"/>
              <w:right w:val="outset" w:sz="6" w:space="0" w:color="414142"/>
            </w:tcBorders>
            <w:hideMark/>
          </w:tcPr>
          <w:p w14:paraId="5DA80366" w14:textId="77777777" w:rsidR="002A5D03" w:rsidRPr="00620B46" w:rsidRDefault="002A5D03" w:rsidP="00DF2054">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Mērķis, risinājums un projekta spēkā stāšanās laiks (</w:t>
            </w:r>
            <w:r w:rsidRPr="00620B46">
              <w:rPr>
                <w:rFonts w:ascii="Times New Roman" w:eastAsia="Times New Roman" w:hAnsi="Times New Roman" w:cs="Times New Roman"/>
                <w:color w:val="000000" w:themeColor="text1"/>
                <w:sz w:val="26"/>
                <w:szCs w:val="26"/>
                <w:lang w:eastAsia="lv-LV"/>
              </w:rPr>
              <w:t xml:space="preserve">500 zīmes </w:t>
            </w:r>
            <w:r w:rsidRPr="00620B46">
              <w:rPr>
                <w:rFonts w:ascii="Times New Roman" w:eastAsia="Times New Roman" w:hAnsi="Times New Roman" w:cs="Times New Roman"/>
                <w:sz w:val="26"/>
                <w:szCs w:val="26"/>
                <w:lang w:eastAsia="lv-LV"/>
              </w:rPr>
              <w:t>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6B370BB6" w14:textId="04C082BE" w:rsidR="00084D70" w:rsidRPr="00620B46" w:rsidRDefault="0011057C" w:rsidP="00F7166B">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Noteikumu projekts "</w:t>
            </w:r>
            <w:r w:rsidR="00F7166B" w:rsidRPr="00620B46">
              <w:rPr>
                <w:rFonts w:ascii="Times New Roman" w:hAnsi="Times New Roman" w:cs="Times New Roman"/>
                <w:sz w:val="26"/>
                <w:szCs w:val="26"/>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Pr="00620B46">
              <w:rPr>
                <w:rFonts w:ascii="Times New Roman" w:hAnsi="Times New Roman" w:cs="Times New Roman"/>
                <w:sz w:val="26"/>
                <w:szCs w:val="26"/>
              </w:rPr>
              <w:t xml:space="preserve"> (turpmāk – noteikumu projekts) sagatavots ar mērķi</w:t>
            </w:r>
            <w:r w:rsidR="00F7166B" w:rsidRPr="00620B46">
              <w:rPr>
                <w:rFonts w:ascii="Times New Roman" w:hAnsi="Times New Roman" w:cs="Times New Roman"/>
                <w:sz w:val="26"/>
                <w:szCs w:val="26"/>
              </w:rPr>
              <w:t xml:space="preserve"> </w:t>
            </w:r>
            <w:r w:rsidRPr="00620B46">
              <w:rPr>
                <w:rFonts w:ascii="Times New Roman" w:hAnsi="Times New Roman" w:cs="Times New Roman"/>
                <w:sz w:val="26"/>
                <w:szCs w:val="26"/>
              </w:rPr>
              <w:t xml:space="preserve">nodrošināt Ministru kabineta </w:t>
            </w:r>
            <w:r w:rsidRPr="00620B46">
              <w:rPr>
                <w:rFonts w:ascii="Times New Roman" w:eastAsia="Times New Roman" w:hAnsi="Times New Roman" w:cs="Times New Roman"/>
                <w:sz w:val="26"/>
                <w:szCs w:val="26"/>
                <w:lang w:eastAsia="lv-LV"/>
              </w:rPr>
              <w:t xml:space="preserve">(turpmāk – MK) </w:t>
            </w:r>
            <w:r w:rsidR="00F7166B" w:rsidRPr="00620B46">
              <w:rPr>
                <w:rFonts w:ascii="Times New Roman" w:hAnsi="Times New Roman" w:cs="Times New Roman"/>
                <w:sz w:val="26"/>
                <w:szCs w:val="26"/>
              </w:rPr>
              <w:t xml:space="preserve">2009. gada 24. marta noteikumu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Pr="00620B46">
              <w:rPr>
                <w:rFonts w:ascii="Times New Roman" w:hAnsi="Times New Roman" w:cs="Times New Roman"/>
                <w:sz w:val="26"/>
                <w:szCs w:val="26"/>
              </w:rPr>
              <w:t xml:space="preserve">" </w:t>
            </w:r>
            <w:r w:rsidRPr="00620B46">
              <w:rPr>
                <w:rFonts w:ascii="Times New Roman" w:eastAsia="Times New Roman" w:hAnsi="Times New Roman" w:cs="Times New Roman"/>
                <w:sz w:val="26"/>
                <w:szCs w:val="26"/>
                <w:lang w:eastAsia="lv-LV"/>
              </w:rPr>
              <w:t>(turpmāk – MK noteikumi Nr. </w:t>
            </w:r>
            <w:r w:rsidR="00F7166B" w:rsidRPr="00620B46">
              <w:rPr>
                <w:rFonts w:ascii="Times New Roman" w:eastAsia="Times New Roman" w:hAnsi="Times New Roman" w:cs="Times New Roman"/>
                <w:sz w:val="26"/>
                <w:szCs w:val="26"/>
                <w:lang w:eastAsia="lv-LV"/>
              </w:rPr>
              <w:t>265</w:t>
            </w:r>
            <w:r w:rsidRPr="00620B46">
              <w:rPr>
                <w:rFonts w:ascii="Times New Roman" w:eastAsia="Times New Roman" w:hAnsi="Times New Roman" w:cs="Times New Roman"/>
                <w:sz w:val="26"/>
                <w:szCs w:val="26"/>
                <w:lang w:eastAsia="lv-LV"/>
              </w:rPr>
              <w:t xml:space="preserve">) atbilstību </w:t>
            </w:r>
            <w:r w:rsidR="00F7166B" w:rsidRPr="00620B46">
              <w:rPr>
                <w:rFonts w:ascii="Times New Roman" w:eastAsia="Times New Roman" w:hAnsi="Times New Roman" w:cs="Times New Roman"/>
                <w:sz w:val="26"/>
                <w:szCs w:val="26"/>
                <w:lang w:eastAsia="lv-LV"/>
              </w:rPr>
              <w:t xml:space="preserve">Eiropas </w:t>
            </w:r>
            <w:r w:rsidRPr="00620B46">
              <w:rPr>
                <w:rFonts w:ascii="Times New Roman" w:eastAsia="Times New Roman" w:hAnsi="Times New Roman" w:cs="Times New Roman"/>
                <w:sz w:val="26"/>
                <w:szCs w:val="26"/>
                <w:lang w:eastAsia="lv-LV"/>
              </w:rPr>
              <w:t>Komisijas valsts atbalsta modernizācijas iniciatīv</w:t>
            </w:r>
            <w:r w:rsidR="00F7166B" w:rsidRPr="00620B46">
              <w:rPr>
                <w:rFonts w:ascii="Times New Roman" w:eastAsia="Times New Roman" w:hAnsi="Times New Roman" w:cs="Times New Roman"/>
                <w:sz w:val="26"/>
                <w:szCs w:val="26"/>
                <w:lang w:eastAsia="lv-LV"/>
              </w:rPr>
              <w:t>ām,</w:t>
            </w:r>
            <w:r w:rsidRPr="00620B46">
              <w:rPr>
                <w:rFonts w:ascii="Times New Roman" w:eastAsia="Times New Roman" w:hAnsi="Times New Roman" w:cs="Times New Roman"/>
                <w:sz w:val="26"/>
                <w:szCs w:val="26"/>
                <w:lang w:eastAsia="lv-LV"/>
              </w:rPr>
              <w:t xml:space="preserve"> nemainot sākotnējā nacionālā normatīvā akta būtību, bet skaidrojot infrastruktūras ekspluatācijas noteikumus projekta pārskata (dzīves cikla) periodā.</w:t>
            </w:r>
          </w:p>
        </w:tc>
      </w:tr>
    </w:tbl>
    <w:p w14:paraId="3BF284D9" w14:textId="77777777" w:rsidR="002A5D03" w:rsidRPr="00620B46" w:rsidRDefault="002A5D03"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141"/>
        <w:gridCol w:w="2658"/>
        <w:gridCol w:w="5944"/>
      </w:tblGrid>
      <w:tr w:rsidR="006A328C" w:rsidRPr="00620B46" w14:paraId="4B2F0C04" w14:textId="77777777" w:rsidTr="004B15DE">
        <w:trPr>
          <w:trHeight w:val="405"/>
        </w:trPr>
        <w:tc>
          <w:tcPr>
            <w:tcW w:w="9055" w:type="dxa"/>
            <w:gridSpan w:val="4"/>
            <w:tcBorders>
              <w:top w:val="outset" w:sz="6" w:space="0" w:color="414142"/>
              <w:left w:val="outset" w:sz="6" w:space="0" w:color="414142"/>
              <w:bottom w:val="outset" w:sz="6" w:space="0" w:color="414142"/>
              <w:right w:val="outset" w:sz="6" w:space="0" w:color="414142"/>
            </w:tcBorders>
            <w:vAlign w:val="center"/>
            <w:hideMark/>
          </w:tcPr>
          <w:p w14:paraId="50724788" w14:textId="77777777" w:rsidR="004D15A9" w:rsidRPr="00620B4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I. Tiesību akta projekta izstrādes nepieciešamība</w:t>
            </w:r>
          </w:p>
        </w:tc>
      </w:tr>
      <w:tr w:rsidR="006A328C" w:rsidRPr="00620B46" w14:paraId="2F80B6CB" w14:textId="77777777" w:rsidTr="004B15DE">
        <w:trPr>
          <w:trHeight w:val="405"/>
        </w:trPr>
        <w:tc>
          <w:tcPr>
            <w:tcW w:w="312" w:type="dxa"/>
            <w:tcBorders>
              <w:top w:val="outset" w:sz="6" w:space="0" w:color="414142"/>
              <w:left w:val="outset" w:sz="6" w:space="0" w:color="414142"/>
              <w:bottom w:val="outset" w:sz="6" w:space="0" w:color="414142"/>
              <w:right w:val="outset" w:sz="6" w:space="0" w:color="414142"/>
            </w:tcBorders>
            <w:hideMark/>
          </w:tcPr>
          <w:p w14:paraId="66ECDD9A"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7FE4938"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Pamatojums</w:t>
            </w:r>
          </w:p>
        </w:tc>
        <w:tc>
          <w:tcPr>
            <w:tcW w:w="5944" w:type="dxa"/>
            <w:tcBorders>
              <w:top w:val="outset" w:sz="6" w:space="0" w:color="414142"/>
              <w:left w:val="outset" w:sz="6" w:space="0" w:color="414142"/>
              <w:bottom w:val="outset" w:sz="6" w:space="0" w:color="414142"/>
              <w:right w:val="outset" w:sz="6" w:space="0" w:color="414142"/>
            </w:tcBorders>
            <w:hideMark/>
          </w:tcPr>
          <w:p w14:paraId="614BAEE0" w14:textId="669F3367" w:rsidR="004D15A9" w:rsidRPr="00620B46" w:rsidRDefault="002A5D03" w:rsidP="00881A91">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w:t>
            </w:r>
            <w:r w:rsidR="0060326C" w:rsidRPr="00620B46">
              <w:rPr>
                <w:rFonts w:ascii="Times New Roman" w:eastAsia="Times New Roman" w:hAnsi="Times New Roman" w:cs="Times New Roman"/>
                <w:sz w:val="26"/>
                <w:szCs w:val="26"/>
                <w:lang w:eastAsia="lv-LV"/>
              </w:rPr>
              <w:t>oteikumu projekts sagatavots</w:t>
            </w:r>
            <w:r w:rsidR="009A2504" w:rsidRPr="00620B46">
              <w:rPr>
                <w:rFonts w:ascii="Times New Roman" w:eastAsia="Times New Roman" w:hAnsi="Times New Roman" w:cs="Times New Roman"/>
                <w:sz w:val="26"/>
                <w:szCs w:val="26"/>
                <w:lang w:eastAsia="lv-LV"/>
              </w:rPr>
              <w:t xml:space="preserve"> pēc Izglītības un zinātnes ministrijas iniciatīvas </w:t>
            </w:r>
            <w:r w:rsidR="0060326C" w:rsidRPr="00620B46">
              <w:rPr>
                <w:rFonts w:ascii="Times New Roman" w:eastAsia="Times New Roman" w:hAnsi="Times New Roman" w:cs="Times New Roman"/>
                <w:sz w:val="26"/>
                <w:szCs w:val="26"/>
                <w:lang w:eastAsia="lv-LV"/>
              </w:rPr>
              <w:t>saskaņā ar</w:t>
            </w:r>
            <w:r w:rsidR="00E51C7E" w:rsidRPr="00620B46">
              <w:rPr>
                <w:rFonts w:ascii="Times New Roman" w:eastAsia="Times New Roman" w:hAnsi="Times New Roman" w:cs="Times New Roman"/>
                <w:sz w:val="26"/>
                <w:szCs w:val="26"/>
                <w:lang w:eastAsia="lv-LV"/>
              </w:rPr>
              <w:t xml:space="preserve"> </w:t>
            </w:r>
            <w:r w:rsidR="0060326C" w:rsidRPr="00620B46">
              <w:rPr>
                <w:rFonts w:ascii="Times New Roman" w:eastAsia="Times New Roman" w:hAnsi="Times New Roman" w:cs="Times New Roman"/>
                <w:sz w:val="26"/>
                <w:szCs w:val="26"/>
                <w:lang w:eastAsia="lv-LV"/>
              </w:rPr>
              <w:t>Eiropas Savienības</w:t>
            </w:r>
            <w:r w:rsidR="00DD0D1E" w:rsidRPr="00620B46">
              <w:rPr>
                <w:rFonts w:ascii="Times New Roman" w:eastAsia="Times New Roman" w:hAnsi="Times New Roman" w:cs="Times New Roman"/>
                <w:sz w:val="26"/>
                <w:szCs w:val="26"/>
                <w:lang w:eastAsia="lv-LV"/>
              </w:rPr>
              <w:t xml:space="preserve"> </w:t>
            </w:r>
            <w:r w:rsidR="0060326C" w:rsidRPr="00620B46">
              <w:rPr>
                <w:rFonts w:ascii="Times New Roman" w:eastAsia="Times New Roman" w:hAnsi="Times New Roman" w:cs="Times New Roman"/>
                <w:sz w:val="26"/>
                <w:szCs w:val="26"/>
                <w:lang w:eastAsia="lv-LV"/>
              </w:rPr>
              <w:t>struktūrfondu un Kohēzijas fonda vadības likuma 18.</w:t>
            </w:r>
            <w:r w:rsidR="00D728BB" w:rsidRPr="00620B46">
              <w:rPr>
                <w:rFonts w:ascii="Times New Roman" w:eastAsia="Times New Roman" w:hAnsi="Times New Roman" w:cs="Times New Roman"/>
                <w:sz w:val="26"/>
                <w:szCs w:val="26"/>
                <w:lang w:eastAsia="lv-LV"/>
              </w:rPr>
              <w:t> </w:t>
            </w:r>
            <w:r w:rsidR="0060326C" w:rsidRPr="00620B46">
              <w:rPr>
                <w:rFonts w:ascii="Times New Roman" w:eastAsia="Times New Roman" w:hAnsi="Times New Roman" w:cs="Times New Roman"/>
                <w:sz w:val="26"/>
                <w:szCs w:val="26"/>
                <w:lang w:eastAsia="lv-LV"/>
              </w:rPr>
              <w:t>panta 10.</w:t>
            </w:r>
            <w:r w:rsidR="00D728BB" w:rsidRPr="00620B46">
              <w:rPr>
                <w:rFonts w:ascii="Times New Roman" w:eastAsia="Times New Roman" w:hAnsi="Times New Roman" w:cs="Times New Roman"/>
                <w:sz w:val="26"/>
                <w:szCs w:val="26"/>
                <w:lang w:eastAsia="lv-LV"/>
              </w:rPr>
              <w:t> </w:t>
            </w:r>
            <w:r w:rsidR="0060326C" w:rsidRPr="00620B46">
              <w:rPr>
                <w:rFonts w:ascii="Times New Roman" w:eastAsia="Times New Roman" w:hAnsi="Times New Roman" w:cs="Times New Roman"/>
                <w:sz w:val="26"/>
                <w:szCs w:val="26"/>
                <w:lang w:eastAsia="lv-LV"/>
              </w:rPr>
              <w:t>punktu</w:t>
            </w:r>
            <w:r w:rsidR="00E51C7E" w:rsidRPr="00620B46">
              <w:rPr>
                <w:rFonts w:ascii="Times New Roman" w:eastAsia="Times New Roman" w:hAnsi="Times New Roman" w:cs="Times New Roman"/>
                <w:sz w:val="26"/>
                <w:szCs w:val="26"/>
                <w:lang w:eastAsia="lv-LV"/>
              </w:rPr>
              <w:t>.</w:t>
            </w:r>
          </w:p>
        </w:tc>
      </w:tr>
      <w:tr w:rsidR="006A328C" w:rsidRPr="00620B46" w14:paraId="7B73C071" w14:textId="77777777" w:rsidTr="00620B46">
        <w:trPr>
          <w:trHeight w:val="1509"/>
        </w:trPr>
        <w:tc>
          <w:tcPr>
            <w:tcW w:w="312" w:type="dxa"/>
            <w:tcBorders>
              <w:top w:val="outset" w:sz="6" w:space="0" w:color="414142"/>
              <w:left w:val="outset" w:sz="6" w:space="0" w:color="414142"/>
              <w:bottom w:val="outset" w:sz="6" w:space="0" w:color="414142"/>
              <w:right w:val="outset" w:sz="6" w:space="0" w:color="414142"/>
            </w:tcBorders>
            <w:hideMark/>
          </w:tcPr>
          <w:p w14:paraId="77F16767"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318DC93" w14:textId="77777777" w:rsidR="00747499" w:rsidRPr="00620B46" w:rsidRDefault="004D15A9" w:rsidP="007E730B">
            <w:pPr>
              <w:spacing w:line="240" w:lineRule="auto"/>
              <w:ind w:left="101"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Pašreizējā situācija un problēmas, kuru risināšanai tiesību akta projekts izstrādāts, </w:t>
            </w:r>
            <w:r w:rsidRPr="00620B46">
              <w:rPr>
                <w:rFonts w:ascii="Times New Roman" w:eastAsia="Times New Roman" w:hAnsi="Times New Roman" w:cs="Times New Roman"/>
                <w:sz w:val="26"/>
                <w:szCs w:val="26"/>
                <w:lang w:eastAsia="lv-LV"/>
              </w:rPr>
              <w:lastRenderedPageBreak/>
              <w:t>tiesiskā regulējuma mērķis un būtība</w:t>
            </w:r>
          </w:p>
          <w:p w14:paraId="5743BE4F" w14:textId="77777777" w:rsidR="004D15A9" w:rsidRPr="00620B46" w:rsidRDefault="004D15A9" w:rsidP="007E730B">
            <w:pPr>
              <w:ind w:left="101" w:right="102"/>
              <w:jc w:val="both"/>
              <w:rPr>
                <w:rFonts w:ascii="Times New Roman" w:eastAsia="Times New Roman" w:hAnsi="Times New Roman" w:cs="Times New Roman"/>
                <w:sz w:val="26"/>
                <w:szCs w:val="26"/>
                <w:lang w:eastAsia="lv-LV"/>
              </w:rPr>
            </w:pPr>
          </w:p>
        </w:tc>
        <w:tc>
          <w:tcPr>
            <w:tcW w:w="5944" w:type="dxa"/>
            <w:tcBorders>
              <w:top w:val="outset" w:sz="6" w:space="0" w:color="414142"/>
              <w:left w:val="outset" w:sz="6" w:space="0" w:color="414142"/>
              <w:bottom w:val="outset" w:sz="6" w:space="0" w:color="414142"/>
              <w:right w:val="outset" w:sz="6" w:space="0" w:color="414142"/>
            </w:tcBorders>
            <w:hideMark/>
          </w:tcPr>
          <w:p w14:paraId="4E406FF5" w14:textId="713E1E5A" w:rsidR="00B92EB5" w:rsidRPr="00620B46" w:rsidRDefault="000F30EB" w:rsidP="007E730B">
            <w:pPr>
              <w:spacing w:before="10" w:line="240" w:lineRule="auto"/>
              <w:ind w:left="101"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MK </w:t>
            </w:r>
            <w:r w:rsidR="00E72008" w:rsidRPr="00620B46">
              <w:rPr>
                <w:rFonts w:ascii="Times New Roman" w:eastAsia="Times New Roman" w:hAnsi="Times New Roman" w:cs="Times New Roman"/>
                <w:sz w:val="26"/>
                <w:szCs w:val="26"/>
                <w:lang w:eastAsia="lv-LV"/>
              </w:rPr>
              <w:t>noteikumi Nr. </w:t>
            </w:r>
            <w:r w:rsidR="00F7166B" w:rsidRPr="00620B46">
              <w:rPr>
                <w:rFonts w:ascii="Times New Roman" w:eastAsia="Times New Roman" w:hAnsi="Times New Roman" w:cs="Times New Roman"/>
                <w:sz w:val="26"/>
                <w:szCs w:val="26"/>
                <w:lang w:eastAsia="lv-LV"/>
              </w:rPr>
              <w:t>265</w:t>
            </w:r>
            <w:r w:rsidR="00E72008" w:rsidRPr="00620B46">
              <w:rPr>
                <w:rFonts w:ascii="Times New Roman" w:eastAsia="Times New Roman" w:hAnsi="Times New Roman" w:cs="Times New Roman"/>
                <w:sz w:val="26"/>
                <w:szCs w:val="26"/>
                <w:lang w:eastAsia="lv-LV"/>
              </w:rPr>
              <w:t xml:space="preserve"> nosaka kārtību, kādā tiek īstenoti </w:t>
            </w:r>
            <w:r w:rsidR="00F7166B" w:rsidRPr="00620B46">
              <w:rPr>
                <w:rFonts w:ascii="Times New Roman" w:eastAsia="Times New Roman" w:hAnsi="Times New Roman" w:cs="Times New Roman"/>
                <w:sz w:val="26"/>
                <w:szCs w:val="26"/>
                <w:lang w:eastAsia="lv-LV"/>
              </w:rPr>
              <w:t xml:space="preserve">3.1.2.1.1. </w:t>
            </w:r>
            <w:proofErr w:type="spellStart"/>
            <w:r w:rsidR="00166990" w:rsidRPr="00620B46">
              <w:rPr>
                <w:rFonts w:ascii="Times New Roman" w:eastAsia="Times New Roman" w:hAnsi="Times New Roman" w:cs="Times New Roman"/>
                <w:sz w:val="26"/>
                <w:szCs w:val="26"/>
                <w:lang w:eastAsia="lv-LV"/>
              </w:rPr>
              <w:t>apakšaktivitātes</w:t>
            </w:r>
            <w:proofErr w:type="spellEnd"/>
            <w:r w:rsidR="00166990" w:rsidRPr="00620B46">
              <w:rPr>
                <w:rFonts w:ascii="Times New Roman" w:eastAsia="Times New Roman" w:hAnsi="Times New Roman" w:cs="Times New Roman"/>
                <w:sz w:val="26"/>
                <w:szCs w:val="26"/>
                <w:lang w:eastAsia="lv-LV"/>
              </w:rPr>
              <w:t xml:space="preserve"> "</w:t>
            </w:r>
            <w:r w:rsidR="00F7166B" w:rsidRPr="00620B46">
              <w:rPr>
                <w:rFonts w:ascii="Times New Roman" w:eastAsia="Times New Roman" w:hAnsi="Times New Roman" w:cs="Times New Roman"/>
                <w:sz w:val="26"/>
                <w:szCs w:val="26"/>
                <w:lang w:eastAsia="lv-LV"/>
              </w:rPr>
              <w:t xml:space="preserve">"Augstākās izglītības iestāžu telpu un iekārtu modernizēšana studiju programmu kvalitātes uzlabošanai, tajā skaitā nodrošinot izglītības programmu apgūšanas iespējas </w:t>
            </w:r>
            <w:r w:rsidR="00F7166B" w:rsidRPr="00620B46">
              <w:rPr>
                <w:rFonts w:ascii="Times New Roman" w:eastAsia="Times New Roman" w:hAnsi="Times New Roman" w:cs="Times New Roman"/>
                <w:sz w:val="26"/>
                <w:szCs w:val="26"/>
                <w:lang w:eastAsia="lv-LV"/>
              </w:rPr>
              <w:lastRenderedPageBreak/>
              <w:t>arī personām ar funkcionāliem traucējumiem"</w:t>
            </w:r>
            <w:r w:rsidR="00B92EB5" w:rsidRPr="00620B46">
              <w:rPr>
                <w:rFonts w:ascii="Times New Roman" w:eastAsia="Times New Roman" w:hAnsi="Times New Roman" w:cs="Times New Roman"/>
                <w:sz w:val="26"/>
                <w:szCs w:val="26"/>
                <w:lang w:eastAsia="lv-LV"/>
              </w:rPr>
              <w:t xml:space="preserve"> (turpmāk – </w:t>
            </w:r>
            <w:r w:rsidR="00F7166B" w:rsidRPr="00620B46">
              <w:rPr>
                <w:rFonts w:ascii="Times New Roman" w:eastAsia="Times New Roman" w:hAnsi="Times New Roman" w:cs="Times New Roman"/>
                <w:sz w:val="26"/>
                <w:szCs w:val="26"/>
                <w:lang w:eastAsia="lv-LV"/>
              </w:rPr>
              <w:t>3.1.2.1.1.</w:t>
            </w:r>
            <w:r w:rsidR="00705F28" w:rsidRPr="00620B46">
              <w:rPr>
                <w:rFonts w:ascii="Times New Roman" w:eastAsia="Times New Roman" w:hAnsi="Times New Roman" w:cs="Times New Roman"/>
                <w:sz w:val="26"/>
                <w:szCs w:val="26"/>
                <w:lang w:eastAsia="lv-LV"/>
              </w:rPr>
              <w:t xml:space="preserve"> </w:t>
            </w:r>
            <w:r w:rsidR="00B92EB5" w:rsidRPr="00620B46">
              <w:rPr>
                <w:rFonts w:ascii="Times New Roman" w:eastAsia="Times New Roman" w:hAnsi="Times New Roman" w:cs="Times New Roman"/>
                <w:sz w:val="26"/>
                <w:szCs w:val="26"/>
                <w:lang w:eastAsia="lv-LV"/>
              </w:rPr>
              <w:t>aktivitāte)</w:t>
            </w:r>
            <w:r w:rsidR="00166990" w:rsidRPr="00620B46">
              <w:rPr>
                <w:rFonts w:ascii="Times New Roman" w:eastAsia="Times New Roman" w:hAnsi="Times New Roman" w:cs="Times New Roman"/>
                <w:sz w:val="26"/>
                <w:szCs w:val="26"/>
                <w:lang w:eastAsia="lv-LV"/>
              </w:rPr>
              <w:t xml:space="preserve"> pirmās </w:t>
            </w:r>
            <w:r w:rsidRPr="00620B46">
              <w:rPr>
                <w:rFonts w:ascii="Times New Roman" w:eastAsia="Times New Roman" w:hAnsi="Times New Roman" w:cs="Times New Roman"/>
                <w:sz w:val="26"/>
                <w:szCs w:val="26"/>
                <w:lang w:eastAsia="lv-LV"/>
              </w:rPr>
              <w:t xml:space="preserve">projektu iesniegumu atlases </w:t>
            </w:r>
            <w:r w:rsidR="00166990" w:rsidRPr="00620B46">
              <w:rPr>
                <w:rFonts w:ascii="Times New Roman" w:eastAsia="Times New Roman" w:hAnsi="Times New Roman" w:cs="Times New Roman"/>
                <w:sz w:val="26"/>
                <w:szCs w:val="26"/>
                <w:lang w:eastAsia="lv-LV"/>
              </w:rPr>
              <w:t>kārtas</w:t>
            </w:r>
            <w:r w:rsidR="00E72008" w:rsidRPr="00620B46">
              <w:rPr>
                <w:rFonts w:ascii="Times New Roman" w:eastAsia="Times New Roman" w:hAnsi="Times New Roman" w:cs="Times New Roman"/>
                <w:sz w:val="26"/>
                <w:szCs w:val="26"/>
                <w:lang w:eastAsia="lv-LV"/>
              </w:rPr>
              <w:t xml:space="preserve"> projekti</w:t>
            </w:r>
            <w:r w:rsidRPr="00620B46">
              <w:rPr>
                <w:rFonts w:ascii="Times New Roman" w:eastAsia="Times New Roman" w:hAnsi="Times New Roman" w:cs="Times New Roman"/>
                <w:sz w:val="26"/>
                <w:szCs w:val="26"/>
                <w:lang w:eastAsia="lv-LV"/>
              </w:rPr>
              <w:t xml:space="preserve"> (turpmāk </w:t>
            </w:r>
            <w:r w:rsidR="00F7166B" w:rsidRPr="00620B46">
              <w:rPr>
                <w:rFonts w:ascii="Times New Roman" w:eastAsia="Times New Roman" w:hAnsi="Times New Roman" w:cs="Times New Roman"/>
                <w:sz w:val="26"/>
                <w:szCs w:val="26"/>
                <w:lang w:eastAsia="lv-LV"/>
              </w:rPr>
              <w:t>3.1.2.1.1.</w:t>
            </w:r>
            <w:r w:rsidRPr="00620B46">
              <w:rPr>
                <w:rFonts w:ascii="Times New Roman" w:eastAsia="Times New Roman" w:hAnsi="Times New Roman" w:cs="Times New Roman"/>
                <w:sz w:val="26"/>
                <w:szCs w:val="26"/>
                <w:lang w:eastAsia="lv-LV"/>
              </w:rPr>
              <w:t xml:space="preserve"> aktivitātes projekti)</w:t>
            </w:r>
            <w:r w:rsidR="00E72008" w:rsidRPr="00620B46">
              <w:rPr>
                <w:rFonts w:ascii="Times New Roman" w:eastAsia="Times New Roman" w:hAnsi="Times New Roman" w:cs="Times New Roman"/>
                <w:sz w:val="26"/>
                <w:szCs w:val="26"/>
                <w:lang w:eastAsia="lv-LV"/>
              </w:rPr>
              <w:t>.</w:t>
            </w:r>
            <w:r w:rsidR="00A82A82" w:rsidRPr="00620B46">
              <w:rPr>
                <w:rFonts w:ascii="Times New Roman" w:eastAsia="Times New Roman" w:hAnsi="Times New Roman" w:cs="Times New Roman"/>
                <w:sz w:val="26"/>
                <w:szCs w:val="26"/>
                <w:lang w:eastAsia="lv-LV"/>
              </w:rPr>
              <w:t xml:space="preserve"> </w:t>
            </w:r>
          </w:p>
          <w:p w14:paraId="18CA2BED" w14:textId="48EB1630" w:rsidR="00D80577" w:rsidRPr="00620B46"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Saskaņā ar MK noteikumiem Nr. </w:t>
            </w:r>
            <w:r w:rsidR="00F7166B" w:rsidRPr="00620B46">
              <w:rPr>
                <w:rFonts w:ascii="Times New Roman" w:eastAsia="Times New Roman" w:hAnsi="Times New Roman" w:cs="Times New Roman"/>
                <w:sz w:val="26"/>
                <w:szCs w:val="26"/>
                <w:lang w:eastAsia="lv-LV"/>
              </w:rPr>
              <w:t>265</w:t>
            </w:r>
            <w:r w:rsidRPr="00620B46">
              <w:rPr>
                <w:rFonts w:ascii="Times New Roman" w:eastAsia="Times New Roman" w:hAnsi="Times New Roman" w:cs="Times New Roman"/>
                <w:sz w:val="26"/>
                <w:szCs w:val="26"/>
                <w:lang w:eastAsia="lv-LV"/>
              </w:rPr>
              <w:t xml:space="preserve"> </w:t>
            </w:r>
            <w:r w:rsidR="00F7166B" w:rsidRPr="00620B46">
              <w:rPr>
                <w:rFonts w:ascii="Times New Roman" w:eastAsia="Times New Roman" w:hAnsi="Times New Roman" w:cs="Times New Roman"/>
                <w:sz w:val="26"/>
                <w:szCs w:val="26"/>
                <w:lang w:eastAsia="lv-LV"/>
              </w:rPr>
              <w:t>3.1.2.1.1</w:t>
            </w:r>
            <w:r w:rsidRPr="00620B46">
              <w:rPr>
                <w:rFonts w:ascii="Times New Roman" w:eastAsia="Times New Roman" w:hAnsi="Times New Roman" w:cs="Times New Roman"/>
                <w:sz w:val="26"/>
                <w:szCs w:val="26"/>
                <w:lang w:eastAsia="lv-LV"/>
              </w:rPr>
              <w:t xml:space="preserve"> aktivitātes ietvaros atbalstu sniedza </w:t>
            </w:r>
            <w:r w:rsidR="00D80577" w:rsidRPr="00620B46">
              <w:rPr>
                <w:rFonts w:ascii="Times New Roman" w:eastAsia="Times New Roman" w:hAnsi="Times New Roman" w:cs="Times New Roman"/>
                <w:sz w:val="26"/>
                <w:szCs w:val="26"/>
                <w:lang w:eastAsia="lv-LV"/>
              </w:rPr>
              <w:t xml:space="preserve">studiju programmu īstenošanai nepieciešamās infrastruktūras modernizēšanai </w:t>
            </w:r>
            <w:r w:rsidR="00F7166B" w:rsidRPr="00620B46">
              <w:rPr>
                <w:rFonts w:ascii="Times New Roman" w:eastAsia="Times New Roman" w:hAnsi="Times New Roman" w:cs="Times New Roman"/>
                <w:sz w:val="26"/>
                <w:szCs w:val="26"/>
                <w:lang w:eastAsia="lv-LV"/>
              </w:rPr>
              <w:t>augstāk</w:t>
            </w:r>
            <w:r w:rsidR="00D80577" w:rsidRPr="00620B46">
              <w:rPr>
                <w:rFonts w:ascii="Times New Roman" w:eastAsia="Times New Roman" w:hAnsi="Times New Roman" w:cs="Times New Roman"/>
                <w:sz w:val="26"/>
                <w:szCs w:val="26"/>
                <w:lang w:eastAsia="lv-LV"/>
              </w:rPr>
              <w:t>ās</w:t>
            </w:r>
            <w:r w:rsidR="00F7166B" w:rsidRPr="00620B46">
              <w:rPr>
                <w:rFonts w:ascii="Times New Roman" w:eastAsia="Times New Roman" w:hAnsi="Times New Roman" w:cs="Times New Roman"/>
                <w:sz w:val="26"/>
                <w:szCs w:val="26"/>
                <w:lang w:eastAsia="lv-LV"/>
              </w:rPr>
              <w:t xml:space="preserve"> izglītības </w:t>
            </w:r>
            <w:r w:rsidR="00EC0F43" w:rsidRPr="00620B46">
              <w:rPr>
                <w:rFonts w:ascii="Times New Roman" w:eastAsia="Times New Roman" w:hAnsi="Times New Roman" w:cs="Times New Roman"/>
                <w:sz w:val="26"/>
                <w:szCs w:val="26"/>
                <w:lang w:eastAsia="lv-LV"/>
              </w:rPr>
              <w:t>institūcijās</w:t>
            </w:r>
            <w:r w:rsidR="00881A91" w:rsidRPr="00620B46">
              <w:rPr>
                <w:rFonts w:ascii="Times New Roman" w:eastAsia="Times New Roman" w:hAnsi="Times New Roman" w:cs="Times New Roman"/>
                <w:sz w:val="26"/>
                <w:szCs w:val="26"/>
                <w:lang w:eastAsia="lv-LV"/>
              </w:rPr>
              <w:t>, tai skaitā</w:t>
            </w:r>
            <w:r w:rsidR="00D80577" w:rsidRPr="00620B46">
              <w:rPr>
                <w:rFonts w:ascii="Times New Roman" w:eastAsia="Times New Roman" w:hAnsi="Times New Roman" w:cs="Times New Roman"/>
                <w:sz w:val="26"/>
                <w:szCs w:val="26"/>
                <w:lang w:eastAsia="lv-LV"/>
              </w:rPr>
              <w:t xml:space="preserve">: </w:t>
            </w:r>
          </w:p>
          <w:p w14:paraId="0106BA5D" w14:textId="0483D85A" w:rsidR="00D80577" w:rsidRPr="00620B46" w:rsidRDefault="00D80577"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 Baltijas Starptautiskā Akadēmija</w:t>
            </w:r>
            <w:r w:rsidR="00881A91" w:rsidRPr="00620B46">
              <w:rPr>
                <w:rFonts w:ascii="Times New Roman" w:eastAsia="Times New Roman" w:hAnsi="Times New Roman" w:cs="Times New Roman"/>
                <w:sz w:val="26"/>
                <w:szCs w:val="26"/>
                <w:lang w:eastAsia="lv-LV"/>
              </w:rPr>
              <w:t>;</w:t>
            </w:r>
          </w:p>
          <w:p w14:paraId="7A281FFA" w14:textId="0105441E" w:rsidR="00D80577" w:rsidRPr="00620B46" w:rsidRDefault="00D80577"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 Daugavpils medicīnas koledža;</w:t>
            </w:r>
          </w:p>
          <w:p w14:paraId="705FC1BD" w14:textId="510FB7AE" w:rsidR="00D80577" w:rsidRPr="00620B46" w:rsidRDefault="00D80577"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 Daugavpils Universitāte</w:t>
            </w:r>
            <w:r w:rsidR="00881A91" w:rsidRPr="00620B46">
              <w:rPr>
                <w:rFonts w:ascii="Times New Roman" w:eastAsia="Times New Roman" w:hAnsi="Times New Roman" w:cs="Times New Roman"/>
                <w:sz w:val="26"/>
                <w:szCs w:val="26"/>
                <w:lang w:eastAsia="lv-LV"/>
              </w:rPr>
              <w:t>;</w:t>
            </w:r>
          </w:p>
          <w:p w14:paraId="66FE2573" w14:textId="7151E8CD" w:rsidR="00BD1AA2"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4. </w:t>
            </w:r>
            <w:r w:rsidR="00BD1AA2" w:rsidRPr="00620B46">
              <w:rPr>
                <w:rFonts w:ascii="Times New Roman" w:eastAsia="Times New Roman" w:hAnsi="Times New Roman" w:cs="Times New Roman"/>
                <w:sz w:val="26"/>
                <w:szCs w:val="26"/>
                <w:lang w:eastAsia="lv-LV"/>
              </w:rPr>
              <w:t>Informācijas sistēmu menedžmenta augstskola;</w:t>
            </w:r>
          </w:p>
          <w:p w14:paraId="24986812" w14:textId="6E5CF85B"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5. </w:t>
            </w:r>
            <w:r w:rsidR="00D80577" w:rsidRPr="00620B46">
              <w:rPr>
                <w:rFonts w:ascii="Times New Roman" w:eastAsia="Times New Roman" w:hAnsi="Times New Roman" w:cs="Times New Roman"/>
                <w:sz w:val="26"/>
                <w:szCs w:val="26"/>
                <w:lang w:eastAsia="lv-LV"/>
              </w:rPr>
              <w:t>Jāzepa Vītola Latvijas Mūzikas akadēmija;</w:t>
            </w:r>
          </w:p>
          <w:p w14:paraId="05DD507C" w14:textId="37E4E3EB"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Jūras akadēmija</w:t>
            </w:r>
            <w:r w:rsidR="00881A91" w:rsidRPr="00620B46">
              <w:rPr>
                <w:rFonts w:ascii="Times New Roman" w:eastAsia="Times New Roman" w:hAnsi="Times New Roman" w:cs="Times New Roman"/>
                <w:sz w:val="26"/>
                <w:szCs w:val="26"/>
                <w:lang w:eastAsia="lv-LV"/>
              </w:rPr>
              <w:t>;</w:t>
            </w:r>
            <w:r w:rsidR="00D80577" w:rsidRPr="00620B46">
              <w:rPr>
                <w:rFonts w:ascii="Times New Roman" w:eastAsia="Times New Roman" w:hAnsi="Times New Roman" w:cs="Times New Roman"/>
                <w:sz w:val="26"/>
                <w:szCs w:val="26"/>
                <w:lang w:eastAsia="lv-LV"/>
              </w:rPr>
              <w:t xml:space="preserve">  </w:t>
            </w:r>
          </w:p>
          <w:p w14:paraId="166565A3" w14:textId="58335EBD"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7</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Kultūras akadēmija;</w:t>
            </w:r>
          </w:p>
          <w:p w14:paraId="4AF8E7B8" w14:textId="65437F91"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8</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Lauksaimniecības universitāte</w:t>
            </w:r>
            <w:r w:rsidR="00881A91" w:rsidRPr="00620B46">
              <w:rPr>
                <w:rFonts w:ascii="Times New Roman" w:eastAsia="Times New Roman" w:hAnsi="Times New Roman" w:cs="Times New Roman"/>
                <w:sz w:val="26"/>
                <w:szCs w:val="26"/>
                <w:lang w:eastAsia="lv-LV"/>
              </w:rPr>
              <w:t>;</w:t>
            </w:r>
          </w:p>
          <w:p w14:paraId="49DE5EF3" w14:textId="317288BA"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9</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Mākslas akadēmija</w:t>
            </w:r>
            <w:r w:rsidR="00881A91" w:rsidRPr="00620B46">
              <w:rPr>
                <w:rFonts w:ascii="Times New Roman" w:eastAsia="Times New Roman" w:hAnsi="Times New Roman" w:cs="Times New Roman"/>
                <w:sz w:val="26"/>
                <w:szCs w:val="26"/>
                <w:lang w:eastAsia="lv-LV"/>
              </w:rPr>
              <w:t>;</w:t>
            </w:r>
          </w:p>
          <w:p w14:paraId="72ED79B3" w14:textId="11AFD59A" w:rsidR="00D80577" w:rsidRPr="00620B46" w:rsidRDefault="00BD1AA2"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11</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Sporta pedagoģijas akadēmija</w:t>
            </w:r>
            <w:r w:rsidR="00881A91" w:rsidRPr="00620B46">
              <w:rPr>
                <w:rFonts w:ascii="Times New Roman" w:eastAsia="Times New Roman" w:hAnsi="Times New Roman" w:cs="Times New Roman"/>
                <w:sz w:val="26"/>
                <w:szCs w:val="26"/>
                <w:lang w:eastAsia="lv-LV"/>
              </w:rPr>
              <w:t>;</w:t>
            </w:r>
          </w:p>
          <w:p w14:paraId="6DE93CAA" w14:textId="20226827" w:rsidR="00E95C46" w:rsidRPr="00620B46" w:rsidRDefault="00881A91" w:rsidP="00BD1AA2">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BD1AA2" w:rsidRPr="00620B46">
              <w:rPr>
                <w:rFonts w:ascii="Times New Roman" w:eastAsia="Times New Roman" w:hAnsi="Times New Roman" w:cs="Times New Roman"/>
                <w:sz w:val="26"/>
                <w:szCs w:val="26"/>
                <w:lang w:eastAsia="lv-LV"/>
              </w:rPr>
              <w:t>1</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Latvijas Universitāte</w:t>
            </w:r>
            <w:r w:rsidR="00E95C46" w:rsidRPr="00620B46">
              <w:rPr>
                <w:rFonts w:ascii="Times New Roman" w:eastAsia="Times New Roman" w:hAnsi="Times New Roman" w:cs="Times New Roman"/>
                <w:sz w:val="26"/>
                <w:szCs w:val="26"/>
                <w:lang w:eastAsia="lv-LV"/>
              </w:rPr>
              <w:t xml:space="preserve">, </w:t>
            </w:r>
            <w:r w:rsidR="00BD1AA2" w:rsidRPr="00620B46">
              <w:rPr>
                <w:rFonts w:ascii="Times New Roman" w:eastAsia="Times New Roman" w:hAnsi="Times New Roman" w:cs="Times New Roman"/>
                <w:sz w:val="26"/>
                <w:szCs w:val="26"/>
                <w:lang w:eastAsia="lv-LV"/>
              </w:rPr>
              <w:t>t.sk.</w:t>
            </w:r>
            <w:r w:rsidR="00E95C46" w:rsidRPr="00620B46">
              <w:rPr>
                <w:rFonts w:ascii="Times New Roman" w:eastAsia="Times New Roman" w:hAnsi="Times New Roman" w:cs="Times New Roman"/>
                <w:sz w:val="26"/>
                <w:szCs w:val="26"/>
                <w:lang w:eastAsia="lv-LV"/>
              </w:rPr>
              <w:t>:</w:t>
            </w:r>
          </w:p>
          <w:p w14:paraId="2CDDD88B" w14:textId="19E9244D" w:rsidR="00BD1AA2" w:rsidRPr="00620B46" w:rsidRDefault="00E95C46" w:rsidP="00BD1AA2">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11.1. </w:t>
            </w:r>
            <w:r w:rsidR="00BD1AA2" w:rsidRPr="00620B46">
              <w:rPr>
                <w:rFonts w:ascii="Times New Roman" w:eastAsia="Times New Roman" w:hAnsi="Times New Roman" w:cs="Times New Roman"/>
                <w:sz w:val="26"/>
                <w:szCs w:val="26"/>
                <w:lang w:eastAsia="lv-LV"/>
              </w:rPr>
              <w:t>Rīgas Pedagoģijas un izglītības vadības akadēmija</w:t>
            </w:r>
            <w:r w:rsidRPr="00620B46">
              <w:rPr>
                <w:rFonts w:ascii="Times New Roman" w:eastAsia="Times New Roman" w:hAnsi="Times New Roman" w:cs="Times New Roman"/>
                <w:sz w:val="26"/>
                <w:szCs w:val="26"/>
                <w:lang w:eastAsia="lv-LV"/>
              </w:rPr>
              <w:t>s projekts</w:t>
            </w:r>
            <w:r w:rsidR="00BD1AA2" w:rsidRPr="00620B46">
              <w:rPr>
                <w:rFonts w:ascii="Times New Roman" w:eastAsia="Times New Roman" w:hAnsi="Times New Roman" w:cs="Times New Roman"/>
                <w:sz w:val="26"/>
                <w:szCs w:val="26"/>
                <w:lang w:eastAsia="lv-LV"/>
              </w:rPr>
              <w:t>;</w:t>
            </w:r>
          </w:p>
          <w:p w14:paraId="63027343" w14:textId="5A4B2194" w:rsidR="00E95C46" w:rsidRPr="00620B46" w:rsidRDefault="00E95C46" w:rsidP="00BD1AA2">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11.2. Latvijas Universitātes P. Stradiņa medicīnas koledžas projekts;</w:t>
            </w:r>
          </w:p>
          <w:p w14:paraId="352D0DD6" w14:textId="6A204AE2"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2</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Liepājas Jūrniecības koledža</w:t>
            </w:r>
            <w:r w:rsidRPr="00620B46">
              <w:rPr>
                <w:rFonts w:ascii="Times New Roman" w:eastAsia="Times New Roman" w:hAnsi="Times New Roman" w:cs="Times New Roman"/>
                <w:sz w:val="26"/>
                <w:szCs w:val="26"/>
                <w:lang w:eastAsia="lv-LV"/>
              </w:rPr>
              <w:t>;</w:t>
            </w:r>
          </w:p>
          <w:p w14:paraId="1C78A81B" w14:textId="4B329A01"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3</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Liepājas medicīnas koledža</w:t>
            </w:r>
            <w:r w:rsidRPr="00620B46">
              <w:rPr>
                <w:rFonts w:ascii="Times New Roman" w:eastAsia="Times New Roman" w:hAnsi="Times New Roman" w:cs="Times New Roman"/>
                <w:sz w:val="26"/>
                <w:szCs w:val="26"/>
                <w:lang w:eastAsia="lv-LV"/>
              </w:rPr>
              <w:t>;</w:t>
            </w:r>
          </w:p>
          <w:p w14:paraId="5BD5D3B9" w14:textId="2C202533"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4</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Liepājas Universitāte</w:t>
            </w:r>
            <w:r w:rsidRPr="00620B46">
              <w:rPr>
                <w:rFonts w:ascii="Times New Roman" w:eastAsia="Times New Roman" w:hAnsi="Times New Roman" w:cs="Times New Roman"/>
                <w:sz w:val="26"/>
                <w:szCs w:val="26"/>
                <w:lang w:eastAsia="lv-LV"/>
              </w:rPr>
              <w:t>;</w:t>
            </w:r>
          </w:p>
          <w:p w14:paraId="352837B9" w14:textId="73A16AED"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5</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Malnavas koledža</w:t>
            </w:r>
            <w:r w:rsidRPr="00620B46">
              <w:rPr>
                <w:rFonts w:ascii="Times New Roman" w:eastAsia="Times New Roman" w:hAnsi="Times New Roman" w:cs="Times New Roman"/>
                <w:sz w:val="26"/>
                <w:szCs w:val="26"/>
                <w:lang w:eastAsia="lv-LV"/>
              </w:rPr>
              <w:t>;</w:t>
            </w:r>
          </w:p>
          <w:p w14:paraId="62EE940A" w14:textId="3A03CD15"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6</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Olaines Mehānikas un tehnoloģijas koledža</w:t>
            </w:r>
            <w:r w:rsidRPr="00620B46">
              <w:rPr>
                <w:rFonts w:ascii="Times New Roman" w:eastAsia="Times New Roman" w:hAnsi="Times New Roman" w:cs="Times New Roman"/>
                <w:sz w:val="26"/>
                <w:szCs w:val="26"/>
                <w:lang w:eastAsia="lv-LV"/>
              </w:rPr>
              <w:t>;</w:t>
            </w:r>
          </w:p>
          <w:p w14:paraId="4EF6078C" w14:textId="3EDF770B" w:rsidR="00D80577" w:rsidRPr="00620B46" w:rsidRDefault="00E95C46"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17. </w:t>
            </w:r>
            <w:r w:rsidR="00D80577" w:rsidRPr="00620B46">
              <w:rPr>
                <w:rFonts w:ascii="Times New Roman" w:eastAsia="Times New Roman" w:hAnsi="Times New Roman" w:cs="Times New Roman"/>
                <w:sz w:val="26"/>
                <w:szCs w:val="26"/>
                <w:lang w:eastAsia="lv-LV"/>
              </w:rPr>
              <w:t>Rēzeknes Augstskola</w:t>
            </w:r>
            <w:r w:rsidR="00881A91" w:rsidRPr="00620B46">
              <w:rPr>
                <w:rFonts w:ascii="Times New Roman" w:eastAsia="Times New Roman" w:hAnsi="Times New Roman" w:cs="Times New Roman"/>
                <w:sz w:val="26"/>
                <w:szCs w:val="26"/>
                <w:lang w:eastAsia="lv-LV"/>
              </w:rPr>
              <w:t>;</w:t>
            </w:r>
          </w:p>
          <w:p w14:paraId="4F8C7221" w14:textId="3988DF2C"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8</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Rīgas 1. medicīnas koledža</w:t>
            </w:r>
            <w:r w:rsidRPr="00620B46">
              <w:rPr>
                <w:rFonts w:ascii="Times New Roman" w:eastAsia="Times New Roman" w:hAnsi="Times New Roman" w:cs="Times New Roman"/>
                <w:sz w:val="26"/>
                <w:szCs w:val="26"/>
                <w:lang w:eastAsia="lv-LV"/>
              </w:rPr>
              <w:t>;</w:t>
            </w:r>
          </w:p>
          <w:p w14:paraId="5A0347E2" w14:textId="6B4DF4A7"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r w:rsidR="00E95C46" w:rsidRPr="00620B46">
              <w:rPr>
                <w:rFonts w:ascii="Times New Roman" w:eastAsia="Times New Roman" w:hAnsi="Times New Roman" w:cs="Times New Roman"/>
                <w:sz w:val="26"/>
                <w:szCs w:val="26"/>
                <w:lang w:eastAsia="lv-LV"/>
              </w:rPr>
              <w:t>9</w:t>
            </w:r>
            <w:r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Rīgas Celtniecības koledža</w:t>
            </w:r>
            <w:r w:rsidRPr="00620B46">
              <w:rPr>
                <w:rFonts w:ascii="Times New Roman" w:eastAsia="Times New Roman" w:hAnsi="Times New Roman" w:cs="Times New Roman"/>
                <w:sz w:val="26"/>
                <w:szCs w:val="26"/>
                <w:lang w:eastAsia="lv-LV"/>
              </w:rPr>
              <w:t>;</w:t>
            </w:r>
          </w:p>
          <w:p w14:paraId="4AE99885" w14:textId="7555091A" w:rsidR="00D80577" w:rsidRPr="00620B46" w:rsidRDefault="00E95C46"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20</w:t>
            </w:r>
            <w:r w:rsidR="00881A91" w:rsidRPr="00620B46">
              <w:rPr>
                <w:rFonts w:ascii="Times New Roman" w:eastAsia="Times New Roman" w:hAnsi="Times New Roman" w:cs="Times New Roman"/>
                <w:sz w:val="26"/>
                <w:szCs w:val="26"/>
                <w:lang w:eastAsia="lv-LV"/>
              </w:rPr>
              <w:t>. </w:t>
            </w:r>
            <w:r w:rsidR="00D80577" w:rsidRPr="00620B46">
              <w:rPr>
                <w:rFonts w:ascii="Times New Roman" w:eastAsia="Times New Roman" w:hAnsi="Times New Roman" w:cs="Times New Roman"/>
                <w:sz w:val="26"/>
                <w:szCs w:val="26"/>
                <w:lang w:eastAsia="lv-LV"/>
              </w:rPr>
              <w:t>Rīgas Medicīnas koledža</w:t>
            </w:r>
            <w:r w:rsidR="00881A91" w:rsidRPr="00620B46">
              <w:rPr>
                <w:rFonts w:ascii="Times New Roman" w:eastAsia="Times New Roman" w:hAnsi="Times New Roman" w:cs="Times New Roman"/>
                <w:sz w:val="26"/>
                <w:szCs w:val="26"/>
                <w:lang w:eastAsia="lv-LV"/>
              </w:rPr>
              <w:t>;</w:t>
            </w:r>
          </w:p>
          <w:p w14:paraId="02DE699D" w14:textId="57DB287D"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21. </w:t>
            </w:r>
            <w:r w:rsidR="00D80577" w:rsidRPr="00620B46">
              <w:rPr>
                <w:rFonts w:ascii="Times New Roman" w:eastAsia="Times New Roman" w:hAnsi="Times New Roman" w:cs="Times New Roman"/>
                <w:sz w:val="26"/>
                <w:szCs w:val="26"/>
                <w:lang w:eastAsia="lv-LV"/>
              </w:rPr>
              <w:t>Rīgas Stradiņa universitāte</w:t>
            </w:r>
            <w:r w:rsidRPr="00620B46">
              <w:rPr>
                <w:rFonts w:ascii="Times New Roman" w:eastAsia="Times New Roman" w:hAnsi="Times New Roman" w:cs="Times New Roman"/>
                <w:sz w:val="26"/>
                <w:szCs w:val="26"/>
                <w:lang w:eastAsia="lv-LV"/>
              </w:rPr>
              <w:t>;</w:t>
            </w:r>
          </w:p>
          <w:p w14:paraId="29864CC8" w14:textId="48DFC88A"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22. </w:t>
            </w:r>
            <w:r w:rsidR="00D80577" w:rsidRPr="00620B46">
              <w:rPr>
                <w:rFonts w:ascii="Times New Roman" w:eastAsia="Times New Roman" w:hAnsi="Times New Roman" w:cs="Times New Roman"/>
                <w:sz w:val="26"/>
                <w:szCs w:val="26"/>
                <w:lang w:eastAsia="lv-LV"/>
              </w:rPr>
              <w:t>Rīgas Tehniskā koledža</w:t>
            </w:r>
            <w:r w:rsidRPr="00620B46">
              <w:rPr>
                <w:rFonts w:ascii="Times New Roman" w:eastAsia="Times New Roman" w:hAnsi="Times New Roman" w:cs="Times New Roman"/>
                <w:sz w:val="26"/>
                <w:szCs w:val="26"/>
                <w:lang w:eastAsia="lv-LV"/>
              </w:rPr>
              <w:t>;</w:t>
            </w:r>
          </w:p>
          <w:p w14:paraId="203C5699" w14:textId="148D0EBD"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23. </w:t>
            </w:r>
            <w:r w:rsidR="00D80577" w:rsidRPr="00620B46">
              <w:rPr>
                <w:rFonts w:ascii="Times New Roman" w:eastAsia="Times New Roman" w:hAnsi="Times New Roman" w:cs="Times New Roman"/>
                <w:sz w:val="26"/>
                <w:szCs w:val="26"/>
                <w:lang w:eastAsia="lv-LV"/>
              </w:rPr>
              <w:t>Rīgas Tehniskā universitāte</w:t>
            </w:r>
            <w:r w:rsidRPr="00620B46">
              <w:rPr>
                <w:rFonts w:ascii="Times New Roman" w:eastAsia="Times New Roman" w:hAnsi="Times New Roman" w:cs="Times New Roman"/>
                <w:sz w:val="26"/>
                <w:szCs w:val="26"/>
                <w:lang w:eastAsia="lv-LV"/>
              </w:rPr>
              <w:t>;</w:t>
            </w:r>
          </w:p>
          <w:p w14:paraId="45D2F011" w14:textId="496EAB51"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24. </w:t>
            </w:r>
            <w:r w:rsidR="00D80577" w:rsidRPr="00620B46">
              <w:rPr>
                <w:rFonts w:ascii="Times New Roman" w:eastAsia="Times New Roman" w:hAnsi="Times New Roman" w:cs="Times New Roman"/>
                <w:sz w:val="26"/>
                <w:szCs w:val="26"/>
                <w:lang w:eastAsia="lv-LV"/>
              </w:rPr>
              <w:t>Sarkanā Krusta medicīnas koledža</w:t>
            </w:r>
            <w:r w:rsidRPr="00620B46">
              <w:rPr>
                <w:rFonts w:ascii="Times New Roman" w:eastAsia="Times New Roman" w:hAnsi="Times New Roman" w:cs="Times New Roman"/>
                <w:sz w:val="26"/>
                <w:szCs w:val="26"/>
                <w:lang w:eastAsia="lv-LV"/>
              </w:rPr>
              <w:t>;</w:t>
            </w:r>
          </w:p>
          <w:p w14:paraId="56B4A7D5" w14:textId="7B69E146"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26. </w:t>
            </w:r>
            <w:r w:rsidR="00D80577" w:rsidRPr="00620B46">
              <w:rPr>
                <w:rFonts w:ascii="Times New Roman" w:eastAsia="Times New Roman" w:hAnsi="Times New Roman" w:cs="Times New Roman"/>
                <w:sz w:val="26"/>
                <w:szCs w:val="26"/>
                <w:lang w:eastAsia="lv-LV"/>
              </w:rPr>
              <w:t>Sociālās integrācijas valsts aģentūra</w:t>
            </w:r>
            <w:r w:rsidRPr="00620B46">
              <w:rPr>
                <w:rFonts w:ascii="Times New Roman" w:eastAsia="Times New Roman" w:hAnsi="Times New Roman" w:cs="Times New Roman"/>
                <w:sz w:val="26"/>
                <w:szCs w:val="26"/>
                <w:lang w:eastAsia="lv-LV"/>
              </w:rPr>
              <w:t>;</w:t>
            </w:r>
            <w:r w:rsidR="00D80577" w:rsidRPr="00620B46">
              <w:rPr>
                <w:rFonts w:ascii="Times New Roman" w:eastAsia="Times New Roman" w:hAnsi="Times New Roman" w:cs="Times New Roman"/>
                <w:sz w:val="26"/>
                <w:szCs w:val="26"/>
                <w:lang w:eastAsia="lv-LV"/>
              </w:rPr>
              <w:t xml:space="preserve"> </w:t>
            </w:r>
          </w:p>
          <w:p w14:paraId="6B976CEB" w14:textId="5E1B7A60"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27. </w:t>
            </w:r>
            <w:r w:rsidR="00D80577" w:rsidRPr="00620B46">
              <w:rPr>
                <w:rFonts w:ascii="Times New Roman" w:eastAsia="Times New Roman" w:hAnsi="Times New Roman" w:cs="Times New Roman"/>
                <w:sz w:val="26"/>
                <w:szCs w:val="26"/>
                <w:lang w:eastAsia="lv-LV"/>
              </w:rPr>
              <w:t>Transporta un sakaru institūts</w:t>
            </w:r>
            <w:r w:rsidRPr="00620B46">
              <w:rPr>
                <w:rFonts w:ascii="Times New Roman" w:eastAsia="Times New Roman" w:hAnsi="Times New Roman" w:cs="Times New Roman"/>
                <w:sz w:val="26"/>
                <w:szCs w:val="26"/>
                <w:lang w:eastAsia="lv-LV"/>
              </w:rPr>
              <w:t>;</w:t>
            </w:r>
          </w:p>
          <w:p w14:paraId="2B3A6BB5" w14:textId="332F21EB"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28. </w:t>
            </w:r>
            <w:r w:rsidR="00D80577" w:rsidRPr="00620B46">
              <w:rPr>
                <w:rFonts w:ascii="Times New Roman" w:eastAsia="Times New Roman" w:hAnsi="Times New Roman" w:cs="Times New Roman"/>
                <w:sz w:val="26"/>
                <w:szCs w:val="26"/>
                <w:lang w:eastAsia="lv-LV"/>
              </w:rPr>
              <w:t>Ventspils Augstskola</w:t>
            </w:r>
            <w:r w:rsidRPr="00620B46">
              <w:rPr>
                <w:rFonts w:ascii="Times New Roman" w:eastAsia="Times New Roman" w:hAnsi="Times New Roman" w:cs="Times New Roman"/>
                <w:sz w:val="26"/>
                <w:szCs w:val="26"/>
                <w:lang w:eastAsia="lv-LV"/>
              </w:rPr>
              <w:t>;</w:t>
            </w:r>
          </w:p>
          <w:p w14:paraId="7B42CDCD" w14:textId="378629C4" w:rsidR="00D80577" w:rsidRPr="00620B46" w:rsidRDefault="00881A91" w:rsidP="00D80577">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29.</w:t>
            </w:r>
            <w:r w:rsidR="00D80577" w:rsidRPr="00620B46">
              <w:rPr>
                <w:rFonts w:ascii="Times New Roman" w:eastAsia="Times New Roman" w:hAnsi="Times New Roman" w:cs="Times New Roman"/>
                <w:sz w:val="26"/>
                <w:szCs w:val="26"/>
                <w:lang w:eastAsia="lv-LV"/>
              </w:rPr>
              <w:t>Vidzemes Augstskola</w:t>
            </w:r>
            <w:r w:rsidRPr="00620B46">
              <w:rPr>
                <w:rFonts w:ascii="Times New Roman" w:eastAsia="Times New Roman" w:hAnsi="Times New Roman" w:cs="Times New Roman"/>
                <w:sz w:val="26"/>
                <w:szCs w:val="26"/>
                <w:lang w:eastAsia="lv-LV"/>
              </w:rPr>
              <w:t>.</w:t>
            </w:r>
          </w:p>
          <w:p w14:paraId="3F9D810A" w14:textId="0484AF4B" w:rsidR="004110F6" w:rsidRPr="00620B46" w:rsidRDefault="004110F6" w:rsidP="002B1556">
            <w:pPr>
              <w:spacing w:before="60" w:after="60"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Saskaņā ar </w:t>
            </w:r>
            <w:r w:rsidR="008C5488" w:rsidRPr="00620B46">
              <w:rPr>
                <w:rFonts w:ascii="Times New Roman" w:eastAsia="Times New Roman" w:hAnsi="Times New Roman" w:cs="Times New Roman"/>
                <w:sz w:val="26"/>
                <w:szCs w:val="26"/>
                <w:lang w:eastAsia="lv-LV"/>
              </w:rPr>
              <w:t xml:space="preserve">Komisijas paziņojuma "Nostādnes par valsts atbalstu pētniecībai, izstrādei un inovācijai" (Eiropas </w:t>
            </w:r>
            <w:r w:rsidR="008C5488" w:rsidRPr="00620B46">
              <w:rPr>
                <w:rFonts w:ascii="Times New Roman" w:eastAsia="Times New Roman" w:hAnsi="Times New Roman" w:cs="Times New Roman"/>
                <w:sz w:val="26"/>
                <w:szCs w:val="26"/>
                <w:lang w:eastAsia="lv-LV"/>
              </w:rPr>
              <w:lastRenderedPageBreak/>
              <w:t xml:space="preserve">Savienības Oficiālais Vēstnesis, 2014. gada 27. jūnijs, Nr. C 198/1) (turpmāk – Pamatnostādnes) 20. punktu: </w:t>
            </w:r>
            <w:r w:rsidR="003549DB" w:rsidRPr="00620B46">
              <w:rPr>
                <w:rFonts w:ascii="Times New Roman" w:eastAsia="Times New Roman" w:hAnsi="Times New Roman" w:cs="Times New Roman"/>
                <w:i/>
                <w:sz w:val="26"/>
                <w:szCs w:val="26"/>
                <w:lang w:eastAsia="lv-LV"/>
              </w:rPr>
              <w:t>…Ja infrastruktūru izmanto galvenokārt tikai nesaimnieciskajai darbībai, valsts atbalsta noteikumi uz attiecīgo finansējumu var vispār neattiekties ar nosacījumu, ka saimnieciskais izmantojums ir vienīgi papildinošs, tas ir, šī ir ierobežotas jomas darbība, kura ir tieši saistīta ar infrastruktūras ekspluatāciju un ir tai nepieciešama vai cieši saistīta ar tās galveno nesaimniecisko izmantojumu. Šis nosacījums būtu jāuzskata par izpildītu, ja attiecīgā saimnieciskā darbība patērē tos pašus resursus (piemēram, tos pašus materiālus, iekārtas, darbaspēku, pamatkapitālu) kā nesaimnieciskā darbība un ja šai saimnieciskajai darbībai iedalītā jauda ik gadu nepārsniedz 20 % no infrastruktūras kopējās gada jaudas</w:t>
            </w:r>
            <w:r w:rsidR="003549DB" w:rsidRPr="00620B46">
              <w:rPr>
                <w:rFonts w:ascii="Times New Roman" w:eastAsia="Times New Roman" w:hAnsi="Times New Roman" w:cs="Times New Roman"/>
                <w:sz w:val="26"/>
                <w:szCs w:val="26"/>
                <w:lang w:eastAsia="lv-LV"/>
              </w:rPr>
              <w:t>.</w:t>
            </w:r>
            <w:r w:rsidRPr="00620B46">
              <w:rPr>
                <w:rFonts w:ascii="Times New Roman" w:eastAsia="Times New Roman" w:hAnsi="Times New Roman" w:cs="Times New Roman"/>
                <w:sz w:val="26"/>
                <w:szCs w:val="26"/>
                <w:lang w:eastAsia="lv-LV"/>
              </w:rPr>
              <w:t xml:space="preserve"> </w:t>
            </w:r>
          </w:p>
          <w:p w14:paraId="364F6F2D" w14:textId="370510FF" w:rsidR="00C27286" w:rsidRPr="00620B46" w:rsidRDefault="00676B31"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Ievērojot </w:t>
            </w:r>
            <w:r w:rsidR="00A34C85">
              <w:rPr>
                <w:rFonts w:ascii="Times New Roman" w:eastAsia="Times New Roman" w:hAnsi="Times New Roman" w:cs="Times New Roman"/>
                <w:sz w:val="26"/>
                <w:szCs w:val="26"/>
                <w:lang w:eastAsia="lv-LV"/>
              </w:rPr>
              <w:t xml:space="preserve">minētās </w:t>
            </w:r>
            <w:r w:rsidR="00A34C85" w:rsidRPr="00620B46">
              <w:rPr>
                <w:rFonts w:ascii="Times New Roman" w:eastAsia="Times New Roman" w:hAnsi="Times New Roman" w:cs="Times New Roman"/>
                <w:sz w:val="26"/>
                <w:szCs w:val="26"/>
                <w:lang w:eastAsia="lv-LV"/>
              </w:rPr>
              <w:t>Eiropas Komisijas valsts atbalsta modernizācijas iniciatīv</w:t>
            </w:r>
            <w:r w:rsidR="00A34C85">
              <w:rPr>
                <w:rFonts w:ascii="Times New Roman" w:eastAsia="Times New Roman" w:hAnsi="Times New Roman" w:cs="Times New Roman"/>
                <w:sz w:val="26"/>
                <w:szCs w:val="26"/>
                <w:lang w:eastAsia="lv-LV"/>
              </w:rPr>
              <w:t>as</w:t>
            </w:r>
            <w:r w:rsidRPr="00620B46">
              <w:rPr>
                <w:rFonts w:ascii="Times New Roman" w:eastAsia="Times New Roman" w:hAnsi="Times New Roman" w:cs="Times New Roman"/>
                <w:sz w:val="26"/>
                <w:szCs w:val="26"/>
                <w:lang w:eastAsia="lv-LV"/>
              </w:rPr>
              <w:t>,</w:t>
            </w:r>
            <w:r w:rsidR="00C27286" w:rsidRPr="00620B46">
              <w:rPr>
                <w:rFonts w:ascii="Times New Roman" w:eastAsia="Times New Roman" w:hAnsi="Times New Roman" w:cs="Times New Roman"/>
                <w:sz w:val="26"/>
                <w:szCs w:val="26"/>
                <w:lang w:eastAsia="lv-LV"/>
              </w:rPr>
              <w:t xml:space="preserve"> noteikumu projekts paredz veikt MK noteikumu Nr.</w:t>
            </w:r>
            <w:r w:rsidR="008C5488" w:rsidRPr="00620B46">
              <w:rPr>
                <w:rFonts w:ascii="Times New Roman" w:eastAsia="Times New Roman" w:hAnsi="Times New Roman" w:cs="Times New Roman"/>
                <w:sz w:val="26"/>
                <w:szCs w:val="26"/>
                <w:lang w:eastAsia="lv-LV"/>
              </w:rPr>
              <w:t>265</w:t>
            </w:r>
            <w:r w:rsidR="00C27286" w:rsidRPr="00620B46">
              <w:rPr>
                <w:rFonts w:ascii="Times New Roman" w:eastAsia="Times New Roman" w:hAnsi="Times New Roman" w:cs="Times New Roman"/>
                <w:sz w:val="26"/>
                <w:szCs w:val="26"/>
                <w:lang w:eastAsia="lv-LV"/>
              </w:rPr>
              <w:t xml:space="preserve"> grozījumus</w:t>
            </w:r>
            <w:r w:rsidR="00A34C85">
              <w:rPr>
                <w:rFonts w:ascii="Times New Roman" w:eastAsia="Times New Roman" w:hAnsi="Times New Roman" w:cs="Times New Roman"/>
                <w:sz w:val="26"/>
                <w:szCs w:val="26"/>
                <w:lang w:eastAsia="lv-LV"/>
              </w:rPr>
              <w:t xml:space="preserve">, lai nodrošinātu </w:t>
            </w:r>
            <w:r w:rsidR="00A34C85" w:rsidRPr="00A34C85">
              <w:rPr>
                <w:rFonts w:ascii="Times New Roman" w:eastAsia="Times New Roman" w:hAnsi="Times New Roman" w:cs="Times New Roman"/>
                <w:sz w:val="26"/>
                <w:szCs w:val="26"/>
                <w:lang w:eastAsia="lv-LV"/>
              </w:rPr>
              <w:t>viennozīmīg</w:t>
            </w:r>
            <w:r w:rsidR="00A34C85">
              <w:rPr>
                <w:rFonts w:ascii="Times New Roman" w:eastAsia="Times New Roman" w:hAnsi="Times New Roman" w:cs="Times New Roman"/>
                <w:sz w:val="26"/>
                <w:szCs w:val="26"/>
                <w:lang w:eastAsia="lv-LV"/>
              </w:rPr>
              <w:t>u</w:t>
            </w:r>
            <w:r w:rsidR="00A34C85" w:rsidRPr="00A34C85">
              <w:rPr>
                <w:rFonts w:ascii="Times New Roman" w:eastAsia="Times New Roman" w:hAnsi="Times New Roman" w:cs="Times New Roman"/>
                <w:sz w:val="26"/>
                <w:szCs w:val="26"/>
                <w:lang w:eastAsia="lv-LV"/>
              </w:rPr>
              <w:t xml:space="preserve"> normu piemērošan</w:t>
            </w:r>
            <w:r w:rsidR="00A34C85">
              <w:rPr>
                <w:rFonts w:ascii="Times New Roman" w:eastAsia="Times New Roman" w:hAnsi="Times New Roman" w:cs="Times New Roman"/>
                <w:sz w:val="26"/>
                <w:szCs w:val="26"/>
                <w:lang w:eastAsia="lv-LV"/>
              </w:rPr>
              <w:t>u</w:t>
            </w:r>
            <w:r w:rsidR="00C27286" w:rsidRPr="00620B46">
              <w:rPr>
                <w:rFonts w:ascii="Times New Roman" w:eastAsia="Times New Roman" w:hAnsi="Times New Roman" w:cs="Times New Roman"/>
                <w:sz w:val="26"/>
                <w:szCs w:val="26"/>
                <w:lang w:eastAsia="lv-LV"/>
              </w:rPr>
              <w:t>:</w:t>
            </w:r>
          </w:p>
          <w:p w14:paraId="1F9B17D4" w14:textId="6B7E5978" w:rsidR="00CB11FC" w:rsidRPr="00620B46" w:rsidRDefault="003F4D5C" w:rsidP="00962A67">
            <w:pPr>
              <w:pStyle w:val="ListParagraph"/>
              <w:spacing w:after="60" w:line="240" w:lineRule="auto"/>
              <w:ind w:left="102" w:right="102"/>
              <w:contextualSpacing w:val="0"/>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1. </w:t>
            </w:r>
            <w:r w:rsidR="00CB11FC" w:rsidRPr="00620B46">
              <w:rPr>
                <w:rFonts w:ascii="Times New Roman" w:eastAsia="Times New Roman" w:hAnsi="Times New Roman" w:cs="Times New Roman"/>
                <w:sz w:val="26"/>
                <w:szCs w:val="26"/>
                <w:lang w:eastAsia="lv-LV"/>
              </w:rPr>
              <w:t xml:space="preserve">Atbilstoši Pamatnostādņu 20. punktam </w:t>
            </w:r>
            <w:r w:rsidRPr="00620B46">
              <w:rPr>
                <w:rFonts w:ascii="Times New Roman" w:eastAsia="Times New Roman" w:hAnsi="Times New Roman" w:cs="Times New Roman"/>
                <w:sz w:val="26"/>
                <w:szCs w:val="26"/>
                <w:lang w:eastAsia="lv-LV"/>
              </w:rPr>
              <w:t xml:space="preserve">MK noteikumi </w:t>
            </w:r>
            <w:r w:rsidR="0072004D" w:rsidRPr="00620B46">
              <w:rPr>
                <w:rFonts w:ascii="Times New Roman" w:eastAsia="Times New Roman" w:hAnsi="Times New Roman" w:cs="Times New Roman"/>
                <w:sz w:val="26"/>
                <w:szCs w:val="26"/>
                <w:lang w:eastAsia="lv-LV"/>
              </w:rPr>
              <w:t>N</w:t>
            </w:r>
            <w:r w:rsidRPr="00620B46">
              <w:rPr>
                <w:rFonts w:ascii="Times New Roman" w:eastAsia="Times New Roman" w:hAnsi="Times New Roman" w:cs="Times New Roman"/>
                <w:sz w:val="26"/>
                <w:szCs w:val="26"/>
                <w:lang w:eastAsia="lv-LV"/>
              </w:rPr>
              <w:t xml:space="preserve">r. </w:t>
            </w:r>
            <w:r w:rsidR="008C5488" w:rsidRPr="00620B46">
              <w:rPr>
                <w:rFonts w:ascii="Times New Roman" w:eastAsia="Times New Roman" w:hAnsi="Times New Roman" w:cs="Times New Roman"/>
                <w:sz w:val="26"/>
                <w:szCs w:val="26"/>
                <w:lang w:eastAsia="lv-LV"/>
              </w:rPr>
              <w:t>265</w:t>
            </w:r>
            <w:r w:rsidR="002B1804" w:rsidRPr="00620B46">
              <w:rPr>
                <w:rFonts w:ascii="Times New Roman" w:eastAsia="Times New Roman" w:hAnsi="Times New Roman" w:cs="Times New Roman"/>
                <w:sz w:val="26"/>
                <w:szCs w:val="26"/>
                <w:lang w:eastAsia="lv-LV"/>
              </w:rPr>
              <w:t xml:space="preserve"> </w:t>
            </w:r>
            <w:r w:rsidRPr="00620B46">
              <w:rPr>
                <w:rFonts w:ascii="Times New Roman" w:eastAsia="Times New Roman" w:hAnsi="Times New Roman" w:cs="Times New Roman"/>
                <w:sz w:val="26"/>
                <w:szCs w:val="26"/>
                <w:lang w:eastAsia="lv-LV"/>
              </w:rPr>
              <w:t xml:space="preserve">papildināti </w:t>
            </w:r>
            <w:r w:rsidR="00CB11FC" w:rsidRPr="00620B46">
              <w:rPr>
                <w:rFonts w:ascii="Times New Roman" w:eastAsia="Times New Roman" w:hAnsi="Times New Roman" w:cs="Times New Roman"/>
                <w:sz w:val="26"/>
                <w:szCs w:val="26"/>
                <w:lang w:eastAsia="lv-LV"/>
              </w:rPr>
              <w:t xml:space="preserve">ar </w:t>
            </w:r>
            <w:r w:rsidR="002B1556" w:rsidRPr="00620B46">
              <w:rPr>
                <w:rFonts w:ascii="Times New Roman" w:eastAsia="Times New Roman" w:hAnsi="Times New Roman" w:cs="Times New Roman"/>
                <w:sz w:val="26"/>
                <w:szCs w:val="26"/>
                <w:lang w:eastAsia="lv-LV"/>
              </w:rPr>
              <w:t xml:space="preserve">terminu </w:t>
            </w:r>
            <w:r w:rsidRPr="00620B46">
              <w:rPr>
                <w:rFonts w:ascii="Times New Roman" w:eastAsia="Times New Roman" w:hAnsi="Times New Roman" w:cs="Times New Roman"/>
                <w:sz w:val="26"/>
                <w:szCs w:val="26"/>
                <w:lang w:eastAsia="lv-LV"/>
              </w:rPr>
              <w:t>ierobežotas jomas darbība</w:t>
            </w:r>
            <w:r w:rsidR="002B1804" w:rsidRPr="00620B46">
              <w:rPr>
                <w:rFonts w:ascii="Times New Roman" w:eastAsia="Times New Roman" w:hAnsi="Times New Roman" w:cs="Times New Roman"/>
                <w:sz w:val="26"/>
                <w:szCs w:val="26"/>
                <w:lang w:eastAsia="lv-LV"/>
              </w:rPr>
              <w:t xml:space="preserve"> (</w:t>
            </w:r>
            <w:r w:rsidR="00AA6AEE" w:rsidRPr="00620B46">
              <w:rPr>
                <w:rFonts w:ascii="Times New Roman" w:eastAsia="Times New Roman" w:hAnsi="Times New Roman" w:cs="Times New Roman"/>
                <w:sz w:val="26"/>
                <w:szCs w:val="26"/>
                <w:lang w:eastAsia="lv-LV"/>
              </w:rPr>
              <w:t xml:space="preserve">MK noteikumu Nr. </w:t>
            </w:r>
            <w:r w:rsidR="008C5488" w:rsidRPr="00620B46">
              <w:rPr>
                <w:rFonts w:ascii="Times New Roman" w:eastAsia="Times New Roman" w:hAnsi="Times New Roman" w:cs="Times New Roman"/>
                <w:sz w:val="26"/>
                <w:szCs w:val="26"/>
                <w:lang w:eastAsia="lv-LV"/>
              </w:rPr>
              <w:t>265</w:t>
            </w:r>
            <w:r w:rsidR="00AA6AEE" w:rsidRPr="00620B46">
              <w:rPr>
                <w:rFonts w:ascii="Times New Roman" w:eastAsia="Times New Roman" w:hAnsi="Times New Roman" w:cs="Times New Roman"/>
                <w:sz w:val="26"/>
                <w:szCs w:val="26"/>
                <w:lang w:eastAsia="lv-LV"/>
              </w:rPr>
              <w:t xml:space="preserve"> </w:t>
            </w:r>
            <w:r w:rsidR="002B1804" w:rsidRPr="00620B46">
              <w:rPr>
                <w:rFonts w:ascii="Times New Roman" w:eastAsia="Times New Roman" w:hAnsi="Times New Roman" w:cs="Times New Roman"/>
                <w:sz w:val="26"/>
                <w:szCs w:val="26"/>
                <w:lang w:eastAsia="lv-LV"/>
              </w:rPr>
              <w:t>2</w:t>
            </w:r>
            <w:r w:rsidR="000C790B" w:rsidRPr="00620B46">
              <w:rPr>
                <w:rFonts w:ascii="Times New Roman" w:eastAsia="Times New Roman" w:hAnsi="Times New Roman" w:cs="Times New Roman"/>
                <w:sz w:val="26"/>
                <w:szCs w:val="26"/>
                <w:lang w:eastAsia="lv-LV"/>
              </w:rPr>
              <w:t>1</w:t>
            </w:r>
            <w:r w:rsidR="002B1804" w:rsidRPr="00620B46">
              <w:rPr>
                <w:rFonts w:ascii="Times New Roman" w:eastAsia="Times New Roman" w:hAnsi="Times New Roman" w:cs="Times New Roman"/>
                <w:sz w:val="26"/>
                <w:szCs w:val="26"/>
                <w:lang w:eastAsia="lv-LV"/>
              </w:rPr>
              <w:t>.</w:t>
            </w:r>
            <w:r w:rsidR="002B1804" w:rsidRPr="00620B46">
              <w:rPr>
                <w:rFonts w:ascii="Times New Roman" w:eastAsia="Times New Roman" w:hAnsi="Times New Roman" w:cs="Times New Roman"/>
                <w:sz w:val="26"/>
                <w:szCs w:val="26"/>
                <w:vertAlign w:val="superscript"/>
                <w:lang w:eastAsia="lv-LV"/>
              </w:rPr>
              <w:t>1</w:t>
            </w:r>
            <w:r w:rsidR="000C790B" w:rsidRPr="00620B46">
              <w:rPr>
                <w:rFonts w:ascii="Times New Roman" w:eastAsia="Times New Roman" w:hAnsi="Times New Roman" w:cs="Times New Roman"/>
                <w:sz w:val="26"/>
                <w:szCs w:val="26"/>
                <w:vertAlign w:val="superscript"/>
                <w:lang w:eastAsia="lv-LV"/>
              </w:rPr>
              <w:t> </w:t>
            </w:r>
            <w:r w:rsidR="000C790B" w:rsidRPr="00620B46">
              <w:rPr>
                <w:rFonts w:ascii="Times New Roman" w:eastAsia="Times New Roman" w:hAnsi="Times New Roman" w:cs="Times New Roman"/>
                <w:sz w:val="26"/>
                <w:szCs w:val="26"/>
                <w:lang w:eastAsia="lv-LV"/>
              </w:rPr>
              <w:t>2.</w:t>
            </w:r>
            <w:r w:rsidR="002B1804" w:rsidRPr="00620B46">
              <w:rPr>
                <w:rFonts w:ascii="Times New Roman" w:eastAsia="Times New Roman" w:hAnsi="Times New Roman" w:cs="Times New Roman"/>
                <w:sz w:val="26"/>
                <w:szCs w:val="26"/>
                <w:lang w:eastAsia="lv-LV"/>
              </w:rPr>
              <w:t xml:space="preserve"> apakšpunkts)</w:t>
            </w:r>
            <w:r w:rsidR="00676B31" w:rsidRPr="00620B46">
              <w:rPr>
                <w:rFonts w:ascii="Times New Roman" w:eastAsia="Times New Roman" w:hAnsi="Times New Roman" w:cs="Times New Roman"/>
                <w:sz w:val="26"/>
                <w:szCs w:val="26"/>
                <w:lang w:eastAsia="lv-LV"/>
              </w:rPr>
              <w:t xml:space="preserve">. </w:t>
            </w:r>
            <w:r w:rsidR="008C5488" w:rsidRPr="00620B46">
              <w:rPr>
                <w:rFonts w:ascii="Times New Roman" w:eastAsia="Times New Roman" w:hAnsi="Times New Roman" w:cs="Times New Roman"/>
                <w:sz w:val="26"/>
                <w:szCs w:val="26"/>
                <w:lang w:eastAsia="lv-LV"/>
              </w:rPr>
              <w:t>3.1.2.1.1. </w:t>
            </w:r>
            <w:r w:rsidR="00676B31" w:rsidRPr="00620B46">
              <w:rPr>
                <w:rFonts w:ascii="Times New Roman" w:eastAsia="Times New Roman" w:hAnsi="Times New Roman" w:cs="Times New Roman"/>
                <w:sz w:val="26"/>
                <w:szCs w:val="26"/>
                <w:lang w:eastAsia="lv-LV"/>
              </w:rPr>
              <w:t xml:space="preserve">aktivitātes projektos veiktā ierobežotas jomas darbība ir uzskatāma par </w:t>
            </w:r>
            <w:r w:rsidR="000F30EB" w:rsidRPr="00620B46">
              <w:rPr>
                <w:rFonts w:ascii="Times New Roman" w:eastAsia="Times New Roman" w:hAnsi="Times New Roman" w:cs="Times New Roman"/>
                <w:sz w:val="26"/>
                <w:szCs w:val="26"/>
                <w:lang w:eastAsia="lv-LV"/>
              </w:rPr>
              <w:t>darbību, kurai nav saimniecisks raksturs</w:t>
            </w:r>
            <w:r w:rsidR="00676B31" w:rsidRPr="00620B46">
              <w:rPr>
                <w:rFonts w:ascii="Times New Roman" w:eastAsia="Times New Roman" w:hAnsi="Times New Roman" w:cs="Times New Roman"/>
                <w:sz w:val="26"/>
                <w:szCs w:val="26"/>
                <w:lang w:eastAsia="lv-LV"/>
              </w:rPr>
              <w:t>, un šai darbībai ir piemērojams tāds pats regulējums kā pārējai ar saimniecisku darbību nesaistītai darbībai</w:t>
            </w:r>
            <w:r w:rsidR="00E01F4B" w:rsidRPr="00620B46">
              <w:rPr>
                <w:rFonts w:ascii="Times New Roman" w:eastAsia="Times New Roman" w:hAnsi="Times New Roman" w:cs="Times New Roman"/>
                <w:sz w:val="26"/>
                <w:szCs w:val="26"/>
                <w:lang w:eastAsia="lv-LV"/>
              </w:rPr>
              <w:t xml:space="preserve">. Termina “ierobežotas jomas darbība” ieviešanas rezultātā projektu īstenotājiem tiek radīti labvēlīgāki nosacījumi, salīdzinot ar šobrīd esošo situāciju, jo ar komercdarbības atbalstu nesaistīta projekta ietvaros izveidotu/iegādātu infrastruktūru projekta pārskata (dzīves cikla) periodā var izmantot ierobežotas jomas darbības – </w:t>
            </w:r>
            <w:r w:rsidR="008C5488" w:rsidRPr="00620B46">
              <w:rPr>
                <w:rFonts w:ascii="Times New Roman" w:eastAsia="Times New Roman" w:hAnsi="Times New Roman" w:cs="Times New Roman"/>
                <w:sz w:val="26"/>
                <w:szCs w:val="26"/>
                <w:lang w:eastAsia="lv-LV"/>
              </w:rPr>
              <w:t>augstākās izglītības institūcijas</w:t>
            </w:r>
            <w:r w:rsidR="00E01F4B" w:rsidRPr="00620B46">
              <w:rPr>
                <w:rFonts w:ascii="Times New Roman" w:eastAsia="Times New Roman" w:hAnsi="Times New Roman" w:cs="Times New Roman"/>
                <w:sz w:val="26"/>
                <w:szCs w:val="26"/>
                <w:lang w:eastAsia="lv-LV"/>
              </w:rPr>
              <w:t xml:space="preserve"> vai </w:t>
            </w:r>
            <w:r w:rsidR="000C790B" w:rsidRPr="00620B46">
              <w:rPr>
                <w:rFonts w:ascii="Times New Roman" w:eastAsia="Times New Roman" w:hAnsi="Times New Roman" w:cs="Times New Roman"/>
                <w:sz w:val="26"/>
                <w:szCs w:val="26"/>
                <w:lang w:eastAsia="lv-LV"/>
              </w:rPr>
              <w:t xml:space="preserve">modernizētās </w:t>
            </w:r>
            <w:r w:rsidR="00E01F4B" w:rsidRPr="00620B46">
              <w:rPr>
                <w:rFonts w:ascii="Times New Roman" w:eastAsia="Times New Roman" w:hAnsi="Times New Roman" w:cs="Times New Roman"/>
                <w:sz w:val="26"/>
                <w:szCs w:val="26"/>
                <w:lang w:eastAsia="lv-LV"/>
              </w:rPr>
              <w:t xml:space="preserve">infrastruktūras saimnieciskās pamatdarbības īstenošanai. Vienlaikus šis projekts joprojām var tikt uzskatīts par projektu, kuram nav saimniecisks raksturs. </w:t>
            </w:r>
          </w:p>
          <w:p w14:paraId="2B46F788" w14:textId="1BEDE0C2" w:rsidR="00CB11FC" w:rsidRPr="00620B46" w:rsidRDefault="00E01F4B" w:rsidP="00962A67">
            <w:pPr>
              <w:pStyle w:val="ListParagraph"/>
              <w:spacing w:after="60" w:line="240" w:lineRule="auto"/>
              <w:ind w:left="102" w:right="102"/>
              <w:contextualSpacing w:val="0"/>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Lai varētu piemērot Pamatnostādņu 20.punktā noteikto, ir jānodrošina atbilstoša projekta ikgadēja uzraudzība projekta pārskata (dzīves cikla) periodā, kas noteikts, ievērojot Komisijas 2014. gada 3. marta Regulā Nr.480/2014, ar kuru papildina Eiropas </w:t>
            </w:r>
            <w:r w:rsidRPr="00620B46">
              <w:rPr>
                <w:rFonts w:ascii="Times New Roman" w:eastAsia="Times New Roman" w:hAnsi="Times New Roman" w:cs="Times New Roman"/>
                <w:sz w:val="26"/>
                <w:szCs w:val="26"/>
                <w:lang w:eastAsia="lv-LV"/>
              </w:rPr>
              <w:lastRenderedPageBreak/>
              <w:t>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pielikumā noteikto</w:t>
            </w:r>
            <w:r w:rsidR="002B1556" w:rsidRPr="00620B46">
              <w:rPr>
                <w:rFonts w:ascii="Times New Roman" w:eastAsia="Times New Roman" w:hAnsi="Times New Roman" w:cs="Times New Roman"/>
                <w:sz w:val="26"/>
                <w:szCs w:val="26"/>
                <w:lang w:eastAsia="lv-LV"/>
              </w:rPr>
              <w:t>.</w:t>
            </w:r>
            <w:r w:rsidR="00CB11FC" w:rsidRPr="00620B46">
              <w:rPr>
                <w:rFonts w:ascii="Times New Roman" w:eastAsia="Times New Roman" w:hAnsi="Times New Roman" w:cs="Times New Roman"/>
                <w:sz w:val="26"/>
                <w:szCs w:val="26"/>
                <w:lang w:eastAsia="lv-LV"/>
              </w:rPr>
              <w:t xml:space="preserve"> </w:t>
            </w:r>
          </w:p>
          <w:p w14:paraId="42D08BE8" w14:textId="58D9BFBC" w:rsidR="00CB11FC" w:rsidRPr="00620B46" w:rsidRDefault="00CB11FC" w:rsidP="00962A67">
            <w:pPr>
              <w:pStyle w:val="ListParagraph"/>
              <w:spacing w:after="60" w:line="240" w:lineRule="auto"/>
              <w:ind w:left="102" w:right="102"/>
              <w:contextualSpacing w:val="0"/>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Saskaņā ar Komisijas regulu Nr.480/2014 atbildīgā iestāde metodiskajos noteikumos</w:t>
            </w:r>
            <w:r w:rsidR="00EE5EF8" w:rsidRPr="00620B46">
              <w:rPr>
                <w:rStyle w:val="FootnoteReference"/>
                <w:rFonts w:ascii="Times New Roman" w:eastAsia="Times New Roman" w:hAnsi="Times New Roman" w:cs="Times New Roman"/>
                <w:sz w:val="26"/>
                <w:szCs w:val="26"/>
                <w:lang w:eastAsia="lv-LV"/>
              </w:rPr>
              <w:footnoteReference w:id="1"/>
            </w:r>
            <w:r w:rsidRPr="00620B46">
              <w:rPr>
                <w:rFonts w:ascii="Times New Roman" w:eastAsia="Times New Roman" w:hAnsi="Times New Roman" w:cs="Times New Roman"/>
                <w:sz w:val="26"/>
                <w:szCs w:val="26"/>
                <w:lang w:eastAsia="lv-LV"/>
              </w:rPr>
              <w:t xml:space="preserve"> par izmaksu-ieguvumu analīzes izstrādi 3.1.2.1. aktivitātes ietvaros ir noteikusi, ka 3.1.2.1.1. aktivitātes projektu dzīves cikls ir 15 gadi. Vienlaikus jāņem vērā, ka projekta ekonomiski lietderīgais laikposms – pārskata periods var būt īsāks par 15 gadiem (tajā skaitā šādos gadījumos: projekta ietvaros nav veikta ēku renovācija vai jaunas būves būvniecība, institūcijas likvidācijas gadījumā vai sadarbības iestādei nav tiesiska pamata nodrošināt projekta uzraudzību).</w:t>
            </w:r>
          </w:p>
          <w:p w14:paraId="2F3DA01A" w14:textId="5869E293" w:rsidR="00CB11FC" w:rsidRPr="00620B46" w:rsidRDefault="00CB11FC" w:rsidP="00962A67">
            <w:pPr>
              <w:pStyle w:val="ListParagraph"/>
              <w:spacing w:after="60" w:line="240" w:lineRule="auto"/>
              <w:ind w:left="102" w:right="102"/>
              <w:contextualSpacing w:val="0"/>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 Eiropas Parlamenta un Padomes 2013. gada 17. decembra Regulas (ES) Nr. </w:t>
            </w:r>
            <w:hyperlink r:id="rId8" w:tgtFrame="_blank" w:history="1">
              <w:r w:rsidRPr="00620B46">
                <w:rPr>
                  <w:rFonts w:ascii="Times New Roman" w:eastAsia="Times New Roman" w:hAnsi="Times New Roman" w:cs="Times New Roman"/>
                  <w:sz w:val="26"/>
                  <w:szCs w:val="26"/>
                  <w:lang w:eastAsia="lv-LV"/>
                </w:rPr>
                <w:t>1303/2013</w:t>
              </w:r>
            </w:hyperlink>
            <w:r w:rsidRPr="00620B46">
              <w:rPr>
                <w:rFonts w:ascii="Times New Roman" w:eastAsia="Times New Roman" w:hAnsi="Times New Roman" w:cs="Times New Roman"/>
                <w:sz w:val="26"/>
                <w:szCs w:val="26"/>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620B46">
                <w:rPr>
                  <w:rFonts w:ascii="Times New Roman" w:eastAsia="Times New Roman" w:hAnsi="Times New Roman" w:cs="Times New Roman"/>
                  <w:sz w:val="26"/>
                  <w:szCs w:val="26"/>
                  <w:lang w:eastAsia="lv-LV"/>
                </w:rPr>
                <w:t>1083/2006</w:t>
              </w:r>
            </w:hyperlink>
            <w:r w:rsidRPr="00620B46">
              <w:rPr>
                <w:rFonts w:ascii="Times New Roman" w:eastAsia="Times New Roman" w:hAnsi="Times New Roman" w:cs="Times New Roman"/>
                <w:sz w:val="26"/>
                <w:szCs w:val="26"/>
                <w:lang w:eastAsia="lv-LV"/>
              </w:rPr>
              <w:t xml:space="preserve"> 71. panta 1. un 2. punkta izriet, ka: a) ar saimniecisku darbību nesaistīta projekta vai projekta daļas </w:t>
            </w:r>
            <w:proofErr w:type="spellStart"/>
            <w:r w:rsidRPr="00620B46">
              <w:rPr>
                <w:rFonts w:ascii="Times New Roman" w:eastAsia="Times New Roman" w:hAnsi="Times New Roman" w:cs="Times New Roman"/>
                <w:sz w:val="26"/>
                <w:szCs w:val="26"/>
                <w:lang w:eastAsia="lv-LV"/>
              </w:rPr>
              <w:t>pēcuzraudzību</w:t>
            </w:r>
            <w:proofErr w:type="spellEnd"/>
            <w:r w:rsidRPr="00620B46">
              <w:rPr>
                <w:rFonts w:ascii="Times New Roman" w:eastAsia="Times New Roman" w:hAnsi="Times New Roman" w:cs="Times New Roman"/>
                <w:sz w:val="26"/>
                <w:szCs w:val="26"/>
                <w:lang w:eastAsia="lv-LV"/>
              </w:rPr>
              <w:t xml:space="preserve"> veic piecu gadu periodā pēc noslēguma maksājuma veikšanas finansējuma saņēmējam; b) ja no Eiropas strukturāliem un investīciju fondiem saņemtais atbalsts ir valsts atbalsts, desmit gadu termiņu aizstāj ar termiņu, kas piemērojams saskaņā ar valsts atbalsta noteikumiem. Ja ierobežotas jomas darbība nepārsniegs 20 procentus no infrastruktūras kopējās gada jaudas finanšu izteiksmē, ierobežotas jomas darbība uzskatāma par nesaimnieciska rakstura </w:t>
            </w:r>
            <w:r w:rsidRPr="00620B46">
              <w:rPr>
                <w:rFonts w:ascii="Times New Roman" w:eastAsia="Times New Roman" w:hAnsi="Times New Roman" w:cs="Times New Roman"/>
                <w:sz w:val="26"/>
                <w:szCs w:val="26"/>
                <w:lang w:eastAsia="lv-LV"/>
              </w:rPr>
              <w:lastRenderedPageBreak/>
              <w:t>darbību, vienlaikus (ņemot vērā DG COMP e-</w:t>
            </w:r>
            <w:proofErr w:type="spellStart"/>
            <w:r w:rsidRPr="00620B46">
              <w:rPr>
                <w:rFonts w:ascii="Times New Roman" w:eastAsia="Times New Roman" w:hAnsi="Times New Roman" w:cs="Times New Roman"/>
                <w:sz w:val="26"/>
                <w:szCs w:val="26"/>
                <w:lang w:eastAsia="lv-LV"/>
              </w:rPr>
              <w:t>State</w:t>
            </w:r>
            <w:proofErr w:type="spellEnd"/>
            <w:r w:rsidRPr="00620B46">
              <w:rPr>
                <w:rFonts w:ascii="Times New Roman" w:eastAsia="Times New Roman" w:hAnsi="Times New Roman" w:cs="Times New Roman"/>
                <w:sz w:val="26"/>
                <w:szCs w:val="26"/>
                <w:lang w:eastAsia="lv-LV"/>
              </w:rPr>
              <w:t xml:space="preserve"> Aid WIKI sistēmā sniegtos skaidrojumus</w:t>
            </w:r>
            <w:r w:rsidR="00F2680F" w:rsidRPr="00620B46">
              <w:rPr>
                <w:rStyle w:val="FootnoteReference"/>
                <w:rFonts w:ascii="Times New Roman" w:eastAsia="Times New Roman" w:hAnsi="Times New Roman" w:cs="Times New Roman"/>
                <w:sz w:val="26"/>
                <w:szCs w:val="26"/>
                <w:lang w:eastAsia="lv-LV"/>
              </w:rPr>
              <w:footnoteReference w:id="2"/>
            </w:r>
            <w:r w:rsidRPr="00620B46">
              <w:rPr>
                <w:rFonts w:ascii="Times New Roman" w:eastAsia="Times New Roman" w:hAnsi="Times New Roman" w:cs="Times New Roman"/>
                <w:sz w:val="26"/>
                <w:szCs w:val="26"/>
                <w:lang w:eastAsia="lv-LV"/>
              </w:rPr>
              <w:t xml:space="preserve">) ir jānodrošina projektu uzraudzība, lai pārliecinātos par to, ka minētais ierobežotas jomas darbības procentuālais limits tiek ievērots visā projekta dzīves cikla laikā. </w:t>
            </w:r>
          </w:p>
          <w:p w14:paraId="4E6F75AE" w14:textId="44FAC06E" w:rsidR="000F30EB" w:rsidRPr="00620B46" w:rsidRDefault="00CB11FC"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2. Atbilstoši Pamatnostādņu 25. punktam MK noteikumi Nr. 265 papildināti ar terminu </w:t>
            </w:r>
            <w:r w:rsidR="000F30EB" w:rsidRPr="00620B46">
              <w:rPr>
                <w:rFonts w:ascii="Times New Roman" w:eastAsia="Times New Roman" w:hAnsi="Times New Roman" w:cs="Times New Roman"/>
                <w:sz w:val="26"/>
                <w:szCs w:val="26"/>
                <w:lang w:eastAsia="lv-LV"/>
              </w:rPr>
              <w:t>tirgus cena (</w:t>
            </w:r>
            <w:r w:rsidR="00AA6AEE" w:rsidRPr="00620B46">
              <w:rPr>
                <w:rFonts w:ascii="Times New Roman" w:eastAsia="Times New Roman" w:hAnsi="Times New Roman" w:cs="Times New Roman"/>
                <w:sz w:val="26"/>
                <w:szCs w:val="26"/>
                <w:lang w:eastAsia="lv-LV"/>
              </w:rPr>
              <w:t xml:space="preserve">MK noteikumu Nr. </w:t>
            </w:r>
            <w:r w:rsidR="000C790B" w:rsidRPr="00620B46">
              <w:rPr>
                <w:rFonts w:ascii="Times New Roman" w:eastAsia="Times New Roman" w:hAnsi="Times New Roman" w:cs="Times New Roman"/>
                <w:sz w:val="26"/>
                <w:szCs w:val="26"/>
                <w:lang w:eastAsia="lv-LV"/>
              </w:rPr>
              <w:t>265</w:t>
            </w:r>
            <w:r w:rsidR="00AA6AEE" w:rsidRPr="00620B46">
              <w:rPr>
                <w:rFonts w:ascii="Times New Roman" w:eastAsia="Times New Roman" w:hAnsi="Times New Roman" w:cs="Times New Roman"/>
                <w:sz w:val="26"/>
                <w:szCs w:val="26"/>
                <w:lang w:eastAsia="lv-LV"/>
              </w:rPr>
              <w:t xml:space="preserve"> </w:t>
            </w:r>
            <w:r w:rsidR="000C790B" w:rsidRPr="00620B46">
              <w:rPr>
                <w:rFonts w:ascii="Times New Roman" w:eastAsia="Times New Roman" w:hAnsi="Times New Roman" w:cs="Times New Roman"/>
                <w:sz w:val="26"/>
                <w:szCs w:val="26"/>
                <w:lang w:eastAsia="lv-LV"/>
              </w:rPr>
              <w:t>21.</w:t>
            </w:r>
            <w:r w:rsidR="000C790B" w:rsidRPr="00620B46">
              <w:rPr>
                <w:rFonts w:ascii="Times New Roman" w:eastAsia="Times New Roman" w:hAnsi="Times New Roman" w:cs="Times New Roman"/>
                <w:sz w:val="26"/>
                <w:szCs w:val="26"/>
                <w:vertAlign w:val="superscript"/>
                <w:lang w:eastAsia="lv-LV"/>
              </w:rPr>
              <w:t>2 </w:t>
            </w:r>
            <w:r w:rsidR="000C790B" w:rsidRPr="00620B46">
              <w:rPr>
                <w:rFonts w:ascii="Times New Roman" w:eastAsia="Times New Roman" w:hAnsi="Times New Roman" w:cs="Times New Roman"/>
                <w:sz w:val="26"/>
                <w:szCs w:val="26"/>
                <w:lang w:eastAsia="lv-LV"/>
              </w:rPr>
              <w:t xml:space="preserve">2. </w:t>
            </w:r>
            <w:r w:rsidR="000F30EB" w:rsidRPr="00620B46">
              <w:rPr>
                <w:rFonts w:ascii="Times New Roman" w:eastAsia="Times New Roman" w:hAnsi="Times New Roman" w:cs="Times New Roman"/>
                <w:sz w:val="26"/>
                <w:szCs w:val="26"/>
                <w:lang w:eastAsia="lv-LV"/>
              </w:rPr>
              <w:t xml:space="preserve"> apakšpunkts)</w:t>
            </w:r>
            <w:r w:rsidR="002F2941" w:rsidRPr="00620B46">
              <w:rPr>
                <w:rFonts w:ascii="Times New Roman" w:eastAsia="Times New Roman" w:hAnsi="Times New Roman" w:cs="Times New Roman"/>
                <w:sz w:val="26"/>
                <w:szCs w:val="26"/>
                <w:lang w:eastAsia="lv-LV"/>
              </w:rPr>
              <w:t>.</w:t>
            </w:r>
            <w:r w:rsidR="0072004D" w:rsidRPr="00620B46">
              <w:rPr>
                <w:rFonts w:ascii="Times New Roman" w:eastAsia="Times New Roman" w:hAnsi="Times New Roman" w:cs="Times New Roman"/>
                <w:sz w:val="26"/>
                <w:szCs w:val="26"/>
                <w:lang w:eastAsia="lv-LV"/>
              </w:rPr>
              <w:t xml:space="preserve"> Termins skaidro nosacījumus, kas piemērojami, nodrošinot piekļuvi </w:t>
            </w:r>
            <w:r w:rsidR="000C790B" w:rsidRPr="00620B46">
              <w:rPr>
                <w:rFonts w:ascii="Times New Roman" w:eastAsia="Times New Roman" w:hAnsi="Times New Roman" w:cs="Times New Roman"/>
                <w:sz w:val="26"/>
                <w:szCs w:val="26"/>
                <w:lang w:eastAsia="lv-LV"/>
              </w:rPr>
              <w:t>3.1.2.1.1.</w:t>
            </w:r>
            <w:r w:rsidR="0072004D" w:rsidRPr="00620B46">
              <w:rPr>
                <w:rFonts w:ascii="Times New Roman" w:eastAsia="Times New Roman" w:hAnsi="Times New Roman" w:cs="Times New Roman"/>
                <w:sz w:val="26"/>
                <w:szCs w:val="26"/>
                <w:lang w:eastAsia="lv-LV"/>
              </w:rPr>
              <w:t xml:space="preserve"> aktivitātes projekta ietvaros izveidotai vai modernizētai infrastruktūrai. </w:t>
            </w:r>
          </w:p>
          <w:p w14:paraId="4AD41126" w14:textId="7A75DD52"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 Ievērojot Pamatnostādņu nosacījumus, precizēti piekļuves infrastruktūrai nosacījumi un noteikta norēķinu kārtība (MK noteikumu Nr.265 21.</w:t>
            </w:r>
            <w:r w:rsidRPr="00620B46">
              <w:rPr>
                <w:rFonts w:ascii="Times New Roman" w:eastAsia="Times New Roman" w:hAnsi="Times New Roman" w:cs="Times New Roman"/>
                <w:sz w:val="26"/>
                <w:szCs w:val="26"/>
                <w:vertAlign w:val="superscript"/>
                <w:lang w:eastAsia="lv-LV"/>
              </w:rPr>
              <w:t>2</w:t>
            </w:r>
            <w:r w:rsidRPr="00620B46">
              <w:rPr>
                <w:rFonts w:ascii="Times New Roman" w:eastAsia="Times New Roman" w:hAnsi="Times New Roman" w:cs="Times New Roman"/>
                <w:sz w:val="26"/>
                <w:szCs w:val="26"/>
                <w:lang w:eastAsia="lv-LV"/>
              </w:rPr>
              <w:t xml:space="preserve"> punkts). </w:t>
            </w:r>
          </w:p>
          <w:p w14:paraId="44A2B845" w14:textId="73906480"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 MK noteikumi Nr. 265 papildināti ar normām, kas nosaka  finansējuma saņēmējam izvirzītās prasības, kas izriet no ES un nacionālās tiesību sistēmas (MK noteikumu Nr. 265 21.</w:t>
            </w:r>
            <w:r w:rsidRPr="00620B46">
              <w:rPr>
                <w:rFonts w:ascii="Times New Roman" w:eastAsia="Times New Roman" w:hAnsi="Times New Roman" w:cs="Times New Roman"/>
                <w:sz w:val="26"/>
                <w:szCs w:val="26"/>
                <w:vertAlign w:val="superscript"/>
                <w:lang w:eastAsia="lv-LV"/>
              </w:rPr>
              <w:t xml:space="preserve">1 </w:t>
            </w:r>
            <w:r w:rsidRPr="00620B46">
              <w:rPr>
                <w:rFonts w:ascii="Times New Roman" w:eastAsia="Times New Roman" w:hAnsi="Times New Roman" w:cs="Times New Roman"/>
                <w:sz w:val="26"/>
                <w:szCs w:val="26"/>
                <w:lang w:eastAsia="lv-LV"/>
              </w:rPr>
              <w:t>, 21.</w:t>
            </w:r>
            <w:r w:rsidRPr="00620B46">
              <w:rPr>
                <w:rFonts w:ascii="Times New Roman" w:eastAsia="Times New Roman" w:hAnsi="Times New Roman" w:cs="Times New Roman"/>
                <w:sz w:val="26"/>
                <w:szCs w:val="26"/>
                <w:vertAlign w:val="superscript"/>
                <w:lang w:eastAsia="lv-LV"/>
              </w:rPr>
              <w:t xml:space="preserve">2 </w:t>
            </w:r>
            <w:r w:rsidRPr="00620B46">
              <w:rPr>
                <w:rFonts w:ascii="Times New Roman" w:eastAsia="Times New Roman" w:hAnsi="Times New Roman" w:cs="Times New Roman"/>
                <w:sz w:val="26"/>
                <w:szCs w:val="26"/>
                <w:lang w:eastAsia="lv-LV"/>
              </w:rPr>
              <w:t>, 21.</w:t>
            </w:r>
            <w:r w:rsidRPr="00620B46">
              <w:rPr>
                <w:rFonts w:ascii="Times New Roman" w:eastAsia="Times New Roman" w:hAnsi="Times New Roman" w:cs="Times New Roman"/>
                <w:sz w:val="26"/>
                <w:szCs w:val="26"/>
                <w:vertAlign w:val="superscript"/>
                <w:lang w:eastAsia="lv-LV"/>
              </w:rPr>
              <w:t>3</w:t>
            </w:r>
            <w:r w:rsidRPr="00620B46">
              <w:rPr>
                <w:rFonts w:ascii="Times New Roman" w:eastAsia="Times New Roman" w:hAnsi="Times New Roman" w:cs="Times New Roman"/>
                <w:sz w:val="26"/>
                <w:szCs w:val="26"/>
                <w:lang w:eastAsia="lv-LV"/>
              </w:rPr>
              <w:t xml:space="preserve">, </w:t>
            </w:r>
            <w:r w:rsidR="00A34C85" w:rsidRPr="00620B46">
              <w:rPr>
                <w:rFonts w:ascii="Times New Roman" w:eastAsia="Times New Roman" w:hAnsi="Times New Roman" w:cs="Times New Roman"/>
                <w:sz w:val="26"/>
                <w:szCs w:val="26"/>
                <w:lang w:eastAsia="lv-LV"/>
              </w:rPr>
              <w:t>21.</w:t>
            </w:r>
            <w:r w:rsidR="006E55E7">
              <w:rPr>
                <w:rFonts w:ascii="Times New Roman" w:eastAsia="Times New Roman" w:hAnsi="Times New Roman" w:cs="Times New Roman"/>
                <w:sz w:val="26"/>
                <w:szCs w:val="26"/>
                <w:vertAlign w:val="superscript"/>
                <w:lang w:eastAsia="lv-LV"/>
              </w:rPr>
              <w:t>4</w:t>
            </w:r>
            <w:r w:rsidR="006E55E7" w:rsidRPr="006E55E7">
              <w:rPr>
                <w:rFonts w:ascii="Times New Roman" w:eastAsia="Times New Roman" w:hAnsi="Times New Roman" w:cs="Times New Roman"/>
                <w:sz w:val="26"/>
                <w:szCs w:val="26"/>
                <w:lang w:eastAsia="lv-LV"/>
              </w:rPr>
              <w:t>,</w:t>
            </w:r>
            <w:r w:rsidR="006E55E7">
              <w:rPr>
                <w:rFonts w:ascii="Times New Roman" w:eastAsia="Times New Roman" w:hAnsi="Times New Roman" w:cs="Times New Roman"/>
                <w:sz w:val="26"/>
                <w:szCs w:val="26"/>
                <w:vertAlign w:val="superscript"/>
                <w:lang w:eastAsia="lv-LV"/>
              </w:rPr>
              <w:t xml:space="preserve"> </w:t>
            </w:r>
            <w:r w:rsidRPr="00620B46">
              <w:rPr>
                <w:rFonts w:ascii="Times New Roman" w:eastAsia="Times New Roman" w:hAnsi="Times New Roman" w:cs="Times New Roman"/>
                <w:sz w:val="26"/>
                <w:szCs w:val="26"/>
                <w:lang w:eastAsia="lv-LV"/>
              </w:rPr>
              <w:t>21.</w:t>
            </w:r>
            <w:r w:rsidR="00A34C85">
              <w:rPr>
                <w:rFonts w:ascii="Times New Roman" w:eastAsia="Times New Roman" w:hAnsi="Times New Roman" w:cs="Times New Roman"/>
                <w:sz w:val="26"/>
                <w:szCs w:val="26"/>
                <w:vertAlign w:val="superscript"/>
                <w:lang w:eastAsia="lv-LV"/>
              </w:rPr>
              <w:t>5</w:t>
            </w:r>
            <w:r w:rsidRPr="00620B46">
              <w:rPr>
                <w:rFonts w:ascii="Times New Roman" w:eastAsia="Times New Roman" w:hAnsi="Times New Roman" w:cs="Times New Roman"/>
                <w:sz w:val="26"/>
                <w:szCs w:val="26"/>
                <w:vertAlign w:val="superscript"/>
                <w:lang w:eastAsia="lv-LV"/>
              </w:rPr>
              <w:t xml:space="preserve"> </w:t>
            </w:r>
            <w:r w:rsidRPr="00620B46">
              <w:rPr>
                <w:rFonts w:ascii="Times New Roman" w:eastAsia="Times New Roman" w:hAnsi="Times New Roman" w:cs="Times New Roman"/>
                <w:sz w:val="26"/>
                <w:szCs w:val="26"/>
                <w:lang w:eastAsia="lv-LV"/>
              </w:rPr>
              <w:t>punkts).</w:t>
            </w:r>
          </w:p>
          <w:p w14:paraId="31840443" w14:textId="6084B3BC" w:rsidR="00901BD6" w:rsidRPr="00620B46" w:rsidRDefault="00901BD6" w:rsidP="00962A67">
            <w:pPr>
              <w:spacing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Noteikumu projekts paredz, ka ar komercdarbības atbalstu nesaistīta projekta ietvaros izveidotā infrastruktūra ir izmantojama ierobežotas jomas darbību īstenošanai, ja augstākās izglītības institūcija nodrošina šādu nosacījumu izpildi:</w:t>
            </w:r>
          </w:p>
          <w:p w14:paraId="30A445F9" w14:textId="001C6F66" w:rsidR="00901BD6" w:rsidRPr="00620B46" w:rsidRDefault="00901BD6" w:rsidP="00962A67">
            <w:pPr>
              <w:spacing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4.1. institūcija nodala: a) ar saimniecisku darbību nesaistītas pamatdarbības (un ar tām saistītās finanšu plūsmas) no saimnieciskajām pamatdarbībām; b) pamatdarbības un ar tām saistītās finanšu plūsmas no pārējām augstākās izglītības institūcijas darbībām un ar tām saistītajām finanšu plūsmām;</w:t>
            </w:r>
          </w:p>
          <w:p w14:paraId="291D2DD0" w14:textId="1FC80CC6" w:rsidR="00901BD6" w:rsidRPr="00620B46" w:rsidRDefault="00901BD6" w:rsidP="00962A67">
            <w:pPr>
              <w:spacing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4.2. institūcijas ierobežotas jomas darbība a) ir tieši saistīta ar institūcijas vai infrastruktūras darbību un izmantošanu ar saimniecisku darbību nesaistītā jomā; b) tai tiek patērēti tādi paši resursi (piemēram, materiāli, aprīkojums, darbaspēks un pamatkapitāls) kā ar saimniecisku darbību nesaistītām pamatdarbībām; c) ierobežotas jomas darbībai katru gadu iedalītā jauda finanšu izteiksmē nepārsniedz 20 procentus no infrastruktūras kopējās gada jaudas finanšu izteiksmē</w:t>
            </w:r>
            <w:r w:rsidR="00F40B87">
              <w:rPr>
                <w:rFonts w:ascii="Times New Roman" w:eastAsia="Times New Roman" w:hAnsi="Times New Roman" w:cs="Times New Roman"/>
                <w:sz w:val="26"/>
                <w:szCs w:val="26"/>
                <w:lang w:eastAsia="lv-LV"/>
              </w:rPr>
              <w:t xml:space="preserve">, </w:t>
            </w:r>
            <w:r w:rsidR="00F40B87" w:rsidRPr="0015411E">
              <w:rPr>
                <w:rFonts w:ascii="Times New Roman" w:eastAsia="Times New Roman" w:hAnsi="Times New Roman" w:cs="Times New Roman"/>
                <w:sz w:val="26"/>
                <w:szCs w:val="26"/>
                <w:lang w:eastAsia="lv-LV"/>
              </w:rPr>
              <w:t>ko</w:t>
            </w:r>
            <w:r w:rsidR="00F40B87">
              <w:rPr>
                <w:rFonts w:ascii="Times New Roman" w:eastAsia="Times New Roman" w:hAnsi="Times New Roman" w:cs="Times New Roman"/>
                <w:sz w:val="26"/>
                <w:szCs w:val="26"/>
                <w:lang w:eastAsia="lv-LV"/>
              </w:rPr>
              <w:t xml:space="preserve"> </w:t>
            </w:r>
            <w:r w:rsidR="0061713A">
              <w:rPr>
                <w:rFonts w:ascii="Times New Roman" w:eastAsia="Times New Roman" w:hAnsi="Times New Roman" w:cs="Times New Roman"/>
                <w:sz w:val="26"/>
                <w:szCs w:val="26"/>
                <w:lang w:eastAsia="lv-LV"/>
              </w:rPr>
              <w:t xml:space="preserve">aprēķina, ņemot vērā </w:t>
            </w:r>
            <w:r w:rsidR="0061713A" w:rsidRPr="00620B46">
              <w:rPr>
                <w:rFonts w:ascii="Times New Roman" w:eastAsia="Times New Roman" w:hAnsi="Times New Roman" w:cs="Times New Roman"/>
                <w:sz w:val="26"/>
                <w:szCs w:val="26"/>
                <w:lang w:eastAsia="lv-LV"/>
              </w:rPr>
              <w:t>augstākās izglītības studiju programm</w:t>
            </w:r>
            <w:r w:rsidR="0061713A">
              <w:rPr>
                <w:rFonts w:ascii="Times New Roman" w:eastAsia="Times New Roman" w:hAnsi="Times New Roman" w:cs="Times New Roman"/>
                <w:sz w:val="26"/>
                <w:szCs w:val="26"/>
                <w:lang w:eastAsia="lv-LV"/>
              </w:rPr>
              <w:t>u īstenošanai patērētos resursus</w:t>
            </w:r>
            <w:r w:rsidRPr="00620B46">
              <w:rPr>
                <w:rFonts w:ascii="Times New Roman" w:eastAsia="Times New Roman" w:hAnsi="Times New Roman" w:cs="Times New Roman"/>
                <w:sz w:val="26"/>
                <w:szCs w:val="26"/>
                <w:lang w:eastAsia="lv-LV"/>
              </w:rPr>
              <w:t>;</w:t>
            </w:r>
          </w:p>
          <w:p w14:paraId="5F733B8F" w14:textId="1CBD2057"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4.3. augstākās izglītības institūcijas savā finanšu vadības un grāmatvedības politikas aprakstam pievieno ierobežotas jomas darbības jaudas finanšu izteiksmē aprēķinu metodes aprakstu, ierobežotas jomas darbību kontroles mehānisma aprakstu, piekļuves infrastruktūrai kārtību.</w:t>
            </w:r>
          </w:p>
          <w:p w14:paraId="36E002B1" w14:textId="5664E280"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 MK noteikumu projekta normas attiecināmas uz visu projekta pārskata (dzīves cikla) periodu.</w:t>
            </w:r>
          </w:p>
          <w:p w14:paraId="256C09EA" w14:textId="23EB2191" w:rsidR="003F4D5C"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w:t>
            </w:r>
            <w:r w:rsidR="002B1804" w:rsidRPr="00620B46">
              <w:rPr>
                <w:rFonts w:ascii="Times New Roman" w:eastAsia="Times New Roman" w:hAnsi="Times New Roman" w:cs="Times New Roman"/>
                <w:sz w:val="26"/>
                <w:szCs w:val="26"/>
                <w:lang w:eastAsia="lv-LV"/>
              </w:rPr>
              <w:t>. </w:t>
            </w:r>
            <w:r w:rsidR="000C790B" w:rsidRPr="00620B46">
              <w:rPr>
                <w:rFonts w:ascii="Times New Roman" w:eastAsia="Times New Roman" w:hAnsi="Times New Roman" w:cs="Times New Roman"/>
                <w:sz w:val="26"/>
                <w:szCs w:val="26"/>
                <w:lang w:eastAsia="lv-LV"/>
              </w:rPr>
              <w:t>A</w:t>
            </w:r>
            <w:r w:rsidR="002B1804" w:rsidRPr="00620B46">
              <w:rPr>
                <w:rFonts w:ascii="Times New Roman" w:eastAsia="Times New Roman" w:hAnsi="Times New Roman" w:cs="Times New Roman"/>
                <w:sz w:val="26"/>
                <w:szCs w:val="26"/>
                <w:lang w:eastAsia="lv-LV"/>
              </w:rPr>
              <w:t xml:space="preserve">ktualizētas </w:t>
            </w:r>
            <w:r w:rsidR="00D743E3" w:rsidRPr="00620B46">
              <w:rPr>
                <w:rFonts w:ascii="Times New Roman" w:eastAsia="Times New Roman" w:hAnsi="Times New Roman" w:cs="Times New Roman"/>
                <w:sz w:val="26"/>
                <w:szCs w:val="26"/>
                <w:lang w:eastAsia="lv-LV"/>
              </w:rPr>
              <w:t xml:space="preserve">atbildīgās iestādes un </w:t>
            </w:r>
            <w:r w:rsidR="002B1804" w:rsidRPr="00620B46">
              <w:rPr>
                <w:rFonts w:ascii="Times New Roman" w:eastAsia="Times New Roman" w:hAnsi="Times New Roman" w:cs="Times New Roman"/>
                <w:sz w:val="26"/>
                <w:szCs w:val="26"/>
                <w:lang w:eastAsia="lv-LV"/>
              </w:rPr>
              <w:t>sadarbības iestādes funkcijas</w:t>
            </w:r>
            <w:r w:rsidR="00676B31" w:rsidRPr="00620B46">
              <w:rPr>
                <w:rFonts w:ascii="Times New Roman" w:eastAsia="Times New Roman" w:hAnsi="Times New Roman" w:cs="Times New Roman"/>
                <w:sz w:val="26"/>
                <w:szCs w:val="26"/>
                <w:lang w:eastAsia="lv-LV"/>
              </w:rPr>
              <w:t xml:space="preserve"> un </w:t>
            </w:r>
            <w:r w:rsidR="00AD24FB" w:rsidRPr="00620B46">
              <w:rPr>
                <w:rFonts w:ascii="Times New Roman" w:eastAsia="Times New Roman" w:hAnsi="Times New Roman" w:cs="Times New Roman"/>
                <w:sz w:val="26"/>
                <w:szCs w:val="26"/>
                <w:lang w:eastAsia="lv-LV"/>
              </w:rPr>
              <w:t xml:space="preserve">projektu </w:t>
            </w:r>
            <w:r w:rsidR="00676B31" w:rsidRPr="00620B46">
              <w:rPr>
                <w:rFonts w:ascii="Times New Roman" w:eastAsia="Times New Roman" w:hAnsi="Times New Roman" w:cs="Times New Roman"/>
                <w:sz w:val="26"/>
                <w:szCs w:val="26"/>
                <w:lang w:eastAsia="lv-LV"/>
              </w:rPr>
              <w:t>uzraudzības periods</w:t>
            </w:r>
            <w:r w:rsidR="00626F5C" w:rsidRPr="00620B46">
              <w:rPr>
                <w:rFonts w:ascii="Times New Roman" w:eastAsia="Times New Roman" w:hAnsi="Times New Roman" w:cs="Times New Roman"/>
                <w:sz w:val="26"/>
                <w:szCs w:val="26"/>
                <w:lang w:eastAsia="lv-LV"/>
              </w:rPr>
              <w:t xml:space="preserve"> </w:t>
            </w:r>
            <w:r w:rsidR="00FF4E4F" w:rsidRPr="00620B46">
              <w:rPr>
                <w:rFonts w:ascii="Times New Roman" w:eastAsia="Times New Roman" w:hAnsi="Times New Roman" w:cs="Times New Roman"/>
                <w:sz w:val="26"/>
                <w:szCs w:val="26"/>
                <w:lang w:eastAsia="lv-LV"/>
              </w:rPr>
              <w:t>(</w:t>
            </w:r>
            <w:r w:rsidR="00626F5C" w:rsidRPr="00620B46">
              <w:rPr>
                <w:rFonts w:ascii="Times New Roman" w:eastAsia="Times New Roman" w:hAnsi="Times New Roman" w:cs="Times New Roman"/>
                <w:sz w:val="26"/>
                <w:szCs w:val="26"/>
                <w:lang w:eastAsia="lv-LV"/>
              </w:rPr>
              <w:t xml:space="preserve">MK noteikumu Nr. </w:t>
            </w:r>
            <w:r w:rsidR="000C790B" w:rsidRPr="00620B46">
              <w:rPr>
                <w:rFonts w:ascii="Times New Roman" w:eastAsia="Times New Roman" w:hAnsi="Times New Roman" w:cs="Times New Roman"/>
                <w:sz w:val="26"/>
                <w:szCs w:val="26"/>
                <w:lang w:eastAsia="lv-LV"/>
              </w:rPr>
              <w:t>265</w:t>
            </w:r>
            <w:r w:rsidR="00626F5C" w:rsidRPr="00620B46">
              <w:rPr>
                <w:rFonts w:ascii="Times New Roman" w:eastAsia="Times New Roman" w:hAnsi="Times New Roman" w:cs="Times New Roman"/>
                <w:sz w:val="26"/>
                <w:szCs w:val="26"/>
                <w:lang w:eastAsia="lv-LV"/>
              </w:rPr>
              <w:t xml:space="preserve"> </w:t>
            </w:r>
            <w:r w:rsidR="000C790B" w:rsidRPr="00620B46">
              <w:rPr>
                <w:rFonts w:ascii="Times New Roman" w:eastAsia="Times New Roman" w:hAnsi="Times New Roman" w:cs="Times New Roman"/>
                <w:sz w:val="26"/>
                <w:szCs w:val="26"/>
                <w:lang w:eastAsia="lv-LV"/>
              </w:rPr>
              <w:t>6.8</w:t>
            </w:r>
            <w:r w:rsidR="00D743E3" w:rsidRPr="00620B46">
              <w:rPr>
                <w:rFonts w:ascii="Times New Roman" w:eastAsia="Times New Roman" w:hAnsi="Times New Roman" w:cs="Times New Roman"/>
                <w:sz w:val="26"/>
                <w:szCs w:val="26"/>
                <w:lang w:eastAsia="lv-LV"/>
              </w:rPr>
              <w:t xml:space="preserve">., </w:t>
            </w:r>
            <w:r w:rsidR="000C790B" w:rsidRPr="00620B46">
              <w:rPr>
                <w:rFonts w:ascii="Times New Roman" w:eastAsia="Times New Roman" w:hAnsi="Times New Roman" w:cs="Times New Roman"/>
                <w:sz w:val="26"/>
                <w:szCs w:val="26"/>
                <w:lang w:eastAsia="lv-LV"/>
              </w:rPr>
              <w:t>7.14</w:t>
            </w:r>
            <w:r w:rsidR="00626F5C" w:rsidRPr="00620B46">
              <w:rPr>
                <w:rFonts w:ascii="Times New Roman" w:eastAsia="Times New Roman" w:hAnsi="Times New Roman" w:cs="Times New Roman"/>
                <w:sz w:val="26"/>
                <w:szCs w:val="26"/>
                <w:lang w:eastAsia="lv-LV"/>
              </w:rPr>
              <w:t>.</w:t>
            </w:r>
            <w:r w:rsidR="000C790B" w:rsidRPr="00620B46">
              <w:rPr>
                <w:rFonts w:ascii="Times New Roman" w:eastAsia="Times New Roman" w:hAnsi="Times New Roman" w:cs="Times New Roman"/>
                <w:sz w:val="26"/>
                <w:szCs w:val="26"/>
                <w:lang w:eastAsia="lv-LV"/>
              </w:rPr>
              <w:t>apakšpunkts,</w:t>
            </w:r>
            <w:r w:rsidR="00546CD0" w:rsidRPr="00620B46">
              <w:rPr>
                <w:rFonts w:ascii="Times New Roman" w:eastAsia="Times New Roman" w:hAnsi="Times New Roman" w:cs="Times New Roman"/>
                <w:sz w:val="26"/>
                <w:szCs w:val="26"/>
                <w:lang w:eastAsia="lv-LV"/>
              </w:rPr>
              <w:t xml:space="preserve"> </w:t>
            </w:r>
            <w:r w:rsidR="000C790B" w:rsidRPr="00620B46">
              <w:rPr>
                <w:rFonts w:ascii="Times New Roman" w:eastAsia="Times New Roman" w:hAnsi="Times New Roman" w:cs="Times New Roman"/>
                <w:sz w:val="26"/>
                <w:szCs w:val="26"/>
                <w:lang w:eastAsia="lv-LV"/>
              </w:rPr>
              <w:t>21.</w:t>
            </w:r>
            <w:r w:rsidR="000C790B" w:rsidRPr="00620B46">
              <w:rPr>
                <w:rFonts w:ascii="Times New Roman" w:eastAsia="Times New Roman" w:hAnsi="Times New Roman" w:cs="Times New Roman"/>
                <w:sz w:val="26"/>
                <w:szCs w:val="26"/>
                <w:vertAlign w:val="superscript"/>
                <w:lang w:eastAsia="lv-LV"/>
              </w:rPr>
              <w:t>4</w:t>
            </w:r>
            <w:r w:rsidR="00830308" w:rsidRPr="00620B46">
              <w:rPr>
                <w:rFonts w:ascii="Times New Roman" w:eastAsia="Times New Roman" w:hAnsi="Times New Roman" w:cs="Times New Roman"/>
                <w:sz w:val="26"/>
                <w:szCs w:val="26"/>
                <w:vertAlign w:val="superscript"/>
                <w:lang w:eastAsia="lv-LV"/>
              </w:rPr>
              <w:t> </w:t>
            </w:r>
            <w:r w:rsidR="00626F5C" w:rsidRPr="00620B46">
              <w:rPr>
                <w:rFonts w:ascii="Times New Roman" w:eastAsia="Times New Roman" w:hAnsi="Times New Roman" w:cs="Times New Roman"/>
                <w:sz w:val="26"/>
                <w:szCs w:val="26"/>
                <w:lang w:eastAsia="lv-LV"/>
              </w:rPr>
              <w:t>punkts</w:t>
            </w:r>
            <w:r w:rsidR="00FF4E4F" w:rsidRPr="00620B46">
              <w:rPr>
                <w:rFonts w:ascii="Times New Roman" w:eastAsia="Times New Roman" w:hAnsi="Times New Roman" w:cs="Times New Roman"/>
                <w:sz w:val="26"/>
                <w:szCs w:val="26"/>
                <w:lang w:eastAsia="lv-LV"/>
              </w:rPr>
              <w:t>)</w:t>
            </w:r>
            <w:r w:rsidR="00626F5C" w:rsidRPr="00620B46">
              <w:rPr>
                <w:rFonts w:ascii="Times New Roman" w:eastAsia="Times New Roman" w:hAnsi="Times New Roman" w:cs="Times New Roman"/>
                <w:sz w:val="26"/>
                <w:szCs w:val="26"/>
                <w:lang w:eastAsia="lv-LV"/>
              </w:rPr>
              <w:t>.</w:t>
            </w:r>
          </w:p>
          <w:p w14:paraId="7F954C92" w14:textId="77777777" w:rsidR="00830308" w:rsidRPr="00620B46" w:rsidRDefault="00830308"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Sadarbības iestāde, izstrādājot MK noteikumu Nr. 265 7.14. apakšpunktā minēto publiskā finansējuma uzraudzības un atgūšanas mehānismu, ņem vērā Konkurences Ģenerāldirektorāta e-</w:t>
            </w:r>
            <w:proofErr w:type="spellStart"/>
            <w:r w:rsidRPr="00620B46">
              <w:rPr>
                <w:rFonts w:ascii="Times New Roman" w:eastAsia="Times New Roman" w:hAnsi="Times New Roman" w:cs="Times New Roman"/>
                <w:sz w:val="26"/>
                <w:szCs w:val="26"/>
                <w:lang w:eastAsia="lv-LV"/>
              </w:rPr>
              <w:t>State</w:t>
            </w:r>
            <w:proofErr w:type="spellEnd"/>
            <w:r w:rsidRPr="00620B46">
              <w:rPr>
                <w:rFonts w:ascii="Times New Roman" w:eastAsia="Times New Roman" w:hAnsi="Times New Roman" w:cs="Times New Roman"/>
                <w:sz w:val="26"/>
                <w:szCs w:val="26"/>
                <w:lang w:eastAsia="lv-LV"/>
              </w:rPr>
              <w:t xml:space="preserve"> Aid WIKI sistēmā</w:t>
            </w:r>
            <w:r w:rsidRPr="00620B46">
              <w:rPr>
                <w:rFonts w:ascii="Times New Roman" w:hAnsi="Times New Roman" w:cs="Times New Roman"/>
                <w:sz w:val="26"/>
                <w:szCs w:val="26"/>
                <w:vertAlign w:val="superscript"/>
              </w:rPr>
              <w:footnoteReference w:id="3"/>
            </w:r>
            <w:r w:rsidRPr="00620B46">
              <w:rPr>
                <w:rFonts w:ascii="Times New Roman" w:eastAsia="Times New Roman" w:hAnsi="Times New Roman" w:cs="Times New Roman"/>
                <w:sz w:val="26"/>
                <w:szCs w:val="26"/>
                <w:lang w:eastAsia="lv-LV"/>
              </w:rPr>
              <w:t xml:space="preserve"> sniegto skaidrojumu par atgūšanas mehānismu un atgūstamā publiskā finansējuma aprēķināšanas metodiku.</w:t>
            </w:r>
          </w:p>
          <w:p w14:paraId="1F274912" w14:textId="77777777" w:rsidR="00830308" w:rsidRPr="00620B46" w:rsidRDefault="00830308"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Saskaņā ar Eiropas Savienības struktūrfondu un Kohēzijas fonda vadības likuma 14. panta pirmo daļu atbildīgo iestādi un sadarbības iestādi, kā arī kompetences sadalījumu starp tām nosaka Ministru kabinets (MK). Atbilstoši MK deleģējumam Valsts izglītības attīstības aģentūra kā sadarbības iestāde nodrošina Eiropas Savienības fondu 2007.–2013. gada plānošanas perioda projektu </w:t>
            </w:r>
            <w:proofErr w:type="spellStart"/>
            <w:r w:rsidRPr="00620B46">
              <w:rPr>
                <w:rFonts w:ascii="Times New Roman" w:eastAsia="Times New Roman" w:hAnsi="Times New Roman" w:cs="Times New Roman"/>
                <w:sz w:val="26"/>
                <w:szCs w:val="26"/>
                <w:lang w:eastAsia="lv-LV"/>
              </w:rPr>
              <w:t>pēcuzraudzību</w:t>
            </w:r>
            <w:proofErr w:type="spellEnd"/>
            <w:r w:rsidRPr="00620B46">
              <w:rPr>
                <w:rFonts w:ascii="Times New Roman" w:eastAsia="Times New Roman" w:hAnsi="Times New Roman" w:cs="Times New Roman"/>
                <w:sz w:val="26"/>
                <w:szCs w:val="26"/>
                <w:lang w:eastAsia="lv-LV"/>
              </w:rPr>
              <w:t xml:space="preserve">. Ņemot vērā, ka 3.1.2.1.1. aktivitātes projektu uzraudzības periods pārsniedz </w:t>
            </w:r>
            <w:proofErr w:type="spellStart"/>
            <w:r w:rsidRPr="00620B46">
              <w:rPr>
                <w:rFonts w:ascii="Times New Roman" w:eastAsia="Times New Roman" w:hAnsi="Times New Roman" w:cs="Times New Roman"/>
                <w:sz w:val="26"/>
                <w:szCs w:val="26"/>
                <w:lang w:eastAsia="lv-LV"/>
              </w:rPr>
              <w:t>pēcuzraudzības</w:t>
            </w:r>
            <w:proofErr w:type="spellEnd"/>
            <w:r w:rsidRPr="00620B46">
              <w:rPr>
                <w:rFonts w:ascii="Times New Roman" w:eastAsia="Times New Roman" w:hAnsi="Times New Roman" w:cs="Times New Roman"/>
                <w:sz w:val="26"/>
                <w:szCs w:val="26"/>
                <w:lang w:eastAsia="lv-LV"/>
              </w:rPr>
              <w:t xml:space="preserve"> periodu, noteikumu projekts paredz, ka Eiropas Savienības fondu 2007.–2013. gada plānošanas perioda 3.1.2.1.1. aktivitātes </w:t>
            </w:r>
            <w:r w:rsidRPr="00620B46">
              <w:rPr>
                <w:rFonts w:ascii="Times New Roman" w:eastAsia="Times New Roman" w:hAnsi="Times New Roman" w:cs="Times New Roman"/>
                <w:sz w:val="26"/>
                <w:szCs w:val="26"/>
                <w:lang w:eastAsia="lv-LV"/>
              </w:rPr>
              <w:lastRenderedPageBreak/>
              <w:t>projektu uzraudzību pārskata (dzīves cikla) periodā līdz 2020.gada 31. decembrim veic sadarbības iestāde, bet no 2021. gada 1. janvāra līdz 2024. gada 31. decembrim nodrošina atbildīgā iestāde.</w:t>
            </w:r>
          </w:p>
          <w:p w14:paraId="7A2B8747" w14:textId="2F0A9C23"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Sadarbības iestāde informē labuma guvējus par:</w:t>
            </w:r>
          </w:p>
          <w:p w14:paraId="746107E5" w14:textId="72A158A4" w:rsidR="00901BD6" w:rsidRPr="00620B46" w:rsidRDefault="00901BD6" w:rsidP="00962A67">
            <w:pPr>
              <w:spacing w:before="10" w:after="60" w:line="240" w:lineRule="auto"/>
              <w:ind w:left="102"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6.1.  nosacījumiem, kas izriet no MK noteikumu Nr.265 grozījumiem, tai skaitā </w:t>
            </w:r>
            <w:r w:rsidR="00F216E1" w:rsidRPr="00620B46">
              <w:rPr>
                <w:rFonts w:ascii="Times New Roman" w:eastAsia="Times New Roman" w:hAnsi="Times New Roman" w:cs="Times New Roman"/>
                <w:sz w:val="26"/>
                <w:szCs w:val="26"/>
                <w:lang w:eastAsia="lv-LV"/>
              </w:rPr>
              <w:t>infrastruktūras izmantošan</w:t>
            </w:r>
            <w:r w:rsidRPr="00620B46">
              <w:rPr>
                <w:rFonts w:ascii="Times New Roman" w:eastAsia="Times New Roman" w:hAnsi="Times New Roman" w:cs="Times New Roman"/>
                <w:sz w:val="26"/>
                <w:szCs w:val="26"/>
                <w:lang w:eastAsia="lv-LV"/>
              </w:rPr>
              <w:t>a</w:t>
            </w:r>
            <w:r w:rsidR="00F216E1" w:rsidRPr="00620B46">
              <w:rPr>
                <w:rFonts w:ascii="Times New Roman" w:eastAsia="Times New Roman" w:hAnsi="Times New Roman" w:cs="Times New Roman"/>
                <w:sz w:val="26"/>
                <w:szCs w:val="26"/>
                <w:lang w:eastAsia="lv-LV"/>
              </w:rPr>
              <w:t xml:space="preserve"> ierobežotas jomas darbību īstenošanai, piekļuves infrastruktūrai nodrošināšan</w:t>
            </w:r>
            <w:r w:rsidRPr="00620B46">
              <w:rPr>
                <w:rFonts w:ascii="Times New Roman" w:eastAsia="Times New Roman" w:hAnsi="Times New Roman" w:cs="Times New Roman"/>
                <w:sz w:val="26"/>
                <w:szCs w:val="26"/>
                <w:lang w:eastAsia="lv-LV"/>
              </w:rPr>
              <w:t>a</w:t>
            </w:r>
            <w:r w:rsidR="00F216E1" w:rsidRPr="00620B46">
              <w:rPr>
                <w:rFonts w:ascii="Times New Roman" w:eastAsia="Times New Roman" w:hAnsi="Times New Roman" w:cs="Times New Roman"/>
                <w:sz w:val="26"/>
                <w:szCs w:val="26"/>
                <w:lang w:eastAsia="lv-LV"/>
              </w:rPr>
              <w:t xml:space="preserve"> un norēķinu kārtīb</w:t>
            </w:r>
            <w:r w:rsidRPr="00620B46">
              <w:rPr>
                <w:rFonts w:ascii="Times New Roman" w:eastAsia="Times New Roman" w:hAnsi="Times New Roman" w:cs="Times New Roman"/>
                <w:sz w:val="26"/>
                <w:szCs w:val="26"/>
                <w:lang w:eastAsia="lv-LV"/>
              </w:rPr>
              <w:t>a</w:t>
            </w:r>
            <w:r w:rsidR="00F216E1" w:rsidRPr="00620B46">
              <w:rPr>
                <w:rFonts w:ascii="Times New Roman" w:eastAsia="Times New Roman" w:hAnsi="Times New Roman" w:cs="Times New Roman"/>
                <w:sz w:val="26"/>
                <w:szCs w:val="26"/>
                <w:lang w:eastAsia="lv-LV"/>
              </w:rPr>
              <w:t>, ierobežotas jomas darbību uzskait</w:t>
            </w:r>
            <w:r w:rsidRPr="00620B46">
              <w:rPr>
                <w:rFonts w:ascii="Times New Roman" w:eastAsia="Times New Roman" w:hAnsi="Times New Roman" w:cs="Times New Roman"/>
                <w:sz w:val="26"/>
                <w:szCs w:val="26"/>
                <w:lang w:eastAsia="lv-LV"/>
              </w:rPr>
              <w:t>e</w:t>
            </w:r>
            <w:r w:rsidR="00F216E1" w:rsidRPr="00620B46">
              <w:rPr>
                <w:rFonts w:ascii="Times New Roman" w:eastAsia="Times New Roman" w:hAnsi="Times New Roman" w:cs="Times New Roman"/>
                <w:sz w:val="26"/>
                <w:szCs w:val="26"/>
                <w:lang w:eastAsia="lv-LV"/>
              </w:rPr>
              <w:t xml:space="preserve"> un citi nosacījumi</w:t>
            </w:r>
            <w:r w:rsidRPr="00620B46">
              <w:rPr>
                <w:rFonts w:ascii="Times New Roman" w:eastAsia="Times New Roman" w:hAnsi="Times New Roman" w:cs="Times New Roman"/>
                <w:sz w:val="26"/>
                <w:szCs w:val="26"/>
                <w:lang w:eastAsia="lv-LV"/>
              </w:rPr>
              <w:t>;</w:t>
            </w:r>
          </w:p>
          <w:p w14:paraId="72FD535B" w14:textId="13E27B50" w:rsidR="00414F90" w:rsidRPr="00620B46" w:rsidRDefault="00901BD6" w:rsidP="00901BD6">
            <w:pPr>
              <w:spacing w:before="10" w:line="240" w:lineRule="auto"/>
              <w:ind w:left="101" w:right="102"/>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6.2. </w:t>
            </w:r>
            <w:r w:rsidR="00830308" w:rsidRPr="00620B46">
              <w:rPr>
                <w:rFonts w:ascii="Times New Roman" w:eastAsia="Times New Roman" w:hAnsi="Times New Roman" w:cs="Times New Roman"/>
                <w:sz w:val="26"/>
                <w:szCs w:val="26"/>
                <w:lang w:eastAsia="lv-LV"/>
              </w:rPr>
              <w:t xml:space="preserve">nepieciešamajiem </w:t>
            </w:r>
            <w:r w:rsidR="00ED7E79" w:rsidRPr="00620B46">
              <w:rPr>
                <w:rFonts w:ascii="Times New Roman" w:eastAsia="Times New Roman" w:hAnsi="Times New Roman" w:cs="Times New Roman"/>
                <w:sz w:val="26"/>
                <w:szCs w:val="26"/>
                <w:lang w:eastAsia="lv-LV"/>
              </w:rPr>
              <w:t>grozījum</w:t>
            </w:r>
            <w:r w:rsidR="00980087" w:rsidRPr="00620B46">
              <w:rPr>
                <w:rFonts w:ascii="Times New Roman" w:eastAsia="Times New Roman" w:hAnsi="Times New Roman" w:cs="Times New Roman"/>
                <w:sz w:val="26"/>
                <w:szCs w:val="26"/>
                <w:lang w:eastAsia="lv-LV"/>
              </w:rPr>
              <w:t>iem</w:t>
            </w:r>
            <w:r w:rsidR="00ED7E79" w:rsidRPr="00620B46">
              <w:rPr>
                <w:rFonts w:ascii="Times New Roman" w:eastAsia="Times New Roman" w:hAnsi="Times New Roman" w:cs="Times New Roman"/>
                <w:sz w:val="26"/>
                <w:szCs w:val="26"/>
                <w:lang w:eastAsia="lv-LV"/>
              </w:rPr>
              <w:t xml:space="preserve"> līgumā vai vienošanās par projekta īstenošanu</w:t>
            </w:r>
            <w:r w:rsidR="00980087" w:rsidRPr="00620B46">
              <w:rPr>
                <w:rFonts w:ascii="Times New Roman" w:eastAsia="Times New Roman" w:hAnsi="Times New Roman" w:cs="Times New Roman"/>
                <w:sz w:val="26"/>
                <w:szCs w:val="26"/>
                <w:lang w:eastAsia="lv-LV"/>
              </w:rPr>
              <w:t>, ko veic atbilstoši MK 2007.gada 26.jūnija noteikumos Nr.419 “Kārtība, kādā Eiropas Savienības struktūrfondu un Kohēzijas fonda vadībā iesaistītās institūcijas nodrošina plānošanas dokumentu sagatavošanu un šo fondu ieviešanu” noteiktajam regulējumam.</w:t>
            </w:r>
          </w:p>
        </w:tc>
      </w:tr>
      <w:tr w:rsidR="006A328C" w:rsidRPr="00620B46" w14:paraId="3C1598F3" w14:textId="77777777" w:rsidTr="004B15DE">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22AAAEF5" w14:textId="27C9437D"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3.</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906A2E2" w14:textId="780F3058"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Projekta izstrādē iesaistītās </w:t>
            </w:r>
            <w:r w:rsidR="00845412" w:rsidRPr="00620B46">
              <w:rPr>
                <w:rFonts w:ascii="Times New Roman" w:eastAsia="Times New Roman" w:hAnsi="Times New Roman" w:cs="Times New Roman"/>
                <w:sz w:val="26"/>
                <w:szCs w:val="26"/>
                <w:lang w:eastAsia="lv-LV"/>
              </w:rPr>
              <w:t>institūcijas un publiskas personas kapitālsabiedrības</w:t>
            </w:r>
          </w:p>
        </w:tc>
        <w:tc>
          <w:tcPr>
            <w:tcW w:w="5944" w:type="dxa"/>
            <w:tcBorders>
              <w:top w:val="outset" w:sz="6" w:space="0" w:color="414142"/>
              <w:left w:val="outset" w:sz="6" w:space="0" w:color="414142"/>
              <w:bottom w:val="outset" w:sz="6" w:space="0" w:color="414142"/>
              <w:right w:val="outset" w:sz="6" w:space="0" w:color="414142"/>
            </w:tcBorders>
            <w:hideMark/>
          </w:tcPr>
          <w:p w14:paraId="5EA35C37" w14:textId="77777777" w:rsidR="004D15A9" w:rsidRPr="00620B46" w:rsidRDefault="00A33B4B" w:rsidP="009D6792">
            <w:pPr>
              <w:spacing w:after="0"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Noteikumu projektu izstrādāja </w:t>
            </w:r>
            <w:r w:rsidR="00A03AEC" w:rsidRPr="00620B46">
              <w:rPr>
                <w:rFonts w:ascii="Times New Roman" w:eastAsia="Times New Roman" w:hAnsi="Times New Roman" w:cs="Times New Roman"/>
                <w:sz w:val="26"/>
                <w:szCs w:val="26"/>
                <w:lang w:eastAsia="lv-LV"/>
              </w:rPr>
              <w:t>I</w:t>
            </w:r>
            <w:r w:rsidR="00303F40" w:rsidRPr="00620B46">
              <w:rPr>
                <w:rFonts w:ascii="Times New Roman" w:eastAsia="Times New Roman" w:hAnsi="Times New Roman" w:cs="Times New Roman"/>
                <w:sz w:val="26"/>
                <w:szCs w:val="26"/>
                <w:lang w:eastAsia="lv-LV"/>
              </w:rPr>
              <w:t xml:space="preserve">zglītības un zinātnes </w:t>
            </w:r>
            <w:r w:rsidR="00970A3F" w:rsidRPr="00620B46">
              <w:rPr>
                <w:rFonts w:ascii="Times New Roman" w:eastAsia="Times New Roman" w:hAnsi="Times New Roman" w:cs="Times New Roman"/>
                <w:sz w:val="26"/>
                <w:szCs w:val="26"/>
                <w:lang w:eastAsia="lv-LV"/>
              </w:rPr>
              <w:t xml:space="preserve"> ministrija.</w:t>
            </w:r>
            <w:r w:rsidRPr="00620B46">
              <w:rPr>
                <w:rFonts w:ascii="Times New Roman" w:eastAsia="Times New Roman" w:hAnsi="Times New Roman" w:cs="Times New Roman"/>
                <w:sz w:val="26"/>
                <w:szCs w:val="26"/>
                <w:lang w:eastAsia="lv-LV"/>
              </w:rPr>
              <w:t xml:space="preserve"> </w:t>
            </w:r>
          </w:p>
        </w:tc>
      </w:tr>
      <w:tr w:rsidR="006A328C" w:rsidRPr="00620B46" w14:paraId="365BA933" w14:textId="77777777" w:rsidTr="004B15DE">
        <w:tc>
          <w:tcPr>
            <w:tcW w:w="312" w:type="dxa"/>
            <w:tcBorders>
              <w:top w:val="outset" w:sz="6" w:space="0" w:color="414142"/>
              <w:left w:val="outset" w:sz="6" w:space="0" w:color="414142"/>
              <w:bottom w:val="outset" w:sz="6" w:space="0" w:color="414142"/>
              <w:right w:val="outset" w:sz="6" w:space="0" w:color="414142"/>
            </w:tcBorders>
            <w:hideMark/>
          </w:tcPr>
          <w:p w14:paraId="23997C7E"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5249BBEC"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71BB37E1" w14:textId="77777777" w:rsidR="004D15A9" w:rsidRPr="00620B46" w:rsidRDefault="004D15A9" w:rsidP="00A33B4B">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Nav</w:t>
            </w:r>
          </w:p>
        </w:tc>
      </w:tr>
      <w:tr w:rsidR="006A328C" w:rsidRPr="00620B46" w14:paraId="6E00132E" w14:textId="77777777" w:rsidTr="004B15DE">
        <w:trPr>
          <w:trHeight w:val="128"/>
        </w:trPr>
        <w:tc>
          <w:tcPr>
            <w:tcW w:w="9055" w:type="dxa"/>
            <w:gridSpan w:val="4"/>
            <w:tcBorders>
              <w:top w:val="outset" w:sz="6" w:space="0" w:color="414142"/>
              <w:left w:val="nil"/>
              <w:bottom w:val="outset" w:sz="6" w:space="0" w:color="414142"/>
              <w:right w:val="nil"/>
            </w:tcBorders>
          </w:tcPr>
          <w:p w14:paraId="7576EA1B" w14:textId="77777777" w:rsidR="00A33B4B" w:rsidRPr="00620B46" w:rsidRDefault="00A33B4B" w:rsidP="0081203F">
            <w:pPr>
              <w:tabs>
                <w:tab w:val="left" w:pos="990"/>
              </w:tabs>
              <w:spacing w:after="0" w:line="240" w:lineRule="auto"/>
              <w:rPr>
                <w:rFonts w:ascii="Times New Roman" w:eastAsia="Times New Roman" w:hAnsi="Times New Roman" w:cs="Times New Roman"/>
                <w:sz w:val="26"/>
                <w:szCs w:val="26"/>
                <w:lang w:eastAsia="lv-LV"/>
              </w:rPr>
            </w:pPr>
          </w:p>
        </w:tc>
      </w:tr>
      <w:tr w:rsidR="006A328C" w:rsidRPr="00620B46" w14:paraId="7A6F4EC2" w14:textId="77777777" w:rsidTr="004B15DE">
        <w:trPr>
          <w:trHeight w:val="351"/>
        </w:trPr>
        <w:tc>
          <w:tcPr>
            <w:tcW w:w="9055" w:type="dxa"/>
            <w:gridSpan w:val="4"/>
            <w:tcBorders>
              <w:top w:val="nil"/>
              <w:left w:val="outset" w:sz="6" w:space="0" w:color="414142"/>
              <w:bottom w:val="outset" w:sz="6" w:space="0" w:color="414142"/>
              <w:right w:val="outset" w:sz="6" w:space="0" w:color="414142"/>
            </w:tcBorders>
            <w:vAlign w:val="center"/>
            <w:hideMark/>
          </w:tcPr>
          <w:p w14:paraId="13ECB1D7" w14:textId="77777777" w:rsidR="004D15A9" w:rsidRPr="00620B4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A328C" w:rsidRPr="00620B46" w14:paraId="308B4C59" w14:textId="77777777" w:rsidTr="004B15DE">
        <w:trPr>
          <w:trHeight w:val="465"/>
        </w:trPr>
        <w:tc>
          <w:tcPr>
            <w:tcW w:w="453" w:type="dxa"/>
            <w:gridSpan w:val="2"/>
            <w:tcBorders>
              <w:top w:val="outset" w:sz="6" w:space="0" w:color="414142"/>
              <w:left w:val="outset" w:sz="6" w:space="0" w:color="414142"/>
              <w:bottom w:val="outset" w:sz="6" w:space="0" w:color="414142"/>
              <w:right w:val="outset" w:sz="6" w:space="0" w:color="414142"/>
            </w:tcBorders>
            <w:hideMark/>
          </w:tcPr>
          <w:p w14:paraId="1B2D5786"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p>
        </w:tc>
        <w:tc>
          <w:tcPr>
            <w:tcW w:w="2658" w:type="dxa"/>
            <w:tcBorders>
              <w:top w:val="outset" w:sz="6" w:space="0" w:color="414142"/>
              <w:left w:val="outset" w:sz="6" w:space="0" w:color="414142"/>
              <w:bottom w:val="outset" w:sz="6" w:space="0" w:color="414142"/>
              <w:right w:val="outset" w:sz="6" w:space="0" w:color="414142"/>
            </w:tcBorders>
            <w:hideMark/>
          </w:tcPr>
          <w:p w14:paraId="35836AA6"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Sabiedrības </w:t>
            </w:r>
            <w:proofErr w:type="spellStart"/>
            <w:r w:rsidRPr="00620B46">
              <w:rPr>
                <w:rFonts w:ascii="Times New Roman" w:eastAsia="Times New Roman" w:hAnsi="Times New Roman" w:cs="Times New Roman"/>
                <w:sz w:val="26"/>
                <w:szCs w:val="26"/>
                <w:lang w:eastAsia="lv-LV"/>
              </w:rPr>
              <w:t>mērķgrupas</w:t>
            </w:r>
            <w:proofErr w:type="spellEnd"/>
            <w:r w:rsidRPr="00620B46">
              <w:rPr>
                <w:rFonts w:ascii="Times New Roman" w:eastAsia="Times New Roman" w:hAnsi="Times New Roman" w:cs="Times New Roman"/>
                <w:sz w:val="26"/>
                <w:szCs w:val="26"/>
                <w:lang w:eastAsia="lv-LV"/>
              </w:rPr>
              <w:t>, kuras tiesiskais regulējums ietekmē vai varētu ietekmēt</w:t>
            </w:r>
          </w:p>
        </w:tc>
        <w:tc>
          <w:tcPr>
            <w:tcW w:w="5944" w:type="dxa"/>
            <w:tcBorders>
              <w:top w:val="outset" w:sz="6" w:space="0" w:color="414142"/>
              <w:left w:val="outset" w:sz="6" w:space="0" w:color="414142"/>
              <w:bottom w:val="outset" w:sz="6" w:space="0" w:color="414142"/>
              <w:right w:val="outset" w:sz="6" w:space="0" w:color="414142"/>
            </w:tcBorders>
            <w:hideMark/>
          </w:tcPr>
          <w:p w14:paraId="0D9F3A46" w14:textId="4500C59A" w:rsidR="00A33B4B" w:rsidRPr="00620B46" w:rsidRDefault="00901BE6" w:rsidP="0061686D">
            <w:pPr>
              <w:spacing w:before="10" w:after="0" w:line="240" w:lineRule="auto"/>
              <w:ind w:left="113" w:right="113"/>
              <w:jc w:val="both"/>
              <w:rPr>
                <w:rFonts w:ascii="Times New Roman" w:eastAsia="Times New Roman" w:hAnsi="Times New Roman" w:cs="Times New Roman"/>
                <w:sz w:val="26"/>
                <w:szCs w:val="26"/>
                <w:highlight w:val="yellow"/>
                <w:lang w:eastAsia="lv-LV"/>
              </w:rPr>
            </w:pPr>
            <w:r w:rsidRPr="00620B46">
              <w:rPr>
                <w:rFonts w:ascii="Times New Roman" w:eastAsia="Times New Roman" w:hAnsi="Times New Roman" w:cs="Times New Roman"/>
                <w:sz w:val="26"/>
                <w:szCs w:val="26"/>
                <w:lang w:eastAsia="lv-LV"/>
              </w:rPr>
              <w:t>Mērķa grupa</w:t>
            </w:r>
            <w:r w:rsidR="007C52FC" w:rsidRPr="00620B46">
              <w:rPr>
                <w:rFonts w:ascii="Times New Roman" w:eastAsia="Times New Roman" w:hAnsi="Times New Roman" w:cs="Times New Roman"/>
                <w:sz w:val="26"/>
                <w:szCs w:val="26"/>
                <w:lang w:eastAsia="lv-LV"/>
              </w:rPr>
              <w:t xml:space="preserve"> </w:t>
            </w:r>
            <w:r w:rsidR="0061686D" w:rsidRPr="00620B46">
              <w:rPr>
                <w:rFonts w:ascii="Times New Roman" w:eastAsia="Times New Roman" w:hAnsi="Times New Roman" w:cs="Times New Roman"/>
                <w:sz w:val="26"/>
                <w:szCs w:val="26"/>
                <w:lang w:eastAsia="lv-LV"/>
              </w:rPr>
              <w:t>3.1.2.1.1.</w:t>
            </w:r>
            <w:r w:rsidR="007C52FC" w:rsidRPr="00620B46">
              <w:rPr>
                <w:rFonts w:ascii="Times New Roman" w:eastAsia="Times New Roman" w:hAnsi="Times New Roman" w:cs="Times New Roman"/>
                <w:sz w:val="26"/>
                <w:szCs w:val="26"/>
                <w:lang w:eastAsia="lv-LV"/>
              </w:rPr>
              <w:t xml:space="preserve">.aktivitātes ietvaros: </w:t>
            </w:r>
            <w:r w:rsidR="001E0172" w:rsidRPr="00620B46">
              <w:rPr>
                <w:rFonts w:ascii="Times New Roman" w:eastAsia="Times New Roman" w:hAnsi="Times New Roman" w:cs="Times New Roman"/>
                <w:sz w:val="26"/>
                <w:szCs w:val="26"/>
                <w:lang w:eastAsia="lv-LV"/>
              </w:rPr>
              <w:t>valsts un citu juridisko personu dibinātas augstākās izglītības institūcijas, augstākās izglītības institūciju akadēmiskais personāls, augstākās izglītības studiju programmās studējošie studenti, maģistranti un doktoranti.</w:t>
            </w:r>
          </w:p>
        </w:tc>
      </w:tr>
      <w:tr w:rsidR="006A328C" w:rsidRPr="00620B46" w14:paraId="381A5E75" w14:textId="77777777" w:rsidTr="004B15DE">
        <w:trPr>
          <w:trHeight w:val="381"/>
        </w:trPr>
        <w:tc>
          <w:tcPr>
            <w:tcW w:w="453" w:type="dxa"/>
            <w:gridSpan w:val="2"/>
            <w:tcBorders>
              <w:top w:val="outset" w:sz="6" w:space="0" w:color="414142"/>
              <w:left w:val="outset" w:sz="6" w:space="0" w:color="414142"/>
              <w:bottom w:val="outset" w:sz="6" w:space="0" w:color="414142"/>
              <w:right w:val="outset" w:sz="6" w:space="0" w:color="414142"/>
            </w:tcBorders>
            <w:hideMark/>
          </w:tcPr>
          <w:p w14:paraId="6AFCBFA8"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p>
        </w:tc>
        <w:tc>
          <w:tcPr>
            <w:tcW w:w="2658" w:type="dxa"/>
            <w:tcBorders>
              <w:top w:val="outset" w:sz="6" w:space="0" w:color="414142"/>
              <w:left w:val="outset" w:sz="6" w:space="0" w:color="414142"/>
              <w:bottom w:val="outset" w:sz="6" w:space="0" w:color="414142"/>
              <w:right w:val="outset" w:sz="6" w:space="0" w:color="414142"/>
            </w:tcBorders>
            <w:hideMark/>
          </w:tcPr>
          <w:p w14:paraId="7D517B40"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Tiesiskā regulējuma ietekme uz tautsaimniecību un administratīvo slogu</w:t>
            </w:r>
          </w:p>
        </w:tc>
        <w:tc>
          <w:tcPr>
            <w:tcW w:w="5944" w:type="dxa"/>
            <w:tcBorders>
              <w:top w:val="outset" w:sz="6" w:space="0" w:color="414142"/>
              <w:left w:val="outset" w:sz="6" w:space="0" w:color="414142"/>
              <w:bottom w:val="outset" w:sz="6" w:space="0" w:color="414142"/>
              <w:right w:val="outset" w:sz="6" w:space="0" w:color="414142"/>
            </w:tcBorders>
            <w:hideMark/>
          </w:tcPr>
          <w:p w14:paraId="39F243C1" w14:textId="77777777" w:rsidR="00C70F3E" w:rsidRPr="00620B46" w:rsidRDefault="00214B7E" w:rsidP="00F528C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Noteikumu projektā ietv</w:t>
            </w:r>
            <w:r w:rsidR="003E07DF" w:rsidRPr="00620B46">
              <w:rPr>
                <w:rFonts w:ascii="Times New Roman" w:eastAsia="Times New Roman" w:hAnsi="Times New Roman" w:cs="Times New Roman"/>
                <w:sz w:val="26"/>
                <w:szCs w:val="26"/>
                <w:lang w:eastAsia="lv-LV"/>
              </w:rPr>
              <w:t>e</w:t>
            </w:r>
            <w:r w:rsidRPr="00620B46">
              <w:rPr>
                <w:rFonts w:ascii="Times New Roman" w:eastAsia="Times New Roman" w:hAnsi="Times New Roman" w:cs="Times New Roman"/>
                <w:sz w:val="26"/>
                <w:szCs w:val="26"/>
                <w:lang w:eastAsia="lv-LV"/>
              </w:rPr>
              <w:t xml:space="preserve">rtais </w:t>
            </w:r>
            <w:r w:rsidR="003E07DF" w:rsidRPr="00620B46">
              <w:rPr>
                <w:rFonts w:ascii="Times New Roman" w:eastAsia="Times New Roman" w:hAnsi="Times New Roman" w:cs="Times New Roman"/>
                <w:sz w:val="26"/>
                <w:szCs w:val="26"/>
                <w:lang w:eastAsia="lv-LV"/>
              </w:rPr>
              <w:t>tiesiskais regulējums</w:t>
            </w:r>
            <w:r w:rsidR="001E34BE" w:rsidRPr="00620B46">
              <w:rPr>
                <w:rFonts w:ascii="Times New Roman" w:eastAsia="Times New Roman" w:hAnsi="Times New Roman" w:cs="Times New Roman"/>
                <w:sz w:val="26"/>
                <w:szCs w:val="26"/>
                <w:lang w:eastAsia="lv-LV"/>
              </w:rPr>
              <w:t xml:space="preserve"> nodrošina</w:t>
            </w:r>
            <w:r w:rsidR="00C70F3E" w:rsidRPr="00620B46">
              <w:rPr>
                <w:rFonts w:ascii="Times New Roman" w:eastAsia="Times New Roman" w:hAnsi="Times New Roman" w:cs="Times New Roman"/>
                <w:sz w:val="26"/>
                <w:szCs w:val="26"/>
                <w:lang w:eastAsia="lv-LV"/>
              </w:rPr>
              <w:t>:</w:t>
            </w:r>
          </w:p>
          <w:p w14:paraId="1E1E268C" w14:textId="77777777" w:rsidR="001E34BE" w:rsidRPr="00620B46" w:rsidRDefault="001E34BE" w:rsidP="00F528C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w:t>
            </w:r>
            <w:r w:rsidR="0082432D" w:rsidRPr="00620B46">
              <w:rPr>
                <w:rFonts w:ascii="Times New Roman" w:eastAsia="Times New Roman" w:hAnsi="Times New Roman" w:cs="Times New Roman"/>
                <w:sz w:val="26"/>
                <w:szCs w:val="26"/>
                <w:lang w:eastAsia="lv-LV"/>
              </w:rPr>
              <w:t xml:space="preserve">normatīvā akta </w:t>
            </w:r>
            <w:r w:rsidRPr="00620B46">
              <w:rPr>
                <w:rFonts w:ascii="Times New Roman" w:eastAsia="Times New Roman" w:hAnsi="Times New Roman" w:cs="Times New Roman"/>
                <w:sz w:val="26"/>
                <w:szCs w:val="26"/>
                <w:lang w:eastAsia="lv-LV"/>
              </w:rPr>
              <w:t>atbilstību Latvijas Republikas starptautiskajām saistībām;</w:t>
            </w:r>
          </w:p>
          <w:p w14:paraId="4668D61A" w14:textId="77777777" w:rsidR="00B31661" w:rsidRPr="00620B46" w:rsidRDefault="0082432D" w:rsidP="00B400E0">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 normatīvā akta </w:t>
            </w:r>
            <w:r w:rsidR="00A36827" w:rsidRPr="00620B46">
              <w:rPr>
                <w:rFonts w:ascii="Times New Roman" w:eastAsia="Times New Roman" w:hAnsi="Times New Roman" w:cs="Times New Roman"/>
                <w:sz w:val="26"/>
                <w:szCs w:val="26"/>
                <w:lang w:eastAsia="lv-LV"/>
              </w:rPr>
              <w:t>un ES tiesību sistēmā iekļauto normu harmonizāciju</w:t>
            </w:r>
            <w:r w:rsidR="00B907B1" w:rsidRPr="00620B46">
              <w:rPr>
                <w:rFonts w:ascii="Times New Roman" w:eastAsia="Times New Roman" w:hAnsi="Times New Roman" w:cs="Times New Roman"/>
                <w:sz w:val="26"/>
                <w:szCs w:val="26"/>
                <w:lang w:eastAsia="lv-LV"/>
              </w:rPr>
              <w:t>.</w:t>
            </w:r>
          </w:p>
          <w:p w14:paraId="05B97DC3" w14:textId="0457397E" w:rsidR="00D8300B" w:rsidRPr="00620B46" w:rsidRDefault="00D8300B" w:rsidP="00D8300B">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Noteikumu projektā ietvertais tiesiskais regulējums netieši sekmē tautsaimniecības attīstību, ņemot vērā publiskā finansējuma efektīvu izmantojumu, ko nodrošina iespēja publiskos resursus izmantot kopīgi, </w:t>
            </w:r>
            <w:r w:rsidRPr="00620B46">
              <w:rPr>
                <w:rFonts w:ascii="Times New Roman" w:eastAsia="Times New Roman" w:hAnsi="Times New Roman" w:cs="Times New Roman"/>
                <w:sz w:val="26"/>
                <w:szCs w:val="26"/>
                <w:lang w:eastAsia="lv-LV"/>
              </w:rPr>
              <w:lastRenderedPageBreak/>
              <w:t xml:space="preserve">veidojot partnerattiecības ar privātā sektora pārstāvjiem. </w:t>
            </w:r>
          </w:p>
        </w:tc>
      </w:tr>
      <w:tr w:rsidR="006A328C" w:rsidRPr="00620B46" w14:paraId="196E2FD9" w14:textId="77777777" w:rsidTr="004B15DE">
        <w:trPr>
          <w:trHeight w:val="510"/>
        </w:trPr>
        <w:tc>
          <w:tcPr>
            <w:tcW w:w="453" w:type="dxa"/>
            <w:gridSpan w:val="2"/>
            <w:tcBorders>
              <w:top w:val="outset" w:sz="6" w:space="0" w:color="414142"/>
              <w:left w:val="outset" w:sz="6" w:space="0" w:color="414142"/>
              <w:bottom w:val="outset" w:sz="6" w:space="0" w:color="414142"/>
              <w:right w:val="outset" w:sz="6" w:space="0" w:color="414142"/>
            </w:tcBorders>
            <w:hideMark/>
          </w:tcPr>
          <w:p w14:paraId="66A68651"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3.</w:t>
            </w:r>
          </w:p>
        </w:tc>
        <w:tc>
          <w:tcPr>
            <w:tcW w:w="2658" w:type="dxa"/>
            <w:tcBorders>
              <w:top w:val="outset" w:sz="6" w:space="0" w:color="414142"/>
              <w:left w:val="outset" w:sz="6" w:space="0" w:color="414142"/>
              <w:bottom w:val="outset" w:sz="6" w:space="0" w:color="414142"/>
              <w:right w:val="outset" w:sz="6" w:space="0" w:color="414142"/>
            </w:tcBorders>
            <w:hideMark/>
          </w:tcPr>
          <w:p w14:paraId="1D7BCD23"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Administratīvo izmaksu monetārs novērtējums</w:t>
            </w:r>
          </w:p>
        </w:tc>
        <w:tc>
          <w:tcPr>
            <w:tcW w:w="5944" w:type="dxa"/>
            <w:tcBorders>
              <w:top w:val="outset" w:sz="6" w:space="0" w:color="414142"/>
              <w:left w:val="outset" w:sz="6" w:space="0" w:color="414142"/>
              <w:bottom w:val="outset" w:sz="6" w:space="0" w:color="414142"/>
              <w:right w:val="outset" w:sz="6" w:space="0" w:color="414142"/>
            </w:tcBorders>
            <w:hideMark/>
          </w:tcPr>
          <w:p w14:paraId="7815A353" w14:textId="14DADD22" w:rsidR="00DE3C69" w:rsidRPr="00620B46" w:rsidRDefault="00EC0F43" w:rsidP="00705F28">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3.1.2.1.1.</w:t>
            </w:r>
            <w:r w:rsidR="005B0D5D" w:rsidRPr="00620B46">
              <w:rPr>
                <w:rFonts w:ascii="Times New Roman" w:eastAsia="Times New Roman" w:hAnsi="Times New Roman" w:cs="Times New Roman"/>
                <w:sz w:val="26"/>
                <w:szCs w:val="26"/>
                <w:lang w:eastAsia="lv-LV"/>
              </w:rPr>
              <w:t xml:space="preserve"> aktivitātes ietvaros jāveic </w:t>
            </w:r>
            <w:r w:rsidRPr="00620B46">
              <w:rPr>
                <w:rFonts w:ascii="Times New Roman" w:eastAsia="Times New Roman" w:hAnsi="Times New Roman" w:cs="Times New Roman"/>
                <w:sz w:val="26"/>
                <w:szCs w:val="26"/>
                <w:lang w:eastAsia="lv-LV"/>
              </w:rPr>
              <w:t>2</w:t>
            </w:r>
            <w:r w:rsidR="005B0D5D" w:rsidRPr="00620B46">
              <w:rPr>
                <w:rFonts w:ascii="Times New Roman" w:eastAsia="Times New Roman" w:hAnsi="Times New Roman" w:cs="Times New Roman"/>
                <w:sz w:val="26"/>
                <w:szCs w:val="26"/>
                <w:lang w:eastAsia="lv-LV"/>
              </w:rPr>
              <w:t>9 projektu</w:t>
            </w:r>
            <w:r w:rsidRPr="00620B46">
              <w:rPr>
                <w:rFonts w:ascii="Times New Roman" w:eastAsia="Times New Roman" w:hAnsi="Times New Roman" w:cs="Times New Roman"/>
                <w:sz w:val="26"/>
                <w:szCs w:val="26"/>
                <w:lang w:eastAsia="lv-LV"/>
              </w:rPr>
              <w:t xml:space="preserve"> (</w:t>
            </w:r>
            <w:r w:rsidR="00F34AA8" w:rsidRPr="00620B46">
              <w:rPr>
                <w:rFonts w:ascii="Times New Roman" w:eastAsia="Times New Roman" w:hAnsi="Times New Roman" w:cs="Times New Roman"/>
                <w:sz w:val="26"/>
                <w:szCs w:val="26"/>
                <w:lang w:eastAsia="lv-LV"/>
              </w:rPr>
              <w:t xml:space="preserve">ņemot vērā augstāko izglītības institūciju reorganizāciju, </w:t>
            </w:r>
            <w:r w:rsidRPr="00620B46">
              <w:rPr>
                <w:rFonts w:ascii="Times New Roman" w:eastAsia="Times New Roman" w:hAnsi="Times New Roman" w:cs="Times New Roman"/>
                <w:sz w:val="26"/>
                <w:szCs w:val="26"/>
                <w:lang w:eastAsia="lv-LV"/>
              </w:rPr>
              <w:t xml:space="preserve">LU </w:t>
            </w:r>
            <w:r w:rsidR="00F34AA8" w:rsidRPr="00620B46">
              <w:rPr>
                <w:rFonts w:ascii="Times New Roman" w:eastAsia="Times New Roman" w:hAnsi="Times New Roman" w:cs="Times New Roman"/>
                <w:sz w:val="26"/>
                <w:szCs w:val="26"/>
                <w:lang w:eastAsia="lv-LV"/>
              </w:rPr>
              <w:t xml:space="preserve">projekts ietver trīs </w:t>
            </w:r>
            <w:r w:rsidRPr="00620B46">
              <w:rPr>
                <w:rFonts w:ascii="Times New Roman" w:eastAsia="Times New Roman" w:hAnsi="Times New Roman" w:cs="Times New Roman"/>
                <w:sz w:val="26"/>
                <w:szCs w:val="26"/>
                <w:lang w:eastAsia="lv-LV"/>
              </w:rPr>
              <w:t>apak</w:t>
            </w:r>
            <w:r w:rsidR="00F34AA8" w:rsidRPr="00620B46">
              <w:rPr>
                <w:rFonts w:ascii="Times New Roman" w:eastAsia="Times New Roman" w:hAnsi="Times New Roman" w:cs="Times New Roman"/>
                <w:sz w:val="26"/>
                <w:szCs w:val="26"/>
                <w:lang w:eastAsia="lv-LV"/>
              </w:rPr>
              <w:t>šprojektus</w:t>
            </w:r>
            <w:r w:rsidRPr="00620B46">
              <w:rPr>
                <w:rFonts w:ascii="Times New Roman" w:eastAsia="Times New Roman" w:hAnsi="Times New Roman" w:cs="Times New Roman"/>
                <w:sz w:val="26"/>
                <w:szCs w:val="26"/>
                <w:lang w:eastAsia="lv-LV"/>
              </w:rPr>
              <w:t>)</w:t>
            </w:r>
            <w:r w:rsidR="005B0D5D" w:rsidRPr="00620B46">
              <w:rPr>
                <w:rFonts w:ascii="Times New Roman" w:eastAsia="Times New Roman" w:hAnsi="Times New Roman" w:cs="Times New Roman"/>
                <w:sz w:val="26"/>
                <w:szCs w:val="26"/>
                <w:lang w:eastAsia="lv-LV"/>
              </w:rPr>
              <w:t xml:space="preserve"> uzraudzība</w:t>
            </w:r>
            <w:r w:rsidR="00705F28" w:rsidRPr="00620B46">
              <w:rPr>
                <w:rFonts w:ascii="Times New Roman" w:eastAsia="Times New Roman" w:hAnsi="Times New Roman" w:cs="Times New Roman"/>
                <w:sz w:val="26"/>
                <w:szCs w:val="26"/>
                <w:lang w:eastAsia="lv-LV"/>
              </w:rPr>
              <w:t xml:space="preserve"> ar </w:t>
            </w:r>
            <w:r w:rsidR="00DE3C69" w:rsidRPr="00620B46">
              <w:rPr>
                <w:rFonts w:ascii="Times New Roman" w:eastAsia="Times New Roman" w:hAnsi="Times New Roman" w:cs="Times New Roman"/>
                <w:sz w:val="26"/>
                <w:szCs w:val="26"/>
                <w:lang w:eastAsia="lv-LV"/>
              </w:rPr>
              <w:t xml:space="preserve">mērķi nodrošināt ierobežotas jomas darbībām izvirzīto kritēriju izpildi katra </w:t>
            </w:r>
            <w:r w:rsidR="00F34AA8" w:rsidRPr="00620B46">
              <w:rPr>
                <w:rFonts w:ascii="Times New Roman" w:eastAsia="Times New Roman" w:hAnsi="Times New Roman" w:cs="Times New Roman"/>
                <w:sz w:val="26"/>
                <w:szCs w:val="26"/>
                <w:lang w:eastAsia="lv-LV"/>
              </w:rPr>
              <w:t>3.1.1.2.1.</w:t>
            </w:r>
            <w:r w:rsidR="00DE3C69" w:rsidRPr="00620B46">
              <w:rPr>
                <w:rFonts w:ascii="Times New Roman" w:eastAsia="Times New Roman" w:hAnsi="Times New Roman" w:cs="Times New Roman"/>
                <w:sz w:val="26"/>
                <w:szCs w:val="26"/>
                <w:lang w:eastAsia="lv-LV"/>
              </w:rPr>
              <w:t>. projekta dzīves cikla laikā (pārskata periodā)</w:t>
            </w:r>
            <w:r w:rsidR="008F791E" w:rsidRPr="00620B46">
              <w:rPr>
                <w:rFonts w:ascii="Times New Roman" w:eastAsia="Times New Roman" w:hAnsi="Times New Roman" w:cs="Times New Roman"/>
                <w:sz w:val="26"/>
                <w:szCs w:val="26"/>
                <w:lang w:eastAsia="lv-LV"/>
              </w:rPr>
              <w:t xml:space="preserve"> līdz 20</w:t>
            </w:r>
            <w:r w:rsidR="00F34AA8" w:rsidRPr="00620B46">
              <w:rPr>
                <w:rFonts w:ascii="Times New Roman" w:eastAsia="Times New Roman" w:hAnsi="Times New Roman" w:cs="Times New Roman"/>
                <w:sz w:val="26"/>
                <w:szCs w:val="26"/>
                <w:lang w:eastAsia="lv-LV"/>
              </w:rPr>
              <w:t>24</w:t>
            </w:r>
            <w:r w:rsidR="008F791E" w:rsidRPr="00620B46">
              <w:rPr>
                <w:rFonts w:ascii="Times New Roman" w:eastAsia="Times New Roman" w:hAnsi="Times New Roman" w:cs="Times New Roman"/>
                <w:sz w:val="26"/>
                <w:szCs w:val="26"/>
                <w:lang w:eastAsia="lv-LV"/>
              </w:rPr>
              <w:t>.gadam</w:t>
            </w:r>
            <w:r w:rsidR="00DE3C69" w:rsidRPr="00620B46">
              <w:rPr>
                <w:rFonts w:ascii="Times New Roman" w:eastAsia="Times New Roman" w:hAnsi="Times New Roman" w:cs="Times New Roman"/>
                <w:sz w:val="26"/>
                <w:szCs w:val="26"/>
                <w:lang w:eastAsia="lv-LV"/>
              </w:rPr>
              <w:t>.</w:t>
            </w:r>
          </w:p>
          <w:p w14:paraId="2B622264" w14:textId="77777777" w:rsidR="00F34AA8" w:rsidRPr="00620B46" w:rsidRDefault="00DE3C69"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Uzraudzības ietvaros</w:t>
            </w:r>
            <w:r w:rsidR="00F34AA8" w:rsidRPr="00620B46">
              <w:rPr>
                <w:rFonts w:ascii="Times New Roman" w:eastAsia="Times New Roman" w:hAnsi="Times New Roman" w:cs="Times New Roman"/>
                <w:sz w:val="26"/>
                <w:szCs w:val="26"/>
                <w:lang w:eastAsia="lv-LV"/>
              </w:rPr>
              <w:t>:</w:t>
            </w:r>
          </w:p>
          <w:p w14:paraId="463383B3" w14:textId="266E55B9" w:rsidR="00F34AA8" w:rsidRPr="00620B46" w:rsidRDefault="00F34AA8"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1. </w:t>
            </w:r>
            <w:r w:rsidR="00DE3C69" w:rsidRPr="00620B46">
              <w:rPr>
                <w:rFonts w:ascii="Times New Roman" w:eastAsia="Times New Roman" w:hAnsi="Times New Roman" w:cs="Times New Roman"/>
                <w:sz w:val="26"/>
                <w:szCs w:val="26"/>
                <w:lang w:eastAsia="lv-LV"/>
              </w:rPr>
              <w:t>vērtē</w:t>
            </w:r>
            <w:r w:rsidR="008F791E" w:rsidRPr="00620B46">
              <w:rPr>
                <w:rFonts w:ascii="Times New Roman" w:eastAsia="Times New Roman" w:hAnsi="Times New Roman" w:cs="Times New Roman"/>
                <w:sz w:val="26"/>
                <w:szCs w:val="26"/>
                <w:lang w:eastAsia="lv-LV"/>
              </w:rPr>
              <w:t>:</w:t>
            </w:r>
            <w:r w:rsidR="00DE3C69" w:rsidRPr="00620B46">
              <w:rPr>
                <w:rFonts w:ascii="Times New Roman" w:eastAsia="Times New Roman" w:hAnsi="Times New Roman" w:cs="Times New Roman"/>
                <w:sz w:val="26"/>
                <w:szCs w:val="26"/>
                <w:lang w:eastAsia="lv-LV"/>
              </w:rPr>
              <w:t xml:space="preserve"> </w:t>
            </w:r>
            <w:r w:rsidR="008F791E" w:rsidRPr="00620B46">
              <w:rPr>
                <w:rFonts w:ascii="Times New Roman" w:eastAsia="Times New Roman" w:hAnsi="Times New Roman" w:cs="Times New Roman"/>
                <w:sz w:val="26"/>
                <w:szCs w:val="26"/>
                <w:lang w:eastAsia="lv-LV"/>
              </w:rPr>
              <w:t>a</w:t>
            </w:r>
            <w:r w:rsidR="00DE3C69" w:rsidRPr="00620B46">
              <w:rPr>
                <w:rFonts w:ascii="Times New Roman" w:eastAsia="Times New Roman" w:hAnsi="Times New Roman" w:cs="Times New Roman"/>
                <w:sz w:val="26"/>
                <w:szCs w:val="26"/>
                <w:lang w:eastAsia="lv-LV"/>
              </w:rPr>
              <w:t xml:space="preserve">) </w:t>
            </w:r>
            <w:r w:rsidRPr="00620B46">
              <w:rPr>
                <w:rFonts w:ascii="Times New Roman" w:eastAsia="Times New Roman" w:hAnsi="Times New Roman" w:cs="Times New Roman"/>
                <w:sz w:val="26"/>
                <w:szCs w:val="26"/>
                <w:lang w:eastAsia="lv-LV"/>
              </w:rPr>
              <w:t>finansējuma saņēmēja</w:t>
            </w:r>
            <w:r w:rsidR="00DE3C69" w:rsidRPr="00620B46">
              <w:rPr>
                <w:rFonts w:ascii="Times New Roman" w:eastAsia="Times New Roman" w:hAnsi="Times New Roman" w:cs="Times New Roman"/>
                <w:sz w:val="26"/>
                <w:szCs w:val="26"/>
                <w:lang w:eastAsia="lv-LV"/>
              </w:rPr>
              <w:t xml:space="preserve"> finanšu vadības sistēmu (</w:t>
            </w:r>
            <w:r w:rsidR="008F791E" w:rsidRPr="00620B46">
              <w:rPr>
                <w:rFonts w:ascii="Times New Roman" w:eastAsia="Times New Roman" w:hAnsi="Times New Roman" w:cs="Times New Roman"/>
                <w:sz w:val="26"/>
                <w:szCs w:val="26"/>
                <w:lang w:eastAsia="lv-LV"/>
              </w:rPr>
              <w:t>kas ietver jautājumus, kas saistīti ar</w:t>
            </w:r>
            <w:r w:rsidR="00DE3C69" w:rsidRPr="00620B46">
              <w:rPr>
                <w:rFonts w:ascii="Times New Roman" w:eastAsia="Times New Roman" w:hAnsi="Times New Roman" w:cs="Times New Roman"/>
                <w:sz w:val="26"/>
                <w:szCs w:val="26"/>
                <w:lang w:eastAsia="lv-LV"/>
              </w:rPr>
              <w:t xml:space="preserve"> darbību </w:t>
            </w:r>
            <w:r w:rsidR="008F791E" w:rsidRPr="00620B46">
              <w:rPr>
                <w:rFonts w:ascii="Times New Roman" w:eastAsia="Times New Roman" w:hAnsi="Times New Roman" w:cs="Times New Roman"/>
                <w:sz w:val="26"/>
                <w:szCs w:val="26"/>
                <w:lang w:eastAsia="lv-LV"/>
              </w:rPr>
              <w:t>nodalīšanu</w:t>
            </w:r>
            <w:r w:rsidR="00DE3C69" w:rsidRPr="00620B46">
              <w:rPr>
                <w:rFonts w:ascii="Times New Roman" w:eastAsia="Times New Roman" w:hAnsi="Times New Roman" w:cs="Times New Roman"/>
                <w:sz w:val="26"/>
                <w:szCs w:val="26"/>
                <w:lang w:eastAsia="lv-LV"/>
              </w:rPr>
              <w:t xml:space="preserve">, ieņēmumu </w:t>
            </w:r>
            <w:proofErr w:type="spellStart"/>
            <w:r w:rsidR="008F791E" w:rsidRPr="00620B46">
              <w:rPr>
                <w:rFonts w:ascii="Times New Roman" w:eastAsia="Times New Roman" w:hAnsi="Times New Roman" w:cs="Times New Roman"/>
                <w:sz w:val="26"/>
                <w:szCs w:val="26"/>
                <w:lang w:eastAsia="lv-LV"/>
              </w:rPr>
              <w:t>reinvestēšanu</w:t>
            </w:r>
            <w:proofErr w:type="spellEnd"/>
            <w:r w:rsidR="008F791E" w:rsidRPr="00620B46">
              <w:rPr>
                <w:rFonts w:ascii="Times New Roman" w:eastAsia="Times New Roman" w:hAnsi="Times New Roman" w:cs="Times New Roman"/>
                <w:sz w:val="26"/>
                <w:szCs w:val="26"/>
                <w:lang w:eastAsia="lv-LV"/>
              </w:rPr>
              <w:t xml:space="preserve"> </w:t>
            </w:r>
            <w:r w:rsidR="00DE3C69" w:rsidRPr="00620B46">
              <w:rPr>
                <w:rFonts w:ascii="Times New Roman" w:eastAsia="Times New Roman" w:hAnsi="Times New Roman" w:cs="Times New Roman"/>
                <w:sz w:val="26"/>
                <w:szCs w:val="26"/>
                <w:lang w:eastAsia="lv-LV"/>
              </w:rPr>
              <w:t xml:space="preserve">pamatdarbībā </w:t>
            </w:r>
            <w:r w:rsidR="008F791E" w:rsidRPr="00620B46">
              <w:rPr>
                <w:rFonts w:ascii="Times New Roman" w:eastAsia="Times New Roman" w:hAnsi="Times New Roman" w:cs="Times New Roman"/>
                <w:sz w:val="26"/>
                <w:szCs w:val="26"/>
                <w:lang w:eastAsia="lv-LV"/>
              </w:rPr>
              <w:t>u.c.</w:t>
            </w:r>
            <w:r w:rsidR="00DE3C69" w:rsidRPr="00620B46">
              <w:rPr>
                <w:rFonts w:ascii="Times New Roman" w:eastAsia="Times New Roman" w:hAnsi="Times New Roman" w:cs="Times New Roman"/>
                <w:sz w:val="26"/>
                <w:szCs w:val="26"/>
                <w:lang w:eastAsia="lv-LV"/>
              </w:rPr>
              <w:t xml:space="preserve"> nosacījumi</w:t>
            </w:r>
            <w:r w:rsidR="008F791E" w:rsidRPr="00620B46">
              <w:rPr>
                <w:rFonts w:ascii="Times New Roman" w:eastAsia="Times New Roman" w:hAnsi="Times New Roman" w:cs="Times New Roman"/>
                <w:sz w:val="26"/>
                <w:szCs w:val="26"/>
                <w:lang w:eastAsia="lv-LV"/>
              </w:rPr>
              <w:t>em</w:t>
            </w:r>
            <w:r w:rsidR="00DE3C69" w:rsidRPr="00620B46">
              <w:rPr>
                <w:rFonts w:ascii="Times New Roman" w:eastAsia="Times New Roman" w:hAnsi="Times New Roman" w:cs="Times New Roman"/>
                <w:sz w:val="26"/>
                <w:szCs w:val="26"/>
                <w:lang w:eastAsia="lv-LV"/>
              </w:rPr>
              <w:t xml:space="preserve">), </w:t>
            </w:r>
            <w:r w:rsidR="008F791E" w:rsidRPr="00620B46">
              <w:rPr>
                <w:rFonts w:ascii="Times New Roman" w:eastAsia="Times New Roman" w:hAnsi="Times New Roman" w:cs="Times New Roman"/>
                <w:sz w:val="26"/>
                <w:szCs w:val="26"/>
                <w:lang w:eastAsia="lv-LV"/>
              </w:rPr>
              <w:t>b</w:t>
            </w:r>
            <w:r w:rsidR="00DE3C69" w:rsidRPr="00620B46">
              <w:rPr>
                <w:rFonts w:ascii="Times New Roman" w:eastAsia="Times New Roman" w:hAnsi="Times New Roman" w:cs="Times New Roman"/>
                <w:sz w:val="26"/>
                <w:szCs w:val="26"/>
                <w:lang w:eastAsia="lv-LV"/>
              </w:rPr>
              <w:t>) darbību raksturu (saimnieciska</w:t>
            </w:r>
            <w:r w:rsidR="008F791E" w:rsidRPr="00620B46">
              <w:rPr>
                <w:rFonts w:ascii="Times New Roman" w:eastAsia="Times New Roman" w:hAnsi="Times New Roman" w:cs="Times New Roman"/>
                <w:sz w:val="26"/>
                <w:szCs w:val="26"/>
                <w:lang w:eastAsia="lv-LV"/>
              </w:rPr>
              <w:t xml:space="preserve"> darbība</w:t>
            </w:r>
            <w:r w:rsidR="00DE3C69" w:rsidRPr="00620B46">
              <w:rPr>
                <w:rFonts w:ascii="Times New Roman" w:eastAsia="Times New Roman" w:hAnsi="Times New Roman" w:cs="Times New Roman"/>
                <w:sz w:val="26"/>
                <w:szCs w:val="26"/>
                <w:lang w:eastAsia="lv-LV"/>
              </w:rPr>
              <w:t xml:space="preserve">, </w:t>
            </w:r>
            <w:r w:rsidR="008F791E" w:rsidRPr="00620B46">
              <w:rPr>
                <w:rFonts w:ascii="Times New Roman" w:eastAsia="Times New Roman" w:hAnsi="Times New Roman" w:cs="Times New Roman"/>
                <w:sz w:val="26"/>
                <w:szCs w:val="26"/>
                <w:lang w:eastAsia="lv-LV"/>
              </w:rPr>
              <w:t>darbība, kurai nav saimniecisks raksturs</w:t>
            </w:r>
            <w:r w:rsidR="00DE3C69" w:rsidRPr="00620B46">
              <w:rPr>
                <w:rFonts w:ascii="Times New Roman" w:eastAsia="Times New Roman" w:hAnsi="Times New Roman" w:cs="Times New Roman"/>
                <w:sz w:val="26"/>
                <w:szCs w:val="26"/>
                <w:lang w:eastAsia="lv-LV"/>
              </w:rPr>
              <w:t>), ko īsteno, izmantojot katra projekta ietvaros izveidoto infrastruktūru</w:t>
            </w:r>
            <w:r w:rsidR="008F791E" w:rsidRPr="00620B46">
              <w:rPr>
                <w:rFonts w:ascii="Times New Roman" w:eastAsia="Times New Roman" w:hAnsi="Times New Roman" w:cs="Times New Roman"/>
                <w:sz w:val="26"/>
                <w:szCs w:val="26"/>
                <w:lang w:eastAsia="lv-LV"/>
              </w:rPr>
              <w:t xml:space="preserve">; </w:t>
            </w:r>
          </w:p>
          <w:p w14:paraId="350F3842" w14:textId="77777777" w:rsidR="00F34AA8" w:rsidRPr="00620B46" w:rsidRDefault="008F791E"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r w:rsidR="00F34AA8" w:rsidRPr="00620B46">
              <w:rPr>
                <w:rFonts w:ascii="Times New Roman" w:eastAsia="Times New Roman" w:hAnsi="Times New Roman" w:cs="Times New Roman"/>
                <w:sz w:val="26"/>
                <w:szCs w:val="26"/>
                <w:lang w:eastAsia="lv-LV"/>
              </w:rPr>
              <w:t>. </w:t>
            </w:r>
            <w:r w:rsidR="00DE3C69" w:rsidRPr="00620B46">
              <w:rPr>
                <w:rFonts w:ascii="Times New Roman" w:eastAsia="Times New Roman" w:hAnsi="Times New Roman" w:cs="Times New Roman"/>
                <w:sz w:val="26"/>
                <w:szCs w:val="26"/>
                <w:lang w:eastAsia="lv-LV"/>
              </w:rPr>
              <w:t>nosaka saimnieciska rakstura pamatdarbību jaudu finanšu izteiksmē</w:t>
            </w:r>
            <w:r w:rsidRPr="00620B46">
              <w:rPr>
                <w:rFonts w:ascii="Times New Roman" w:eastAsia="Times New Roman" w:hAnsi="Times New Roman" w:cs="Times New Roman"/>
                <w:sz w:val="26"/>
                <w:szCs w:val="26"/>
                <w:lang w:eastAsia="lv-LV"/>
              </w:rPr>
              <w:t xml:space="preserve">; </w:t>
            </w:r>
          </w:p>
          <w:p w14:paraId="18FE995D" w14:textId="77777777" w:rsidR="00F34AA8" w:rsidRPr="00620B46" w:rsidRDefault="00F34AA8"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w:t>
            </w:r>
            <w:r w:rsidR="008F791E" w:rsidRPr="00620B46">
              <w:rPr>
                <w:rFonts w:ascii="Times New Roman" w:eastAsia="Times New Roman" w:hAnsi="Times New Roman" w:cs="Times New Roman"/>
                <w:sz w:val="26"/>
                <w:szCs w:val="26"/>
                <w:lang w:eastAsia="lv-LV"/>
              </w:rPr>
              <w:t xml:space="preserve"> </w:t>
            </w:r>
            <w:r w:rsidR="00DE3C69" w:rsidRPr="00620B46">
              <w:rPr>
                <w:rFonts w:ascii="Times New Roman" w:eastAsia="Times New Roman" w:hAnsi="Times New Roman" w:cs="Times New Roman"/>
                <w:sz w:val="26"/>
                <w:szCs w:val="26"/>
                <w:lang w:eastAsia="lv-LV"/>
              </w:rPr>
              <w:t>izvērtē saimnieciska rakstura pamatdarbību atbilstību ierobežotas jomas darbību kritērijiem</w:t>
            </w:r>
            <w:r w:rsidRPr="00620B46">
              <w:rPr>
                <w:rFonts w:ascii="Times New Roman" w:eastAsia="Times New Roman" w:hAnsi="Times New Roman" w:cs="Times New Roman"/>
                <w:sz w:val="26"/>
                <w:szCs w:val="26"/>
                <w:lang w:eastAsia="lv-LV"/>
              </w:rPr>
              <w:t>;</w:t>
            </w:r>
          </w:p>
          <w:p w14:paraId="7127A8A0" w14:textId="12C13697" w:rsidR="00DE3C69" w:rsidRPr="00620B46" w:rsidRDefault="008F791E"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w:t>
            </w:r>
            <w:r w:rsidR="00F34AA8" w:rsidRPr="00620B46">
              <w:rPr>
                <w:rFonts w:ascii="Times New Roman" w:eastAsia="Times New Roman" w:hAnsi="Times New Roman" w:cs="Times New Roman"/>
                <w:sz w:val="26"/>
                <w:szCs w:val="26"/>
                <w:lang w:eastAsia="lv-LV"/>
              </w:rPr>
              <w:t>.</w:t>
            </w:r>
            <w:r w:rsidRPr="00620B46">
              <w:rPr>
                <w:rFonts w:ascii="Times New Roman" w:eastAsia="Times New Roman" w:hAnsi="Times New Roman" w:cs="Times New Roman"/>
                <w:sz w:val="26"/>
                <w:szCs w:val="26"/>
                <w:lang w:eastAsia="lv-LV"/>
              </w:rPr>
              <w:t xml:space="preserve"> piemēro </w:t>
            </w:r>
            <w:r w:rsidR="00A54679" w:rsidRPr="00620B46">
              <w:rPr>
                <w:rFonts w:ascii="Times New Roman" w:eastAsia="Times New Roman" w:hAnsi="Times New Roman" w:cs="Times New Roman"/>
                <w:sz w:val="26"/>
                <w:szCs w:val="26"/>
                <w:lang w:eastAsia="lv-LV"/>
              </w:rPr>
              <w:t>publiskā</w:t>
            </w:r>
            <w:r w:rsidRPr="00620B46">
              <w:rPr>
                <w:rFonts w:ascii="Times New Roman" w:eastAsia="Times New Roman" w:hAnsi="Times New Roman" w:cs="Times New Roman"/>
                <w:sz w:val="26"/>
                <w:szCs w:val="26"/>
                <w:lang w:eastAsia="lv-LV"/>
              </w:rPr>
              <w:t xml:space="preserve"> finansējuma atgūšanas mehānismu (ja attiecināms</w:t>
            </w:r>
            <w:r w:rsidR="004B15DE" w:rsidRPr="00620B46">
              <w:rPr>
                <w:rFonts w:ascii="Times New Roman" w:eastAsia="Times New Roman" w:hAnsi="Times New Roman" w:cs="Times New Roman"/>
                <w:sz w:val="26"/>
                <w:szCs w:val="26"/>
                <w:lang w:eastAsia="lv-LV"/>
              </w:rPr>
              <w:t>)</w:t>
            </w:r>
            <w:r w:rsidR="00DE3C69" w:rsidRPr="00620B46">
              <w:rPr>
                <w:rFonts w:ascii="Times New Roman" w:eastAsia="Times New Roman" w:hAnsi="Times New Roman" w:cs="Times New Roman"/>
                <w:sz w:val="26"/>
                <w:szCs w:val="26"/>
                <w:lang w:eastAsia="lv-LV"/>
              </w:rPr>
              <w:t xml:space="preserve">. </w:t>
            </w:r>
          </w:p>
          <w:p w14:paraId="197CFD89" w14:textId="5F45E98C" w:rsidR="00DE3C69" w:rsidRPr="00620B46" w:rsidRDefault="00F34AA8"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3.1.2.1.1.</w:t>
            </w:r>
            <w:r w:rsidR="00DE3C69" w:rsidRPr="00620B46">
              <w:rPr>
                <w:rFonts w:ascii="Times New Roman" w:eastAsia="Times New Roman" w:hAnsi="Times New Roman" w:cs="Times New Roman"/>
                <w:sz w:val="26"/>
                <w:szCs w:val="26"/>
                <w:lang w:eastAsia="lv-LV"/>
              </w:rPr>
              <w:t xml:space="preserve"> aktivitātes ietvaros ieguldījumi veikti šādu pamatlīdzekļu modernizācijai, iegādei vai izveidei:</w:t>
            </w:r>
          </w:p>
          <w:p w14:paraId="6B172A89" w14:textId="5156ED7F" w:rsidR="00DE3C69" w:rsidRPr="00620B46" w:rsidRDefault="00F34AA8" w:rsidP="00DE3C6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w:t>
            </w:r>
            <w:r w:rsidR="00DE3C69" w:rsidRPr="00620B46">
              <w:rPr>
                <w:rFonts w:ascii="Times New Roman" w:eastAsia="Times New Roman" w:hAnsi="Times New Roman" w:cs="Times New Roman"/>
                <w:sz w:val="26"/>
                <w:szCs w:val="26"/>
                <w:lang w:eastAsia="lv-LV"/>
              </w:rPr>
              <w:t>iekārtas, kuru a</w:t>
            </w:r>
            <w:r w:rsidRPr="00620B46">
              <w:rPr>
                <w:rFonts w:ascii="Times New Roman" w:eastAsia="Times New Roman" w:hAnsi="Times New Roman" w:cs="Times New Roman"/>
                <w:sz w:val="26"/>
                <w:szCs w:val="26"/>
                <w:lang w:eastAsia="lv-LV"/>
              </w:rPr>
              <w:t>mortizācijas periods ir 10 gadi</w:t>
            </w:r>
            <w:r w:rsidR="00DE3C69" w:rsidRPr="00620B46">
              <w:rPr>
                <w:rFonts w:ascii="Times New Roman" w:eastAsia="Times New Roman" w:hAnsi="Times New Roman" w:cs="Times New Roman"/>
                <w:sz w:val="26"/>
                <w:szCs w:val="26"/>
                <w:lang w:eastAsia="lv-LV"/>
              </w:rPr>
              <w:t>;</w:t>
            </w:r>
          </w:p>
          <w:p w14:paraId="72C7CBB1" w14:textId="19F3B004" w:rsidR="00DE3C69" w:rsidRPr="00620B46" w:rsidRDefault="00F34AA8" w:rsidP="00DE3C69">
            <w:pPr>
              <w:spacing w:before="10" w:after="0" w:line="240" w:lineRule="auto"/>
              <w:ind w:left="113" w:right="113"/>
              <w:jc w:val="both"/>
              <w:rPr>
                <w:rFonts w:ascii="Times New Roman" w:hAnsi="Times New Roman" w:cs="Times New Roman"/>
                <w:color w:val="1F497D"/>
                <w:sz w:val="26"/>
                <w:szCs w:val="26"/>
              </w:rPr>
            </w:pPr>
            <w:r w:rsidRPr="00620B46">
              <w:rPr>
                <w:rFonts w:ascii="Times New Roman" w:eastAsia="Times New Roman" w:hAnsi="Times New Roman" w:cs="Times New Roman"/>
                <w:sz w:val="26"/>
                <w:szCs w:val="26"/>
                <w:lang w:eastAsia="lv-LV"/>
              </w:rPr>
              <w:t>–</w:t>
            </w:r>
            <w:r w:rsidR="00DE3C69" w:rsidRPr="00620B46">
              <w:rPr>
                <w:rFonts w:ascii="Times New Roman" w:eastAsia="Times New Roman" w:hAnsi="Times New Roman" w:cs="Times New Roman"/>
                <w:sz w:val="26"/>
                <w:szCs w:val="26"/>
                <w:lang w:eastAsia="lv-LV"/>
              </w:rPr>
              <w:t> </w:t>
            </w:r>
            <w:r w:rsidRPr="00620B46">
              <w:rPr>
                <w:rFonts w:ascii="Times New Roman" w:eastAsia="Times New Roman" w:hAnsi="Times New Roman" w:cs="Times New Roman"/>
                <w:sz w:val="26"/>
                <w:szCs w:val="26"/>
                <w:lang w:eastAsia="lv-LV"/>
              </w:rPr>
              <w:t xml:space="preserve">jaunu būvju būvniecība, </w:t>
            </w:r>
            <w:r w:rsidR="00DE3C69" w:rsidRPr="00620B46">
              <w:rPr>
                <w:rFonts w:ascii="Times New Roman" w:eastAsia="Times New Roman" w:hAnsi="Times New Roman" w:cs="Times New Roman"/>
                <w:sz w:val="26"/>
                <w:szCs w:val="26"/>
                <w:lang w:eastAsia="lv-LV"/>
              </w:rPr>
              <w:t xml:space="preserve">telpu un ēku renovācija un rekonstrukcija. </w:t>
            </w:r>
            <w:r w:rsidR="00CC7BC2" w:rsidRPr="00620B46">
              <w:rPr>
                <w:rFonts w:ascii="Times New Roman" w:eastAsia="Times New Roman" w:hAnsi="Times New Roman" w:cs="Times New Roman"/>
                <w:sz w:val="26"/>
                <w:szCs w:val="26"/>
                <w:lang w:eastAsia="lv-LV"/>
              </w:rPr>
              <w:t>U</w:t>
            </w:r>
            <w:r w:rsidR="00DE3C69" w:rsidRPr="00620B46">
              <w:rPr>
                <w:rFonts w:ascii="Times New Roman" w:eastAsia="Times New Roman" w:hAnsi="Times New Roman" w:cs="Times New Roman"/>
                <w:sz w:val="26"/>
                <w:szCs w:val="26"/>
                <w:lang w:eastAsia="lv-LV"/>
              </w:rPr>
              <w:t>zraudzīb</w:t>
            </w:r>
            <w:r w:rsidR="00CC7BC2" w:rsidRPr="00620B46">
              <w:rPr>
                <w:rFonts w:ascii="Times New Roman" w:eastAsia="Times New Roman" w:hAnsi="Times New Roman" w:cs="Times New Roman"/>
                <w:sz w:val="26"/>
                <w:szCs w:val="26"/>
                <w:lang w:eastAsia="lv-LV"/>
              </w:rPr>
              <w:t>u</w:t>
            </w:r>
            <w:r w:rsidR="00DE3C69" w:rsidRPr="00620B46">
              <w:rPr>
                <w:rFonts w:ascii="Times New Roman" w:eastAsia="Times New Roman" w:hAnsi="Times New Roman" w:cs="Times New Roman"/>
                <w:sz w:val="26"/>
                <w:szCs w:val="26"/>
                <w:lang w:eastAsia="lv-LV"/>
              </w:rPr>
              <w:t xml:space="preserve"> veic projekta pārskata </w:t>
            </w:r>
            <w:r w:rsidR="000A0A7E">
              <w:rPr>
                <w:rFonts w:ascii="Times New Roman" w:eastAsia="Times New Roman" w:hAnsi="Times New Roman" w:cs="Times New Roman"/>
                <w:sz w:val="26"/>
                <w:szCs w:val="26"/>
                <w:lang w:eastAsia="lv-LV"/>
              </w:rPr>
              <w:t xml:space="preserve">(dzīves cikla) </w:t>
            </w:r>
            <w:r w:rsidR="00DE3C69" w:rsidRPr="00620B46">
              <w:rPr>
                <w:rFonts w:ascii="Times New Roman" w:eastAsia="Times New Roman" w:hAnsi="Times New Roman" w:cs="Times New Roman"/>
                <w:sz w:val="26"/>
                <w:szCs w:val="26"/>
                <w:lang w:eastAsia="lv-LV"/>
              </w:rPr>
              <w:t>periodā līdz 20</w:t>
            </w:r>
            <w:r w:rsidRPr="00620B46">
              <w:rPr>
                <w:rFonts w:ascii="Times New Roman" w:eastAsia="Times New Roman" w:hAnsi="Times New Roman" w:cs="Times New Roman"/>
                <w:sz w:val="26"/>
                <w:szCs w:val="26"/>
                <w:lang w:eastAsia="lv-LV"/>
              </w:rPr>
              <w:t>24</w:t>
            </w:r>
            <w:r w:rsidR="00DE3C69" w:rsidRPr="00620B46">
              <w:rPr>
                <w:rFonts w:ascii="Times New Roman" w:eastAsia="Times New Roman" w:hAnsi="Times New Roman" w:cs="Times New Roman"/>
                <w:sz w:val="26"/>
                <w:szCs w:val="26"/>
                <w:lang w:eastAsia="lv-LV"/>
              </w:rPr>
              <w:t>.gadam</w:t>
            </w:r>
            <w:r w:rsidRPr="00620B46">
              <w:rPr>
                <w:rFonts w:ascii="Times New Roman" w:hAnsi="Times New Roman" w:cs="Times New Roman"/>
                <w:color w:val="1F497D"/>
                <w:sz w:val="26"/>
                <w:szCs w:val="26"/>
              </w:rPr>
              <w:t>.</w:t>
            </w:r>
            <w:r w:rsidR="00DE3C69" w:rsidRPr="00620B46">
              <w:rPr>
                <w:rFonts w:ascii="Times New Roman" w:hAnsi="Times New Roman" w:cs="Times New Roman"/>
                <w:color w:val="1F497D"/>
                <w:sz w:val="26"/>
                <w:szCs w:val="26"/>
              </w:rPr>
              <w:t xml:space="preserve"> </w:t>
            </w:r>
          </w:p>
          <w:p w14:paraId="297EFFFF" w14:textId="78A0C665" w:rsidR="00DF2054" w:rsidRPr="00620B46" w:rsidRDefault="00ED0E5A" w:rsidP="00DE3C69">
            <w:pPr>
              <w:rPr>
                <w:rFonts w:ascii="Times New Roman" w:hAnsi="Times New Roman" w:cs="Times New Roman"/>
                <w:sz w:val="26"/>
                <w:szCs w:val="26"/>
              </w:rPr>
            </w:pPr>
            <w:r w:rsidRPr="00620B46">
              <w:rPr>
                <w:rFonts w:ascii="Times New Roman" w:hAnsi="Times New Roman" w:cs="Times New Roman"/>
                <w:sz w:val="26"/>
                <w:szCs w:val="26"/>
              </w:rPr>
              <w:t>Vidējās administratīvās</w:t>
            </w:r>
            <w:r w:rsidR="00DF2054" w:rsidRPr="00620B46">
              <w:rPr>
                <w:rFonts w:ascii="Times New Roman" w:hAnsi="Times New Roman" w:cs="Times New Roman"/>
                <w:sz w:val="26"/>
                <w:szCs w:val="26"/>
              </w:rPr>
              <w:t xml:space="preserve"> izmaksas </w:t>
            </w:r>
            <w:proofErr w:type="spellStart"/>
            <w:r w:rsidR="00DF2054" w:rsidRPr="00620B46">
              <w:rPr>
                <w:rFonts w:ascii="Times New Roman" w:eastAsia="Times New Roman" w:hAnsi="Times New Roman" w:cs="Times New Roman"/>
                <w:sz w:val="26"/>
                <w:szCs w:val="26"/>
                <w:lang w:eastAsia="lv-LV"/>
              </w:rPr>
              <w:t>C</w:t>
            </w:r>
            <w:r w:rsidR="00DF2054" w:rsidRPr="00620B46">
              <w:rPr>
                <w:rFonts w:ascii="Times New Roman" w:eastAsia="Times New Roman" w:hAnsi="Times New Roman" w:cs="Times New Roman"/>
                <w:sz w:val="26"/>
                <w:szCs w:val="26"/>
                <w:vertAlign w:val="subscript"/>
                <w:lang w:eastAsia="lv-LV"/>
              </w:rPr>
              <w:t>g</w:t>
            </w:r>
            <w:proofErr w:type="spellEnd"/>
            <w:r w:rsidR="00DF2054" w:rsidRPr="00620B46">
              <w:rPr>
                <w:rFonts w:ascii="Times New Roman" w:hAnsi="Times New Roman" w:cs="Times New Roman"/>
                <w:sz w:val="26"/>
                <w:szCs w:val="26"/>
              </w:rPr>
              <w:t xml:space="preserve"> gadā aprēķina, izmantojot šādu formulu: </w:t>
            </w:r>
          </w:p>
          <w:p w14:paraId="562486A3" w14:textId="136DB62F" w:rsidR="0003107E" w:rsidRPr="00620B46"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proofErr w:type="spellStart"/>
            <w:r w:rsidRPr="00620B46">
              <w:rPr>
                <w:rFonts w:ascii="Times New Roman" w:eastAsia="Times New Roman" w:hAnsi="Times New Roman" w:cs="Times New Roman"/>
                <w:sz w:val="26"/>
                <w:szCs w:val="26"/>
                <w:lang w:eastAsia="lv-LV"/>
              </w:rPr>
              <w:t>C</w:t>
            </w:r>
            <w:r w:rsidR="00F17FE1" w:rsidRPr="00620B46">
              <w:rPr>
                <w:rFonts w:ascii="Times New Roman" w:eastAsia="Times New Roman" w:hAnsi="Times New Roman" w:cs="Times New Roman"/>
                <w:sz w:val="26"/>
                <w:szCs w:val="26"/>
                <w:vertAlign w:val="subscript"/>
                <w:lang w:eastAsia="lv-LV"/>
              </w:rPr>
              <w:t>g</w:t>
            </w:r>
            <w:proofErr w:type="spellEnd"/>
            <w:r w:rsidRPr="00620B46">
              <w:rPr>
                <w:rFonts w:ascii="Times New Roman" w:eastAsia="Times New Roman" w:hAnsi="Times New Roman" w:cs="Times New Roman"/>
                <w:sz w:val="26"/>
                <w:szCs w:val="26"/>
                <w:lang w:eastAsia="lv-LV"/>
              </w:rPr>
              <w:t xml:space="preserve"> = (f x l) x (n x b)</w:t>
            </w:r>
            <w:r w:rsidR="0003107E" w:rsidRPr="00620B46">
              <w:rPr>
                <w:rFonts w:ascii="Times New Roman" w:eastAsia="Times New Roman" w:hAnsi="Times New Roman" w:cs="Times New Roman"/>
                <w:sz w:val="26"/>
                <w:szCs w:val="26"/>
                <w:lang w:eastAsia="lv-LV"/>
              </w:rPr>
              <w:t xml:space="preserve"> = </w:t>
            </w:r>
          </w:p>
          <w:p w14:paraId="3F3DFB52" w14:textId="2E035EE3" w:rsidR="00CC7BC2" w:rsidRPr="00620B46" w:rsidRDefault="0003107E" w:rsidP="0015234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 </w:t>
            </w:r>
            <w:r w:rsidR="00C878D0" w:rsidRPr="00620B46">
              <w:rPr>
                <w:rFonts w:ascii="Times New Roman" w:eastAsia="Times New Roman" w:hAnsi="Times New Roman" w:cs="Times New Roman"/>
                <w:sz w:val="26"/>
                <w:szCs w:val="26"/>
                <w:lang w:eastAsia="lv-LV"/>
              </w:rPr>
              <w:t>16</w:t>
            </w:r>
            <w:r w:rsidRPr="00620B46">
              <w:rPr>
                <w:rFonts w:ascii="Times New Roman" w:eastAsia="Times New Roman" w:hAnsi="Times New Roman" w:cs="Times New Roman"/>
                <w:sz w:val="26"/>
                <w:szCs w:val="26"/>
                <w:lang w:eastAsia="lv-LV"/>
              </w:rPr>
              <w:t xml:space="preserve"> x </w:t>
            </w:r>
            <w:r w:rsidR="00ED0E5A" w:rsidRPr="00620B46">
              <w:rPr>
                <w:rFonts w:ascii="Times New Roman" w:eastAsia="Times New Roman" w:hAnsi="Times New Roman" w:cs="Times New Roman"/>
                <w:sz w:val="26"/>
                <w:szCs w:val="26"/>
                <w:lang w:eastAsia="lv-LV"/>
              </w:rPr>
              <w:t>435,4</w:t>
            </w:r>
            <w:r w:rsidRPr="00620B46">
              <w:rPr>
                <w:rFonts w:ascii="Times New Roman" w:eastAsia="Times New Roman" w:hAnsi="Times New Roman" w:cs="Times New Roman"/>
                <w:sz w:val="26"/>
                <w:szCs w:val="26"/>
                <w:lang w:eastAsia="lv-LV"/>
              </w:rPr>
              <w:t xml:space="preserve"> x </w:t>
            </w:r>
            <w:r w:rsidR="00F17FE1" w:rsidRPr="00620B46">
              <w:rPr>
                <w:rFonts w:ascii="Times New Roman" w:eastAsia="Times New Roman" w:hAnsi="Times New Roman" w:cs="Times New Roman"/>
                <w:sz w:val="26"/>
                <w:szCs w:val="26"/>
                <w:lang w:eastAsia="lv-LV"/>
              </w:rPr>
              <w:t>2</w:t>
            </w:r>
            <w:r w:rsidRPr="00620B46">
              <w:rPr>
                <w:rFonts w:ascii="Times New Roman" w:eastAsia="Times New Roman" w:hAnsi="Times New Roman" w:cs="Times New Roman"/>
                <w:sz w:val="26"/>
                <w:szCs w:val="26"/>
                <w:lang w:eastAsia="lv-LV"/>
              </w:rPr>
              <w:t xml:space="preserve"> x 1 </w:t>
            </w:r>
            <w:r w:rsidR="00EE2BFD" w:rsidRPr="00620B46">
              <w:rPr>
                <w:rFonts w:ascii="Times New Roman" w:eastAsia="Times New Roman" w:hAnsi="Times New Roman" w:cs="Times New Roman"/>
                <w:sz w:val="26"/>
                <w:szCs w:val="26"/>
                <w:lang w:eastAsia="lv-LV"/>
              </w:rPr>
              <w:t xml:space="preserve">= </w:t>
            </w:r>
            <w:r w:rsidR="007B3FA1" w:rsidRPr="00620B46">
              <w:rPr>
                <w:rFonts w:ascii="Times New Roman" w:eastAsia="Times New Roman" w:hAnsi="Times New Roman" w:cs="Times New Roman"/>
                <w:sz w:val="26"/>
                <w:szCs w:val="26"/>
                <w:lang w:eastAsia="lv-LV"/>
              </w:rPr>
              <w:t>13</w:t>
            </w:r>
            <w:r w:rsidR="0015234D" w:rsidRPr="00620B46">
              <w:rPr>
                <w:rFonts w:ascii="Times New Roman" w:eastAsia="Times New Roman" w:hAnsi="Times New Roman" w:cs="Times New Roman"/>
                <w:sz w:val="26"/>
                <w:szCs w:val="26"/>
                <w:lang w:eastAsia="lv-LV"/>
              </w:rPr>
              <w:t> </w:t>
            </w:r>
            <w:r w:rsidR="007B3FA1" w:rsidRPr="00620B46">
              <w:rPr>
                <w:rFonts w:ascii="Times New Roman" w:eastAsia="Times New Roman" w:hAnsi="Times New Roman" w:cs="Times New Roman"/>
                <w:sz w:val="26"/>
                <w:szCs w:val="26"/>
                <w:lang w:eastAsia="lv-LV"/>
              </w:rPr>
              <w:t>933</w:t>
            </w:r>
            <w:r w:rsidR="0015234D" w:rsidRPr="00620B46">
              <w:rPr>
                <w:rFonts w:ascii="Times New Roman" w:eastAsia="Times New Roman" w:hAnsi="Times New Roman" w:cs="Times New Roman"/>
                <w:sz w:val="26"/>
                <w:szCs w:val="26"/>
                <w:lang w:eastAsia="lv-LV"/>
              </w:rPr>
              <w:t xml:space="preserve"> (EUR)</w:t>
            </w:r>
            <w:r w:rsidR="00CC7BC2" w:rsidRPr="00620B46">
              <w:rPr>
                <w:rFonts w:ascii="Times New Roman" w:eastAsia="Times New Roman" w:hAnsi="Times New Roman" w:cs="Times New Roman"/>
                <w:sz w:val="26"/>
                <w:szCs w:val="26"/>
                <w:lang w:eastAsia="lv-LV"/>
              </w:rPr>
              <w:t>, kur</w:t>
            </w:r>
          </w:p>
          <w:p w14:paraId="47DF4118" w14:textId="628E9C37" w:rsidR="00CC7BC2" w:rsidRPr="00620B46" w:rsidRDefault="00F17FE1" w:rsidP="0015234D">
            <w:pPr>
              <w:spacing w:before="10" w:after="0" w:line="240" w:lineRule="auto"/>
              <w:ind w:left="113" w:right="113"/>
              <w:jc w:val="both"/>
              <w:rPr>
                <w:rFonts w:ascii="Times New Roman" w:eastAsia="Times New Roman" w:hAnsi="Times New Roman" w:cs="Times New Roman"/>
                <w:sz w:val="26"/>
                <w:szCs w:val="26"/>
                <w:lang w:eastAsia="lv-LV"/>
              </w:rPr>
            </w:pPr>
            <w:proofErr w:type="spellStart"/>
            <w:r w:rsidRPr="00620B46">
              <w:rPr>
                <w:rFonts w:ascii="Times New Roman" w:eastAsia="Times New Roman" w:hAnsi="Times New Roman" w:cs="Times New Roman"/>
                <w:sz w:val="26"/>
                <w:szCs w:val="26"/>
                <w:lang w:eastAsia="lv-LV"/>
              </w:rPr>
              <w:t>C</w:t>
            </w:r>
            <w:r w:rsidRPr="00620B46">
              <w:rPr>
                <w:rFonts w:ascii="Times New Roman" w:eastAsia="Times New Roman" w:hAnsi="Times New Roman" w:cs="Times New Roman"/>
                <w:sz w:val="26"/>
                <w:szCs w:val="26"/>
                <w:vertAlign w:val="subscript"/>
                <w:lang w:eastAsia="lv-LV"/>
              </w:rPr>
              <w:t>g</w:t>
            </w:r>
            <w:proofErr w:type="spellEnd"/>
            <w:r w:rsidR="00CC7BC2" w:rsidRPr="00620B46">
              <w:rPr>
                <w:rFonts w:ascii="Times New Roman" w:eastAsia="Times New Roman" w:hAnsi="Times New Roman" w:cs="Times New Roman"/>
                <w:sz w:val="26"/>
                <w:szCs w:val="26"/>
                <w:lang w:eastAsia="lv-LV"/>
              </w:rPr>
              <w:t xml:space="preserve"> – informācijas sniegšanas, pieņemšanas, apstrādes vai uzglabāšanas pienākum</w:t>
            </w:r>
            <w:r w:rsidR="0003107E" w:rsidRPr="00620B46">
              <w:rPr>
                <w:rFonts w:ascii="Times New Roman" w:eastAsia="Times New Roman" w:hAnsi="Times New Roman" w:cs="Times New Roman"/>
                <w:sz w:val="26"/>
                <w:szCs w:val="26"/>
                <w:lang w:eastAsia="lv-LV"/>
              </w:rPr>
              <w:t>u</w:t>
            </w:r>
            <w:r w:rsidR="00CC7BC2" w:rsidRPr="00620B46">
              <w:rPr>
                <w:rFonts w:ascii="Times New Roman" w:eastAsia="Times New Roman" w:hAnsi="Times New Roman" w:cs="Times New Roman"/>
                <w:sz w:val="26"/>
                <w:szCs w:val="26"/>
                <w:lang w:eastAsia="lv-LV"/>
              </w:rPr>
              <w:t xml:space="preserve"> </w:t>
            </w:r>
            <w:r w:rsidR="0003107E" w:rsidRPr="00620B46">
              <w:rPr>
                <w:rFonts w:ascii="Times New Roman" w:eastAsia="Times New Roman" w:hAnsi="Times New Roman" w:cs="Times New Roman"/>
                <w:sz w:val="26"/>
                <w:szCs w:val="26"/>
                <w:lang w:eastAsia="lv-LV"/>
              </w:rPr>
              <w:t xml:space="preserve">(turpmāk – uzraudzība) </w:t>
            </w:r>
            <w:r w:rsidR="00CC7BC2" w:rsidRPr="00620B46">
              <w:rPr>
                <w:rFonts w:ascii="Times New Roman" w:eastAsia="Times New Roman" w:hAnsi="Times New Roman" w:cs="Times New Roman"/>
                <w:sz w:val="26"/>
                <w:szCs w:val="26"/>
                <w:lang w:eastAsia="lv-LV"/>
              </w:rPr>
              <w:t>radītās izmaksas jeb administratīvās izmaksas</w:t>
            </w:r>
            <w:r w:rsidRPr="00620B46">
              <w:rPr>
                <w:rFonts w:ascii="Times New Roman" w:eastAsia="Times New Roman" w:hAnsi="Times New Roman" w:cs="Times New Roman"/>
                <w:sz w:val="26"/>
                <w:szCs w:val="26"/>
                <w:lang w:eastAsia="lv-LV"/>
              </w:rPr>
              <w:t xml:space="preserve"> gadā</w:t>
            </w:r>
            <w:r w:rsidR="0015234D" w:rsidRPr="00620B46">
              <w:rPr>
                <w:rFonts w:ascii="Times New Roman" w:eastAsia="Times New Roman" w:hAnsi="Times New Roman" w:cs="Times New Roman"/>
                <w:sz w:val="26"/>
                <w:szCs w:val="26"/>
                <w:lang w:eastAsia="lv-LV"/>
              </w:rPr>
              <w:t xml:space="preserve"> (indikatīvi)</w:t>
            </w:r>
            <w:r w:rsidR="00CC7BC2" w:rsidRPr="00620B46">
              <w:rPr>
                <w:rFonts w:ascii="Times New Roman" w:eastAsia="Times New Roman" w:hAnsi="Times New Roman" w:cs="Times New Roman"/>
                <w:sz w:val="26"/>
                <w:szCs w:val="26"/>
                <w:lang w:eastAsia="lv-LV"/>
              </w:rPr>
              <w:t>;</w:t>
            </w:r>
          </w:p>
          <w:p w14:paraId="5AD11A6C" w14:textId="3A186BB0" w:rsidR="00CC7BC2" w:rsidRPr="00620B46"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f – finanšu līdzekļu apjoms, kas nepieciešams, lai nodrošinātu </w:t>
            </w:r>
            <w:r w:rsidR="0003107E" w:rsidRPr="00620B46">
              <w:rPr>
                <w:rFonts w:ascii="Times New Roman" w:eastAsia="Times New Roman" w:hAnsi="Times New Roman" w:cs="Times New Roman"/>
                <w:sz w:val="26"/>
                <w:szCs w:val="26"/>
                <w:lang w:eastAsia="lv-LV"/>
              </w:rPr>
              <w:t>uzraudzību</w:t>
            </w:r>
            <w:r w:rsidRPr="00620B46">
              <w:rPr>
                <w:rFonts w:ascii="Times New Roman" w:eastAsia="Times New Roman" w:hAnsi="Times New Roman" w:cs="Times New Roman"/>
                <w:sz w:val="26"/>
                <w:szCs w:val="26"/>
                <w:lang w:eastAsia="lv-LV"/>
              </w:rPr>
              <w:t xml:space="preserve"> (stundas samaksas likme, ieskaitot virsstundas);</w:t>
            </w:r>
          </w:p>
          <w:p w14:paraId="22EF7FDF" w14:textId="16891471" w:rsidR="00CC7BC2" w:rsidRPr="00620B46"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l – laika patēriņš, kas nepieciešams, lai </w:t>
            </w:r>
            <w:r w:rsidR="0003107E" w:rsidRPr="00620B46">
              <w:rPr>
                <w:rFonts w:ascii="Times New Roman" w:eastAsia="Times New Roman" w:hAnsi="Times New Roman" w:cs="Times New Roman"/>
                <w:sz w:val="26"/>
                <w:szCs w:val="26"/>
                <w:lang w:eastAsia="lv-LV"/>
              </w:rPr>
              <w:t xml:space="preserve">veiktu </w:t>
            </w:r>
            <w:r w:rsidR="00ED0E5A" w:rsidRPr="00620B46">
              <w:rPr>
                <w:rFonts w:ascii="Times New Roman" w:eastAsia="Times New Roman" w:hAnsi="Times New Roman" w:cs="Times New Roman"/>
                <w:sz w:val="26"/>
                <w:szCs w:val="26"/>
                <w:lang w:eastAsia="lv-LV"/>
              </w:rPr>
              <w:t>2</w:t>
            </w:r>
            <w:r w:rsidR="00F17FE1" w:rsidRPr="00620B46">
              <w:rPr>
                <w:rFonts w:ascii="Times New Roman" w:eastAsia="Times New Roman" w:hAnsi="Times New Roman" w:cs="Times New Roman"/>
                <w:sz w:val="26"/>
                <w:szCs w:val="26"/>
                <w:lang w:eastAsia="lv-LV"/>
              </w:rPr>
              <w:t>9 projektu uzraudzību</w:t>
            </w:r>
            <w:r w:rsidR="00EE2BFD" w:rsidRPr="00620B46">
              <w:rPr>
                <w:rFonts w:ascii="Times New Roman" w:eastAsia="Times New Roman" w:hAnsi="Times New Roman" w:cs="Times New Roman"/>
                <w:sz w:val="26"/>
                <w:szCs w:val="26"/>
                <w:lang w:eastAsia="lv-LV"/>
              </w:rPr>
              <w:t>, stundas</w:t>
            </w:r>
            <w:r w:rsidRPr="00620B46">
              <w:rPr>
                <w:rFonts w:ascii="Times New Roman" w:eastAsia="Times New Roman" w:hAnsi="Times New Roman" w:cs="Times New Roman"/>
                <w:sz w:val="26"/>
                <w:szCs w:val="26"/>
                <w:lang w:eastAsia="lv-LV"/>
              </w:rPr>
              <w:t>;</w:t>
            </w:r>
          </w:p>
          <w:p w14:paraId="5909514C" w14:textId="2B2C9341" w:rsidR="00CC7BC2" w:rsidRPr="00620B46"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n – subjektu skaits, uz ko attiecas </w:t>
            </w:r>
            <w:r w:rsidR="00F17FE1" w:rsidRPr="00620B46">
              <w:rPr>
                <w:rFonts w:ascii="Times New Roman" w:eastAsia="Times New Roman" w:hAnsi="Times New Roman" w:cs="Times New Roman"/>
                <w:sz w:val="26"/>
                <w:szCs w:val="26"/>
                <w:lang w:eastAsia="lv-LV"/>
              </w:rPr>
              <w:t>uzraudzības veikšana</w:t>
            </w:r>
            <w:r w:rsidR="00EE2BFD" w:rsidRPr="00620B46">
              <w:rPr>
                <w:rFonts w:ascii="Times New Roman" w:eastAsia="Times New Roman" w:hAnsi="Times New Roman" w:cs="Times New Roman"/>
                <w:sz w:val="26"/>
                <w:szCs w:val="26"/>
                <w:lang w:eastAsia="lv-LV"/>
              </w:rPr>
              <w:t xml:space="preserve"> (divi auditori</w:t>
            </w:r>
            <w:r w:rsidR="00F17FE1" w:rsidRPr="00620B46">
              <w:rPr>
                <w:rFonts w:ascii="Times New Roman" w:eastAsia="Times New Roman" w:hAnsi="Times New Roman" w:cs="Times New Roman"/>
                <w:sz w:val="26"/>
                <w:szCs w:val="26"/>
                <w:lang w:eastAsia="lv-LV"/>
              </w:rPr>
              <w:t xml:space="preserve"> uz katru apakšprojektu</w:t>
            </w:r>
            <w:r w:rsidR="00EE2BFD" w:rsidRPr="00620B46">
              <w:rPr>
                <w:rFonts w:ascii="Times New Roman" w:eastAsia="Times New Roman" w:hAnsi="Times New Roman" w:cs="Times New Roman"/>
                <w:sz w:val="26"/>
                <w:szCs w:val="26"/>
                <w:lang w:eastAsia="lv-LV"/>
              </w:rPr>
              <w:t>)</w:t>
            </w:r>
            <w:r w:rsidRPr="00620B46">
              <w:rPr>
                <w:rFonts w:ascii="Times New Roman" w:eastAsia="Times New Roman" w:hAnsi="Times New Roman" w:cs="Times New Roman"/>
                <w:sz w:val="26"/>
                <w:szCs w:val="26"/>
                <w:lang w:eastAsia="lv-LV"/>
              </w:rPr>
              <w:t>;</w:t>
            </w:r>
          </w:p>
          <w:p w14:paraId="3B222070" w14:textId="61420BAA" w:rsidR="00393719" w:rsidRPr="00620B46" w:rsidRDefault="00CC7BC2" w:rsidP="0003107E">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b – cik bieži gada laikā projekts paredz </w:t>
            </w:r>
            <w:r w:rsidR="00F17FE1" w:rsidRPr="00620B46">
              <w:rPr>
                <w:rFonts w:ascii="Times New Roman" w:eastAsia="Times New Roman" w:hAnsi="Times New Roman" w:cs="Times New Roman"/>
                <w:sz w:val="26"/>
                <w:szCs w:val="26"/>
                <w:lang w:eastAsia="lv-LV"/>
              </w:rPr>
              <w:t>kontroli.</w:t>
            </w:r>
          </w:p>
          <w:p w14:paraId="28FBA37D" w14:textId="2D5E0ED1" w:rsidR="0015234D" w:rsidRPr="00620B46" w:rsidRDefault="00F17FE1" w:rsidP="00F17FE1">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Indikatīvās kopējās uzraudzības izmaksas pārskata periodā no 2018. gada līdz 20</w:t>
            </w:r>
            <w:r w:rsidR="00ED0E5A" w:rsidRPr="00620B46">
              <w:rPr>
                <w:rFonts w:ascii="Times New Roman" w:eastAsia="Times New Roman" w:hAnsi="Times New Roman" w:cs="Times New Roman"/>
                <w:sz w:val="26"/>
                <w:szCs w:val="26"/>
                <w:lang w:eastAsia="lv-LV"/>
              </w:rPr>
              <w:t>24</w:t>
            </w:r>
            <w:r w:rsidRPr="00620B46">
              <w:rPr>
                <w:rFonts w:ascii="Times New Roman" w:eastAsia="Times New Roman" w:hAnsi="Times New Roman" w:cs="Times New Roman"/>
                <w:sz w:val="26"/>
                <w:szCs w:val="26"/>
                <w:lang w:eastAsia="lv-LV"/>
              </w:rPr>
              <w:t>. gadam</w:t>
            </w:r>
            <w:r w:rsidR="0015234D" w:rsidRPr="00620B46">
              <w:rPr>
                <w:rFonts w:ascii="Times New Roman" w:eastAsia="Times New Roman" w:hAnsi="Times New Roman" w:cs="Times New Roman"/>
                <w:sz w:val="26"/>
                <w:szCs w:val="26"/>
                <w:lang w:eastAsia="lv-LV"/>
              </w:rPr>
              <w:t>:</w:t>
            </w:r>
            <w:r w:rsidRPr="00620B46">
              <w:rPr>
                <w:rFonts w:ascii="Times New Roman" w:eastAsia="Times New Roman" w:hAnsi="Times New Roman" w:cs="Times New Roman"/>
                <w:sz w:val="26"/>
                <w:szCs w:val="26"/>
                <w:lang w:eastAsia="lv-LV"/>
              </w:rPr>
              <w:t xml:space="preserve"> </w:t>
            </w:r>
          </w:p>
          <w:p w14:paraId="6F4DCB6F" w14:textId="0A6206E5" w:rsidR="0003107E" w:rsidRPr="00620B46" w:rsidRDefault="00F17FE1" w:rsidP="00E37E53">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w:t>
            </w:r>
            <w:r w:rsidRPr="00620B46">
              <w:rPr>
                <w:rFonts w:ascii="Times New Roman" w:eastAsia="Times New Roman" w:hAnsi="Times New Roman" w:cs="Times New Roman"/>
                <w:sz w:val="26"/>
                <w:szCs w:val="26"/>
                <w:vertAlign w:val="subscript"/>
                <w:lang w:eastAsia="lv-LV"/>
              </w:rPr>
              <w:t>20</w:t>
            </w:r>
            <w:r w:rsidR="00ED0E5A" w:rsidRPr="00620B46">
              <w:rPr>
                <w:rFonts w:ascii="Times New Roman" w:eastAsia="Times New Roman" w:hAnsi="Times New Roman" w:cs="Times New Roman"/>
                <w:sz w:val="26"/>
                <w:szCs w:val="26"/>
                <w:vertAlign w:val="subscript"/>
                <w:lang w:eastAsia="lv-LV"/>
              </w:rPr>
              <w:t>24</w:t>
            </w:r>
            <w:r w:rsidRPr="00620B46">
              <w:rPr>
                <w:rFonts w:ascii="Times New Roman" w:eastAsia="Times New Roman" w:hAnsi="Times New Roman" w:cs="Times New Roman"/>
                <w:sz w:val="26"/>
                <w:szCs w:val="26"/>
                <w:vertAlign w:val="subscript"/>
                <w:lang w:eastAsia="lv-LV"/>
              </w:rPr>
              <w:t xml:space="preserve"> </w:t>
            </w:r>
            <w:r w:rsidRPr="00620B46">
              <w:rPr>
                <w:rFonts w:ascii="Times New Roman" w:eastAsia="Times New Roman" w:hAnsi="Times New Roman" w:cs="Times New Roman"/>
                <w:sz w:val="26"/>
                <w:szCs w:val="26"/>
                <w:lang w:eastAsia="lv-LV"/>
              </w:rPr>
              <w:t xml:space="preserve">= </w:t>
            </w:r>
            <w:r w:rsidR="004B15DE" w:rsidRPr="00620B46">
              <w:rPr>
                <w:rFonts w:ascii="Times New Roman" w:eastAsia="Times New Roman" w:hAnsi="Times New Roman" w:cs="Times New Roman"/>
                <w:sz w:val="26"/>
                <w:szCs w:val="26"/>
                <w:lang w:eastAsia="lv-LV"/>
              </w:rPr>
              <w:t>97</w:t>
            </w:r>
            <w:r w:rsidR="008F791E" w:rsidRPr="00620B46">
              <w:rPr>
                <w:rFonts w:ascii="Times New Roman" w:eastAsia="Times New Roman" w:hAnsi="Times New Roman" w:cs="Times New Roman"/>
                <w:sz w:val="26"/>
                <w:szCs w:val="26"/>
                <w:lang w:eastAsia="lv-LV"/>
              </w:rPr>
              <w:t> </w:t>
            </w:r>
            <w:r w:rsidR="004B15DE" w:rsidRPr="00620B46">
              <w:rPr>
                <w:rFonts w:ascii="Times New Roman" w:eastAsia="Times New Roman" w:hAnsi="Times New Roman" w:cs="Times New Roman"/>
                <w:sz w:val="26"/>
                <w:szCs w:val="26"/>
                <w:lang w:eastAsia="lv-LV"/>
              </w:rPr>
              <w:t>536</w:t>
            </w:r>
            <w:r w:rsidR="00D55C24" w:rsidRPr="00620B46">
              <w:rPr>
                <w:rFonts w:ascii="Times New Roman" w:eastAsia="Times New Roman" w:hAnsi="Times New Roman" w:cs="Times New Roman"/>
                <w:sz w:val="26"/>
                <w:szCs w:val="26"/>
                <w:lang w:eastAsia="lv-LV"/>
              </w:rPr>
              <w:t xml:space="preserve"> </w:t>
            </w:r>
            <w:r w:rsidR="0015234D" w:rsidRPr="00620B46">
              <w:rPr>
                <w:rFonts w:ascii="Times New Roman" w:eastAsia="Times New Roman" w:hAnsi="Times New Roman" w:cs="Times New Roman"/>
                <w:sz w:val="26"/>
                <w:szCs w:val="26"/>
                <w:lang w:eastAsia="lv-LV"/>
              </w:rPr>
              <w:t>EUR</w:t>
            </w:r>
            <w:r w:rsidR="007A5E15" w:rsidRPr="00620B46">
              <w:rPr>
                <w:rFonts w:ascii="Times New Roman" w:eastAsia="Times New Roman" w:hAnsi="Times New Roman" w:cs="Times New Roman"/>
                <w:sz w:val="26"/>
                <w:szCs w:val="26"/>
                <w:lang w:eastAsia="lv-LV"/>
              </w:rPr>
              <w:t>.</w:t>
            </w:r>
          </w:p>
          <w:p w14:paraId="6C8263DF" w14:textId="41529941" w:rsidR="00C24D1E" w:rsidRPr="00620B46" w:rsidRDefault="00C24D1E" w:rsidP="00C24D1E">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 2019. gada 1. janvāra līdz 202</w:t>
            </w:r>
            <w:r w:rsidR="003E07C6" w:rsidRPr="00620B46">
              <w:rPr>
                <w:rFonts w:ascii="Times New Roman" w:eastAsia="Times New Roman" w:hAnsi="Times New Roman" w:cs="Times New Roman"/>
                <w:sz w:val="26"/>
                <w:szCs w:val="26"/>
                <w:lang w:eastAsia="lv-LV"/>
              </w:rPr>
              <w:t>0</w:t>
            </w:r>
            <w:r w:rsidRPr="00620B46">
              <w:rPr>
                <w:rFonts w:ascii="Times New Roman" w:eastAsia="Times New Roman" w:hAnsi="Times New Roman" w:cs="Times New Roman"/>
                <w:sz w:val="26"/>
                <w:szCs w:val="26"/>
                <w:lang w:eastAsia="lv-LV"/>
              </w:rPr>
              <w:t xml:space="preserve">. gada 31. decembrim projektu uzraudzībai projektu dzīves cikla laikā nepieciešamais finansējums </w:t>
            </w:r>
            <w:r w:rsidR="004B15DE" w:rsidRPr="00620B46">
              <w:rPr>
                <w:rFonts w:ascii="Times New Roman" w:eastAsia="Times New Roman" w:hAnsi="Times New Roman" w:cs="Times New Roman"/>
                <w:sz w:val="26"/>
                <w:szCs w:val="26"/>
                <w:lang w:eastAsia="lv-LV"/>
              </w:rPr>
              <w:t>2</w:t>
            </w:r>
            <w:r w:rsidR="003E07C6" w:rsidRPr="00620B46">
              <w:rPr>
                <w:rFonts w:ascii="Times New Roman" w:eastAsia="Times New Roman" w:hAnsi="Times New Roman" w:cs="Times New Roman"/>
                <w:sz w:val="26"/>
                <w:szCs w:val="26"/>
                <w:lang w:eastAsia="lv-LV"/>
              </w:rPr>
              <w:t>8</w:t>
            </w:r>
            <w:r w:rsidRPr="00620B46">
              <w:rPr>
                <w:rFonts w:ascii="Times New Roman" w:eastAsia="Times New Roman" w:hAnsi="Times New Roman" w:cs="Times New Roman"/>
                <w:sz w:val="26"/>
                <w:szCs w:val="26"/>
                <w:lang w:eastAsia="lv-LV"/>
              </w:rPr>
              <w:t> </w:t>
            </w:r>
            <w:r w:rsidR="004B15DE" w:rsidRPr="00620B46">
              <w:rPr>
                <w:rFonts w:ascii="Times New Roman" w:eastAsia="Times New Roman" w:hAnsi="Times New Roman" w:cs="Times New Roman"/>
                <w:sz w:val="26"/>
                <w:szCs w:val="26"/>
                <w:lang w:eastAsia="lv-LV"/>
              </w:rPr>
              <w:t>160</w:t>
            </w:r>
            <w:r w:rsidRPr="00620B46">
              <w:rPr>
                <w:rFonts w:ascii="Times New Roman" w:eastAsia="Times New Roman" w:hAnsi="Times New Roman" w:cs="Times New Roman"/>
                <w:sz w:val="26"/>
                <w:szCs w:val="26"/>
                <w:lang w:eastAsia="lv-LV"/>
              </w:rPr>
              <w:t xml:space="preserve"> </w:t>
            </w:r>
            <w:r w:rsidRPr="00620B46">
              <w:rPr>
                <w:rFonts w:ascii="Times New Roman" w:eastAsia="Times New Roman" w:hAnsi="Times New Roman" w:cs="Times New Roman"/>
                <w:i/>
                <w:sz w:val="26"/>
                <w:szCs w:val="26"/>
                <w:lang w:eastAsia="lv-LV"/>
              </w:rPr>
              <w:t>EUR</w:t>
            </w:r>
            <w:r w:rsidRPr="00620B46">
              <w:rPr>
                <w:rFonts w:ascii="Times New Roman" w:eastAsia="Times New Roman" w:hAnsi="Times New Roman" w:cs="Times New Roman"/>
                <w:sz w:val="26"/>
                <w:szCs w:val="26"/>
                <w:lang w:eastAsia="lv-LV"/>
              </w:rPr>
              <w:t>.</w:t>
            </w:r>
          </w:p>
          <w:p w14:paraId="317966EC" w14:textId="764B8F60" w:rsidR="00C24D1E" w:rsidRPr="00620B46" w:rsidRDefault="00C24D1E" w:rsidP="00ED0E5A">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 202</w:t>
            </w:r>
            <w:r w:rsidR="003E07C6" w:rsidRPr="00620B46">
              <w:rPr>
                <w:rFonts w:ascii="Times New Roman" w:eastAsia="Times New Roman" w:hAnsi="Times New Roman" w:cs="Times New Roman"/>
                <w:sz w:val="26"/>
                <w:szCs w:val="26"/>
                <w:lang w:eastAsia="lv-LV"/>
              </w:rPr>
              <w:t>1</w:t>
            </w:r>
            <w:r w:rsidRPr="00620B46">
              <w:rPr>
                <w:rFonts w:ascii="Times New Roman" w:eastAsia="Times New Roman" w:hAnsi="Times New Roman" w:cs="Times New Roman"/>
                <w:sz w:val="26"/>
                <w:szCs w:val="26"/>
                <w:lang w:eastAsia="lv-LV"/>
              </w:rPr>
              <w:t>. gada 1. janvāra līdz 20</w:t>
            </w:r>
            <w:r w:rsidR="00ED0E5A" w:rsidRPr="00620B46">
              <w:rPr>
                <w:rFonts w:ascii="Times New Roman" w:eastAsia="Times New Roman" w:hAnsi="Times New Roman" w:cs="Times New Roman"/>
                <w:sz w:val="26"/>
                <w:szCs w:val="26"/>
                <w:lang w:eastAsia="lv-LV"/>
              </w:rPr>
              <w:t>24</w:t>
            </w:r>
            <w:r w:rsidRPr="00620B46">
              <w:rPr>
                <w:rFonts w:ascii="Times New Roman" w:eastAsia="Times New Roman" w:hAnsi="Times New Roman" w:cs="Times New Roman"/>
                <w:sz w:val="26"/>
                <w:szCs w:val="26"/>
                <w:lang w:eastAsia="lv-LV"/>
              </w:rPr>
              <w:t xml:space="preserve">. gada 31. decembrim projektu uzraudzībai projektu dzīves cikla laikā nepieciešamais finansējums </w:t>
            </w:r>
            <w:r w:rsidR="004B15DE" w:rsidRPr="00620B46">
              <w:rPr>
                <w:rFonts w:ascii="Times New Roman" w:eastAsia="Times New Roman" w:hAnsi="Times New Roman" w:cs="Times New Roman"/>
                <w:sz w:val="26"/>
                <w:szCs w:val="26"/>
                <w:lang w:eastAsia="lv-LV"/>
              </w:rPr>
              <w:t>55</w:t>
            </w:r>
            <w:r w:rsidRPr="00620B46">
              <w:rPr>
                <w:rFonts w:ascii="Times New Roman" w:eastAsia="Times New Roman" w:hAnsi="Times New Roman" w:cs="Times New Roman"/>
                <w:sz w:val="26"/>
                <w:szCs w:val="26"/>
                <w:lang w:eastAsia="lv-LV"/>
              </w:rPr>
              <w:t> </w:t>
            </w:r>
            <w:r w:rsidR="004B15DE" w:rsidRPr="00620B46">
              <w:rPr>
                <w:rFonts w:ascii="Times New Roman" w:eastAsia="Times New Roman" w:hAnsi="Times New Roman" w:cs="Times New Roman"/>
                <w:sz w:val="26"/>
                <w:szCs w:val="26"/>
                <w:lang w:eastAsia="lv-LV"/>
              </w:rPr>
              <w:t>296</w:t>
            </w:r>
            <w:r w:rsidRPr="00620B46">
              <w:rPr>
                <w:rFonts w:ascii="Times New Roman" w:hAnsi="Times New Roman" w:cs="Times New Roman"/>
                <w:bCs/>
                <w:color w:val="000000"/>
                <w:sz w:val="26"/>
                <w:szCs w:val="26"/>
              </w:rPr>
              <w:t xml:space="preserve"> </w:t>
            </w:r>
            <w:r w:rsidRPr="00620B46">
              <w:rPr>
                <w:rFonts w:ascii="Times New Roman" w:eastAsia="Times New Roman" w:hAnsi="Times New Roman" w:cs="Times New Roman"/>
                <w:i/>
                <w:sz w:val="26"/>
                <w:szCs w:val="26"/>
                <w:lang w:eastAsia="lv-LV"/>
              </w:rPr>
              <w:t>EUR</w:t>
            </w:r>
            <w:r w:rsidRPr="00620B46">
              <w:rPr>
                <w:rFonts w:ascii="Times New Roman" w:eastAsia="Times New Roman" w:hAnsi="Times New Roman" w:cs="Times New Roman"/>
                <w:sz w:val="26"/>
                <w:szCs w:val="26"/>
                <w:lang w:eastAsia="lv-LV"/>
              </w:rPr>
              <w:t>.</w:t>
            </w:r>
          </w:p>
        </w:tc>
      </w:tr>
      <w:tr w:rsidR="00800AB9" w:rsidRPr="00620B46" w14:paraId="4C3B6044" w14:textId="77777777" w:rsidTr="004B15DE">
        <w:trPr>
          <w:trHeight w:val="345"/>
        </w:trPr>
        <w:tc>
          <w:tcPr>
            <w:tcW w:w="453" w:type="dxa"/>
            <w:gridSpan w:val="2"/>
            <w:tcBorders>
              <w:top w:val="outset" w:sz="6" w:space="0" w:color="414142"/>
              <w:left w:val="outset" w:sz="6" w:space="0" w:color="414142"/>
              <w:bottom w:val="outset" w:sz="6" w:space="0" w:color="414142"/>
              <w:right w:val="outset" w:sz="6" w:space="0" w:color="414142"/>
            </w:tcBorders>
          </w:tcPr>
          <w:p w14:paraId="200F8E7E" w14:textId="7A4E3616" w:rsidR="00800AB9" w:rsidRPr="00620B46" w:rsidRDefault="00800AB9" w:rsidP="00800AB9">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4.</w:t>
            </w:r>
          </w:p>
        </w:tc>
        <w:tc>
          <w:tcPr>
            <w:tcW w:w="2658" w:type="dxa"/>
            <w:tcBorders>
              <w:top w:val="outset" w:sz="6" w:space="0" w:color="414142"/>
              <w:left w:val="outset" w:sz="6" w:space="0" w:color="414142"/>
              <w:bottom w:val="outset" w:sz="6" w:space="0" w:color="414142"/>
              <w:right w:val="outset" w:sz="6" w:space="0" w:color="414142"/>
            </w:tcBorders>
          </w:tcPr>
          <w:p w14:paraId="0FDA4D6B" w14:textId="7C05517D" w:rsidR="00800AB9" w:rsidRPr="00620B46" w:rsidRDefault="00800AB9" w:rsidP="00800AB9">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Atbilstības izmaksu monetārs novērtējums</w:t>
            </w:r>
          </w:p>
        </w:tc>
        <w:tc>
          <w:tcPr>
            <w:tcW w:w="5944" w:type="dxa"/>
            <w:tcBorders>
              <w:top w:val="outset" w:sz="6" w:space="0" w:color="414142"/>
              <w:left w:val="outset" w:sz="6" w:space="0" w:color="414142"/>
              <w:bottom w:val="outset" w:sz="6" w:space="0" w:color="414142"/>
              <w:right w:val="outset" w:sz="6" w:space="0" w:color="414142"/>
            </w:tcBorders>
          </w:tcPr>
          <w:p w14:paraId="44D8CCF3" w14:textId="73141AD3" w:rsidR="00800AB9" w:rsidRPr="00620B46" w:rsidRDefault="00800AB9" w:rsidP="00800AB9">
            <w:pPr>
              <w:spacing w:before="10" w:after="0" w:line="240" w:lineRule="auto"/>
              <w:ind w:left="113" w:right="113"/>
              <w:jc w:val="both"/>
              <w:rPr>
                <w:rFonts w:ascii="Times New Roman" w:eastAsia="Times New Roman" w:hAnsi="Times New Roman" w:cs="Times New Roman"/>
                <w:b/>
                <w:sz w:val="26"/>
                <w:szCs w:val="26"/>
                <w:lang w:eastAsia="lv-LV"/>
              </w:rPr>
            </w:pPr>
            <w:r w:rsidRPr="00620B46">
              <w:rPr>
                <w:rFonts w:ascii="Times New Roman" w:eastAsia="Times New Roman" w:hAnsi="Times New Roman" w:cs="Times New Roman"/>
                <w:sz w:val="26"/>
                <w:szCs w:val="26"/>
                <w:lang w:eastAsia="lv-LV"/>
              </w:rPr>
              <w:t>Projekts šo jomu neskar.</w:t>
            </w:r>
          </w:p>
        </w:tc>
      </w:tr>
      <w:tr w:rsidR="00800AB9" w:rsidRPr="00620B46" w14:paraId="030547B4" w14:textId="77777777" w:rsidTr="004B15DE">
        <w:trPr>
          <w:trHeight w:val="345"/>
        </w:trPr>
        <w:tc>
          <w:tcPr>
            <w:tcW w:w="453" w:type="dxa"/>
            <w:gridSpan w:val="2"/>
            <w:tcBorders>
              <w:top w:val="outset" w:sz="6" w:space="0" w:color="414142"/>
              <w:left w:val="outset" w:sz="6" w:space="0" w:color="414142"/>
              <w:bottom w:val="outset" w:sz="6" w:space="0" w:color="414142"/>
              <w:right w:val="outset" w:sz="6" w:space="0" w:color="414142"/>
            </w:tcBorders>
            <w:hideMark/>
          </w:tcPr>
          <w:p w14:paraId="332E4F94" w14:textId="57782175" w:rsidR="00800AB9" w:rsidRPr="00620B46" w:rsidRDefault="00800AB9" w:rsidP="00800AB9">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w:t>
            </w:r>
          </w:p>
        </w:tc>
        <w:tc>
          <w:tcPr>
            <w:tcW w:w="2658" w:type="dxa"/>
            <w:tcBorders>
              <w:top w:val="outset" w:sz="6" w:space="0" w:color="414142"/>
              <w:left w:val="outset" w:sz="6" w:space="0" w:color="414142"/>
              <w:bottom w:val="outset" w:sz="6" w:space="0" w:color="414142"/>
              <w:right w:val="outset" w:sz="6" w:space="0" w:color="414142"/>
            </w:tcBorders>
            <w:hideMark/>
          </w:tcPr>
          <w:p w14:paraId="12AFC001" w14:textId="77777777" w:rsidR="00800AB9" w:rsidRPr="00620B46" w:rsidRDefault="00800AB9" w:rsidP="00800AB9">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2DFD8FC0" w14:textId="29BACDBC" w:rsidR="00800AB9" w:rsidRPr="00620B46" w:rsidRDefault="00800AB9" w:rsidP="00800AB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Jautājumu par papildu administratīvo izmaksu segšanu plānots risināt:</w:t>
            </w:r>
          </w:p>
          <w:p w14:paraId="4DD226AB" w14:textId="76F11288" w:rsidR="00800AB9" w:rsidRPr="00620B46" w:rsidRDefault="00800AB9" w:rsidP="00800AB9">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1) izstrādājot Ministru kabineta noteikumus </w:t>
            </w:r>
            <w:r w:rsidRPr="00620B46">
              <w:rPr>
                <w:rFonts w:ascii="Times New Roman" w:eastAsia="Times New Roman" w:hAnsi="Times New Roman" w:cs="Times New Roman"/>
                <w:i/>
                <w:sz w:val="26"/>
                <w:szCs w:val="26"/>
                <w:lang w:eastAsia="lv-LV"/>
              </w:rPr>
              <w:t>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Pr="00620B46">
              <w:rPr>
                <w:rFonts w:ascii="Times New Roman" w:eastAsia="Times New Roman" w:hAnsi="Times New Roman" w:cs="Times New Roman"/>
                <w:sz w:val="26"/>
                <w:szCs w:val="26"/>
                <w:lang w:eastAsia="lv-LV"/>
              </w:rPr>
              <w:t>;</w:t>
            </w:r>
          </w:p>
          <w:p w14:paraId="7B6594AA" w14:textId="63A83384" w:rsidR="00800AB9" w:rsidRPr="00620B46" w:rsidRDefault="00800AB9" w:rsidP="00800AB9">
            <w:pPr>
              <w:spacing w:before="10" w:after="0" w:line="240" w:lineRule="auto"/>
              <w:ind w:left="113" w:right="113"/>
              <w:jc w:val="both"/>
              <w:rPr>
                <w:rFonts w:ascii="Times New Roman" w:eastAsia="Times New Roman" w:hAnsi="Times New Roman" w:cs="Times New Roman"/>
                <w:b/>
                <w:sz w:val="26"/>
                <w:szCs w:val="26"/>
                <w:lang w:eastAsia="lv-LV"/>
              </w:rPr>
            </w:pPr>
            <w:r w:rsidRPr="00620B46">
              <w:rPr>
                <w:rFonts w:ascii="Times New Roman" w:eastAsia="Times New Roman" w:hAnsi="Times New Roman" w:cs="Times New Roman"/>
                <w:sz w:val="26"/>
                <w:szCs w:val="26"/>
                <w:lang w:eastAsia="lv-LV"/>
              </w:rPr>
              <w:t xml:space="preserve">2) izstrādājot Eiropas Savienības Kohēzijas politikas 2021.–2027. gadam ieviešanas nosacījumus pētniecības un inovācijas attīstībai Latvijā vai </w:t>
            </w:r>
            <w:r w:rsidR="006207F8" w:rsidRPr="00620B46">
              <w:rPr>
                <w:rFonts w:ascii="Times New Roman" w:eastAsia="Times New Roman" w:hAnsi="Times New Roman" w:cs="Times New Roman"/>
                <w:sz w:val="26"/>
                <w:szCs w:val="26"/>
                <w:lang w:eastAsia="lv-LV"/>
              </w:rPr>
              <w:t>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r w:rsidRPr="00620B46">
              <w:rPr>
                <w:rFonts w:ascii="Times New Roman" w:eastAsia="Times New Roman" w:hAnsi="Times New Roman" w:cs="Times New Roman"/>
                <w:sz w:val="26"/>
                <w:szCs w:val="26"/>
                <w:lang w:eastAsia="lv-LV"/>
              </w:rPr>
              <w:t>.</w:t>
            </w:r>
          </w:p>
        </w:tc>
      </w:tr>
    </w:tbl>
    <w:p w14:paraId="3F9C5E9B" w14:textId="77777777" w:rsidR="00226F1C" w:rsidRPr="00620B46" w:rsidRDefault="00226F1C" w:rsidP="00226F1C">
      <w:pPr>
        <w:spacing w:after="0" w:line="240" w:lineRule="auto"/>
        <w:rPr>
          <w:rFonts w:ascii="Times New Roman" w:hAnsi="Times New Roman" w:cs="Times New Roman"/>
          <w:i/>
          <w:iCs/>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8"/>
        <w:gridCol w:w="1049"/>
        <w:gridCol w:w="1071"/>
        <w:gridCol w:w="869"/>
        <w:gridCol w:w="1071"/>
        <w:gridCol w:w="869"/>
        <w:gridCol w:w="1168"/>
        <w:gridCol w:w="1280"/>
      </w:tblGrid>
      <w:tr w:rsidR="00E43CD1" w:rsidRPr="00620B46" w14:paraId="58642342" w14:textId="77777777" w:rsidTr="00D52B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D38AD"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III. Tiesību akta projekta ietekme uz valsts budžetu un pašvaldību budžetiem</w:t>
            </w:r>
          </w:p>
        </w:tc>
      </w:tr>
      <w:tr w:rsidR="00E43CD1" w:rsidRPr="00620B46" w14:paraId="54BD7DE5" w14:textId="77777777" w:rsidTr="004B15DE">
        <w:tc>
          <w:tcPr>
            <w:tcW w:w="8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6FB9"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Rādītāji</w:t>
            </w:r>
          </w:p>
        </w:tc>
        <w:tc>
          <w:tcPr>
            <w:tcW w:w="116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FD064"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2018.gads</w:t>
            </w:r>
          </w:p>
        </w:tc>
        <w:tc>
          <w:tcPr>
            <w:tcW w:w="297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A7169"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Turpmākie trīs gadi (</w:t>
            </w:r>
            <w:proofErr w:type="spellStart"/>
            <w:r w:rsidRPr="00620B46">
              <w:rPr>
                <w:rFonts w:ascii="Times New Roman" w:eastAsia="Times New Roman" w:hAnsi="Times New Roman" w:cs="Times New Roman"/>
                <w:i/>
                <w:iCs/>
                <w:sz w:val="26"/>
                <w:szCs w:val="26"/>
                <w:lang w:eastAsia="lv-LV"/>
              </w:rPr>
              <w:t>euro</w:t>
            </w:r>
            <w:proofErr w:type="spellEnd"/>
            <w:r w:rsidRPr="00620B46">
              <w:rPr>
                <w:rFonts w:ascii="Times New Roman" w:eastAsia="Times New Roman" w:hAnsi="Times New Roman" w:cs="Times New Roman"/>
                <w:sz w:val="26"/>
                <w:szCs w:val="26"/>
                <w:lang w:eastAsia="lv-LV"/>
              </w:rPr>
              <w:t>)</w:t>
            </w:r>
          </w:p>
        </w:tc>
      </w:tr>
      <w:tr w:rsidR="00E43CD1" w:rsidRPr="00620B46" w14:paraId="06912667" w14:textId="77777777" w:rsidTr="004B15DE">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38F3D" w14:textId="77777777" w:rsidR="00E43CD1" w:rsidRPr="00620B46" w:rsidRDefault="00E43CD1" w:rsidP="00DF2054">
            <w:pPr>
              <w:spacing w:after="0" w:line="240" w:lineRule="auto"/>
              <w:rPr>
                <w:rFonts w:ascii="Times New Roman" w:eastAsia="Times New Roman" w:hAnsi="Times New Roman" w:cs="Times New Roman"/>
                <w:sz w:val="26"/>
                <w:szCs w:val="26"/>
                <w:lang w:eastAsia="lv-LV"/>
              </w:rPr>
            </w:pPr>
          </w:p>
        </w:tc>
        <w:tc>
          <w:tcPr>
            <w:tcW w:w="116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AD0DB" w14:textId="77777777" w:rsidR="00E43CD1" w:rsidRPr="00620B46" w:rsidRDefault="00E43CD1" w:rsidP="00DF2054">
            <w:pPr>
              <w:spacing w:after="0" w:line="240" w:lineRule="auto"/>
              <w:rPr>
                <w:rFonts w:ascii="Times New Roman" w:eastAsia="Times New Roman" w:hAnsi="Times New Roman" w:cs="Times New Roman"/>
                <w:sz w:val="26"/>
                <w:szCs w:val="26"/>
                <w:lang w:eastAsia="lv-LV"/>
              </w:rPr>
            </w:pP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B3626"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2019.</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952C7"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2020.</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9899D"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2021.</w:t>
            </w:r>
          </w:p>
        </w:tc>
      </w:tr>
      <w:tr w:rsidR="00E43CD1" w:rsidRPr="00620B46" w14:paraId="751D6A60" w14:textId="77777777" w:rsidTr="004B15DE">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AF325" w14:textId="77777777" w:rsidR="00E43CD1" w:rsidRPr="00620B46" w:rsidRDefault="00E43CD1" w:rsidP="00DF2054">
            <w:pPr>
              <w:spacing w:after="0" w:line="240" w:lineRule="auto"/>
              <w:rPr>
                <w:rFonts w:ascii="Times New Roman" w:eastAsia="Times New Roman" w:hAnsi="Times New Roman" w:cs="Times New Roman"/>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E8EFC"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02A65"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izmaiņas kārtējā gadā, salīdzinot ar valsts </w:t>
            </w:r>
            <w:r w:rsidRPr="00620B46">
              <w:rPr>
                <w:rFonts w:ascii="Times New Roman" w:eastAsia="Times New Roman" w:hAnsi="Times New Roman" w:cs="Times New Roman"/>
                <w:sz w:val="26"/>
                <w:szCs w:val="26"/>
                <w:lang w:eastAsia="lv-LV"/>
              </w:rPr>
              <w:lastRenderedPageBreak/>
              <w:t>budžetu kārtējam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73E28"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saskaņā ar vidēja termiņa </w:t>
            </w:r>
            <w:r w:rsidRPr="00620B46">
              <w:rPr>
                <w:rFonts w:ascii="Times New Roman" w:eastAsia="Times New Roman" w:hAnsi="Times New Roman" w:cs="Times New Roman"/>
                <w:sz w:val="26"/>
                <w:szCs w:val="26"/>
                <w:lang w:eastAsia="lv-LV"/>
              </w:rPr>
              <w:lastRenderedPageBreak/>
              <w:t>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859BA"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izmaiņas, salīdzinot ar vidēja termiņa budžeta </w:t>
            </w:r>
            <w:r w:rsidRPr="00620B46">
              <w:rPr>
                <w:rFonts w:ascii="Times New Roman" w:eastAsia="Times New Roman" w:hAnsi="Times New Roman" w:cs="Times New Roman"/>
                <w:sz w:val="26"/>
                <w:szCs w:val="26"/>
                <w:lang w:eastAsia="lv-LV"/>
              </w:rPr>
              <w:lastRenderedPageBreak/>
              <w:t>ietvaru n+1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FC34"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saskaņā ar vidēja termiņa </w:t>
            </w:r>
            <w:r w:rsidRPr="00620B46">
              <w:rPr>
                <w:rFonts w:ascii="Times New Roman" w:eastAsia="Times New Roman" w:hAnsi="Times New Roman" w:cs="Times New Roman"/>
                <w:sz w:val="26"/>
                <w:szCs w:val="26"/>
                <w:lang w:eastAsia="lv-LV"/>
              </w:rPr>
              <w:lastRenderedPageBreak/>
              <w:t>budžeta ietvaru</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6233F"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izmaiņas, salīdzinot ar vidēja termiņa budžeta </w:t>
            </w:r>
            <w:r w:rsidRPr="00620B46">
              <w:rPr>
                <w:rFonts w:ascii="Times New Roman" w:eastAsia="Times New Roman" w:hAnsi="Times New Roman" w:cs="Times New Roman"/>
                <w:sz w:val="26"/>
                <w:szCs w:val="26"/>
                <w:lang w:eastAsia="lv-LV"/>
              </w:rPr>
              <w:lastRenderedPageBreak/>
              <w:t>ietvaru n+2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2DEE1"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 xml:space="preserve">izmaiņas, salīdzinot ar vidēja termiņa budžeta </w:t>
            </w:r>
            <w:r w:rsidRPr="00620B46">
              <w:rPr>
                <w:rFonts w:ascii="Times New Roman" w:eastAsia="Times New Roman" w:hAnsi="Times New Roman" w:cs="Times New Roman"/>
                <w:sz w:val="26"/>
                <w:szCs w:val="26"/>
                <w:lang w:eastAsia="lv-LV"/>
              </w:rPr>
              <w:lastRenderedPageBreak/>
              <w:t>ietvaru n+2 gadam</w:t>
            </w:r>
          </w:p>
        </w:tc>
      </w:tr>
      <w:tr w:rsidR="00E43CD1" w:rsidRPr="00620B46" w14:paraId="184A74FE"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6E2D5"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1</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8C5E4"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CA4BA"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858CD"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37328"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5B8B2"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B657A"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7</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0A082" w14:textId="77777777" w:rsidR="00E43CD1" w:rsidRPr="00620B46" w:rsidRDefault="00E43CD1" w:rsidP="00DF2054">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8</w:t>
            </w:r>
          </w:p>
        </w:tc>
      </w:tr>
      <w:tr w:rsidR="00E43CD1" w:rsidRPr="00620B46" w14:paraId="399DA95F"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B76FEF9" w14:textId="77777777" w:rsidR="00E43CD1" w:rsidRPr="00620B46" w:rsidRDefault="00E43CD1" w:rsidP="00E43CD1">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 Budžeta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F209A55" w14:textId="2F53DBD5"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0CD7CBB" w14:textId="16FA100F"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636E136" w14:textId="43CFC04F" w:rsidR="00E43CD1" w:rsidRPr="00620B46" w:rsidRDefault="00E43CD1" w:rsidP="00CA4EF6">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26A8ED7" w14:textId="79962CA4"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CF686C0" w14:textId="34B4613B" w:rsidR="00E43CD1" w:rsidRPr="00620B46" w:rsidRDefault="00E43CD1" w:rsidP="00CA4EF6">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89C59E1" w14:textId="136B0869"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130D665" w14:textId="6AB30B9C" w:rsidR="00E43CD1" w:rsidRPr="00620B46" w:rsidRDefault="00E43CD1" w:rsidP="00CA4EF6">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r>
      <w:tr w:rsidR="00E43CD1" w:rsidRPr="00620B46" w14:paraId="151D4037"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07782B1" w14:textId="77777777" w:rsidR="00E43CD1" w:rsidRPr="00620B46" w:rsidRDefault="00E43CD1" w:rsidP="00E43CD1">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1.1. valsts pamatbudžets, tai skaitā ieņēmumi no maksas pakalpojumiem un citi pašu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3DDB0B2" w14:textId="256F7F46"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5AD061D2" w14:textId="5C7C60C2"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745A83C" w14:textId="462A6B56"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653AB57" w14:textId="0096FC65" w:rsidR="00E43CD1" w:rsidRPr="00620B46" w:rsidRDefault="00E43CD1" w:rsidP="00CA4EF6">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2E0DC29" w14:textId="078EE8AE"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76AC32C" w14:textId="409EF8CF" w:rsidR="00E43CD1" w:rsidRPr="00620B46" w:rsidRDefault="00E43CD1" w:rsidP="00CA4EF6">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5CE4441" w14:textId="20965A12"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E43CD1" w:rsidRPr="00620B46" w14:paraId="1937C2E5"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E354637" w14:textId="77777777" w:rsidR="00E43CD1" w:rsidRPr="00620B46" w:rsidRDefault="00E43CD1" w:rsidP="00DF2054">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CD36359" w14:textId="77777777"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54975673" w14:textId="77777777" w:rsidR="00E43CD1" w:rsidRPr="00620B46" w:rsidRDefault="00E43CD1" w:rsidP="00CA4EF6">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CDC6333" w14:textId="77777777" w:rsidR="00E43CD1" w:rsidRPr="00620B46" w:rsidRDefault="00E43CD1" w:rsidP="00CA4EF6">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DD68B2C"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AA5E32F" w14:textId="77777777" w:rsidR="00E43CD1" w:rsidRPr="00620B46" w:rsidRDefault="00E43CD1" w:rsidP="00CA4EF6">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790977DC"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B482170" w14:textId="77777777" w:rsidR="00E43CD1" w:rsidRPr="00620B46" w:rsidRDefault="00E43CD1" w:rsidP="00CA4EF6">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r>
      <w:tr w:rsidR="00E43CD1" w:rsidRPr="00620B46" w14:paraId="49AD27A8"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B3C92C0" w14:textId="77777777" w:rsidR="00E43CD1" w:rsidRPr="00620B46" w:rsidRDefault="00E43CD1" w:rsidP="00DF2054">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DD69523" w14:textId="77777777" w:rsidR="00E43CD1" w:rsidRPr="00620B46" w:rsidRDefault="00E43CD1" w:rsidP="00CA4EF6">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C241AD6" w14:textId="77777777" w:rsidR="00E43CD1" w:rsidRPr="00620B46" w:rsidRDefault="00E43CD1" w:rsidP="00CA4EF6">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0264348"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6EFFC32"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FAAD83C"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58368057"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DE65DE6" w14:textId="77777777" w:rsidR="00E43CD1" w:rsidRPr="00620B46" w:rsidRDefault="00E43CD1" w:rsidP="00CA4EF6">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855540" w:rsidRPr="00620B46" w14:paraId="28ABE058"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2D72F7A" w14:textId="77777777" w:rsidR="00855540" w:rsidRPr="00620B46" w:rsidRDefault="00855540" w:rsidP="00855540">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 Budžeta izdevumi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4450DD2" w14:textId="1239C563" w:rsidR="00855540" w:rsidRPr="00620B46" w:rsidRDefault="00855540" w:rsidP="00855540">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8301B76" w14:textId="7C946375" w:rsidR="00855540" w:rsidRPr="00620B46" w:rsidRDefault="00855540" w:rsidP="00855540">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89A6677" w14:textId="39D3FFCF" w:rsidR="00855540" w:rsidRPr="00620B46" w:rsidRDefault="00855540" w:rsidP="00855540">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5659D2F3" w14:textId="28B4AC78" w:rsidR="00855540" w:rsidRPr="00620B46" w:rsidRDefault="00855540" w:rsidP="00855540">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EFE8786" w14:textId="3583C3F9" w:rsidR="00855540" w:rsidRPr="00620B46" w:rsidRDefault="00855540" w:rsidP="00855540">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15A1F1F4" w14:textId="33DC561B" w:rsidR="00855540" w:rsidRPr="00620B46" w:rsidRDefault="00855540" w:rsidP="00855540">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0CBE20E" w14:textId="73088136" w:rsidR="00855540"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13 824</w:t>
            </w:r>
          </w:p>
        </w:tc>
      </w:tr>
      <w:tr w:rsidR="004B15DE" w:rsidRPr="00620B46" w14:paraId="633BED26"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4CA5EB8"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2A09A83" w14:textId="429265B5"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65477B2" w14:textId="19587AF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1180B4EB" w14:textId="1F759E49"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1A95944" w14:textId="6244B2ED"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8D23A88" w14:textId="575D4EAF"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41C290F" w14:textId="75F276DC"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75FDA05" w14:textId="59A98970"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13 824</w:t>
            </w:r>
          </w:p>
        </w:tc>
      </w:tr>
      <w:tr w:rsidR="004B15DE" w:rsidRPr="00620B46" w14:paraId="33803CF4"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D05A3E6"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C6D60E8"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B2B8084"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EEE38CB"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405B2DE"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9ABB070"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1A9C7E99"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0B1791F"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61878763"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9AF3A4D"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25C8343"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224770F"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BF84C7E"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F9B7A02"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AA4587E"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0DE3DBB4"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9703AAA"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r>
      <w:tr w:rsidR="004B15DE" w:rsidRPr="00620B46" w14:paraId="783A114B"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761D614"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 Finansiālā ietekme</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F5E936E" w14:textId="3AD6D1B5"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A4ADED2" w14:textId="0E80AC68"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552DB81"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6BBCD11" w14:textId="014EECAD"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DB6B98D"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5F92ECA" w14:textId="68F31D3F"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384C9AE" w14:textId="256CE849"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-13 824</w:t>
            </w:r>
          </w:p>
        </w:tc>
      </w:tr>
      <w:tr w:rsidR="004B15DE" w:rsidRPr="00620B46" w14:paraId="47850D07"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6B65877"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C6CAE8F" w14:textId="2359729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071A247" w14:textId="5E7B1808"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526B6139"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C7DA30B" w14:textId="13F4E3BE"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AE4C6F1"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5B105C3" w14:textId="597AC56E"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336C734" w14:textId="5BFE0B2C"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-13 824</w:t>
            </w:r>
          </w:p>
        </w:tc>
      </w:tr>
      <w:tr w:rsidR="004B15DE" w:rsidRPr="00620B46" w14:paraId="19EAB7D0"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651980A"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3.2.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34290F3"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BBF8188"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CD934A4"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3C569B2"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7749DB8"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0FD35D56"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AB05647"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48601A2F"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C9A6E1E"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B7F60A6"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50AB7B6C" w14:textId="77777777" w:rsidR="004B15DE" w:rsidRPr="00620B46" w:rsidRDefault="004B15DE" w:rsidP="004B15DE">
            <w:pPr>
              <w:spacing w:after="0" w:line="240" w:lineRule="auto"/>
              <w:jc w:val="center"/>
              <w:rPr>
                <w:rFonts w:ascii="Times New Roman" w:eastAsia="Calibri"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5DAAC423"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B334DC0"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A3AB32F"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8F91CC4"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7D16D6F"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r>
      <w:tr w:rsidR="004B15DE" w:rsidRPr="00620B46" w14:paraId="1670FDE9"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9D95544"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4. Finanšu līdzekļi papildu izdevumu finansēšanai </w:t>
            </w:r>
            <w:r w:rsidRPr="00620B46">
              <w:rPr>
                <w:rFonts w:ascii="Times New Roman" w:eastAsia="Times New Roman" w:hAnsi="Times New Roman" w:cs="Times New Roman"/>
                <w:sz w:val="26"/>
                <w:szCs w:val="26"/>
                <w:lang w:eastAsia="lv-LV"/>
              </w:rPr>
              <w:lastRenderedPageBreak/>
              <w:t>(kompensējošu izdevumu samazinājumu norāda ar "+" zīmi)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1A8E387" w14:textId="156A8CE2"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lastRenderedPageBreak/>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72D7302" w14:textId="56D067CF"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5A1D9B6"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D29E79E" w14:textId="5F33CBBB" w:rsidR="004B15DE" w:rsidRPr="00620B46" w:rsidRDefault="004B15DE" w:rsidP="004B15DE">
            <w:pPr>
              <w:spacing w:after="0" w:line="240" w:lineRule="auto"/>
              <w:ind w:left="-30"/>
              <w:jc w:val="center"/>
              <w:rPr>
                <w:rFonts w:ascii="Times New Roman" w:eastAsia="Times New Roman" w:hAnsi="Times New Roman" w:cs="Times New Roman"/>
                <w:b/>
                <w:sz w:val="26"/>
                <w:szCs w:val="26"/>
                <w:lang w:eastAsia="lv-LV"/>
              </w:rPr>
            </w:pPr>
            <w:r w:rsidRPr="00620B46">
              <w:rPr>
                <w:rFonts w:ascii="Times New Roman" w:eastAsia="Times New Roman" w:hAnsi="Times New Roman" w:cs="Times New Roman"/>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BA783B1"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647421B2" w14:textId="7C535BD7" w:rsidR="004B15DE" w:rsidRPr="00620B46" w:rsidRDefault="004B15DE" w:rsidP="004B15DE">
            <w:pPr>
              <w:spacing w:after="0" w:line="240" w:lineRule="auto"/>
              <w:ind w:left="-30"/>
              <w:jc w:val="center"/>
              <w:rPr>
                <w:rFonts w:ascii="Times New Roman" w:eastAsia="Times New Roman" w:hAnsi="Times New Roman" w:cs="Times New Roman"/>
                <w:b/>
                <w:sz w:val="26"/>
                <w:szCs w:val="26"/>
                <w:lang w:eastAsia="lv-LV"/>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63DA85E"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41F8BCC5"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7C98C5E"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5. Precizēta finansiālā ietekme</w:t>
            </w:r>
          </w:p>
        </w:tc>
        <w:tc>
          <w:tcPr>
            <w:tcW w:w="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1AB8E1" w14:textId="7777777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E337B8F" w14:textId="7777777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8180567"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C93FBD6"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4311C28"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B11F516"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AF41C91"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0</w:t>
            </w:r>
          </w:p>
        </w:tc>
      </w:tr>
      <w:tr w:rsidR="004B15DE" w:rsidRPr="00620B46" w14:paraId="6CB468D3"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E6EA016"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5.1. valsts pamatbudžets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50079FA"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2E54741E" w14:textId="7777777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8F765F5"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60F57A6"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5A247A8"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DA3D564"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13E439C"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426EE028"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026467C"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5.2. speciālais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76AE92D"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1B802CEE" w14:textId="7777777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Arial Unicode MS" w:hAnsi="Times New Roman" w:cs="Times New Roman"/>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F48682D"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7D1454A"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25BF189"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C4E03D0"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7F523E4" w14:textId="77777777" w:rsidR="004B15DE" w:rsidRPr="00620B46" w:rsidRDefault="004B15DE" w:rsidP="004B15DE">
            <w:pPr>
              <w:spacing w:after="0" w:line="240" w:lineRule="auto"/>
              <w:jc w:val="center"/>
              <w:rPr>
                <w:rFonts w:ascii="Times New Roman" w:eastAsia="Times New Roman" w:hAnsi="Times New Roman" w:cs="Times New Roman"/>
                <w:b/>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78587AD8" w14:textId="77777777" w:rsidTr="004B15DE">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29A41D0"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5.3. pašvaldību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2DB95E3"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D1210B1" w14:textId="77777777" w:rsidR="004B15DE" w:rsidRPr="00620B46" w:rsidRDefault="004B15DE" w:rsidP="004B15DE">
            <w:pPr>
              <w:spacing w:after="0" w:line="240" w:lineRule="auto"/>
              <w:jc w:val="center"/>
              <w:rPr>
                <w:rFonts w:ascii="Times New Roman" w:eastAsia="Arial Unicode MS" w:hAnsi="Times New Roman" w:cs="Times New Roman"/>
                <w:sz w:val="26"/>
                <w:szCs w:val="26"/>
                <w:lang w:eastAsia="lv-LV"/>
              </w:rPr>
            </w:pPr>
            <w:r w:rsidRPr="00620B46">
              <w:rPr>
                <w:rFonts w:ascii="Times New Roman" w:eastAsia="Calibri" w:hAnsi="Times New Roman" w:cs="Times New Roman"/>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9170701"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3748DBF"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96ED72B"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7C414CFB"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0333A82" w14:textId="77777777" w:rsidR="004B15DE" w:rsidRPr="00620B46" w:rsidRDefault="004B15DE" w:rsidP="004B15DE">
            <w:pPr>
              <w:spacing w:after="0" w:line="240" w:lineRule="auto"/>
              <w:jc w:val="center"/>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ja-JP"/>
              </w:rPr>
              <w:t>0</w:t>
            </w:r>
          </w:p>
        </w:tc>
      </w:tr>
      <w:tr w:rsidR="004B15DE" w:rsidRPr="00620B46" w14:paraId="74C50EED"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56DA6C7"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14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0B3A8" w14:textId="0682212C" w:rsidR="004B15DE" w:rsidRPr="00620B46" w:rsidRDefault="007B3FA1" w:rsidP="004B15DE">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hAnsi="Times New Roman" w:cs="Times New Roman"/>
                <w:sz w:val="26"/>
                <w:szCs w:val="26"/>
              </w:rPr>
              <w:t>Vidējais a</w:t>
            </w:r>
            <w:r w:rsidR="004B15DE" w:rsidRPr="00620B46">
              <w:rPr>
                <w:rFonts w:ascii="Times New Roman" w:hAnsi="Times New Roman" w:cs="Times New Roman"/>
                <w:sz w:val="26"/>
                <w:szCs w:val="26"/>
              </w:rPr>
              <w:t xml:space="preserve">dministratīvo izmaksas </w:t>
            </w:r>
            <w:proofErr w:type="spellStart"/>
            <w:r w:rsidR="004B15DE" w:rsidRPr="00620B46">
              <w:rPr>
                <w:rFonts w:ascii="Times New Roman" w:eastAsia="Times New Roman" w:hAnsi="Times New Roman" w:cs="Times New Roman"/>
                <w:sz w:val="26"/>
                <w:szCs w:val="26"/>
                <w:lang w:eastAsia="lv-LV"/>
              </w:rPr>
              <w:t>C</w:t>
            </w:r>
            <w:r w:rsidR="004B15DE" w:rsidRPr="00620B46">
              <w:rPr>
                <w:rFonts w:ascii="Times New Roman" w:eastAsia="Times New Roman" w:hAnsi="Times New Roman" w:cs="Times New Roman"/>
                <w:sz w:val="26"/>
                <w:szCs w:val="26"/>
                <w:vertAlign w:val="subscript"/>
                <w:lang w:eastAsia="lv-LV"/>
              </w:rPr>
              <w:t>g</w:t>
            </w:r>
            <w:proofErr w:type="spellEnd"/>
            <w:r w:rsidR="004B15DE" w:rsidRPr="00620B46">
              <w:rPr>
                <w:rFonts w:ascii="Times New Roman" w:hAnsi="Times New Roman" w:cs="Times New Roman"/>
                <w:sz w:val="26"/>
                <w:szCs w:val="26"/>
              </w:rPr>
              <w:t xml:space="preserve"> gadā aprēķins veikts šīs anotācijas II sadaļas 3. punktā</w:t>
            </w:r>
            <w:r w:rsidRPr="00620B46">
              <w:rPr>
                <w:rFonts w:ascii="Times New Roman" w:hAnsi="Times New Roman" w:cs="Times New Roman"/>
                <w:sz w:val="26"/>
                <w:szCs w:val="26"/>
              </w:rPr>
              <w:t xml:space="preserve">. </w:t>
            </w:r>
          </w:p>
          <w:p w14:paraId="2CE5099C" w14:textId="73CB2DBE" w:rsidR="004B15DE" w:rsidRPr="00620B46" w:rsidRDefault="004B15DE"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 xml:space="preserve">Detalizēts izdevumu aprēķins sniegts anotācijas pielikumā. </w:t>
            </w:r>
          </w:p>
          <w:p w14:paraId="40714C91" w14:textId="1C83A044" w:rsidR="004B15DE" w:rsidRPr="00620B46" w:rsidRDefault="007B3FA1"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3.1.2.1.1.</w:t>
            </w:r>
            <w:r w:rsidR="004B15DE" w:rsidRPr="00620B46">
              <w:rPr>
                <w:rFonts w:ascii="Times New Roman" w:hAnsi="Times New Roman" w:cs="Times New Roman"/>
                <w:sz w:val="26"/>
                <w:szCs w:val="26"/>
              </w:rPr>
              <w:t>. aktivitātes projektu uzraudzībai projektu pārskata (dzīves cikla) periodā:</w:t>
            </w:r>
          </w:p>
          <w:p w14:paraId="03827159" w14:textId="5511C164" w:rsidR="004B15DE" w:rsidRPr="00620B46" w:rsidRDefault="004B15DE"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 xml:space="preserve">1. 2018. gadā paredzētais finansējums ir </w:t>
            </w:r>
            <w:r w:rsidR="007B3FA1" w:rsidRPr="00620B46">
              <w:rPr>
                <w:rFonts w:ascii="Times New Roman" w:hAnsi="Times New Roman" w:cs="Times New Roman"/>
                <w:sz w:val="26"/>
                <w:szCs w:val="26"/>
              </w:rPr>
              <w:t>14</w:t>
            </w:r>
            <w:r w:rsidRPr="00620B46">
              <w:rPr>
                <w:rFonts w:ascii="Times New Roman" w:hAnsi="Times New Roman" w:cs="Times New Roman"/>
                <w:sz w:val="26"/>
                <w:szCs w:val="26"/>
              </w:rPr>
              <w:t> </w:t>
            </w:r>
            <w:r w:rsidR="007B3FA1" w:rsidRPr="00620B46">
              <w:rPr>
                <w:rFonts w:ascii="Times New Roman" w:hAnsi="Times New Roman" w:cs="Times New Roman"/>
                <w:sz w:val="26"/>
                <w:szCs w:val="26"/>
              </w:rPr>
              <w:t>080</w:t>
            </w:r>
            <w:r w:rsidRPr="00620B46">
              <w:rPr>
                <w:rFonts w:ascii="Times New Roman" w:hAnsi="Times New Roman" w:cs="Times New Roman"/>
                <w:sz w:val="26"/>
                <w:szCs w:val="26"/>
              </w:rPr>
              <w:t xml:space="preserve"> </w:t>
            </w:r>
            <w:r w:rsidR="00AB171F" w:rsidRPr="00620B46">
              <w:rPr>
                <w:rFonts w:ascii="Times New Roman" w:hAnsi="Times New Roman" w:cs="Times New Roman"/>
                <w:i/>
                <w:sz w:val="26"/>
                <w:szCs w:val="26"/>
              </w:rPr>
              <w:t>EUR</w:t>
            </w:r>
            <w:r w:rsidRPr="00620B46">
              <w:rPr>
                <w:rFonts w:ascii="Times New Roman" w:hAnsi="Times New Roman" w:cs="Times New Roman"/>
                <w:sz w:val="26"/>
                <w:szCs w:val="26"/>
              </w:rPr>
              <w:t xml:space="preserve">, ko plānots segt no Izglītības un zinātnes ministrijas tehniskās palīdzības projekta “Izglītības un zinātnes ministrijas kapacitātes stiprināšana Eiropas Savienības struktūrfondu plānošanai, ieviešanai un uzraudzībai 2014-2020.gada plānošanas periodā, 1.kārta”; </w:t>
            </w:r>
          </w:p>
          <w:p w14:paraId="2439AC30" w14:textId="0D573FCF" w:rsidR="004B15DE" w:rsidRPr="00620B46" w:rsidRDefault="004B15DE"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 xml:space="preserve">2. no 2019. gada 1. janvāra līdz 2020. gada 31. decembrim nepieciešamais finansējums ir </w:t>
            </w:r>
            <w:r w:rsidR="00AB171F" w:rsidRPr="00620B46">
              <w:rPr>
                <w:rFonts w:ascii="Times New Roman" w:eastAsia="Times New Roman" w:hAnsi="Times New Roman" w:cs="Times New Roman"/>
                <w:sz w:val="26"/>
                <w:szCs w:val="26"/>
                <w:lang w:eastAsia="lv-LV"/>
              </w:rPr>
              <w:t xml:space="preserve">28 160 </w:t>
            </w:r>
            <w:r w:rsidRPr="00620B46">
              <w:rPr>
                <w:rFonts w:ascii="Times New Roman" w:hAnsi="Times New Roman" w:cs="Times New Roman"/>
                <w:sz w:val="26"/>
                <w:szCs w:val="26"/>
              </w:rPr>
              <w:t xml:space="preserve">EUR. Jautājumu par papildu administratīvo izmaksu segšanu plānots risināt, izstrādājot Ministru kabineta noteikumus par </w:t>
            </w:r>
            <w:r w:rsidRPr="00620B46">
              <w:rPr>
                <w:rFonts w:ascii="Times New Roman" w:hAnsi="Times New Roman" w:cs="Times New Roman"/>
                <w:i/>
                <w:sz w:val="26"/>
                <w:szCs w:val="26"/>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Pr="00620B46">
              <w:rPr>
                <w:rFonts w:ascii="Times New Roman" w:hAnsi="Times New Roman" w:cs="Times New Roman"/>
                <w:sz w:val="26"/>
                <w:szCs w:val="26"/>
              </w:rPr>
              <w:t>;</w:t>
            </w:r>
          </w:p>
          <w:p w14:paraId="48175DC7" w14:textId="5830DF0D" w:rsidR="004B15DE" w:rsidRPr="00620B46" w:rsidRDefault="004B15DE"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3. no 2021. gada 1. janvāra līdz 20</w:t>
            </w:r>
            <w:r w:rsidR="00AB171F" w:rsidRPr="00620B46">
              <w:rPr>
                <w:rFonts w:ascii="Times New Roman" w:hAnsi="Times New Roman" w:cs="Times New Roman"/>
                <w:sz w:val="26"/>
                <w:szCs w:val="26"/>
              </w:rPr>
              <w:t>24</w:t>
            </w:r>
            <w:r w:rsidRPr="00620B46">
              <w:rPr>
                <w:rFonts w:ascii="Times New Roman" w:hAnsi="Times New Roman" w:cs="Times New Roman"/>
                <w:sz w:val="26"/>
                <w:szCs w:val="26"/>
              </w:rPr>
              <w:t xml:space="preserve">. gada 31. decembrim nepieciešamais finansējums ir </w:t>
            </w:r>
            <w:r w:rsidR="00AB171F" w:rsidRPr="00620B46">
              <w:rPr>
                <w:rFonts w:ascii="Times New Roman" w:eastAsia="Times New Roman" w:hAnsi="Times New Roman" w:cs="Times New Roman"/>
                <w:sz w:val="26"/>
                <w:szCs w:val="26"/>
                <w:lang w:eastAsia="lv-LV"/>
              </w:rPr>
              <w:t>55 296</w:t>
            </w:r>
            <w:r w:rsidR="00AB171F" w:rsidRPr="00620B46">
              <w:rPr>
                <w:rFonts w:ascii="Times New Roman" w:hAnsi="Times New Roman" w:cs="Times New Roman"/>
                <w:bCs/>
                <w:color w:val="000000"/>
                <w:sz w:val="26"/>
                <w:szCs w:val="26"/>
              </w:rPr>
              <w:t xml:space="preserve"> </w:t>
            </w:r>
            <w:r w:rsidRPr="00620B46">
              <w:rPr>
                <w:rFonts w:ascii="Times New Roman" w:hAnsi="Times New Roman" w:cs="Times New Roman"/>
                <w:sz w:val="26"/>
                <w:szCs w:val="26"/>
              </w:rPr>
              <w:t xml:space="preserve">EUR. Jautājumu par papildu administratīvo izmaksu segšanu plānots risināt, 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w:t>
            </w:r>
            <w:r w:rsidRPr="00620B46">
              <w:rPr>
                <w:rFonts w:ascii="Times New Roman" w:hAnsi="Times New Roman" w:cs="Times New Roman"/>
                <w:sz w:val="26"/>
                <w:szCs w:val="26"/>
              </w:rPr>
              <w:lastRenderedPageBreak/>
              <w:t>iesniegtajiem prioritārajiem pasākumiem atbilstoši valsts budžeta finansiālajām iespējām.</w:t>
            </w:r>
          </w:p>
          <w:p w14:paraId="0B1AA989" w14:textId="7B366C3B" w:rsidR="004B15DE" w:rsidRPr="00620B46" w:rsidRDefault="004B15DE" w:rsidP="004B15DE">
            <w:pPr>
              <w:spacing w:before="10" w:after="0" w:line="240" w:lineRule="auto"/>
              <w:ind w:left="113" w:right="113"/>
              <w:jc w:val="both"/>
              <w:rPr>
                <w:rFonts w:ascii="Times New Roman" w:hAnsi="Times New Roman" w:cs="Times New Roman"/>
                <w:sz w:val="26"/>
                <w:szCs w:val="26"/>
              </w:rPr>
            </w:pPr>
            <w:r w:rsidRPr="00620B46">
              <w:rPr>
                <w:rFonts w:ascii="Times New Roman" w:hAnsi="Times New Roman" w:cs="Times New Roman"/>
                <w:sz w:val="26"/>
                <w:szCs w:val="26"/>
              </w:rPr>
              <w:t xml:space="preserve">Izglītības un zinātnes ministrijai sadarbībā ar Finanšu ministriju informēt Ministru kabinetu par iespējamiem finanšu avotiem </w:t>
            </w:r>
            <w:r w:rsidR="00AB171F" w:rsidRPr="00620B46">
              <w:rPr>
                <w:rFonts w:ascii="Times New Roman" w:hAnsi="Times New Roman" w:cs="Times New Roman"/>
                <w:sz w:val="26"/>
                <w:szCs w:val="26"/>
              </w:rPr>
              <w:t>3.1.2.1.1</w:t>
            </w:r>
            <w:r w:rsidRPr="00620B46">
              <w:rPr>
                <w:rFonts w:ascii="Times New Roman" w:hAnsi="Times New Roman" w:cs="Times New Roman"/>
                <w:sz w:val="26"/>
                <w:szCs w:val="26"/>
              </w:rPr>
              <w:t>. aktivitātes projektu uzraudzības nodrošināšanai, informāciju iekļaujot informatīvā ziņojumā.</w:t>
            </w:r>
          </w:p>
          <w:p w14:paraId="17C17C2A" w14:textId="50BE8A45" w:rsidR="004B15DE" w:rsidRPr="00620B46" w:rsidRDefault="004B15DE" w:rsidP="004B15DE">
            <w:pPr>
              <w:spacing w:before="10" w:after="0" w:line="240" w:lineRule="auto"/>
              <w:ind w:left="113" w:right="113"/>
              <w:jc w:val="both"/>
              <w:rPr>
                <w:rFonts w:ascii="Times New Roman" w:eastAsia="Times New Roman" w:hAnsi="Times New Roman" w:cs="Times New Roman"/>
                <w:sz w:val="26"/>
                <w:szCs w:val="26"/>
                <w:lang w:eastAsia="lv-LV"/>
              </w:rPr>
            </w:pPr>
            <w:r w:rsidRPr="00620B46">
              <w:rPr>
                <w:rFonts w:ascii="Times New Roman" w:hAnsi="Times New Roman" w:cs="Times New Roman"/>
                <w:sz w:val="26"/>
                <w:szCs w:val="26"/>
              </w:rPr>
              <w:t>Izglītības un zinātnes ministrijai nav pieejami finanšu līdzekļi papildu izdevumu finansēšanai, jo ministrijai nav iespēju veikt institucionālus pārkārtojumus, administratīvo izmaksu vai izdevumu samazināšanu ministrijas kompetencē esošām funkcijām.</w:t>
            </w:r>
            <w:r w:rsidRPr="00620B46">
              <w:rPr>
                <w:rFonts w:ascii="Times New Roman" w:eastAsia="Times New Roman" w:hAnsi="Times New Roman" w:cs="Times New Roman"/>
                <w:sz w:val="26"/>
                <w:szCs w:val="26"/>
                <w:lang w:eastAsia="lv-LV"/>
              </w:rPr>
              <w:t xml:space="preserve"> </w:t>
            </w:r>
          </w:p>
        </w:tc>
      </w:tr>
      <w:tr w:rsidR="004B15DE" w:rsidRPr="00620B46" w14:paraId="70149C5E"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6DA98BA" w14:textId="559321E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6.1. detalizēts ieņēmumu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1F083"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p>
        </w:tc>
      </w:tr>
      <w:tr w:rsidR="004B15DE" w:rsidRPr="00620B46" w14:paraId="09446BDE"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1BFA6A0"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6.2. detalizēts izdevumu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8384C"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p>
        </w:tc>
      </w:tr>
      <w:tr w:rsidR="004B15DE" w:rsidRPr="00620B46" w14:paraId="049D1E51"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0EAD63A"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7. Amata vietu skaita izmaiņas</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2939D9" w14:textId="77777777" w:rsidR="004B15DE" w:rsidRPr="00620B46" w:rsidRDefault="004B15DE" w:rsidP="004B15DE">
            <w:pPr>
              <w:spacing w:after="0" w:line="240" w:lineRule="auto"/>
              <w:jc w:val="both"/>
              <w:rPr>
                <w:rFonts w:ascii="Times New Roman" w:eastAsia="Times New Roman" w:hAnsi="Times New Roman" w:cs="Times New Roman"/>
                <w:sz w:val="26"/>
                <w:szCs w:val="26"/>
                <w:lang w:eastAsia="ja-JP"/>
              </w:rPr>
            </w:pPr>
            <w:r w:rsidRPr="00620B46">
              <w:rPr>
                <w:rFonts w:ascii="Times New Roman" w:eastAsia="Calibri" w:hAnsi="Times New Roman" w:cs="Times New Roman"/>
                <w:iCs/>
                <w:color w:val="000000"/>
                <w:sz w:val="26"/>
                <w:szCs w:val="26"/>
                <w:lang w:eastAsia="lv-LV"/>
              </w:rPr>
              <w:t>Projekts šo jomu neskar.</w:t>
            </w:r>
          </w:p>
        </w:tc>
      </w:tr>
      <w:tr w:rsidR="004B15DE" w:rsidRPr="00620B46" w14:paraId="337F58B9"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AA0ACDF" w14:textId="77777777" w:rsidR="004B15DE" w:rsidRPr="00620B46" w:rsidRDefault="004B15DE" w:rsidP="004B15D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8. Cita informācija</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DFBE4A5" w14:textId="24646815" w:rsidR="004B15DE" w:rsidRPr="00620B46" w:rsidRDefault="004B15DE" w:rsidP="004B15DE">
            <w:pPr>
              <w:spacing w:before="40" w:after="40" w:line="240" w:lineRule="auto"/>
              <w:ind w:right="57"/>
              <w:jc w:val="both"/>
              <w:rPr>
                <w:rFonts w:ascii="Times New Roman" w:eastAsia="Times New Roman" w:hAnsi="Times New Roman" w:cs="Times New Roman"/>
                <w:sz w:val="26"/>
                <w:szCs w:val="26"/>
                <w:lang w:eastAsia="ja-JP"/>
              </w:rPr>
            </w:pPr>
            <w:r w:rsidRPr="00620B46">
              <w:rPr>
                <w:rFonts w:ascii="Times New Roman" w:eastAsia="Times New Roman" w:hAnsi="Times New Roman" w:cs="Times New Roman"/>
                <w:sz w:val="26"/>
                <w:szCs w:val="26"/>
                <w:lang w:eastAsia="lv-LV" w:bidi="lo-LA"/>
              </w:rPr>
              <w:t xml:space="preserve">Anotācijas pielikumā norādīts indikatīvais papildu administratīvo izmaksu sadalījums pa gadiem. </w:t>
            </w:r>
          </w:p>
        </w:tc>
      </w:tr>
    </w:tbl>
    <w:p w14:paraId="05A0AC0E" w14:textId="77777777" w:rsidR="00226F1C" w:rsidRPr="00620B46" w:rsidRDefault="00226F1C" w:rsidP="00800AB9">
      <w:pPr>
        <w:spacing w:after="0" w:line="240" w:lineRule="auto"/>
        <w:rPr>
          <w:rFonts w:ascii="Times New Roman" w:hAnsi="Times New Roman" w:cs="Times New Roman"/>
          <w:i/>
          <w:iCs/>
          <w:sz w:val="26"/>
          <w:szCs w:val="26"/>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9065"/>
      </w:tblGrid>
      <w:tr w:rsidR="00800AB9" w:rsidRPr="00620B46" w14:paraId="0657C0BB" w14:textId="77777777" w:rsidTr="00D52BB5">
        <w:trPr>
          <w:tblCellSpacing w:w="0" w:type="dxa"/>
        </w:trPr>
        <w:tc>
          <w:tcPr>
            <w:tcW w:w="5000" w:type="pct"/>
            <w:vAlign w:val="center"/>
          </w:tcPr>
          <w:p w14:paraId="74A8AF3E" w14:textId="77777777" w:rsidR="00800AB9" w:rsidRPr="00620B46" w:rsidRDefault="00800AB9" w:rsidP="00CF288E">
            <w:pPr>
              <w:spacing w:before="150" w:after="150"/>
              <w:jc w:val="center"/>
              <w:rPr>
                <w:rFonts w:ascii="Times New Roman" w:hAnsi="Times New Roman" w:cs="Times New Roman"/>
                <w:b/>
                <w:bCs/>
                <w:sz w:val="26"/>
                <w:szCs w:val="26"/>
              </w:rPr>
            </w:pPr>
            <w:r w:rsidRPr="00620B46">
              <w:rPr>
                <w:rFonts w:ascii="Times New Roman" w:hAnsi="Times New Roman" w:cs="Times New Roman"/>
                <w:b/>
                <w:bCs/>
                <w:sz w:val="26"/>
                <w:szCs w:val="26"/>
              </w:rPr>
              <w:t>IV. Tiesību akta projekta ietekme uz spēkā esošo tiesību normu sistēmu</w:t>
            </w:r>
          </w:p>
        </w:tc>
      </w:tr>
      <w:tr w:rsidR="00800AB9" w:rsidRPr="00620B46" w14:paraId="0AD7E23B" w14:textId="77777777" w:rsidTr="00D52BB5">
        <w:trPr>
          <w:trHeight w:val="467"/>
          <w:tblCellSpacing w:w="0" w:type="dxa"/>
        </w:trPr>
        <w:tc>
          <w:tcPr>
            <w:tcW w:w="5000" w:type="pct"/>
          </w:tcPr>
          <w:p w14:paraId="6F898C4A" w14:textId="77777777" w:rsidR="00800AB9" w:rsidRPr="00620B46" w:rsidRDefault="00800AB9" w:rsidP="00CF288E">
            <w:pPr>
              <w:jc w:val="center"/>
              <w:rPr>
                <w:rFonts w:ascii="Times New Roman" w:hAnsi="Times New Roman" w:cs="Times New Roman"/>
                <w:sz w:val="26"/>
                <w:szCs w:val="26"/>
              </w:rPr>
            </w:pPr>
            <w:r w:rsidRPr="00620B46">
              <w:rPr>
                <w:rFonts w:ascii="Times New Roman" w:hAnsi="Times New Roman" w:cs="Times New Roman"/>
                <w:sz w:val="26"/>
                <w:szCs w:val="26"/>
              </w:rPr>
              <w:t>Projekts nerada ietekmi uz spēkā esošo tiesību normu sistēmu.</w:t>
            </w:r>
          </w:p>
        </w:tc>
      </w:tr>
    </w:tbl>
    <w:p w14:paraId="3278DCBC" w14:textId="77777777" w:rsidR="006A5FBE" w:rsidRPr="00620B46" w:rsidRDefault="006A5FBE" w:rsidP="00DA596D">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8"/>
        <w:gridCol w:w="1961"/>
        <w:gridCol w:w="6372"/>
      </w:tblGrid>
      <w:tr w:rsidR="006A328C" w:rsidRPr="00620B46" w14:paraId="7B17CBC0" w14:textId="77777777" w:rsidTr="00D52BB5">
        <w:trPr>
          <w:trHeight w:val="375"/>
        </w:trPr>
        <w:tc>
          <w:tcPr>
            <w:tcW w:w="5000" w:type="pct"/>
            <w:gridSpan w:val="3"/>
            <w:vAlign w:val="center"/>
            <w:hideMark/>
          </w:tcPr>
          <w:p w14:paraId="52D61CB2" w14:textId="77777777" w:rsidR="00C81F0E" w:rsidRPr="00620B46" w:rsidRDefault="00C81F0E" w:rsidP="00C81F0E">
            <w:pPr>
              <w:spacing w:after="0" w:line="240" w:lineRule="auto"/>
              <w:ind w:firstLine="300"/>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V. Tiesību akta projekta atbilstība Latvijas Republikas starptautiskajām saistībām</w:t>
            </w:r>
          </w:p>
        </w:tc>
      </w:tr>
      <w:tr w:rsidR="006A328C" w:rsidRPr="00620B46" w14:paraId="1FFB561B" w14:textId="77777777" w:rsidTr="00D52BB5">
        <w:tc>
          <w:tcPr>
            <w:tcW w:w="402" w:type="pct"/>
            <w:hideMark/>
          </w:tcPr>
          <w:p w14:paraId="5AF084F3" w14:textId="77777777" w:rsidR="00C81F0E" w:rsidRPr="00620B46" w:rsidRDefault="00C81F0E" w:rsidP="006D3F44">
            <w:pPr>
              <w:spacing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p>
        </w:tc>
        <w:tc>
          <w:tcPr>
            <w:tcW w:w="1082" w:type="pct"/>
            <w:hideMark/>
          </w:tcPr>
          <w:p w14:paraId="58295663" w14:textId="77777777" w:rsidR="00C81F0E" w:rsidRPr="00620B46" w:rsidRDefault="00C81F0E" w:rsidP="006D3F44">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Saistības pret Eiropas Savienību</w:t>
            </w:r>
          </w:p>
        </w:tc>
        <w:tc>
          <w:tcPr>
            <w:tcW w:w="3516" w:type="pct"/>
            <w:hideMark/>
          </w:tcPr>
          <w:p w14:paraId="721D817E" w14:textId="77777777" w:rsidR="007D7928" w:rsidRDefault="00794111" w:rsidP="006C7C81">
            <w:pPr>
              <w:spacing w:before="10" w:after="0" w:line="240" w:lineRule="auto"/>
              <w:ind w:right="113"/>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Eiropas Komisijas paziņojum</w:t>
            </w:r>
            <w:r w:rsidR="00436D55" w:rsidRPr="00620B46">
              <w:rPr>
                <w:rFonts w:ascii="Times New Roman" w:eastAsia="Times New Roman" w:hAnsi="Times New Roman" w:cs="Times New Roman"/>
                <w:sz w:val="26"/>
                <w:szCs w:val="26"/>
                <w:lang w:eastAsia="lv-LV"/>
              </w:rPr>
              <w:t>s</w:t>
            </w:r>
            <w:r w:rsidRPr="00620B46">
              <w:rPr>
                <w:rFonts w:ascii="Times New Roman" w:eastAsia="Times New Roman" w:hAnsi="Times New Roman" w:cs="Times New Roman"/>
                <w:sz w:val="26"/>
                <w:szCs w:val="26"/>
                <w:lang w:eastAsia="lv-LV"/>
              </w:rPr>
              <w:t xml:space="preserve"> „Nostādnes par valsts atbalstu pētniecībai, izstrādei un inovācijai” (Eiropas Savienības Oficiālais Vēstnesis, 2014. gada 27. jūnijs, Nr. C 198/1) </w:t>
            </w:r>
            <w:r w:rsidR="006C7C81" w:rsidRPr="00620B46">
              <w:rPr>
                <w:rFonts w:ascii="Times New Roman" w:eastAsia="Times New Roman" w:hAnsi="Times New Roman" w:cs="Times New Roman"/>
                <w:sz w:val="26"/>
                <w:szCs w:val="26"/>
                <w:lang w:eastAsia="lv-LV"/>
              </w:rPr>
              <w:t>(Pamatnostādnes).</w:t>
            </w:r>
          </w:p>
          <w:p w14:paraId="7820DE41" w14:textId="69183C32" w:rsidR="00CF55B6" w:rsidRPr="00620B46" w:rsidRDefault="00CF55B6" w:rsidP="00CF55B6">
            <w:pPr>
              <w:spacing w:before="10" w:after="0" w:line="240" w:lineRule="auto"/>
              <w:ind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w:t>
            </w:r>
            <w:r>
              <w:rPr>
                <w:rFonts w:ascii="Times New Roman" w:eastAsia="Times New Roman" w:hAnsi="Times New Roman" w:cs="Times New Roman"/>
                <w:sz w:val="26"/>
                <w:szCs w:val="26"/>
                <w:lang w:eastAsia="lv-LV"/>
              </w:rPr>
              <w:t>.</w:t>
            </w:r>
          </w:p>
        </w:tc>
      </w:tr>
      <w:tr w:rsidR="006A328C" w:rsidRPr="00620B46" w14:paraId="1F5FEECE" w14:textId="77777777" w:rsidTr="00D52BB5">
        <w:tc>
          <w:tcPr>
            <w:tcW w:w="402" w:type="pct"/>
            <w:hideMark/>
          </w:tcPr>
          <w:p w14:paraId="08231245" w14:textId="77777777" w:rsidR="00C81F0E" w:rsidRPr="00620B46" w:rsidRDefault="00C81F0E" w:rsidP="006D3F44">
            <w:pPr>
              <w:spacing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p>
        </w:tc>
        <w:tc>
          <w:tcPr>
            <w:tcW w:w="1082" w:type="pct"/>
            <w:hideMark/>
          </w:tcPr>
          <w:p w14:paraId="448086FB" w14:textId="77777777" w:rsidR="00C81F0E" w:rsidRPr="00620B46" w:rsidRDefault="00C81F0E" w:rsidP="006D3F44">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Citas starptautiskās saistības</w:t>
            </w:r>
          </w:p>
        </w:tc>
        <w:tc>
          <w:tcPr>
            <w:tcW w:w="3516" w:type="pct"/>
            <w:hideMark/>
          </w:tcPr>
          <w:p w14:paraId="11C72194" w14:textId="77777777" w:rsidR="00C81F0E" w:rsidRPr="00620B46" w:rsidRDefault="00C81F0E" w:rsidP="006D3F44">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Noteikumu projekts šo jomu neskar.</w:t>
            </w:r>
          </w:p>
        </w:tc>
      </w:tr>
      <w:tr w:rsidR="00C41C73" w:rsidRPr="00620B46" w14:paraId="3F9D9DF0" w14:textId="77777777" w:rsidTr="00D52BB5">
        <w:tc>
          <w:tcPr>
            <w:tcW w:w="402" w:type="pct"/>
            <w:hideMark/>
          </w:tcPr>
          <w:p w14:paraId="3E59059D" w14:textId="77777777" w:rsidR="00C81F0E" w:rsidRPr="00620B46" w:rsidRDefault="00C81F0E" w:rsidP="006D3F44">
            <w:pPr>
              <w:spacing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w:t>
            </w:r>
          </w:p>
        </w:tc>
        <w:tc>
          <w:tcPr>
            <w:tcW w:w="1082" w:type="pct"/>
            <w:hideMark/>
          </w:tcPr>
          <w:p w14:paraId="78393B63" w14:textId="77777777" w:rsidR="00C81F0E" w:rsidRPr="00620B46" w:rsidRDefault="00C81F0E" w:rsidP="006D3F44">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3516" w:type="pct"/>
            <w:hideMark/>
          </w:tcPr>
          <w:p w14:paraId="46A83F9F" w14:textId="77777777" w:rsidR="00C81F0E" w:rsidRPr="00620B46" w:rsidRDefault="00C81F0E" w:rsidP="006D3F44">
            <w:pPr>
              <w:spacing w:after="0" w:line="240" w:lineRule="auto"/>
              <w:rPr>
                <w:rFonts w:ascii="Times New Roman" w:hAnsi="Times New Roman" w:cs="Times New Roman"/>
                <w:sz w:val="26"/>
                <w:szCs w:val="26"/>
              </w:rPr>
            </w:pPr>
            <w:r w:rsidRPr="00620B46">
              <w:rPr>
                <w:rFonts w:ascii="Times New Roman" w:hAnsi="Times New Roman" w:cs="Times New Roman"/>
                <w:sz w:val="26"/>
                <w:szCs w:val="26"/>
              </w:rPr>
              <w:t>Nav</w:t>
            </w:r>
          </w:p>
        </w:tc>
      </w:tr>
    </w:tbl>
    <w:p w14:paraId="1CC0DE9A" w14:textId="77777777" w:rsidR="00C81F0E" w:rsidRPr="00620B46" w:rsidRDefault="00C81F0E">
      <w:pPr>
        <w:rPr>
          <w:rFonts w:ascii="Times New Roman" w:hAnsi="Times New Roman" w:cs="Times New Roman"/>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A328C" w:rsidRPr="00620B46" w14:paraId="5F3722B3" w14:textId="77777777" w:rsidTr="009C5DBB">
        <w:tc>
          <w:tcPr>
            <w:tcW w:w="9217" w:type="dxa"/>
            <w:gridSpan w:val="4"/>
            <w:vAlign w:val="center"/>
            <w:hideMark/>
          </w:tcPr>
          <w:p w14:paraId="2E286854" w14:textId="77777777" w:rsidR="001F61CF" w:rsidRPr="00620B46" w:rsidRDefault="001F61CF" w:rsidP="006D3F44">
            <w:pPr>
              <w:spacing w:line="240" w:lineRule="auto"/>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lastRenderedPageBreak/>
              <w:t>1.tabula</w:t>
            </w:r>
            <w:r w:rsidRPr="00620B46">
              <w:rPr>
                <w:rFonts w:ascii="Times New Roman" w:eastAsia="Times New Roman" w:hAnsi="Times New Roman" w:cs="Times New Roman"/>
                <w:b/>
                <w:bCs/>
                <w:sz w:val="26"/>
                <w:szCs w:val="26"/>
                <w:lang w:eastAsia="lv-LV"/>
              </w:rPr>
              <w:br/>
              <w:t>Tiesību akta projekta atbilstība ES tiesību aktiem</w:t>
            </w:r>
          </w:p>
        </w:tc>
      </w:tr>
      <w:tr w:rsidR="006A328C" w:rsidRPr="00620B46" w14:paraId="5962CC5A" w14:textId="77777777" w:rsidTr="000E07F8">
        <w:tc>
          <w:tcPr>
            <w:tcW w:w="2755" w:type="dxa"/>
            <w:vAlign w:val="center"/>
            <w:hideMark/>
          </w:tcPr>
          <w:p w14:paraId="613B121B" w14:textId="77777777" w:rsidR="001F61CF" w:rsidRPr="00620B46" w:rsidRDefault="001F61CF" w:rsidP="006D3F44">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Attiecīgā ES tiesību akta datums, numurs un nosaukums</w:t>
            </w:r>
          </w:p>
        </w:tc>
        <w:tc>
          <w:tcPr>
            <w:tcW w:w="6462" w:type="dxa"/>
            <w:gridSpan w:val="3"/>
            <w:vAlign w:val="center"/>
            <w:hideMark/>
          </w:tcPr>
          <w:p w14:paraId="323270EC" w14:textId="0A936BC0" w:rsidR="006B25A5" w:rsidRPr="00620B46" w:rsidRDefault="006C7C81" w:rsidP="006D3F44">
            <w:pPr>
              <w:pStyle w:val="naiskr"/>
              <w:spacing w:before="0" w:after="0"/>
              <w:jc w:val="both"/>
              <w:rPr>
                <w:sz w:val="26"/>
                <w:szCs w:val="26"/>
                <w:lang w:eastAsia="en-US"/>
              </w:rPr>
            </w:pPr>
            <w:r w:rsidRPr="00620B46">
              <w:rPr>
                <w:sz w:val="26"/>
                <w:szCs w:val="26"/>
              </w:rPr>
              <w:t xml:space="preserve">Pamatnostādnes. </w:t>
            </w:r>
          </w:p>
          <w:p w14:paraId="5422E2C7" w14:textId="267CE795" w:rsidR="00172355" w:rsidRPr="00620B46" w:rsidRDefault="00172355" w:rsidP="006D3F44">
            <w:pPr>
              <w:pStyle w:val="naiskr"/>
              <w:spacing w:before="0" w:after="0"/>
              <w:jc w:val="both"/>
              <w:rPr>
                <w:sz w:val="26"/>
                <w:szCs w:val="26"/>
                <w:lang w:eastAsia="en-US"/>
              </w:rPr>
            </w:pPr>
          </w:p>
        </w:tc>
      </w:tr>
      <w:tr w:rsidR="006A328C" w:rsidRPr="00620B46" w14:paraId="6D920BB7" w14:textId="77777777" w:rsidTr="000E07F8">
        <w:tc>
          <w:tcPr>
            <w:tcW w:w="2755" w:type="dxa"/>
            <w:vAlign w:val="center"/>
            <w:hideMark/>
          </w:tcPr>
          <w:p w14:paraId="3E466D4A" w14:textId="77777777" w:rsidR="001F61CF" w:rsidRPr="00620B46" w:rsidRDefault="001F61CF" w:rsidP="006D3F44">
            <w:pPr>
              <w:spacing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A</w:t>
            </w:r>
          </w:p>
        </w:tc>
        <w:tc>
          <w:tcPr>
            <w:tcW w:w="2126" w:type="dxa"/>
            <w:vAlign w:val="center"/>
            <w:hideMark/>
          </w:tcPr>
          <w:p w14:paraId="2EDB8C7F" w14:textId="77777777" w:rsidR="001F61CF" w:rsidRPr="00620B46" w:rsidRDefault="001F61CF" w:rsidP="006D3F44">
            <w:pPr>
              <w:spacing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B</w:t>
            </w:r>
          </w:p>
        </w:tc>
        <w:tc>
          <w:tcPr>
            <w:tcW w:w="2020" w:type="dxa"/>
            <w:vAlign w:val="center"/>
            <w:hideMark/>
          </w:tcPr>
          <w:p w14:paraId="37A9AB18" w14:textId="77777777" w:rsidR="001F61CF" w:rsidRPr="00620B46" w:rsidRDefault="001F61CF" w:rsidP="006D3F44">
            <w:pPr>
              <w:spacing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w:t>
            </w:r>
          </w:p>
        </w:tc>
        <w:tc>
          <w:tcPr>
            <w:tcW w:w="2316" w:type="dxa"/>
            <w:vAlign w:val="center"/>
            <w:hideMark/>
          </w:tcPr>
          <w:p w14:paraId="03159216" w14:textId="77777777" w:rsidR="001F61CF" w:rsidRPr="00620B46" w:rsidRDefault="001F61CF" w:rsidP="006D3F44">
            <w:pPr>
              <w:spacing w:line="240" w:lineRule="auto"/>
              <w:jc w:val="center"/>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D</w:t>
            </w:r>
          </w:p>
        </w:tc>
      </w:tr>
      <w:tr w:rsidR="006A328C" w:rsidRPr="00620B46" w14:paraId="17068D14" w14:textId="77777777" w:rsidTr="000E07F8">
        <w:tc>
          <w:tcPr>
            <w:tcW w:w="2755" w:type="dxa"/>
            <w:hideMark/>
          </w:tcPr>
          <w:p w14:paraId="16D84E64"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 xml:space="preserve">Attiecīgā ES tiesību akta panta numurs (uzskaitot katru tiesību akta </w:t>
            </w:r>
            <w:r w:rsidRPr="00620B46">
              <w:rPr>
                <w:sz w:val="26"/>
                <w:szCs w:val="26"/>
                <w:lang w:eastAsia="en-US"/>
              </w:rPr>
              <w:br/>
              <w:t>vienību – pantu, daļu, punktu, apakšpunktu)</w:t>
            </w:r>
          </w:p>
        </w:tc>
        <w:tc>
          <w:tcPr>
            <w:tcW w:w="2126" w:type="dxa"/>
            <w:hideMark/>
          </w:tcPr>
          <w:p w14:paraId="034413E5"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Projekta vienība, kas pārņem vai ievieš katru šīs tabulas A ailē minēto ES tiesību akta vienību</w:t>
            </w:r>
          </w:p>
        </w:tc>
        <w:tc>
          <w:tcPr>
            <w:tcW w:w="2020" w:type="dxa"/>
            <w:hideMark/>
          </w:tcPr>
          <w:p w14:paraId="65BBE931"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Informācija par to, vai šīs tabulas A ailē minētās ES tiesību akta vienības tiek pārņemtas vai ieviestas pilnībā vai daļēji.</w:t>
            </w:r>
          </w:p>
          <w:p w14:paraId="74EDF50F"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14:paraId="67DF45BF"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Norāda institūciju, kas ir atbildīga par šo saistību izpildi pilnībā</w:t>
            </w:r>
          </w:p>
        </w:tc>
        <w:tc>
          <w:tcPr>
            <w:tcW w:w="2316" w:type="dxa"/>
            <w:hideMark/>
          </w:tcPr>
          <w:p w14:paraId="7B838F9E"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Informācija par to, vai šīs tabulas B ailē minētās projekta vienības paredz stingrākas prasības nekā šīs tabulas A ailē minētās ES tiesību akta vienības.</w:t>
            </w:r>
          </w:p>
          <w:p w14:paraId="01299B6F"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Ja projekts satur stingrākas prasības nekā attiecīgais ES tiesību akts, – norāda pamatojumu un samērīgumu.</w:t>
            </w:r>
          </w:p>
          <w:p w14:paraId="343CAEB1" w14:textId="77777777" w:rsidR="001F61CF" w:rsidRPr="00620B46" w:rsidRDefault="001F61CF" w:rsidP="006D3F44">
            <w:pPr>
              <w:pStyle w:val="naiskr"/>
              <w:spacing w:before="0" w:after="0"/>
              <w:jc w:val="both"/>
              <w:rPr>
                <w:sz w:val="26"/>
                <w:szCs w:val="26"/>
                <w:lang w:eastAsia="en-US"/>
              </w:rPr>
            </w:pPr>
            <w:r w:rsidRPr="00620B46">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CF55B6" w:rsidRPr="00620B46" w14:paraId="2D6E1CBE" w14:textId="77777777" w:rsidTr="00F40B87">
        <w:tc>
          <w:tcPr>
            <w:tcW w:w="2755" w:type="dxa"/>
            <w:vAlign w:val="center"/>
          </w:tcPr>
          <w:p w14:paraId="715EEFE6" w14:textId="212B06E6"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Komisijas regula</w:t>
            </w:r>
            <w:r>
              <w:rPr>
                <w:rFonts w:ascii="Times New Roman" w:eastAsia="Times New Roman" w:hAnsi="Times New Roman" w:cs="Times New Roman"/>
                <w:sz w:val="26"/>
                <w:szCs w:val="26"/>
                <w:lang w:eastAsia="lv-LV"/>
              </w:rPr>
              <w:t>s</w:t>
            </w:r>
            <w:r w:rsidRPr="00CF55B6">
              <w:rPr>
                <w:rFonts w:ascii="Times New Roman" w:eastAsia="Times New Roman" w:hAnsi="Times New Roman" w:cs="Times New Roman"/>
                <w:sz w:val="26"/>
                <w:szCs w:val="26"/>
                <w:lang w:eastAsia="lv-LV"/>
              </w:rPr>
              <w:t xml:space="preserve"> Nr. 480/2014) 1. pielikum</w:t>
            </w:r>
            <w:r>
              <w:rPr>
                <w:rFonts w:ascii="Times New Roman" w:eastAsia="Times New Roman" w:hAnsi="Times New Roman" w:cs="Times New Roman"/>
                <w:sz w:val="26"/>
                <w:szCs w:val="26"/>
                <w:lang w:eastAsia="lv-LV"/>
              </w:rPr>
              <w:t>s</w:t>
            </w:r>
          </w:p>
        </w:tc>
        <w:tc>
          <w:tcPr>
            <w:tcW w:w="2126" w:type="dxa"/>
          </w:tcPr>
          <w:p w14:paraId="62263284" w14:textId="60AA2F81"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 xml:space="preserve">Noteikumu projekta </w:t>
            </w:r>
            <w:r>
              <w:rPr>
                <w:rFonts w:ascii="Times New Roman" w:eastAsia="Times New Roman" w:hAnsi="Times New Roman" w:cs="Times New Roman"/>
                <w:sz w:val="26"/>
                <w:szCs w:val="26"/>
                <w:lang w:eastAsia="lv-LV"/>
              </w:rPr>
              <w:t>1. punkts</w:t>
            </w:r>
          </w:p>
        </w:tc>
        <w:tc>
          <w:tcPr>
            <w:tcW w:w="2020" w:type="dxa"/>
          </w:tcPr>
          <w:p w14:paraId="6E6CE005" w14:textId="69DBB3E2"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ieviesta pilnībā</w:t>
            </w:r>
          </w:p>
        </w:tc>
        <w:tc>
          <w:tcPr>
            <w:tcW w:w="2316" w:type="dxa"/>
          </w:tcPr>
          <w:p w14:paraId="61DB1980" w14:textId="2C90D1C0"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neparedz stingrākas prasības</w:t>
            </w:r>
          </w:p>
        </w:tc>
      </w:tr>
      <w:tr w:rsidR="00CF55B6" w:rsidRPr="00620B46" w14:paraId="0292AF24" w14:textId="77777777" w:rsidTr="00F40B87">
        <w:tc>
          <w:tcPr>
            <w:tcW w:w="2755" w:type="dxa"/>
            <w:vAlign w:val="center"/>
          </w:tcPr>
          <w:p w14:paraId="5C866254" w14:textId="1D4A34B6"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Komisijas regula</w:t>
            </w:r>
            <w:r>
              <w:rPr>
                <w:rFonts w:ascii="Times New Roman" w:eastAsia="Times New Roman" w:hAnsi="Times New Roman" w:cs="Times New Roman"/>
                <w:sz w:val="26"/>
                <w:szCs w:val="26"/>
                <w:lang w:eastAsia="lv-LV"/>
              </w:rPr>
              <w:t>s</w:t>
            </w:r>
            <w:r w:rsidRPr="00CF55B6">
              <w:rPr>
                <w:rFonts w:ascii="Times New Roman" w:eastAsia="Times New Roman" w:hAnsi="Times New Roman" w:cs="Times New Roman"/>
                <w:sz w:val="26"/>
                <w:szCs w:val="26"/>
                <w:lang w:eastAsia="lv-LV"/>
              </w:rPr>
              <w:t xml:space="preserve"> Nr. 480/2014) 1. pielikum</w:t>
            </w:r>
            <w:r>
              <w:rPr>
                <w:rFonts w:ascii="Times New Roman" w:eastAsia="Times New Roman" w:hAnsi="Times New Roman" w:cs="Times New Roman"/>
                <w:sz w:val="26"/>
                <w:szCs w:val="26"/>
                <w:lang w:eastAsia="lv-LV"/>
              </w:rPr>
              <w:t>s</w:t>
            </w:r>
          </w:p>
        </w:tc>
        <w:tc>
          <w:tcPr>
            <w:tcW w:w="2126" w:type="dxa"/>
          </w:tcPr>
          <w:p w14:paraId="2A771EF6" w14:textId="5A60FB14"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 xml:space="preserve">Noteikumu projekta </w:t>
            </w:r>
            <w:r>
              <w:rPr>
                <w:rFonts w:ascii="Times New Roman" w:eastAsia="Times New Roman" w:hAnsi="Times New Roman" w:cs="Times New Roman"/>
                <w:sz w:val="26"/>
                <w:szCs w:val="26"/>
                <w:lang w:eastAsia="lv-LV"/>
              </w:rPr>
              <w:t>2. punkts</w:t>
            </w:r>
          </w:p>
        </w:tc>
        <w:tc>
          <w:tcPr>
            <w:tcW w:w="2020" w:type="dxa"/>
          </w:tcPr>
          <w:p w14:paraId="36EB932B" w14:textId="7DC6E50C"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ieviesta pilnībā</w:t>
            </w:r>
          </w:p>
        </w:tc>
        <w:tc>
          <w:tcPr>
            <w:tcW w:w="2316" w:type="dxa"/>
          </w:tcPr>
          <w:p w14:paraId="06799D42" w14:textId="524DFED6" w:rsidR="00CF55B6" w:rsidRPr="00620B46" w:rsidRDefault="00CF55B6" w:rsidP="00CF55B6">
            <w:pPr>
              <w:spacing w:before="10" w:after="0" w:line="240" w:lineRule="auto"/>
              <w:ind w:left="113" w:right="113"/>
              <w:jc w:val="both"/>
              <w:rPr>
                <w:rFonts w:ascii="Times New Roman" w:eastAsia="Times New Roman" w:hAnsi="Times New Roman" w:cs="Times New Roman"/>
                <w:sz w:val="26"/>
                <w:szCs w:val="26"/>
                <w:lang w:eastAsia="lv-LV"/>
              </w:rPr>
            </w:pPr>
            <w:r w:rsidRPr="00CF55B6">
              <w:rPr>
                <w:rFonts w:ascii="Times New Roman" w:eastAsia="Times New Roman" w:hAnsi="Times New Roman" w:cs="Times New Roman"/>
                <w:sz w:val="26"/>
                <w:szCs w:val="26"/>
                <w:lang w:eastAsia="lv-LV"/>
              </w:rPr>
              <w:t>neparedz stingrākas prasības</w:t>
            </w:r>
          </w:p>
        </w:tc>
      </w:tr>
      <w:tr w:rsidR="00CF55B6" w:rsidRPr="00620B46" w14:paraId="316E6BE7" w14:textId="77777777" w:rsidTr="00FB5C08">
        <w:trPr>
          <w:trHeight w:val="805"/>
        </w:trPr>
        <w:tc>
          <w:tcPr>
            <w:tcW w:w="2755" w:type="dxa"/>
            <w:vAlign w:val="center"/>
            <w:hideMark/>
          </w:tcPr>
          <w:p w14:paraId="3E8A4E9A" w14:textId="77777777" w:rsidR="00CF55B6" w:rsidRPr="00620B46" w:rsidRDefault="00CF55B6" w:rsidP="00CF55B6">
            <w:pPr>
              <w:spacing w:line="240" w:lineRule="auto"/>
              <w:ind w:left="174" w:right="149"/>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Kā ir izmantota ES tiesību aktā paredzētā rīcības brīvība dalībvalstij pārņemt vai ieviest noteiktas </w:t>
            </w:r>
            <w:r w:rsidRPr="00620B46">
              <w:rPr>
                <w:rFonts w:ascii="Times New Roman" w:eastAsia="Times New Roman" w:hAnsi="Times New Roman" w:cs="Times New Roman"/>
                <w:sz w:val="26"/>
                <w:szCs w:val="26"/>
                <w:lang w:eastAsia="lv-LV"/>
              </w:rPr>
              <w:lastRenderedPageBreak/>
              <w:t>ES tiesību akta normas.</w:t>
            </w:r>
          </w:p>
        </w:tc>
        <w:tc>
          <w:tcPr>
            <w:tcW w:w="6462" w:type="dxa"/>
            <w:gridSpan w:val="3"/>
            <w:hideMark/>
          </w:tcPr>
          <w:p w14:paraId="5AF62ECE" w14:textId="49637A5D" w:rsidR="00CF55B6" w:rsidRPr="00620B46" w:rsidRDefault="00CF55B6" w:rsidP="00CF55B6">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Noteikumu projekts šo jomu neskar.</w:t>
            </w:r>
          </w:p>
        </w:tc>
      </w:tr>
      <w:tr w:rsidR="00CF55B6" w:rsidRPr="00620B46" w14:paraId="58E52448" w14:textId="77777777" w:rsidTr="000E07F8">
        <w:trPr>
          <w:trHeight w:val="2934"/>
        </w:trPr>
        <w:tc>
          <w:tcPr>
            <w:tcW w:w="2755" w:type="dxa"/>
            <w:vAlign w:val="center"/>
            <w:hideMark/>
          </w:tcPr>
          <w:p w14:paraId="742E594D" w14:textId="77777777" w:rsidR="00CF55B6" w:rsidRPr="00620B46" w:rsidRDefault="00CF55B6" w:rsidP="00CF55B6">
            <w:pPr>
              <w:spacing w:line="240" w:lineRule="auto"/>
              <w:ind w:left="174" w:right="149"/>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E5BF579" w14:textId="085A26DE" w:rsidR="00CF55B6" w:rsidRPr="00620B46" w:rsidRDefault="00CF55B6" w:rsidP="00CF55B6">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Noteikumu projekts šo jomu neskar.</w:t>
            </w:r>
          </w:p>
        </w:tc>
      </w:tr>
      <w:tr w:rsidR="00CF55B6" w:rsidRPr="00620B46" w14:paraId="0AEF7A3A" w14:textId="77777777" w:rsidTr="000E07F8">
        <w:tc>
          <w:tcPr>
            <w:tcW w:w="2755" w:type="dxa"/>
            <w:hideMark/>
          </w:tcPr>
          <w:p w14:paraId="69ADCBC6" w14:textId="77777777" w:rsidR="00CF55B6" w:rsidRPr="00620B46" w:rsidRDefault="00CF55B6" w:rsidP="00CF55B6">
            <w:pPr>
              <w:spacing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6462" w:type="dxa"/>
            <w:gridSpan w:val="3"/>
            <w:hideMark/>
          </w:tcPr>
          <w:p w14:paraId="4B6F612B" w14:textId="7011AD1A" w:rsidR="00CF55B6" w:rsidRPr="00620B46" w:rsidRDefault="00CF55B6" w:rsidP="00CF55B6">
            <w:pPr>
              <w:spacing w:line="240" w:lineRule="auto"/>
              <w:jc w:val="both"/>
              <w:rPr>
                <w:rFonts w:ascii="Times New Roman" w:hAnsi="Times New Roman" w:cs="Times New Roman"/>
                <w:sz w:val="26"/>
                <w:szCs w:val="26"/>
              </w:rPr>
            </w:pPr>
            <w:r w:rsidRPr="00620B46">
              <w:rPr>
                <w:rFonts w:ascii="Times New Roman" w:eastAsia="Times New Roman" w:hAnsi="Times New Roman" w:cs="Times New Roman"/>
                <w:sz w:val="26"/>
                <w:szCs w:val="26"/>
                <w:lang w:eastAsia="lv-LV"/>
              </w:rPr>
              <w:t xml:space="preserve">Ar noteikumu projektu tiek ieviesti Pamatnostādņu nosacījumi, tai skaitā Pamatnostādņu 20. un 25. punktā iekļauto </w:t>
            </w:r>
            <w:r w:rsidRPr="00620B46">
              <w:rPr>
                <w:rFonts w:ascii="Times New Roman" w:hAnsi="Times New Roman" w:cs="Times New Roman"/>
                <w:sz w:val="26"/>
                <w:szCs w:val="26"/>
              </w:rPr>
              <w:t xml:space="preserve">normu pārņemšana. </w:t>
            </w:r>
          </w:p>
        </w:tc>
      </w:tr>
    </w:tbl>
    <w:p w14:paraId="726CAB81" w14:textId="77777777" w:rsidR="00D63DD1" w:rsidRPr="00620B46" w:rsidRDefault="00D63DD1">
      <w:pPr>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3767CF" w:rsidRPr="00620B46" w14:paraId="1B50AC91" w14:textId="77777777" w:rsidTr="000C2EC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78C600" w14:textId="09D9D6C3" w:rsidR="003767CF" w:rsidRPr="00620B46" w:rsidRDefault="003767CF" w:rsidP="000C2ECF">
            <w:pPr>
              <w:spacing w:after="0" w:line="240" w:lineRule="auto"/>
              <w:ind w:firstLine="300"/>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VI. Sabiedrības līdzdalība un komunikācijas aktivitātes</w:t>
            </w:r>
          </w:p>
        </w:tc>
      </w:tr>
      <w:tr w:rsidR="003767CF" w:rsidRPr="00620B46" w14:paraId="0F5CC774" w14:textId="77777777" w:rsidTr="001B7DD8">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00F903DB" w14:textId="77777777" w:rsidR="003767CF" w:rsidRPr="00620B46" w:rsidRDefault="003767CF" w:rsidP="003767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3CDB0C06" w14:textId="77777777" w:rsidR="003767CF" w:rsidRPr="00620B46"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Plānotās sabiedrības līdzdalības</w:t>
            </w:r>
          </w:p>
          <w:p w14:paraId="6C159F7B" w14:textId="2AE7A38D" w:rsidR="003767CF" w:rsidRPr="00620B46" w:rsidRDefault="003767CF" w:rsidP="003767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04853086" w14:textId="77777777" w:rsidR="003767CF" w:rsidRPr="00620B46" w:rsidRDefault="00E93686" w:rsidP="003767CF">
            <w:pPr>
              <w:spacing w:after="0" w:line="240" w:lineRule="auto"/>
              <w:jc w:val="both"/>
              <w:rPr>
                <w:rFonts w:ascii="Times New Roman" w:hAnsi="Times New Roman" w:cs="Times New Roman"/>
                <w:spacing w:val="2"/>
                <w:sz w:val="26"/>
                <w:szCs w:val="26"/>
              </w:rPr>
            </w:pPr>
            <w:r w:rsidRPr="00620B46">
              <w:rPr>
                <w:rFonts w:ascii="Times New Roman" w:hAnsi="Times New Roman" w:cs="Times New Roman"/>
                <w:spacing w:val="2"/>
                <w:sz w:val="26"/>
                <w:szCs w:val="26"/>
              </w:rPr>
              <w:t>Izstrādātais noteikumu projekts ir ievietots tīmekļa vietnē www.izm.gov.lv (sadaļā Normatīvie akti / Normatīvo aktu projekti).</w:t>
            </w:r>
          </w:p>
          <w:p w14:paraId="149410FF" w14:textId="313410C6" w:rsidR="00747437" w:rsidRPr="00620B46" w:rsidRDefault="00AB171F" w:rsidP="00AB171F">
            <w:pPr>
              <w:spacing w:after="0" w:line="240" w:lineRule="auto"/>
              <w:jc w:val="both"/>
              <w:rPr>
                <w:rFonts w:ascii="Times New Roman" w:eastAsia="Times New Roman" w:hAnsi="Times New Roman" w:cs="Times New Roman"/>
                <w:sz w:val="26"/>
                <w:szCs w:val="26"/>
                <w:lang w:eastAsia="lv-LV"/>
              </w:rPr>
            </w:pPr>
            <w:r w:rsidRPr="00620B46">
              <w:rPr>
                <w:rFonts w:ascii="Times New Roman" w:hAnsi="Times New Roman" w:cs="Times New Roman"/>
                <w:spacing w:val="2"/>
                <w:sz w:val="26"/>
                <w:szCs w:val="26"/>
              </w:rPr>
              <w:t>Finansējuma saņēmējiem</w:t>
            </w:r>
            <w:r w:rsidR="00747437" w:rsidRPr="00620B46">
              <w:rPr>
                <w:rFonts w:ascii="Times New Roman" w:hAnsi="Times New Roman" w:cs="Times New Roman"/>
                <w:spacing w:val="2"/>
                <w:sz w:val="26"/>
                <w:szCs w:val="26"/>
              </w:rPr>
              <w:t xml:space="preserve"> un sabiedrībai sniegta informācija par plānotajām izmaiņām</w:t>
            </w:r>
            <w:r w:rsidRPr="00620B46">
              <w:rPr>
                <w:rFonts w:ascii="Times New Roman" w:hAnsi="Times New Roman" w:cs="Times New Roman"/>
                <w:spacing w:val="2"/>
                <w:sz w:val="26"/>
                <w:szCs w:val="26"/>
              </w:rPr>
              <w:t>.</w:t>
            </w:r>
            <w:r w:rsidR="00747437" w:rsidRPr="00620B46">
              <w:rPr>
                <w:rFonts w:ascii="Times New Roman" w:hAnsi="Times New Roman" w:cs="Times New Roman"/>
                <w:spacing w:val="2"/>
                <w:sz w:val="26"/>
                <w:szCs w:val="26"/>
              </w:rPr>
              <w:t xml:space="preserve"> </w:t>
            </w:r>
          </w:p>
        </w:tc>
      </w:tr>
      <w:tr w:rsidR="003767CF" w:rsidRPr="00620B46" w14:paraId="562A1AAA" w14:textId="77777777" w:rsidTr="001B7DD8">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755C652F" w14:textId="77777777" w:rsidR="003767CF" w:rsidRPr="00620B46" w:rsidRDefault="003767CF"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62C16B21" w14:textId="77777777" w:rsidR="003767CF" w:rsidRPr="00620B46"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Sabiedrības līdzdalība projekta</w:t>
            </w:r>
          </w:p>
          <w:p w14:paraId="215A4A56" w14:textId="3137C308" w:rsidR="003767CF" w:rsidRPr="00620B46" w:rsidRDefault="003767CF" w:rsidP="003767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izstrādē</w:t>
            </w:r>
          </w:p>
        </w:tc>
        <w:tc>
          <w:tcPr>
            <w:tcW w:w="2924" w:type="pct"/>
            <w:tcBorders>
              <w:top w:val="outset" w:sz="6" w:space="0" w:color="414142"/>
              <w:left w:val="outset" w:sz="6" w:space="0" w:color="414142"/>
              <w:bottom w:val="outset" w:sz="6" w:space="0" w:color="414142"/>
              <w:right w:val="outset" w:sz="6" w:space="0" w:color="414142"/>
            </w:tcBorders>
          </w:tcPr>
          <w:p w14:paraId="50FB5CF6" w14:textId="58F35EE4" w:rsidR="003767CF" w:rsidRPr="00620B46" w:rsidRDefault="00E93686" w:rsidP="000C2ECF">
            <w:pPr>
              <w:spacing w:after="0" w:line="240" w:lineRule="auto"/>
              <w:jc w:val="both"/>
              <w:rPr>
                <w:rFonts w:ascii="Times New Roman" w:eastAsia="Times New Roman" w:hAnsi="Times New Roman" w:cs="Times New Roman"/>
                <w:sz w:val="26"/>
                <w:szCs w:val="26"/>
                <w:lang w:eastAsia="lv-LV"/>
              </w:rPr>
            </w:pPr>
            <w:r w:rsidRPr="00620B46">
              <w:rPr>
                <w:rFonts w:ascii="Times New Roman" w:hAnsi="Times New Roman" w:cs="Times New Roman"/>
                <w:bCs/>
                <w:sz w:val="26"/>
                <w:szCs w:val="26"/>
                <w:lang w:eastAsia="lv-LV"/>
              </w:rPr>
              <w:t xml:space="preserve">Sabiedrības līdzdalība MK noteikumu projekta izstrādē tika nodrošināta, ievietojot MK noteikumu projektu IZM tīmekļa vietnē </w:t>
            </w:r>
            <w:hyperlink r:id="rId10" w:history="1">
              <w:r w:rsidRPr="00620B46">
                <w:rPr>
                  <w:rStyle w:val="Hyperlink"/>
                  <w:rFonts w:ascii="Times New Roman" w:hAnsi="Times New Roman" w:cs="Times New Roman"/>
                  <w:bCs/>
                  <w:sz w:val="26"/>
                  <w:szCs w:val="26"/>
                  <w:lang w:eastAsia="lv-LV"/>
                </w:rPr>
                <w:t>www.izm.gov.lv</w:t>
              </w:r>
            </w:hyperlink>
            <w:r w:rsidRPr="00620B46">
              <w:rPr>
                <w:rFonts w:ascii="Times New Roman" w:hAnsi="Times New Roman" w:cs="Times New Roman"/>
                <w:bCs/>
                <w:sz w:val="26"/>
                <w:szCs w:val="26"/>
                <w:lang w:eastAsia="lv-LV"/>
              </w:rPr>
              <w:t xml:space="preserve"> un aicinot sabiedrības pārstāvjus sniegt viedokli.</w:t>
            </w:r>
          </w:p>
        </w:tc>
      </w:tr>
      <w:tr w:rsidR="003767CF" w:rsidRPr="00620B46" w14:paraId="726577E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284DC8AC" w14:textId="77777777" w:rsidR="003767CF" w:rsidRPr="00620B46" w:rsidRDefault="003767CF"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4B182AF3" w14:textId="2FBE633C" w:rsidR="003767CF" w:rsidRPr="00620B46" w:rsidRDefault="003767CF"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79349C84" w14:textId="66E69F03" w:rsidR="003767CF" w:rsidRPr="00620B46" w:rsidRDefault="00747437" w:rsidP="00AB171F">
            <w:pPr>
              <w:spacing w:after="0" w:line="240" w:lineRule="auto"/>
              <w:rPr>
                <w:rFonts w:ascii="Times New Roman" w:eastAsia="Times New Roman" w:hAnsi="Times New Roman" w:cs="Times New Roman"/>
                <w:sz w:val="26"/>
                <w:szCs w:val="26"/>
                <w:lang w:eastAsia="lv-LV"/>
              </w:rPr>
            </w:pPr>
            <w:r w:rsidRPr="00620B46">
              <w:rPr>
                <w:rFonts w:ascii="Times New Roman" w:hAnsi="Times New Roman" w:cs="Times New Roman"/>
                <w:iCs/>
                <w:sz w:val="26"/>
                <w:szCs w:val="26"/>
              </w:rPr>
              <w:t xml:space="preserve">No Latvijas Universitāšu asociācijas </w:t>
            </w:r>
            <w:r w:rsidR="00AB171F" w:rsidRPr="00620B46">
              <w:rPr>
                <w:rFonts w:ascii="Times New Roman" w:hAnsi="Times New Roman" w:cs="Times New Roman"/>
                <w:iCs/>
                <w:sz w:val="26"/>
                <w:szCs w:val="26"/>
              </w:rPr>
              <w:t xml:space="preserve">plānots </w:t>
            </w:r>
            <w:r w:rsidRPr="00620B46">
              <w:rPr>
                <w:rFonts w:ascii="Times New Roman" w:hAnsi="Times New Roman" w:cs="Times New Roman"/>
                <w:iCs/>
                <w:sz w:val="26"/>
                <w:szCs w:val="26"/>
              </w:rPr>
              <w:t xml:space="preserve">saņemt </w:t>
            </w:r>
            <w:r w:rsidR="00E93686" w:rsidRPr="00620B46">
              <w:rPr>
                <w:rFonts w:ascii="Times New Roman" w:hAnsi="Times New Roman" w:cs="Times New Roman"/>
                <w:iCs/>
                <w:sz w:val="26"/>
                <w:szCs w:val="26"/>
              </w:rPr>
              <w:t>ierosinājum</w:t>
            </w:r>
            <w:r w:rsidR="00AB171F" w:rsidRPr="00620B46">
              <w:rPr>
                <w:rFonts w:ascii="Times New Roman" w:hAnsi="Times New Roman" w:cs="Times New Roman"/>
                <w:iCs/>
                <w:sz w:val="26"/>
                <w:szCs w:val="26"/>
              </w:rPr>
              <w:t>us</w:t>
            </w:r>
            <w:r w:rsidR="00E93686" w:rsidRPr="00620B46">
              <w:rPr>
                <w:rFonts w:ascii="Times New Roman" w:hAnsi="Times New Roman" w:cs="Times New Roman"/>
                <w:iCs/>
                <w:sz w:val="26"/>
                <w:szCs w:val="26"/>
              </w:rPr>
              <w:t xml:space="preserve"> </w:t>
            </w:r>
            <w:r w:rsidRPr="00620B46">
              <w:rPr>
                <w:rFonts w:ascii="Times New Roman" w:hAnsi="Times New Roman" w:cs="Times New Roman"/>
                <w:iCs/>
                <w:sz w:val="26"/>
                <w:szCs w:val="26"/>
              </w:rPr>
              <w:t>noteikumu projekta pilnveidei</w:t>
            </w:r>
            <w:r w:rsidR="00E93686" w:rsidRPr="00620B46">
              <w:rPr>
                <w:rFonts w:ascii="Times New Roman" w:hAnsi="Times New Roman" w:cs="Times New Roman"/>
                <w:iCs/>
                <w:sz w:val="26"/>
                <w:szCs w:val="26"/>
              </w:rPr>
              <w:t>.</w:t>
            </w:r>
          </w:p>
        </w:tc>
      </w:tr>
      <w:tr w:rsidR="003767CF" w:rsidRPr="00620B46" w14:paraId="5348E4C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tcPr>
          <w:p w14:paraId="23FFCAF6" w14:textId="19DE2CC2" w:rsidR="003767CF" w:rsidRPr="00620B46" w:rsidRDefault="003767CF"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4.</w:t>
            </w:r>
          </w:p>
        </w:tc>
        <w:tc>
          <w:tcPr>
            <w:tcW w:w="1844" w:type="pct"/>
            <w:tcBorders>
              <w:top w:val="outset" w:sz="6" w:space="0" w:color="414142"/>
              <w:left w:val="outset" w:sz="6" w:space="0" w:color="414142"/>
              <w:bottom w:val="outset" w:sz="6" w:space="0" w:color="414142"/>
              <w:right w:val="outset" w:sz="6" w:space="0" w:color="414142"/>
            </w:tcBorders>
          </w:tcPr>
          <w:p w14:paraId="271A0474" w14:textId="58EFA3A3" w:rsidR="003767CF" w:rsidRPr="00620B46" w:rsidRDefault="003767CF"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2C299BC0" w14:textId="05B7C54C" w:rsidR="003767CF" w:rsidRPr="00620B46" w:rsidRDefault="00E93686" w:rsidP="000C2ECF">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Nav.</w:t>
            </w:r>
          </w:p>
        </w:tc>
      </w:tr>
    </w:tbl>
    <w:p w14:paraId="0A4577BF" w14:textId="77777777" w:rsidR="00E306D9" w:rsidRPr="00620B46" w:rsidRDefault="00E306D9" w:rsidP="00AD014F">
      <w:pPr>
        <w:spacing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6A328C" w:rsidRPr="00620B46" w14:paraId="5FA24A05" w14:textId="77777777"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2A58EC" w14:textId="77777777" w:rsidR="004D15A9" w:rsidRPr="00620B4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20B46">
              <w:rPr>
                <w:rFonts w:ascii="Times New Roman" w:eastAsia="Times New Roman" w:hAnsi="Times New Roman" w:cs="Times New Roman"/>
                <w:b/>
                <w:bCs/>
                <w:sz w:val="26"/>
                <w:szCs w:val="26"/>
                <w:lang w:eastAsia="lv-LV"/>
              </w:rPr>
              <w:t>VII. Tiesību akta projekta izpildes nodrošināšana un tās ietekme uz institūcijām</w:t>
            </w:r>
          </w:p>
        </w:tc>
      </w:tr>
      <w:tr w:rsidR="006A328C" w:rsidRPr="00620B46" w14:paraId="1C9003B5" w14:textId="77777777"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6FFE9E6B" w14:textId="77777777" w:rsidR="000064B9" w:rsidRPr="00620B46" w:rsidRDefault="000064B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161071B3" w14:textId="77777777" w:rsidR="000064B9" w:rsidRPr="00620B46" w:rsidRDefault="000064B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14:paraId="0FE69933" w14:textId="77777777" w:rsidR="000064B9" w:rsidRPr="00620B46" w:rsidRDefault="000064B9" w:rsidP="0079097A">
            <w:pPr>
              <w:spacing w:after="0"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Projekta izpildi nodrošinās </w:t>
            </w:r>
            <w:r w:rsidR="00A1555D" w:rsidRPr="00620B46">
              <w:rPr>
                <w:rFonts w:ascii="Times New Roman" w:eastAsia="Times New Roman" w:hAnsi="Times New Roman" w:cs="Times New Roman"/>
                <w:sz w:val="26"/>
                <w:szCs w:val="26"/>
                <w:lang w:eastAsia="lv-LV"/>
              </w:rPr>
              <w:t xml:space="preserve">Izglītības un </w:t>
            </w:r>
            <w:r w:rsidR="00F926D3" w:rsidRPr="00620B46">
              <w:rPr>
                <w:rFonts w:ascii="Times New Roman" w:eastAsia="Times New Roman" w:hAnsi="Times New Roman" w:cs="Times New Roman"/>
                <w:sz w:val="26"/>
                <w:szCs w:val="26"/>
                <w:lang w:eastAsia="lv-LV"/>
              </w:rPr>
              <w:t>zinātnes ministrija</w:t>
            </w:r>
            <w:r w:rsidRPr="00620B46">
              <w:rPr>
                <w:rFonts w:ascii="Times New Roman" w:eastAsia="Times New Roman" w:hAnsi="Times New Roman" w:cs="Times New Roman"/>
                <w:sz w:val="26"/>
                <w:szCs w:val="26"/>
                <w:lang w:eastAsia="lv-LV"/>
              </w:rPr>
              <w:t xml:space="preserve">, </w:t>
            </w:r>
            <w:r w:rsidR="0079097A" w:rsidRPr="00620B46">
              <w:rPr>
                <w:rFonts w:ascii="Times New Roman" w:eastAsia="Times New Roman" w:hAnsi="Times New Roman" w:cs="Times New Roman"/>
                <w:sz w:val="26"/>
                <w:szCs w:val="26"/>
                <w:lang w:eastAsia="lv-LV"/>
              </w:rPr>
              <w:t>sadarbības iestāde</w:t>
            </w:r>
            <w:r w:rsidR="00340C2A" w:rsidRPr="00620B46">
              <w:rPr>
                <w:rFonts w:ascii="Times New Roman" w:eastAsia="Times New Roman" w:hAnsi="Times New Roman" w:cs="Times New Roman"/>
                <w:sz w:val="26"/>
                <w:szCs w:val="26"/>
                <w:lang w:eastAsia="lv-LV"/>
              </w:rPr>
              <w:t xml:space="preserve"> </w:t>
            </w:r>
            <w:r w:rsidRPr="00620B46">
              <w:rPr>
                <w:rFonts w:ascii="Times New Roman" w:eastAsia="Times New Roman" w:hAnsi="Times New Roman" w:cs="Times New Roman"/>
                <w:sz w:val="26"/>
                <w:szCs w:val="26"/>
                <w:lang w:eastAsia="lv-LV"/>
              </w:rPr>
              <w:t>un labuma guvēji.</w:t>
            </w:r>
          </w:p>
        </w:tc>
      </w:tr>
      <w:tr w:rsidR="006A328C" w:rsidRPr="00620B46" w14:paraId="01866C39" w14:textId="77777777"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5BEB09D9" w14:textId="77777777" w:rsidR="000064B9" w:rsidRPr="00620B46" w:rsidRDefault="000064B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lastRenderedPageBreak/>
              <w:t>2.</w:t>
            </w:r>
          </w:p>
        </w:tc>
        <w:tc>
          <w:tcPr>
            <w:tcW w:w="1844" w:type="pct"/>
            <w:tcBorders>
              <w:top w:val="outset" w:sz="6" w:space="0" w:color="414142"/>
              <w:left w:val="outset" w:sz="6" w:space="0" w:color="414142"/>
              <w:bottom w:val="outset" w:sz="6" w:space="0" w:color="414142"/>
              <w:right w:val="outset" w:sz="6" w:space="0" w:color="414142"/>
            </w:tcBorders>
            <w:hideMark/>
          </w:tcPr>
          <w:p w14:paraId="62E5B487" w14:textId="77777777" w:rsidR="000064B9" w:rsidRPr="00620B46" w:rsidRDefault="000064B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Projekta izpildes ietekme uz pārvaldes funkcijām un institucionālo struktūru. </w:t>
            </w:r>
          </w:p>
          <w:p w14:paraId="214B920F" w14:textId="77777777" w:rsidR="000064B9" w:rsidRPr="00620B46" w:rsidRDefault="000064B9" w:rsidP="00AB6B1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14:paraId="6B2F1C51" w14:textId="77777777" w:rsidR="000064B9" w:rsidRPr="00620B46" w:rsidRDefault="000064B9" w:rsidP="00A1555D">
            <w:pPr>
              <w:spacing w:after="0"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 xml:space="preserve">Projekta izpilde tiks nodrošināta </w:t>
            </w:r>
            <w:r w:rsidR="00A1555D" w:rsidRPr="00620B46">
              <w:rPr>
                <w:rFonts w:ascii="Times New Roman" w:eastAsia="Times New Roman" w:hAnsi="Times New Roman" w:cs="Times New Roman"/>
                <w:sz w:val="26"/>
                <w:szCs w:val="26"/>
                <w:lang w:eastAsia="lv-LV"/>
              </w:rPr>
              <w:t>Izglītības un zinātnes ministrija</w:t>
            </w:r>
            <w:r w:rsidR="00F23364" w:rsidRPr="00620B46">
              <w:rPr>
                <w:rFonts w:ascii="Times New Roman" w:eastAsia="Times New Roman" w:hAnsi="Times New Roman" w:cs="Times New Roman"/>
                <w:sz w:val="26"/>
                <w:szCs w:val="26"/>
                <w:lang w:eastAsia="lv-LV"/>
              </w:rPr>
              <w:t>s</w:t>
            </w:r>
            <w:r w:rsidR="00A1555D" w:rsidRPr="00620B46">
              <w:rPr>
                <w:rFonts w:ascii="Times New Roman" w:eastAsia="Times New Roman" w:hAnsi="Times New Roman" w:cs="Times New Roman"/>
                <w:sz w:val="26"/>
                <w:szCs w:val="26"/>
                <w:lang w:eastAsia="lv-LV"/>
              </w:rPr>
              <w:t xml:space="preserve"> </w:t>
            </w:r>
            <w:r w:rsidRPr="00620B46">
              <w:rPr>
                <w:rFonts w:ascii="Times New Roman" w:eastAsia="Times New Roman" w:hAnsi="Times New Roman" w:cs="Times New Roman"/>
                <w:sz w:val="26"/>
                <w:szCs w:val="26"/>
                <w:lang w:eastAsia="lv-LV"/>
              </w:rPr>
              <w:t>un sadarbības iestādes funkciju ietvaros.</w:t>
            </w:r>
          </w:p>
          <w:p w14:paraId="095E4B96" w14:textId="77777777" w:rsidR="00DC3B1C" w:rsidRPr="00620B46" w:rsidRDefault="00DC3B1C" w:rsidP="00A1555D">
            <w:pPr>
              <w:spacing w:after="0" w:line="240" w:lineRule="auto"/>
              <w:jc w:val="both"/>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Jaunu institūciju izveide, esošu institūciju likvidācija vai reorganizācija nav paredzēta.</w:t>
            </w:r>
          </w:p>
        </w:tc>
      </w:tr>
      <w:tr w:rsidR="006A328C" w:rsidRPr="00620B46" w14:paraId="0F5BDFA1" w14:textId="77777777"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1CF27910"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1D1B10B1" w14:textId="77777777" w:rsidR="004D15A9" w:rsidRPr="00620B46" w:rsidRDefault="004D15A9" w:rsidP="00DA596D">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14:paraId="325C05EB" w14:textId="77777777" w:rsidR="004D15A9" w:rsidRPr="00620B46" w:rsidRDefault="004D15A9" w:rsidP="0079544E">
            <w:pPr>
              <w:spacing w:after="0" w:line="240" w:lineRule="auto"/>
              <w:rPr>
                <w:rFonts w:ascii="Times New Roman" w:eastAsia="Times New Roman" w:hAnsi="Times New Roman" w:cs="Times New Roman"/>
                <w:sz w:val="26"/>
                <w:szCs w:val="26"/>
                <w:lang w:eastAsia="lv-LV"/>
              </w:rPr>
            </w:pPr>
            <w:r w:rsidRPr="00620B46">
              <w:rPr>
                <w:rFonts w:ascii="Times New Roman" w:eastAsia="Times New Roman" w:hAnsi="Times New Roman" w:cs="Times New Roman"/>
                <w:sz w:val="26"/>
                <w:szCs w:val="26"/>
                <w:lang w:eastAsia="lv-LV"/>
              </w:rPr>
              <w:t>Nav</w:t>
            </w:r>
          </w:p>
        </w:tc>
      </w:tr>
    </w:tbl>
    <w:p w14:paraId="529ED7C0" w14:textId="77777777" w:rsidR="00BB1F46" w:rsidRPr="00A906FA" w:rsidRDefault="00BB1F46" w:rsidP="00DA596D">
      <w:pPr>
        <w:spacing w:after="0" w:line="240" w:lineRule="auto"/>
        <w:rPr>
          <w:rFonts w:ascii="Times New Roman" w:hAnsi="Times New Roman" w:cs="Times New Roman"/>
          <w:sz w:val="26"/>
          <w:szCs w:val="26"/>
        </w:rPr>
      </w:pPr>
    </w:p>
    <w:p w14:paraId="2BDE3DEA" w14:textId="77777777" w:rsidR="00A906FA" w:rsidRDefault="00A906FA" w:rsidP="00344579">
      <w:pPr>
        <w:spacing w:after="0" w:line="240" w:lineRule="auto"/>
        <w:jc w:val="both"/>
        <w:rPr>
          <w:rFonts w:ascii="Times New Roman" w:hAnsi="Times New Roman" w:cs="Times New Roman"/>
          <w:sz w:val="26"/>
          <w:szCs w:val="26"/>
        </w:rPr>
      </w:pPr>
    </w:p>
    <w:p w14:paraId="1586B9B6" w14:textId="77777777" w:rsidR="00962A67" w:rsidRPr="00A906FA" w:rsidRDefault="00962A67" w:rsidP="00344579">
      <w:pPr>
        <w:spacing w:after="0" w:line="240" w:lineRule="auto"/>
        <w:jc w:val="both"/>
        <w:rPr>
          <w:rFonts w:ascii="Times New Roman" w:hAnsi="Times New Roman" w:cs="Times New Roman"/>
          <w:sz w:val="26"/>
          <w:szCs w:val="26"/>
        </w:rPr>
      </w:pPr>
    </w:p>
    <w:p w14:paraId="346C07B3" w14:textId="3E52EE43" w:rsidR="00DC3B1C" w:rsidRPr="00A906FA" w:rsidRDefault="00DC3B1C"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Izglītības un zinātnes ministr</w:t>
      </w:r>
      <w:r w:rsidR="00C57C46" w:rsidRPr="00A906FA">
        <w:rPr>
          <w:rFonts w:ascii="Times New Roman" w:hAnsi="Times New Roman" w:cs="Times New Roman"/>
          <w:sz w:val="26"/>
          <w:szCs w:val="26"/>
        </w:rPr>
        <w:t>s</w:t>
      </w:r>
      <w:r w:rsidRPr="00A906FA">
        <w:rPr>
          <w:rFonts w:ascii="Times New Roman" w:hAnsi="Times New Roman" w:cs="Times New Roman"/>
          <w:sz w:val="26"/>
          <w:szCs w:val="26"/>
        </w:rPr>
        <w:tab/>
      </w:r>
      <w:r w:rsidR="00FB5C08" w:rsidRPr="00A906FA">
        <w:rPr>
          <w:rFonts w:ascii="Times New Roman" w:hAnsi="Times New Roman" w:cs="Times New Roman"/>
          <w:sz w:val="26"/>
          <w:szCs w:val="26"/>
        </w:rPr>
        <w:tab/>
      </w:r>
      <w:r w:rsidR="00C57C46" w:rsidRPr="00A906FA">
        <w:rPr>
          <w:rFonts w:ascii="Times New Roman" w:hAnsi="Times New Roman" w:cs="Times New Roman"/>
          <w:sz w:val="26"/>
          <w:szCs w:val="26"/>
        </w:rPr>
        <w:t>K</w:t>
      </w:r>
      <w:r w:rsidR="004970DB" w:rsidRPr="00A906FA">
        <w:rPr>
          <w:rFonts w:ascii="Times New Roman" w:hAnsi="Times New Roman" w:cs="Times New Roman"/>
          <w:sz w:val="26"/>
          <w:szCs w:val="26"/>
        </w:rPr>
        <w:t xml:space="preserve">ārlis </w:t>
      </w:r>
      <w:r w:rsidR="00C57C46" w:rsidRPr="00A906FA">
        <w:rPr>
          <w:rFonts w:ascii="Times New Roman" w:hAnsi="Times New Roman" w:cs="Times New Roman"/>
          <w:sz w:val="26"/>
          <w:szCs w:val="26"/>
        </w:rPr>
        <w:t>Šadurskis</w:t>
      </w:r>
    </w:p>
    <w:p w14:paraId="2F70207D" w14:textId="77777777" w:rsidR="00DC3B1C" w:rsidRPr="00A906FA" w:rsidRDefault="00DC3B1C" w:rsidP="00344579">
      <w:pPr>
        <w:spacing w:after="0" w:line="240" w:lineRule="auto"/>
        <w:jc w:val="both"/>
        <w:rPr>
          <w:rFonts w:ascii="Times New Roman" w:hAnsi="Times New Roman" w:cs="Times New Roman"/>
          <w:sz w:val="26"/>
          <w:szCs w:val="26"/>
        </w:rPr>
      </w:pPr>
    </w:p>
    <w:p w14:paraId="7B9B39AB" w14:textId="77777777" w:rsidR="007869F3" w:rsidRPr="00A906FA" w:rsidRDefault="007869F3" w:rsidP="00344579">
      <w:pPr>
        <w:spacing w:after="0" w:line="240" w:lineRule="auto"/>
        <w:jc w:val="both"/>
        <w:rPr>
          <w:rFonts w:ascii="Times New Roman" w:hAnsi="Times New Roman" w:cs="Times New Roman"/>
          <w:sz w:val="26"/>
          <w:szCs w:val="26"/>
        </w:rPr>
      </w:pPr>
    </w:p>
    <w:p w14:paraId="260F9E46" w14:textId="77777777" w:rsidR="00E306D9" w:rsidRPr="00A906FA" w:rsidRDefault="00E306D9" w:rsidP="00344579">
      <w:pPr>
        <w:spacing w:after="0" w:line="240" w:lineRule="auto"/>
        <w:jc w:val="both"/>
        <w:rPr>
          <w:rFonts w:ascii="Times New Roman" w:hAnsi="Times New Roman" w:cs="Times New Roman"/>
          <w:sz w:val="26"/>
          <w:szCs w:val="26"/>
        </w:rPr>
      </w:pPr>
    </w:p>
    <w:p w14:paraId="0DE55FF4" w14:textId="77777777" w:rsidR="00D90C35" w:rsidRPr="00A906FA" w:rsidRDefault="00341E1E"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 xml:space="preserve">Vizē: </w:t>
      </w:r>
    </w:p>
    <w:p w14:paraId="0D00424C" w14:textId="4C6AF557" w:rsidR="00EC4AF2" w:rsidRPr="00A906FA" w:rsidRDefault="00341E1E"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Valsts sekretāre</w:t>
      </w:r>
      <w:r w:rsidR="007869F3" w:rsidRPr="00A906FA">
        <w:rPr>
          <w:rFonts w:ascii="Times New Roman" w:hAnsi="Times New Roman" w:cs="Times New Roman"/>
          <w:sz w:val="26"/>
          <w:szCs w:val="26"/>
        </w:rPr>
        <w:t xml:space="preserve"> </w:t>
      </w:r>
      <w:r w:rsidRPr="00A906FA">
        <w:rPr>
          <w:rFonts w:ascii="Times New Roman" w:hAnsi="Times New Roman" w:cs="Times New Roman"/>
          <w:sz w:val="26"/>
          <w:szCs w:val="26"/>
        </w:rPr>
        <w:tab/>
      </w:r>
      <w:r w:rsidR="00FB5C08" w:rsidRPr="00A906FA">
        <w:rPr>
          <w:rFonts w:ascii="Times New Roman" w:hAnsi="Times New Roman" w:cs="Times New Roman"/>
          <w:sz w:val="26"/>
          <w:szCs w:val="26"/>
        </w:rPr>
        <w:tab/>
        <w:t xml:space="preserve">     </w:t>
      </w:r>
      <w:r w:rsidR="00C57C46" w:rsidRPr="00A906FA">
        <w:rPr>
          <w:rFonts w:ascii="Times New Roman" w:hAnsi="Times New Roman" w:cs="Times New Roman"/>
          <w:sz w:val="26"/>
          <w:szCs w:val="26"/>
        </w:rPr>
        <w:t>L</w:t>
      </w:r>
      <w:r w:rsidR="004970DB" w:rsidRPr="00A906FA">
        <w:rPr>
          <w:rFonts w:ascii="Times New Roman" w:hAnsi="Times New Roman" w:cs="Times New Roman"/>
          <w:sz w:val="26"/>
          <w:szCs w:val="26"/>
        </w:rPr>
        <w:t>īga</w:t>
      </w:r>
      <w:r w:rsidR="00C57C46" w:rsidRPr="00A906FA">
        <w:rPr>
          <w:rFonts w:ascii="Times New Roman" w:hAnsi="Times New Roman" w:cs="Times New Roman"/>
          <w:sz w:val="26"/>
          <w:szCs w:val="26"/>
        </w:rPr>
        <w:t xml:space="preserve"> Lejiņa</w:t>
      </w:r>
    </w:p>
    <w:p w14:paraId="5DFC03BF" w14:textId="77777777" w:rsidR="007869F3" w:rsidRPr="006A328C" w:rsidRDefault="007869F3" w:rsidP="007869F3">
      <w:pPr>
        <w:spacing w:after="0" w:line="240" w:lineRule="auto"/>
        <w:ind w:firstLine="709"/>
        <w:jc w:val="both"/>
        <w:rPr>
          <w:rFonts w:ascii="Times New Roman" w:hAnsi="Times New Roman" w:cs="Times New Roman"/>
          <w:sz w:val="24"/>
          <w:szCs w:val="24"/>
        </w:rPr>
      </w:pPr>
    </w:p>
    <w:p w14:paraId="2828A1B0" w14:textId="77777777" w:rsidR="002F1707" w:rsidRDefault="002F1707" w:rsidP="007869F3">
      <w:pPr>
        <w:spacing w:after="0" w:line="240" w:lineRule="auto"/>
        <w:ind w:firstLine="709"/>
        <w:jc w:val="both"/>
        <w:rPr>
          <w:rFonts w:ascii="Times New Roman" w:hAnsi="Times New Roman" w:cs="Times New Roman"/>
          <w:sz w:val="24"/>
          <w:szCs w:val="24"/>
        </w:rPr>
      </w:pPr>
    </w:p>
    <w:p w14:paraId="39CF949C" w14:textId="77777777" w:rsidR="0043576B" w:rsidRDefault="0043576B" w:rsidP="007869F3">
      <w:pPr>
        <w:spacing w:after="0" w:line="240" w:lineRule="auto"/>
        <w:ind w:firstLine="709"/>
        <w:jc w:val="both"/>
        <w:rPr>
          <w:rFonts w:ascii="Times New Roman" w:hAnsi="Times New Roman" w:cs="Times New Roman"/>
          <w:sz w:val="24"/>
          <w:szCs w:val="24"/>
        </w:rPr>
      </w:pPr>
    </w:p>
    <w:p w14:paraId="315B56CE" w14:textId="77777777" w:rsidR="00620B46" w:rsidRDefault="00620B46" w:rsidP="007869F3">
      <w:pPr>
        <w:spacing w:after="0" w:line="240" w:lineRule="auto"/>
        <w:ind w:firstLine="709"/>
        <w:jc w:val="both"/>
        <w:rPr>
          <w:rFonts w:ascii="Times New Roman" w:hAnsi="Times New Roman" w:cs="Times New Roman"/>
          <w:sz w:val="24"/>
          <w:szCs w:val="24"/>
        </w:rPr>
      </w:pPr>
    </w:p>
    <w:p w14:paraId="181DE080" w14:textId="77777777" w:rsidR="00620B46" w:rsidRDefault="00620B46" w:rsidP="007869F3">
      <w:pPr>
        <w:spacing w:after="0" w:line="240" w:lineRule="auto"/>
        <w:ind w:firstLine="709"/>
        <w:jc w:val="both"/>
        <w:rPr>
          <w:rFonts w:ascii="Times New Roman" w:hAnsi="Times New Roman" w:cs="Times New Roman"/>
          <w:sz w:val="24"/>
          <w:szCs w:val="24"/>
        </w:rPr>
      </w:pPr>
    </w:p>
    <w:p w14:paraId="4D3A42CD" w14:textId="77777777" w:rsidR="00620B46" w:rsidRDefault="00620B46" w:rsidP="007869F3">
      <w:pPr>
        <w:spacing w:after="0" w:line="240" w:lineRule="auto"/>
        <w:ind w:firstLine="709"/>
        <w:jc w:val="both"/>
        <w:rPr>
          <w:rFonts w:ascii="Times New Roman" w:hAnsi="Times New Roman" w:cs="Times New Roman"/>
          <w:sz w:val="24"/>
          <w:szCs w:val="24"/>
        </w:rPr>
      </w:pPr>
    </w:p>
    <w:p w14:paraId="4F218412" w14:textId="77777777" w:rsidR="00620B46" w:rsidRDefault="00620B46" w:rsidP="007869F3">
      <w:pPr>
        <w:spacing w:after="0" w:line="240" w:lineRule="auto"/>
        <w:ind w:firstLine="709"/>
        <w:jc w:val="both"/>
        <w:rPr>
          <w:rFonts w:ascii="Times New Roman" w:hAnsi="Times New Roman" w:cs="Times New Roman"/>
          <w:sz w:val="24"/>
          <w:szCs w:val="24"/>
        </w:rPr>
      </w:pPr>
    </w:p>
    <w:p w14:paraId="53D478F6" w14:textId="77777777" w:rsidR="00620B46" w:rsidRDefault="00620B46" w:rsidP="007869F3">
      <w:pPr>
        <w:spacing w:after="0" w:line="240" w:lineRule="auto"/>
        <w:ind w:firstLine="709"/>
        <w:jc w:val="both"/>
        <w:rPr>
          <w:rFonts w:ascii="Times New Roman" w:hAnsi="Times New Roman" w:cs="Times New Roman"/>
          <w:sz w:val="24"/>
          <w:szCs w:val="24"/>
        </w:rPr>
      </w:pPr>
    </w:p>
    <w:p w14:paraId="129902DD" w14:textId="77777777" w:rsidR="00620B46" w:rsidRDefault="00620B46" w:rsidP="007869F3">
      <w:pPr>
        <w:spacing w:after="0" w:line="240" w:lineRule="auto"/>
        <w:ind w:firstLine="709"/>
        <w:jc w:val="both"/>
        <w:rPr>
          <w:rFonts w:ascii="Times New Roman" w:hAnsi="Times New Roman" w:cs="Times New Roman"/>
          <w:sz w:val="24"/>
          <w:szCs w:val="24"/>
        </w:rPr>
      </w:pPr>
    </w:p>
    <w:p w14:paraId="7B55D7C5" w14:textId="005C3B80" w:rsidR="00DC3B1C" w:rsidRPr="001A3B83" w:rsidRDefault="00A62CC4" w:rsidP="00344579">
      <w:pPr>
        <w:spacing w:after="0" w:line="240" w:lineRule="auto"/>
        <w:rPr>
          <w:rFonts w:ascii="Times New Roman" w:hAnsi="Times New Roman" w:cs="Times New Roman"/>
          <w:sz w:val="20"/>
          <w:szCs w:val="20"/>
        </w:rPr>
      </w:pPr>
      <w:r w:rsidRPr="001A3B83">
        <w:rPr>
          <w:rFonts w:ascii="Times New Roman" w:hAnsi="Times New Roman" w:cs="Times New Roman"/>
          <w:sz w:val="20"/>
          <w:szCs w:val="20"/>
        </w:rPr>
        <w:fldChar w:fldCharType="begin"/>
      </w:r>
      <w:r w:rsidR="00DC3B1C" w:rsidRPr="001A3B83">
        <w:rPr>
          <w:rFonts w:ascii="Times New Roman" w:hAnsi="Times New Roman" w:cs="Times New Roman"/>
          <w:sz w:val="20"/>
          <w:szCs w:val="20"/>
        </w:rPr>
        <w:instrText xml:space="preserve"> DATE  \@ "dd.MM.yyyy H:mm"  \* MERGEFORMAT </w:instrText>
      </w:r>
      <w:r w:rsidRPr="001A3B83">
        <w:rPr>
          <w:rFonts w:ascii="Times New Roman" w:hAnsi="Times New Roman" w:cs="Times New Roman"/>
          <w:sz w:val="20"/>
          <w:szCs w:val="20"/>
        </w:rPr>
        <w:fldChar w:fldCharType="separate"/>
      </w:r>
      <w:r w:rsidR="000A0A7E">
        <w:rPr>
          <w:rFonts w:ascii="Times New Roman" w:hAnsi="Times New Roman" w:cs="Times New Roman"/>
          <w:noProof/>
          <w:sz w:val="20"/>
          <w:szCs w:val="20"/>
        </w:rPr>
        <w:t>18.04.2018 14:15</w:t>
      </w:r>
      <w:r w:rsidRPr="001A3B83">
        <w:rPr>
          <w:rFonts w:ascii="Times New Roman" w:hAnsi="Times New Roman" w:cs="Times New Roman"/>
          <w:sz w:val="20"/>
          <w:szCs w:val="20"/>
        </w:rPr>
        <w:fldChar w:fldCharType="end"/>
      </w:r>
    </w:p>
    <w:p w14:paraId="5707C112" w14:textId="6D633CBE" w:rsidR="001A3B83" w:rsidRDefault="00437F90" w:rsidP="00344579">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0A0A7E">
        <w:rPr>
          <w:rFonts w:ascii="Times New Roman" w:hAnsi="Times New Roman" w:cs="Times New Roman"/>
          <w:noProof/>
          <w:sz w:val="20"/>
          <w:szCs w:val="20"/>
        </w:rPr>
        <w:t>3280</w:t>
      </w:r>
      <w:r>
        <w:rPr>
          <w:rFonts w:ascii="Times New Roman" w:hAnsi="Times New Roman" w:cs="Times New Roman"/>
          <w:sz w:val="20"/>
          <w:szCs w:val="20"/>
        </w:rPr>
        <w:fldChar w:fldCharType="end"/>
      </w:r>
    </w:p>
    <w:p w14:paraId="4AC471B2" w14:textId="6B518B6C" w:rsidR="007D4510" w:rsidRDefault="003F5E79" w:rsidP="00A5318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r w:rsidR="00C57C46" w:rsidRPr="001A3B83">
        <w:rPr>
          <w:rFonts w:ascii="Times New Roman" w:hAnsi="Times New Roman" w:cs="Times New Roman"/>
          <w:sz w:val="20"/>
          <w:szCs w:val="20"/>
        </w:rPr>
        <w:t>.</w:t>
      </w:r>
      <w:r>
        <w:rPr>
          <w:rFonts w:ascii="Times New Roman" w:hAnsi="Times New Roman" w:cs="Times New Roman"/>
          <w:sz w:val="20"/>
          <w:szCs w:val="20"/>
        </w:rPr>
        <w:t>Švirksta</w:t>
      </w:r>
      <w:proofErr w:type="spellEnd"/>
      <w:r w:rsidR="00DC3B1C" w:rsidRPr="001A3B83">
        <w:rPr>
          <w:rFonts w:ascii="Times New Roman" w:hAnsi="Times New Roman" w:cs="Times New Roman"/>
          <w:sz w:val="20"/>
          <w:szCs w:val="20"/>
        </w:rPr>
        <w:t xml:space="preserve"> 67047</w:t>
      </w:r>
      <w:r>
        <w:rPr>
          <w:rFonts w:ascii="Times New Roman" w:hAnsi="Times New Roman" w:cs="Times New Roman"/>
          <w:sz w:val="20"/>
          <w:szCs w:val="20"/>
        </w:rPr>
        <w:t>878</w:t>
      </w:r>
    </w:p>
    <w:p w14:paraId="0146F891" w14:textId="5982BD95" w:rsidR="00F926D3" w:rsidRPr="006A328C" w:rsidRDefault="00F40B87" w:rsidP="00A53185">
      <w:pPr>
        <w:spacing w:after="0" w:line="240" w:lineRule="auto"/>
        <w:rPr>
          <w:rFonts w:ascii="Times New Roman" w:hAnsi="Times New Roman" w:cs="Times New Roman"/>
          <w:sz w:val="20"/>
          <w:szCs w:val="20"/>
        </w:rPr>
      </w:pPr>
      <w:hyperlink r:id="rId11" w:history="1">
        <w:r w:rsidR="003F5E79" w:rsidRPr="002A1A27">
          <w:rPr>
            <w:rStyle w:val="Hyperlink"/>
            <w:rFonts w:ascii="Times New Roman" w:hAnsi="Times New Roman" w:cs="Times New Roman"/>
            <w:sz w:val="20"/>
            <w:szCs w:val="20"/>
          </w:rPr>
          <w:t>inta.svirksta</w:t>
        </w:r>
        <w:bookmarkStart w:id="9" w:name="_GoBack"/>
        <w:bookmarkEnd w:id="9"/>
        <w:r w:rsidR="003F5E79" w:rsidRPr="002A1A27">
          <w:rPr>
            <w:rStyle w:val="Hyperlink"/>
            <w:rFonts w:ascii="Times New Roman" w:hAnsi="Times New Roman" w:cs="Times New Roman"/>
            <w:sz w:val="20"/>
            <w:szCs w:val="20"/>
          </w:rPr>
          <w:t>@izm.gov.lv</w:t>
        </w:r>
      </w:hyperlink>
      <w:r w:rsidR="00BC2FAB" w:rsidRPr="001A3B83">
        <w:rPr>
          <w:rStyle w:val="Hyperlink"/>
          <w:rFonts w:ascii="Times New Roman" w:hAnsi="Times New Roman" w:cs="Times New Roman"/>
          <w:color w:val="auto"/>
          <w:sz w:val="20"/>
          <w:szCs w:val="20"/>
        </w:rPr>
        <w:t xml:space="preserve"> </w:t>
      </w:r>
      <w:r w:rsidR="00C57C46" w:rsidRPr="001A3B83">
        <w:rPr>
          <w:rFonts w:ascii="Times New Roman" w:hAnsi="Times New Roman" w:cs="Times New Roman"/>
          <w:sz w:val="20"/>
          <w:szCs w:val="20"/>
        </w:rPr>
        <w:t xml:space="preserve"> </w:t>
      </w:r>
    </w:p>
    <w:sectPr w:rsidR="00F926D3" w:rsidRPr="006A328C" w:rsidSect="006450A1">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9A9F" w14:textId="77777777" w:rsidR="009625DF" w:rsidRDefault="009625DF" w:rsidP="004D15A9">
      <w:pPr>
        <w:spacing w:after="0" w:line="240" w:lineRule="auto"/>
      </w:pPr>
      <w:r>
        <w:separator/>
      </w:r>
    </w:p>
  </w:endnote>
  <w:endnote w:type="continuationSeparator" w:id="0">
    <w:p w14:paraId="3CD9337B" w14:textId="77777777" w:rsidR="009625DF" w:rsidRDefault="009625D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65D1" w14:textId="1440CAB7" w:rsidR="00F40B87" w:rsidRPr="00077CDB" w:rsidRDefault="00F40B87" w:rsidP="00077CDB">
    <w:pPr>
      <w:spacing w:after="0" w:line="240" w:lineRule="auto"/>
      <w:jc w:val="both"/>
      <w:rPr>
        <w:rFonts w:ascii="Times New Roman" w:hAnsi="Times New Roman" w:cs="Times New Roman"/>
        <w:sz w:val="20"/>
        <w:szCs w:val="20"/>
      </w:rPr>
    </w:pPr>
    <w:fldSimple w:instr=" FILENAME   \* MERGEFORMAT ">
      <w:r w:rsidRPr="006D79EA">
        <w:rPr>
          <w:rFonts w:ascii="Times New Roman" w:hAnsi="Times New Roman" w:cs="Times New Roman"/>
          <w:noProof/>
          <w:color w:val="000000" w:themeColor="text1"/>
          <w:sz w:val="20"/>
          <w:szCs w:val="20"/>
        </w:rPr>
        <w:t>IZMAnot_180418_31211</w:t>
      </w:r>
    </w:fldSimple>
    <w:r w:rsidRPr="00077CDB">
      <w:rPr>
        <w:rFonts w:ascii="Times New Roman" w:hAnsi="Times New Roman" w:cs="Times New Roman"/>
        <w:color w:val="000000" w:themeColor="text1"/>
        <w:sz w:val="20"/>
        <w:szCs w:val="20"/>
      </w:rPr>
      <w:t xml:space="preserve">; Ministru kabineta noteikumu </w:t>
    </w:r>
    <w:r w:rsidRPr="00A25DF3">
      <w:rPr>
        <w:rFonts w:ascii="Times New Roman" w:hAnsi="Times New Roman" w:cs="Times New Roman"/>
        <w:color w:val="000000" w:themeColor="text1"/>
        <w:sz w:val="20"/>
        <w:szCs w:val="20"/>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Pr="00077CDB">
      <w:rPr>
        <w:rFonts w:ascii="Times New Roman" w:hAnsi="Times New Roman" w:cs="Times New Roman"/>
        <w:color w:val="000000" w:themeColor="text1"/>
        <w:sz w:val="20"/>
        <w:szCs w:val="20"/>
      </w:rPr>
      <w:t xml:space="preserve">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9658" w14:textId="77364739" w:rsidR="00F40B87" w:rsidRPr="00077CDB" w:rsidRDefault="00F40B87" w:rsidP="00FD02A2">
    <w:pPr>
      <w:spacing w:after="0" w:line="240" w:lineRule="auto"/>
      <w:jc w:val="both"/>
      <w:rPr>
        <w:rFonts w:ascii="Times New Roman" w:hAnsi="Times New Roman" w:cs="Times New Roman"/>
        <w:sz w:val="20"/>
        <w:szCs w:val="20"/>
      </w:rPr>
    </w:pPr>
    <w:fldSimple w:instr=" FILENAME   \* MERGEFORMAT ">
      <w:r w:rsidRPr="00DD784B">
        <w:rPr>
          <w:rFonts w:ascii="Times New Roman" w:hAnsi="Times New Roman" w:cs="Times New Roman"/>
          <w:noProof/>
          <w:color w:val="000000" w:themeColor="text1"/>
          <w:sz w:val="20"/>
          <w:szCs w:val="20"/>
        </w:rPr>
        <w:t>IZMAnot_180418_31211</w:t>
      </w:r>
    </w:fldSimple>
    <w:r w:rsidRPr="00077CDB">
      <w:rPr>
        <w:rFonts w:ascii="Times New Roman" w:hAnsi="Times New Roman" w:cs="Times New Roman"/>
        <w:color w:val="000000" w:themeColor="text1"/>
        <w:sz w:val="20"/>
        <w:szCs w:val="20"/>
      </w:rPr>
      <w:t xml:space="preserve">; Ministru kabineta noteikumu </w:t>
    </w:r>
    <w:r w:rsidRPr="00A25DF3">
      <w:rPr>
        <w:rFonts w:ascii="Times New Roman" w:hAnsi="Times New Roman" w:cs="Times New Roman"/>
        <w:color w:val="000000" w:themeColor="text1"/>
        <w:sz w:val="20"/>
        <w:szCs w:val="20"/>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Pr="00077CDB">
      <w:rPr>
        <w:rFonts w:ascii="Times New Roman" w:hAnsi="Times New Roman" w:cs="Times New Roman"/>
        <w:color w:val="000000" w:themeColor="text1"/>
        <w:sz w:val="20"/>
        <w:szCs w:val="20"/>
      </w:rPr>
      <w:t>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EC30" w14:textId="77777777" w:rsidR="009625DF" w:rsidRDefault="009625DF" w:rsidP="004D15A9">
      <w:pPr>
        <w:spacing w:after="0" w:line="240" w:lineRule="auto"/>
      </w:pPr>
      <w:r>
        <w:separator/>
      </w:r>
    </w:p>
  </w:footnote>
  <w:footnote w:type="continuationSeparator" w:id="0">
    <w:p w14:paraId="40BFE07B" w14:textId="77777777" w:rsidR="009625DF" w:rsidRDefault="009625DF" w:rsidP="004D15A9">
      <w:pPr>
        <w:spacing w:after="0" w:line="240" w:lineRule="auto"/>
      </w:pPr>
      <w:r>
        <w:continuationSeparator/>
      </w:r>
    </w:p>
  </w:footnote>
  <w:footnote w:id="1">
    <w:p w14:paraId="349D6C06" w14:textId="355CF650" w:rsidR="00F40B87" w:rsidRPr="00EE5EF8" w:rsidRDefault="00F40B87">
      <w:pPr>
        <w:pStyle w:val="FootnoteText"/>
        <w:rPr>
          <w:lang w:val="lv-LV"/>
        </w:rPr>
      </w:pPr>
      <w:r>
        <w:rPr>
          <w:rStyle w:val="FootnoteReference"/>
        </w:rPr>
        <w:footnoteRef/>
      </w:r>
      <w:r>
        <w:t xml:space="preserve"> </w:t>
      </w:r>
      <w:r>
        <w:rPr>
          <w:lang w:val="lv-LV"/>
        </w:rPr>
        <w:t xml:space="preserve">Pieejams tīmekļa vietnē </w:t>
      </w:r>
      <w:hyperlink r:id="rId1" w:history="1">
        <w:r w:rsidRPr="00EA12DC">
          <w:rPr>
            <w:rStyle w:val="Hyperlink"/>
            <w:lang w:val="lv-LV"/>
          </w:rPr>
          <w:t xml:space="preserve">http://esfondi.izm.gov.lv/1365.html </w:t>
        </w:r>
      </w:hyperlink>
      <w:r>
        <w:rPr>
          <w:lang w:val="lv-LV"/>
        </w:rPr>
        <w:t xml:space="preserve"> Projekta iesnieguma veidlapa 7.3. sadaļa.</w:t>
      </w:r>
    </w:p>
  </w:footnote>
  <w:footnote w:id="2">
    <w:p w14:paraId="149E6029" w14:textId="77777777" w:rsidR="00F40B87" w:rsidRPr="00BD6DEB" w:rsidRDefault="00F40B87" w:rsidP="00F2680F">
      <w:pPr>
        <w:pStyle w:val="FootnoteText"/>
        <w:rPr>
          <w:sz w:val="18"/>
          <w:szCs w:val="18"/>
        </w:rPr>
      </w:pPr>
      <w:r>
        <w:rPr>
          <w:rStyle w:val="FootnoteReference"/>
        </w:rPr>
        <w:footnoteRef/>
      </w:r>
      <w:r>
        <w:t xml:space="preserve"> </w:t>
      </w:r>
      <w:proofErr w:type="spellStart"/>
      <w:r w:rsidRPr="00BD6DEB">
        <w:rPr>
          <w:sz w:val="18"/>
          <w:szCs w:val="18"/>
        </w:rPr>
        <w:t>Pieņēmumi</w:t>
      </w:r>
      <w:proofErr w:type="spellEnd"/>
      <w:r w:rsidRPr="00BD6DEB">
        <w:rPr>
          <w:sz w:val="18"/>
          <w:szCs w:val="18"/>
        </w:rPr>
        <w:t>:</w:t>
      </w:r>
    </w:p>
    <w:tbl>
      <w:tblPr>
        <w:tblW w:w="5000" w:type="pct"/>
        <w:tblCellMar>
          <w:left w:w="0" w:type="dxa"/>
          <w:right w:w="0" w:type="dxa"/>
        </w:tblCellMar>
        <w:tblLook w:val="0420" w:firstRow="1" w:lastRow="0" w:firstColumn="0" w:lastColumn="0" w:noHBand="0" w:noVBand="1"/>
      </w:tblPr>
      <w:tblGrid>
        <w:gridCol w:w="1338"/>
        <w:gridCol w:w="1338"/>
        <w:gridCol w:w="1338"/>
        <w:gridCol w:w="1338"/>
        <w:gridCol w:w="639"/>
        <w:gridCol w:w="699"/>
        <w:gridCol w:w="638"/>
        <w:gridCol w:w="700"/>
        <w:gridCol w:w="1023"/>
      </w:tblGrid>
      <w:tr w:rsidR="00F40B87" w:rsidRPr="00BD6DEB" w14:paraId="659A09B0" w14:textId="77777777" w:rsidTr="00F40B87">
        <w:trPr>
          <w:trHeight w:hRule="exact" w:val="284"/>
        </w:trPr>
        <w:tc>
          <w:tcPr>
            <w:tcW w:w="3199" w:type="pct"/>
            <w:gridSpan w:val="5"/>
            <w:shd w:val="clear" w:color="auto" w:fill="FFFFFF"/>
            <w:tcMar>
              <w:top w:w="72" w:type="dxa"/>
              <w:left w:w="144" w:type="dxa"/>
              <w:bottom w:w="72" w:type="dxa"/>
              <w:right w:w="144" w:type="dxa"/>
            </w:tcMar>
            <w:hideMark/>
          </w:tcPr>
          <w:p w14:paraId="1ADBC69C" w14:textId="77777777" w:rsidR="00F40B87" w:rsidRPr="00BD6DEB" w:rsidRDefault="00F40B87" w:rsidP="00F2680F">
            <w:pPr>
              <w:pStyle w:val="FootnoteText"/>
              <w:rPr>
                <w:sz w:val="18"/>
                <w:szCs w:val="18"/>
              </w:rPr>
            </w:pPr>
            <w:proofErr w:type="spellStart"/>
            <w:r w:rsidRPr="00BD6DEB">
              <w:rPr>
                <w:sz w:val="18"/>
                <w:szCs w:val="18"/>
              </w:rPr>
              <w:t>Publiskais</w:t>
            </w:r>
            <w:proofErr w:type="spellEnd"/>
            <w:r w:rsidRPr="00BD6DEB">
              <w:rPr>
                <w:sz w:val="18"/>
                <w:szCs w:val="18"/>
              </w:rPr>
              <w:t xml:space="preserve"> </w:t>
            </w:r>
            <w:proofErr w:type="spellStart"/>
            <w:r w:rsidRPr="00BD6DEB">
              <w:rPr>
                <w:sz w:val="18"/>
                <w:szCs w:val="18"/>
              </w:rPr>
              <w:t>finansējums</w:t>
            </w:r>
            <w:proofErr w:type="spellEnd"/>
            <w:r w:rsidRPr="00BD6DEB">
              <w:rPr>
                <w:sz w:val="18"/>
                <w:szCs w:val="18"/>
              </w:rPr>
              <w:t xml:space="preserve"> </w:t>
            </w:r>
            <w:proofErr w:type="spellStart"/>
            <w:r w:rsidRPr="00BD6DEB">
              <w:rPr>
                <w:sz w:val="18"/>
                <w:szCs w:val="18"/>
              </w:rPr>
              <w:t>infrastruktūras</w:t>
            </w:r>
            <w:proofErr w:type="spellEnd"/>
            <w:r w:rsidRPr="00BD6DEB">
              <w:rPr>
                <w:sz w:val="18"/>
                <w:szCs w:val="18"/>
              </w:rPr>
              <w:t xml:space="preserve"> </w:t>
            </w:r>
            <w:proofErr w:type="spellStart"/>
            <w:r w:rsidRPr="00BD6DEB">
              <w:rPr>
                <w:sz w:val="18"/>
                <w:szCs w:val="18"/>
              </w:rPr>
              <w:t>attīstībai</w:t>
            </w:r>
            <w:proofErr w:type="spellEnd"/>
          </w:p>
        </w:tc>
        <w:tc>
          <w:tcPr>
            <w:tcW w:w="1801" w:type="pct"/>
            <w:gridSpan w:val="4"/>
            <w:shd w:val="clear" w:color="auto" w:fill="FFFFFF"/>
            <w:tcMar>
              <w:top w:w="72" w:type="dxa"/>
              <w:left w:w="144" w:type="dxa"/>
              <w:bottom w:w="72" w:type="dxa"/>
              <w:right w:w="144" w:type="dxa"/>
            </w:tcMar>
            <w:hideMark/>
          </w:tcPr>
          <w:p w14:paraId="7C5F0D9C" w14:textId="77777777" w:rsidR="00F40B87" w:rsidRPr="00BD6DEB" w:rsidRDefault="00F40B87" w:rsidP="00F2680F">
            <w:pPr>
              <w:pStyle w:val="FootnoteText"/>
              <w:rPr>
                <w:sz w:val="18"/>
                <w:szCs w:val="18"/>
              </w:rPr>
            </w:pPr>
            <w:r w:rsidRPr="00BD6DEB">
              <w:rPr>
                <w:sz w:val="18"/>
                <w:szCs w:val="18"/>
              </w:rPr>
              <w:t xml:space="preserve">F = 100 </w:t>
            </w:r>
            <w:r w:rsidRPr="00BD6DEB">
              <w:rPr>
                <w:i/>
                <w:iCs/>
                <w:sz w:val="18"/>
                <w:szCs w:val="18"/>
              </w:rPr>
              <w:t xml:space="preserve">euro </w:t>
            </w:r>
          </w:p>
        </w:tc>
      </w:tr>
      <w:tr w:rsidR="00F40B87" w:rsidRPr="00BD6DEB" w14:paraId="2FE97B12" w14:textId="77777777" w:rsidTr="00F40B87">
        <w:trPr>
          <w:gridAfter w:val="2"/>
          <w:wAfter w:w="1086" w:type="pct"/>
          <w:trHeight w:hRule="exact" w:val="284"/>
        </w:trPr>
        <w:tc>
          <w:tcPr>
            <w:tcW w:w="3199" w:type="pct"/>
            <w:gridSpan w:val="5"/>
            <w:shd w:val="clear" w:color="auto" w:fill="auto"/>
            <w:tcMar>
              <w:top w:w="72" w:type="dxa"/>
              <w:left w:w="144" w:type="dxa"/>
              <w:bottom w:w="72" w:type="dxa"/>
              <w:right w:w="144" w:type="dxa"/>
            </w:tcMar>
            <w:hideMark/>
          </w:tcPr>
          <w:p w14:paraId="6172940E" w14:textId="77777777" w:rsidR="00F40B87" w:rsidRPr="00BD6DEB" w:rsidRDefault="00F40B87" w:rsidP="00F2680F">
            <w:pPr>
              <w:pStyle w:val="FootnoteText"/>
              <w:rPr>
                <w:sz w:val="18"/>
                <w:szCs w:val="18"/>
              </w:rPr>
            </w:pPr>
            <w:proofErr w:type="spellStart"/>
            <w:r w:rsidRPr="00BD6DEB">
              <w:rPr>
                <w:sz w:val="18"/>
                <w:szCs w:val="18"/>
              </w:rPr>
              <w:t>Infrastruktūras</w:t>
            </w:r>
            <w:proofErr w:type="spellEnd"/>
            <w:r w:rsidRPr="00BD6DEB">
              <w:rPr>
                <w:sz w:val="18"/>
                <w:szCs w:val="18"/>
              </w:rPr>
              <w:t xml:space="preserve"> </w:t>
            </w:r>
            <w:proofErr w:type="spellStart"/>
            <w:r w:rsidRPr="00BD6DEB">
              <w:rPr>
                <w:sz w:val="18"/>
                <w:szCs w:val="18"/>
              </w:rPr>
              <w:t>amortizācijas</w:t>
            </w:r>
            <w:proofErr w:type="spellEnd"/>
            <w:r w:rsidRPr="00BD6DEB">
              <w:rPr>
                <w:sz w:val="18"/>
                <w:szCs w:val="18"/>
              </w:rPr>
              <w:t xml:space="preserve"> periods</w:t>
            </w:r>
          </w:p>
        </w:tc>
        <w:tc>
          <w:tcPr>
            <w:tcW w:w="714" w:type="pct"/>
            <w:gridSpan w:val="2"/>
            <w:shd w:val="clear" w:color="auto" w:fill="auto"/>
            <w:tcMar>
              <w:top w:w="72" w:type="dxa"/>
              <w:left w:w="144" w:type="dxa"/>
              <w:bottom w:w="72" w:type="dxa"/>
              <w:right w:w="144" w:type="dxa"/>
            </w:tcMar>
            <w:hideMark/>
          </w:tcPr>
          <w:p w14:paraId="03A6C53E" w14:textId="77777777" w:rsidR="00F40B87" w:rsidRPr="00BD6DEB" w:rsidRDefault="00F40B87" w:rsidP="00F2680F">
            <w:pPr>
              <w:pStyle w:val="FootnoteText"/>
              <w:rPr>
                <w:sz w:val="18"/>
                <w:szCs w:val="18"/>
              </w:rPr>
            </w:pPr>
            <w:r w:rsidRPr="00BD6DEB">
              <w:rPr>
                <w:sz w:val="18"/>
                <w:szCs w:val="18"/>
              </w:rPr>
              <w:t xml:space="preserve">10 </w:t>
            </w:r>
            <w:proofErr w:type="spellStart"/>
            <w:r w:rsidRPr="00BD6DEB">
              <w:rPr>
                <w:sz w:val="18"/>
                <w:szCs w:val="18"/>
              </w:rPr>
              <w:t>gadi</w:t>
            </w:r>
            <w:proofErr w:type="spellEnd"/>
          </w:p>
        </w:tc>
      </w:tr>
      <w:tr w:rsidR="00F40B87" w:rsidRPr="00BD6DEB" w14:paraId="2D29B0AA" w14:textId="77777777" w:rsidTr="00F40B87">
        <w:trPr>
          <w:trHeight w:hRule="exact" w:val="284"/>
        </w:trPr>
        <w:tc>
          <w:tcPr>
            <w:tcW w:w="3199" w:type="pct"/>
            <w:gridSpan w:val="5"/>
            <w:shd w:val="clear" w:color="auto" w:fill="FFFFFF"/>
            <w:tcMar>
              <w:top w:w="72" w:type="dxa"/>
              <w:left w:w="144" w:type="dxa"/>
              <w:bottom w:w="72" w:type="dxa"/>
              <w:right w:w="144" w:type="dxa"/>
            </w:tcMar>
            <w:hideMark/>
          </w:tcPr>
          <w:p w14:paraId="2B232713" w14:textId="77777777" w:rsidR="00F40B87" w:rsidRPr="00BD6DEB" w:rsidRDefault="00F40B87" w:rsidP="00F2680F">
            <w:pPr>
              <w:pStyle w:val="FootnoteText"/>
              <w:rPr>
                <w:sz w:val="18"/>
                <w:szCs w:val="18"/>
              </w:rPr>
            </w:pPr>
            <w:proofErr w:type="spellStart"/>
            <w:r w:rsidRPr="00BD6DEB">
              <w:rPr>
                <w:sz w:val="18"/>
                <w:szCs w:val="18"/>
              </w:rPr>
              <w:t>Nolietojuma</w:t>
            </w:r>
            <w:proofErr w:type="spellEnd"/>
            <w:r w:rsidRPr="00BD6DEB">
              <w:rPr>
                <w:sz w:val="18"/>
                <w:szCs w:val="18"/>
              </w:rPr>
              <w:t xml:space="preserve"> </w:t>
            </w:r>
            <w:proofErr w:type="spellStart"/>
            <w:r w:rsidRPr="00BD6DEB">
              <w:rPr>
                <w:sz w:val="18"/>
                <w:szCs w:val="18"/>
              </w:rPr>
              <w:t>norma</w:t>
            </w:r>
            <w:proofErr w:type="spellEnd"/>
            <w:r w:rsidRPr="00BD6DEB">
              <w:rPr>
                <w:sz w:val="18"/>
                <w:szCs w:val="18"/>
              </w:rPr>
              <w:t xml:space="preserve"> </w:t>
            </w:r>
            <w:proofErr w:type="spellStart"/>
            <w:r w:rsidRPr="00BD6DEB">
              <w:rPr>
                <w:sz w:val="18"/>
                <w:szCs w:val="18"/>
              </w:rPr>
              <w:t>gadā</w:t>
            </w:r>
            <w:proofErr w:type="spellEnd"/>
            <w:r w:rsidRPr="00BD6DEB">
              <w:rPr>
                <w:sz w:val="18"/>
                <w:szCs w:val="18"/>
              </w:rPr>
              <w:t xml:space="preserve"> </w:t>
            </w:r>
          </w:p>
        </w:tc>
        <w:tc>
          <w:tcPr>
            <w:tcW w:w="1801" w:type="pct"/>
            <w:gridSpan w:val="4"/>
            <w:shd w:val="clear" w:color="auto" w:fill="FFFFFF"/>
            <w:tcMar>
              <w:top w:w="72" w:type="dxa"/>
              <w:left w:w="144" w:type="dxa"/>
              <w:bottom w:w="72" w:type="dxa"/>
              <w:right w:w="144" w:type="dxa"/>
            </w:tcMar>
            <w:hideMark/>
          </w:tcPr>
          <w:p w14:paraId="7E9ECCF4" w14:textId="77777777" w:rsidR="00F40B87" w:rsidRPr="00BD6DEB" w:rsidRDefault="00F40B87" w:rsidP="00F2680F">
            <w:pPr>
              <w:pStyle w:val="FootnoteText"/>
              <w:rPr>
                <w:sz w:val="18"/>
                <w:szCs w:val="18"/>
              </w:rPr>
            </w:pPr>
            <w:r w:rsidRPr="00BD6DEB">
              <w:rPr>
                <w:sz w:val="18"/>
                <w:szCs w:val="18"/>
              </w:rPr>
              <w:t>N = 10%</w:t>
            </w:r>
          </w:p>
        </w:tc>
      </w:tr>
      <w:tr w:rsidR="00F40B87" w:rsidRPr="00BD6DEB" w14:paraId="61CF29F1" w14:textId="77777777" w:rsidTr="00F40B87">
        <w:trPr>
          <w:trHeight w:hRule="exact" w:val="284"/>
        </w:trPr>
        <w:tc>
          <w:tcPr>
            <w:tcW w:w="3199" w:type="pct"/>
            <w:gridSpan w:val="5"/>
            <w:tcBorders>
              <w:bottom w:val="single" w:sz="4" w:space="0" w:color="auto"/>
            </w:tcBorders>
            <w:shd w:val="clear" w:color="auto" w:fill="F6F6FC"/>
            <w:tcMar>
              <w:top w:w="72" w:type="dxa"/>
              <w:left w:w="144" w:type="dxa"/>
              <w:bottom w:w="72" w:type="dxa"/>
              <w:right w:w="144" w:type="dxa"/>
            </w:tcMar>
            <w:hideMark/>
          </w:tcPr>
          <w:p w14:paraId="336B45B2" w14:textId="77777777" w:rsidR="00F40B87" w:rsidRPr="00BD6DEB" w:rsidRDefault="00F40B87" w:rsidP="00F2680F">
            <w:pPr>
              <w:pStyle w:val="FootnoteText"/>
              <w:rPr>
                <w:sz w:val="18"/>
                <w:szCs w:val="18"/>
              </w:rPr>
            </w:pPr>
            <w:proofErr w:type="spellStart"/>
            <w:r w:rsidRPr="00BD6DEB">
              <w:rPr>
                <w:sz w:val="18"/>
                <w:szCs w:val="18"/>
              </w:rPr>
              <w:t>Publiskā</w:t>
            </w:r>
            <w:proofErr w:type="spellEnd"/>
            <w:r w:rsidRPr="00BD6DEB">
              <w:rPr>
                <w:sz w:val="18"/>
                <w:szCs w:val="18"/>
              </w:rPr>
              <w:t xml:space="preserve"> </w:t>
            </w:r>
            <w:proofErr w:type="spellStart"/>
            <w:r w:rsidRPr="00BD6DEB">
              <w:rPr>
                <w:sz w:val="18"/>
                <w:szCs w:val="18"/>
              </w:rPr>
              <w:t>finansējuma</w:t>
            </w:r>
            <w:proofErr w:type="spellEnd"/>
            <w:r w:rsidRPr="00BD6DEB">
              <w:rPr>
                <w:sz w:val="18"/>
                <w:szCs w:val="18"/>
              </w:rPr>
              <w:t xml:space="preserve"> </w:t>
            </w:r>
            <w:proofErr w:type="spellStart"/>
            <w:r w:rsidRPr="00BD6DEB">
              <w:rPr>
                <w:sz w:val="18"/>
                <w:szCs w:val="18"/>
              </w:rPr>
              <w:t>atbalsta</w:t>
            </w:r>
            <w:proofErr w:type="spellEnd"/>
            <w:r w:rsidRPr="00BD6DEB">
              <w:rPr>
                <w:sz w:val="18"/>
                <w:szCs w:val="18"/>
              </w:rPr>
              <w:t xml:space="preserve"> </w:t>
            </w:r>
            <w:proofErr w:type="spellStart"/>
            <w:r w:rsidRPr="00BD6DEB">
              <w:rPr>
                <w:sz w:val="18"/>
                <w:szCs w:val="18"/>
              </w:rPr>
              <w:t>intensitāte</w:t>
            </w:r>
            <w:proofErr w:type="spellEnd"/>
            <w:r w:rsidRPr="00BD6DEB">
              <w:rPr>
                <w:sz w:val="18"/>
                <w:szCs w:val="18"/>
              </w:rPr>
              <w:t xml:space="preserve"> </w:t>
            </w:r>
            <w:proofErr w:type="spellStart"/>
            <w:r w:rsidRPr="00BD6DEB">
              <w:rPr>
                <w:sz w:val="18"/>
                <w:szCs w:val="18"/>
              </w:rPr>
              <w:t>saimnieciskai</w:t>
            </w:r>
            <w:proofErr w:type="spellEnd"/>
            <w:r w:rsidRPr="00BD6DEB">
              <w:rPr>
                <w:sz w:val="18"/>
                <w:szCs w:val="18"/>
              </w:rPr>
              <w:t xml:space="preserve"> </w:t>
            </w:r>
            <w:proofErr w:type="spellStart"/>
            <w:r w:rsidRPr="00BD6DEB">
              <w:rPr>
                <w:sz w:val="18"/>
                <w:szCs w:val="18"/>
              </w:rPr>
              <w:t>darbībai</w:t>
            </w:r>
            <w:proofErr w:type="spellEnd"/>
          </w:p>
        </w:tc>
        <w:tc>
          <w:tcPr>
            <w:tcW w:w="1801" w:type="pct"/>
            <w:gridSpan w:val="4"/>
            <w:tcBorders>
              <w:bottom w:val="single" w:sz="4" w:space="0" w:color="auto"/>
            </w:tcBorders>
            <w:shd w:val="clear" w:color="auto" w:fill="auto"/>
            <w:tcMar>
              <w:top w:w="72" w:type="dxa"/>
              <w:left w:w="144" w:type="dxa"/>
              <w:bottom w:w="72" w:type="dxa"/>
              <w:right w:w="144" w:type="dxa"/>
            </w:tcMar>
            <w:hideMark/>
          </w:tcPr>
          <w:p w14:paraId="355D92A2" w14:textId="77777777" w:rsidR="00F40B87" w:rsidRPr="00BD6DEB" w:rsidRDefault="00F40B87" w:rsidP="00F2680F">
            <w:pPr>
              <w:pStyle w:val="FootnoteText"/>
              <w:rPr>
                <w:sz w:val="18"/>
                <w:szCs w:val="18"/>
              </w:rPr>
            </w:pPr>
            <w:r w:rsidRPr="00BD6DEB">
              <w:rPr>
                <w:sz w:val="18"/>
                <w:szCs w:val="18"/>
              </w:rPr>
              <w:t>I = 50%</w:t>
            </w:r>
          </w:p>
        </w:tc>
      </w:tr>
      <w:tr w:rsidR="00F40B87" w:rsidRPr="00BD6DEB" w14:paraId="14509BF1" w14:textId="77777777" w:rsidTr="00F40B87">
        <w:trPr>
          <w:trHeight w:hRule="exact" w:val="284"/>
        </w:trPr>
        <w:tc>
          <w:tcPr>
            <w:tcW w:w="5000" w:type="pct"/>
            <w:gridSpan w:val="9"/>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88DB44" w14:textId="77777777" w:rsidR="00F40B87" w:rsidRPr="00BD6DEB" w:rsidRDefault="00F40B87" w:rsidP="00F2680F">
            <w:pPr>
              <w:pStyle w:val="FootnoteText"/>
              <w:ind w:firstLine="0"/>
              <w:rPr>
                <w:sz w:val="18"/>
                <w:szCs w:val="18"/>
              </w:rPr>
            </w:pPr>
            <w:proofErr w:type="spellStart"/>
            <w:r w:rsidRPr="00BD6DEB">
              <w:rPr>
                <w:b/>
                <w:bCs/>
                <w:sz w:val="18"/>
                <w:szCs w:val="18"/>
              </w:rPr>
              <w:t>Pārskata</w:t>
            </w:r>
            <w:proofErr w:type="spellEnd"/>
            <w:r w:rsidRPr="00BD6DEB">
              <w:rPr>
                <w:b/>
                <w:bCs/>
                <w:sz w:val="18"/>
                <w:szCs w:val="18"/>
              </w:rPr>
              <w:t xml:space="preserve"> periods (</w:t>
            </w:r>
            <w:proofErr w:type="spellStart"/>
            <w:r w:rsidRPr="00BD6DEB">
              <w:rPr>
                <w:b/>
                <w:bCs/>
                <w:sz w:val="18"/>
                <w:szCs w:val="18"/>
              </w:rPr>
              <w:t>gadi</w:t>
            </w:r>
            <w:proofErr w:type="spellEnd"/>
            <w:r w:rsidRPr="00BD6DEB">
              <w:rPr>
                <w:b/>
                <w:bCs/>
                <w:sz w:val="18"/>
                <w:szCs w:val="18"/>
              </w:rPr>
              <w:t>)</w:t>
            </w:r>
          </w:p>
        </w:tc>
      </w:tr>
      <w:tr w:rsidR="00F40B87" w:rsidRPr="00BD6DEB" w14:paraId="2EE7E30B" w14:textId="77777777" w:rsidTr="00F40B87">
        <w:trPr>
          <w:trHeight w:hRule="exact" w:val="284"/>
        </w:trPr>
        <w:tc>
          <w:tcPr>
            <w:tcW w:w="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7B3707" w14:textId="77777777" w:rsidR="00F40B87" w:rsidRPr="00BD6DEB" w:rsidRDefault="00F40B87" w:rsidP="00F2680F">
            <w:pPr>
              <w:pStyle w:val="FootnoteText"/>
              <w:ind w:firstLine="0"/>
              <w:rPr>
                <w:sz w:val="18"/>
                <w:szCs w:val="18"/>
              </w:rPr>
            </w:pPr>
            <w:r w:rsidRPr="00BD6DEB">
              <w:rPr>
                <w:sz w:val="18"/>
                <w:szCs w:val="18"/>
              </w:rPr>
              <w:t>2018</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AF683" w14:textId="77777777" w:rsidR="00F40B87" w:rsidRPr="00BD6DEB" w:rsidRDefault="00F40B87" w:rsidP="00F2680F">
            <w:pPr>
              <w:pStyle w:val="FootnoteText"/>
              <w:ind w:firstLine="0"/>
              <w:rPr>
                <w:sz w:val="18"/>
                <w:szCs w:val="18"/>
              </w:rPr>
            </w:pPr>
            <w:r w:rsidRPr="00BD6DEB">
              <w:rPr>
                <w:sz w:val="18"/>
                <w:szCs w:val="18"/>
              </w:rPr>
              <w:t>2019</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CFD9E1" w14:textId="77777777" w:rsidR="00F40B87" w:rsidRPr="00BD6DEB" w:rsidRDefault="00F40B87" w:rsidP="00F2680F">
            <w:pPr>
              <w:pStyle w:val="FootnoteText"/>
              <w:ind w:firstLine="0"/>
              <w:rPr>
                <w:sz w:val="18"/>
                <w:szCs w:val="18"/>
              </w:rPr>
            </w:pPr>
            <w:r w:rsidRPr="00BD6DEB">
              <w:rPr>
                <w:sz w:val="18"/>
                <w:szCs w:val="18"/>
              </w:rPr>
              <w:t>2020</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E661DB" w14:textId="77777777" w:rsidR="00F40B87" w:rsidRPr="00BD6DEB" w:rsidRDefault="00F40B87" w:rsidP="00F2680F">
            <w:pPr>
              <w:pStyle w:val="FootnoteText"/>
              <w:ind w:firstLine="0"/>
              <w:rPr>
                <w:sz w:val="18"/>
                <w:szCs w:val="18"/>
              </w:rPr>
            </w:pPr>
            <w:r w:rsidRPr="00BD6DEB">
              <w:rPr>
                <w:sz w:val="18"/>
                <w:szCs w:val="18"/>
              </w:rPr>
              <w:t>2021</w:t>
            </w:r>
          </w:p>
        </w:tc>
        <w:tc>
          <w:tcPr>
            <w:tcW w:w="715"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44F595" w14:textId="77777777" w:rsidR="00F40B87" w:rsidRPr="00BD6DEB" w:rsidRDefault="00F40B87" w:rsidP="00F2680F">
            <w:pPr>
              <w:pStyle w:val="FootnoteText"/>
              <w:ind w:firstLine="0"/>
              <w:rPr>
                <w:sz w:val="18"/>
                <w:szCs w:val="18"/>
              </w:rPr>
            </w:pPr>
            <w:r w:rsidRPr="00BD6DEB">
              <w:rPr>
                <w:sz w:val="18"/>
                <w:szCs w:val="18"/>
              </w:rPr>
              <w:t>2022</w:t>
            </w:r>
          </w:p>
        </w:tc>
        <w:tc>
          <w:tcPr>
            <w:tcW w:w="714"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8E4C0B" w14:textId="77777777" w:rsidR="00F40B87" w:rsidRPr="00BD6DEB" w:rsidRDefault="00F40B87" w:rsidP="00F2680F">
            <w:pPr>
              <w:pStyle w:val="FootnoteText"/>
              <w:ind w:firstLine="0"/>
              <w:rPr>
                <w:sz w:val="18"/>
                <w:szCs w:val="18"/>
              </w:rPr>
            </w:pPr>
            <w:r w:rsidRPr="00BD6DEB">
              <w:rPr>
                <w:sz w:val="18"/>
                <w:szCs w:val="18"/>
              </w:rPr>
              <w:t>2023</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07FFA9" w14:textId="77777777" w:rsidR="00F40B87" w:rsidRPr="00BD6DEB" w:rsidRDefault="00F40B87" w:rsidP="00F2680F">
            <w:pPr>
              <w:pStyle w:val="FootnoteText"/>
              <w:ind w:firstLine="0"/>
              <w:rPr>
                <w:sz w:val="18"/>
                <w:szCs w:val="18"/>
              </w:rPr>
            </w:pPr>
            <w:r w:rsidRPr="00BD6DEB">
              <w:rPr>
                <w:sz w:val="18"/>
                <w:szCs w:val="18"/>
              </w:rPr>
              <w:t>2024</w:t>
            </w:r>
          </w:p>
        </w:tc>
      </w:tr>
      <w:tr w:rsidR="00F40B87" w:rsidRPr="00BD6DEB" w14:paraId="76612A89" w14:textId="77777777" w:rsidTr="00F40B87">
        <w:trPr>
          <w:trHeight w:hRule="exact" w:val="284"/>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10FDDF03" w14:textId="77777777" w:rsidR="00F40B87" w:rsidRPr="00BD6DEB" w:rsidRDefault="00F40B87" w:rsidP="00F2680F">
            <w:pPr>
              <w:pStyle w:val="FootnoteText"/>
              <w:ind w:firstLine="0"/>
              <w:rPr>
                <w:sz w:val="18"/>
                <w:szCs w:val="18"/>
              </w:rPr>
            </w:pPr>
            <w:proofErr w:type="spellStart"/>
            <w:r w:rsidRPr="00BD6DEB">
              <w:rPr>
                <w:b/>
                <w:bCs/>
                <w:sz w:val="18"/>
                <w:szCs w:val="18"/>
              </w:rPr>
              <w:t>Saimnieciskai</w:t>
            </w:r>
            <w:proofErr w:type="spellEnd"/>
            <w:r w:rsidRPr="00BD6DEB">
              <w:rPr>
                <w:b/>
                <w:bCs/>
                <w:sz w:val="18"/>
                <w:szCs w:val="18"/>
              </w:rPr>
              <w:t xml:space="preserve"> </w:t>
            </w:r>
            <w:proofErr w:type="spellStart"/>
            <w:r w:rsidRPr="00BD6DEB">
              <w:rPr>
                <w:b/>
                <w:bCs/>
                <w:sz w:val="18"/>
                <w:szCs w:val="18"/>
              </w:rPr>
              <w:t>darbībai</w:t>
            </w:r>
            <w:proofErr w:type="spellEnd"/>
            <w:r w:rsidRPr="00BD6DEB">
              <w:rPr>
                <w:b/>
                <w:bCs/>
                <w:sz w:val="18"/>
                <w:szCs w:val="18"/>
              </w:rPr>
              <w:t xml:space="preserve"> </w:t>
            </w:r>
            <w:proofErr w:type="spellStart"/>
            <w:r w:rsidRPr="00BD6DEB">
              <w:rPr>
                <w:b/>
                <w:bCs/>
                <w:sz w:val="18"/>
                <w:szCs w:val="18"/>
              </w:rPr>
              <w:t>iedalītā</w:t>
            </w:r>
            <w:proofErr w:type="spellEnd"/>
            <w:r w:rsidRPr="00BD6DEB">
              <w:rPr>
                <w:b/>
                <w:bCs/>
                <w:sz w:val="18"/>
                <w:szCs w:val="18"/>
              </w:rPr>
              <w:t xml:space="preserve"> </w:t>
            </w:r>
            <w:proofErr w:type="spellStart"/>
            <w:r w:rsidRPr="00BD6DEB">
              <w:rPr>
                <w:b/>
                <w:bCs/>
                <w:sz w:val="18"/>
                <w:szCs w:val="18"/>
              </w:rPr>
              <w:t>jauda</w:t>
            </w:r>
            <w:proofErr w:type="spellEnd"/>
            <w:r w:rsidRPr="00BD6DEB">
              <w:rPr>
                <w:b/>
                <w:bCs/>
                <w:sz w:val="18"/>
                <w:szCs w:val="18"/>
              </w:rPr>
              <w:t xml:space="preserve"> </w:t>
            </w:r>
            <w:proofErr w:type="spellStart"/>
            <w:r w:rsidRPr="00BD6DEB">
              <w:rPr>
                <w:b/>
                <w:bCs/>
                <w:sz w:val="18"/>
                <w:szCs w:val="18"/>
              </w:rPr>
              <w:t>finanšu</w:t>
            </w:r>
            <w:proofErr w:type="spellEnd"/>
            <w:r w:rsidRPr="00BD6DEB">
              <w:rPr>
                <w:b/>
                <w:bCs/>
                <w:sz w:val="18"/>
                <w:szCs w:val="18"/>
              </w:rPr>
              <w:t xml:space="preserve"> </w:t>
            </w:r>
            <w:proofErr w:type="spellStart"/>
            <w:r w:rsidRPr="00BD6DEB">
              <w:rPr>
                <w:b/>
                <w:bCs/>
                <w:sz w:val="18"/>
                <w:szCs w:val="18"/>
              </w:rPr>
              <w:t>izteiksmē</w:t>
            </w:r>
            <w:proofErr w:type="spellEnd"/>
            <w:r w:rsidRPr="00BD6DEB">
              <w:rPr>
                <w:b/>
                <w:bCs/>
                <w:sz w:val="18"/>
                <w:szCs w:val="18"/>
              </w:rPr>
              <w:t xml:space="preserve"> (J %) </w:t>
            </w:r>
          </w:p>
        </w:tc>
      </w:tr>
      <w:tr w:rsidR="00F40B87" w:rsidRPr="00BD6DEB" w14:paraId="23AF5AE2" w14:textId="77777777" w:rsidTr="00F40B87">
        <w:trPr>
          <w:trHeight w:hRule="exact" w:val="284"/>
        </w:trPr>
        <w:tc>
          <w:tcPr>
            <w:tcW w:w="715"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08A9CFAC" w14:textId="77777777" w:rsidR="00F40B87" w:rsidRPr="00BD6DEB" w:rsidRDefault="00F40B87" w:rsidP="00F2680F">
            <w:pPr>
              <w:pStyle w:val="FootnoteText"/>
              <w:rPr>
                <w:sz w:val="18"/>
                <w:szCs w:val="18"/>
              </w:rPr>
            </w:pPr>
            <w:r w:rsidRPr="00BD6DEB">
              <w:rPr>
                <w:sz w:val="18"/>
                <w:szCs w:val="18"/>
              </w:rPr>
              <w:t>19%</w:t>
            </w:r>
          </w:p>
        </w:tc>
        <w:tc>
          <w:tcPr>
            <w:tcW w:w="715"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75909D5F" w14:textId="77777777" w:rsidR="00F40B87" w:rsidRPr="00BD6DEB" w:rsidRDefault="00F40B87" w:rsidP="00F2680F">
            <w:pPr>
              <w:pStyle w:val="FootnoteText"/>
              <w:rPr>
                <w:sz w:val="18"/>
                <w:szCs w:val="18"/>
              </w:rPr>
            </w:pPr>
            <w:r w:rsidRPr="00BD6DEB">
              <w:rPr>
                <w:sz w:val="18"/>
                <w:szCs w:val="18"/>
              </w:rPr>
              <w:t>24%</w:t>
            </w:r>
          </w:p>
        </w:tc>
        <w:tc>
          <w:tcPr>
            <w:tcW w:w="714"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47F245F0" w14:textId="77777777" w:rsidR="00F40B87" w:rsidRPr="00BD6DEB" w:rsidRDefault="00F40B87" w:rsidP="00F2680F">
            <w:pPr>
              <w:pStyle w:val="FootnoteText"/>
              <w:rPr>
                <w:sz w:val="18"/>
                <w:szCs w:val="18"/>
              </w:rPr>
            </w:pPr>
            <w:r w:rsidRPr="00BD6DEB">
              <w:rPr>
                <w:sz w:val="18"/>
                <w:szCs w:val="18"/>
              </w:rPr>
              <w:t>18%</w:t>
            </w:r>
          </w:p>
        </w:tc>
        <w:tc>
          <w:tcPr>
            <w:tcW w:w="714"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3471EEEA" w14:textId="77777777" w:rsidR="00F40B87" w:rsidRPr="00BD6DEB" w:rsidRDefault="00F40B87" w:rsidP="00F2680F">
            <w:pPr>
              <w:pStyle w:val="FootnoteText"/>
              <w:rPr>
                <w:sz w:val="18"/>
                <w:szCs w:val="18"/>
              </w:rPr>
            </w:pPr>
            <w:r w:rsidRPr="00BD6DEB">
              <w:rPr>
                <w:sz w:val="18"/>
                <w:szCs w:val="18"/>
              </w:rPr>
              <w:t>19%</w:t>
            </w:r>
          </w:p>
        </w:tc>
        <w:tc>
          <w:tcPr>
            <w:tcW w:w="715" w:type="pct"/>
            <w:gridSpan w:val="2"/>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11E761F9" w14:textId="77777777" w:rsidR="00F40B87" w:rsidRPr="00BD6DEB" w:rsidRDefault="00F40B87" w:rsidP="00F2680F">
            <w:pPr>
              <w:pStyle w:val="FootnoteText"/>
              <w:rPr>
                <w:sz w:val="18"/>
                <w:szCs w:val="18"/>
              </w:rPr>
            </w:pPr>
            <w:r w:rsidRPr="00BD6DEB">
              <w:rPr>
                <w:sz w:val="18"/>
                <w:szCs w:val="18"/>
              </w:rPr>
              <w:t>27%</w:t>
            </w:r>
          </w:p>
        </w:tc>
        <w:tc>
          <w:tcPr>
            <w:tcW w:w="714" w:type="pct"/>
            <w:gridSpan w:val="2"/>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74A65490" w14:textId="77777777" w:rsidR="00F40B87" w:rsidRPr="00BD6DEB" w:rsidRDefault="00F40B87" w:rsidP="00F2680F">
            <w:pPr>
              <w:pStyle w:val="FootnoteText"/>
              <w:rPr>
                <w:sz w:val="18"/>
                <w:szCs w:val="18"/>
              </w:rPr>
            </w:pPr>
            <w:r w:rsidRPr="00BD6DEB">
              <w:rPr>
                <w:sz w:val="18"/>
                <w:szCs w:val="18"/>
              </w:rPr>
              <w:t>30%</w:t>
            </w:r>
          </w:p>
        </w:tc>
        <w:tc>
          <w:tcPr>
            <w:tcW w:w="713"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2C07009D" w14:textId="77777777" w:rsidR="00F40B87" w:rsidRPr="00BD6DEB" w:rsidRDefault="00F40B87" w:rsidP="00F2680F">
            <w:pPr>
              <w:pStyle w:val="FootnoteText"/>
              <w:rPr>
                <w:sz w:val="18"/>
                <w:szCs w:val="18"/>
              </w:rPr>
            </w:pPr>
          </w:p>
        </w:tc>
      </w:tr>
      <w:tr w:rsidR="00F40B87" w:rsidRPr="00BD6DEB" w14:paraId="062BE580" w14:textId="77777777" w:rsidTr="00F40B87">
        <w:trPr>
          <w:trHeight w:val="113"/>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193E4D65" w14:textId="77777777" w:rsidR="00F40B87" w:rsidRPr="00BD6DEB" w:rsidRDefault="00F40B87" w:rsidP="00F2680F">
            <w:pPr>
              <w:pStyle w:val="FootnoteText"/>
              <w:ind w:firstLine="0"/>
              <w:rPr>
                <w:sz w:val="18"/>
                <w:szCs w:val="18"/>
              </w:rPr>
            </w:pPr>
            <w:proofErr w:type="spellStart"/>
            <w:r w:rsidRPr="00BD6DEB">
              <w:rPr>
                <w:sz w:val="18"/>
                <w:szCs w:val="18"/>
              </w:rPr>
              <w:t>Nākamajā</w:t>
            </w:r>
            <w:proofErr w:type="spellEnd"/>
            <w:r w:rsidRPr="00BD6DEB">
              <w:rPr>
                <w:sz w:val="18"/>
                <w:szCs w:val="18"/>
              </w:rPr>
              <w:t xml:space="preserve"> </w:t>
            </w:r>
            <w:proofErr w:type="spellStart"/>
            <w:r w:rsidRPr="00BD6DEB">
              <w:rPr>
                <w:sz w:val="18"/>
                <w:szCs w:val="18"/>
              </w:rPr>
              <w:t>pārskata</w:t>
            </w:r>
            <w:proofErr w:type="spellEnd"/>
            <w:r w:rsidRPr="00BD6DEB">
              <w:rPr>
                <w:sz w:val="18"/>
                <w:szCs w:val="18"/>
              </w:rPr>
              <w:t xml:space="preserve"> </w:t>
            </w:r>
            <w:proofErr w:type="spellStart"/>
            <w:r w:rsidRPr="00BD6DEB">
              <w:rPr>
                <w:sz w:val="18"/>
                <w:szCs w:val="18"/>
              </w:rPr>
              <w:t>gadā</w:t>
            </w:r>
            <w:proofErr w:type="spellEnd"/>
            <w:r w:rsidRPr="00BD6DEB">
              <w:rPr>
                <w:sz w:val="18"/>
                <w:szCs w:val="18"/>
              </w:rPr>
              <w:t xml:space="preserve"> </w:t>
            </w:r>
            <w:proofErr w:type="spellStart"/>
            <w:r w:rsidRPr="00BD6DEB">
              <w:rPr>
                <w:sz w:val="18"/>
                <w:szCs w:val="18"/>
              </w:rPr>
              <w:t>atgūstam</w:t>
            </w:r>
            <w:r>
              <w:rPr>
                <w:sz w:val="18"/>
                <w:szCs w:val="18"/>
              </w:rPr>
              <w:t>o</w:t>
            </w:r>
            <w:proofErr w:type="spellEnd"/>
            <w:r w:rsidRPr="00BD6DEB">
              <w:rPr>
                <w:sz w:val="18"/>
                <w:szCs w:val="18"/>
              </w:rPr>
              <w:t xml:space="preserve"> </w:t>
            </w:r>
            <w:proofErr w:type="spellStart"/>
            <w:r w:rsidRPr="00BD6DEB">
              <w:rPr>
                <w:sz w:val="18"/>
                <w:szCs w:val="18"/>
              </w:rPr>
              <w:t>pu</w:t>
            </w:r>
            <w:r>
              <w:rPr>
                <w:sz w:val="18"/>
                <w:szCs w:val="18"/>
              </w:rPr>
              <w:t>blisko</w:t>
            </w:r>
            <w:proofErr w:type="spellEnd"/>
            <w:r>
              <w:rPr>
                <w:sz w:val="18"/>
                <w:szCs w:val="18"/>
              </w:rPr>
              <w:t xml:space="preserve"> </w:t>
            </w:r>
            <w:proofErr w:type="spellStart"/>
            <w:r>
              <w:rPr>
                <w:sz w:val="18"/>
                <w:szCs w:val="18"/>
              </w:rPr>
              <w:t>finansējumu</w:t>
            </w:r>
            <w:proofErr w:type="spellEnd"/>
            <w:r>
              <w:rPr>
                <w:sz w:val="18"/>
                <w:szCs w:val="18"/>
              </w:rPr>
              <w:t xml:space="preserve"> P (</w:t>
            </w:r>
            <w:proofErr w:type="spellStart"/>
            <w:r>
              <w:rPr>
                <w:sz w:val="18"/>
                <w:szCs w:val="18"/>
              </w:rPr>
              <w:t>ja</w:t>
            </w:r>
            <w:proofErr w:type="spellEnd"/>
            <w:r>
              <w:rPr>
                <w:sz w:val="18"/>
                <w:szCs w:val="18"/>
              </w:rPr>
              <w:t xml:space="preserve"> J &gt;20%) </w:t>
            </w:r>
            <w:proofErr w:type="spellStart"/>
            <w:r>
              <w:rPr>
                <w:sz w:val="18"/>
                <w:szCs w:val="18"/>
              </w:rPr>
              <w:t>aprēķina</w:t>
            </w:r>
            <w:proofErr w:type="spellEnd"/>
            <w:r>
              <w:rPr>
                <w:sz w:val="18"/>
                <w:szCs w:val="18"/>
              </w:rPr>
              <w:t xml:space="preserve">, </w:t>
            </w:r>
            <w:proofErr w:type="spellStart"/>
            <w:r>
              <w:rPr>
                <w:sz w:val="18"/>
                <w:szCs w:val="18"/>
              </w:rPr>
              <w:t>izmantojot</w:t>
            </w:r>
            <w:proofErr w:type="spellEnd"/>
            <w:r>
              <w:rPr>
                <w:sz w:val="18"/>
                <w:szCs w:val="18"/>
              </w:rPr>
              <w:t xml:space="preserve"> </w:t>
            </w:r>
            <w:proofErr w:type="spellStart"/>
            <w:r>
              <w:rPr>
                <w:sz w:val="18"/>
                <w:szCs w:val="18"/>
              </w:rPr>
              <w:t>formulu</w:t>
            </w:r>
            <w:proofErr w:type="spellEnd"/>
            <w:r>
              <w:rPr>
                <w:sz w:val="18"/>
                <w:szCs w:val="18"/>
              </w:rPr>
              <w:t xml:space="preserve">: </w:t>
            </w:r>
            <w:r w:rsidRPr="00BD6DEB">
              <w:rPr>
                <w:b/>
                <w:bCs/>
                <w:sz w:val="18"/>
                <w:szCs w:val="18"/>
              </w:rPr>
              <w:t>P = F x N x J x I</w:t>
            </w:r>
          </w:p>
        </w:tc>
      </w:tr>
      <w:tr w:rsidR="00F40B87" w:rsidRPr="00BD6DEB" w14:paraId="5D7AD638" w14:textId="77777777" w:rsidTr="00F40B87">
        <w:trPr>
          <w:trHeight w:val="113"/>
        </w:trPr>
        <w:tc>
          <w:tcPr>
            <w:tcW w:w="715"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5D100FC1" w14:textId="77777777" w:rsidR="00F40B87" w:rsidRPr="00BD6DEB" w:rsidRDefault="00F40B87" w:rsidP="00F2680F">
            <w:pPr>
              <w:pStyle w:val="FootnoteText"/>
              <w:rPr>
                <w:sz w:val="18"/>
                <w:szCs w:val="18"/>
              </w:rPr>
            </w:pPr>
            <w:r w:rsidRPr="00BD6DEB">
              <w:rPr>
                <w:sz w:val="18"/>
                <w:szCs w:val="18"/>
              </w:rPr>
              <w:t>-</w:t>
            </w:r>
          </w:p>
        </w:tc>
        <w:tc>
          <w:tcPr>
            <w:tcW w:w="715"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4C39380E" w14:textId="77777777" w:rsidR="00F40B87" w:rsidRPr="00BD6DEB" w:rsidRDefault="00F40B87" w:rsidP="00F2680F">
            <w:pPr>
              <w:pStyle w:val="FootnoteText"/>
              <w:rPr>
                <w:sz w:val="18"/>
                <w:szCs w:val="18"/>
              </w:rPr>
            </w:pPr>
            <w:r w:rsidRPr="00BD6DEB">
              <w:rPr>
                <w:sz w:val="18"/>
                <w:szCs w:val="18"/>
              </w:rPr>
              <w:t>0</w:t>
            </w:r>
          </w:p>
        </w:tc>
        <w:tc>
          <w:tcPr>
            <w:tcW w:w="714"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4A283BDD" w14:textId="77777777" w:rsidR="00F40B87" w:rsidRPr="00BD6DEB" w:rsidRDefault="00F40B87" w:rsidP="00F2680F">
            <w:pPr>
              <w:pStyle w:val="FootnoteText"/>
              <w:rPr>
                <w:sz w:val="18"/>
                <w:szCs w:val="18"/>
              </w:rPr>
            </w:pPr>
            <w:r w:rsidRPr="00BD6DEB">
              <w:rPr>
                <w:sz w:val="18"/>
                <w:szCs w:val="18"/>
              </w:rPr>
              <w:t>1,2</w:t>
            </w:r>
          </w:p>
        </w:tc>
        <w:tc>
          <w:tcPr>
            <w:tcW w:w="714"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048D71C5" w14:textId="77777777" w:rsidR="00F40B87" w:rsidRPr="00BD6DEB" w:rsidRDefault="00F40B87" w:rsidP="00F2680F">
            <w:pPr>
              <w:pStyle w:val="FootnoteText"/>
              <w:rPr>
                <w:sz w:val="18"/>
                <w:szCs w:val="18"/>
              </w:rPr>
            </w:pPr>
            <w:r w:rsidRPr="00BD6DEB">
              <w:rPr>
                <w:sz w:val="18"/>
                <w:szCs w:val="18"/>
              </w:rPr>
              <w:t>0</w:t>
            </w:r>
          </w:p>
        </w:tc>
        <w:tc>
          <w:tcPr>
            <w:tcW w:w="715" w:type="pct"/>
            <w:gridSpan w:val="2"/>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415235EF" w14:textId="77777777" w:rsidR="00F40B87" w:rsidRPr="00BD6DEB" w:rsidRDefault="00F40B87" w:rsidP="00F2680F">
            <w:pPr>
              <w:pStyle w:val="FootnoteText"/>
              <w:rPr>
                <w:sz w:val="18"/>
                <w:szCs w:val="18"/>
              </w:rPr>
            </w:pPr>
            <w:r w:rsidRPr="00BD6DEB">
              <w:rPr>
                <w:sz w:val="18"/>
                <w:szCs w:val="18"/>
              </w:rPr>
              <w:t>0</w:t>
            </w:r>
          </w:p>
        </w:tc>
        <w:tc>
          <w:tcPr>
            <w:tcW w:w="714" w:type="pct"/>
            <w:gridSpan w:val="2"/>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09EBE17A" w14:textId="77777777" w:rsidR="00F40B87" w:rsidRPr="00BD6DEB" w:rsidRDefault="00F40B87" w:rsidP="00F2680F">
            <w:pPr>
              <w:pStyle w:val="FootnoteText"/>
              <w:ind w:firstLine="0"/>
              <w:rPr>
                <w:sz w:val="18"/>
                <w:szCs w:val="18"/>
              </w:rPr>
            </w:pPr>
            <w:r w:rsidRPr="00BD6DEB">
              <w:rPr>
                <w:sz w:val="18"/>
                <w:szCs w:val="18"/>
              </w:rPr>
              <w:t>1,35</w:t>
            </w:r>
          </w:p>
        </w:tc>
        <w:tc>
          <w:tcPr>
            <w:tcW w:w="713" w:type="pct"/>
            <w:tcBorders>
              <w:top w:val="single" w:sz="8" w:space="0" w:color="000000"/>
              <w:left w:val="single" w:sz="8" w:space="0" w:color="000000"/>
              <w:bottom w:val="single" w:sz="8" w:space="0" w:color="000000"/>
              <w:right w:val="single" w:sz="8" w:space="0" w:color="000000"/>
            </w:tcBorders>
            <w:shd w:val="clear" w:color="auto" w:fill="F6F6FC"/>
            <w:tcMar>
              <w:top w:w="72" w:type="dxa"/>
              <w:left w:w="144" w:type="dxa"/>
              <w:bottom w:w="72" w:type="dxa"/>
              <w:right w:w="144" w:type="dxa"/>
            </w:tcMar>
            <w:hideMark/>
          </w:tcPr>
          <w:p w14:paraId="3935BC05" w14:textId="77777777" w:rsidR="00F40B87" w:rsidRPr="00BD6DEB" w:rsidRDefault="00F40B87" w:rsidP="00F2680F">
            <w:pPr>
              <w:pStyle w:val="FootnoteText"/>
              <w:ind w:firstLine="0"/>
              <w:rPr>
                <w:sz w:val="18"/>
                <w:szCs w:val="18"/>
              </w:rPr>
            </w:pPr>
            <w:r w:rsidRPr="00BD6DEB">
              <w:rPr>
                <w:sz w:val="18"/>
                <w:szCs w:val="18"/>
              </w:rPr>
              <w:t>1,5</w:t>
            </w:r>
          </w:p>
        </w:tc>
      </w:tr>
    </w:tbl>
    <w:p w14:paraId="02CA2544" w14:textId="62418C01" w:rsidR="00F40B87" w:rsidRPr="00F2680F" w:rsidRDefault="00F40B87">
      <w:pPr>
        <w:pStyle w:val="FootnoteText"/>
        <w:rPr>
          <w:lang w:val="lv-LV"/>
        </w:rPr>
      </w:pPr>
    </w:p>
  </w:footnote>
  <w:footnote w:id="3">
    <w:p w14:paraId="1DA771C8" w14:textId="77777777" w:rsidR="00F40B87" w:rsidRPr="00A65B18" w:rsidRDefault="00F40B87" w:rsidP="00830308">
      <w:pPr>
        <w:pStyle w:val="FootnoteText"/>
      </w:pPr>
      <w:r>
        <w:rPr>
          <w:rStyle w:val="FootnoteReference"/>
        </w:rPr>
        <w:footnoteRef/>
      </w:r>
      <w:r>
        <w:t xml:space="preserve"> </w:t>
      </w:r>
      <w:proofErr w:type="spellStart"/>
      <w:r>
        <w:t>Informācijas</w:t>
      </w:r>
      <w:proofErr w:type="spellEnd"/>
      <w:r>
        <w:t xml:space="preserve"> </w:t>
      </w:r>
      <w:proofErr w:type="spellStart"/>
      <w:r>
        <w:t>avots</w:t>
      </w:r>
      <w:proofErr w:type="spellEnd"/>
      <w:r>
        <w:t xml:space="preserve">: </w:t>
      </w:r>
      <w:hyperlink r:id="rId2" w:history="1">
        <w:r w:rsidRPr="007745F8">
          <w:rPr>
            <w:rStyle w:val="Hyperlink"/>
          </w:rPr>
          <w:t>https://webgate.ec.europa.eu/fpfis/wikis/display/StateAid/Homepage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332C" w14:textId="76DBF88F" w:rsidR="00F40B87" w:rsidRPr="004D15A9" w:rsidRDefault="00F40B87">
    <w:pPr>
      <w:pStyle w:val="Header"/>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E3411">
          <w:rPr>
            <w:rFonts w:ascii="Times New Roman" w:hAnsi="Times New Roman" w:cs="Times New Roman"/>
            <w:noProof/>
            <w:sz w:val="24"/>
            <w:szCs w:val="24"/>
          </w:rPr>
          <w:t>15</w:t>
        </w:r>
        <w:r w:rsidRPr="004D15A9">
          <w:rPr>
            <w:rFonts w:ascii="Times New Roman" w:hAnsi="Times New Roman" w:cs="Times New Roman"/>
            <w:sz w:val="24"/>
            <w:szCs w:val="24"/>
          </w:rPr>
          <w:fldChar w:fldCharType="end"/>
        </w:r>
      </w:sdtContent>
    </w:sdt>
  </w:p>
  <w:p w14:paraId="0CC012AD" w14:textId="77777777" w:rsidR="00F40B87" w:rsidRDefault="00F40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20B6"/>
    <w:multiLevelType w:val="hybridMultilevel"/>
    <w:tmpl w:val="1E70300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
    <w:nsid w:val="5D1E22F1"/>
    <w:multiLevelType w:val="hybridMultilevel"/>
    <w:tmpl w:val="3E827F62"/>
    <w:lvl w:ilvl="0" w:tplc="2550E7B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
    <w:nsid w:val="656F184A"/>
    <w:multiLevelType w:val="hybridMultilevel"/>
    <w:tmpl w:val="67DE4D6E"/>
    <w:lvl w:ilvl="0" w:tplc="CCECF0B8">
      <w:start w:val="1"/>
      <w:numFmt w:val="decimal"/>
      <w:lvlText w:val="%1."/>
      <w:lvlJc w:val="left"/>
      <w:pPr>
        <w:ind w:left="461" w:hanging="360"/>
      </w:pPr>
      <w:rPr>
        <w:rFonts w:hint="default"/>
        <w:i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D95"/>
    <w:rsid w:val="00005653"/>
    <w:rsid w:val="00005A77"/>
    <w:rsid w:val="000064B9"/>
    <w:rsid w:val="000066A7"/>
    <w:rsid w:val="00007C97"/>
    <w:rsid w:val="000109F0"/>
    <w:rsid w:val="00010EDF"/>
    <w:rsid w:val="0001402D"/>
    <w:rsid w:val="00014D27"/>
    <w:rsid w:val="0001520C"/>
    <w:rsid w:val="0001567A"/>
    <w:rsid w:val="00016DC4"/>
    <w:rsid w:val="00022D99"/>
    <w:rsid w:val="00023F93"/>
    <w:rsid w:val="0002748E"/>
    <w:rsid w:val="00030A9E"/>
    <w:rsid w:val="0003107E"/>
    <w:rsid w:val="00031156"/>
    <w:rsid w:val="00031256"/>
    <w:rsid w:val="000324E8"/>
    <w:rsid w:val="00032583"/>
    <w:rsid w:val="00033EF7"/>
    <w:rsid w:val="000340AD"/>
    <w:rsid w:val="00034BC3"/>
    <w:rsid w:val="00036A1F"/>
    <w:rsid w:val="00041B4A"/>
    <w:rsid w:val="00041C2C"/>
    <w:rsid w:val="00046D2F"/>
    <w:rsid w:val="00053A4E"/>
    <w:rsid w:val="00053CC3"/>
    <w:rsid w:val="00053D39"/>
    <w:rsid w:val="00053D91"/>
    <w:rsid w:val="00054499"/>
    <w:rsid w:val="00055D11"/>
    <w:rsid w:val="00064841"/>
    <w:rsid w:val="000725CA"/>
    <w:rsid w:val="00075897"/>
    <w:rsid w:val="00077CDB"/>
    <w:rsid w:val="00083FD9"/>
    <w:rsid w:val="00084C4C"/>
    <w:rsid w:val="00084D70"/>
    <w:rsid w:val="00087390"/>
    <w:rsid w:val="00092254"/>
    <w:rsid w:val="0009253E"/>
    <w:rsid w:val="00094B50"/>
    <w:rsid w:val="00097548"/>
    <w:rsid w:val="000A0892"/>
    <w:rsid w:val="000A0A7E"/>
    <w:rsid w:val="000A0E01"/>
    <w:rsid w:val="000A3A6B"/>
    <w:rsid w:val="000A3EB6"/>
    <w:rsid w:val="000A409D"/>
    <w:rsid w:val="000A4261"/>
    <w:rsid w:val="000A610A"/>
    <w:rsid w:val="000A6A16"/>
    <w:rsid w:val="000A6D77"/>
    <w:rsid w:val="000B02BF"/>
    <w:rsid w:val="000B1816"/>
    <w:rsid w:val="000B3BB2"/>
    <w:rsid w:val="000B3D58"/>
    <w:rsid w:val="000B4316"/>
    <w:rsid w:val="000B6CDB"/>
    <w:rsid w:val="000B7A0F"/>
    <w:rsid w:val="000C0C45"/>
    <w:rsid w:val="000C1EB7"/>
    <w:rsid w:val="000C2226"/>
    <w:rsid w:val="000C2ECF"/>
    <w:rsid w:val="000C5134"/>
    <w:rsid w:val="000C5C5C"/>
    <w:rsid w:val="000C687A"/>
    <w:rsid w:val="000C790B"/>
    <w:rsid w:val="000C7A15"/>
    <w:rsid w:val="000D0695"/>
    <w:rsid w:val="000D0BF9"/>
    <w:rsid w:val="000D2469"/>
    <w:rsid w:val="000D4E7A"/>
    <w:rsid w:val="000D5D92"/>
    <w:rsid w:val="000D61A0"/>
    <w:rsid w:val="000D69A2"/>
    <w:rsid w:val="000D7C08"/>
    <w:rsid w:val="000D7CD4"/>
    <w:rsid w:val="000E07F8"/>
    <w:rsid w:val="000E090E"/>
    <w:rsid w:val="000E2545"/>
    <w:rsid w:val="000E2FF3"/>
    <w:rsid w:val="000E413B"/>
    <w:rsid w:val="000E5D43"/>
    <w:rsid w:val="000E6EF6"/>
    <w:rsid w:val="000E7275"/>
    <w:rsid w:val="000E78AB"/>
    <w:rsid w:val="000F185D"/>
    <w:rsid w:val="000F1E25"/>
    <w:rsid w:val="000F22EE"/>
    <w:rsid w:val="000F30EB"/>
    <w:rsid w:val="000F4A3E"/>
    <w:rsid w:val="000F6AED"/>
    <w:rsid w:val="001003C0"/>
    <w:rsid w:val="00101317"/>
    <w:rsid w:val="00101CD5"/>
    <w:rsid w:val="00106731"/>
    <w:rsid w:val="001077D4"/>
    <w:rsid w:val="001078E3"/>
    <w:rsid w:val="0011057C"/>
    <w:rsid w:val="00115218"/>
    <w:rsid w:val="00116112"/>
    <w:rsid w:val="001212DF"/>
    <w:rsid w:val="00123004"/>
    <w:rsid w:val="001240AE"/>
    <w:rsid w:val="001248D4"/>
    <w:rsid w:val="001251A7"/>
    <w:rsid w:val="001259CF"/>
    <w:rsid w:val="00125E1D"/>
    <w:rsid w:val="0013037C"/>
    <w:rsid w:val="00131CA5"/>
    <w:rsid w:val="00133626"/>
    <w:rsid w:val="001336AC"/>
    <w:rsid w:val="001343C6"/>
    <w:rsid w:val="00134762"/>
    <w:rsid w:val="001374F6"/>
    <w:rsid w:val="001409F6"/>
    <w:rsid w:val="00140DD4"/>
    <w:rsid w:val="0014113D"/>
    <w:rsid w:val="00141791"/>
    <w:rsid w:val="00142DBF"/>
    <w:rsid w:val="00144E48"/>
    <w:rsid w:val="00145E6C"/>
    <w:rsid w:val="001460DD"/>
    <w:rsid w:val="00147B80"/>
    <w:rsid w:val="00151896"/>
    <w:rsid w:val="00151E48"/>
    <w:rsid w:val="0015234D"/>
    <w:rsid w:val="0015365E"/>
    <w:rsid w:val="001539B0"/>
    <w:rsid w:val="00153A91"/>
    <w:rsid w:val="0015411E"/>
    <w:rsid w:val="00161D50"/>
    <w:rsid w:val="00162427"/>
    <w:rsid w:val="00163135"/>
    <w:rsid w:val="00164A51"/>
    <w:rsid w:val="00165B54"/>
    <w:rsid w:val="001662FF"/>
    <w:rsid w:val="00166990"/>
    <w:rsid w:val="001672B8"/>
    <w:rsid w:val="00167E7E"/>
    <w:rsid w:val="00170F2B"/>
    <w:rsid w:val="00172355"/>
    <w:rsid w:val="00172F08"/>
    <w:rsid w:val="00174472"/>
    <w:rsid w:val="00175ED3"/>
    <w:rsid w:val="001762A6"/>
    <w:rsid w:val="00176319"/>
    <w:rsid w:val="0017642E"/>
    <w:rsid w:val="00176CD5"/>
    <w:rsid w:val="00177850"/>
    <w:rsid w:val="001832A5"/>
    <w:rsid w:val="00185978"/>
    <w:rsid w:val="0018750E"/>
    <w:rsid w:val="001902DB"/>
    <w:rsid w:val="00191E22"/>
    <w:rsid w:val="001937D1"/>
    <w:rsid w:val="00193E5B"/>
    <w:rsid w:val="001A2F62"/>
    <w:rsid w:val="001A362F"/>
    <w:rsid w:val="001A3B83"/>
    <w:rsid w:val="001A4C68"/>
    <w:rsid w:val="001A5648"/>
    <w:rsid w:val="001A731B"/>
    <w:rsid w:val="001A7655"/>
    <w:rsid w:val="001B023B"/>
    <w:rsid w:val="001B39FE"/>
    <w:rsid w:val="001B4318"/>
    <w:rsid w:val="001B4D7C"/>
    <w:rsid w:val="001B66F0"/>
    <w:rsid w:val="001B7D70"/>
    <w:rsid w:val="001B7DD8"/>
    <w:rsid w:val="001C0989"/>
    <w:rsid w:val="001C0C3F"/>
    <w:rsid w:val="001C0E7D"/>
    <w:rsid w:val="001C12F9"/>
    <w:rsid w:val="001C228E"/>
    <w:rsid w:val="001C2AD1"/>
    <w:rsid w:val="001C33DE"/>
    <w:rsid w:val="001C44E0"/>
    <w:rsid w:val="001C60A8"/>
    <w:rsid w:val="001C64C7"/>
    <w:rsid w:val="001C65DA"/>
    <w:rsid w:val="001D1998"/>
    <w:rsid w:val="001D2096"/>
    <w:rsid w:val="001D2C27"/>
    <w:rsid w:val="001D7B8F"/>
    <w:rsid w:val="001D7D54"/>
    <w:rsid w:val="001E00E4"/>
    <w:rsid w:val="001E0172"/>
    <w:rsid w:val="001E0F58"/>
    <w:rsid w:val="001E18E5"/>
    <w:rsid w:val="001E1EA8"/>
    <w:rsid w:val="001E34BE"/>
    <w:rsid w:val="001E40A3"/>
    <w:rsid w:val="001E4C48"/>
    <w:rsid w:val="001E4C4D"/>
    <w:rsid w:val="001F16EF"/>
    <w:rsid w:val="001F1C46"/>
    <w:rsid w:val="001F3B32"/>
    <w:rsid w:val="001F4E77"/>
    <w:rsid w:val="001F611E"/>
    <w:rsid w:val="001F61CF"/>
    <w:rsid w:val="00201A25"/>
    <w:rsid w:val="00201B71"/>
    <w:rsid w:val="002020AD"/>
    <w:rsid w:val="00202A1A"/>
    <w:rsid w:val="00204CD0"/>
    <w:rsid w:val="0020675B"/>
    <w:rsid w:val="00210996"/>
    <w:rsid w:val="00212CE2"/>
    <w:rsid w:val="00212F98"/>
    <w:rsid w:val="00213243"/>
    <w:rsid w:val="002134E4"/>
    <w:rsid w:val="00213ABB"/>
    <w:rsid w:val="00214412"/>
    <w:rsid w:val="00214B7E"/>
    <w:rsid w:val="0021525C"/>
    <w:rsid w:val="00215A85"/>
    <w:rsid w:val="00216C36"/>
    <w:rsid w:val="00216FED"/>
    <w:rsid w:val="00217902"/>
    <w:rsid w:val="00220821"/>
    <w:rsid w:val="0022296E"/>
    <w:rsid w:val="00223572"/>
    <w:rsid w:val="0022382A"/>
    <w:rsid w:val="0022593C"/>
    <w:rsid w:val="0022632F"/>
    <w:rsid w:val="00226F1C"/>
    <w:rsid w:val="002274F0"/>
    <w:rsid w:val="00230FEC"/>
    <w:rsid w:val="002315EF"/>
    <w:rsid w:val="00232354"/>
    <w:rsid w:val="002355FE"/>
    <w:rsid w:val="002359A4"/>
    <w:rsid w:val="00242BF6"/>
    <w:rsid w:val="00246A58"/>
    <w:rsid w:val="00247B45"/>
    <w:rsid w:val="00250E38"/>
    <w:rsid w:val="002543D2"/>
    <w:rsid w:val="0025448E"/>
    <w:rsid w:val="0025457A"/>
    <w:rsid w:val="002557C0"/>
    <w:rsid w:val="00261D29"/>
    <w:rsid w:val="0026369C"/>
    <w:rsid w:val="0026644D"/>
    <w:rsid w:val="00266BF0"/>
    <w:rsid w:val="00266F67"/>
    <w:rsid w:val="00270948"/>
    <w:rsid w:val="002744DF"/>
    <w:rsid w:val="00275ACE"/>
    <w:rsid w:val="002768FF"/>
    <w:rsid w:val="00276F3D"/>
    <w:rsid w:val="00276F6C"/>
    <w:rsid w:val="00277602"/>
    <w:rsid w:val="002779CC"/>
    <w:rsid w:val="00283FB1"/>
    <w:rsid w:val="00285146"/>
    <w:rsid w:val="002869C1"/>
    <w:rsid w:val="00286A90"/>
    <w:rsid w:val="00287172"/>
    <w:rsid w:val="002873A5"/>
    <w:rsid w:val="002901A2"/>
    <w:rsid w:val="0029067A"/>
    <w:rsid w:val="00290F72"/>
    <w:rsid w:val="00291CD3"/>
    <w:rsid w:val="00291E72"/>
    <w:rsid w:val="00292576"/>
    <w:rsid w:val="00293A06"/>
    <w:rsid w:val="00294385"/>
    <w:rsid w:val="0029528B"/>
    <w:rsid w:val="002958F6"/>
    <w:rsid w:val="00295E45"/>
    <w:rsid w:val="002960D6"/>
    <w:rsid w:val="00296496"/>
    <w:rsid w:val="002A1228"/>
    <w:rsid w:val="002A33D9"/>
    <w:rsid w:val="002A4584"/>
    <w:rsid w:val="002A5D03"/>
    <w:rsid w:val="002B1556"/>
    <w:rsid w:val="002B1804"/>
    <w:rsid w:val="002B6FD1"/>
    <w:rsid w:val="002B784D"/>
    <w:rsid w:val="002C1E5F"/>
    <w:rsid w:val="002C4655"/>
    <w:rsid w:val="002C7902"/>
    <w:rsid w:val="002D007A"/>
    <w:rsid w:val="002D1F4D"/>
    <w:rsid w:val="002D39B4"/>
    <w:rsid w:val="002D5C5B"/>
    <w:rsid w:val="002D6FB5"/>
    <w:rsid w:val="002E0865"/>
    <w:rsid w:val="002E0C29"/>
    <w:rsid w:val="002E20D3"/>
    <w:rsid w:val="002E2F51"/>
    <w:rsid w:val="002E3101"/>
    <w:rsid w:val="002E32B8"/>
    <w:rsid w:val="002E5834"/>
    <w:rsid w:val="002E77AC"/>
    <w:rsid w:val="002E782B"/>
    <w:rsid w:val="002F1707"/>
    <w:rsid w:val="002F2941"/>
    <w:rsid w:val="002F4AD0"/>
    <w:rsid w:val="00300784"/>
    <w:rsid w:val="00301DCA"/>
    <w:rsid w:val="003032EF"/>
    <w:rsid w:val="00303F40"/>
    <w:rsid w:val="003044A1"/>
    <w:rsid w:val="00304ABD"/>
    <w:rsid w:val="00304B7F"/>
    <w:rsid w:val="003065EA"/>
    <w:rsid w:val="00306957"/>
    <w:rsid w:val="003072AE"/>
    <w:rsid w:val="00311B51"/>
    <w:rsid w:val="00311B67"/>
    <w:rsid w:val="0031345D"/>
    <w:rsid w:val="00314FF2"/>
    <w:rsid w:val="00315325"/>
    <w:rsid w:val="003173FB"/>
    <w:rsid w:val="00320299"/>
    <w:rsid w:val="003207AC"/>
    <w:rsid w:val="00320B32"/>
    <w:rsid w:val="003222E2"/>
    <w:rsid w:val="003274CD"/>
    <w:rsid w:val="00327A4F"/>
    <w:rsid w:val="00330786"/>
    <w:rsid w:val="0033549A"/>
    <w:rsid w:val="003356F7"/>
    <w:rsid w:val="00335E8C"/>
    <w:rsid w:val="00336AC7"/>
    <w:rsid w:val="00340501"/>
    <w:rsid w:val="00340C2A"/>
    <w:rsid w:val="0034183E"/>
    <w:rsid w:val="003418BD"/>
    <w:rsid w:val="00341E1E"/>
    <w:rsid w:val="0034249C"/>
    <w:rsid w:val="00344579"/>
    <w:rsid w:val="00344ADE"/>
    <w:rsid w:val="003466CA"/>
    <w:rsid w:val="00350364"/>
    <w:rsid w:val="0035262E"/>
    <w:rsid w:val="00352B81"/>
    <w:rsid w:val="0035300D"/>
    <w:rsid w:val="00353176"/>
    <w:rsid w:val="003549DB"/>
    <w:rsid w:val="00354B28"/>
    <w:rsid w:val="00354B86"/>
    <w:rsid w:val="00355722"/>
    <w:rsid w:val="003563C4"/>
    <w:rsid w:val="0036104C"/>
    <w:rsid w:val="003613C1"/>
    <w:rsid w:val="0036510E"/>
    <w:rsid w:val="0036615E"/>
    <w:rsid w:val="00367B73"/>
    <w:rsid w:val="00367CF6"/>
    <w:rsid w:val="00367E7E"/>
    <w:rsid w:val="0037027A"/>
    <w:rsid w:val="00370DED"/>
    <w:rsid w:val="00371EE6"/>
    <w:rsid w:val="00374CB5"/>
    <w:rsid w:val="003758D2"/>
    <w:rsid w:val="00375A60"/>
    <w:rsid w:val="00375CD7"/>
    <w:rsid w:val="003767CF"/>
    <w:rsid w:val="00376BE6"/>
    <w:rsid w:val="003777D9"/>
    <w:rsid w:val="00377C40"/>
    <w:rsid w:val="00383F6D"/>
    <w:rsid w:val="003840F6"/>
    <w:rsid w:val="0038610B"/>
    <w:rsid w:val="00386996"/>
    <w:rsid w:val="003869CB"/>
    <w:rsid w:val="00387FB8"/>
    <w:rsid w:val="00390ABD"/>
    <w:rsid w:val="003922B0"/>
    <w:rsid w:val="00392F16"/>
    <w:rsid w:val="00393719"/>
    <w:rsid w:val="003A07FB"/>
    <w:rsid w:val="003A2A0B"/>
    <w:rsid w:val="003A3F3F"/>
    <w:rsid w:val="003A4302"/>
    <w:rsid w:val="003A6E2B"/>
    <w:rsid w:val="003A6FA6"/>
    <w:rsid w:val="003B1867"/>
    <w:rsid w:val="003B46AC"/>
    <w:rsid w:val="003B470E"/>
    <w:rsid w:val="003B4B69"/>
    <w:rsid w:val="003B51CA"/>
    <w:rsid w:val="003B5750"/>
    <w:rsid w:val="003B6DEC"/>
    <w:rsid w:val="003B6E7F"/>
    <w:rsid w:val="003B7117"/>
    <w:rsid w:val="003C05BF"/>
    <w:rsid w:val="003C08C7"/>
    <w:rsid w:val="003C1840"/>
    <w:rsid w:val="003C4A25"/>
    <w:rsid w:val="003C4D43"/>
    <w:rsid w:val="003C5087"/>
    <w:rsid w:val="003C510E"/>
    <w:rsid w:val="003C7AA9"/>
    <w:rsid w:val="003D27A9"/>
    <w:rsid w:val="003D592D"/>
    <w:rsid w:val="003D59F7"/>
    <w:rsid w:val="003D71EB"/>
    <w:rsid w:val="003E07C6"/>
    <w:rsid w:val="003E07DF"/>
    <w:rsid w:val="003E086F"/>
    <w:rsid w:val="003E0E5C"/>
    <w:rsid w:val="003E10C3"/>
    <w:rsid w:val="003F10FD"/>
    <w:rsid w:val="003F4D5C"/>
    <w:rsid w:val="003F5E05"/>
    <w:rsid w:val="003F5E79"/>
    <w:rsid w:val="003F6961"/>
    <w:rsid w:val="003F72EC"/>
    <w:rsid w:val="004010EC"/>
    <w:rsid w:val="00401D61"/>
    <w:rsid w:val="004047DB"/>
    <w:rsid w:val="004049E0"/>
    <w:rsid w:val="004057AA"/>
    <w:rsid w:val="0041010C"/>
    <w:rsid w:val="004107A8"/>
    <w:rsid w:val="00410DD3"/>
    <w:rsid w:val="004110F6"/>
    <w:rsid w:val="0041186A"/>
    <w:rsid w:val="00412123"/>
    <w:rsid w:val="00412313"/>
    <w:rsid w:val="00412885"/>
    <w:rsid w:val="00413B4B"/>
    <w:rsid w:val="004145CF"/>
    <w:rsid w:val="00414F90"/>
    <w:rsid w:val="0041530A"/>
    <w:rsid w:val="00420088"/>
    <w:rsid w:val="00421A13"/>
    <w:rsid w:val="004225F1"/>
    <w:rsid w:val="004226D5"/>
    <w:rsid w:val="00422BC6"/>
    <w:rsid w:val="00423EB5"/>
    <w:rsid w:val="004245A8"/>
    <w:rsid w:val="00426DC7"/>
    <w:rsid w:val="0042727B"/>
    <w:rsid w:val="00431827"/>
    <w:rsid w:val="004347F1"/>
    <w:rsid w:val="0043576B"/>
    <w:rsid w:val="00436D55"/>
    <w:rsid w:val="00437F90"/>
    <w:rsid w:val="0044118D"/>
    <w:rsid w:val="00441E15"/>
    <w:rsid w:val="004433A8"/>
    <w:rsid w:val="00443EC4"/>
    <w:rsid w:val="004469BE"/>
    <w:rsid w:val="00447914"/>
    <w:rsid w:val="00451F2C"/>
    <w:rsid w:val="0045303A"/>
    <w:rsid w:val="00453B6C"/>
    <w:rsid w:val="004548A5"/>
    <w:rsid w:val="0045586A"/>
    <w:rsid w:val="00455FC0"/>
    <w:rsid w:val="004560FD"/>
    <w:rsid w:val="00457FA9"/>
    <w:rsid w:val="00463939"/>
    <w:rsid w:val="00463B4D"/>
    <w:rsid w:val="00464814"/>
    <w:rsid w:val="004674F5"/>
    <w:rsid w:val="00470331"/>
    <w:rsid w:val="004705E0"/>
    <w:rsid w:val="004716CC"/>
    <w:rsid w:val="00471E5D"/>
    <w:rsid w:val="00474DB1"/>
    <w:rsid w:val="0047567D"/>
    <w:rsid w:val="00477B21"/>
    <w:rsid w:val="0048128C"/>
    <w:rsid w:val="00482376"/>
    <w:rsid w:val="00484001"/>
    <w:rsid w:val="0048466D"/>
    <w:rsid w:val="00485429"/>
    <w:rsid w:val="00485A94"/>
    <w:rsid w:val="00485F0D"/>
    <w:rsid w:val="004872FF"/>
    <w:rsid w:val="004922E6"/>
    <w:rsid w:val="00493606"/>
    <w:rsid w:val="00493AEB"/>
    <w:rsid w:val="004943E4"/>
    <w:rsid w:val="00496B20"/>
    <w:rsid w:val="004970DB"/>
    <w:rsid w:val="00497181"/>
    <w:rsid w:val="004A0291"/>
    <w:rsid w:val="004A19B9"/>
    <w:rsid w:val="004A2068"/>
    <w:rsid w:val="004A22AA"/>
    <w:rsid w:val="004A698F"/>
    <w:rsid w:val="004A6F39"/>
    <w:rsid w:val="004A72F6"/>
    <w:rsid w:val="004B0D2D"/>
    <w:rsid w:val="004B15DE"/>
    <w:rsid w:val="004B3489"/>
    <w:rsid w:val="004B4D29"/>
    <w:rsid w:val="004B71A2"/>
    <w:rsid w:val="004C0660"/>
    <w:rsid w:val="004C2D5F"/>
    <w:rsid w:val="004C5C46"/>
    <w:rsid w:val="004C678E"/>
    <w:rsid w:val="004D15A9"/>
    <w:rsid w:val="004D1A5D"/>
    <w:rsid w:val="004D2A50"/>
    <w:rsid w:val="004D31AA"/>
    <w:rsid w:val="004D61A6"/>
    <w:rsid w:val="004E0FF8"/>
    <w:rsid w:val="004E1C23"/>
    <w:rsid w:val="004E2004"/>
    <w:rsid w:val="004E2BE6"/>
    <w:rsid w:val="004E3A5F"/>
    <w:rsid w:val="004E45A3"/>
    <w:rsid w:val="004E6569"/>
    <w:rsid w:val="004F18F6"/>
    <w:rsid w:val="004F1CB5"/>
    <w:rsid w:val="004F2587"/>
    <w:rsid w:val="004F3E06"/>
    <w:rsid w:val="004F5BFE"/>
    <w:rsid w:val="005001F4"/>
    <w:rsid w:val="00500F43"/>
    <w:rsid w:val="005016CA"/>
    <w:rsid w:val="005026AB"/>
    <w:rsid w:val="00504360"/>
    <w:rsid w:val="0050564A"/>
    <w:rsid w:val="005056E8"/>
    <w:rsid w:val="0050578C"/>
    <w:rsid w:val="0050613D"/>
    <w:rsid w:val="0050707F"/>
    <w:rsid w:val="00507789"/>
    <w:rsid w:val="00507B73"/>
    <w:rsid w:val="00511020"/>
    <w:rsid w:val="00511033"/>
    <w:rsid w:val="00511985"/>
    <w:rsid w:val="00513445"/>
    <w:rsid w:val="0051489C"/>
    <w:rsid w:val="00515187"/>
    <w:rsid w:val="00516E38"/>
    <w:rsid w:val="005209E9"/>
    <w:rsid w:val="005212CA"/>
    <w:rsid w:val="005213ED"/>
    <w:rsid w:val="00522226"/>
    <w:rsid w:val="005237D5"/>
    <w:rsid w:val="00524C8E"/>
    <w:rsid w:val="00525B96"/>
    <w:rsid w:val="00525E1B"/>
    <w:rsid w:val="005268D5"/>
    <w:rsid w:val="005268E9"/>
    <w:rsid w:val="0053028E"/>
    <w:rsid w:val="00530A71"/>
    <w:rsid w:val="00532CD4"/>
    <w:rsid w:val="00533730"/>
    <w:rsid w:val="0053410D"/>
    <w:rsid w:val="005341FF"/>
    <w:rsid w:val="00536AB3"/>
    <w:rsid w:val="0054452D"/>
    <w:rsid w:val="00546661"/>
    <w:rsid w:val="00546CD0"/>
    <w:rsid w:val="0055290A"/>
    <w:rsid w:val="00554EB0"/>
    <w:rsid w:val="00556CBC"/>
    <w:rsid w:val="00556EB1"/>
    <w:rsid w:val="00560E0F"/>
    <w:rsid w:val="005611F4"/>
    <w:rsid w:val="0056163F"/>
    <w:rsid w:val="005617F5"/>
    <w:rsid w:val="00564C4B"/>
    <w:rsid w:val="005650AC"/>
    <w:rsid w:val="0056643F"/>
    <w:rsid w:val="00571CFA"/>
    <w:rsid w:val="00573FD4"/>
    <w:rsid w:val="00574A62"/>
    <w:rsid w:val="00574F6A"/>
    <w:rsid w:val="005808C2"/>
    <w:rsid w:val="00581192"/>
    <w:rsid w:val="005816BD"/>
    <w:rsid w:val="00581967"/>
    <w:rsid w:val="005824CF"/>
    <w:rsid w:val="00586053"/>
    <w:rsid w:val="00586143"/>
    <w:rsid w:val="00586920"/>
    <w:rsid w:val="00590F3D"/>
    <w:rsid w:val="005910A9"/>
    <w:rsid w:val="0059341B"/>
    <w:rsid w:val="00593B37"/>
    <w:rsid w:val="00595754"/>
    <w:rsid w:val="0059595D"/>
    <w:rsid w:val="00595FC7"/>
    <w:rsid w:val="005967E7"/>
    <w:rsid w:val="00596F14"/>
    <w:rsid w:val="005976E7"/>
    <w:rsid w:val="005A0391"/>
    <w:rsid w:val="005A0A1D"/>
    <w:rsid w:val="005A1ED7"/>
    <w:rsid w:val="005A3E11"/>
    <w:rsid w:val="005A4BC6"/>
    <w:rsid w:val="005A4F11"/>
    <w:rsid w:val="005A5697"/>
    <w:rsid w:val="005A64D6"/>
    <w:rsid w:val="005B0499"/>
    <w:rsid w:val="005B0648"/>
    <w:rsid w:val="005B0D5D"/>
    <w:rsid w:val="005B3052"/>
    <w:rsid w:val="005B31AC"/>
    <w:rsid w:val="005B3F5B"/>
    <w:rsid w:val="005B44B8"/>
    <w:rsid w:val="005B6356"/>
    <w:rsid w:val="005B674C"/>
    <w:rsid w:val="005C09DF"/>
    <w:rsid w:val="005C1AEA"/>
    <w:rsid w:val="005C1E98"/>
    <w:rsid w:val="005C2992"/>
    <w:rsid w:val="005C32CA"/>
    <w:rsid w:val="005C7AC5"/>
    <w:rsid w:val="005C7B3C"/>
    <w:rsid w:val="005D4115"/>
    <w:rsid w:val="005D4E8A"/>
    <w:rsid w:val="005E0273"/>
    <w:rsid w:val="005E23A7"/>
    <w:rsid w:val="005E26C7"/>
    <w:rsid w:val="005E4A0C"/>
    <w:rsid w:val="005F053F"/>
    <w:rsid w:val="005F2C05"/>
    <w:rsid w:val="005F4B4A"/>
    <w:rsid w:val="005F5B99"/>
    <w:rsid w:val="006002AD"/>
    <w:rsid w:val="00602DBE"/>
    <w:rsid w:val="0060326C"/>
    <w:rsid w:val="00604342"/>
    <w:rsid w:val="006066F1"/>
    <w:rsid w:val="00606EF3"/>
    <w:rsid w:val="00614880"/>
    <w:rsid w:val="00614989"/>
    <w:rsid w:val="0061634B"/>
    <w:rsid w:val="0061686D"/>
    <w:rsid w:val="0061713A"/>
    <w:rsid w:val="006207F8"/>
    <w:rsid w:val="00620B46"/>
    <w:rsid w:val="006213F6"/>
    <w:rsid w:val="00623554"/>
    <w:rsid w:val="00623712"/>
    <w:rsid w:val="0062589F"/>
    <w:rsid w:val="006261A2"/>
    <w:rsid w:val="00626F5C"/>
    <w:rsid w:val="00627E07"/>
    <w:rsid w:val="00630F31"/>
    <w:rsid w:val="00631AE8"/>
    <w:rsid w:val="00634B89"/>
    <w:rsid w:val="00637188"/>
    <w:rsid w:val="00641B31"/>
    <w:rsid w:val="006424B0"/>
    <w:rsid w:val="006435A2"/>
    <w:rsid w:val="00644438"/>
    <w:rsid w:val="006450A1"/>
    <w:rsid w:val="00646C08"/>
    <w:rsid w:val="006479A6"/>
    <w:rsid w:val="006511C1"/>
    <w:rsid w:val="00654B5C"/>
    <w:rsid w:val="00655AFC"/>
    <w:rsid w:val="0065672B"/>
    <w:rsid w:val="00657200"/>
    <w:rsid w:val="00657731"/>
    <w:rsid w:val="00660111"/>
    <w:rsid w:val="00661DBE"/>
    <w:rsid w:val="00662ABA"/>
    <w:rsid w:val="00662EEC"/>
    <w:rsid w:val="00664FE3"/>
    <w:rsid w:val="00667146"/>
    <w:rsid w:val="00667178"/>
    <w:rsid w:val="006731DD"/>
    <w:rsid w:val="00675371"/>
    <w:rsid w:val="00676B31"/>
    <w:rsid w:val="00680232"/>
    <w:rsid w:val="00680E13"/>
    <w:rsid w:val="00682561"/>
    <w:rsid w:val="006839D1"/>
    <w:rsid w:val="00684AD9"/>
    <w:rsid w:val="006866A7"/>
    <w:rsid w:val="006917A5"/>
    <w:rsid w:val="0069199F"/>
    <w:rsid w:val="00691FBD"/>
    <w:rsid w:val="006933CD"/>
    <w:rsid w:val="00697EAB"/>
    <w:rsid w:val="006A328C"/>
    <w:rsid w:val="006A4B8E"/>
    <w:rsid w:val="006A5FBE"/>
    <w:rsid w:val="006A5FF5"/>
    <w:rsid w:val="006A6AC8"/>
    <w:rsid w:val="006A6E27"/>
    <w:rsid w:val="006A7957"/>
    <w:rsid w:val="006B0549"/>
    <w:rsid w:val="006B0CE4"/>
    <w:rsid w:val="006B220F"/>
    <w:rsid w:val="006B25A5"/>
    <w:rsid w:val="006B32AC"/>
    <w:rsid w:val="006B5D69"/>
    <w:rsid w:val="006B70EA"/>
    <w:rsid w:val="006B7326"/>
    <w:rsid w:val="006B7538"/>
    <w:rsid w:val="006B7A35"/>
    <w:rsid w:val="006C5A75"/>
    <w:rsid w:val="006C7C81"/>
    <w:rsid w:val="006D0079"/>
    <w:rsid w:val="006D1168"/>
    <w:rsid w:val="006D19D3"/>
    <w:rsid w:val="006D2E6D"/>
    <w:rsid w:val="006D3F44"/>
    <w:rsid w:val="006D69D3"/>
    <w:rsid w:val="006D79EA"/>
    <w:rsid w:val="006E0A59"/>
    <w:rsid w:val="006E117E"/>
    <w:rsid w:val="006E13BD"/>
    <w:rsid w:val="006E2590"/>
    <w:rsid w:val="006E31B2"/>
    <w:rsid w:val="006E3A9E"/>
    <w:rsid w:val="006E445E"/>
    <w:rsid w:val="006E55E7"/>
    <w:rsid w:val="006E718C"/>
    <w:rsid w:val="006F093C"/>
    <w:rsid w:val="006F1099"/>
    <w:rsid w:val="006F2290"/>
    <w:rsid w:val="006F5E40"/>
    <w:rsid w:val="006F6F6B"/>
    <w:rsid w:val="006F783E"/>
    <w:rsid w:val="006F7EE8"/>
    <w:rsid w:val="00700357"/>
    <w:rsid w:val="007006F5"/>
    <w:rsid w:val="00701A4A"/>
    <w:rsid w:val="00703E69"/>
    <w:rsid w:val="0070477A"/>
    <w:rsid w:val="0070542B"/>
    <w:rsid w:val="00705F28"/>
    <w:rsid w:val="00706254"/>
    <w:rsid w:val="00706C9B"/>
    <w:rsid w:val="007074D6"/>
    <w:rsid w:val="00707714"/>
    <w:rsid w:val="00711060"/>
    <w:rsid w:val="007112B8"/>
    <w:rsid w:val="00713D00"/>
    <w:rsid w:val="007155CC"/>
    <w:rsid w:val="00717690"/>
    <w:rsid w:val="0072004D"/>
    <w:rsid w:val="007226F4"/>
    <w:rsid w:val="00722E80"/>
    <w:rsid w:val="00723601"/>
    <w:rsid w:val="007238D1"/>
    <w:rsid w:val="00724399"/>
    <w:rsid w:val="007263CA"/>
    <w:rsid w:val="00727086"/>
    <w:rsid w:val="007276AC"/>
    <w:rsid w:val="00730CA8"/>
    <w:rsid w:val="00731E2A"/>
    <w:rsid w:val="00732580"/>
    <w:rsid w:val="00733D9A"/>
    <w:rsid w:val="00734790"/>
    <w:rsid w:val="00734AE9"/>
    <w:rsid w:val="00735783"/>
    <w:rsid w:val="007358F2"/>
    <w:rsid w:val="00740B38"/>
    <w:rsid w:val="00741717"/>
    <w:rsid w:val="00742496"/>
    <w:rsid w:val="00743CDF"/>
    <w:rsid w:val="00747437"/>
    <w:rsid w:val="00747499"/>
    <w:rsid w:val="00747BBD"/>
    <w:rsid w:val="0075134A"/>
    <w:rsid w:val="00756507"/>
    <w:rsid w:val="00756B47"/>
    <w:rsid w:val="00760588"/>
    <w:rsid w:val="00763ED6"/>
    <w:rsid w:val="00764DBD"/>
    <w:rsid w:val="00765D31"/>
    <w:rsid w:val="00766CE0"/>
    <w:rsid w:val="007705A1"/>
    <w:rsid w:val="00771277"/>
    <w:rsid w:val="00772594"/>
    <w:rsid w:val="00773CA0"/>
    <w:rsid w:val="00773F7D"/>
    <w:rsid w:val="00775F52"/>
    <w:rsid w:val="00776529"/>
    <w:rsid w:val="00777AC2"/>
    <w:rsid w:val="00780B73"/>
    <w:rsid w:val="00781EF3"/>
    <w:rsid w:val="00783543"/>
    <w:rsid w:val="00784E01"/>
    <w:rsid w:val="00785098"/>
    <w:rsid w:val="007869F3"/>
    <w:rsid w:val="00786F1A"/>
    <w:rsid w:val="00790622"/>
    <w:rsid w:val="0079097A"/>
    <w:rsid w:val="00790EEB"/>
    <w:rsid w:val="00790FCC"/>
    <w:rsid w:val="00793E9B"/>
    <w:rsid w:val="00794111"/>
    <w:rsid w:val="0079544E"/>
    <w:rsid w:val="00796E7C"/>
    <w:rsid w:val="007A2401"/>
    <w:rsid w:val="007A315A"/>
    <w:rsid w:val="007A5019"/>
    <w:rsid w:val="007A5E15"/>
    <w:rsid w:val="007A5FAD"/>
    <w:rsid w:val="007A6F5A"/>
    <w:rsid w:val="007A7196"/>
    <w:rsid w:val="007A799E"/>
    <w:rsid w:val="007B0F4E"/>
    <w:rsid w:val="007B108C"/>
    <w:rsid w:val="007B13F4"/>
    <w:rsid w:val="007B368E"/>
    <w:rsid w:val="007B3FA1"/>
    <w:rsid w:val="007C4C13"/>
    <w:rsid w:val="007C52FC"/>
    <w:rsid w:val="007C5925"/>
    <w:rsid w:val="007D1814"/>
    <w:rsid w:val="007D3053"/>
    <w:rsid w:val="007D3BFB"/>
    <w:rsid w:val="007D409E"/>
    <w:rsid w:val="007D4510"/>
    <w:rsid w:val="007D5498"/>
    <w:rsid w:val="007D70C9"/>
    <w:rsid w:val="007D7928"/>
    <w:rsid w:val="007E32F5"/>
    <w:rsid w:val="007E3411"/>
    <w:rsid w:val="007E4D97"/>
    <w:rsid w:val="007E5FA9"/>
    <w:rsid w:val="007E68D2"/>
    <w:rsid w:val="007E69D3"/>
    <w:rsid w:val="007E730B"/>
    <w:rsid w:val="007E7D9B"/>
    <w:rsid w:val="007F02F7"/>
    <w:rsid w:val="007F14E4"/>
    <w:rsid w:val="007F3658"/>
    <w:rsid w:val="007F38F5"/>
    <w:rsid w:val="007F3F18"/>
    <w:rsid w:val="007F47D0"/>
    <w:rsid w:val="007F69D9"/>
    <w:rsid w:val="007F6B07"/>
    <w:rsid w:val="008007B0"/>
    <w:rsid w:val="00800AB9"/>
    <w:rsid w:val="00801C29"/>
    <w:rsid w:val="0080246D"/>
    <w:rsid w:val="00802A42"/>
    <w:rsid w:val="0080747A"/>
    <w:rsid w:val="00810954"/>
    <w:rsid w:val="0081203F"/>
    <w:rsid w:val="00815E15"/>
    <w:rsid w:val="008169CE"/>
    <w:rsid w:val="00820320"/>
    <w:rsid w:val="008208E7"/>
    <w:rsid w:val="00821866"/>
    <w:rsid w:val="00821A8F"/>
    <w:rsid w:val="008237C4"/>
    <w:rsid w:val="0082432D"/>
    <w:rsid w:val="0082483B"/>
    <w:rsid w:val="00825AB7"/>
    <w:rsid w:val="00827303"/>
    <w:rsid w:val="00827DFE"/>
    <w:rsid w:val="00830308"/>
    <w:rsid w:val="008334A6"/>
    <w:rsid w:val="00835766"/>
    <w:rsid w:val="0084010C"/>
    <w:rsid w:val="00841402"/>
    <w:rsid w:val="00841787"/>
    <w:rsid w:val="008417D5"/>
    <w:rsid w:val="00843086"/>
    <w:rsid w:val="00845412"/>
    <w:rsid w:val="00845EAD"/>
    <w:rsid w:val="00850F3C"/>
    <w:rsid w:val="00851893"/>
    <w:rsid w:val="008545C9"/>
    <w:rsid w:val="00855540"/>
    <w:rsid w:val="0085589C"/>
    <w:rsid w:val="00860730"/>
    <w:rsid w:val="0086076F"/>
    <w:rsid w:val="00860A03"/>
    <w:rsid w:val="00862832"/>
    <w:rsid w:val="00864420"/>
    <w:rsid w:val="00864E9B"/>
    <w:rsid w:val="00866776"/>
    <w:rsid w:val="008703E2"/>
    <w:rsid w:val="00871F20"/>
    <w:rsid w:val="00873537"/>
    <w:rsid w:val="00874310"/>
    <w:rsid w:val="00876893"/>
    <w:rsid w:val="00877BAD"/>
    <w:rsid w:val="00877D7C"/>
    <w:rsid w:val="00881A91"/>
    <w:rsid w:val="008821AF"/>
    <w:rsid w:val="00882C3E"/>
    <w:rsid w:val="008848FC"/>
    <w:rsid w:val="00885687"/>
    <w:rsid w:val="00887155"/>
    <w:rsid w:val="0089257B"/>
    <w:rsid w:val="00892FC8"/>
    <w:rsid w:val="00894B92"/>
    <w:rsid w:val="008954FC"/>
    <w:rsid w:val="0089563C"/>
    <w:rsid w:val="00895670"/>
    <w:rsid w:val="00895F54"/>
    <w:rsid w:val="0089662E"/>
    <w:rsid w:val="008968C2"/>
    <w:rsid w:val="008A02BB"/>
    <w:rsid w:val="008A048E"/>
    <w:rsid w:val="008A12B5"/>
    <w:rsid w:val="008A1D1B"/>
    <w:rsid w:val="008A3864"/>
    <w:rsid w:val="008A409B"/>
    <w:rsid w:val="008A7182"/>
    <w:rsid w:val="008B0D99"/>
    <w:rsid w:val="008B2FAD"/>
    <w:rsid w:val="008B33CD"/>
    <w:rsid w:val="008B3EA0"/>
    <w:rsid w:val="008B5E4A"/>
    <w:rsid w:val="008B60A3"/>
    <w:rsid w:val="008B7673"/>
    <w:rsid w:val="008C15B5"/>
    <w:rsid w:val="008C2A62"/>
    <w:rsid w:val="008C4AE1"/>
    <w:rsid w:val="008C5488"/>
    <w:rsid w:val="008D0AB8"/>
    <w:rsid w:val="008D0ABA"/>
    <w:rsid w:val="008D0F73"/>
    <w:rsid w:val="008D1755"/>
    <w:rsid w:val="008D201B"/>
    <w:rsid w:val="008D21A1"/>
    <w:rsid w:val="008D2D38"/>
    <w:rsid w:val="008D352B"/>
    <w:rsid w:val="008D4509"/>
    <w:rsid w:val="008D521A"/>
    <w:rsid w:val="008D592E"/>
    <w:rsid w:val="008E0333"/>
    <w:rsid w:val="008E1798"/>
    <w:rsid w:val="008E2AD2"/>
    <w:rsid w:val="008E3706"/>
    <w:rsid w:val="008E59B9"/>
    <w:rsid w:val="008E6C4D"/>
    <w:rsid w:val="008F0697"/>
    <w:rsid w:val="008F10A1"/>
    <w:rsid w:val="008F1252"/>
    <w:rsid w:val="008F305F"/>
    <w:rsid w:val="008F40F5"/>
    <w:rsid w:val="008F75C5"/>
    <w:rsid w:val="008F791E"/>
    <w:rsid w:val="00900143"/>
    <w:rsid w:val="009012F2"/>
    <w:rsid w:val="00901BD6"/>
    <w:rsid w:val="00901BE6"/>
    <w:rsid w:val="00903F2D"/>
    <w:rsid w:val="009100C3"/>
    <w:rsid w:val="00910608"/>
    <w:rsid w:val="009124EF"/>
    <w:rsid w:val="0091269C"/>
    <w:rsid w:val="009127EB"/>
    <w:rsid w:val="0091397B"/>
    <w:rsid w:val="0091574F"/>
    <w:rsid w:val="00915D36"/>
    <w:rsid w:val="00916488"/>
    <w:rsid w:val="00920010"/>
    <w:rsid w:val="00920885"/>
    <w:rsid w:val="009214FD"/>
    <w:rsid w:val="009218D5"/>
    <w:rsid w:val="00924CDF"/>
    <w:rsid w:val="00924D31"/>
    <w:rsid w:val="00927CC6"/>
    <w:rsid w:val="00930EF7"/>
    <w:rsid w:val="00931225"/>
    <w:rsid w:val="00932018"/>
    <w:rsid w:val="00932D5F"/>
    <w:rsid w:val="009346F7"/>
    <w:rsid w:val="00935145"/>
    <w:rsid w:val="009356F5"/>
    <w:rsid w:val="00940D9F"/>
    <w:rsid w:val="00942B9D"/>
    <w:rsid w:val="009430F0"/>
    <w:rsid w:val="00945816"/>
    <w:rsid w:val="009474D0"/>
    <w:rsid w:val="00951F80"/>
    <w:rsid w:val="00954AF5"/>
    <w:rsid w:val="00955B6E"/>
    <w:rsid w:val="00956409"/>
    <w:rsid w:val="00956D22"/>
    <w:rsid w:val="00956F7B"/>
    <w:rsid w:val="009625DF"/>
    <w:rsid w:val="00962A67"/>
    <w:rsid w:val="00962E62"/>
    <w:rsid w:val="00963117"/>
    <w:rsid w:val="00970A3F"/>
    <w:rsid w:val="00971B47"/>
    <w:rsid w:val="00971FBD"/>
    <w:rsid w:val="00974A71"/>
    <w:rsid w:val="009772CE"/>
    <w:rsid w:val="00977BD5"/>
    <w:rsid w:val="00977FAF"/>
    <w:rsid w:val="00980087"/>
    <w:rsid w:val="009830D7"/>
    <w:rsid w:val="00983686"/>
    <w:rsid w:val="00984CCE"/>
    <w:rsid w:val="009851A7"/>
    <w:rsid w:val="00986BC8"/>
    <w:rsid w:val="00986C77"/>
    <w:rsid w:val="00990EB6"/>
    <w:rsid w:val="009946D6"/>
    <w:rsid w:val="009950DA"/>
    <w:rsid w:val="009951AC"/>
    <w:rsid w:val="00997EC2"/>
    <w:rsid w:val="009A18C3"/>
    <w:rsid w:val="009A2504"/>
    <w:rsid w:val="009A349E"/>
    <w:rsid w:val="009A35B2"/>
    <w:rsid w:val="009A3669"/>
    <w:rsid w:val="009A3C42"/>
    <w:rsid w:val="009A5E1E"/>
    <w:rsid w:val="009A6CCA"/>
    <w:rsid w:val="009A7152"/>
    <w:rsid w:val="009B05D8"/>
    <w:rsid w:val="009B0DB9"/>
    <w:rsid w:val="009B47E8"/>
    <w:rsid w:val="009B5C66"/>
    <w:rsid w:val="009B67D6"/>
    <w:rsid w:val="009B6A57"/>
    <w:rsid w:val="009B6D11"/>
    <w:rsid w:val="009B725F"/>
    <w:rsid w:val="009B757E"/>
    <w:rsid w:val="009C03A0"/>
    <w:rsid w:val="009C22DE"/>
    <w:rsid w:val="009C463E"/>
    <w:rsid w:val="009C5B7C"/>
    <w:rsid w:val="009C5DBB"/>
    <w:rsid w:val="009C70FA"/>
    <w:rsid w:val="009C72EA"/>
    <w:rsid w:val="009C78BC"/>
    <w:rsid w:val="009D3E72"/>
    <w:rsid w:val="009D5B7A"/>
    <w:rsid w:val="009D6792"/>
    <w:rsid w:val="009D72D5"/>
    <w:rsid w:val="009D7BFD"/>
    <w:rsid w:val="009E1E5C"/>
    <w:rsid w:val="009E401D"/>
    <w:rsid w:val="009E5696"/>
    <w:rsid w:val="009E7C17"/>
    <w:rsid w:val="009F0632"/>
    <w:rsid w:val="009F3AA3"/>
    <w:rsid w:val="009F4C97"/>
    <w:rsid w:val="009F667C"/>
    <w:rsid w:val="009F6CC9"/>
    <w:rsid w:val="009F6D45"/>
    <w:rsid w:val="009F7052"/>
    <w:rsid w:val="00A00D9E"/>
    <w:rsid w:val="00A0212C"/>
    <w:rsid w:val="00A02CE4"/>
    <w:rsid w:val="00A03AEC"/>
    <w:rsid w:val="00A056AD"/>
    <w:rsid w:val="00A0769D"/>
    <w:rsid w:val="00A07D3B"/>
    <w:rsid w:val="00A10292"/>
    <w:rsid w:val="00A11D3F"/>
    <w:rsid w:val="00A13272"/>
    <w:rsid w:val="00A1555D"/>
    <w:rsid w:val="00A16031"/>
    <w:rsid w:val="00A178C9"/>
    <w:rsid w:val="00A20C3E"/>
    <w:rsid w:val="00A223CA"/>
    <w:rsid w:val="00A23118"/>
    <w:rsid w:val="00A24871"/>
    <w:rsid w:val="00A25DF3"/>
    <w:rsid w:val="00A27F47"/>
    <w:rsid w:val="00A3190D"/>
    <w:rsid w:val="00A33B4B"/>
    <w:rsid w:val="00A34108"/>
    <w:rsid w:val="00A34C85"/>
    <w:rsid w:val="00A3544F"/>
    <w:rsid w:val="00A36827"/>
    <w:rsid w:val="00A369C3"/>
    <w:rsid w:val="00A36BC5"/>
    <w:rsid w:val="00A40865"/>
    <w:rsid w:val="00A42001"/>
    <w:rsid w:val="00A42358"/>
    <w:rsid w:val="00A46B35"/>
    <w:rsid w:val="00A47C12"/>
    <w:rsid w:val="00A50E43"/>
    <w:rsid w:val="00A50EDF"/>
    <w:rsid w:val="00A522A1"/>
    <w:rsid w:val="00A53185"/>
    <w:rsid w:val="00A53A55"/>
    <w:rsid w:val="00A54679"/>
    <w:rsid w:val="00A551FA"/>
    <w:rsid w:val="00A56161"/>
    <w:rsid w:val="00A56403"/>
    <w:rsid w:val="00A56D09"/>
    <w:rsid w:val="00A57C8E"/>
    <w:rsid w:val="00A60FE8"/>
    <w:rsid w:val="00A6125D"/>
    <w:rsid w:val="00A62CC4"/>
    <w:rsid w:val="00A64BEC"/>
    <w:rsid w:val="00A65B18"/>
    <w:rsid w:val="00A66655"/>
    <w:rsid w:val="00A676ED"/>
    <w:rsid w:val="00A67EA2"/>
    <w:rsid w:val="00A70983"/>
    <w:rsid w:val="00A71366"/>
    <w:rsid w:val="00A71E70"/>
    <w:rsid w:val="00A7266B"/>
    <w:rsid w:val="00A7405E"/>
    <w:rsid w:val="00A743FF"/>
    <w:rsid w:val="00A74AAA"/>
    <w:rsid w:val="00A74E17"/>
    <w:rsid w:val="00A760E7"/>
    <w:rsid w:val="00A76638"/>
    <w:rsid w:val="00A768D5"/>
    <w:rsid w:val="00A77866"/>
    <w:rsid w:val="00A80E2E"/>
    <w:rsid w:val="00A823AD"/>
    <w:rsid w:val="00A82A82"/>
    <w:rsid w:val="00A82C81"/>
    <w:rsid w:val="00A8320E"/>
    <w:rsid w:val="00A84154"/>
    <w:rsid w:val="00A8597C"/>
    <w:rsid w:val="00A87766"/>
    <w:rsid w:val="00A906FA"/>
    <w:rsid w:val="00A90D68"/>
    <w:rsid w:val="00A90E0A"/>
    <w:rsid w:val="00A91424"/>
    <w:rsid w:val="00A917E7"/>
    <w:rsid w:val="00A92622"/>
    <w:rsid w:val="00A92B9B"/>
    <w:rsid w:val="00A9456F"/>
    <w:rsid w:val="00A9459B"/>
    <w:rsid w:val="00AA3354"/>
    <w:rsid w:val="00AA6756"/>
    <w:rsid w:val="00AA6AEE"/>
    <w:rsid w:val="00AA795D"/>
    <w:rsid w:val="00AB171F"/>
    <w:rsid w:val="00AB1DB6"/>
    <w:rsid w:val="00AB20E7"/>
    <w:rsid w:val="00AB26FE"/>
    <w:rsid w:val="00AB2BE4"/>
    <w:rsid w:val="00AB46D5"/>
    <w:rsid w:val="00AB5F69"/>
    <w:rsid w:val="00AB6B1E"/>
    <w:rsid w:val="00AB7DC7"/>
    <w:rsid w:val="00AC2613"/>
    <w:rsid w:val="00AC3F42"/>
    <w:rsid w:val="00AC431E"/>
    <w:rsid w:val="00AC454B"/>
    <w:rsid w:val="00AC704F"/>
    <w:rsid w:val="00AD00FD"/>
    <w:rsid w:val="00AD014F"/>
    <w:rsid w:val="00AD24F9"/>
    <w:rsid w:val="00AD24FB"/>
    <w:rsid w:val="00AD4AD5"/>
    <w:rsid w:val="00AD7CB6"/>
    <w:rsid w:val="00AD7CFC"/>
    <w:rsid w:val="00AD7D1D"/>
    <w:rsid w:val="00AE10B0"/>
    <w:rsid w:val="00AE1F64"/>
    <w:rsid w:val="00AE4490"/>
    <w:rsid w:val="00AE4905"/>
    <w:rsid w:val="00AE656E"/>
    <w:rsid w:val="00AF1EE0"/>
    <w:rsid w:val="00AF2827"/>
    <w:rsid w:val="00AF3115"/>
    <w:rsid w:val="00AF3225"/>
    <w:rsid w:val="00AF3A24"/>
    <w:rsid w:val="00AF5F04"/>
    <w:rsid w:val="00B005AF"/>
    <w:rsid w:val="00B0152D"/>
    <w:rsid w:val="00B063A9"/>
    <w:rsid w:val="00B06A82"/>
    <w:rsid w:val="00B07FFC"/>
    <w:rsid w:val="00B10795"/>
    <w:rsid w:val="00B11AD1"/>
    <w:rsid w:val="00B13511"/>
    <w:rsid w:val="00B1572D"/>
    <w:rsid w:val="00B17945"/>
    <w:rsid w:val="00B23434"/>
    <w:rsid w:val="00B2345F"/>
    <w:rsid w:val="00B23782"/>
    <w:rsid w:val="00B2448C"/>
    <w:rsid w:val="00B24662"/>
    <w:rsid w:val="00B27930"/>
    <w:rsid w:val="00B31661"/>
    <w:rsid w:val="00B3266A"/>
    <w:rsid w:val="00B34621"/>
    <w:rsid w:val="00B34D3C"/>
    <w:rsid w:val="00B358C1"/>
    <w:rsid w:val="00B35951"/>
    <w:rsid w:val="00B361F9"/>
    <w:rsid w:val="00B37C28"/>
    <w:rsid w:val="00B400E0"/>
    <w:rsid w:val="00B40131"/>
    <w:rsid w:val="00B438EC"/>
    <w:rsid w:val="00B45427"/>
    <w:rsid w:val="00B45AE8"/>
    <w:rsid w:val="00B50796"/>
    <w:rsid w:val="00B511F5"/>
    <w:rsid w:val="00B53D4D"/>
    <w:rsid w:val="00B55260"/>
    <w:rsid w:val="00B554DA"/>
    <w:rsid w:val="00B60C37"/>
    <w:rsid w:val="00B6289A"/>
    <w:rsid w:val="00B631F0"/>
    <w:rsid w:val="00B6604D"/>
    <w:rsid w:val="00B66984"/>
    <w:rsid w:val="00B71107"/>
    <w:rsid w:val="00B71FCD"/>
    <w:rsid w:val="00B73250"/>
    <w:rsid w:val="00B73810"/>
    <w:rsid w:val="00B76B01"/>
    <w:rsid w:val="00B80681"/>
    <w:rsid w:val="00B81A5C"/>
    <w:rsid w:val="00B827D6"/>
    <w:rsid w:val="00B8449C"/>
    <w:rsid w:val="00B845D1"/>
    <w:rsid w:val="00B847F0"/>
    <w:rsid w:val="00B85DF5"/>
    <w:rsid w:val="00B905D3"/>
    <w:rsid w:val="00B907B1"/>
    <w:rsid w:val="00B91DAE"/>
    <w:rsid w:val="00B9280A"/>
    <w:rsid w:val="00B92EB5"/>
    <w:rsid w:val="00B9302E"/>
    <w:rsid w:val="00B936CD"/>
    <w:rsid w:val="00B93933"/>
    <w:rsid w:val="00B95E32"/>
    <w:rsid w:val="00BA0E76"/>
    <w:rsid w:val="00BA401C"/>
    <w:rsid w:val="00BA482A"/>
    <w:rsid w:val="00BB02FA"/>
    <w:rsid w:val="00BB10F6"/>
    <w:rsid w:val="00BB1F46"/>
    <w:rsid w:val="00BB246F"/>
    <w:rsid w:val="00BB3442"/>
    <w:rsid w:val="00BB51F7"/>
    <w:rsid w:val="00BB6D68"/>
    <w:rsid w:val="00BC0BE9"/>
    <w:rsid w:val="00BC116E"/>
    <w:rsid w:val="00BC28F3"/>
    <w:rsid w:val="00BC2FAB"/>
    <w:rsid w:val="00BC6948"/>
    <w:rsid w:val="00BC7E09"/>
    <w:rsid w:val="00BD0AB0"/>
    <w:rsid w:val="00BD1424"/>
    <w:rsid w:val="00BD1AA2"/>
    <w:rsid w:val="00BD2498"/>
    <w:rsid w:val="00BD29DA"/>
    <w:rsid w:val="00BD2D26"/>
    <w:rsid w:val="00BD36D3"/>
    <w:rsid w:val="00BD36F6"/>
    <w:rsid w:val="00BD5303"/>
    <w:rsid w:val="00BE0364"/>
    <w:rsid w:val="00BE16E0"/>
    <w:rsid w:val="00BE2AFD"/>
    <w:rsid w:val="00BE2F53"/>
    <w:rsid w:val="00BE4E72"/>
    <w:rsid w:val="00BE7E7B"/>
    <w:rsid w:val="00BF24AA"/>
    <w:rsid w:val="00BF5EE2"/>
    <w:rsid w:val="00BF6112"/>
    <w:rsid w:val="00BF6EE5"/>
    <w:rsid w:val="00C0057A"/>
    <w:rsid w:val="00C00653"/>
    <w:rsid w:val="00C027A6"/>
    <w:rsid w:val="00C02ACE"/>
    <w:rsid w:val="00C03749"/>
    <w:rsid w:val="00C03A4F"/>
    <w:rsid w:val="00C03B55"/>
    <w:rsid w:val="00C04583"/>
    <w:rsid w:val="00C05DC3"/>
    <w:rsid w:val="00C060E8"/>
    <w:rsid w:val="00C068ED"/>
    <w:rsid w:val="00C11D26"/>
    <w:rsid w:val="00C11E51"/>
    <w:rsid w:val="00C133CB"/>
    <w:rsid w:val="00C1591E"/>
    <w:rsid w:val="00C15FD0"/>
    <w:rsid w:val="00C17FBD"/>
    <w:rsid w:val="00C20281"/>
    <w:rsid w:val="00C20948"/>
    <w:rsid w:val="00C22946"/>
    <w:rsid w:val="00C23B8D"/>
    <w:rsid w:val="00C24D1E"/>
    <w:rsid w:val="00C2504E"/>
    <w:rsid w:val="00C27286"/>
    <w:rsid w:val="00C301D2"/>
    <w:rsid w:val="00C3090B"/>
    <w:rsid w:val="00C30F4A"/>
    <w:rsid w:val="00C33123"/>
    <w:rsid w:val="00C34FE2"/>
    <w:rsid w:val="00C35664"/>
    <w:rsid w:val="00C362AC"/>
    <w:rsid w:val="00C3640C"/>
    <w:rsid w:val="00C3664A"/>
    <w:rsid w:val="00C370DA"/>
    <w:rsid w:val="00C37AE8"/>
    <w:rsid w:val="00C404A8"/>
    <w:rsid w:val="00C40571"/>
    <w:rsid w:val="00C40AAD"/>
    <w:rsid w:val="00C40EAB"/>
    <w:rsid w:val="00C41C73"/>
    <w:rsid w:val="00C41CB9"/>
    <w:rsid w:val="00C43026"/>
    <w:rsid w:val="00C43647"/>
    <w:rsid w:val="00C439A7"/>
    <w:rsid w:val="00C44C31"/>
    <w:rsid w:val="00C45239"/>
    <w:rsid w:val="00C46744"/>
    <w:rsid w:val="00C47016"/>
    <w:rsid w:val="00C47528"/>
    <w:rsid w:val="00C5345E"/>
    <w:rsid w:val="00C57C46"/>
    <w:rsid w:val="00C601B7"/>
    <w:rsid w:val="00C6114F"/>
    <w:rsid w:val="00C61C16"/>
    <w:rsid w:val="00C626E5"/>
    <w:rsid w:val="00C62DC6"/>
    <w:rsid w:val="00C63D87"/>
    <w:rsid w:val="00C65EDD"/>
    <w:rsid w:val="00C6657E"/>
    <w:rsid w:val="00C70F3E"/>
    <w:rsid w:val="00C714E0"/>
    <w:rsid w:val="00C72938"/>
    <w:rsid w:val="00C73252"/>
    <w:rsid w:val="00C73E8A"/>
    <w:rsid w:val="00C7419D"/>
    <w:rsid w:val="00C76A90"/>
    <w:rsid w:val="00C819C2"/>
    <w:rsid w:val="00C81E81"/>
    <w:rsid w:val="00C81F0E"/>
    <w:rsid w:val="00C862F5"/>
    <w:rsid w:val="00C863F5"/>
    <w:rsid w:val="00C868DB"/>
    <w:rsid w:val="00C86FDE"/>
    <w:rsid w:val="00C874B4"/>
    <w:rsid w:val="00C878D0"/>
    <w:rsid w:val="00C9011C"/>
    <w:rsid w:val="00C90784"/>
    <w:rsid w:val="00C92755"/>
    <w:rsid w:val="00C95D0E"/>
    <w:rsid w:val="00C95D4A"/>
    <w:rsid w:val="00C96820"/>
    <w:rsid w:val="00C96A00"/>
    <w:rsid w:val="00C97381"/>
    <w:rsid w:val="00CA0283"/>
    <w:rsid w:val="00CA08F0"/>
    <w:rsid w:val="00CA12AA"/>
    <w:rsid w:val="00CA1FDB"/>
    <w:rsid w:val="00CA3F02"/>
    <w:rsid w:val="00CA4EF6"/>
    <w:rsid w:val="00CA5787"/>
    <w:rsid w:val="00CA7E45"/>
    <w:rsid w:val="00CB01C3"/>
    <w:rsid w:val="00CB11FC"/>
    <w:rsid w:val="00CB2078"/>
    <w:rsid w:val="00CB7775"/>
    <w:rsid w:val="00CC39BE"/>
    <w:rsid w:val="00CC471B"/>
    <w:rsid w:val="00CC71AC"/>
    <w:rsid w:val="00CC7BC2"/>
    <w:rsid w:val="00CD3115"/>
    <w:rsid w:val="00CD3B4E"/>
    <w:rsid w:val="00CD5464"/>
    <w:rsid w:val="00CD5C0B"/>
    <w:rsid w:val="00CD5FE8"/>
    <w:rsid w:val="00CD6212"/>
    <w:rsid w:val="00CE0536"/>
    <w:rsid w:val="00CE0CCA"/>
    <w:rsid w:val="00CE259B"/>
    <w:rsid w:val="00CE4432"/>
    <w:rsid w:val="00CE629E"/>
    <w:rsid w:val="00CE6FBF"/>
    <w:rsid w:val="00CF0732"/>
    <w:rsid w:val="00CF288E"/>
    <w:rsid w:val="00CF29FE"/>
    <w:rsid w:val="00CF2DC1"/>
    <w:rsid w:val="00CF2FFD"/>
    <w:rsid w:val="00CF3ED5"/>
    <w:rsid w:val="00CF55B6"/>
    <w:rsid w:val="00CF5B2A"/>
    <w:rsid w:val="00D01851"/>
    <w:rsid w:val="00D01CFE"/>
    <w:rsid w:val="00D06042"/>
    <w:rsid w:val="00D07783"/>
    <w:rsid w:val="00D102E7"/>
    <w:rsid w:val="00D10FAC"/>
    <w:rsid w:val="00D14925"/>
    <w:rsid w:val="00D20CFE"/>
    <w:rsid w:val="00D219B5"/>
    <w:rsid w:val="00D22627"/>
    <w:rsid w:val="00D2350D"/>
    <w:rsid w:val="00D26DCA"/>
    <w:rsid w:val="00D270AF"/>
    <w:rsid w:val="00D313D5"/>
    <w:rsid w:val="00D32974"/>
    <w:rsid w:val="00D32F23"/>
    <w:rsid w:val="00D353D8"/>
    <w:rsid w:val="00D36836"/>
    <w:rsid w:val="00D36A3D"/>
    <w:rsid w:val="00D40D3A"/>
    <w:rsid w:val="00D43439"/>
    <w:rsid w:val="00D4483F"/>
    <w:rsid w:val="00D448C8"/>
    <w:rsid w:val="00D45CD6"/>
    <w:rsid w:val="00D47267"/>
    <w:rsid w:val="00D47E15"/>
    <w:rsid w:val="00D50B3E"/>
    <w:rsid w:val="00D50CCF"/>
    <w:rsid w:val="00D517F8"/>
    <w:rsid w:val="00D52098"/>
    <w:rsid w:val="00D526DF"/>
    <w:rsid w:val="00D52841"/>
    <w:rsid w:val="00D52BB5"/>
    <w:rsid w:val="00D53025"/>
    <w:rsid w:val="00D55041"/>
    <w:rsid w:val="00D558D6"/>
    <w:rsid w:val="00D55C24"/>
    <w:rsid w:val="00D567AA"/>
    <w:rsid w:val="00D61524"/>
    <w:rsid w:val="00D62750"/>
    <w:rsid w:val="00D638A1"/>
    <w:rsid w:val="00D63DD1"/>
    <w:rsid w:val="00D64683"/>
    <w:rsid w:val="00D65E4B"/>
    <w:rsid w:val="00D66A31"/>
    <w:rsid w:val="00D67CDF"/>
    <w:rsid w:val="00D70364"/>
    <w:rsid w:val="00D70A9C"/>
    <w:rsid w:val="00D71331"/>
    <w:rsid w:val="00D726A7"/>
    <w:rsid w:val="00D728BB"/>
    <w:rsid w:val="00D743E3"/>
    <w:rsid w:val="00D74587"/>
    <w:rsid w:val="00D75FD8"/>
    <w:rsid w:val="00D77101"/>
    <w:rsid w:val="00D80577"/>
    <w:rsid w:val="00D8300B"/>
    <w:rsid w:val="00D86C9A"/>
    <w:rsid w:val="00D90393"/>
    <w:rsid w:val="00D9093A"/>
    <w:rsid w:val="00D90C35"/>
    <w:rsid w:val="00D91D37"/>
    <w:rsid w:val="00D927F3"/>
    <w:rsid w:val="00D93B3E"/>
    <w:rsid w:val="00D94D40"/>
    <w:rsid w:val="00D95130"/>
    <w:rsid w:val="00D96F74"/>
    <w:rsid w:val="00D97947"/>
    <w:rsid w:val="00DA094D"/>
    <w:rsid w:val="00DA09DA"/>
    <w:rsid w:val="00DA1FE3"/>
    <w:rsid w:val="00DA29A3"/>
    <w:rsid w:val="00DA596D"/>
    <w:rsid w:val="00DB0D3F"/>
    <w:rsid w:val="00DB1288"/>
    <w:rsid w:val="00DB2C55"/>
    <w:rsid w:val="00DB4B59"/>
    <w:rsid w:val="00DB5195"/>
    <w:rsid w:val="00DB6C5D"/>
    <w:rsid w:val="00DB6EDE"/>
    <w:rsid w:val="00DC00AB"/>
    <w:rsid w:val="00DC1D11"/>
    <w:rsid w:val="00DC2932"/>
    <w:rsid w:val="00DC32EF"/>
    <w:rsid w:val="00DC36FC"/>
    <w:rsid w:val="00DC3B1C"/>
    <w:rsid w:val="00DC3E8C"/>
    <w:rsid w:val="00DC446A"/>
    <w:rsid w:val="00DD0D1E"/>
    <w:rsid w:val="00DD1A26"/>
    <w:rsid w:val="00DD4696"/>
    <w:rsid w:val="00DD4B41"/>
    <w:rsid w:val="00DD5DD9"/>
    <w:rsid w:val="00DD784B"/>
    <w:rsid w:val="00DD7E4D"/>
    <w:rsid w:val="00DE3C69"/>
    <w:rsid w:val="00DE47C8"/>
    <w:rsid w:val="00DE4943"/>
    <w:rsid w:val="00DE5A07"/>
    <w:rsid w:val="00DE5D49"/>
    <w:rsid w:val="00DE7141"/>
    <w:rsid w:val="00DF0F17"/>
    <w:rsid w:val="00DF12F3"/>
    <w:rsid w:val="00DF16C7"/>
    <w:rsid w:val="00DF1D64"/>
    <w:rsid w:val="00DF2054"/>
    <w:rsid w:val="00DF4352"/>
    <w:rsid w:val="00DF4DA1"/>
    <w:rsid w:val="00DF51B3"/>
    <w:rsid w:val="00DF5644"/>
    <w:rsid w:val="00DF637F"/>
    <w:rsid w:val="00DF6A3E"/>
    <w:rsid w:val="00DF6C2F"/>
    <w:rsid w:val="00DF75A5"/>
    <w:rsid w:val="00E015B1"/>
    <w:rsid w:val="00E01B7E"/>
    <w:rsid w:val="00E01F4B"/>
    <w:rsid w:val="00E05165"/>
    <w:rsid w:val="00E0560C"/>
    <w:rsid w:val="00E06277"/>
    <w:rsid w:val="00E065A3"/>
    <w:rsid w:val="00E06E44"/>
    <w:rsid w:val="00E07A73"/>
    <w:rsid w:val="00E10D5F"/>
    <w:rsid w:val="00E120E3"/>
    <w:rsid w:val="00E13120"/>
    <w:rsid w:val="00E13C6E"/>
    <w:rsid w:val="00E141AA"/>
    <w:rsid w:val="00E176F0"/>
    <w:rsid w:val="00E21D88"/>
    <w:rsid w:val="00E25220"/>
    <w:rsid w:val="00E267CB"/>
    <w:rsid w:val="00E2722A"/>
    <w:rsid w:val="00E306D9"/>
    <w:rsid w:val="00E31663"/>
    <w:rsid w:val="00E33472"/>
    <w:rsid w:val="00E337FD"/>
    <w:rsid w:val="00E35C6C"/>
    <w:rsid w:val="00E363CD"/>
    <w:rsid w:val="00E37270"/>
    <w:rsid w:val="00E37750"/>
    <w:rsid w:val="00E37B60"/>
    <w:rsid w:val="00E37E53"/>
    <w:rsid w:val="00E42D4E"/>
    <w:rsid w:val="00E43941"/>
    <w:rsid w:val="00E43ABF"/>
    <w:rsid w:val="00E43CD1"/>
    <w:rsid w:val="00E43F63"/>
    <w:rsid w:val="00E44402"/>
    <w:rsid w:val="00E476B2"/>
    <w:rsid w:val="00E47974"/>
    <w:rsid w:val="00E51C7E"/>
    <w:rsid w:val="00E51E85"/>
    <w:rsid w:val="00E53E3B"/>
    <w:rsid w:val="00E61BA3"/>
    <w:rsid w:val="00E63C57"/>
    <w:rsid w:val="00E67E6D"/>
    <w:rsid w:val="00E71FA1"/>
    <w:rsid w:val="00E72008"/>
    <w:rsid w:val="00E72A5D"/>
    <w:rsid w:val="00E772C9"/>
    <w:rsid w:val="00E8106A"/>
    <w:rsid w:val="00E81E02"/>
    <w:rsid w:val="00E835CD"/>
    <w:rsid w:val="00E84992"/>
    <w:rsid w:val="00E84A32"/>
    <w:rsid w:val="00E930CC"/>
    <w:rsid w:val="00E93686"/>
    <w:rsid w:val="00E93963"/>
    <w:rsid w:val="00E94E52"/>
    <w:rsid w:val="00E95857"/>
    <w:rsid w:val="00E95C46"/>
    <w:rsid w:val="00E97399"/>
    <w:rsid w:val="00EA015A"/>
    <w:rsid w:val="00EA0983"/>
    <w:rsid w:val="00EA1E21"/>
    <w:rsid w:val="00EA1F1D"/>
    <w:rsid w:val="00EA3220"/>
    <w:rsid w:val="00EA335B"/>
    <w:rsid w:val="00EA5827"/>
    <w:rsid w:val="00EA6AF2"/>
    <w:rsid w:val="00EA70FA"/>
    <w:rsid w:val="00EB2937"/>
    <w:rsid w:val="00EB2A5C"/>
    <w:rsid w:val="00EB2CFE"/>
    <w:rsid w:val="00EB431C"/>
    <w:rsid w:val="00EB45ED"/>
    <w:rsid w:val="00EB4B04"/>
    <w:rsid w:val="00EB5301"/>
    <w:rsid w:val="00EB57D1"/>
    <w:rsid w:val="00EB7493"/>
    <w:rsid w:val="00EC0617"/>
    <w:rsid w:val="00EC0F43"/>
    <w:rsid w:val="00EC18A0"/>
    <w:rsid w:val="00EC3405"/>
    <w:rsid w:val="00EC4AF2"/>
    <w:rsid w:val="00EC6509"/>
    <w:rsid w:val="00EC7106"/>
    <w:rsid w:val="00ED09DB"/>
    <w:rsid w:val="00ED0E5A"/>
    <w:rsid w:val="00ED2822"/>
    <w:rsid w:val="00ED3CC8"/>
    <w:rsid w:val="00ED679A"/>
    <w:rsid w:val="00ED6EBE"/>
    <w:rsid w:val="00ED7796"/>
    <w:rsid w:val="00ED7E79"/>
    <w:rsid w:val="00EE1662"/>
    <w:rsid w:val="00EE2BFD"/>
    <w:rsid w:val="00EE5EF8"/>
    <w:rsid w:val="00EF15B5"/>
    <w:rsid w:val="00EF2EBD"/>
    <w:rsid w:val="00EF3063"/>
    <w:rsid w:val="00EF32EE"/>
    <w:rsid w:val="00EF3684"/>
    <w:rsid w:val="00EF4B3B"/>
    <w:rsid w:val="00EF5269"/>
    <w:rsid w:val="00EF7011"/>
    <w:rsid w:val="00EF7FEC"/>
    <w:rsid w:val="00F03C76"/>
    <w:rsid w:val="00F051D1"/>
    <w:rsid w:val="00F06051"/>
    <w:rsid w:val="00F06D9D"/>
    <w:rsid w:val="00F11147"/>
    <w:rsid w:val="00F12F9A"/>
    <w:rsid w:val="00F153E4"/>
    <w:rsid w:val="00F160E5"/>
    <w:rsid w:val="00F16C80"/>
    <w:rsid w:val="00F1788E"/>
    <w:rsid w:val="00F17B67"/>
    <w:rsid w:val="00F17FE1"/>
    <w:rsid w:val="00F204B1"/>
    <w:rsid w:val="00F216E1"/>
    <w:rsid w:val="00F21A9E"/>
    <w:rsid w:val="00F23364"/>
    <w:rsid w:val="00F23C9F"/>
    <w:rsid w:val="00F25DEA"/>
    <w:rsid w:val="00F2680F"/>
    <w:rsid w:val="00F26A0F"/>
    <w:rsid w:val="00F271DF"/>
    <w:rsid w:val="00F302CC"/>
    <w:rsid w:val="00F3291E"/>
    <w:rsid w:val="00F34AA8"/>
    <w:rsid w:val="00F375EF"/>
    <w:rsid w:val="00F37C16"/>
    <w:rsid w:val="00F40B87"/>
    <w:rsid w:val="00F4237E"/>
    <w:rsid w:val="00F43804"/>
    <w:rsid w:val="00F5157A"/>
    <w:rsid w:val="00F52872"/>
    <w:rsid w:val="00F528CD"/>
    <w:rsid w:val="00F54110"/>
    <w:rsid w:val="00F572F7"/>
    <w:rsid w:val="00F57D27"/>
    <w:rsid w:val="00F57DB7"/>
    <w:rsid w:val="00F60FB1"/>
    <w:rsid w:val="00F61E2D"/>
    <w:rsid w:val="00F667B5"/>
    <w:rsid w:val="00F67916"/>
    <w:rsid w:val="00F7166B"/>
    <w:rsid w:val="00F71831"/>
    <w:rsid w:val="00F7258B"/>
    <w:rsid w:val="00F75BFE"/>
    <w:rsid w:val="00F76991"/>
    <w:rsid w:val="00F831D5"/>
    <w:rsid w:val="00F83D05"/>
    <w:rsid w:val="00F8454B"/>
    <w:rsid w:val="00F85742"/>
    <w:rsid w:val="00F8629F"/>
    <w:rsid w:val="00F8653C"/>
    <w:rsid w:val="00F87478"/>
    <w:rsid w:val="00F908AA"/>
    <w:rsid w:val="00F90ADB"/>
    <w:rsid w:val="00F90DD0"/>
    <w:rsid w:val="00F91858"/>
    <w:rsid w:val="00F91F64"/>
    <w:rsid w:val="00F923AC"/>
    <w:rsid w:val="00F926D3"/>
    <w:rsid w:val="00F926FD"/>
    <w:rsid w:val="00F939B2"/>
    <w:rsid w:val="00F940B4"/>
    <w:rsid w:val="00F9634C"/>
    <w:rsid w:val="00F96ED3"/>
    <w:rsid w:val="00F977E7"/>
    <w:rsid w:val="00F97FAF"/>
    <w:rsid w:val="00FA22EB"/>
    <w:rsid w:val="00FA38D3"/>
    <w:rsid w:val="00FA5458"/>
    <w:rsid w:val="00FA6F5D"/>
    <w:rsid w:val="00FA6F8E"/>
    <w:rsid w:val="00FB0566"/>
    <w:rsid w:val="00FB12D4"/>
    <w:rsid w:val="00FB1A01"/>
    <w:rsid w:val="00FB1DFC"/>
    <w:rsid w:val="00FB368D"/>
    <w:rsid w:val="00FB4475"/>
    <w:rsid w:val="00FB44FD"/>
    <w:rsid w:val="00FB5C08"/>
    <w:rsid w:val="00FC15E0"/>
    <w:rsid w:val="00FC41BE"/>
    <w:rsid w:val="00FD02A2"/>
    <w:rsid w:val="00FD0A96"/>
    <w:rsid w:val="00FD0BD8"/>
    <w:rsid w:val="00FD4E02"/>
    <w:rsid w:val="00FD633C"/>
    <w:rsid w:val="00FE0F0D"/>
    <w:rsid w:val="00FE2067"/>
    <w:rsid w:val="00FE2897"/>
    <w:rsid w:val="00FE3526"/>
    <w:rsid w:val="00FE4C93"/>
    <w:rsid w:val="00FE72B9"/>
    <w:rsid w:val="00FF27BE"/>
    <w:rsid w:val="00FF40B4"/>
    <w:rsid w:val="00FF43D7"/>
    <w:rsid w:val="00FF483C"/>
    <w:rsid w:val="00FF4E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ED28"/>
  <w15:docId w15:val="{16509306-2CFA-47B3-A4A3-378E28B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2,Strip"/>
    <w:basedOn w:val="Normal"/>
    <w:link w:val="ListParagraphChar"/>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basedOn w:val="DefaultParagraphFont"/>
    <w:uiPriority w:val="99"/>
    <w:unhideWhenUsed/>
    <w:rsid w:val="00141791"/>
    <w:rPr>
      <w:color w:val="0000FF" w:themeColor="hyperlink"/>
      <w:u w:val="single"/>
    </w:rPr>
  </w:style>
  <w:style w:type="paragraph" w:customStyle="1" w:styleId="naiskr">
    <w:name w:val="naiskr"/>
    <w:basedOn w:val="Normal"/>
    <w:rsid w:val="00C81F0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417D5"/>
    <w:rPr>
      <w:b/>
      <w:bCs/>
    </w:rPr>
  </w:style>
  <w:style w:type="paragraph" w:styleId="CommentSubject">
    <w:name w:val="annotation subject"/>
    <w:basedOn w:val="CommentText"/>
    <w:next w:val="CommentText"/>
    <w:link w:val="CommentSubjectChar"/>
    <w:uiPriority w:val="99"/>
    <w:semiHidden/>
    <w:unhideWhenUsed/>
    <w:rsid w:val="002F4AD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4AD0"/>
    <w:rPr>
      <w:rFonts w:ascii="Times New Roman" w:eastAsia="Times New Roman" w:hAnsi="Times New Roman" w:cs="Times New Roman"/>
      <w:b/>
      <w:bCs/>
      <w:sz w:val="20"/>
      <w:szCs w:val="20"/>
      <w:lang w:eastAsia="lv-LV"/>
    </w:rPr>
  </w:style>
  <w:style w:type="paragraph" w:styleId="Revision">
    <w:name w:val="Revision"/>
    <w:hidden/>
    <w:uiPriority w:val="99"/>
    <w:semiHidden/>
    <w:rsid w:val="002F4AD0"/>
    <w:pPr>
      <w:spacing w:after="0" w:line="240" w:lineRule="auto"/>
    </w:pPr>
  </w:style>
  <w:style w:type="character" w:customStyle="1" w:styleId="ListParagraphChar">
    <w:name w:val="List Paragraph Char"/>
    <w:aliases w:val="2 Char,Strip Char"/>
    <w:link w:val="ListParagraph"/>
    <w:uiPriority w:val="34"/>
    <w:qFormat/>
    <w:rsid w:val="00BC7E09"/>
  </w:style>
  <w:style w:type="paragraph" w:styleId="NormalWeb">
    <w:name w:val="Normal (Web)"/>
    <w:basedOn w:val="Normal"/>
    <w:uiPriority w:val="99"/>
    <w:rsid w:val="00BC7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rsid w:val="007E730B"/>
    <w:pPr>
      <w:spacing w:after="160" w:line="240" w:lineRule="exact"/>
      <w:jc w:val="both"/>
    </w:pPr>
    <w:rPr>
      <w:vertAlign w:val="superscript"/>
    </w:rPr>
  </w:style>
  <w:style w:type="paragraph" w:customStyle="1" w:styleId="tv2132">
    <w:name w:val="tv2132"/>
    <w:basedOn w:val="Normal"/>
    <w:rsid w:val="00CC7BC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578467">
      <w:bodyDiv w:val="1"/>
      <w:marLeft w:val="0"/>
      <w:marRight w:val="0"/>
      <w:marTop w:val="0"/>
      <w:marBottom w:val="0"/>
      <w:divBdr>
        <w:top w:val="none" w:sz="0" w:space="0" w:color="auto"/>
        <w:left w:val="none" w:sz="0" w:space="0" w:color="auto"/>
        <w:bottom w:val="none" w:sz="0" w:space="0" w:color="auto"/>
        <w:right w:val="none" w:sz="0" w:space="0" w:color="auto"/>
      </w:divBdr>
    </w:div>
    <w:div w:id="198862943">
      <w:bodyDiv w:val="1"/>
      <w:marLeft w:val="0"/>
      <w:marRight w:val="0"/>
      <w:marTop w:val="0"/>
      <w:marBottom w:val="0"/>
      <w:divBdr>
        <w:top w:val="none" w:sz="0" w:space="0" w:color="auto"/>
        <w:left w:val="none" w:sz="0" w:space="0" w:color="auto"/>
        <w:bottom w:val="none" w:sz="0" w:space="0" w:color="auto"/>
        <w:right w:val="none" w:sz="0" w:space="0" w:color="auto"/>
      </w:divBdr>
    </w:div>
    <w:div w:id="216817926">
      <w:bodyDiv w:val="1"/>
      <w:marLeft w:val="0"/>
      <w:marRight w:val="0"/>
      <w:marTop w:val="0"/>
      <w:marBottom w:val="0"/>
      <w:divBdr>
        <w:top w:val="none" w:sz="0" w:space="0" w:color="auto"/>
        <w:left w:val="none" w:sz="0" w:space="0" w:color="auto"/>
        <w:bottom w:val="none" w:sz="0" w:space="0" w:color="auto"/>
        <w:right w:val="none" w:sz="0" w:space="0" w:color="auto"/>
      </w:divBdr>
      <w:divsChild>
        <w:div w:id="1743527661">
          <w:marLeft w:val="0"/>
          <w:marRight w:val="0"/>
          <w:marTop w:val="0"/>
          <w:marBottom w:val="0"/>
          <w:divBdr>
            <w:top w:val="none" w:sz="0" w:space="0" w:color="auto"/>
            <w:left w:val="none" w:sz="0" w:space="0" w:color="auto"/>
            <w:bottom w:val="none" w:sz="0" w:space="0" w:color="auto"/>
            <w:right w:val="none" w:sz="0" w:space="0" w:color="auto"/>
          </w:divBdr>
          <w:divsChild>
            <w:div w:id="461660239">
              <w:marLeft w:val="0"/>
              <w:marRight w:val="0"/>
              <w:marTop w:val="0"/>
              <w:marBottom w:val="0"/>
              <w:divBdr>
                <w:top w:val="none" w:sz="0" w:space="0" w:color="auto"/>
                <w:left w:val="none" w:sz="0" w:space="0" w:color="auto"/>
                <w:bottom w:val="none" w:sz="0" w:space="0" w:color="auto"/>
                <w:right w:val="none" w:sz="0" w:space="0" w:color="auto"/>
              </w:divBdr>
              <w:divsChild>
                <w:div w:id="1823037617">
                  <w:marLeft w:val="0"/>
                  <w:marRight w:val="0"/>
                  <w:marTop w:val="0"/>
                  <w:marBottom w:val="0"/>
                  <w:divBdr>
                    <w:top w:val="none" w:sz="0" w:space="0" w:color="auto"/>
                    <w:left w:val="none" w:sz="0" w:space="0" w:color="auto"/>
                    <w:bottom w:val="none" w:sz="0" w:space="0" w:color="auto"/>
                    <w:right w:val="none" w:sz="0" w:space="0" w:color="auto"/>
                  </w:divBdr>
                  <w:divsChild>
                    <w:div w:id="1338191077">
                      <w:marLeft w:val="0"/>
                      <w:marRight w:val="0"/>
                      <w:marTop w:val="0"/>
                      <w:marBottom w:val="0"/>
                      <w:divBdr>
                        <w:top w:val="none" w:sz="0" w:space="0" w:color="auto"/>
                        <w:left w:val="none" w:sz="0" w:space="0" w:color="auto"/>
                        <w:bottom w:val="none" w:sz="0" w:space="0" w:color="auto"/>
                        <w:right w:val="none" w:sz="0" w:space="0" w:color="auto"/>
                      </w:divBdr>
                      <w:divsChild>
                        <w:div w:id="1698241116">
                          <w:marLeft w:val="0"/>
                          <w:marRight w:val="0"/>
                          <w:marTop w:val="0"/>
                          <w:marBottom w:val="0"/>
                          <w:divBdr>
                            <w:top w:val="none" w:sz="0" w:space="0" w:color="auto"/>
                            <w:left w:val="none" w:sz="0" w:space="0" w:color="auto"/>
                            <w:bottom w:val="none" w:sz="0" w:space="0" w:color="auto"/>
                            <w:right w:val="none" w:sz="0" w:space="0" w:color="auto"/>
                          </w:divBdr>
                          <w:divsChild>
                            <w:div w:id="1968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1160">
      <w:bodyDiv w:val="1"/>
      <w:marLeft w:val="0"/>
      <w:marRight w:val="0"/>
      <w:marTop w:val="0"/>
      <w:marBottom w:val="0"/>
      <w:divBdr>
        <w:top w:val="none" w:sz="0" w:space="0" w:color="auto"/>
        <w:left w:val="none" w:sz="0" w:space="0" w:color="auto"/>
        <w:bottom w:val="none" w:sz="0" w:space="0" w:color="auto"/>
        <w:right w:val="none" w:sz="0" w:space="0" w:color="auto"/>
      </w:divBdr>
    </w:div>
    <w:div w:id="368184697">
      <w:bodyDiv w:val="1"/>
      <w:marLeft w:val="0"/>
      <w:marRight w:val="0"/>
      <w:marTop w:val="0"/>
      <w:marBottom w:val="0"/>
      <w:divBdr>
        <w:top w:val="none" w:sz="0" w:space="0" w:color="auto"/>
        <w:left w:val="none" w:sz="0" w:space="0" w:color="auto"/>
        <w:bottom w:val="none" w:sz="0" w:space="0" w:color="auto"/>
        <w:right w:val="none" w:sz="0" w:space="0" w:color="auto"/>
      </w:divBdr>
    </w:div>
    <w:div w:id="470830660">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57436">
      <w:bodyDiv w:val="1"/>
      <w:marLeft w:val="0"/>
      <w:marRight w:val="0"/>
      <w:marTop w:val="0"/>
      <w:marBottom w:val="0"/>
      <w:divBdr>
        <w:top w:val="none" w:sz="0" w:space="0" w:color="auto"/>
        <w:left w:val="none" w:sz="0" w:space="0" w:color="auto"/>
        <w:bottom w:val="none" w:sz="0" w:space="0" w:color="auto"/>
        <w:right w:val="none" w:sz="0" w:space="0" w:color="auto"/>
      </w:divBdr>
      <w:divsChild>
        <w:div w:id="831066134">
          <w:marLeft w:val="0"/>
          <w:marRight w:val="0"/>
          <w:marTop w:val="0"/>
          <w:marBottom w:val="0"/>
          <w:divBdr>
            <w:top w:val="none" w:sz="0" w:space="0" w:color="auto"/>
            <w:left w:val="none" w:sz="0" w:space="0" w:color="auto"/>
            <w:bottom w:val="none" w:sz="0" w:space="0" w:color="auto"/>
            <w:right w:val="none" w:sz="0" w:space="0" w:color="auto"/>
          </w:divBdr>
          <w:divsChild>
            <w:div w:id="1127431977">
              <w:marLeft w:val="0"/>
              <w:marRight w:val="0"/>
              <w:marTop w:val="0"/>
              <w:marBottom w:val="0"/>
              <w:divBdr>
                <w:top w:val="none" w:sz="0" w:space="0" w:color="auto"/>
                <w:left w:val="none" w:sz="0" w:space="0" w:color="auto"/>
                <w:bottom w:val="none" w:sz="0" w:space="0" w:color="auto"/>
                <w:right w:val="none" w:sz="0" w:space="0" w:color="auto"/>
              </w:divBdr>
              <w:divsChild>
                <w:div w:id="1070158842">
                  <w:marLeft w:val="0"/>
                  <w:marRight w:val="0"/>
                  <w:marTop w:val="0"/>
                  <w:marBottom w:val="0"/>
                  <w:divBdr>
                    <w:top w:val="none" w:sz="0" w:space="0" w:color="auto"/>
                    <w:left w:val="none" w:sz="0" w:space="0" w:color="auto"/>
                    <w:bottom w:val="none" w:sz="0" w:space="0" w:color="auto"/>
                    <w:right w:val="none" w:sz="0" w:space="0" w:color="auto"/>
                  </w:divBdr>
                  <w:divsChild>
                    <w:div w:id="464158350">
                      <w:marLeft w:val="0"/>
                      <w:marRight w:val="0"/>
                      <w:marTop w:val="0"/>
                      <w:marBottom w:val="0"/>
                      <w:divBdr>
                        <w:top w:val="none" w:sz="0" w:space="0" w:color="auto"/>
                        <w:left w:val="none" w:sz="0" w:space="0" w:color="auto"/>
                        <w:bottom w:val="none" w:sz="0" w:space="0" w:color="auto"/>
                        <w:right w:val="none" w:sz="0" w:space="0" w:color="auto"/>
                      </w:divBdr>
                      <w:divsChild>
                        <w:div w:id="435754949">
                          <w:marLeft w:val="0"/>
                          <w:marRight w:val="0"/>
                          <w:marTop w:val="0"/>
                          <w:marBottom w:val="0"/>
                          <w:divBdr>
                            <w:top w:val="none" w:sz="0" w:space="0" w:color="auto"/>
                            <w:left w:val="none" w:sz="0" w:space="0" w:color="auto"/>
                            <w:bottom w:val="none" w:sz="0" w:space="0" w:color="auto"/>
                            <w:right w:val="none" w:sz="0" w:space="0" w:color="auto"/>
                          </w:divBdr>
                          <w:divsChild>
                            <w:div w:id="1913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22261">
      <w:bodyDiv w:val="1"/>
      <w:marLeft w:val="0"/>
      <w:marRight w:val="0"/>
      <w:marTop w:val="0"/>
      <w:marBottom w:val="0"/>
      <w:divBdr>
        <w:top w:val="none" w:sz="0" w:space="0" w:color="auto"/>
        <w:left w:val="none" w:sz="0" w:space="0" w:color="auto"/>
        <w:bottom w:val="none" w:sz="0" w:space="0" w:color="auto"/>
        <w:right w:val="none" w:sz="0" w:space="0" w:color="auto"/>
      </w:divBdr>
    </w:div>
    <w:div w:id="746196848">
      <w:bodyDiv w:val="1"/>
      <w:marLeft w:val="0"/>
      <w:marRight w:val="0"/>
      <w:marTop w:val="0"/>
      <w:marBottom w:val="0"/>
      <w:divBdr>
        <w:top w:val="none" w:sz="0" w:space="0" w:color="auto"/>
        <w:left w:val="none" w:sz="0" w:space="0" w:color="auto"/>
        <w:bottom w:val="none" w:sz="0" w:space="0" w:color="auto"/>
        <w:right w:val="none" w:sz="0" w:space="0" w:color="auto"/>
      </w:divBdr>
    </w:div>
    <w:div w:id="806238938">
      <w:bodyDiv w:val="1"/>
      <w:marLeft w:val="0"/>
      <w:marRight w:val="0"/>
      <w:marTop w:val="0"/>
      <w:marBottom w:val="0"/>
      <w:divBdr>
        <w:top w:val="none" w:sz="0" w:space="0" w:color="auto"/>
        <w:left w:val="none" w:sz="0" w:space="0" w:color="auto"/>
        <w:bottom w:val="none" w:sz="0" w:space="0" w:color="auto"/>
        <w:right w:val="none" w:sz="0" w:space="0" w:color="auto"/>
      </w:divBdr>
    </w:div>
    <w:div w:id="816841940">
      <w:bodyDiv w:val="1"/>
      <w:marLeft w:val="0"/>
      <w:marRight w:val="0"/>
      <w:marTop w:val="0"/>
      <w:marBottom w:val="0"/>
      <w:divBdr>
        <w:top w:val="none" w:sz="0" w:space="0" w:color="auto"/>
        <w:left w:val="none" w:sz="0" w:space="0" w:color="auto"/>
        <w:bottom w:val="none" w:sz="0" w:space="0" w:color="auto"/>
        <w:right w:val="none" w:sz="0" w:space="0" w:color="auto"/>
      </w:divBdr>
    </w:div>
    <w:div w:id="953830121">
      <w:bodyDiv w:val="1"/>
      <w:marLeft w:val="0"/>
      <w:marRight w:val="0"/>
      <w:marTop w:val="0"/>
      <w:marBottom w:val="0"/>
      <w:divBdr>
        <w:top w:val="none" w:sz="0" w:space="0" w:color="auto"/>
        <w:left w:val="none" w:sz="0" w:space="0" w:color="auto"/>
        <w:bottom w:val="none" w:sz="0" w:space="0" w:color="auto"/>
        <w:right w:val="none" w:sz="0" w:space="0" w:color="auto"/>
      </w:divBdr>
      <w:divsChild>
        <w:div w:id="1047489518">
          <w:marLeft w:val="0"/>
          <w:marRight w:val="0"/>
          <w:marTop w:val="0"/>
          <w:marBottom w:val="0"/>
          <w:divBdr>
            <w:top w:val="none" w:sz="0" w:space="0" w:color="auto"/>
            <w:left w:val="none" w:sz="0" w:space="0" w:color="auto"/>
            <w:bottom w:val="none" w:sz="0" w:space="0" w:color="auto"/>
            <w:right w:val="none" w:sz="0" w:space="0" w:color="auto"/>
          </w:divBdr>
          <w:divsChild>
            <w:div w:id="568152592">
              <w:marLeft w:val="0"/>
              <w:marRight w:val="0"/>
              <w:marTop w:val="0"/>
              <w:marBottom w:val="0"/>
              <w:divBdr>
                <w:top w:val="none" w:sz="0" w:space="0" w:color="auto"/>
                <w:left w:val="none" w:sz="0" w:space="0" w:color="auto"/>
                <w:bottom w:val="none" w:sz="0" w:space="0" w:color="auto"/>
                <w:right w:val="none" w:sz="0" w:space="0" w:color="auto"/>
              </w:divBdr>
              <w:divsChild>
                <w:div w:id="970479476">
                  <w:marLeft w:val="0"/>
                  <w:marRight w:val="0"/>
                  <w:marTop w:val="0"/>
                  <w:marBottom w:val="0"/>
                  <w:divBdr>
                    <w:top w:val="none" w:sz="0" w:space="0" w:color="auto"/>
                    <w:left w:val="none" w:sz="0" w:space="0" w:color="auto"/>
                    <w:bottom w:val="none" w:sz="0" w:space="0" w:color="auto"/>
                    <w:right w:val="none" w:sz="0" w:space="0" w:color="auto"/>
                  </w:divBdr>
                  <w:divsChild>
                    <w:div w:id="1591812780">
                      <w:marLeft w:val="0"/>
                      <w:marRight w:val="0"/>
                      <w:marTop w:val="0"/>
                      <w:marBottom w:val="0"/>
                      <w:divBdr>
                        <w:top w:val="none" w:sz="0" w:space="0" w:color="auto"/>
                        <w:left w:val="none" w:sz="0" w:space="0" w:color="auto"/>
                        <w:bottom w:val="none" w:sz="0" w:space="0" w:color="auto"/>
                        <w:right w:val="none" w:sz="0" w:space="0" w:color="auto"/>
                      </w:divBdr>
                      <w:divsChild>
                        <w:div w:id="1484807613">
                          <w:marLeft w:val="0"/>
                          <w:marRight w:val="0"/>
                          <w:marTop w:val="0"/>
                          <w:marBottom w:val="0"/>
                          <w:divBdr>
                            <w:top w:val="none" w:sz="0" w:space="0" w:color="auto"/>
                            <w:left w:val="none" w:sz="0" w:space="0" w:color="auto"/>
                            <w:bottom w:val="none" w:sz="0" w:space="0" w:color="auto"/>
                            <w:right w:val="none" w:sz="0" w:space="0" w:color="auto"/>
                          </w:divBdr>
                          <w:divsChild>
                            <w:div w:id="1036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3334">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sChild>
        <w:div w:id="385421679">
          <w:marLeft w:val="0"/>
          <w:marRight w:val="0"/>
          <w:marTop w:val="0"/>
          <w:marBottom w:val="0"/>
          <w:divBdr>
            <w:top w:val="none" w:sz="0" w:space="0" w:color="auto"/>
            <w:left w:val="none" w:sz="0" w:space="0" w:color="auto"/>
            <w:bottom w:val="none" w:sz="0" w:space="0" w:color="auto"/>
            <w:right w:val="none" w:sz="0" w:space="0" w:color="auto"/>
          </w:divBdr>
          <w:divsChild>
            <w:div w:id="1054548962">
              <w:marLeft w:val="0"/>
              <w:marRight w:val="0"/>
              <w:marTop w:val="0"/>
              <w:marBottom w:val="0"/>
              <w:divBdr>
                <w:top w:val="none" w:sz="0" w:space="0" w:color="auto"/>
                <w:left w:val="none" w:sz="0" w:space="0" w:color="auto"/>
                <w:bottom w:val="none" w:sz="0" w:space="0" w:color="auto"/>
                <w:right w:val="none" w:sz="0" w:space="0" w:color="auto"/>
              </w:divBdr>
              <w:divsChild>
                <w:div w:id="1560896110">
                  <w:marLeft w:val="0"/>
                  <w:marRight w:val="0"/>
                  <w:marTop w:val="0"/>
                  <w:marBottom w:val="0"/>
                  <w:divBdr>
                    <w:top w:val="none" w:sz="0" w:space="0" w:color="auto"/>
                    <w:left w:val="none" w:sz="0" w:space="0" w:color="auto"/>
                    <w:bottom w:val="none" w:sz="0" w:space="0" w:color="auto"/>
                    <w:right w:val="none" w:sz="0" w:space="0" w:color="auto"/>
                  </w:divBdr>
                  <w:divsChild>
                    <w:div w:id="609778569">
                      <w:marLeft w:val="0"/>
                      <w:marRight w:val="0"/>
                      <w:marTop w:val="0"/>
                      <w:marBottom w:val="0"/>
                      <w:divBdr>
                        <w:top w:val="none" w:sz="0" w:space="0" w:color="auto"/>
                        <w:left w:val="none" w:sz="0" w:space="0" w:color="auto"/>
                        <w:bottom w:val="none" w:sz="0" w:space="0" w:color="auto"/>
                        <w:right w:val="none" w:sz="0" w:space="0" w:color="auto"/>
                      </w:divBdr>
                      <w:divsChild>
                        <w:div w:id="184828260">
                          <w:marLeft w:val="0"/>
                          <w:marRight w:val="0"/>
                          <w:marTop w:val="0"/>
                          <w:marBottom w:val="0"/>
                          <w:divBdr>
                            <w:top w:val="none" w:sz="0" w:space="0" w:color="auto"/>
                            <w:left w:val="none" w:sz="0" w:space="0" w:color="auto"/>
                            <w:bottom w:val="none" w:sz="0" w:space="0" w:color="auto"/>
                            <w:right w:val="none" w:sz="0" w:space="0" w:color="auto"/>
                          </w:divBdr>
                          <w:divsChild>
                            <w:div w:id="47385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6783">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31118310">
      <w:bodyDiv w:val="1"/>
      <w:marLeft w:val="0"/>
      <w:marRight w:val="0"/>
      <w:marTop w:val="0"/>
      <w:marBottom w:val="0"/>
      <w:divBdr>
        <w:top w:val="none" w:sz="0" w:space="0" w:color="auto"/>
        <w:left w:val="none" w:sz="0" w:space="0" w:color="auto"/>
        <w:bottom w:val="none" w:sz="0" w:space="0" w:color="auto"/>
        <w:right w:val="none" w:sz="0" w:space="0" w:color="auto"/>
      </w:divBdr>
    </w:div>
    <w:div w:id="1484588734">
      <w:bodyDiv w:val="1"/>
      <w:marLeft w:val="0"/>
      <w:marRight w:val="0"/>
      <w:marTop w:val="0"/>
      <w:marBottom w:val="0"/>
      <w:divBdr>
        <w:top w:val="none" w:sz="0" w:space="0" w:color="auto"/>
        <w:left w:val="none" w:sz="0" w:space="0" w:color="auto"/>
        <w:bottom w:val="none" w:sz="0" w:space="0" w:color="auto"/>
        <w:right w:val="none" w:sz="0" w:space="0" w:color="auto"/>
      </w:divBdr>
    </w:div>
    <w:div w:id="1756702068">
      <w:bodyDiv w:val="1"/>
      <w:marLeft w:val="0"/>
      <w:marRight w:val="0"/>
      <w:marTop w:val="0"/>
      <w:marBottom w:val="0"/>
      <w:divBdr>
        <w:top w:val="none" w:sz="0" w:space="0" w:color="auto"/>
        <w:left w:val="none" w:sz="0" w:space="0" w:color="auto"/>
        <w:bottom w:val="none" w:sz="0" w:space="0" w:color="auto"/>
        <w:right w:val="none" w:sz="0" w:space="0" w:color="auto"/>
      </w:divBdr>
    </w:div>
    <w:div w:id="1877153732">
      <w:bodyDiv w:val="1"/>
      <w:marLeft w:val="0"/>
      <w:marRight w:val="0"/>
      <w:marTop w:val="0"/>
      <w:marBottom w:val="0"/>
      <w:divBdr>
        <w:top w:val="none" w:sz="0" w:space="0" w:color="auto"/>
        <w:left w:val="none" w:sz="0" w:space="0" w:color="auto"/>
        <w:bottom w:val="none" w:sz="0" w:space="0" w:color="auto"/>
        <w:right w:val="none" w:sz="0" w:space="0" w:color="auto"/>
      </w:divBdr>
    </w:div>
    <w:div w:id="1884974905">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87298">
      <w:bodyDiv w:val="1"/>
      <w:marLeft w:val="0"/>
      <w:marRight w:val="0"/>
      <w:marTop w:val="0"/>
      <w:marBottom w:val="0"/>
      <w:divBdr>
        <w:top w:val="none" w:sz="0" w:space="0" w:color="auto"/>
        <w:left w:val="none" w:sz="0" w:space="0" w:color="auto"/>
        <w:bottom w:val="none" w:sz="0" w:space="0" w:color="auto"/>
        <w:right w:val="none" w:sz="0" w:space="0" w:color="auto"/>
      </w:divBdr>
    </w:div>
    <w:div w:id="20892301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svirkst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eur-lex.europa.eu/eli/reg/2006/1083/oj/?loca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StateAid/Homepage" TargetMode="External"/><Relationship Id="rId1" Type="http://schemas.openxmlformats.org/officeDocument/2006/relationships/hyperlink" Target="http://esfondi.izm.gov.lv/1365.html%2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BF67-468E-4DB9-A329-3C8E79B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3246</Words>
  <Characters>23145</Characters>
  <Application>Microsoft Office Word</Application>
  <DocSecurity>0</DocSecurity>
  <Lines>593</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24. marta noteikumos Nr. 265 "Noteikumi par darbības programmas "Infrastruktūra un pakalpojumi" papildinājuma 3.1.2.1.1.apakšaktivitāti "Augstākās izglītības iestāžu telpu un iek</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dc:title>
  <dc:subject>Anotācija</dc:subject>
  <dc:creator>Švirksta</dc:creator>
  <cp:keywords/>
  <dc:description>inta.svirksta@izm.gov.lv
67047878</dc:description>
  <cp:lastModifiedBy>Inta Švirksta</cp:lastModifiedBy>
  <cp:revision>21</cp:revision>
  <cp:lastPrinted>2017-05-29T10:34:00Z</cp:lastPrinted>
  <dcterms:created xsi:type="dcterms:W3CDTF">2018-04-17T08:50:00Z</dcterms:created>
  <dcterms:modified xsi:type="dcterms:W3CDTF">2018-04-18T11:24:00Z</dcterms:modified>
</cp:coreProperties>
</file>