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CC05" w14:textId="77777777" w:rsidR="00774F72" w:rsidRPr="00F330F5" w:rsidRDefault="00774F72" w:rsidP="00774F72">
      <w:pPr>
        <w:pStyle w:val="Footer"/>
        <w:jc w:val="center"/>
        <w:rPr>
          <w:rFonts w:ascii="Times New Roman" w:eastAsia="Times New Roman" w:hAnsi="Times New Roman"/>
          <w:bCs/>
          <w:sz w:val="24"/>
          <w:szCs w:val="24"/>
        </w:rPr>
      </w:pPr>
      <w:r w:rsidRPr="00F330F5">
        <w:rPr>
          <w:rFonts w:ascii="Times New Roman" w:hAnsi="Times New Roman"/>
          <w:b/>
          <w:sz w:val="24"/>
          <w:szCs w:val="24"/>
        </w:rPr>
        <w:t>Ministru kabineta noteikumu</w:t>
      </w:r>
    </w:p>
    <w:p w14:paraId="2E90E3E3" w14:textId="77777777" w:rsidR="00774F72" w:rsidRPr="00F330F5" w:rsidRDefault="00774F72" w:rsidP="00774F72">
      <w:pPr>
        <w:shd w:val="clear" w:color="auto" w:fill="FFFFFF"/>
        <w:spacing w:before="130" w:line="260" w:lineRule="exact"/>
        <w:jc w:val="center"/>
        <w:rPr>
          <w:b/>
          <w:bCs/>
        </w:rPr>
      </w:pPr>
      <w:r w:rsidRPr="00F330F5">
        <w:rPr>
          <w:b/>
        </w:rPr>
        <w:t xml:space="preserve">„Darbības programmas „Izaugsme un nodarbinātība” 8.3.1.specifiskā atbalsta mērķa „Attīstīt kompetenču pieejā balstītu vispārējās izglītības saturu” </w:t>
      </w:r>
      <w:r w:rsidRPr="00F330F5">
        <w:rPr>
          <w:b/>
          <w:bCs/>
        </w:rPr>
        <w:t>8.3.1.2.</w:t>
      </w:r>
      <w:r w:rsidRPr="00F330F5">
        <w:rPr>
          <w:b/>
        </w:rPr>
        <w:t xml:space="preserve">pasākuma </w:t>
      </w:r>
      <w:r w:rsidRPr="00F330F5">
        <w:rPr>
          <w:b/>
          <w:bCs/>
        </w:rPr>
        <w:t>„</w:t>
      </w:r>
      <w:r w:rsidRPr="00F330F5">
        <w:rPr>
          <w:b/>
        </w:rPr>
        <w:t>Digitālo mācību un metodisko līdzekļu izstrāde</w:t>
      </w:r>
      <w:r w:rsidRPr="00F330F5">
        <w:rPr>
          <w:b/>
          <w:bCs/>
        </w:rPr>
        <w:t>”</w:t>
      </w:r>
      <w:r w:rsidRPr="00F330F5">
        <w:rPr>
          <w:b/>
        </w:rPr>
        <w:t xml:space="preserve"> īstenošanas noteikumi” </w:t>
      </w:r>
      <w:r w:rsidR="00BD5588" w:rsidRPr="00F330F5">
        <w:rPr>
          <w:b/>
          <w:bCs/>
        </w:rPr>
        <w:t xml:space="preserve">projekta </w:t>
      </w:r>
    </w:p>
    <w:p w14:paraId="07834FEA" w14:textId="77777777" w:rsidR="00BD5588" w:rsidRPr="00F330F5" w:rsidRDefault="00BD5588" w:rsidP="00774F72">
      <w:pPr>
        <w:shd w:val="clear" w:color="auto" w:fill="FFFFFF"/>
        <w:spacing w:before="130" w:line="260" w:lineRule="exact"/>
        <w:jc w:val="center"/>
        <w:rPr>
          <w:b/>
          <w:bCs/>
        </w:rPr>
      </w:pPr>
      <w:r w:rsidRPr="00F330F5">
        <w:rPr>
          <w:b/>
          <w:bCs/>
        </w:rPr>
        <w:t>sākotnējās ietekmes novērtējuma ziņojums (anotācija)</w:t>
      </w:r>
    </w:p>
    <w:p w14:paraId="539D6C52"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857"/>
      </w:tblGrid>
      <w:tr w:rsidR="00BD5588" w:rsidRPr="00F330F5" w14:paraId="20364787" w14:textId="77777777" w:rsidTr="00227CBC">
        <w:trPr>
          <w:cantSplit/>
        </w:trPr>
        <w:tc>
          <w:tcPr>
            <w:tcW w:w="9581" w:type="dxa"/>
            <w:gridSpan w:val="2"/>
            <w:shd w:val="clear" w:color="auto" w:fill="FFFFFF"/>
            <w:vAlign w:val="center"/>
            <w:hideMark/>
          </w:tcPr>
          <w:p w14:paraId="595154FD" w14:textId="77777777" w:rsidR="00BD5588" w:rsidRPr="00F330F5" w:rsidRDefault="00BD5588" w:rsidP="00227CBC">
            <w:pPr>
              <w:jc w:val="center"/>
              <w:rPr>
                <w:b/>
                <w:iCs/>
                <w:lang w:eastAsia="en-US"/>
              </w:rPr>
            </w:pPr>
            <w:r w:rsidRPr="00F330F5">
              <w:rPr>
                <w:b/>
                <w:iCs/>
                <w:lang w:eastAsia="en-US"/>
              </w:rPr>
              <w:t>Tiesību akta projekta anotācijas kopsavilkums</w:t>
            </w:r>
          </w:p>
        </w:tc>
      </w:tr>
      <w:tr w:rsidR="00BD5588" w:rsidRPr="00F330F5" w14:paraId="78A5B1BD" w14:textId="77777777" w:rsidTr="00227CBC">
        <w:trPr>
          <w:cantSplit/>
        </w:trPr>
        <w:tc>
          <w:tcPr>
            <w:tcW w:w="3430" w:type="dxa"/>
            <w:shd w:val="clear" w:color="auto" w:fill="FFFFFF"/>
            <w:hideMark/>
          </w:tcPr>
          <w:p w14:paraId="5D62C2CF" w14:textId="77777777" w:rsidR="00BD5588" w:rsidRPr="00F330F5" w:rsidRDefault="00BD5588" w:rsidP="00227CBC">
            <w:pPr>
              <w:rPr>
                <w:iCs/>
                <w:lang w:eastAsia="en-US"/>
              </w:rPr>
            </w:pPr>
            <w:r w:rsidRPr="00F330F5">
              <w:rPr>
                <w:iCs/>
                <w:lang w:eastAsia="en-US"/>
              </w:rPr>
              <w:t>Mērķis, risinājums un projekta spēkā stāšanās laiks (500 zīmes bez atstarpēm)</w:t>
            </w:r>
          </w:p>
        </w:tc>
        <w:tc>
          <w:tcPr>
            <w:tcW w:w="6151" w:type="dxa"/>
            <w:shd w:val="clear" w:color="auto" w:fill="FFFFFF"/>
            <w:hideMark/>
          </w:tcPr>
          <w:p w14:paraId="30D864F4" w14:textId="7C3050EA" w:rsidR="00EC07E7" w:rsidRPr="00F330F5" w:rsidRDefault="00EC07E7" w:rsidP="00EC07E7">
            <w:pPr>
              <w:jc w:val="both"/>
              <w:rPr>
                <w:lang w:eastAsia="en-US"/>
              </w:rPr>
            </w:pPr>
            <w:r w:rsidRPr="00F330F5">
              <w:rPr>
                <w:lang w:eastAsia="en-US"/>
              </w:rPr>
              <w:t>Noteikumu projekts ir izstrādāts, lai nodrošinātu Eiropas Savienības fondu un Kohēzijas politikas 2014.–2020.gada plānošanas perioda darbības programmas “Izaugsme un nodarbinātība” 8.3.1.specifiskā atbalsta mērķa „Attīstīt kompetenču pieejā balstītu vispārējās izglītības saturu” 8.3.1.2.pasākuma „Digitālo mācību un metodisko līdzekļu izstrāde”</w:t>
            </w:r>
            <w:r w:rsidR="006651AB" w:rsidRPr="00F330F5">
              <w:rPr>
                <w:lang w:eastAsia="en-US"/>
              </w:rPr>
              <w:t xml:space="preserve"> (turpmāk </w:t>
            </w:r>
            <w:r w:rsidR="003F4DB1" w:rsidRPr="00F330F5">
              <w:rPr>
                <w:lang w:eastAsia="en-US"/>
              </w:rPr>
              <w:t>–</w:t>
            </w:r>
            <w:r w:rsidR="006651AB" w:rsidRPr="00F330F5">
              <w:rPr>
                <w:lang w:eastAsia="en-US"/>
              </w:rPr>
              <w:t xml:space="preserve"> </w:t>
            </w:r>
            <w:r w:rsidR="003F4DB1" w:rsidRPr="00F330F5">
              <w:rPr>
                <w:lang w:eastAsia="en-US"/>
              </w:rPr>
              <w:t xml:space="preserve">8.3.1.2.pasākums) </w:t>
            </w:r>
            <w:r w:rsidRPr="00F330F5">
              <w:rPr>
                <w:lang w:eastAsia="en-US"/>
              </w:rPr>
              <w:t xml:space="preserve"> ieviešanu, kura mērķis ir nodrošināt digitālo mācību un metodisko līdzekļu izstrādi jaunā mācību satura</w:t>
            </w:r>
            <w:r w:rsidR="004D585F">
              <w:rPr>
                <w:lang w:eastAsia="en-US"/>
              </w:rPr>
              <w:t>, kas attīsta izglītojamo kompetences,</w:t>
            </w:r>
            <w:r w:rsidRPr="00F330F5">
              <w:rPr>
                <w:lang w:eastAsia="en-US"/>
              </w:rPr>
              <w:t xml:space="preserve"> ieviešanai pirmsskolas izglītības, pamatizglītības un vidējās izglītības pakāpē.</w:t>
            </w:r>
          </w:p>
        </w:tc>
      </w:tr>
    </w:tbl>
    <w:p w14:paraId="07A09C58"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F330F5" w14:paraId="40EDC988" w14:textId="77777777" w:rsidTr="00227CBC">
        <w:trPr>
          <w:cantSplit/>
        </w:trPr>
        <w:tc>
          <w:tcPr>
            <w:tcW w:w="5000" w:type="pct"/>
            <w:gridSpan w:val="3"/>
            <w:vAlign w:val="center"/>
            <w:hideMark/>
          </w:tcPr>
          <w:p w14:paraId="379A9909" w14:textId="77777777" w:rsidR="00BD5588" w:rsidRPr="00F330F5" w:rsidRDefault="00BD5588" w:rsidP="00227CBC">
            <w:pPr>
              <w:jc w:val="center"/>
              <w:rPr>
                <w:b/>
                <w:bCs/>
              </w:rPr>
            </w:pPr>
            <w:r w:rsidRPr="00F330F5">
              <w:rPr>
                <w:b/>
                <w:bCs/>
              </w:rPr>
              <w:t>I. Tiesību akta projekta izstrādes nepieciešamība</w:t>
            </w:r>
          </w:p>
        </w:tc>
      </w:tr>
      <w:tr w:rsidR="00BD5588" w:rsidRPr="00F330F5" w14:paraId="1EB895FE" w14:textId="77777777" w:rsidTr="00227CBC">
        <w:trPr>
          <w:cantSplit/>
        </w:trPr>
        <w:tc>
          <w:tcPr>
            <w:tcW w:w="311" w:type="pct"/>
            <w:hideMark/>
          </w:tcPr>
          <w:p w14:paraId="7D594962" w14:textId="77777777" w:rsidR="00BD5588" w:rsidRPr="00F330F5" w:rsidRDefault="00BD5588" w:rsidP="00227CBC">
            <w:pPr>
              <w:jc w:val="center"/>
            </w:pPr>
            <w:r w:rsidRPr="00F330F5">
              <w:t>1.</w:t>
            </w:r>
          </w:p>
        </w:tc>
        <w:tc>
          <w:tcPr>
            <w:tcW w:w="1479" w:type="pct"/>
            <w:hideMark/>
          </w:tcPr>
          <w:p w14:paraId="656132C7" w14:textId="77777777" w:rsidR="00BD5588" w:rsidRPr="00F330F5" w:rsidRDefault="00BD5588" w:rsidP="00227CBC">
            <w:r w:rsidRPr="00F330F5">
              <w:t>Pamatojums</w:t>
            </w:r>
          </w:p>
        </w:tc>
        <w:tc>
          <w:tcPr>
            <w:tcW w:w="3210" w:type="pct"/>
            <w:hideMark/>
          </w:tcPr>
          <w:p w14:paraId="5CE5F800" w14:textId="336DFF49" w:rsidR="002042DD" w:rsidRPr="00F330F5" w:rsidRDefault="00D362B4" w:rsidP="002042DD">
            <w:pPr>
              <w:jc w:val="both"/>
            </w:pPr>
            <w:r>
              <w:t>N</w:t>
            </w:r>
            <w:r w:rsidR="002042DD" w:rsidRPr="00F330F5">
              <w:t>oteikumu projekts izstrādāts atbilstoši:</w:t>
            </w:r>
          </w:p>
          <w:p w14:paraId="34C8263B" w14:textId="3D243F5C" w:rsidR="0030305D" w:rsidRPr="00F330F5" w:rsidRDefault="0030305D" w:rsidP="002042DD">
            <w:pPr>
              <w:jc w:val="both"/>
            </w:pPr>
            <w:r w:rsidRPr="00F330F5">
              <w:rPr>
                <w:rStyle w:val="None"/>
              </w:rPr>
              <w:t>1. Izglītības attīstības pamatnostādnē</w:t>
            </w:r>
            <w:r w:rsidR="00DE1325">
              <w:rPr>
                <w:rStyle w:val="None"/>
              </w:rPr>
              <w:t>m</w:t>
            </w:r>
            <w:r w:rsidRPr="00F330F5">
              <w:rPr>
                <w:rStyle w:val="None"/>
              </w:rPr>
              <w:t xml:space="preserve"> 2014. – 2020.gadam (turpmāk – </w:t>
            </w:r>
            <w:r w:rsidRPr="00F330F5">
              <w:rPr>
                <w:rStyle w:val="None"/>
                <w:i/>
              </w:rPr>
              <w:t>IAP 2014. – 2020.gadam</w:t>
            </w:r>
            <w:r w:rsidRPr="00F330F5">
              <w:rPr>
                <w:rStyle w:val="None"/>
              </w:rPr>
              <w:t>)</w:t>
            </w:r>
            <w:r w:rsidR="00DE1325">
              <w:rPr>
                <w:rStyle w:val="None"/>
              </w:rPr>
              <w:t>;</w:t>
            </w:r>
          </w:p>
          <w:p w14:paraId="7D67ED91" w14:textId="27061F99" w:rsidR="002042DD" w:rsidRPr="00F330F5" w:rsidRDefault="0030305D" w:rsidP="002042DD">
            <w:pPr>
              <w:jc w:val="both"/>
            </w:pPr>
            <w:r w:rsidRPr="00F330F5">
              <w:t xml:space="preserve">2. </w:t>
            </w:r>
            <w:r w:rsidR="002042DD" w:rsidRPr="00F330F5">
              <w:t>Eiropas Savienības struktūrfondu un Kohēzijas fonda 2014.–2020. gada plānošanas perioda vadības likuma 20. panta 6. un 13. punktam;</w:t>
            </w:r>
          </w:p>
          <w:p w14:paraId="1711BE27" w14:textId="048FBA91" w:rsidR="0030305D" w:rsidRPr="00F330F5" w:rsidRDefault="0030305D" w:rsidP="002042DD">
            <w:pPr>
              <w:jc w:val="both"/>
            </w:pPr>
            <w:r w:rsidRPr="00F330F5">
              <w:t xml:space="preserve">3. </w:t>
            </w:r>
            <w:r w:rsidR="002042DD" w:rsidRPr="00F330F5">
              <w:t>Eiropas Savienības (turpmāk – ES) fondu un Kohēzijas politikas 2014.–2020. gada plānošanas perioda darbības programmai “Izaugsme un nodarbinātība”, kas apstiprināta Eiropas Komisijā (turpmāk – EK) 2014. gada 11. novembrī.</w:t>
            </w:r>
          </w:p>
        </w:tc>
      </w:tr>
      <w:tr w:rsidR="00BD5588" w:rsidRPr="00F330F5" w14:paraId="772D64CE" w14:textId="77777777" w:rsidTr="00CD2D65">
        <w:tc>
          <w:tcPr>
            <w:tcW w:w="311" w:type="pct"/>
            <w:hideMark/>
          </w:tcPr>
          <w:p w14:paraId="2A5EF11D" w14:textId="77777777" w:rsidR="00BD5588" w:rsidRPr="00F330F5" w:rsidRDefault="00BD5588" w:rsidP="00227CBC">
            <w:pPr>
              <w:jc w:val="center"/>
            </w:pPr>
            <w:r w:rsidRPr="00F330F5">
              <w:t>2.</w:t>
            </w:r>
          </w:p>
        </w:tc>
        <w:tc>
          <w:tcPr>
            <w:tcW w:w="1479" w:type="pct"/>
            <w:hideMark/>
          </w:tcPr>
          <w:p w14:paraId="1754B616" w14:textId="77777777" w:rsidR="00BD5588" w:rsidRPr="00F330F5" w:rsidRDefault="00BD5588" w:rsidP="00227CBC">
            <w:r w:rsidRPr="00F330F5">
              <w:t>Pašreizējā situācija un problēmas, kuru risināšanai tiesību akta projekts izstrādāts, tiesiskā regulējuma mērķis un būtība</w:t>
            </w:r>
          </w:p>
        </w:tc>
        <w:tc>
          <w:tcPr>
            <w:tcW w:w="3210" w:type="pct"/>
            <w:hideMark/>
          </w:tcPr>
          <w:p w14:paraId="4711240F" w14:textId="3C492933" w:rsidR="00D50A1B" w:rsidRPr="00F330F5" w:rsidRDefault="0030305D" w:rsidP="00F330F5">
            <w:pPr>
              <w:ind w:firstLine="720"/>
              <w:jc w:val="both"/>
              <w:rPr>
                <w:rStyle w:val="None"/>
                <w:color w:val="FF0000"/>
              </w:rPr>
            </w:pPr>
            <w:r w:rsidRPr="00F330F5">
              <w:rPr>
                <w:rStyle w:val="None"/>
                <w:i/>
              </w:rPr>
              <w:t>IAP 2014. – 2020.gadam</w:t>
            </w:r>
            <w:r w:rsidRPr="00F330F5">
              <w:rPr>
                <w:rStyle w:val="None"/>
              </w:rPr>
              <w:t xml:space="preserve"> definēts rīcības virziens izglītības attīstības politikas virsmērķa sasniegšanai – uz </w:t>
            </w:r>
            <w:r w:rsidR="00C67227" w:rsidRPr="00F330F5">
              <w:rPr>
                <w:rStyle w:val="None"/>
              </w:rPr>
              <w:t xml:space="preserve">zināšanām balstītā </w:t>
            </w:r>
            <w:r w:rsidRPr="00F330F5">
              <w:rPr>
                <w:rStyle w:val="None"/>
              </w:rPr>
              <w:t xml:space="preserve">sabiedrībā pieprasītām kompetencēm orientēta, inovāciju un veselīgu dzīvesveidu veicinoša izglītības satura pilnveide, paredzot </w:t>
            </w:r>
            <w:r w:rsidR="00C67227" w:rsidRPr="00F330F5">
              <w:rPr>
                <w:rStyle w:val="None"/>
              </w:rPr>
              <w:t xml:space="preserve">jauna </w:t>
            </w:r>
            <w:r w:rsidRPr="00F330F5">
              <w:rPr>
                <w:rStyle w:val="None"/>
              </w:rPr>
              <w:t xml:space="preserve">kompetenču pieejā pilnveidota vispārējās izglītības satura izstrādi, aprobāciju (ar praktizējošu pedagogu iesaisti) un ieviešanu visās izglītības pakāpēs – pirmsskolas izglītībā, t.sk. bērniem no 1,5 gada līdz 4 gadu vecumam un 5 gadus veciem bērniem, kā arī pamatizglītībā un vispārējā vidējā izglītībā. </w:t>
            </w:r>
            <w:r w:rsidR="00266B65">
              <w:rPr>
                <w:rStyle w:val="None"/>
              </w:rPr>
              <w:t>D</w:t>
            </w:r>
            <w:r w:rsidRPr="00F330F5">
              <w:rPr>
                <w:rStyle w:val="None"/>
              </w:rPr>
              <w:t xml:space="preserve">igitālie mācību un metodiskie līdzekļi ir daļa no pasākumu kopuma, </w:t>
            </w:r>
            <w:r w:rsidR="00D362B4">
              <w:rPr>
                <w:rStyle w:val="None"/>
              </w:rPr>
              <w:t>kas</w:t>
            </w:r>
            <w:r w:rsidR="00D362B4" w:rsidRPr="00F330F5">
              <w:rPr>
                <w:rStyle w:val="None"/>
              </w:rPr>
              <w:t xml:space="preserve"> </w:t>
            </w:r>
            <w:r w:rsidR="002308D5" w:rsidRPr="00F330F5">
              <w:rPr>
                <w:rStyle w:val="None"/>
              </w:rPr>
              <w:t>nodrošinā</w:t>
            </w:r>
            <w:r w:rsidR="002308D5">
              <w:rPr>
                <w:rStyle w:val="None"/>
              </w:rPr>
              <w:t>s</w:t>
            </w:r>
            <w:r w:rsidR="002308D5" w:rsidRPr="00F330F5">
              <w:rPr>
                <w:rStyle w:val="None"/>
              </w:rPr>
              <w:t xml:space="preserve"> </w:t>
            </w:r>
            <w:r w:rsidRPr="00F330F5">
              <w:rPr>
                <w:rStyle w:val="None"/>
              </w:rPr>
              <w:t xml:space="preserve">uz zināšanām balstītas sabiedrības veidošanu, radošumu un veselīgu dzīves </w:t>
            </w:r>
            <w:r w:rsidR="00D362B4" w:rsidRPr="00F330F5">
              <w:rPr>
                <w:rStyle w:val="None"/>
              </w:rPr>
              <w:t>veid</w:t>
            </w:r>
            <w:r w:rsidR="00D362B4">
              <w:rPr>
                <w:rStyle w:val="None"/>
              </w:rPr>
              <w:t>u</w:t>
            </w:r>
            <w:r w:rsidR="00D362B4" w:rsidRPr="00F330F5">
              <w:rPr>
                <w:rStyle w:val="None"/>
              </w:rPr>
              <w:t xml:space="preserve"> veicinoš</w:t>
            </w:r>
            <w:r w:rsidR="00D362B4">
              <w:rPr>
                <w:rStyle w:val="None"/>
              </w:rPr>
              <w:t>a</w:t>
            </w:r>
            <w:r w:rsidR="00D362B4" w:rsidRPr="00F330F5">
              <w:rPr>
                <w:rStyle w:val="None"/>
              </w:rPr>
              <w:t xml:space="preserve"> </w:t>
            </w:r>
            <w:r w:rsidRPr="00F330F5">
              <w:rPr>
                <w:rStyle w:val="None"/>
              </w:rPr>
              <w:t xml:space="preserve">izglītības satura pilnveidi, proti, mūsdienīgu mācību procesu vispārējā izglītībā. Saskaņā ar </w:t>
            </w:r>
            <w:r w:rsidRPr="00F330F5">
              <w:rPr>
                <w:rStyle w:val="None"/>
                <w:i/>
                <w:iCs/>
              </w:rPr>
              <w:t xml:space="preserve">IAP </w:t>
            </w:r>
            <w:r w:rsidRPr="00F330F5">
              <w:rPr>
                <w:rStyle w:val="None"/>
                <w:i/>
              </w:rPr>
              <w:t>2014. – 2020.gadam</w:t>
            </w:r>
            <w:r w:rsidRPr="00F330F5">
              <w:rPr>
                <w:rStyle w:val="None"/>
                <w:i/>
                <w:iCs/>
              </w:rPr>
              <w:t xml:space="preserve"> </w:t>
            </w:r>
            <w:r w:rsidRPr="00F330F5">
              <w:rPr>
                <w:rStyle w:val="None"/>
              </w:rPr>
              <w:t xml:space="preserve">noteikto Latvijā </w:t>
            </w:r>
            <w:r w:rsidR="00C67227" w:rsidRPr="00F330F5">
              <w:rPr>
                <w:rStyle w:val="None"/>
              </w:rPr>
              <w:t xml:space="preserve">digitālo </w:t>
            </w:r>
            <w:r w:rsidRPr="00F330F5">
              <w:rPr>
                <w:rStyle w:val="None"/>
              </w:rPr>
              <w:t xml:space="preserve">mācību </w:t>
            </w:r>
            <w:r w:rsidR="00C67227" w:rsidRPr="00F330F5">
              <w:rPr>
                <w:rStyle w:val="None"/>
              </w:rPr>
              <w:t xml:space="preserve">un metodisko līdzekļu </w:t>
            </w:r>
            <w:r w:rsidRPr="00F330F5">
              <w:rPr>
                <w:rStyle w:val="None"/>
              </w:rPr>
              <w:t xml:space="preserve">īpatsvaram vispārējā un profesionālajā izglītībā </w:t>
            </w:r>
            <w:r w:rsidRPr="00F330F5">
              <w:rPr>
                <w:rStyle w:val="None"/>
              </w:rPr>
              <w:lastRenderedPageBreak/>
              <w:t xml:space="preserve">2017. gadā ir </w:t>
            </w:r>
            <w:r w:rsidR="00050143" w:rsidRPr="00F330F5">
              <w:rPr>
                <w:rStyle w:val="None"/>
              </w:rPr>
              <w:t>jā</w:t>
            </w:r>
            <w:r w:rsidR="00050143">
              <w:rPr>
                <w:rStyle w:val="None"/>
              </w:rPr>
              <w:t>būt</w:t>
            </w:r>
            <w:r w:rsidR="00050143" w:rsidRPr="00F330F5">
              <w:rPr>
                <w:rStyle w:val="None"/>
              </w:rPr>
              <w:t xml:space="preserve"> </w:t>
            </w:r>
            <w:r w:rsidRPr="00F330F5">
              <w:rPr>
                <w:rStyle w:val="None"/>
              </w:rPr>
              <w:t xml:space="preserve">15% un 2020. gadā - 30% no </w:t>
            </w:r>
            <w:r w:rsidR="00266B65" w:rsidRPr="00F330F5">
              <w:rPr>
                <w:rStyle w:val="None"/>
              </w:rPr>
              <w:t>kopēj</w:t>
            </w:r>
            <w:r w:rsidR="00266B65">
              <w:rPr>
                <w:rStyle w:val="None"/>
              </w:rPr>
              <w:t>ā</w:t>
            </w:r>
            <w:r w:rsidR="00266B65" w:rsidRPr="00F330F5">
              <w:rPr>
                <w:rStyle w:val="None"/>
              </w:rPr>
              <w:t xml:space="preserve"> </w:t>
            </w:r>
            <w:r w:rsidRPr="00F330F5">
              <w:rPr>
                <w:rStyle w:val="None"/>
              </w:rPr>
              <w:t xml:space="preserve">mācību līdzekļu skaita.  </w:t>
            </w:r>
          </w:p>
          <w:p w14:paraId="2854A4BB" w14:textId="2A072792" w:rsidR="006E7A11" w:rsidRPr="00F330F5" w:rsidRDefault="006651AB" w:rsidP="00F330F5">
            <w:pPr>
              <w:ind w:firstLine="720"/>
              <w:jc w:val="both"/>
            </w:pPr>
            <w:r w:rsidRPr="00F330F5">
              <w:rPr>
                <w:bCs/>
              </w:rPr>
              <w:t xml:space="preserve">Noteikumu projekts izstrādāts, lai nodrošinātu atbalstu digitālo mācību un metodisko </w:t>
            </w:r>
            <w:r w:rsidR="00050143">
              <w:rPr>
                <w:bCs/>
              </w:rPr>
              <w:t>līdzekļu</w:t>
            </w:r>
            <w:r w:rsidR="00050143" w:rsidRPr="00F330F5">
              <w:rPr>
                <w:bCs/>
              </w:rPr>
              <w:t xml:space="preserve"> </w:t>
            </w:r>
            <w:r w:rsidRPr="00F330F5">
              <w:rPr>
                <w:bCs/>
              </w:rPr>
              <w:t xml:space="preserve">izstrādei </w:t>
            </w:r>
            <w:r w:rsidR="0059118C" w:rsidRPr="00F330F5">
              <w:rPr>
                <w:bCs/>
              </w:rPr>
              <w:t xml:space="preserve">jaunā vispārējās izglītības mācību satura, kas </w:t>
            </w:r>
            <w:r w:rsidR="001F3CE1" w:rsidRPr="00F330F5">
              <w:rPr>
                <w:bCs/>
              </w:rPr>
              <w:t>attīsta izglītojamo</w:t>
            </w:r>
            <w:r w:rsidR="0059118C" w:rsidRPr="00F330F5">
              <w:rPr>
                <w:bCs/>
              </w:rPr>
              <w:t xml:space="preserve"> kompetenc</w:t>
            </w:r>
            <w:r w:rsidR="001F3CE1" w:rsidRPr="00F330F5">
              <w:rPr>
                <w:bCs/>
              </w:rPr>
              <w:t>es</w:t>
            </w:r>
            <w:r w:rsidR="0059118C" w:rsidRPr="00F330F5">
              <w:rPr>
                <w:bCs/>
              </w:rPr>
              <w:t xml:space="preserve">, </w:t>
            </w:r>
            <w:r w:rsidRPr="00F330F5">
              <w:rPr>
                <w:bCs/>
              </w:rPr>
              <w:t>ieviešanai</w:t>
            </w:r>
            <w:r w:rsidR="00D75E47" w:rsidRPr="00F330F5">
              <w:rPr>
                <w:bCs/>
              </w:rPr>
              <w:t xml:space="preserve"> 8</w:t>
            </w:r>
            <w:r w:rsidR="00D75E47" w:rsidRPr="00F330F5">
              <w:rPr>
                <w:rStyle w:val="None"/>
              </w:rPr>
              <w:t>.3.1.1. pasākuma “Kompetenču pieejā balstīta vispārējās izglītības satura aprobācija un ieviešana” ietvaros</w:t>
            </w:r>
            <w:r w:rsidRPr="00F330F5">
              <w:rPr>
                <w:bCs/>
              </w:rPr>
              <w:t>.</w:t>
            </w:r>
            <w:r w:rsidR="00D75E47" w:rsidRPr="00F330F5">
              <w:rPr>
                <w:rStyle w:val="None"/>
              </w:rPr>
              <w:t xml:space="preserve"> 8.3.1.2.pasākuma ietvaros</w:t>
            </w:r>
            <w:r w:rsidR="00CB04C6">
              <w:rPr>
                <w:rStyle w:val="None"/>
              </w:rPr>
              <w:t>,</w:t>
            </w:r>
            <w:r w:rsidR="00D75E47" w:rsidRPr="00F330F5">
              <w:rPr>
                <w:rStyle w:val="None"/>
              </w:rPr>
              <w:t xml:space="preserve"> izstrādājot jaunajam mācību saturam atbilstošus digitālos </w:t>
            </w:r>
            <w:r w:rsidR="00050143">
              <w:rPr>
                <w:rStyle w:val="None"/>
              </w:rPr>
              <w:t xml:space="preserve">mācību un metodiskos </w:t>
            </w:r>
            <w:r w:rsidR="00D75E47" w:rsidRPr="00F330F5">
              <w:rPr>
                <w:rStyle w:val="None"/>
              </w:rPr>
              <w:t>līdzekļus, un 8.1.2.specifiskā atbalsta mērķa “Attīstīt kompetenču pieejā balstītu vispārējās izglītības saturu” ietvaros</w:t>
            </w:r>
            <w:r w:rsidR="00CB04C6">
              <w:rPr>
                <w:rStyle w:val="None"/>
              </w:rPr>
              <w:t>,</w:t>
            </w:r>
            <w:r w:rsidR="00D75E47" w:rsidRPr="00F330F5">
              <w:rPr>
                <w:rStyle w:val="None"/>
              </w:rPr>
              <w:t xml:space="preserve"> veicot atbilstošus ieguldījumus </w:t>
            </w:r>
            <w:r w:rsidR="00050143">
              <w:rPr>
                <w:rStyle w:val="None"/>
              </w:rPr>
              <w:t>i</w:t>
            </w:r>
            <w:r w:rsidR="00050143" w:rsidRPr="00050143">
              <w:rPr>
                <w:rStyle w:val="None"/>
              </w:rPr>
              <w:t>nformāciju un komunikāciju tehnoloģiju</w:t>
            </w:r>
            <w:r w:rsidR="00050143">
              <w:rPr>
                <w:rStyle w:val="None"/>
              </w:rPr>
              <w:t xml:space="preserve"> (</w:t>
            </w:r>
            <w:r w:rsidR="00D75E47" w:rsidRPr="00F330F5">
              <w:rPr>
                <w:rStyle w:val="None"/>
              </w:rPr>
              <w:t>IKT</w:t>
            </w:r>
            <w:r w:rsidR="00050143">
              <w:rPr>
                <w:rStyle w:val="None"/>
              </w:rPr>
              <w:t>)</w:t>
            </w:r>
            <w:r w:rsidR="00D75E47" w:rsidRPr="00F330F5">
              <w:rPr>
                <w:rStyle w:val="None"/>
              </w:rPr>
              <w:t xml:space="preserve"> nodrošinājumam, tiks </w:t>
            </w:r>
            <w:r w:rsidR="00266B65">
              <w:rPr>
                <w:rStyle w:val="None"/>
              </w:rPr>
              <w:t>radīta</w:t>
            </w:r>
            <w:r w:rsidR="00266B65" w:rsidRPr="00F330F5">
              <w:rPr>
                <w:rStyle w:val="None"/>
              </w:rPr>
              <w:t xml:space="preserve"> </w:t>
            </w:r>
            <w:r w:rsidR="00D75E47" w:rsidRPr="00F330F5">
              <w:rPr>
                <w:rStyle w:val="None"/>
              </w:rPr>
              <w:t>iespēja izveidot pilnīgu rīku kopumu izglītības satura ieviešanai, kas attīsta izglītojamo kompetences.</w:t>
            </w:r>
          </w:p>
          <w:p w14:paraId="7BD94AE6" w14:textId="2B4F3FD1" w:rsidR="006651AB" w:rsidRDefault="006651AB" w:rsidP="006E7A11">
            <w:pPr>
              <w:pStyle w:val="BodyA"/>
              <w:ind w:firstLine="720"/>
              <w:rPr>
                <w:bCs/>
                <w:sz w:val="24"/>
                <w:szCs w:val="24"/>
                <w:lang w:val="lv-LV"/>
              </w:rPr>
            </w:pPr>
            <w:r w:rsidRPr="00F330F5">
              <w:rPr>
                <w:bCs/>
                <w:sz w:val="24"/>
                <w:szCs w:val="24"/>
                <w:lang w:val="lv-LV"/>
              </w:rPr>
              <w:t xml:space="preserve">Noteikumu projekts nosaka kārtību, kādā īsteno </w:t>
            </w:r>
            <w:r w:rsidRPr="00F330F5">
              <w:rPr>
                <w:sz w:val="24"/>
                <w:szCs w:val="24"/>
                <w:lang w:val="lv-LV"/>
              </w:rPr>
              <w:t xml:space="preserve"> </w:t>
            </w:r>
            <w:r w:rsidRPr="00F330F5">
              <w:rPr>
                <w:bCs/>
                <w:sz w:val="24"/>
                <w:szCs w:val="24"/>
                <w:lang w:val="lv-LV"/>
              </w:rPr>
              <w:t>8.3.1.2.</w:t>
            </w:r>
            <w:r w:rsidRPr="00F330F5">
              <w:rPr>
                <w:sz w:val="24"/>
                <w:szCs w:val="24"/>
                <w:lang w:val="lv-LV"/>
              </w:rPr>
              <w:t>pasākumu</w:t>
            </w:r>
            <w:r w:rsidRPr="00F330F5">
              <w:rPr>
                <w:bCs/>
                <w:sz w:val="24"/>
                <w:szCs w:val="24"/>
                <w:lang w:val="lv-LV"/>
              </w:rPr>
              <w:t xml:space="preserve">, prasības </w:t>
            </w:r>
            <w:r w:rsidR="008368F4" w:rsidRPr="00F330F5">
              <w:rPr>
                <w:bCs/>
                <w:sz w:val="24"/>
                <w:szCs w:val="24"/>
                <w:lang w:val="lv-LV"/>
              </w:rPr>
              <w:t xml:space="preserve">Eiropas Sociālā fonda </w:t>
            </w:r>
            <w:r w:rsidR="004A05BA" w:rsidRPr="00F330F5">
              <w:rPr>
                <w:bCs/>
                <w:sz w:val="24"/>
                <w:szCs w:val="24"/>
                <w:lang w:val="lv-LV"/>
              </w:rPr>
              <w:t>projekt</w:t>
            </w:r>
            <w:r w:rsidR="004A05BA">
              <w:rPr>
                <w:bCs/>
                <w:sz w:val="24"/>
                <w:szCs w:val="24"/>
                <w:lang w:val="lv-LV"/>
              </w:rPr>
              <w:t>u</w:t>
            </w:r>
            <w:r w:rsidR="004A05BA" w:rsidRPr="00F330F5">
              <w:rPr>
                <w:bCs/>
                <w:sz w:val="24"/>
                <w:szCs w:val="24"/>
                <w:lang w:val="lv-LV"/>
              </w:rPr>
              <w:t xml:space="preserve"> </w:t>
            </w:r>
            <w:r w:rsidR="008368F4" w:rsidRPr="00F330F5">
              <w:rPr>
                <w:bCs/>
                <w:sz w:val="24"/>
                <w:szCs w:val="24"/>
                <w:lang w:val="lv-LV"/>
              </w:rPr>
              <w:t xml:space="preserve">(turpmāk – projekts) </w:t>
            </w:r>
            <w:r w:rsidR="004A05BA" w:rsidRPr="00F330F5">
              <w:rPr>
                <w:bCs/>
                <w:sz w:val="24"/>
                <w:szCs w:val="24"/>
                <w:lang w:val="lv-LV"/>
              </w:rPr>
              <w:t>iesniedzēj</w:t>
            </w:r>
            <w:r w:rsidR="004A05BA">
              <w:rPr>
                <w:bCs/>
                <w:sz w:val="24"/>
                <w:szCs w:val="24"/>
                <w:lang w:val="lv-LV"/>
              </w:rPr>
              <w:t>ie</w:t>
            </w:r>
            <w:r w:rsidR="004A05BA" w:rsidRPr="00F330F5">
              <w:rPr>
                <w:bCs/>
                <w:sz w:val="24"/>
                <w:szCs w:val="24"/>
                <w:lang w:val="lv-LV"/>
              </w:rPr>
              <w:t>m</w:t>
            </w:r>
            <w:r w:rsidRPr="00F330F5">
              <w:rPr>
                <w:bCs/>
                <w:sz w:val="24"/>
                <w:szCs w:val="24"/>
                <w:lang w:val="lv-LV"/>
              </w:rPr>
              <w:t xml:space="preserve">, sasniedzamo mērķi un rādītājus, atbalstāmās darbības, izmaksu attiecināmības, projekta īstenošanas un </w:t>
            </w:r>
            <w:r w:rsidR="004A05BA">
              <w:rPr>
                <w:bCs/>
                <w:sz w:val="24"/>
                <w:szCs w:val="24"/>
                <w:lang w:val="lv-LV"/>
              </w:rPr>
              <w:t>līguma</w:t>
            </w:r>
            <w:r w:rsidR="004A05BA" w:rsidRPr="00F330F5">
              <w:rPr>
                <w:bCs/>
                <w:sz w:val="24"/>
                <w:szCs w:val="24"/>
                <w:lang w:val="lv-LV"/>
              </w:rPr>
              <w:t xml:space="preserve"> </w:t>
            </w:r>
            <w:r w:rsidRPr="00F330F5">
              <w:rPr>
                <w:bCs/>
                <w:sz w:val="24"/>
                <w:szCs w:val="24"/>
                <w:lang w:val="lv-LV"/>
              </w:rPr>
              <w:t>par projekta īstenošanu vienpusēja uzteikuma nosacījumus,</w:t>
            </w:r>
            <w:r w:rsidR="0059118C" w:rsidRPr="00F330F5">
              <w:rPr>
                <w:bCs/>
                <w:sz w:val="24"/>
                <w:szCs w:val="24"/>
                <w:lang w:val="lv-LV"/>
              </w:rPr>
              <w:t xml:space="preserve"> valsts atbalsta</w:t>
            </w:r>
            <w:r w:rsidR="009B7C26" w:rsidRPr="00CD2D65">
              <w:rPr>
                <w:lang w:val="lv-LV"/>
              </w:rPr>
              <w:t xml:space="preserve"> </w:t>
            </w:r>
            <w:r w:rsidR="009B7C26" w:rsidRPr="00F330F5">
              <w:rPr>
                <w:bCs/>
                <w:sz w:val="24"/>
                <w:szCs w:val="24"/>
                <w:lang w:val="lv-LV"/>
              </w:rPr>
              <w:t>piešķiršanas</w:t>
            </w:r>
            <w:r w:rsidR="0059118C" w:rsidRPr="00F330F5">
              <w:rPr>
                <w:bCs/>
                <w:sz w:val="24"/>
                <w:szCs w:val="24"/>
                <w:lang w:val="lv-LV"/>
              </w:rPr>
              <w:t xml:space="preserve"> nosacījumus,</w:t>
            </w:r>
            <w:r w:rsidRPr="00F330F5">
              <w:rPr>
                <w:bCs/>
                <w:sz w:val="24"/>
                <w:szCs w:val="24"/>
                <w:lang w:val="lv-LV"/>
              </w:rPr>
              <w:t xml:space="preserve"> kā arī </w:t>
            </w:r>
            <w:r w:rsidR="009B7C26" w:rsidRPr="00F330F5">
              <w:rPr>
                <w:bCs/>
                <w:sz w:val="24"/>
                <w:szCs w:val="24"/>
                <w:lang w:val="lv-LV"/>
              </w:rPr>
              <w:t xml:space="preserve">pieejamā </w:t>
            </w:r>
            <w:r w:rsidR="004A05BA">
              <w:rPr>
                <w:bCs/>
                <w:sz w:val="24"/>
                <w:szCs w:val="24"/>
                <w:lang w:val="lv-LV"/>
              </w:rPr>
              <w:t xml:space="preserve">atbalsta </w:t>
            </w:r>
            <w:r w:rsidRPr="00F330F5">
              <w:rPr>
                <w:bCs/>
                <w:sz w:val="24"/>
                <w:szCs w:val="24"/>
                <w:lang w:val="lv-LV"/>
              </w:rPr>
              <w:t>finansējuma apmēru.</w:t>
            </w:r>
          </w:p>
          <w:p w14:paraId="0C9FAAEF" w14:textId="5B2CB227" w:rsidR="00763A03" w:rsidRPr="00F330F5" w:rsidRDefault="00763A03" w:rsidP="006E7A11">
            <w:pPr>
              <w:pStyle w:val="BodyA"/>
              <w:ind w:firstLine="720"/>
              <w:rPr>
                <w:bCs/>
                <w:sz w:val="24"/>
                <w:szCs w:val="24"/>
                <w:lang w:val="lv-LV"/>
              </w:rPr>
            </w:pPr>
            <w:r>
              <w:rPr>
                <w:bCs/>
                <w:sz w:val="24"/>
                <w:szCs w:val="24"/>
                <w:lang w:val="lv-LV"/>
              </w:rPr>
              <w:t>D</w:t>
            </w:r>
            <w:r w:rsidRPr="00763A03">
              <w:rPr>
                <w:bCs/>
                <w:sz w:val="24"/>
                <w:szCs w:val="24"/>
                <w:lang w:val="lv-LV"/>
              </w:rPr>
              <w:t>igitālais mācību un metodiskais līdzeklis – elektroniskajā vidē izmantojamais interaktīvs mācību un metodiskais līdzeklis viena vai vairāku atsevišķu izglītības standartā vai pirmskolas izglītības vadlīnijās noteikto mācību mērķu un sasniedzamo rezultātu īstenošanai, kurā ir iekļauts izglītības programmas īstenošanai nepieciešamais saturs. Šo noteikumu izpratnē digitālajam mācību un metodiskajam līdzeklim obligāti piemīt iesaistošā interaktivitāte un tas ietver metodiskos ieteikumus pedagogam tā izmantošanai;</w:t>
            </w:r>
          </w:p>
          <w:p w14:paraId="656D6B16" w14:textId="121B5171" w:rsidR="00FA1766" w:rsidRPr="00F330F5" w:rsidRDefault="001A7F2D" w:rsidP="00FA1766">
            <w:pPr>
              <w:pStyle w:val="BodyA"/>
              <w:ind w:firstLine="720"/>
              <w:rPr>
                <w:bCs/>
                <w:sz w:val="24"/>
                <w:szCs w:val="24"/>
                <w:lang w:val="lv-LV"/>
              </w:rPr>
            </w:pPr>
            <w:r w:rsidRPr="00F330F5">
              <w:rPr>
                <w:bCs/>
                <w:sz w:val="24"/>
                <w:szCs w:val="24"/>
                <w:lang w:val="lv-LV"/>
              </w:rPr>
              <w:t>8.3.1.2.pasākuma m</w:t>
            </w:r>
            <w:r w:rsidR="00D50A1B" w:rsidRPr="00F330F5">
              <w:rPr>
                <w:bCs/>
                <w:sz w:val="24"/>
                <w:szCs w:val="24"/>
                <w:lang w:val="lv-LV"/>
              </w:rPr>
              <w:t>ērķa grupa ir valsts pārvaldes iestādes, kas atbildīgas par izglītības satura izstrādi un pārraudzību, izglītības iestādes, pedagogi, izglītojamie, mācību literatūras izdevēji.</w:t>
            </w:r>
            <w:r w:rsidR="00FA1766" w:rsidRPr="00F330F5">
              <w:rPr>
                <w:bCs/>
                <w:sz w:val="24"/>
                <w:szCs w:val="24"/>
                <w:lang w:val="lv-LV"/>
              </w:rPr>
              <w:t xml:space="preserve"> </w:t>
            </w:r>
          </w:p>
          <w:p w14:paraId="5A1B59AE" w14:textId="2BA9102F" w:rsidR="006651AB" w:rsidRDefault="006651AB" w:rsidP="00FA1766">
            <w:pPr>
              <w:pStyle w:val="BodyA"/>
              <w:ind w:firstLine="720"/>
              <w:rPr>
                <w:rFonts w:eastAsia="Calibri"/>
                <w:color w:val="auto"/>
                <w:sz w:val="24"/>
                <w:szCs w:val="24"/>
                <w:lang w:val="lv-LV"/>
              </w:rPr>
            </w:pPr>
            <w:r w:rsidRPr="00CD2D65">
              <w:rPr>
                <w:sz w:val="24"/>
                <w:szCs w:val="24"/>
                <w:lang w:val="lv-LV"/>
              </w:rPr>
              <w:t xml:space="preserve">8.3.1.2.pasākumu plānots īstenot atklātas projektu iesniegumu atlases </w:t>
            </w:r>
            <w:r w:rsidR="0059118C" w:rsidRPr="00CD2D65">
              <w:rPr>
                <w:sz w:val="24"/>
                <w:szCs w:val="24"/>
                <w:lang w:val="lv-LV"/>
              </w:rPr>
              <w:t>veidā, organizējot vismaz divas atlases kārtas.</w:t>
            </w:r>
            <w:r w:rsidR="00D50A1B" w:rsidRPr="00CD2D65">
              <w:rPr>
                <w:sz w:val="24"/>
                <w:szCs w:val="24"/>
                <w:lang w:val="lv-LV"/>
              </w:rPr>
              <w:t xml:space="preserve"> </w:t>
            </w:r>
            <w:r w:rsidR="00D50A1B" w:rsidRPr="000A39CD">
              <w:rPr>
                <w:sz w:val="24"/>
                <w:szCs w:val="24"/>
                <w:lang w:val="lv-LV"/>
              </w:rPr>
              <w:t>Viena</w:t>
            </w:r>
            <w:r w:rsidR="00D46B66" w:rsidRPr="000A39CD">
              <w:rPr>
                <w:sz w:val="24"/>
                <w:szCs w:val="24"/>
                <w:lang w:val="lv-LV"/>
              </w:rPr>
              <w:t>s</w:t>
            </w:r>
            <w:r w:rsidR="00D50A1B" w:rsidRPr="000A39CD">
              <w:rPr>
                <w:sz w:val="24"/>
                <w:szCs w:val="24"/>
                <w:lang w:val="lv-LV"/>
              </w:rPr>
              <w:t xml:space="preserve"> projekt</w:t>
            </w:r>
            <w:r w:rsidR="00D46B66" w:rsidRPr="000A39CD">
              <w:rPr>
                <w:sz w:val="24"/>
                <w:szCs w:val="24"/>
                <w:lang w:val="lv-LV"/>
              </w:rPr>
              <w:t>u</w:t>
            </w:r>
            <w:r w:rsidR="00D50A1B" w:rsidRPr="000A39CD">
              <w:rPr>
                <w:sz w:val="24"/>
                <w:szCs w:val="24"/>
                <w:lang w:val="lv-LV"/>
              </w:rPr>
              <w:t xml:space="preserve"> iesniegum</w:t>
            </w:r>
            <w:r w:rsidR="00D46B66" w:rsidRPr="000A39CD">
              <w:rPr>
                <w:sz w:val="24"/>
                <w:szCs w:val="24"/>
                <w:lang w:val="lv-LV"/>
              </w:rPr>
              <w:t>u</w:t>
            </w:r>
            <w:r w:rsidR="00D50A1B" w:rsidRPr="000A39CD">
              <w:rPr>
                <w:sz w:val="24"/>
                <w:szCs w:val="24"/>
                <w:lang w:val="lv-LV"/>
              </w:rPr>
              <w:t xml:space="preserve"> </w:t>
            </w:r>
            <w:r w:rsidR="00D46B66" w:rsidRPr="000A39CD">
              <w:rPr>
                <w:sz w:val="24"/>
                <w:szCs w:val="24"/>
                <w:lang w:val="lv-LV"/>
              </w:rPr>
              <w:t xml:space="preserve">atlases kārtas </w:t>
            </w:r>
            <w:r w:rsidR="00D50A1B" w:rsidRPr="000A39CD">
              <w:rPr>
                <w:sz w:val="24"/>
                <w:szCs w:val="24"/>
                <w:lang w:val="lv-LV"/>
              </w:rPr>
              <w:t xml:space="preserve">ietvaros projekta iesniedzējs var </w:t>
            </w:r>
            <w:r w:rsidR="00D46B66" w:rsidRPr="000A39CD">
              <w:rPr>
                <w:sz w:val="24"/>
                <w:szCs w:val="24"/>
                <w:lang w:val="lv-LV"/>
              </w:rPr>
              <w:t xml:space="preserve">iesniegt </w:t>
            </w:r>
            <w:r w:rsidR="00D50A1B" w:rsidRPr="000A39CD">
              <w:rPr>
                <w:sz w:val="24"/>
                <w:szCs w:val="24"/>
                <w:lang w:val="lv-LV"/>
              </w:rPr>
              <w:t xml:space="preserve">vienu vai vairākus </w:t>
            </w:r>
            <w:r w:rsidR="00D46B66" w:rsidRPr="000A39CD">
              <w:rPr>
                <w:sz w:val="24"/>
                <w:szCs w:val="24"/>
                <w:lang w:val="lv-LV"/>
              </w:rPr>
              <w:t>projekta iesniegumus</w:t>
            </w:r>
            <w:r w:rsidR="00D50A1B" w:rsidRPr="000A39CD">
              <w:rPr>
                <w:sz w:val="24"/>
                <w:szCs w:val="24"/>
                <w:lang w:val="lv-LV"/>
              </w:rPr>
              <w:t>.</w:t>
            </w:r>
            <w:r w:rsidR="00FF0E4C" w:rsidRPr="00CD2D65">
              <w:rPr>
                <w:sz w:val="24"/>
                <w:szCs w:val="24"/>
                <w:lang w:val="lv-LV"/>
              </w:rPr>
              <w:t xml:space="preserve"> Projekta iesniedzējs </w:t>
            </w:r>
            <w:r w:rsidR="00307EEB" w:rsidRPr="00CD2D65">
              <w:rPr>
                <w:sz w:val="24"/>
                <w:szCs w:val="24"/>
                <w:lang w:val="lv-LV"/>
              </w:rPr>
              <w:t xml:space="preserve">projekta iesniegumam pievieno </w:t>
            </w:r>
            <w:r w:rsidR="00DA4452" w:rsidRPr="00CD2D65">
              <w:rPr>
                <w:i/>
                <w:sz w:val="24"/>
                <w:szCs w:val="24"/>
                <w:lang w:val="lv-LV"/>
              </w:rPr>
              <w:t>D</w:t>
            </w:r>
            <w:r w:rsidR="002308D5" w:rsidRPr="00CD2D65">
              <w:rPr>
                <w:i/>
                <w:sz w:val="24"/>
                <w:szCs w:val="24"/>
                <w:lang w:val="lv-LV"/>
              </w:rPr>
              <w:t xml:space="preserve">igitālā </w:t>
            </w:r>
            <w:r w:rsidR="004A05BA" w:rsidRPr="00CD2D65">
              <w:rPr>
                <w:i/>
                <w:sz w:val="24"/>
                <w:szCs w:val="24"/>
                <w:lang w:val="lv-LV"/>
              </w:rPr>
              <w:t xml:space="preserve">mācību un metodiskā </w:t>
            </w:r>
            <w:r w:rsidR="00FF0E4C" w:rsidRPr="00CD2D65">
              <w:rPr>
                <w:i/>
                <w:sz w:val="24"/>
                <w:szCs w:val="24"/>
                <w:lang w:val="lv-LV"/>
              </w:rPr>
              <w:t>līdzekļa izstrādes plānu</w:t>
            </w:r>
            <w:r w:rsidR="00FF0E4C" w:rsidRPr="00CD2D65">
              <w:rPr>
                <w:sz w:val="24"/>
                <w:szCs w:val="24"/>
                <w:lang w:val="lv-LV"/>
              </w:rPr>
              <w:t>,</w:t>
            </w:r>
            <w:r w:rsidR="002308D5" w:rsidRPr="00CD2D65">
              <w:rPr>
                <w:sz w:val="24"/>
                <w:szCs w:val="24"/>
                <w:lang w:val="lv-LV"/>
              </w:rPr>
              <w:t xml:space="preserve"> </w:t>
            </w:r>
            <w:r w:rsidR="00FF0E4C" w:rsidRPr="00CD2D65">
              <w:rPr>
                <w:sz w:val="24"/>
                <w:szCs w:val="24"/>
                <w:lang w:val="lv-LV"/>
              </w:rPr>
              <w:t xml:space="preserve">kurā ietver </w:t>
            </w:r>
            <w:r w:rsidR="00DA4452" w:rsidRPr="00CD2D65">
              <w:rPr>
                <w:sz w:val="24"/>
                <w:szCs w:val="24"/>
                <w:lang w:val="lv-LV"/>
              </w:rPr>
              <w:t>detalizētu plānotā digitālā mācību un metodiskā līdzekļa izstrādes nepieciešamības un novitātes pamatojumu, saturisko aprakstu</w:t>
            </w:r>
            <w:r w:rsidR="008764D7">
              <w:rPr>
                <w:sz w:val="24"/>
                <w:szCs w:val="24"/>
                <w:lang w:val="lv-LV"/>
              </w:rPr>
              <w:t xml:space="preserve">, t.sk. pamatojot </w:t>
            </w:r>
            <w:r w:rsidR="003225AA">
              <w:rPr>
                <w:sz w:val="24"/>
                <w:szCs w:val="24"/>
                <w:lang w:val="lv-LV"/>
              </w:rPr>
              <w:t xml:space="preserve">vairāku mācību un metodiskie līdzekļi </w:t>
            </w:r>
            <w:r w:rsidR="008764D7">
              <w:rPr>
                <w:sz w:val="24"/>
                <w:szCs w:val="24"/>
                <w:lang w:val="lv-LV"/>
              </w:rPr>
              <w:t xml:space="preserve">tematisko vai tehnisko saistību, ja vienā projekta iesniegumā tiek izstrādāti vairāki </w:t>
            </w:r>
            <w:r w:rsidR="008764D7">
              <w:rPr>
                <w:sz w:val="24"/>
                <w:szCs w:val="24"/>
                <w:lang w:val="lv-LV"/>
              </w:rPr>
              <w:lastRenderedPageBreak/>
              <w:t>līdzekļi,</w:t>
            </w:r>
            <w:r w:rsidR="00DA4452" w:rsidRPr="00CD2D65">
              <w:rPr>
                <w:sz w:val="24"/>
                <w:szCs w:val="24"/>
                <w:lang w:val="lv-LV"/>
              </w:rPr>
              <w:t xml:space="preserve"> un katrā izstrādes posmā noteiktā laika periodā veicamo darbību organizatorisko aprakstu</w:t>
            </w:r>
            <w:r w:rsidR="00FF0E4C" w:rsidRPr="00CD2D65">
              <w:rPr>
                <w:rFonts w:eastAsia="Calibri"/>
                <w:color w:val="auto"/>
                <w:sz w:val="24"/>
                <w:szCs w:val="24"/>
                <w:lang w:val="lv-LV"/>
              </w:rPr>
              <w:t>.</w:t>
            </w:r>
          </w:p>
          <w:p w14:paraId="2E0ECC32" w14:textId="39B4C15E" w:rsidR="006E4603" w:rsidRDefault="006E4603" w:rsidP="009B1ECD">
            <w:pPr>
              <w:pStyle w:val="BodyA"/>
              <w:ind w:firstLine="720"/>
              <w:rPr>
                <w:bCs/>
                <w:sz w:val="24"/>
                <w:szCs w:val="24"/>
                <w:lang w:val="lv-LV"/>
              </w:rPr>
            </w:pPr>
            <w:r w:rsidRPr="00546733">
              <w:rPr>
                <w:bCs/>
                <w:sz w:val="24"/>
                <w:szCs w:val="24"/>
                <w:lang w:val="lv-LV"/>
              </w:rPr>
              <w:t>Pirmo projekta iesniegumu atlases kārtu izsludina par pirmsskolas izglītības un pamatskolas izglītības satura ieviešanai nepieciešamo digitālo mācību un metodisko līdzekļu izstrādi.  Pirm</w:t>
            </w:r>
            <w:r w:rsidR="00B6587B">
              <w:rPr>
                <w:bCs/>
                <w:sz w:val="24"/>
                <w:szCs w:val="24"/>
                <w:lang w:val="lv-LV"/>
              </w:rPr>
              <w:t>ās</w:t>
            </w:r>
            <w:r w:rsidRPr="00546733">
              <w:rPr>
                <w:bCs/>
                <w:sz w:val="24"/>
                <w:szCs w:val="24"/>
                <w:lang w:val="lv-LV"/>
              </w:rPr>
              <w:t xml:space="preserve"> projekta iesniegumu atlases kārtas ietvaros netiek atbalstīta digitālo mācību un metodisku līdzekļu izstrāde</w:t>
            </w:r>
            <w:r w:rsidR="00B6587B">
              <w:rPr>
                <w:bCs/>
                <w:sz w:val="24"/>
                <w:szCs w:val="24"/>
                <w:lang w:val="lv-LV"/>
              </w:rPr>
              <w:t xml:space="preserve"> citu</w:t>
            </w:r>
            <w:r w:rsidRPr="00546733">
              <w:rPr>
                <w:bCs/>
                <w:sz w:val="24"/>
                <w:szCs w:val="24"/>
                <w:lang w:val="lv-LV"/>
              </w:rPr>
              <w:t xml:space="preserve"> svešvalodu apguvei, izņe</w:t>
            </w:r>
            <w:r>
              <w:rPr>
                <w:bCs/>
                <w:sz w:val="24"/>
                <w:szCs w:val="24"/>
                <w:lang w:val="lv-LV"/>
              </w:rPr>
              <w:t>mot krievu valodas kā svešvalodas apguvei. Svešvalodas apguves joma, izņemot krievu valod</w:t>
            </w:r>
            <w:r w:rsidR="00B6587B">
              <w:rPr>
                <w:bCs/>
                <w:sz w:val="24"/>
                <w:szCs w:val="24"/>
                <w:lang w:val="lv-LV"/>
              </w:rPr>
              <w:t>u</w:t>
            </w:r>
            <w:r>
              <w:rPr>
                <w:bCs/>
                <w:sz w:val="24"/>
                <w:szCs w:val="24"/>
                <w:lang w:val="lv-LV"/>
              </w:rPr>
              <w:t xml:space="preserve"> kā svešvalod</w:t>
            </w:r>
            <w:r w:rsidR="00B6587B">
              <w:rPr>
                <w:bCs/>
                <w:sz w:val="24"/>
                <w:szCs w:val="24"/>
                <w:lang w:val="lv-LV"/>
              </w:rPr>
              <w:t>u</w:t>
            </w:r>
            <w:r>
              <w:rPr>
                <w:bCs/>
                <w:sz w:val="24"/>
                <w:szCs w:val="24"/>
                <w:lang w:val="lv-LV"/>
              </w:rPr>
              <w:t xml:space="preserve">, tika izslēgta, ņemot vērā digitālo mācību un metodisko līdzekļu plašo piedāvājumu un pieejamību, </w:t>
            </w:r>
            <w:r w:rsidRPr="00823F6C">
              <w:rPr>
                <w:bCs/>
                <w:sz w:val="24"/>
                <w:szCs w:val="24"/>
                <w:lang w:val="lv-LV"/>
              </w:rPr>
              <w:t xml:space="preserve">piemēram, </w:t>
            </w:r>
            <w:r w:rsidR="000D05E0">
              <w:rPr>
                <w:bCs/>
                <w:sz w:val="24"/>
                <w:szCs w:val="24"/>
                <w:lang w:val="lv-LV"/>
              </w:rPr>
              <w:t xml:space="preserve">ar </w:t>
            </w:r>
            <w:r w:rsidRPr="00823F6C">
              <w:rPr>
                <w:rFonts w:cs="Times New Roman"/>
                <w:color w:val="auto"/>
                <w:sz w:val="24"/>
                <w:szCs w:val="24"/>
                <w:lang w:val="lv-LV"/>
              </w:rPr>
              <w:t>Britu padomes un Gētes institūta</w:t>
            </w:r>
            <w:r w:rsidRPr="00823F6C">
              <w:rPr>
                <w:sz w:val="24"/>
                <w:szCs w:val="24"/>
                <w:lang w:val="lv-LV"/>
              </w:rPr>
              <w:t xml:space="preserve"> </w:t>
            </w:r>
            <w:r w:rsidR="00A148F4">
              <w:rPr>
                <w:sz w:val="24"/>
                <w:szCs w:val="24"/>
                <w:lang w:val="lv-LV"/>
              </w:rPr>
              <w:t>atbalstu</w:t>
            </w:r>
            <w:r w:rsidRPr="00823F6C">
              <w:rPr>
                <w:sz w:val="24"/>
                <w:szCs w:val="24"/>
                <w:lang w:val="lv-LV"/>
              </w:rPr>
              <w:t xml:space="preserve">. </w:t>
            </w:r>
            <w:r w:rsidRPr="00823F6C">
              <w:rPr>
                <w:bCs/>
                <w:sz w:val="24"/>
                <w:szCs w:val="24"/>
                <w:lang w:val="lv-LV"/>
              </w:rPr>
              <w:t xml:space="preserve"> </w:t>
            </w:r>
            <w:r w:rsidRPr="00823F6C">
              <w:rPr>
                <w:sz w:val="24"/>
                <w:szCs w:val="24"/>
                <w:lang w:val="lv-LV"/>
              </w:rPr>
              <w:t xml:space="preserve">Plānots atbalstīt digitālos  mācību un metodisko līdzekļu krievu valodas kā svešvalodas apguvei, ņemot vērā  </w:t>
            </w:r>
            <w:r w:rsidR="00DC01BA">
              <w:rPr>
                <w:sz w:val="24"/>
                <w:szCs w:val="24"/>
                <w:lang w:val="lv-LV"/>
              </w:rPr>
              <w:t xml:space="preserve">šādu mācību līdzekļu trūkumu, </w:t>
            </w:r>
            <w:r w:rsidRPr="00823F6C">
              <w:rPr>
                <w:sz w:val="24"/>
                <w:szCs w:val="24"/>
                <w:lang w:val="lv-LV"/>
              </w:rPr>
              <w:t>it īpaši sākum</w:t>
            </w:r>
            <w:r w:rsidR="00B6587B">
              <w:rPr>
                <w:sz w:val="24"/>
                <w:szCs w:val="24"/>
                <w:lang w:val="lv-LV"/>
              </w:rPr>
              <w:t>skolas</w:t>
            </w:r>
            <w:r w:rsidRPr="00823F6C">
              <w:rPr>
                <w:sz w:val="24"/>
                <w:szCs w:val="24"/>
                <w:lang w:val="lv-LV"/>
              </w:rPr>
              <w:t xml:space="preserve"> posmā. Šādu nepieciešamību pamato arī otrās svešvalodas apguves izmaiņas</w:t>
            </w:r>
            <w:r>
              <w:rPr>
                <w:sz w:val="24"/>
                <w:szCs w:val="24"/>
                <w:lang w:val="lv-LV"/>
              </w:rPr>
              <w:t xml:space="preserve"> jaunā mācību satura ieviešanas ietvaros</w:t>
            </w:r>
            <w:r w:rsidRPr="00823F6C">
              <w:rPr>
                <w:sz w:val="24"/>
                <w:szCs w:val="24"/>
                <w:lang w:val="lv-LV"/>
              </w:rPr>
              <w:t xml:space="preserve">, paredzot to sākt apgūt no 4.klases, nevis </w:t>
            </w:r>
            <w:r>
              <w:rPr>
                <w:sz w:val="24"/>
                <w:szCs w:val="24"/>
                <w:lang w:val="lv-LV"/>
              </w:rPr>
              <w:t xml:space="preserve">no </w:t>
            </w:r>
            <w:r w:rsidRPr="00823F6C">
              <w:rPr>
                <w:sz w:val="24"/>
                <w:szCs w:val="24"/>
                <w:lang w:val="lv-LV"/>
              </w:rPr>
              <w:t>6.klases.</w:t>
            </w:r>
          </w:p>
          <w:p w14:paraId="08BC591C" w14:textId="666AF84E" w:rsidR="006E4603" w:rsidRPr="00BB6825" w:rsidRDefault="00E30DC6" w:rsidP="009B1ECD">
            <w:pPr>
              <w:pStyle w:val="BodyA"/>
              <w:keepNext/>
              <w:keepLines/>
              <w:ind w:firstLine="720"/>
              <w:outlineLvl w:val="5"/>
              <w:rPr>
                <w:rFonts w:eastAsia="Times New Roman" w:cs="Times New Roman"/>
                <w:color w:val="auto"/>
                <w:sz w:val="24"/>
                <w:szCs w:val="24"/>
                <w:bdr w:val="none" w:sz="0" w:space="0" w:color="auto"/>
                <w:lang w:val="lv-LV" w:eastAsia="lv-LV"/>
              </w:rPr>
            </w:pPr>
            <w:r w:rsidRPr="00BB6825">
              <w:rPr>
                <w:rFonts w:eastAsia="Times New Roman" w:cs="Times New Roman"/>
                <w:color w:val="auto"/>
                <w:sz w:val="24"/>
                <w:szCs w:val="24"/>
                <w:bdr w:val="none" w:sz="0" w:space="0" w:color="auto"/>
                <w:lang w:val="lv-LV" w:eastAsia="lv-LV"/>
              </w:rPr>
              <w:t>Valsts izglītības satura centrs sadarbībā ar Izglītības un zinātnes ministriju  izstrādā rekomendācijas par izglītības jomām, kurās ir nepieciešams nodrošināt digitālos mācību un metodisko līdzekļus jaunā mācību satura ieviešanai, un  atbildīgā iestāde iesniedz tos pievienošanai projekta iesniegumu atlases nolikumam</w:t>
            </w:r>
            <w:r w:rsidR="006E4603" w:rsidRPr="00BB6825">
              <w:rPr>
                <w:rFonts w:eastAsia="Times New Roman" w:cs="Times New Roman"/>
                <w:color w:val="auto"/>
                <w:sz w:val="24"/>
                <w:szCs w:val="24"/>
                <w:bdr w:val="none" w:sz="0" w:space="0" w:color="auto"/>
                <w:lang w:val="lv-LV" w:eastAsia="lv-LV"/>
              </w:rPr>
              <w:t xml:space="preserve">. </w:t>
            </w:r>
          </w:p>
          <w:p w14:paraId="1650D205" w14:textId="1C14345B" w:rsidR="00FA1766" w:rsidRPr="00F330F5" w:rsidRDefault="00FA1766" w:rsidP="00FA1766">
            <w:pPr>
              <w:ind w:firstLine="720"/>
              <w:jc w:val="both"/>
            </w:pPr>
            <w:r w:rsidRPr="00F330F5">
              <w:t xml:space="preserve">Projektu iesniegumu vērtēšanas kvalitātes kritēriji nodrošina, ka projekta iesniedzējs digitālo mācību </w:t>
            </w:r>
            <w:r w:rsidR="00D96562" w:rsidRPr="00F330F5">
              <w:t xml:space="preserve">un metodisko </w:t>
            </w:r>
            <w:r w:rsidR="00370230" w:rsidRPr="00F330F5">
              <w:t xml:space="preserve">līdzekļu </w:t>
            </w:r>
            <w:r w:rsidRPr="00F330F5">
              <w:t xml:space="preserve">izstrādes nepieciešamību pamato ar mērķa grupas vajadzībām un aktuālo situāciju digitālo </w:t>
            </w:r>
            <w:r w:rsidR="00D96562" w:rsidRPr="00F330F5">
              <w:t xml:space="preserve">mācību un metodisko </w:t>
            </w:r>
            <w:r w:rsidRPr="00F330F5">
              <w:t xml:space="preserve">līdzekļu tirgus piedāvājumā, kā arī nodrošina digitālā </w:t>
            </w:r>
            <w:r w:rsidR="00D96562" w:rsidRPr="00F330F5">
              <w:t xml:space="preserve">mācību un metodiskā </w:t>
            </w:r>
            <w:r w:rsidRPr="00F330F5">
              <w:t xml:space="preserve">līdzekļa atbilstību </w:t>
            </w:r>
            <w:r w:rsidR="00370230" w:rsidRPr="00F330F5">
              <w:t xml:space="preserve">jaunajam </w:t>
            </w:r>
            <w:r w:rsidRPr="00F330F5">
              <w:t xml:space="preserve">mācību saturam.  </w:t>
            </w:r>
          </w:p>
          <w:p w14:paraId="0409BA2E" w14:textId="00AB8269" w:rsidR="00763A03" w:rsidRDefault="006651AB" w:rsidP="00CF2E96">
            <w:pPr>
              <w:ind w:firstLine="720"/>
              <w:jc w:val="both"/>
              <w:rPr>
                <w:bCs/>
                <w:spacing w:val="-2"/>
              </w:rPr>
            </w:pPr>
            <w:r w:rsidRPr="00F330F5">
              <w:rPr>
                <w:bCs/>
                <w:spacing w:val="-2"/>
              </w:rPr>
              <w:t>8.3.1.2.pasākuma mērķi sasniedz, īstenojot atbalstāmās darbības un līdz 2023.gada 31.decembrim sasniedzot šādu</w:t>
            </w:r>
            <w:r w:rsidR="006E7A11" w:rsidRPr="00F330F5">
              <w:rPr>
                <w:bCs/>
                <w:spacing w:val="-2"/>
              </w:rPr>
              <w:t xml:space="preserve"> </w:t>
            </w:r>
            <w:r w:rsidR="0059118C" w:rsidRPr="00F330F5">
              <w:rPr>
                <w:bCs/>
                <w:spacing w:val="-2"/>
              </w:rPr>
              <w:t xml:space="preserve">iznākuma rādītāju - digitālo mācību un metodisko līdzekļu skaits, kuru izstrādei piešķirts Eiropas Sociālā fonda atbalsts, – 150, tai skaitā pirmās projektu iesniegumu atlases kārtas ietvaros – </w:t>
            </w:r>
            <w:r w:rsidR="006B2CB2">
              <w:rPr>
                <w:bCs/>
                <w:spacing w:val="-2"/>
              </w:rPr>
              <w:t>5</w:t>
            </w:r>
            <w:r w:rsidR="0059118C" w:rsidRPr="00F330F5">
              <w:rPr>
                <w:bCs/>
                <w:spacing w:val="-2"/>
              </w:rPr>
              <w:t xml:space="preserve">0, otrās projektu iesniegumu atlases </w:t>
            </w:r>
            <w:r w:rsidR="007B21ED">
              <w:rPr>
                <w:bCs/>
                <w:spacing w:val="-2"/>
              </w:rPr>
              <w:t xml:space="preserve">kārtas </w:t>
            </w:r>
            <w:r w:rsidR="0059118C" w:rsidRPr="00F330F5">
              <w:rPr>
                <w:bCs/>
                <w:spacing w:val="-2"/>
              </w:rPr>
              <w:t xml:space="preserve">ietvaros </w:t>
            </w:r>
            <w:r w:rsidR="00370230" w:rsidRPr="00F330F5">
              <w:rPr>
                <w:bCs/>
                <w:spacing w:val="-2"/>
              </w:rPr>
              <w:t>–</w:t>
            </w:r>
            <w:r w:rsidR="0059118C" w:rsidRPr="00F330F5">
              <w:rPr>
                <w:bCs/>
                <w:spacing w:val="-2"/>
              </w:rPr>
              <w:t xml:space="preserve"> </w:t>
            </w:r>
            <w:r w:rsidR="006B2CB2">
              <w:rPr>
                <w:bCs/>
                <w:spacing w:val="-2"/>
              </w:rPr>
              <w:t>10</w:t>
            </w:r>
            <w:r w:rsidR="0059118C" w:rsidRPr="00F330F5">
              <w:rPr>
                <w:bCs/>
                <w:spacing w:val="-2"/>
              </w:rPr>
              <w:t>0</w:t>
            </w:r>
            <w:r w:rsidR="007B21ED">
              <w:rPr>
                <w:bCs/>
                <w:spacing w:val="-2"/>
              </w:rPr>
              <w:t xml:space="preserve"> digitālie un metodiskie līdzekļi</w:t>
            </w:r>
            <w:r w:rsidR="00370230" w:rsidRPr="00F330F5">
              <w:rPr>
                <w:bCs/>
                <w:spacing w:val="-2"/>
              </w:rPr>
              <w:t>.</w:t>
            </w:r>
          </w:p>
          <w:p w14:paraId="674FF170" w14:textId="043838E0" w:rsidR="006651AB" w:rsidRPr="00763A03" w:rsidRDefault="006651AB" w:rsidP="00763A03">
            <w:pPr>
              <w:ind w:firstLine="720"/>
              <w:jc w:val="both"/>
              <w:rPr>
                <w:b/>
                <w:bCs/>
              </w:rPr>
            </w:pPr>
            <w:r w:rsidRPr="00F330F5">
              <w:rPr>
                <w:bCs/>
              </w:rPr>
              <w:t>8.3.</w:t>
            </w:r>
            <w:r w:rsidR="00227CBC" w:rsidRPr="00F330F5">
              <w:rPr>
                <w:bCs/>
              </w:rPr>
              <w:t>1</w:t>
            </w:r>
            <w:r w:rsidRPr="00F330F5">
              <w:rPr>
                <w:bCs/>
              </w:rPr>
              <w:t>.</w:t>
            </w:r>
            <w:r w:rsidR="00227CBC" w:rsidRPr="00F330F5">
              <w:rPr>
                <w:bCs/>
              </w:rPr>
              <w:t>2</w:t>
            </w:r>
            <w:r w:rsidRPr="00F330F5">
              <w:rPr>
                <w:bCs/>
              </w:rPr>
              <w:t>.pasākuma ietvaros plānots īstenot sekojošas atbalstāmās darbības:</w:t>
            </w:r>
          </w:p>
          <w:p w14:paraId="13055D61" w14:textId="36923DD2" w:rsidR="00D542BD" w:rsidRPr="00F330F5" w:rsidRDefault="00D542BD" w:rsidP="00D542BD">
            <w:pPr>
              <w:tabs>
                <w:tab w:val="left" w:pos="993"/>
              </w:tabs>
              <w:jc w:val="both"/>
              <w:rPr>
                <w:bCs/>
              </w:rPr>
            </w:pPr>
            <w:r w:rsidRPr="00F330F5">
              <w:rPr>
                <w:bCs/>
              </w:rPr>
              <w:t>1. digitālo mācību un metodisko līdzekļu izstrāde, t.sk.:</w:t>
            </w:r>
          </w:p>
          <w:p w14:paraId="4FDC0590" w14:textId="235A6E3E" w:rsidR="00D542BD" w:rsidRPr="00F330F5" w:rsidRDefault="00D542BD" w:rsidP="00D542BD">
            <w:pPr>
              <w:tabs>
                <w:tab w:val="left" w:pos="993"/>
              </w:tabs>
              <w:jc w:val="both"/>
              <w:rPr>
                <w:bCs/>
              </w:rPr>
            </w:pPr>
            <w:r w:rsidRPr="00F330F5">
              <w:rPr>
                <w:bCs/>
              </w:rPr>
              <w:t>1.1. mācību un metodiskā līdzekļa satura izstrāde un pilnveidošana;</w:t>
            </w:r>
          </w:p>
          <w:p w14:paraId="46CE4F69" w14:textId="39B7814D" w:rsidR="00D542BD" w:rsidRPr="00F330F5" w:rsidRDefault="00D542BD" w:rsidP="00D542BD">
            <w:pPr>
              <w:tabs>
                <w:tab w:val="left" w:pos="993"/>
              </w:tabs>
              <w:jc w:val="both"/>
              <w:rPr>
                <w:bCs/>
              </w:rPr>
            </w:pPr>
            <w:r w:rsidRPr="00F330F5">
              <w:rPr>
                <w:bCs/>
              </w:rPr>
              <w:t>1.2. mācību un metodiskā līdzekļa digitalizācija un pilnveidošana</w:t>
            </w:r>
            <w:r w:rsidR="00186F12">
              <w:rPr>
                <w:bCs/>
              </w:rPr>
              <w:t>, t.sk. programatūras projektēšana, izstrāde, izvērtēšana</w:t>
            </w:r>
            <w:r w:rsidRPr="00F330F5">
              <w:rPr>
                <w:bCs/>
              </w:rPr>
              <w:t xml:space="preserve">; </w:t>
            </w:r>
          </w:p>
          <w:p w14:paraId="73C950C6" w14:textId="0810885F" w:rsidR="00D542BD" w:rsidRPr="00F330F5" w:rsidRDefault="00D542BD" w:rsidP="00D542BD">
            <w:pPr>
              <w:tabs>
                <w:tab w:val="left" w:pos="993"/>
              </w:tabs>
              <w:jc w:val="both"/>
              <w:rPr>
                <w:bCs/>
              </w:rPr>
            </w:pPr>
            <w:r w:rsidRPr="00F330F5">
              <w:rPr>
                <w:bCs/>
              </w:rPr>
              <w:t xml:space="preserve">1.3. izstrādātā digitālā mācību un metodiskā līdzekļa </w:t>
            </w:r>
            <w:r w:rsidRPr="00F330F5">
              <w:rPr>
                <w:bCs/>
              </w:rPr>
              <w:lastRenderedPageBreak/>
              <w:t>recenzēšana;</w:t>
            </w:r>
          </w:p>
          <w:p w14:paraId="0D2CAFC6" w14:textId="77453AA5" w:rsidR="00D542BD" w:rsidRPr="00F330F5" w:rsidRDefault="00D542BD" w:rsidP="00D542BD">
            <w:pPr>
              <w:tabs>
                <w:tab w:val="left" w:pos="993"/>
              </w:tabs>
              <w:jc w:val="both"/>
              <w:rPr>
                <w:bCs/>
              </w:rPr>
            </w:pPr>
            <w:r w:rsidRPr="00F330F5">
              <w:rPr>
                <w:bCs/>
              </w:rPr>
              <w:t>1.4. izstrādātā digitālā mācību un metodiskā līdzekļa aprobācija;</w:t>
            </w:r>
          </w:p>
          <w:p w14:paraId="065FEB84" w14:textId="35E7C40D" w:rsidR="00D542BD" w:rsidRPr="00F330F5" w:rsidRDefault="00D542BD" w:rsidP="00D542BD">
            <w:pPr>
              <w:tabs>
                <w:tab w:val="left" w:pos="993"/>
              </w:tabs>
              <w:jc w:val="both"/>
              <w:rPr>
                <w:bCs/>
              </w:rPr>
            </w:pPr>
            <w:r w:rsidRPr="00F330F5">
              <w:rPr>
                <w:bCs/>
              </w:rPr>
              <w:t>2. ārvalstu digitālā mācību un metodiskā līdzekļa adaptācija, t.sk.</w:t>
            </w:r>
          </w:p>
          <w:p w14:paraId="28DADD5A" w14:textId="1DEB23E7" w:rsidR="00D542BD" w:rsidRPr="00F330F5" w:rsidRDefault="00D542BD" w:rsidP="00D542BD">
            <w:pPr>
              <w:tabs>
                <w:tab w:val="left" w:pos="993"/>
              </w:tabs>
              <w:jc w:val="both"/>
              <w:rPr>
                <w:bCs/>
              </w:rPr>
            </w:pPr>
            <w:r w:rsidRPr="00F330F5">
              <w:rPr>
                <w:bCs/>
              </w:rPr>
              <w:t>2.1. digitālā mācību un metodiskā līdzekļa satura pielāgošana lietotājiem un tā pilnveidošana;</w:t>
            </w:r>
          </w:p>
          <w:p w14:paraId="6F6A9A96" w14:textId="53232B4A" w:rsidR="00D542BD" w:rsidRPr="00F330F5" w:rsidRDefault="00D542BD" w:rsidP="00D542BD">
            <w:pPr>
              <w:tabs>
                <w:tab w:val="left" w:pos="993"/>
              </w:tabs>
              <w:jc w:val="both"/>
              <w:rPr>
                <w:bCs/>
              </w:rPr>
            </w:pPr>
            <w:r w:rsidRPr="00F330F5">
              <w:rPr>
                <w:bCs/>
              </w:rPr>
              <w:t>2.2. mācību un metodiskā līdzekļa digitalizācija un pilnveidošana</w:t>
            </w:r>
            <w:r w:rsidR="00186F12">
              <w:rPr>
                <w:bCs/>
              </w:rPr>
              <w:t>, t.sk. programatūras projektēšana, izstrāde, izvērtēšana</w:t>
            </w:r>
            <w:r w:rsidRPr="00F330F5">
              <w:rPr>
                <w:bCs/>
              </w:rPr>
              <w:t xml:space="preserve">; </w:t>
            </w:r>
          </w:p>
          <w:p w14:paraId="67B964FA" w14:textId="6852569C" w:rsidR="00D542BD" w:rsidRPr="00F330F5" w:rsidRDefault="00D542BD" w:rsidP="00D542BD">
            <w:pPr>
              <w:tabs>
                <w:tab w:val="left" w:pos="993"/>
              </w:tabs>
              <w:jc w:val="both"/>
              <w:rPr>
                <w:bCs/>
              </w:rPr>
            </w:pPr>
            <w:r w:rsidRPr="00F330F5">
              <w:rPr>
                <w:bCs/>
              </w:rPr>
              <w:t>2.3. izstrādātā digitālā mācību un metodiskā līdzekļa recenzēšana;</w:t>
            </w:r>
          </w:p>
          <w:p w14:paraId="4E63A7A8" w14:textId="07010A4D" w:rsidR="00D542BD" w:rsidRPr="00F330F5" w:rsidRDefault="00D542BD" w:rsidP="00D542BD">
            <w:pPr>
              <w:tabs>
                <w:tab w:val="left" w:pos="993"/>
              </w:tabs>
              <w:jc w:val="both"/>
              <w:rPr>
                <w:bCs/>
              </w:rPr>
            </w:pPr>
            <w:r w:rsidRPr="00F330F5">
              <w:rPr>
                <w:bCs/>
              </w:rPr>
              <w:t>2.4. izstrādātā digitālā mācību un metodiskā līdzekļa aprobācija;</w:t>
            </w:r>
          </w:p>
          <w:p w14:paraId="6023B3E4" w14:textId="2C634CA2" w:rsidR="00D542BD" w:rsidRPr="00F330F5" w:rsidRDefault="00D542BD" w:rsidP="00D542BD">
            <w:pPr>
              <w:tabs>
                <w:tab w:val="left" w:pos="993"/>
              </w:tabs>
              <w:jc w:val="both"/>
              <w:rPr>
                <w:bCs/>
              </w:rPr>
            </w:pPr>
            <w:r w:rsidRPr="00F330F5">
              <w:rPr>
                <w:bCs/>
              </w:rPr>
              <w:t>3. projekta vadības un īstenošanas nodrošināšana;</w:t>
            </w:r>
          </w:p>
          <w:p w14:paraId="544D3DC8" w14:textId="19793554" w:rsidR="00A839B4" w:rsidRPr="00F330F5" w:rsidRDefault="00D542BD" w:rsidP="00A839B4">
            <w:pPr>
              <w:pStyle w:val="ListParagraph"/>
              <w:tabs>
                <w:tab w:val="left" w:pos="993"/>
              </w:tabs>
              <w:spacing w:after="0" w:line="240" w:lineRule="auto"/>
              <w:ind w:left="0"/>
              <w:contextualSpacing w:val="0"/>
              <w:jc w:val="both"/>
              <w:rPr>
                <w:rFonts w:ascii="Times New Roman" w:hAnsi="Times New Roman"/>
                <w:bCs/>
                <w:sz w:val="24"/>
                <w:szCs w:val="24"/>
              </w:rPr>
            </w:pPr>
            <w:r w:rsidRPr="00F330F5">
              <w:rPr>
                <w:rFonts w:ascii="Times New Roman" w:hAnsi="Times New Roman"/>
                <w:bCs/>
                <w:sz w:val="24"/>
                <w:szCs w:val="24"/>
              </w:rPr>
              <w:t>4. informācijas un publicitātes pasākumu īstenošana.</w:t>
            </w:r>
          </w:p>
          <w:p w14:paraId="724ECE4C" w14:textId="1EA97C98" w:rsidR="00A839B4" w:rsidRPr="00F330F5" w:rsidRDefault="00227CBC" w:rsidP="005305A4">
            <w:pPr>
              <w:ind w:firstLine="720"/>
              <w:jc w:val="both"/>
              <w:rPr>
                <w:lang w:eastAsia="x-none" w:bidi="lo-LA"/>
              </w:rPr>
            </w:pPr>
            <w:r w:rsidRPr="00F330F5">
              <w:rPr>
                <w:bCs/>
                <w:lang w:eastAsia="x-none" w:bidi="lo-LA"/>
              </w:rPr>
              <w:t xml:space="preserve">Finansējuma saņēmējs ir komersants, kas projektu īstenos sadarbībā ar izglītības iestādēm un piesaistot ekspertu digitālo mācību un metodisko līdzekļu izvērtēšanai. </w:t>
            </w:r>
            <w:r w:rsidR="007D5FDE" w:rsidRPr="00F330F5">
              <w:rPr>
                <w:lang w:eastAsia="x-none" w:bidi="lo-LA"/>
              </w:rPr>
              <w:t xml:space="preserve">Izglītības </w:t>
            </w:r>
            <w:r w:rsidR="00A839B4" w:rsidRPr="00F330F5">
              <w:rPr>
                <w:lang w:eastAsia="x-none" w:bidi="lo-LA"/>
              </w:rPr>
              <w:t xml:space="preserve">iestādes </w:t>
            </w:r>
            <w:r w:rsidR="007D5FDE" w:rsidRPr="00F330F5">
              <w:rPr>
                <w:lang w:eastAsia="x-none" w:bidi="lo-LA"/>
              </w:rPr>
              <w:t xml:space="preserve">kā sadarbības partneri </w:t>
            </w:r>
            <w:r w:rsidR="00A839B4" w:rsidRPr="00F330F5">
              <w:rPr>
                <w:lang w:eastAsia="x-none" w:bidi="lo-LA"/>
              </w:rPr>
              <w:t xml:space="preserve">tiek </w:t>
            </w:r>
            <w:r w:rsidR="007D5FDE" w:rsidRPr="00F330F5">
              <w:rPr>
                <w:lang w:eastAsia="x-none" w:bidi="lo-LA"/>
              </w:rPr>
              <w:t xml:space="preserve">iesaistītas </w:t>
            </w:r>
            <w:r w:rsidR="00A839B4" w:rsidRPr="00F330F5">
              <w:rPr>
                <w:lang w:eastAsia="x-none" w:bidi="lo-LA"/>
              </w:rPr>
              <w:t xml:space="preserve">projekta </w:t>
            </w:r>
            <w:r w:rsidR="007D5FDE" w:rsidRPr="00F330F5">
              <w:rPr>
                <w:lang w:eastAsia="x-none" w:bidi="lo-LA"/>
              </w:rPr>
              <w:t>īstenošanā</w:t>
            </w:r>
            <w:r w:rsidRPr="00F330F5">
              <w:rPr>
                <w:lang w:eastAsia="x-none" w:bidi="lo-LA"/>
              </w:rPr>
              <w:t xml:space="preserve"> (noslēdzot sadarbības līgumu)</w:t>
            </w:r>
            <w:r w:rsidR="00A839B4" w:rsidRPr="00F330F5">
              <w:rPr>
                <w:lang w:eastAsia="x-none" w:bidi="lo-LA"/>
              </w:rPr>
              <w:t xml:space="preserve">, lai nodrošinātu izstrādājamā digitālā </w:t>
            </w:r>
            <w:r w:rsidR="007B21ED">
              <w:rPr>
                <w:lang w:eastAsia="x-none" w:bidi="lo-LA"/>
              </w:rPr>
              <w:t xml:space="preserve">mācību un metodiskā </w:t>
            </w:r>
            <w:r w:rsidR="00A839B4" w:rsidRPr="00F330F5">
              <w:rPr>
                <w:lang w:eastAsia="x-none" w:bidi="lo-LA"/>
              </w:rPr>
              <w:t>līdzekļa aprobāciju</w:t>
            </w:r>
            <w:r w:rsidR="0060316D">
              <w:rPr>
                <w:lang w:eastAsia="x-none" w:bidi="lo-LA"/>
              </w:rPr>
              <w:t>, kuras rezultātā katrs sadarbības partneris sagatavo aprobācijas ziņojumu</w:t>
            </w:r>
            <w:r w:rsidR="00A839B4" w:rsidRPr="00F330F5">
              <w:rPr>
                <w:lang w:eastAsia="x-none" w:bidi="lo-LA"/>
              </w:rPr>
              <w:t xml:space="preserve">. Aprobācijas nosacījumi atspoguļoti </w:t>
            </w:r>
            <w:r w:rsidR="001A7F2D" w:rsidRPr="00F330F5">
              <w:rPr>
                <w:lang w:eastAsia="x-none" w:bidi="lo-LA"/>
              </w:rPr>
              <w:t>noteikumu projektā</w:t>
            </w:r>
            <w:r w:rsidR="00A839B4" w:rsidRPr="00F330F5">
              <w:rPr>
                <w:lang w:eastAsia="x-none" w:bidi="lo-LA"/>
              </w:rPr>
              <w:t xml:space="preserve">. Lai pārbaudītu, </w:t>
            </w:r>
            <w:r w:rsidR="00794A57">
              <w:rPr>
                <w:lang w:eastAsia="x-none" w:bidi="lo-LA"/>
              </w:rPr>
              <w:t>vai</w:t>
            </w:r>
            <w:r w:rsidR="00794A57" w:rsidRPr="00F330F5">
              <w:rPr>
                <w:lang w:eastAsia="x-none" w:bidi="lo-LA"/>
              </w:rPr>
              <w:t xml:space="preserve"> </w:t>
            </w:r>
            <w:r w:rsidR="00A839B4" w:rsidRPr="00F330F5">
              <w:rPr>
                <w:lang w:eastAsia="x-none" w:bidi="lo-LA"/>
              </w:rPr>
              <w:t xml:space="preserve">izstrādātā digitālā </w:t>
            </w:r>
            <w:r w:rsidR="007747C1" w:rsidRPr="00F330F5">
              <w:rPr>
                <w:lang w:eastAsia="x-none" w:bidi="lo-LA"/>
              </w:rPr>
              <w:t xml:space="preserve">mācību un metodiskā </w:t>
            </w:r>
            <w:r w:rsidR="00A839B4" w:rsidRPr="00F330F5">
              <w:rPr>
                <w:lang w:eastAsia="x-none" w:bidi="lo-LA"/>
              </w:rPr>
              <w:t>līdzekļa kvalitāte atbilst projekt</w:t>
            </w:r>
            <w:r w:rsidR="00A2469F" w:rsidRPr="00F330F5">
              <w:rPr>
                <w:lang w:eastAsia="x-none" w:bidi="lo-LA"/>
              </w:rPr>
              <w:t xml:space="preserve">a iesniegumā </w:t>
            </w:r>
            <w:r w:rsidR="007747C1" w:rsidRPr="00F330F5">
              <w:rPr>
                <w:lang w:eastAsia="x-none" w:bidi="lo-LA"/>
              </w:rPr>
              <w:t xml:space="preserve">paredzētajai </w:t>
            </w:r>
            <w:r w:rsidR="00A2469F" w:rsidRPr="00F330F5">
              <w:rPr>
                <w:lang w:eastAsia="x-none" w:bidi="lo-LA"/>
              </w:rPr>
              <w:t xml:space="preserve">kvalitātei </w:t>
            </w:r>
            <w:r w:rsidR="00A839B4" w:rsidRPr="00F330F5">
              <w:rPr>
                <w:lang w:eastAsia="x-none" w:bidi="lo-LA"/>
              </w:rPr>
              <w:t xml:space="preserve">finansējuma saņēmējs </w:t>
            </w:r>
            <w:r w:rsidR="00DE6B2E">
              <w:rPr>
                <w:lang w:eastAsia="x-none" w:bidi="lo-LA"/>
              </w:rPr>
              <w:t xml:space="preserve">uz pakalpojuma līguma pamata </w:t>
            </w:r>
            <w:r w:rsidR="00A839B4" w:rsidRPr="00F330F5">
              <w:rPr>
                <w:lang w:eastAsia="x-none" w:bidi="lo-LA"/>
              </w:rPr>
              <w:t xml:space="preserve">piesaista </w:t>
            </w:r>
            <w:r w:rsidR="00763A03">
              <w:rPr>
                <w:lang w:eastAsia="x-none" w:bidi="lo-LA"/>
              </w:rPr>
              <w:t xml:space="preserve">divus </w:t>
            </w:r>
            <w:r w:rsidR="0060316D">
              <w:rPr>
                <w:lang w:eastAsia="x-none" w:bidi="lo-LA"/>
              </w:rPr>
              <w:t>recenzentus</w:t>
            </w:r>
            <w:r w:rsidR="00763A03">
              <w:rPr>
                <w:lang w:eastAsia="x-none" w:bidi="lo-LA"/>
              </w:rPr>
              <w:t xml:space="preserve"> (zinātniskais</w:t>
            </w:r>
            <w:r w:rsidR="00AE284F">
              <w:rPr>
                <w:lang w:eastAsia="x-none" w:bidi="lo-LA"/>
              </w:rPr>
              <w:t>, kuram ir</w:t>
            </w:r>
            <w:r w:rsidR="00E87CA3">
              <w:rPr>
                <w:lang w:eastAsia="x-none" w:bidi="lo-LA"/>
              </w:rPr>
              <w:t xml:space="preserve"> vismaz </w:t>
            </w:r>
            <w:r w:rsidR="00AE284F">
              <w:rPr>
                <w:lang w:eastAsia="x-none" w:bidi="lo-LA"/>
              </w:rPr>
              <w:t xml:space="preserve"> </w:t>
            </w:r>
            <w:r w:rsidR="0078418F">
              <w:rPr>
                <w:lang w:eastAsia="x-none" w:bidi="lo-LA"/>
              </w:rPr>
              <w:t>maģistra</w:t>
            </w:r>
            <w:r w:rsidR="00AE284F">
              <w:rPr>
                <w:lang w:eastAsia="x-none" w:bidi="lo-LA"/>
              </w:rPr>
              <w:t xml:space="preserve"> </w:t>
            </w:r>
            <w:r w:rsidR="00A2039D">
              <w:rPr>
                <w:lang w:eastAsia="x-none" w:bidi="lo-LA"/>
              </w:rPr>
              <w:t>grāds</w:t>
            </w:r>
            <w:r w:rsidR="00AE284F">
              <w:rPr>
                <w:lang w:eastAsia="x-none" w:bidi="lo-LA"/>
              </w:rPr>
              <w:t xml:space="preserve"> un zinātniskā</w:t>
            </w:r>
            <w:r w:rsidR="00EB279C">
              <w:rPr>
                <w:lang w:eastAsia="x-none" w:bidi="lo-LA"/>
              </w:rPr>
              <w:t>s</w:t>
            </w:r>
            <w:r w:rsidR="00AE284F">
              <w:rPr>
                <w:lang w:eastAsia="x-none" w:bidi="lo-LA"/>
              </w:rPr>
              <w:t xml:space="preserve"> darb</w:t>
            </w:r>
            <w:r w:rsidR="00EB279C">
              <w:rPr>
                <w:lang w:eastAsia="x-none" w:bidi="lo-LA"/>
              </w:rPr>
              <w:t>ības</w:t>
            </w:r>
            <w:r w:rsidR="00AE284F">
              <w:rPr>
                <w:lang w:eastAsia="x-none" w:bidi="lo-LA"/>
              </w:rPr>
              <w:t xml:space="preserve"> pieredze atbilstošajā zinātnes jomā,</w:t>
            </w:r>
            <w:r w:rsidR="00763A03">
              <w:rPr>
                <w:lang w:eastAsia="x-none" w:bidi="lo-LA"/>
              </w:rPr>
              <w:t xml:space="preserve"> un </w:t>
            </w:r>
            <w:r w:rsidR="00AE284F">
              <w:rPr>
                <w:lang w:eastAsia="x-none" w:bidi="lo-LA"/>
              </w:rPr>
              <w:t xml:space="preserve">mācību satura recenzents, kuram ir pedagoģiskā pieredze </w:t>
            </w:r>
            <w:r w:rsidR="00E540E5">
              <w:rPr>
                <w:lang w:eastAsia="x-none" w:bidi="lo-LA"/>
              </w:rPr>
              <w:t>vai</w:t>
            </w:r>
            <w:r w:rsidR="00373CA8">
              <w:rPr>
                <w:lang w:eastAsia="x-none" w:bidi="lo-LA"/>
              </w:rPr>
              <w:t xml:space="preserve"> </w:t>
            </w:r>
            <w:r w:rsidR="00B6587B" w:rsidRPr="00B6587B">
              <w:rPr>
                <w:lang w:eastAsia="x-none" w:bidi="lo-LA"/>
              </w:rPr>
              <w:t>pieredze valsts vispārējās izglītības saturam atbilstošu mācību un metodisko līdzekļu izstrādē vai izvērtēšanā pēdējo piecu gadu laikā</w:t>
            </w:r>
            <w:r w:rsidR="00763A03">
              <w:rPr>
                <w:lang w:eastAsia="x-none" w:bidi="lo-LA"/>
              </w:rPr>
              <w:t>)</w:t>
            </w:r>
            <w:r w:rsidR="00A839B4" w:rsidRPr="00F330F5">
              <w:rPr>
                <w:lang w:eastAsia="x-none" w:bidi="lo-LA"/>
              </w:rPr>
              <w:t>.</w:t>
            </w:r>
            <w:r w:rsidR="0060316D">
              <w:rPr>
                <w:lang w:eastAsia="x-none" w:bidi="lo-LA"/>
              </w:rPr>
              <w:t xml:space="preserve"> Finansējums saņēmējs nodrošina </w:t>
            </w:r>
            <w:r w:rsidR="003B6255">
              <w:rPr>
                <w:lang w:eastAsia="x-none" w:bidi="lo-LA"/>
              </w:rPr>
              <w:t xml:space="preserve">tādu </w:t>
            </w:r>
            <w:r w:rsidR="0060316D">
              <w:rPr>
                <w:lang w:eastAsia="x-none" w:bidi="lo-LA"/>
              </w:rPr>
              <w:t xml:space="preserve">recenzentu </w:t>
            </w:r>
            <w:r w:rsidR="003B6255">
              <w:rPr>
                <w:lang w:eastAsia="x-none" w:bidi="lo-LA"/>
              </w:rPr>
              <w:t xml:space="preserve">piesaisti, kas </w:t>
            </w:r>
            <w:r w:rsidR="0060316D">
              <w:rPr>
                <w:lang w:eastAsia="x-none" w:bidi="lo-LA"/>
              </w:rPr>
              <w:t>atbilst noteikumu projektā definētajām prasībām.</w:t>
            </w:r>
            <w:r w:rsidR="00A839B4" w:rsidRPr="00F330F5">
              <w:rPr>
                <w:lang w:eastAsia="x-none" w:bidi="lo-LA"/>
              </w:rPr>
              <w:t xml:space="preserve"> </w:t>
            </w:r>
            <w:r w:rsidR="0060316D">
              <w:rPr>
                <w:lang w:eastAsia="x-none" w:bidi="lo-LA"/>
              </w:rPr>
              <w:t>Recenzenti</w:t>
            </w:r>
            <w:r w:rsidR="0060316D" w:rsidRPr="00F330F5">
              <w:rPr>
                <w:lang w:eastAsia="x-none" w:bidi="lo-LA"/>
              </w:rPr>
              <w:t xml:space="preserve"> </w:t>
            </w:r>
            <w:r w:rsidR="0060316D">
              <w:rPr>
                <w:lang w:eastAsia="x-none" w:bidi="lo-LA"/>
              </w:rPr>
              <w:t>tiek</w:t>
            </w:r>
            <w:r w:rsidR="0060316D" w:rsidRPr="00F330F5">
              <w:rPr>
                <w:lang w:eastAsia="x-none" w:bidi="lo-LA"/>
              </w:rPr>
              <w:t xml:space="preserve"> </w:t>
            </w:r>
            <w:r w:rsidR="00A839B4" w:rsidRPr="00F330F5">
              <w:rPr>
                <w:lang w:eastAsia="x-none" w:bidi="lo-LA"/>
              </w:rPr>
              <w:t>piesaistīt</w:t>
            </w:r>
            <w:r w:rsidR="0060316D">
              <w:rPr>
                <w:lang w:eastAsia="x-none" w:bidi="lo-LA"/>
              </w:rPr>
              <w:t>i</w:t>
            </w:r>
            <w:r w:rsidR="00A839B4" w:rsidRPr="00F330F5">
              <w:rPr>
                <w:lang w:eastAsia="x-none" w:bidi="lo-LA"/>
              </w:rPr>
              <w:t xml:space="preserve"> pirms digitālā </w:t>
            </w:r>
            <w:r w:rsidR="00DE6B2E">
              <w:rPr>
                <w:lang w:eastAsia="x-none" w:bidi="lo-LA"/>
              </w:rPr>
              <w:t xml:space="preserve">mācību un metodiskā </w:t>
            </w:r>
            <w:r w:rsidR="00A839B4" w:rsidRPr="00F330F5">
              <w:rPr>
                <w:lang w:eastAsia="x-none" w:bidi="lo-LA"/>
              </w:rPr>
              <w:t xml:space="preserve">līdzekļa aprobācijas izglītības iestādēs. Lai </w:t>
            </w:r>
            <w:r w:rsidR="00DE6B2E">
              <w:rPr>
                <w:lang w:eastAsia="x-none" w:bidi="lo-LA"/>
              </w:rPr>
              <w:t>novērstu</w:t>
            </w:r>
            <w:r w:rsidR="00DE6B2E" w:rsidRPr="00F330F5">
              <w:rPr>
                <w:lang w:eastAsia="x-none" w:bidi="lo-LA"/>
              </w:rPr>
              <w:t xml:space="preserve"> </w:t>
            </w:r>
            <w:r w:rsidR="00A839B4" w:rsidRPr="00F330F5">
              <w:rPr>
                <w:lang w:eastAsia="x-none" w:bidi="lo-LA"/>
              </w:rPr>
              <w:t xml:space="preserve">interešu konflikta </w:t>
            </w:r>
            <w:r w:rsidR="00DE6B2E">
              <w:rPr>
                <w:lang w:eastAsia="x-none" w:bidi="lo-LA"/>
              </w:rPr>
              <w:t>risku</w:t>
            </w:r>
            <w:r w:rsidR="00A839B4" w:rsidRPr="00F330F5">
              <w:rPr>
                <w:lang w:eastAsia="x-none" w:bidi="lo-LA"/>
              </w:rPr>
              <w:t xml:space="preserve">, </w:t>
            </w:r>
            <w:r w:rsidR="00794A57">
              <w:rPr>
                <w:lang w:eastAsia="x-none" w:bidi="lo-LA"/>
              </w:rPr>
              <w:t>kā</w:t>
            </w:r>
            <w:r w:rsidR="00794A57" w:rsidRPr="00F330F5">
              <w:rPr>
                <w:lang w:eastAsia="x-none" w:bidi="lo-LA"/>
              </w:rPr>
              <w:t xml:space="preserve"> </w:t>
            </w:r>
            <w:r w:rsidR="0060316D">
              <w:rPr>
                <w:lang w:eastAsia="x-none" w:bidi="lo-LA"/>
              </w:rPr>
              <w:t>recenzentu</w:t>
            </w:r>
            <w:r w:rsidR="0060316D" w:rsidRPr="00F330F5">
              <w:rPr>
                <w:lang w:eastAsia="x-none" w:bidi="lo-LA"/>
              </w:rPr>
              <w:t xml:space="preserve"> </w:t>
            </w:r>
            <w:r w:rsidR="00A839B4" w:rsidRPr="00F330F5">
              <w:rPr>
                <w:lang w:eastAsia="x-none" w:bidi="lo-LA"/>
              </w:rPr>
              <w:t xml:space="preserve">nevar piesaistīt personu, kas piedalījās </w:t>
            </w:r>
            <w:r w:rsidR="0060316D">
              <w:rPr>
                <w:lang w:eastAsia="x-none" w:bidi="lo-LA"/>
              </w:rPr>
              <w:t>šī</w:t>
            </w:r>
            <w:r w:rsidR="0060316D" w:rsidRPr="00F330F5">
              <w:rPr>
                <w:lang w:eastAsia="x-none" w:bidi="lo-LA"/>
              </w:rPr>
              <w:t xml:space="preserve"> </w:t>
            </w:r>
            <w:r w:rsidR="00A839B4" w:rsidRPr="00F330F5">
              <w:rPr>
                <w:lang w:eastAsia="x-none" w:bidi="lo-LA"/>
              </w:rPr>
              <w:t xml:space="preserve">digitālā </w:t>
            </w:r>
            <w:r w:rsidR="00480538" w:rsidRPr="00F330F5">
              <w:rPr>
                <w:lang w:eastAsia="x-none" w:bidi="lo-LA"/>
              </w:rPr>
              <w:t xml:space="preserve">mācību vai metodiskā </w:t>
            </w:r>
            <w:r w:rsidR="00A839B4" w:rsidRPr="00F330F5">
              <w:rPr>
                <w:lang w:eastAsia="x-none" w:bidi="lo-LA"/>
              </w:rPr>
              <w:t>līdzekļa izstrādē.</w:t>
            </w:r>
          </w:p>
          <w:p w14:paraId="03C7A080" w14:textId="2508E584" w:rsidR="00324AE5" w:rsidRPr="00853BB7" w:rsidRDefault="00324AE5" w:rsidP="00CD2D65">
            <w:pPr>
              <w:jc w:val="both"/>
            </w:pPr>
            <w:r w:rsidRPr="00F330F5">
              <w:rPr>
                <w:lang w:eastAsia="x-none" w:bidi="lo-LA"/>
              </w:rPr>
              <w:t xml:space="preserve">Balstoties uz sadarbības partneru aprobāciju ziņojumiem un </w:t>
            </w:r>
            <w:r w:rsidR="0060316D">
              <w:rPr>
                <w:lang w:eastAsia="x-none" w:bidi="lo-LA"/>
              </w:rPr>
              <w:t>recenzentu</w:t>
            </w:r>
            <w:r w:rsidR="0060316D" w:rsidRPr="00F330F5">
              <w:rPr>
                <w:lang w:eastAsia="x-none" w:bidi="lo-LA"/>
              </w:rPr>
              <w:t xml:space="preserve"> </w:t>
            </w:r>
            <w:r w:rsidRPr="00F330F5">
              <w:rPr>
                <w:lang w:eastAsia="x-none" w:bidi="lo-LA"/>
              </w:rPr>
              <w:t>atzinum</w:t>
            </w:r>
            <w:r w:rsidR="0060316D">
              <w:rPr>
                <w:lang w:eastAsia="x-none" w:bidi="lo-LA"/>
              </w:rPr>
              <w:t>iem</w:t>
            </w:r>
            <w:r w:rsidRPr="00F330F5">
              <w:rPr>
                <w:lang w:eastAsia="x-none" w:bidi="lo-LA"/>
              </w:rPr>
              <w:t xml:space="preserve">, finansējuma saņēmējs pilnveido izstrādāto digitālo mācību </w:t>
            </w:r>
            <w:r w:rsidR="00B34D26" w:rsidRPr="00F330F5">
              <w:rPr>
                <w:lang w:eastAsia="x-none" w:bidi="lo-LA"/>
              </w:rPr>
              <w:t>un</w:t>
            </w:r>
            <w:r w:rsidR="00480538" w:rsidRPr="00F330F5">
              <w:rPr>
                <w:lang w:eastAsia="x-none" w:bidi="lo-LA"/>
              </w:rPr>
              <w:t xml:space="preserve"> metodisko līdzekli</w:t>
            </w:r>
            <w:r w:rsidRPr="00F330F5">
              <w:rPr>
                <w:lang w:eastAsia="x-none" w:bidi="lo-LA"/>
              </w:rPr>
              <w:t xml:space="preserve">. </w:t>
            </w:r>
          </w:p>
          <w:p w14:paraId="6AA1EAE8" w14:textId="2E06226B" w:rsidR="00D50A1B" w:rsidRPr="00F330F5" w:rsidRDefault="00D50A1B" w:rsidP="00853BB7">
            <w:pPr>
              <w:ind w:firstLine="720"/>
              <w:jc w:val="both"/>
            </w:pPr>
            <w:r w:rsidRPr="00853BB7">
              <w:t>8.3.1.2. pasākuma kopējais publiskais finansējums</w:t>
            </w:r>
            <w:r w:rsidR="005D3A2D" w:rsidRPr="00853BB7">
              <w:t xml:space="preserve"> (ESF)</w:t>
            </w:r>
            <w:r w:rsidRPr="00853BB7">
              <w:t xml:space="preserve"> ir </w:t>
            </w:r>
            <w:r w:rsidR="005D3A2D" w:rsidRPr="000A39CD">
              <w:t>3 588 009</w:t>
            </w:r>
            <w:r w:rsidRPr="000A39CD">
              <w:t xml:space="preserve"> </w:t>
            </w:r>
            <w:r w:rsidRPr="00955CB7">
              <w:rPr>
                <w:i/>
              </w:rPr>
              <w:t>euro</w:t>
            </w:r>
            <w:r w:rsidRPr="00853BB7">
              <w:t>. Atbalstu sniedz ar saimniecisku darbību saistītu projektu īstenošanai, ievērojot ar valsts atbalstu saistīto normatīvo aktu regulējumu, tai skaitā Komisijas 2013.</w:t>
            </w:r>
            <w:r w:rsidRPr="00F330F5">
              <w:t xml:space="preserve"> gada 18. decembra Regula (ES) </w:t>
            </w:r>
            <w:r w:rsidRPr="00F330F5">
              <w:lastRenderedPageBreak/>
              <w:t xml:space="preserve">Nr. 1407/2013 par Līguma par Eiropas Savienības darbību 107. un 108. panta piemērošanu </w:t>
            </w:r>
            <w:r w:rsidRPr="00F330F5">
              <w:rPr>
                <w:i/>
              </w:rPr>
              <w:t>de minimis</w:t>
            </w:r>
            <w:r w:rsidRPr="00F330F5">
              <w:t xml:space="preserve"> atbalstam (Eiropas Savienības Oficiālais Vēstnesis, 2013. gada 24. decembris, Nr. L 352/1). </w:t>
            </w:r>
            <w:r w:rsidR="00B34D26" w:rsidRPr="00F330F5">
              <w:t>A</w:t>
            </w:r>
            <w:r w:rsidRPr="00F330F5">
              <w:t xml:space="preserve">tbalsts netiks sniegts grūtībās </w:t>
            </w:r>
            <w:r w:rsidR="00B34D26" w:rsidRPr="00F330F5">
              <w:t xml:space="preserve">nonākušiem </w:t>
            </w:r>
            <w:r w:rsidRPr="00F330F5">
              <w:t>komersantiem.</w:t>
            </w:r>
          </w:p>
          <w:p w14:paraId="60BDAF8E" w14:textId="5ACEF246" w:rsidR="00D50A1B" w:rsidRPr="0050764D" w:rsidRDefault="00763A03" w:rsidP="00EF456B">
            <w:pPr>
              <w:ind w:firstLine="720"/>
              <w:jc w:val="both"/>
            </w:pPr>
            <w:r>
              <w:t>P</w:t>
            </w:r>
            <w:r w:rsidR="00EF456B" w:rsidRPr="0050764D">
              <w:t>rojekta</w:t>
            </w:r>
            <w:r>
              <w:t xml:space="preserve"> kopējās attiecināmās</w:t>
            </w:r>
            <w:r w:rsidR="00EF456B" w:rsidRPr="0050764D">
              <w:t xml:space="preserve"> minimālā</w:t>
            </w:r>
            <w:r>
              <w:t>s</w:t>
            </w:r>
            <w:r w:rsidR="00EF456B" w:rsidRPr="0050764D">
              <w:t xml:space="preserve"> </w:t>
            </w:r>
            <w:r>
              <w:t>izmaksas</w:t>
            </w:r>
            <w:r w:rsidR="00EF456B" w:rsidRPr="0050764D">
              <w:t xml:space="preserve"> ir 30 000 </w:t>
            </w:r>
            <w:r w:rsidR="00EF456B" w:rsidRPr="0050764D">
              <w:rPr>
                <w:i/>
              </w:rPr>
              <w:t>euro</w:t>
            </w:r>
            <w:r w:rsidR="00EF456B" w:rsidRPr="0050764D">
              <w:t xml:space="preserve">. </w:t>
            </w:r>
            <w:r w:rsidR="00D50A1B" w:rsidRPr="003A6A0F">
              <w:t xml:space="preserve">Atbalsta piešķiršanas nosacījumi paredz, ka </w:t>
            </w:r>
            <w:r w:rsidR="00D50A1B" w:rsidRPr="003E18D5">
              <w:rPr>
                <w:i/>
              </w:rPr>
              <w:t>de minimis</w:t>
            </w:r>
            <w:r w:rsidR="00D50A1B" w:rsidRPr="003E18D5">
              <w:t xml:space="preserve"> atbalsts, ko piešķir vienam vienotam uzņēmumam, jebkurā triju fiskālo gadu periodā (</w:t>
            </w:r>
            <w:r w:rsidR="00D50A1B" w:rsidRPr="0050764D">
              <w:t>ar to saprotot – kārtējo un pēdējos divus fiskālos gadus</w:t>
            </w:r>
            <w:r w:rsidR="00D50A1B" w:rsidRPr="003A6A0F">
              <w:t xml:space="preserve">) nepārsniedz 200 000 </w:t>
            </w:r>
            <w:r w:rsidR="00D50A1B" w:rsidRPr="003E18D5">
              <w:rPr>
                <w:i/>
              </w:rPr>
              <w:t>euro</w:t>
            </w:r>
            <w:r w:rsidR="00D50A1B" w:rsidRPr="003E18D5">
              <w:t xml:space="preserve">. </w:t>
            </w:r>
            <w:r w:rsidR="00D50A1B" w:rsidRPr="0050764D">
              <w:t xml:space="preserve">Saskaņā ar Komisijas (ES) regulas Nr.1407/2013 (2013.gada 18.decembris) par Līguma par Eiropas Savienības darbību 107. un 108.panta piemērošanu 5.panta 1.punktu </w:t>
            </w:r>
            <w:r w:rsidR="00D50A1B" w:rsidRPr="0050764D">
              <w:rPr>
                <w:i/>
                <w:iCs/>
              </w:rPr>
              <w:t xml:space="preserve">de minimis </w:t>
            </w:r>
            <w:r w:rsidR="00D50A1B" w:rsidRPr="0050764D">
              <w:t xml:space="preserve">atbalstu, ko piešķir saskaņā ar šo regulu, var kumulēt ar citu </w:t>
            </w:r>
            <w:r w:rsidR="00D50A1B" w:rsidRPr="0050764D">
              <w:rPr>
                <w:i/>
                <w:iCs/>
              </w:rPr>
              <w:t xml:space="preserve">de minimis </w:t>
            </w:r>
            <w:r w:rsidR="00D50A1B" w:rsidRPr="0050764D">
              <w:t xml:space="preserve">atbalstu, kas sniegts ar šo vai citu </w:t>
            </w:r>
            <w:r w:rsidR="00D50A1B" w:rsidRPr="0050764D">
              <w:rPr>
                <w:i/>
                <w:iCs/>
              </w:rPr>
              <w:t xml:space="preserve">de minimis </w:t>
            </w:r>
            <w:r w:rsidR="00D50A1B" w:rsidRPr="0050764D">
              <w:t xml:space="preserve">atbalsta regulējumu, nepārsniedzot robežlielumu 200 000 </w:t>
            </w:r>
            <w:r w:rsidR="00D50A1B" w:rsidRPr="0050764D">
              <w:rPr>
                <w:i/>
                <w:iCs/>
              </w:rPr>
              <w:t xml:space="preserve">euro. </w:t>
            </w:r>
            <w:r w:rsidR="00D50A1B" w:rsidRPr="0050764D">
              <w:rPr>
                <w:iCs/>
              </w:rPr>
              <w:t xml:space="preserve">Saskaņā ar MK </w:t>
            </w:r>
            <w:r w:rsidR="003A6A0F" w:rsidRPr="0050764D">
              <w:rPr>
                <w:iCs/>
              </w:rPr>
              <w:t xml:space="preserve">2010.gada 10.augusta </w:t>
            </w:r>
            <w:r w:rsidR="00D50A1B" w:rsidRPr="0050764D">
              <w:rPr>
                <w:iCs/>
              </w:rPr>
              <w:t xml:space="preserve">noteikumiem Nr.740 “Kārtība, kādā ziņo par Eiropas Savienības struktūrfondu un Kohēzijas fonda ieviešanā konstatētajām neatbilstībām, pieņem lēmumu par piešķirtā finansējuma izlietojumu un atgūst neatbilstošos izdevumus” projekta iesniedzējs projekta iesniegumam pievieno </w:t>
            </w:r>
            <w:r w:rsidR="00D50A1B" w:rsidRPr="0050764D">
              <w:rPr>
                <w:i/>
                <w:iCs/>
              </w:rPr>
              <w:t xml:space="preserve">de minimis </w:t>
            </w:r>
            <w:r w:rsidR="00D50A1B" w:rsidRPr="0050764D">
              <w:t xml:space="preserve">atbalsta veidlapu, lai apliecinātu, ka netiek pārsniegts maksimālais </w:t>
            </w:r>
            <w:r w:rsidR="00D50A1B" w:rsidRPr="0050764D">
              <w:rPr>
                <w:i/>
                <w:iCs/>
              </w:rPr>
              <w:t xml:space="preserve">de minimis </w:t>
            </w:r>
            <w:r w:rsidR="00D50A1B" w:rsidRPr="0050764D">
              <w:t xml:space="preserve">atbalsta robežlielums triju fiskālo gadu periodā viena vienota uzņēmuma līmenī. Atbalsta summa tiek skatīta uz lēmuma pieņemšanas brīdi, nevis </w:t>
            </w:r>
            <w:r w:rsidR="003E18D5">
              <w:t>faktiskās</w:t>
            </w:r>
            <w:r w:rsidR="003E18D5" w:rsidRPr="0050764D">
              <w:t xml:space="preserve"> </w:t>
            </w:r>
            <w:r w:rsidR="00D50A1B" w:rsidRPr="0050764D">
              <w:t>izmaksas brīdi.</w:t>
            </w:r>
          </w:p>
          <w:p w14:paraId="3946F78F" w14:textId="68ADE6ED" w:rsidR="00817B68" w:rsidRPr="00F330F5" w:rsidRDefault="00B673BD" w:rsidP="00D50A1B">
            <w:pPr>
              <w:ind w:firstLine="720"/>
              <w:jc w:val="both"/>
              <w:rPr>
                <w:bCs/>
                <w:spacing w:val="-2"/>
              </w:rPr>
            </w:pPr>
            <w:r w:rsidRPr="00F330F5">
              <w:rPr>
                <w:bCs/>
                <w:spacing w:val="-2"/>
              </w:rPr>
              <w:t>Finansējuma saņēmējs projektu īsteno saskaņā ar noslēgto vienošanos vai līgumu par projektu īstenošanu, bet ne ilgāk kā līdz 2023. gada 30.novembrim</w:t>
            </w:r>
            <w:r w:rsidR="005503D8" w:rsidRPr="00F330F5">
              <w:rPr>
                <w:bCs/>
                <w:spacing w:val="-2"/>
              </w:rPr>
              <w:t xml:space="preserve">. </w:t>
            </w:r>
            <w:r w:rsidR="008C5980" w:rsidRPr="008C5980">
              <w:rPr>
                <w:bCs/>
                <w:spacing w:val="-2"/>
              </w:rPr>
              <w:t xml:space="preserve">Pēc digitālā mācību un metodiskā līdzekļa izstrādes pabeigšanas finansējuma saņēmējs iesniedz informāciju par izstrādāto digitālo mācību un metodisko līdzekli Valsts izglītības un satura centram tās tālākai publiskošanai digitālo </w:t>
            </w:r>
            <w:r w:rsidR="00DA3309">
              <w:rPr>
                <w:bCs/>
                <w:spacing w:val="-2"/>
              </w:rPr>
              <w:t xml:space="preserve">mācību </w:t>
            </w:r>
            <w:r w:rsidR="008C5980" w:rsidRPr="008C5980">
              <w:rPr>
                <w:bCs/>
                <w:spacing w:val="-2"/>
              </w:rPr>
              <w:t xml:space="preserve">resursu krātuvē.  </w:t>
            </w:r>
            <w:r w:rsidR="00E45D6B" w:rsidRPr="00F330F5">
              <w:rPr>
                <w:bCs/>
                <w:spacing w:val="-2"/>
              </w:rPr>
              <w:t xml:space="preserve">  </w:t>
            </w:r>
          </w:p>
          <w:p w14:paraId="100BFC79" w14:textId="34370498" w:rsidR="00324AE5" w:rsidRPr="00F330F5" w:rsidRDefault="00B34D26" w:rsidP="00324AE5">
            <w:pPr>
              <w:ind w:firstLine="720"/>
              <w:jc w:val="both"/>
              <w:rPr>
                <w:sz w:val="23"/>
                <w:szCs w:val="23"/>
              </w:rPr>
            </w:pPr>
            <w:r w:rsidRPr="00F330F5">
              <w:rPr>
                <w:bCs/>
                <w:spacing w:val="-2"/>
              </w:rPr>
              <w:t>Noteikumu projektā</w:t>
            </w:r>
            <w:r w:rsidR="005305A4" w:rsidRPr="00F330F5">
              <w:rPr>
                <w:bCs/>
                <w:spacing w:val="-2"/>
              </w:rPr>
              <w:t xml:space="preserve"> ir ietverts nosacījums finansējuma saņēmējam, kas paredz projekta ilgtspējas nodrošināšanu </w:t>
            </w:r>
            <w:r w:rsidR="003E18D5">
              <w:rPr>
                <w:bCs/>
                <w:spacing w:val="-2"/>
              </w:rPr>
              <w:t>trīs</w:t>
            </w:r>
            <w:r w:rsidR="003E18D5" w:rsidRPr="00F330F5">
              <w:rPr>
                <w:bCs/>
                <w:spacing w:val="-2"/>
              </w:rPr>
              <w:t xml:space="preserve"> </w:t>
            </w:r>
            <w:r w:rsidR="005305A4" w:rsidRPr="00F330F5">
              <w:rPr>
                <w:bCs/>
                <w:spacing w:val="-2"/>
              </w:rPr>
              <w:t xml:space="preserve">gadu laikā pēc projekta </w:t>
            </w:r>
            <w:r w:rsidR="007A742F" w:rsidRPr="00F330F5">
              <w:rPr>
                <w:bCs/>
                <w:spacing w:val="-2"/>
              </w:rPr>
              <w:t>pabeigšanas</w:t>
            </w:r>
            <w:r w:rsidR="005305A4" w:rsidRPr="00F330F5">
              <w:rPr>
                <w:bCs/>
                <w:spacing w:val="-2"/>
              </w:rPr>
              <w:t>, veicot digitālā mācību un metodiskā līdzekļa atjaunošanu un izplatīšanu.</w:t>
            </w:r>
          </w:p>
          <w:p w14:paraId="28BB117A" w14:textId="36E1791C" w:rsidR="006651AB" w:rsidRPr="00F330F5" w:rsidRDefault="00E749A8" w:rsidP="00324AE5">
            <w:pPr>
              <w:ind w:firstLine="720"/>
              <w:jc w:val="both"/>
              <w:rPr>
                <w:sz w:val="23"/>
                <w:szCs w:val="23"/>
              </w:rPr>
            </w:pPr>
            <w:r w:rsidRPr="00F330F5">
              <w:rPr>
                <w:bCs/>
              </w:rPr>
              <w:t>8.3</w:t>
            </w:r>
            <w:r w:rsidR="006651AB" w:rsidRPr="00F330F5">
              <w:rPr>
                <w:bCs/>
              </w:rPr>
              <w:t>.1.</w:t>
            </w:r>
            <w:r w:rsidRPr="00F330F5">
              <w:rPr>
                <w:bCs/>
              </w:rPr>
              <w:t>2.</w:t>
            </w:r>
            <w:r w:rsidR="006651AB" w:rsidRPr="00F330F5">
              <w:rPr>
                <w:bCs/>
              </w:rPr>
              <w:t xml:space="preserve">pasākumam </w:t>
            </w:r>
            <w:r w:rsidR="00E943FE" w:rsidRPr="00F330F5">
              <w:rPr>
                <w:bCs/>
              </w:rPr>
              <w:t>ir netieša pozitīva ietekme uz h</w:t>
            </w:r>
            <w:r w:rsidR="006651AB" w:rsidRPr="00F330F5">
              <w:rPr>
                <w:bCs/>
              </w:rPr>
              <w:t xml:space="preserve">orizontālo </w:t>
            </w:r>
            <w:r w:rsidR="00E943FE" w:rsidRPr="00F330F5">
              <w:rPr>
                <w:bCs/>
              </w:rPr>
              <w:t>prioritāti</w:t>
            </w:r>
            <w:r w:rsidR="006651AB" w:rsidRPr="00F330F5">
              <w:rPr>
                <w:bCs/>
              </w:rPr>
              <w:t xml:space="preserve"> „Vienlī</w:t>
            </w:r>
            <w:r w:rsidR="00467C62" w:rsidRPr="00F330F5">
              <w:rPr>
                <w:bCs/>
              </w:rPr>
              <w:t>dzīgas iespējas” un tā ietvaros tiks uzkrāti dati par:</w:t>
            </w:r>
          </w:p>
          <w:p w14:paraId="5ACAA893" w14:textId="4A9E033E" w:rsidR="00467C62" w:rsidRPr="00F330F5" w:rsidRDefault="00467C62" w:rsidP="00467C62">
            <w:pPr>
              <w:jc w:val="both"/>
              <w:rPr>
                <w:bCs/>
              </w:rPr>
            </w:pPr>
            <w:r w:rsidRPr="00F330F5">
              <w:rPr>
                <w:bCs/>
              </w:rPr>
              <w:t xml:space="preserve">1. izstrādāto digitālo mācību un metodisko līdzekļu </w:t>
            </w:r>
            <w:r w:rsidR="007A742F" w:rsidRPr="00F330F5">
              <w:rPr>
                <w:bCs/>
              </w:rPr>
              <w:t>skaitu</w:t>
            </w:r>
            <w:r w:rsidRPr="00F330F5">
              <w:rPr>
                <w:bCs/>
              </w:rPr>
              <w:t>, kuros ir integrēti jautājumi par vienlīdzīgām iespējām neatkarīgi no dzimuma, vecuma, invaliditātes vai etniskās piederības;</w:t>
            </w:r>
          </w:p>
          <w:p w14:paraId="2BB20378" w14:textId="3DB802DA" w:rsidR="00467C62" w:rsidRPr="00F330F5" w:rsidRDefault="00467C62" w:rsidP="00467C62">
            <w:pPr>
              <w:jc w:val="both"/>
              <w:rPr>
                <w:bCs/>
              </w:rPr>
            </w:pPr>
            <w:r w:rsidRPr="00F330F5">
              <w:rPr>
                <w:bCs/>
              </w:rPr>
              <w:t xml:space="preserve">2. digitālo mācību un metodisko līdzekļu </w:t>
            </w:r>
            <w:r w:rsidR="003E18D5" w:rsidRPr="00F330F5">
              <w:rPr>
                <w:bCs/>
              </w:rPr>
              <w:t>skait</w:t>
            </w:r>
            <w:r w:rsidR="003E18D5">
              <w:rPr>
                <w:bCs/>
              </w:rPr>
              <w:t>u</w:t>
            </w:r>
            <w:r w:rsidRPr="00F330F5">
              <w:rPr>
                <w:bCs/>
              </w:rPr>
              <w:t xml:space="preserve">, </w:t>
            </w:r>
            <w:r w:rsidR="007A742F" w:rsidRPr="00F330F5">
              <w:rPr>
                <w:bCs/>
              </w:rPr>
              <w:t xml:space="preserve">kas </w:t>
            </w:r>
            <w:r w:rsidRPr="00F330F5">
              <w:rPr>
                <w:bCs/>
              </w:rPr>
              <w:t>izstrādāti izglītojamajiem ar speciālām vajadzībām;</w:t>
            </w:r>
          </w:p>
          <w:p w14:paraId="673BD3EE" w14:textId="5752318C" w:rsidR="00467C62" w:rsidRPr="00F330F5" w:rsidRDefault="00467C62" w:rsidP="00467C62">
            <w:pPr>
              <w:jc w:val="both"/>
              <w:rPr>
                <w:bCs/>
              </w:rPr>
            </w:pPr>
            <w:r w:rsidRPr="00F330F5">
              <w:rPr>
                <w:bCs/>
              </w:rPr>
              <w:lastRenderedPageBreak/>
              <w:t xml:space="preserve">3. digitālo mācību un metodisko līdzekļu </w:t>
            </w:r>
            <w:r w:rsidR="003E18D5" w:rsidRPr="00F330F5">
              <w:rPr>
                <w:bCs/>
              </w:rPr>
              <w:t>skait</w:t>
            </w:r>
            <w:r w:rsidR="003E18D5">
              <w:rPr>
                <w:bCs/>
              </w:rPr>
              <w:t>u</w:t>
            </w:r>
            <w:r w:rsidRPr="00F330F5">
              <w:rPr>
                <w:bCs/>
              </w:rPr>
              <w:t xml:space="preserve">, </w:t>
            </w:r>
            <w:r w:rsidR="007A742F" w:rsidRPr="00F330F5">
              <w:rPr>
                <w:bCs/>
              </w:rPr>
              <w:t xml:space="preserve">kas </w:t>
            </w:r>
            <w:r w:rsidRPr="00F330F5">
              <w:rPr>
                <w:bCs/>
              </w:rPr>
              <w:t>pielāgoti izglītojamajiem ar speciālām vajadzībām.</w:t>
            </w:r>
          </w:p>
          <w:p w14:paraId="01E1F803" w14:textId="0743A539" w:rsidR="00324AE5" w:rsidRPr="00F330F5" w:rsidRDefault="00467C62" w:rsidP="00324AE5">
            <w:pPr>
              <w:jc w:val="both"/>
              <w:rPr>
                <w:bCs/>
              </w:rPr>
            </w:pPr>
            <w:r w:rsidRPr="00F330F5">
              <w:rPr>
                <w:bCs/>
              </w:rPr>
              <w:t xml:space="preserve">Papildu punktus projektu iesniegumu vērtēšanas procesā saņems tie </w:t>
            </w:r>
            <w:r w:rsidR="003E18D5" w:rsidRPr="00F330F5">
              <w:rPr>
                <w:bCs/>
              </w:rPr>
              <w:t>projekt</w:t>
            </w:r>
            <w:r w:rsidR="003E18D5">
              <w:rPr>
                <w:bCs/>
              </w:rPr>
              <w:t>u</w:t>
            </w:r>
            <w:r w:rsidR="003E18D5" w:rsidRPr="00F330F5">
              <w:rPr>
                <w:bCs/>
              </w:rPr>
              <w:t xml:space="preserve"> </w:t>
            </w:r>
            <w:r w:rsidRPr="00F330F5">
              <w:rPr>
                <w:bCs/>
              </w:rPr>
              <w:t>iesniedzēji, kas paredzēs specifiskās darbības šī principa ieviešanai.</w:t>
            </w:r>
            <w:r w:rsidR="00324AE5" w:rsidRPr="00F330F5">
              <w:rPr>
                <w:bCs/>
              </w:rPr>
              <w:t xml:space="preserve"> </w:t>
            </w:r>
          </w:p>
          <w:p w14:paraId="27DA2796" w14:textId="4A977C6D" w:rsidR="006651AB" w:rsidRPr="00F330F5" w:rsidRDefault="00E943FE" w:rsidP="006E0718">
            <w:pPr>
              <w:ind w:firstLine="720"/>
              <w:jc w:val="both"/>
              <w:rPr>
                <w:color w:val="FF0000"/>
              </w:rPr>
            </w:pPr>
            <w:r w:rsidRPr="00F330F5">
              <w:rPr>
                <w:rFonts w:eastAsia="Calibri"/>
              </w:rPr>
              <w:t>8.3.1.2.p</w:t>
            </w:r>
            <w:r w:rsidR="00467C62" w:rsidRPr="00F330F5">
              <w:rPr>
                <w:rFonts w:eastAsia="Calibri"/>
              </w:rPr>
              <w:t>asākum</w:t>
            </w:r>
            <w:r w:rsidR="00E85794" w:rsidRPr="00F330F5">
              <w:rPr>
                <w:rFonts w:eastAsia="Calibri"/>
              </w:rPr>
              <w:t>s</w:t>
            </w:r>
            <w:r w:rsidR="00467C62" w:rsidRPr="00F330F5">
              <w:rPr>
                <w:rFonts w:eastAsia="Calibri"/>
              </w:rPr>
              <w:t xml:space="preserve"> netieš</w:t>
            </w:r>
            <w:r w:rsidR="00E85794" w:rsidRPr="00F330F5">
              <w:rPr>
                <w:rFonts w:eastAsia="Calibri"/>
              </w:rPr>
              <w:t>i</w:t>
            </w:r>
            <w:r w:rsidR="00467C62" w:rsidRPr="00F330F5">
              <w:rPr>
                <w:rFonts w:eastAsia="Calibri"/>
              </w:rPr>
              <w:t xml:space="preserve"> pozitīv</w:t>
            </w:r>
            <w:r w:rsidR="00E85794" w:rsidRPr="00F330F5">
              <w:rPr>
                <w:rFonts w:eastAsia="Calibri"/>
              </w:rPr>
              <w:t>i</w:t>
            </w:r>
            <w:r w:rsidR="00467C62" w:rsidRPr="00F330F5">
              <w:rPr>
                <w:rFonts w:eastAsia="Calibri"/>
              </w:rPr>
              <w:t xml:space="preserve"> </w:t>
            </w:r>
            <w:r w:rsidRPr="00F330F5">
              <w:rPr>
                <w:rFonts w:eastAsia="Calibri"/>
              </w:rPr>
              <w:t xml:space="preserve">ietekmē Horizontālo prioritāti “Ilgtspējīga attīstība”. </w:t>
            </w:r>
          </w:p>
        </w:tc>
      </w:tr>
      <w:tr w:rsidR="00BD5588" w:rsidRPr="00F330F5" w14:paraId="1D6AA578" w14:textId="77777777" w:rsidTr="00227CBC">
        <w:trPr>
          <w:cantSplit/>
        </w:trPr>
        <w:tc>
          <w:tcPr>
            <w:tcW w:w="311" w:type="pct"/>
            <w:hideMark/>
          </w:tcPr>
          <w:p w14:paraId="23811F56" w14:textId="54F441F0" w:rsidR="00BD5588" w:rsidRPr="00F330F5" w:rsidRDefault="00BD5588" w:rsidP="00227CBC">
            <w:pPr>
              <w:jc w:val="center"/>
            </w:pPr>
            <w:r w:rsidRPr="00F330F5">
              <w:lastRenderedPageBreak/>
              <w:t>3.</w:t>
            </w:r>
          </w:p>
        </w:tc>
        <w:tc>
          <w:tcPr>
            <w:tcW w:w="1479" w:type="pct"/>
            <w:hideMark/>
          </w:tcPr>
          <w:p w14:paraId="2B9BDA52" w14:textId="77777777" w:rsidR="00BD5588" w:rsidRPr="00F330F5" w:rsidRDefault="00BD5588" w:rsidP="00227CBC">
            <w:r w:rsidRPr="00F330F5">
              <w:t>Projekta izstrādē iesaistītās institūcijas un publiskas personas kapitālsabiedrības</w:t>
            </w:r>
          </w:p>
        </w:tc>
        <w:tc>
          <w:tcPr>
            <w:tcW w:w="3210" w:type="pct"/>
            <w:hideMark/>
          </w:tcPr>
          <w:p w14:paraId="1513387C" w14:textId="571DBCC7" w:rsidR="00BD5588" w:rsidRPr="00F330F5" w:rsidRDefault="00147D6A" w:rsidP="00147D6A">
            <w:r w:rsidRPr="00F330F5">
              <w:t>N</w:t>
            </w:r>
            <w:r w:rsidR="002F66FF" w:rsidRPr="00F330F5">
              <w:t>oteikumu projekta izstrād</w:t>
            </w:r>
            <w:r w:rsidRPr="00F330F5">
              <w:t xml:space="preserve">ē </w:t>
            </w:r>
            <w:r w:rsidR="002F66FF" w:rsidRPr="00F330F5">
              <w:t>iesaistītas ES fondu vadībā iesaistītās iestādes un sociālie partneri.</w:t>
            </w:r>
          </w:p>
        </w:tc>
      </w:tr>
      <w:tr w:rsidR="00BD5588" w:rsidRPr="00F330F5" w14:paraId="732DF34E" w14:textId="77777777" w:rsidTr="00CD2D65">
        <w:tc>
          <w:tcPr>
            <w:tcW w:w="311" w:type="pct"/>
            <w:hideMark/>
          </w:tcPr>
          <w:p w14:paraId="1F5ABDD1" w14:textId="77777777" w:rsidR="00BD5588" w:rsidRPr="00F330F5" w:rsidRDefault="00BD5588" w:rsidP="00227CBC">
            <w:pPr>
              <w:jc w:val="center"/>
            </w:pPr>
            <w:r w:rsidRPr="00F330F5">
              <w:t>4.</w:t>
            </w:r>
          </w:p>
        </w:tc>
        <w:tc>
          <w:tcPr>
            <w:tcW w:w="1479" w:type="pct"/>
            <w:hideMark/>
          </w:tcPr>
          <w:p w14:paraId="7730D0DE" w14:textId="77777777" w:rsidR="00BD5588" w:rsidRPr="00F330F5" w:rsidRDefault="00BD5588" w:rsidP="00227CBC">
            <w:r w:rsidRPr="00F330F5">
              <w:t>Cita informācija</w:t>
            </w:r>
          </w:p>
        </w:tc>
        <w:tc>
          <w:tcPr>
            <w:tcW w:w="3210" w:type="pct"/>
            <w:hideMark/>
          </w:tcPr>
          <w:p w14:paraId="26C9BB9A" w14:textId="4A199E29" w:rsidR="008220F4" w:rsidRPr="00F330F5" w:rsidRDefault="008220F4" w:rsidP="00F330F5">
            <w:pPr>
              <w:ind w:left="57" w:right="164" w:firstLine="720"/>
              <w:jc w:val="both"/>
              <w:rPr>
                <w:szCs w:val="28"/>
              </w:rPr>
            </w:pPr>
            <w:r w:rsidRPr="00F330F5">
              <w:rPr>
                <w:szCs w:val="28"/>
              </w:rPr>
              <w:t>8.3.1.2.pasākuma projektu iesniegumu vērtēšanas kritēriji, kritēriju piemērošanas metodika un sākotnējais novērtējums izskatīti ES struktūrfondu un Kohēzijas fonda 2014.–2020. gada plānošanas perioda Izglītības, prasmju un mūžizglītības prioritārā virziena apakškomitejas (turpmāk – AK) 2018. gada 25.janvāra sēdē</w:t>
            </w:r>
            <w:r w:rsidRPr="00F330F5">
              <w:rPr>
                <w:rStyle w:val="FootnoteReference"/>
                <w:szCs w:val="28"/>
              </w:rPr>
              <w:footnoteReference w:id="1"/>
            </w:r>
            <w:r w:rsidRPr="00F330F5">
              <w:rPr>
                <w:szCs w:val="28"/>
              </w:rPr>
              <w:t xml:space="preserve"> un pēc saskaņošanas ar AK dalībniekiem tiks virzīti apstiprināšanai ES st</w:t>
            </w:r>
            <w:r w:rsidR="004B63A9" w:rsidRPr="00F330F5">
              <w:rPr>
                <w:szCs w:val="28"/>
              </w:rPr>
              <w:t>ruktūrfondu un Kohēzijas fonda u</w:t>
            </w:r>
            <w:r w:rsidRPr="00F330F5">
              <w:rPr>
                <w:szCs w:val="28"/>
              </w:rPr>
              <w:t>zraudzības komitejā.</w:t>
            </w:r>
          </w:p>
          <w:p w14:paraId="326BF8A0" w14:textId="634183D3" w:rsidR="00BD5588" w:rsidRPr="00F330F5" w:rsidRDefault="008220F4" w:rsidP="00001258">
            <w:pPr>
              <w:ind w:left="57" w:right="164" w:firstLine="720"/>
              <w:jc w:val="both"/>
              <w:rPr>
                <w:szCs w:val="28"/>
              </w:rPr>
            </w:pPr>
            <w:r w:rsidRPr="00F330F5">
              <w:rPr>
                <w:szCs w:val="28"/>
              </w:rPr>
              <w:t xml:space="preserve">Plānots, ka sadarbības iestāde </w:t>
            </w:r>
            <w:r w:rsidR="004B63A9" w:rsidRPr="00F330F5">
              <w:rPr>
                <w:szCs w:val="28"/>
              </w:rPr>
              <w:t>8.3.1.2.pasākuma</w:t>
            </w:r>
            <w:r w:rsidRPr="00F330F5">
              <w:rPr>
                <w:szCs w:val="28"/>
              </w:rPr>
              <w:t xml:space="preserve"> projektu iesniegumu atbilstības</w:t>
            </w:r>
            <w:r w:rsidR="004B63A9" w:rsidRPr="00F330F5">
              <w:rPr>
                <w:szCs w:val="28"/>
              </w:rPr>
              <w:t xml:space="preserve"> atsevišķajiem </w:t>
            </w:r>
            <w:r w:rsidRPr="00F330F5">
              <w:rPr>
                <w:szCs w:val="28"/>
              </w:rPr>
              <w:t xml:space="preserve">kvalitātes kritērijiem </w:t>
            </w:r>
            <w:r w:rsidR="004B63A9" w:rsidRPr="00F330F5">
              <w:rPr>
                <w:szCs w:val="28"/>
              </w:rPr>
              <w:t>novērtēšanai</w:t>
            </w:r>
            <w:r w:rsidRPr="00F330F5">
              <w:rPr>
                <w:szCs w:val="28"/>
              </w:rPr>
              <w:t xml:space="preserve"> piesaistīs ekspertu</w:t>
            </w:r>
            <w:r w:rsidR="004B63A9" w:rsidRPr="00F330F5">
              <w:rPr>
                <w:szCs w:val="28"/>
              </w:rPr>
              <w:t>s</w:t>
            </w:r>
            <w:r w:rsidR="00B6587B">
              <w:rPr>
                <w:szCs w:val="28"/>
              </w:rPr>
              <w:t>,</w:t>
            </w:r>
            <w:r w:rsidR="00001258">
              <w:rPr>
                <w:szCs w:val="28"/>
              </w:rPr>
              <w:t xml:space="preserve"> izmantojot noteikumu projektā noteiktus kritērijus ekspertu atlasei</w:t>
            </w:r>
            <w:r w:rsidR="00267A85" w:rsidRPr="00F330F5">
              <w:rPr>
                <w:szCs w:val="28"/>
              </w:rPr>
              <w:t xml:space="preserve">. </w:t>
            </w:r>
            <w:r w:rsidR="00CF2E96">
              <w:rPr>
                <w:szCs w:val="28"/>
              </w:rPr>
              <w:t>Izglītības un zinātnes ministrija sniegs Centrālās finanšu un līgumu aģentūrai vērtēšanas ekspertu sarakstu.</w:t>
            </w:r>
          </w:p>
        </w:tc>
      </w:tr>
    </w:tbl>
    <w:p w14:paraId="44DBE7BA"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F330F5" w14:paraId="4A37834C" w14:textId="77777777" w:rsidTr="006E0718">
        <w:trPr>
          <w:cantSplit/>
        </w:trPr>
        <w:tc>
          <w:tcPr>
            <w:tcW w:w="5000" w:type="pct"/>
            <w:gridSpan w:val="3"/>
            <w:vAlign w:val="center"/>
            <w:hideMark/>
          </w:tcPr>
          <w:p w14:paraId="4355B618" w14:textId="77777777" w:rsidR="00BD5588" w:rsidRPr="00F330F5" w:rsidRDefault="00BD5588" w:rsidP="00227CBC">
            <w:pPr>
              <w:jc w:val="center"/>
              <w:rPr>
                <w:b/>
                <w:bCs/>
              </w:rPr>
            </w:pPr>
            <w:r w:rsidRPr="00F330F5">
              <w:rPr>
                <w:b/>
                <w:bCs/>
              </w:rPr>
              <w:t>II. Tiesību akta projekta ietekme uz sabiedrību, tautsaimniecības attīstību un administratīvo slogu</w:t>
            </w:r>
          </w:p>
        </w:tc>
      </w:tr>
      <w:tr w:rsidR="00BD5588" w:rsidRPr="00F330F5" w14:paraId="3F05F422" w14:textId="77777777" w:rsidTr="00CD2D65">
        <w:tc>
          <w:tcPr>
            <w:tcW w:w="254" w:type="pct"/>
            <w:hideMark/>
          </w:tcPr>
          <w:p w14:paraId="4EB4C683" w14:textId="77777777" w:rsidR="00BD5588" w:rsidRPr="00F330F5" w:rsidRDefault="00BD5588" w:rsidP="00227CBC">
            <w:pPr>
              <w:jc w:val="center"/>
            </w:pPr>
            <w:r w:rsidRPr="00F330F5">
              <w:t>1.</w:t>
            </w:r>
          </w:p>
        </w:tc>
        <w:tc>
          <w:tcPr>
            <w:tcW w:w="1452" w:type="pct"/>
            <w:hideMark/>
          </w:tcPr>
          <w:p w14:paraId="08306982" w14:textId="77777777" w:rsidR="00BD5588" w:rsidRPr="00F330F5" w:rsidRDefault="00BD5588" w:rsidP="00227CBC">
            <w:r w:rsidRPr="00F330F5">
              <w:t>Sabiedrības mērķgrupas, kuras tiesiskais regulējums ietekmē vai varētu ietekmēt</w:t>
            </w:r>
          </w:p>
        </w:tc>
        <w:tc>
          <w:tcPr>
            <w:tcW w:w="3294" w:type="pct"/>
            <w:hideMark/>
          </w:tcPr>
          <w:p w14:paraId="444C5281" w14:textId="77777777" w:rsidR="00BD5588" w:rsidRPr="00F330F5" w:rsidRDefault="00AA0DF9" w:rsidP="00AA0DF9">
            <w:pPr>
              <w:jc w:val="both"/>
            </w:pPr>
            <w:r w:rsidRPr="00F330F5">
              <w:t>Tiesiskais regulējums ietekmē valsts pārvaldes iestādes, kas atbildīgas par izglītības satura izstrādi un pārraudzību; pedagogus; izglītojamos; izglītības iestādes; mācību literatūras izdevējus.</w:t>
            </w:r>
          </w:p>
        </w:tc>
      </w:tr>
      <w:tr w:rsidR="00BD5588" w:rsidRPr="00F330F5" w14:paraId="17537384" w14:textId="77777777" w:rsidTr="00CD2D65">
        <w:tc>
          <w:tcPr>
            <w:tcW w:w="254" w:type="pct"/>
            <w:hideMark/>
          </w:tcPr>
          <w:p w14:paraId="62738AF3" w14:textId="77777777" w:rsidR="00BD5588" w:rsidRPr="00F330F5" w:rsidRDefault="00BD5588" w:rsidP="00227CBC">
            <w:pPr>
              <w:jc w:val="center"/>
            </w:pPr>
            <w:r w:rsidRPr="00F330F5">
              <w:t>2.</w:t>
            </w:r>
          </w:p>
        </w:tc>
        <w:tc>
          <w:tcPr>
            <w:tcW w:w="1452" w:type="pct"/>
            <w:hideMark/>
          </w:tcPr>
          <w:p w14:paraId="05A67AE0" w14:textId="77777777" w:rsidR="00BD5588" w:rsidRPr="00F330F5" w:rsidRDefault="00BD5588" w:rsidP="00227CBC">
            <w:r w:rsidRPr="00F330F5">
              <w:t>Tiesiskā regulējuma ietekme uz tautsaimniecību un administratīvo slogu</w:t>
            </w:r>
          </w:p>
        </w:tc>
        <w:tc>
          <w:tcPr>
            <w:tcW w:w="3294" w:type="pct"/>
            <w:hideMark/>
          </w:tcPr>
          <w:p w14:paraId="5EC49ABF" w14:textId="77777777" w:rsidR="00A37C4D" w:rsidRPr="00F330F5" w:rsidRDefault="00A37C4D" w:rsidP="00A37C4D">
            <w:pPr>
              <w:jc w:val="both"/>
            </w:pPr>
            <w:r w:rsidRPr="00F330F5">
              <w:rPr>
                <w:b/>
              </w:rPr>
              <w:t>Ietekme uz uzņēmējdarbības vidi</w:t>
            </w:r>
            <w:r w:rsidRPr="00F330F5">
              <w:t xml:space="preserve"> </w:t>
            </w:r>
          </w:p>
          <w:p w14:paraId="37717425" w14:textId="77777777" w:rsidR="00BD5588" w:rsidRPr="00F330F5" w:rsidRDefault="00A37C4D" w:rsidP="00A37C4D">
            <w:pPr>
              <w:jc w:val="both"/>
            </w:pPr>
            <w:r w:rsidRPr="00F330F5">
              <w:t>8.3.1.2.pasākuma ietvaros plānotās darbības tiešā veidā neietekmē uzņēmējdarbības vidi, taču var palielināt uzņēmumu, kas nodarbojas ar mācību līdzekļu izstrādi, savstarpējo konkurenci.</w:t>
            </w:r>
          </w:p>
          <w:p w14:paraId="1681725B" w14:textId="77777777" w:rsidR="00A37C4D" w:rsidRPr="00F330F5" w:rsidRDefault="00A37C4D" w:rsidP="00A37C4D">
            <w:pPr>
              <w:jc w:val="both"/>
              <w:rPr>
                <w:b/>
              </w:rPr>
            </w:pPr>
            <w:r w:rsidRPr="00F330F5">
              <w:rPr>
                <w:b/>
              </w:rPr>
              <w:t>Ietekme uz vidi</w:t>
            </w:r>
          </w:p>
          <w:p w14:paraId="7F0CC866" w14:textId="6C3763CD" w:rsidR="00A37C4D" w:rsidRPr="00F330F5" w:rsidRDefault="00A37C4D" w:rsidP="00A37C4D">
            <w:pPr>
              <w:jc w:val="both"/>
            </w:pPr>
            <w:r w:rsidRPr="00F330F5">
              <w:t xml:space="preserve">8.3.1.2.pasākumam ir pozitīva ietekme  uz vidi. Digitālo mācību un metodisko līdzekļu plašāka pielietošana izglītības procesā var samazināt drukāto mācību līdzekļu izmantošanu izglītības iestādēs, līdz ar ko vidē nonāks mazāks skaits nolietoto drukāto mācību līdzekļu. </w:t>
            </w:r>
            <w:r w:rsidR="005E2ED4" w:rsidRPr="00F330F5">
              <w:rPr>
                <w:rFonts w:eastAsia="Calibri"/>
              </w:rPr>
              <w:t xml:space="preserve">Projekta iesniegumam vērtēšanā tiks piešķirti papildu punkti, ja </w:t>
            </w:r>
            <w:r w:rsidR="005E2ED4" w:rsidRPr="00F330F5">
              <w:rPr>
                <w:szCs w:val="22"/>
              </w:rPr>
              <w:t>projekta ietvaros paredzēts veikt publiskos iepirkumus,  piemērojot zaļā publiskā iepirkuma principus, izņemot gadījumus, kad zaļā iepirkuma piemērošana ir obligāta saskaņā ar Ministru kabineta 2017.gada 20.jūnija noteikumiem Nr.353 “Prasības zaļajam publiskajam iepirkumam un to piemērošanas kārtība”.</w:t>
            </w:r>
          </w:p>
          <w:p w14:paraId="0F154C0A" w14:textId="77777777" w:rsidR="00A37C4D" w:rsidRPr="00F330F5" w:rsidRDefault="00A37C4D" w:rsidP="00A37C4D">
            <w:pPr>
              <w:jc w:val="both"/>
              <w:rPr>
                <w:b/>
              </w:rPr>
            </w:pPr>
            <w:r w:rsidRPr="00F330F5">
              <w:rPr>
                <w:b/>
              </w:rPr>
              <w:t>Ietekme uz veselību</w:t>
            </w:r>
          </w:p>
          <w:p w14:paraId="3F12CB70" w14:textId="77777777" w:rsidR="00A37C4D" w:rsidRPr="00F330F5" w:rsidRDefault="00A37C4D" w:rsidP="00A37C4D">
            <w:pPr>
              <w:jc w:val="both"/>
            </w:pPr>
            <w:r w:rsidRPr="00F330F5">
              <w:t xml:space="preserve">8.3.1.2.pasākuma ietvaros izstrādāto digitālo mācību līdzekļu izmantošana mācību procesā var pozitīvi ietekmēt izglītojamo veselību. Mācību grāmatas aizstājot ar digitālajiem mācību līdzekļiem, pastāv iespēja mazināt izglītojamo somas piepildījuma svaru, kas attiecīgi mazinās pārnēsājamā svara ietekmi uz izglītojamo veselību. </w:t>
            </w:r>
          </w:p>
          <w:p w14:paraId="4F135D2E" w14:textId="77777777" w:rsidR="00A37C4D" w:rsidRPr="00F330F5" w:rsidRDefault="00A37C4D" w:rsidP="00A37C4D">
            <w:pPr>
              <w:jc w:val="both"/>
            </w:pPr>
            <w:r w:rsidRPr="00F330F5">
              <w:t>Ņemot vērā interneta vides un tehnoloģisko ierīču plašu izmantošanu ikdienā, digitālo līdzekļu izmantošanas īpatsvara palielināšana būtiski neietekmēs iespējamos tehnoloģiju radīto negatīvo ietekmi, jo tiks pārslēgts izglītojamo fokuss no izklaidējošajiem interneta piedāvājumiem uz izglītojošajiem, nemainot laiku, kuru izglītojamais pavada pie datora vai citās ierīces. Vienlaikus, būtiski ir kontrolēt digitālo līdzekļu izmantošanas laika apjomu, lai novērstu iespējamo negatīvo ietekmi uz redzi un stāju.</w:t>
            </w:r>
          </w:p>
          <w:p w14:paraId="34EA9137" w14:textId="77777777" w:rsidR="00A37C4D" w:rsidRPr="00F330F5" w:rsidRDefault="00A37C4D" w:rsidP="00A37C4D">
            <w:pPr>
              <w:jc w:val="both"/>
              <w:rPr>
                <w:b/>
              </w:rPr>
            </w:pPr>
            <w:r w:rsidRPr="00F330F5">
              <w:rPr>
                <w:b/>
              </w:rPr>
              <w:t>Ietekme uz administratīvo slogu</w:t>
            </w:r>
          </w:p>
          <w:p w14:paraId="25D1CD37" w14:textId="77777777" w:rsidR="00A37C4D" w:rsidRPr="00F330F5" w:rsidRDefault="00A37C4D" w:rsidP="00A37C4D">
            <w:pPr>
              <w:jc w:val="both"/>
            </w:pPr>
            <w:r w:rsidRPr="00F330F5">
              <w:t>Sabiedrības grupām un institūcijām tiesiskais regulējums nemaina tiesības, pienākumus un veicamās darbības.</w:t>
            </w:r>
          </w:p>
          <w:p w14:paraId="7CBA6F79" w14:textId="77777777" w:rsidR="00A37C4D" w:rsidRPr="00F330F5" w:rsidRDefault="007C3157" w:rsidP="007C3157">
            <w:pPr>
              <w:jc w:val="both"/>
            </w:pPr>
            <w:r w:rsidRPr="00F330F5">
              <w:t>8.3.1.2.</w:t>
            </w:r>
            <w:r w:rsidR="00A37C4D" w:rsidRPr="00F330F5">
              <w:t>pasākuma ietvaros finansējuma saņēmējs nodrošina noteikumu projektā minētos informācijas un publicitātes pasākumus.</w:t>
            </w:r>
          </w:p>
        </w:tc>
      </w:tr>
      <w:tr w:rsidR="00BD5588" w:rsidRPr="00F330F5" w14:paraId="1B031054" w14:textId="77777777" w:rsidTr="005C6ECC">
        <w:trPr>
          <w:cantSplit/>
        </w:trPr>
        <w:tc>
          <w:tcPr>
            <w:tcW w:w="311" w:type="pct"/>
            <w:hideMark/>
          </w:tcPr>
          <w:p w14:paraId="77833A7C" w14:textId="77777777" w:rsidR="00BD5588" w:rsidRPr="00F330F5" w:rsidRDefault="00BD5588" w:rsidP="00227CBC">
            <w:pPr>
              <w:jc w:val="center"/>
            </w:pPr>
            <w:r w:rsidRPr="00F330F5">
              <w:t>3.</w:t>
            </w:r>
          </w:p>
        </w:tc>
        <w:tc>
          <w:tcPr>
            <w:tcW w:w="1479" w:type="pct"/>
            <w:hideMark/>
          </w:tcPr>
          <w:p w14:paraId="00679558" w14:textId="77777777" w:rsidR="00BD5588" w:rsidRPr="00F330F5" w:rsidRDefault="00BD5588" w:rsidP="00227CBC">
            <w:r w:rsidRPr="00F330F5">
              <w:t>Administratīvo izmaksu monetārs novērtējums</w:t>
            </w:r>
          </w:p>
        </w:tc>
        <w:tc>
          <w:tcPr>
            <w:tcW w:w="3210" w:type="pct"/>
            <w:hideMark/>
          </w:tcPr>
          <w:p w14:paraId="240CD2E3" w14:textId="25E71BFD" w:rsidR="00A27357" w:rsidRPr="00CD2D65" w:rsidRDefault="00741845" w:rsidP="00741845">
            <w:pPr>
              <w:jc w:val="both"/>
              <w:rPr>
                <w:bCs/>
                <w:lang w:eastAsia="en-US"/>
              </w:rPr>
            </w:pPr>
            <w:r w:rsidRPr="00F330F5">
              <w:rPr>
                <w:bCs/>
                <w:lang w:eastAsia="en-US"/>
              </w:rPr>
              <w:t xml:space="preserve">ES fondu </w:t>
            </w:r>
            <w:r>
              <w:rPr>
                <w:bCs/>
                <w:lang w:eastAsia="en-US"/>
              </w:rPr>
              <w:t>administratīvas</w:t>
            </w:r>
            <w:r w:rsidRPr="00F330F5">
              <w:rPr>
                <w:bCs/>
                <w:lang w:eastAsia="en-US"/>
              </w:rPr>
              <w:t xml:space="preserve"> izmaksas Izglītības un zinātnes ministrijai kā atbildīgai iestāde un sadarbības iestādei plānots segt no </w:t>
            </w:r>
            <w:r w:rsidRPr="00F330F5">
              <w:t>Eiropas Savienības struktūrfondu un Kohēzijas fonda 2014.-2020.gada plānošanas perioda</w:t>
            </w:r>
            <w:r w:rsidRPr="00F330F5">
              <w:rPr>
                <w:bCs/>
                <w:lang w:eastAsia="en-US"/>
              </w:rPr>
              <w:t xml:space="preserve"> tehniskās palīdzības projekta līdzekļiem.</w:t>
            </w:r>
          </w:p>
        </w:tc>
      </w:tr>
      <w:tr w:rsidR="00BD5588" w:rsidRPr="00F330F5" w14:paraId="2AD2624D" w14:textId="77777777" w:rsidTr="006E0718">
        <w:trPr>
          <w:cantSplit/>
        </w:trPr>
        <w:tc>
          <w:tcPr>
            <w:tcW w:w="254" w:type="pct"/>
            <w:hideMark/>
          </w:tcPr>
          <w:p w14:paraId="5F963364" w14:textId="77777777" w:rsidR="00BD5588" w:rsidRPr="00F330F5" w:rsidRDefault="00BD5588" w:rsidP="00227CBC">
            <w:pPr>
              <w:jc w:val="center"/>
            </w:pPr>
            <w:r w:rsidRPr="00F330F5">
              <w:t>4.</w:t>
            </w:r>
          </w:p>
        </w:tc>
        <w:tc>
          <w:tcPr>
            <w:tcW w:w="1452" w:type="pct"/>
            <w:hideMark/>
          </w:tcPr>
          <w:p w14:paraId="203E6B1B" w14:textId="77777777" w:rsidR="00BD5588" w:rsidRPr="00F330F5" w:rsidRDefault="00BD5588" w:rsidP="00227CBC">
            <w:r w:rsidRPr="00F330F5">
              <w:t>Atbilstības izmaksu monetārs novērtējums</w:t>
            </w:r>
          </w:p>
        </w:tc>
        <w:tc>
          <w:tcPr>
            <w:tcW w:w="3294" w:type="pct"/>
            <w:hideMark/>
          </w:tcPr>
          <w:p w14:paraId="159FB43E" w14:textId="676BD049" w:rsidR="00BD5588" w:rsidRPr="00F330F5" w:rsidRDefault="00205367" w:rsidP="00727DE0">
            <w:pPr>
              <w:tabs>
                <w:tab w:val="left" w:pos="317"/>
              </w:tabs>
              <w:jc w:val="both"/>
            </w:pPr>
            <w:r w:rsidRPr="00F330F5">
              <w:rPr>
                <w:bCs/>
                <w:lang w:eastAsia="en-US"/>
              </w:rPr>
              <w:t xml:space="preserve">ES fondu atbilstības izmaksas </w:t>
            </w:r>
            <w:r w:rsidR="00147D6A" w:rsidRPr="00F330F5">
              <w:rPr>
                <w:bCs/>
                <w:lang w:eastAsia="en-US"/>
              </w:rPr>
              <w:t>Izglītības un zinātnes ministrijai kā atbildīgai iestāde</w:t>
            </w:r>
            <w:r w:rsidR="00D75E47" w:rsidRPr="00F330F5">
              <w:rPr>
                <w:bCs/>
                <w:lang w:eastAsia="en-US"/>
              </w:rPr>
              <w:t xml:space="preserve"> </w:t>
            </w:r>
            <w:r w:rsidR="00147D6A" w:rsidRPr="00F330F5">
              <w:rPr>
                <w:bCs/>
                <w:lang w:eastAsia="en-US"/>
              </w:rPr>
              <w:t xml:space="preserve">un </w:t>
            </w:r>
            <w:r w:rsidRPr="00F330F5">
              <w:rPr>
                <w:bCs/>
                <w:lang w:eastAsia="en-US"/>
              </w:rPr>
              <w:t xml:space="preserve">sadarbības iestādei plānots segt no </w:t>
            </w:r>
            <w:r w:rsidRPr="00F330F5">
              <w:t>Eiropas Savienības struktūrfondu un Kohēzijas fonda 2014.-2020.gada plānošanas perioda</w:t>
            </w:r>
            <w:r w:rsidRPr="00F330F5">
              <w:rPr>
                <w:bCs/>
                <w:lang w:eastAsia="en-US"/>
              </w:rPr>
              <w:t xml:space="preserve"> tehniskās palīdzības projekta līdzekļiem.</w:t>
            </w:r>
          </w:p>
        </w:tc>
      </w:tr>
      <w:tr w:rsidR="00BD5588" w:rsidRPr="00F330F5" w14:paraId="1607AE2D" w14:textId="77777777" w:rsidTr="006E0718">
        <w:trPr>
          <w:cantSplit/>
        </w:trPr>
        <w:tc>
          <w:tcPr>
            <w:tcW w:w="254" w:type="pct"/>
            <w:hideMark/>
          </w:tcPr>
          <w:p w14:paraId="6411EB27" w14:textId="77777777" w:rsidR="00BD5588" w:rsidRPr="00F330F5" w:rsidRDefault="00BD5588" w:rsidP="00227CBC">
            <w:pPr>
              <w:jc w:val="center"/>
            </w:pPr>
            <w:r w:rsidRPr="00F330F5">
              <w:t>5.</w:t>
            </w:r>
          </w:p>
        </w:tc>
        <w:tc>
          <w:tcPr>
            <w:tcW w:w="1452" w:type="pct"/>
            <w:hideMark/>
          </w:tcPr>
          <w:p w14:paraId="1E772670" w14:textId="77777777" w:rsidR="00BD5588" w:rsidRPr="00F330F5" w:rsidRDefault="00BD5588" w:rsidP="00227CBC">
            <w:r w:rsidRPr="00F330F5">
              <w:t>Cita informācija</w:t>
            </w:r>
          </w:p>
        </w:tc>
        <w:tc>
          <w:tcPr>
            <w:tcW w:w="3294" w:type="pct"/>
            <w:hideMark/>
          </w:tcPr>
          <w:p w14:paraId="5C0A6669" w14:textId="77777777" w:rsidR="00BD5588" w:rsidRPr="00F330F5" w:rsidRDefault="007C3157" w:rsidP="00227CBC">
            <w:r w:rsidRPr="00F330F5">
              <w:t>8.3.1.2.pasākuma ietvaros nav paredzēta koordinācija ar ES  stratēģijas Baltijas jūras reģionam projektiem.</w:t>
            </w:r>
          </w:p>
        </w:tc>
      </w:tr>
    </w:tbl>
    <w:p w14:paraId="12693B68" w14:textId="77777777" w:rsidR="008E79E3" w:rsidRPr="00F330F5" w:rsidRDefault="008E79E3" w:rsidP="001A4228">
      <w:pPr>
        <w:pStyle w:val="Title"/>
        <w:spacing w:before="130" w:line="260" w:lineRule="exact"/>
        <w:jc w:val="both"/>
        <w:rPr>
          <w:sz w:val="24"/>
          <w:szCs w:val="24"/>
        </w:rPr>
      </w:pPr>
    </w:p>
    <w:p w14:paraId="75AEEB18" w14:textId="77777777" w:rsidR="00BD5588" w:rsidRPr="00F330F5"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83"/>
        <w:gridCol w:w="1083"/>
        <w:gridCol w:w="1081"/>
        <w:gridCol w:w="947"/>
        <w:gridCol w:w="946"/>
        <w:gridCol w:w="946"/>
        <w:gridCol w:w="928"/>
        <w:gridCol w:w="18"/>
        <w:gridCol w:w="1003"/>
      </w:tblGrid>
      <w:tr w:rsidR="00BA3006" w:rsidRPr="00F330F5" w14:paraId="467760A7" w14:textId="77777777" w:rsidTr="00BB6825">
        <w:trPr>
          <w:cantSplit/>
        </w:trPr>
        <w:tc>
          <w:tcPr>
            <w:tcW w:w="9131" w:type="dxa"/>
            <w:gridSpan w:val="9"/>
            <w:shd w:val="clear" w:color="auto" w:fill="auto"/>
            <w:vAlign w:val="center"/>
            <w:hideMark/>
          </w:tcPr>
          <w:p w14:paraId="527DFD9D" w14:textId="77777777" w:rsidR="00BD5588" w:rsidRPr="00F330F5" w:rsidRDefault="00BD5588" w:rsidP="00227CBC">
            <w:pPr>
              <w:jc w:val="center"/>
              <w:rPr>
                <w:b/>
                <w:bCs/>
                <w:sz w:val="20"/>
                <w:szCs w:val="20"/>
                <w:lang w:eastAsia="en-US"/>
              </w:rPr>
            </w:pPr>
            <w:r w:rsidRPr="00F330F5">
              <w:rPr>
                <w:b/>
                <w:bCs/>
                <w:sz w:val="20"/>
                <w:szCs w:val="20"/>
                <w:lang w:eastAsia="en-US"/>
              </w:rPr>
              <w:t>III. Tiesību akta projekta ietekme uz valsts budžetu un pašvaldību budžetiem</w:t>
            </w:r>
          </w:p>
        </w:tc>
      </w:tr>
      <w:tr w:rsidR="00BA3006" w:rsidRPr="00F330F5" w14:paraId="31735E9F" w14:textId="77777777" w:rsidTr="00BB6825">
        <w:trPr>
          <w:cantSplit/>
        </w:trPr>
        <w:tc>
          <w:tcPr>
            <w:tcW w:w="2181" w:type="dxa"/>
            <w:vMerge w:val="restart"/>
            <w:shd w:val="clear" w:color="auto" w:fill="FFFFFF"/>
            <w:vAlign w:val="center"/>
          </w:tcPr>
          <w:p w14:paraId="6CC3C0BB" w14:textId="77777777" w:rsidR="00BD5588" w:rsidRPr="00F330F5" w:rsidRDefault="00BD5588" w:rsidP="00227CBC">
            <w:pPr>
              <w:jc w:val="center"/>
              <w:rPr>
                <w:bCs/>
                <w:szCs w:val="20"/>
                <w:lang w:eastAsia="en-US"/>
              </w:rPr>
            </w:pPr>
            <w:r w:rsidRPr="00F330F5">
              <w:rPr>
                <w:bCs/>
                <w:szCs w:val="20"/>
                <w:lang w:eastAsia="en-US"/>
              </w:rPr>
              <w:t>Rādītāji</w:t>
            </w:r>
          </w:p>
        </w:tc>
        <w:tc>
          <w:tcPr>
            <w:tcW w:w="2162" w:type="dxa"/>
            <w:gridSpan w:val="2"/>
            <w:vMerge w:val="restart"/>
            <w:shd w:val="clear" w:color="auto" w:fill="FFFFFF"/>
            <w:vAlign w:val="center"/>
            <w:hideMark/>
          </w:tcPr>
          <w:p w14:paraId="2CC5AC83" w14:textId="77777777" w:rsidR="00BD5588" w:rsidRPr="00F330F5" w:rsidRDefault="00FF3FCA" w:rsidP="00227CBC">
            <w:pPr>
              <w:jc w:val="center"/>
              <w:rPr>
                <w:bCs/>
                <w:sz w:val="20"/>
                <w:szCs w:val="20"/>
                <w:lang w:eastAsia="en-US"/>
              </w:rPr>
            </w:pPr>
            <w:r w:rsidRPr="00F330F5">
              <w:rPr>
                <w:bCs/>
                <w:szCs w:val="20"/>
                <w:lang w:eastAsia="en-US"/>
              </w:rPr>
              <w:t>2018.</w:t>
            </w:r>
            <w:r w:rsidR="00BD5588" w:rsidRPr="00F330F5">
              <w:rPr>
                <w:bCs/>
                <w:szCs w:val="20"/>
                <w:lang w:eastAsia="en-US"/>
              </w:rPr>
              <w:t>gads</w:t>
            </w:r>
          </w:p>
        </w:tc>
        <w:tc>
          <w:tcPr>
            <w:tcW w:w="4788" w:type="dxa"/>
            <w:gridSpan w:val="6"/>
            <w:shd w:val="clear" w:color="auto" w:fill="FFFFFF"/>
            <w:vAlign w:val="center"/>
            <w:hideMark/>
          </w:tcPr>
          <w:p w14:paraId="3677EAB1" w14:textId="77777777" w:rsidR="00BD5588" w:rsidRPr="00F330F5" w:rsidRDefault="00BD5588" w:rsidP="00227CBC">
            <w:pPr>
              <w:jc w:val="center"/>
              <w:rPr>
                <w:szCs w:val="20"/>
                <w:lang w:eastAsia="en-US"/>
              </w:rPr>
            </w:pPr>
            <w:r w:rsidRPr="00F330F5">
              <w:rPr>
                <w:szCs w:val="20"/>
                <w:lang w:eastAsia="en-US"/>
              </w:rPr>
              <w:t>Turpmākie trīs gadi (</w:t>
            </w:r>
            <w:r w:rsidRPr="00F330F5">
              <w:rPr>
                <w:i/>
                <w:iCs/>
                <w:szCs w:val="20"/>
                <w:lang w:eastAsia="en-US"/>
              </w:rPr>
              <w:t>euro</w:t>
            </w:r>
            <w:r w:rsidRPr="00F330F5">
              <w:rPr>
                <w:szCs w:val="20"/>
                <w:lang w:eastAsia="en-US"/>
              </w:rPr>
              <w:t>)</w:t>
            </w:r>
          </w:p>
        </w:tc>
      </w:tr>
      <w:tr w:rsidR="0038791F" w:rsidRPr="00F330F5" w14:paraId="53B99693" w14:textId="77777777" w:rsidTr="0038791F">
        <w:trPr>
          <w:cantSplit/>
        </w:trPr>
        <w:tc>
          <w:tcPr>
            <w:tcW w:w="2181" w:type="dxa"/>
            <w:vMerge/>
            <w:shd w:val="clear" w:color="auto" w:fill="auto"/>
            <w:vAlign w:val="center"/>
            <w:hideMark/>
          </w:tcPr>
          <w:p w14:paraId="3201B6D4" w14:textId="77777777" w:rsidR="00BD5588" w:rsidRPr="00F330F5" w:rsidRDefault="00BD5588" w:rsidP="00227CBC">
            <w:pPr>
              <w:jc w:val="center"/>
              <w:rPr>
                <w:bCs/>
                <w:szCs w:val="20"/>
                <w:lang w:eastAsia="en-US"/>
              </w:rPr>
            </w:pPr>
          </w:p>
        </w:tc>
        <w:tc>
          <w:tcPr>
            <w:tcW w:w="2162" w:type="dxa"/>
            <w:gridSpan w:val="2"/>
            <w:vMerge/>
            <w:shd w:val="clear" w:color="auto" w:fill="auto"/>
            <w:vAlign w:val="center"/>
            <w:hideMark/>
          </w:tcPr>
          <w:p w14:paraId="06CFBE48" w14:textId="77777777" w:rsidR="00BD5588" w:rsidRPr="00F330F5" w:rsidRDefault="00BD5588" w:rsidP="00227CBC">
            <w:pPr>
              <w:jc w:val="center"/>
              <w:rPr>
                <w:bCs/>
                <w:sz w:val="20"/>
                <w:szCs w:val="20"/>
                <w:lang w:eastAsia="en-US"/>
              </w:rPr>
            </w:pPr>
          </w:p>
        </w:tc>
        <w:tc>
          <w:tcPr>
            <w:tcW w:w="1893" w:type="dxa"/>
            <w:gridSpan w:val="2"/>
            <w:shd w:val="clear" w:color="auto" w:fill="FFFFFF"/>
            <w:vAlign w:val="center"/>
            <w:hideMark/>
          </w:tcPr>
          <w:p w14:paraId="6AC38CC5" w14:textId="77777777" w:rsidR="00BD5588" w:rsidRPr="00CD2D65" w:rsidRDefault="00FF3FCA" w:rsidP="00227CBC">
            <w:pPr>
              <w:jc w:val="center"/>
              <w:rPr>
                <w:bCs/>
                <w:lang w:eastAsia="en-US"/>
              </w:rPr>
            </w:pPr>
            <w:r w:rsidRPr="00CD2D65">
              <w:rPr>
                <w:bCs/>
                <w:lang w:eastAsia="en-US"/>
              </w:rPr>
              <w:t>2019.gads</w:t>
            </w:r>
          </w:p>
        </w:tc>
        <w:tc>
          <w:tcPr>
            <w:tcW w:w="1874" w:type="dxa"/>
            <w:gridSpan w:val="2"/>
            <w:shd w:val="clear" w:color="auto" w:fill="FFFFFF"/>
            <w:vAlign w:val="center"/>
            <w:hideMark/>
          </w:tcPr>
          <w:p w14:paraId="6AFC5FBE" w14:textId="77777777" w:rsidR="00BD5588" w:rsidRPr="00727DE0" w:rsidRDefault="00FF3FCA" w:rsidP="00227CBC">
            <w:pPr>
              <w:jc w:val="center"/>
              <w:rPr>
                <w:bCs/>
                <w:lang w:eastAsia="en-US"/>
              </w:rPr>
            </w:pPr>
            <w:r w:rsidRPr="00727DE0">
              <w:rPr>
                <w:bCs/>
                <w:lang w:eastAsia="en-US"/>
              </w:rPr>
              <w:t>2020.gads</w:t>
            </w:r>
          </w:p>
        </w:tc>
        <w:tc>
          <w:tcPr>
            <w:tcW w:w="1021" w:type="dxa"/>
            <w:gridSpan w:val="2"/>
            <w:shd w:val="clear" w:color="auto" w:fill="FFFFFF"/>
            <w:vAlign w:val="center"/>
            <w:hideMark/>
          </w:tcPr>
          <w:p w14:paraId="6EF1F7BA" w14:textId="60BA146A" w:rsidR="00BD5588" w:rsidRPr="00727DE0" w:rsidRDefault="00FF3FCA" w:rsidP="00227CBC">
            <w:pPr>
              <w:jc w:val="center"/>
              <w:rPr>
                <w:bCs/>
                <w:lang w:eastAsia="en-US"/>
              </w:rPr>
            </w:pPr>
            <w:r w:rsidRPr="00CD2D65">
              <w:rPr>
                <w:bCs/>
                <w:lang w:eastAsia="en-US"/>
              </w:rPr>
              <w:t>2021.</w:t>
            </w:r>
            <w:r w:rsidR="0038791F">
              <w:rPr>
                <w:bCs/>
                <w:lang w:eastAsia="en-US"/>
              </w:rPr>
              <w:t xml:space="preserve"> </w:t>
            </w:r>
            <w:r w:rsidRPr="00CD2D65">
              <w:rPr>
                <w:bCs/>
                <w:lang w:eastAsia="en-US"/>
              </w:rPr>
              <w:t>gads</w:t>
            </w:r>
          </w:p>
        </w:tc>
      </w:tr>
      <w:tr w:rsidR="00BA3006" w:rsidRPr="00F330F5" w14:paraId="54EEA288" w14:textId="77777777" w:rsidTr="00BB6825">
        <w:trPr>
          <w:cantSplit/>
        </w:trPr>
        <w:tc>
          <w:tcPr>
            <w:tcW w:w="2181" w:type="dxa"/>
            <w:vMerge/>
            <w:shd w:val="clear" w:color="auto" w:fill="auto"/>
            <w:vAlign w:val="center"/>
            <w:hideMark/>
          </w:tcPr>
          <w:p w14:paraId="11D276EC" w14:textId="77777777" w:rsidR="00BD5588" w:rsidRPr="00F330F5" w:rsidRDefault="00BD5588" w:rsidP="00227CBC">
            <w:pPr>
              <w:jc w:val="center"/>
              <w:rPr>
                <w:b/>
                <w:bCs/>
                <w:szCs w:val="20"/>
                <w:lang w:eastAsia="en-US"/>
              </w:rPr>
            </w:pPr>
          </w:p>
        </w:tc>
        <w:tc>
          <w:tcPr>
            <w:tcW w:w="1082" w:type="dxa"/>
            <w:shd w:val="clear" w:color="auto" w:fill="FFFFFF"/>
            <w:vAlign w:val="center"/>
            <w:hideMark/>
          </w:tcPr>
          <w:p w14:paraId="5228F654" w14:textId="77777777" w:rsidR="00BD5588" w:rsidRPr="00F330F5" w:rsidRDefault="00BD5588" w:rsidP="00227CBC">
            <w:pPr>
              <w:jc w:val="center"/>
              <w:rPr>
                <w:sz w:val="20"/>
                <w:szCs w:val="20"/>
                <w:lang w:eastAsia="en-US"/>
              </w:rPr>
            </w:pPr>
            <w:r w:rsidRPr="00F330F5">
              <w:rPr>
                <w:sz w:val="20"/>
                <w:szCs w:val="20"/>
                <w:lang w:eastAsia="en-US"/>
              </w:rPr>
              <w:t>saskaņā ar valsts budžetu kārtējam gadam</w:t>
            </w:r>
          </w:p>
        </w:tc>
        <w:tc>
          <w:tcPr>
            <w:tcW w:w="1080" w:type="dxa"/>
            <w:shd w:val="clear" w:color="auto" w:fill="FFFFFF"/>
            <w:vAlign w:val="center"/>
            <w:hideMark/>
          </w:tcPr>
          <w:p w14:paraId="087ED002" w14:textId="77777777" w:rsidR="00BD5588" w:rsidRPr="00F330F5" w:rsidRDefault="00BD5588" w:rsidP="00227CBC">
            <w:pPr>
              <w:jc w:val="center"/>
              <w:rPr>
                <w:sz w:val="20"/>
                <w:szCs w:val="20"/>
                <w:lang w:eastAsia="en-US"/>
              </w:rPr>
            </w:pPr>
            <w:r w:rsidRPr="00F330F5">
              <w:rPr>
                <w:sz w:val="20"/>
                <w:szCs w:val="20"/>
                <w:lang w:eastAsia="en-US"/>
              </w:rPr>
              <w:t>izmaiņas kārtējā gadā, salīdzinot ar valsts budžetu kārtējam gadam</w:t>
            </w:r>
          </w:p>
        </w:tc>
        <w:tc>
          <w:tcPr>
            <w:tcW w:w="947" w:type="dxa"/>
            <w:shd w:val="clear" w:color="auto" w:fill="FFFFFF"/>
            <w:vAlign w:val="center"/>
            <w:hideMark/>
          </w:tcPr>
          <w:p w14:paraId="03FE87E4" w14:textId="77777777" w:rsidR="00BD5588" w:rsidRPr="00F330F5" w:rsidRDefault="00BD5588" w:rsidP="00227CBC">
            <w:pPr>
              <w:jc w:val="center"/>
              <w:rPr>
                <w:sz w:val="20"/>
                <w:szCs w:val="20"/>
                <w:lang w:eastAsia="en-US"/>
              </w:rPr>
            </w:pPr>
            <w:r w:rsidRPr="00F330F5">
              <w:rPr>
                <w:sz w:val="20"/>
                <w:szCs w:val="20"/>
                <w:lang w:eastAsia="en-US"/>
              </w:rPr>
              <w:t>saskaņā ar vidēja termiņa budžeta ietvaru</w:t>
            </w:r>
          </w:p>
        </w:tc>
        <w:tc>
          <w:tcPr>
            <w:tcW w:w="946" w:type="dxa"/>
            <w:shd w:val="clear" w:color="auto" w:fill="FFFFFF"/>
            <w:vAlign w:val="center"/>
            <w:hideMark/>
          </w:tcPr>
          <w:p w14:paraId="56AFDAEB" w14:textId="77777777" w:rsidR="00BD5588" w:rsidRPr="00F330F5" w:rsidRDefault="00BD5588" w:rsidP="00227CBC">
            <w:pPr>
              <w:jc w:val="center"/>
              <w:rPr>
                <w:sz w:val="20"/>
                <w:szCs w:val="20"/>
                <w:lang w:eastAsia="en-US"/>
              </w:rPr>
            </w:pPr>
            <w:r w:rsidRPr="00F330F5">
              <w:rPr>
                <w:sz w:val="20"/>
                <w:szCs w:val="20"/>
                <w:lang w:eastAsia="en-US"/>
              </w:rPr>
              <w:t>izmaiņas, salīdzinot ar vidēja termiņa budžeta ietvaru n+1 gadam</w:t>
            </w:r>
          </w:p>
        </w:tc>
        <w:tc>
          <w:tcPr>
            <w:tcW w:w="946" w:type="dxa"/>
            <w:shd w:val="clear" w:color="auto" w:fill="FFFFFF"/>
            <w:vAlign w:val="center"/>
            <w:hideMark/>
          </w:tcPr>
          <w:p w14:paraId="336E3FD7" w14:textId="77777777" w:rsidR="00BD5588" w:rsidRPr="00F330F5" w:rsidRDefault="00BD5588" w:rsidP="00227CBC">
            <w:pPr>
              <w:jc w:val="center"/>
              <w:rPr>
                <w:sz w:val="20"/>
                <w:szCs w:val="20"/>
                <w:lang w:eastAsia="en-US"/>
              </w:rPr>
            </w:pPr>
            <w:r w:rsidRPr="00F330F5">
              <w:rPr>
                <w:sz w:val="20"/>
                <w:szCs w:val="20"/>
                <w:lang w:eastAsia="en-US"/>
              </w:rPr>
              <w:t>saskaņā ar vidēja termiņa budžeta ietvaru</w:t>
            </w:r>
          </w:p>
        </w:tc>
        <w:tc>
          <w:tcPr>
            <w:tcW w:w="946" w:type="dxa"/>
            <w:gridSpan w:val="2"/>
            <w:shd w:val="clear" w:color="auto" w:fill="FFFFFF"/>
            <w:vAlign w:val="center"/>
            <w:hideMark/>
          </w:tcPr>
          <w:p w14:paraId="2793E61C" w14:textId="77777777" w:rsidR="00BD5588" w:rsidRPr="00F330F5" w:rsidRDefault="00BD5588" w:rsidP="00227CBC">
            <w:pPr>
              <w:jc w:val="center"/>
              <w:rPr>
                <w:sz w:val="20"/>
                <w:szCs w:val="20"/>
                <w:lang w:eastAsia="en-US"/>
              </w:rPr>
            </w:pPr>
            <w:r w:rsidRPr="00F330F5">
              <w:rPr>
                <w:sz w:val="20"/>
                <w:szCs w:val="20"/>
                <w:lang w:eastAsia="en-US"/>
              </w:rPr>
              <w:t>izmaiņas, salīdzinot ar vidēja termiņa budžeta ietvaru n+2 gadam</w:t>
            </w:r>
          </w:p>
        </w:tc>
        <w:tc>
          <w:tcPr>
            <w:tcW w:w="1003" w:type="dxa"/>
            <w:shd w:val="clear" w:color="auto" w:fill="FFFFFF"/>
            <w:vAlign w:val="center"/>
            <w:hideMark/>
          </w:tcPr>
          <w:p w14:paraId="6FEF9331" w14:textId="77777777" w:rsidR="00BD5588" w:rsidRPr="00F330F5" w:rsidRDefault="00BD5588" w:rsidP="00227CBC">
            <w:pPr>
              <w:jc w:val="center"/>
              <w:rPr>
                <w:sz w:val="20"/>
                <w:szCs w:val="20"/>
                <w:lang w:eastAsia="en-US"/>
              </w:rPr>
            </w:pPr>
            <w:r w:rsidRPr="00F330F5">
              <w:rPr>
                <w:sz w:val="20"/>
                <w:szCs w:val="20"/>
                <w:lang w:eastAsia="en-US"/>
              </w:rPr>
              <w:t xml:space="preserve">izmaiņas, salīdzinot ar vidēja termiņa budžeta ietvaru </w:t>
            </w:r>
            <w:r w:rsidRPr="00F330F5">
              <w:rPr>
                <w:sz w:val="20"/>
                <w:szCs w:val="20"/>
                <w:lang w:eastAsia="en-US"/>
              </w:rPr>
              <w:br/>
              <w:t>n+2 gadam</w:t>
            </w:r>
          </w:p>
        </w:tc>
      </w:tr>
      <w:tr w:rsidR="00BA3006" w:rsidRPr="00F330F5" w14:paraId="518B6516" w14:textId="77777777" w:rsidTr="00BB6825">
        <w:trPr>
          <w:cantSplit/>
        </w:trPr>
        <w:tc>
          <w:tcPr>
            <w:tcW w:w="2181" w:type="dxa"/>
            <w:shd w:val="clear" w:color="auto" w:fill="FFFFFF"/>
            <w:vAlign w:val="center"/>
            <w:hideMark/>
          </w:tcPr>
          <w:p w14:paraId="61DE0C41" w14:textId="77777777" w:rsidR="00BD5588" w:rsidRPr="00F330F5" w:rsidRDefault="00BD5588" w:rsidP="00227CBC">
            <w:pPr>
              <w:jc w:val="center"/>
              <w:rPr>
                <w:szCs w:val="20"/>
                <w:lang w:eastAsia="en-US"/>
              </w:rPr>
            </w:pPr>
            <w:r w:rsidRPr="00F330F5">
              <w:rPr>
                <w:szCs w:val="20"/>
                <w:lang w:eastAsia="en-US"/>
              </w:rPr>
              <w:t>1</w:t>
            </w:r>
          </w:p>
        </w:tc>
        <w:tc>
          <w:tcPr>
            <w:tcW w:w="1082" w:type="dxa"/>
            <w:shd w:val="clear" w:color="auto" w:fill="FFFFFF"/>
            <w:vAlign w:val="center"/>
            <w:hideMark/>
          </w:tcPr>
          <w:p w14:paraId="1E88F314" w14:textId="77777777" w:rsidR="00BD5588" w:rsidRPr="00F330F5" w:rsidRDefault="00BD5588" w:rsidP="00227CBC">
            <w:pPr>
              <w:jc w:val="center"/>
              <w:rPr>
                <w:sz w:val="20"/>
                <w:szCs w:val="20"/>
                <w:lang w:eastAsia="en-US"/>
              </w:rPr>
            </w:pPr>
            <w:r w:rsidRPr="00F330F5">
              <w:rPr>
                <w:sz w:val="20"/>
                <w:szCs w:val="20"/>
                <w:lang w:eastAsia="en-US"/>
              </w:rPr>
              <w:t>2</w:t>
            </w:r>
          </w:p>
        </w:tc>
        <w:tc>
          <w:tcPr>
            <w:tcW w:w="1080" w:type="dxa"/>
            <w:shd w:val="clear" w:color="auto" w:fill="FFFFFF"/>
            <w:vAlign w:val="center"/>
            <w:hideMark/>
          </w:tcPr>
          <w:p w14:paraId="06E21B77" w14:textId="77777777" w:rsidR="00BD5588" w:rsidRPr="00F330F5" w:rsidRDefault="00BD5588" w:rsidP="00227CBC">
            <w:pPr>
              <w:jc w:val="center"/>
              <w:rPr>
                <w:sz w:val="20"/>
                <w:szCs w:val="20"/>
                <w:lang w:eastAsia="en-US"/>
              </w:rPr>
            </w:pPr>
            <w:r w:rsidRPr="00F330F5">
              <w:rPr>
                <w:sz w:val="20"/>
                <w:szCs w:val="20"/>
                <w:lang w:eastAsia="en-US"/>
              </w:rPr>
              <w:t>3</w:t>
            </w:r>
          </w:p>
        </w:tc>
        <w:tc>
          <w:tcPr>
            <w:tcW w:w="947" w:type="dxa"/>
            <w:shd w:val="clear" w:color="auto" w:fill="FFFFFF"/>
            <w:vAlign w:val="center"/>
            <w:hideMark/>
          </w:tcPr>
          <w:p w14:paraId="2B444580" w14:textId="77777777" w:rsidR="00BD5588" w:rsidRPr="00F330F5" w:rsidRDefault="00BD5588" w:rsidP="00227CBC">
            <w:pPr>
              <w:jc w:val="center"/>
              <w:rPr>
                <w:sz w:val="20"/>
                <w:szCs w:val="20"/>
                <w:lang w:eastAsia="en-US"/>
              </w:rPr>
            </w:pPr>
            <w:r w:rsidRPr="00F330F5">
              <w:rPr>
                <w:sz w:val="20"/>
                <w:szCs w:val="20"/>
                <w:lang w:eastAsia="en-US"/>
              </w:rPr>
              <w:t>4</w:t>
            </w:r>
          </w:p>
        </w:tc>
        <w:tc>
          <w:tcPr>
            <w:tcW w:w="946" w:type="dxa"/>
            <w:shd w:val="clear" w:color="auto" w:fill="FFFFFF"/>
            <w:vAlign w:val="center"/>
            <w:hideMark/>
          </w:tcPr>
          <w:p w14:paraId="752B0BD9" w14:textId="77777777" w:rsidR="00BD5588" w:rsidRPr="00F330F5" w:rsidRDefault="00BD5588" w:rsidP="00227CBC">
            <w:pPr>
              <w:jc w:val="center"/>
              <w:rPr>
                <w:sz w:val="20"/>
                <w:szCs w:val="20"/>
                <w:lang w:eastAsia="en-US"/>
              </w:rPr>
            </w:pPr>
            <w:r w:rsidRPr="00F330F5">
              <w:rPr>
                <w:sz w:val="20"/>
                <w:szCs w:val="20"/>
                <w:lang w:eastAsia="en-US"/>
              </w:rPr>
              <w:t>5</w:t>
            </w:r>
          </w:p>
        </w:tc>
        <w:tc>
          <w:tcPr>
            <w:tcW w:w="946" w:type="dxa"/>
            <w:shd w:val="clear" w:color="auto" w:fill="FFFFFF"/>
            <w:vAlign w:val="center"/>
            <w:hideMark/>
          </w:tcPr>
          <w:p w14:paraId="0F72878F" w14:textId="77777777" w:rsidR="00BD5588" w:rsidRPr="00F330F5" w:rsidRDefault="00BD5588" w:rsidP="00227CBC">
            <w:pPr>
              <w:jc w:val="center"/>
              <w:rPr>
                <w:sz w:val="20"/>
                <w:szCs w:val="20"/>
                <w:lang w:eastAsia="en-US"/>
              </w:rPr>
            </w:pPr>
            <w:r w:rsidRPr="00F330F5">
              <w:rPr>
                <w:sz w:val="20"/>
                <w:szCs w:val="20"/>
                <w:lang w:eastAsia="en-US"/>
              </w:rPr>
              <w:t>6</w:t>
            </w:r>
          </w:p>
        </w:tc>
        <w:tc>
          <w:tcPr>
            <w:tcW w:w="946" w:type="dxa"/>
            <w:gridSpan w:val="2"/>
            <w:shd w:val="clear" w:color="auto" w:fill="FFFFFF"/>
            <w:vAlign w:val="center"/>
            <w:hideMark/>
          </w:tcPr>
          <w:p w14:paraId="37C73904" w14:textId="77777777" w:rsidR="00BD5588" w:rsidRPr="00F330F5" w:rsidRDefault="00BD5588" w:rsidP="00227CBC">
            <w:pPr>
              <w:jc w:val="center"/>
              <w:rPr>
                <w:sz w:val="20"/>
                <w:szCs w:val="20"/>
                <w:lang w:eastAsia="en-US"/>
              </w:rPr>
            </w:pPr>
            <w:r w:rsidRPr="00F330F5">
              <w:rPr>
                <w:sz w:val="20"/>
                <w:szCs w:val="20"/>
                <w:lang w:eastAsia="en-US"/>
              </w:rPr>
              <w:t>7</w:t>
            </w:r>
          </w:p>
        </w:tc>
        <w:tc>
          <w:tcPr>
            <w:tcW w:w="1003" w:type="dxa"/>
            <w:shd w:val="clear" w:color="auto" w:fill="FFFFFF"/>
            <w:vAlign w:val="center"/>
            <w:hideMark/>
          </w:tcPr>
          <w:p w14:paraId="70E30D8A" w14:textId="77777777" w:rsidR="00BD5588" w:rsidRPr="00F330F5" w:rsidRDefault="00BD5588" w:rsidP="00227CBC">
            <w:pPr>
              <w:jc w:val="center"/>
              <w:rPr>
                <w:sz w:val="20"/>
                <w:szCs w:val="20"/>
                <w:lang w:eastAsia="en-US"/>
              </w:rPr>
            </w:pPr>
            <w:r w:rsidRPr="00F330F5">
              <w:rPr>
                <w:sz w:val="20"/>
                <w:szCs w:val="20"/>
                <w:lang w:eastAsia="en-US"/>
              </w:rPr>
              <w:t>8</w:t>
            </w:r>
          </w:p>
        </w:tc>
      </w:tr>
      <w:tr w:rsidR="00BA3006" w:rsidRPr="00F330F5" w14:paraId="405AA913" w14:textId="77777777" w:rsidTr="00BB6825">
        <w:trPr>
          <w:cantSplit/>
        </w:trPr>
        <w:tc>
          <w:tcPr>
            <w:tcW w:w="2181" w:type="dxa"/>
            <w:shd w:val="clear" w:color="auto" w:fill="FFFFFF"/>
            <w:hideMark/>
          </w:tcPr>
          <w:p w14:paraId="6BB1E3DE" w14:textId="77777777" w:rsidR="00BD5588" w:rsidRPr="00F330F5" w:rsidRDefault="00BD5588" w:rsidP="00227CBC">
            <w:pPr>
              <w:rPr>
                <w:szCs w:val="20"/>
                <w:lang w:eastAsia="en-US"/>
              </w:rPr>
            </w:pPr>
            <w:r w:rsidRPr="00F330F5">
              <w:rPr>
                <w:szCs w:val="20"/>
                <w:lang w:eastAsia="en-US"/>
              </w:rPr>
              <w:t>1. Budžeta ieņēmumi</w:t>
            </w:r>
          </w:p>
        </w:tc>
        <w:tc>
          <w:tcPr>
            <w:tcW w:w="1082" w:type="dxa"/>
            <w:shd w:val="clear" w:color="auto" w:fill="FFFFFF"/>
            <w:vAlign w:val="center"/>
            <w:hideMark/>
          </w:tcPr>
          <w:p w14:paraId="227FA48D" w14:textId="0FC04017" w:rsidR="00BD5588" w:rsidRPr="00F330F5" w:rsidRDefault="008E79E3" w:rsidP="00227CBC">
            <w:pPr>
              <w:jc w:val="center"/>
              <w:rPr>
                <w:sz w:val="20"/>
                <w:szCs w:val="20"/>
                <w:lang w:eastAsia="en-US"/>
              </w:rPr>
            </w:pPr>
            <w:r w:rsidRPr="00F330F5">
              <w:rPr>
                <w:sz w:val="20"/>
                <w:szCs w:val="20"/>
                <w:lang w:eastAsia="en-US"/>
              </w:rPr>
              <w:t>0</w:t>
            </w:r>
          </w:p>
        </w:tc>
        <w:tc>
          <w:tcPr>
            <w:tcW w:w="1080" w:type="dxa"/>
            <w:shd w:val="clear" w:color="auto" w:fill="FFFFFF"/>
            <w:vAlign w:val="center"/>
            <w:hideMark/>
          </w:tcPr>
          <w:p w14:paraId="15D87417" w14:textId="5D676E85" w:rsidR="00BD5588" w:rsidRPr="00F330F5" w:rsidRDefault="008E79E3" w:rsidP="00227CBC">
            <w:pPr>
              <w:jc w:val="center"/>
              <w:rPr>
                <w:sz w:val="20"/>
                <w:szCs w:val="20"/>
                <w:lang w:eastAsia="en-US"/>
              </w:rPr>
            </w:pPr>
            <w:r w:rsidRPr="00F330F5">
              <w:rPr>
                <w:sz w:val="20"/>
                <w:szCs w:val="20"/>
                <w:lang w:eastAsia="en-US"/>
              </w:rPr>
              <w:t>0</w:t>
            </w:r>
          </w:p>
        </w:tc>
        <w:tc>
          <w:tcPr>
            <w:tcW w:w="947" w:type="dxa"/>
            <w:shd w:val="clear" w:color="auto" w:fill="FFFFFF"/>
            <w:vAlign w:val="center"/>
            <w:hideMark/>
          </w:tcPr>
          <w:p w14:paraId="2BEA590B" w14:textId="6407DF0C" w:rsidR="00BD5588" w:rsidRPr="00F330F5" w:rsidRDefault="008E79E3" w:rsidP="00227CBC">
            <w:pPr>
              <w:jc w:val="center"/>
              <w:rPr>
                <w:sz w:val="20"/>
                <w:szCs w:val="20"/>
                <w:lang w:eastAsia="en-US"/>
              </w:rPr>
            </w:pPr>
            <w:r w:rsidRPr="00F330F5">
              <w:rPr>
                <w:sz w:val="20"/>
                <w:szCs w:val="20"/>
                <w:lang w:eastAsia="en-US"/>
              </w:rPr>
              <w:t>0</w:t>
            </w:r>
          </w:p>
        </w:tc>
        <w:tc>
          <w:tcPr>
            <w:tcW w:w="946" w:type="dxa"/>
            <w:shd w:val="clear" w:color="auto" w:fill="FFFFFF"/>
            <w:vAlign w:val="center"/>
            <w:hideMark/>
          </w:tcPr>
          <w:p w14:paraId="5866C7CC" w14:textId="135755C8" w:rsidR="00BD5588" w:rsidRPr="00F330F5" w:rsidRDefault="008E79E3" w:rsidP="008E79E3">
            <w:pPr>
              <w:jc w:val="center"/>
              <w:rPr>
                <w:sz w:val="20"/>
                <w:szCs w:val="20"/>
                <w:lang w:eastAsia="en-US"/>
              </w:rPr>
            </w:pPr>
            <w:r w:rsidRPr="00F330F5">
              <w:rPr>
                <w:sz w:val="20"/>
                <w:szCs w:val="20"/>
                <w:lang w:eastAsia="en-US"/>
              </w:rPr>
              <w:t>358 801</w:t>
            </w:r>
          </w:p>
        </w:tc>
        <w:tc>
          <w:tcPr>
            <w:tcW w:w="946" w:type="dxa"/>
            <w:shd w:val="clear" w:color="auto" w:fill="FFFFFF"/>
            <w:vAlign w:val="center"/>
            <w:hideMark/>
          </w:tcPr>
          <w:p w14:paraId="7A0BBDEA" w14:textId="29FFC137" w:rsidR="00BD5588"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FFFFFF"/>
            <w:vAlign w:val="center"/>
            <w:hideMark/>
          </w:tcPr>
          <w:p w14:paraId="2F81ADEC" w14:textId="35D578D8" w:rsidR="00BD5588" w:rsidRPr="00F330F5" w:rsidRDefault="003D0345" w:rsidP="008E79E3">
            <w:pPr>
              <w:jc w:val="center"/>
              <w:rPr>
                <w:sz w:val="20"/>
                <w:szCs w:val="20"/>
              </w:rPr>
            </w:pPr>
            <w:r w:rsidRPr="003D0345">
              <w:rPr>
                <w:rFonts w:eastAsia="Arial Unicode MS"/>
                <w:sz w:val="20"/>
                <w:szCs w:val="20"/>
              </w:rPr>
              <w:t>1 672</w:t>
            </w:r>
            <w:r>
              <w:rPr>
                <w:rFonts w:eastAsia="Arial Unicode MS"/>
                <w:sz w:val="20"/>
                <w:szCs w:val="20"/>
              </w:rPr>
              <w:t xml:space="preserve"> </w:t>
            </w:r>
            <w:r w:rsidR="002B1172">
              <w:rPr>
                <w:rFonts w:eastAsia="Arial Unicode MS"/>
                <w:sz w:val="20"/>
                <w:szCs w:val="20"/>
              </w:rPr>
              <w:t>012</w:t>
            </w:r>
            <w:r>
              <w:rPr>
                <w:rFonts w:eastAsia="Arial Unicode MS"/>
                <w:sz w:val="20"/>
                <w:szCs w:val="20"/>
              </w:rPr>
              <w:t xml:space="preserve"> </w:t>
            </w:r>
          </w:p>
        </w:tc>
        <w:tc>
          <w:tcPr>
            <w:tcW w:w="1003" w:type="dxa"/>
            <w:shd w:val="clear" w:color="auto" w:fill="FFFFFF"/>
            <w:vAlign w:val="center"/>
            <w:hideMark/>
          </w:tcPr>
          <w:p w14:paraId="1CFA1093" w14:textId="5989D627" w:rsidR="00BD5588" w:rsidRPr="00F330F5" w:rsidRDefault="003D0345" w:rsidP="008E79E3">
            <w:pPr>
              <w:jc w:val="center"/>
              <w:rPr>
                <w:sz w:val="20"/>
                <w:szCs w:val="20"/>
              </w:rPr>
            </w:pPr>
            <w:r w:rsidRPr="003D0345">
              <w:rPr>
                <w:rFonts w:eastAsia="Arial Unicode MS"/>
                <w:sz w:val="20"/>
                <w:szCs w:val="20"/>
              </w:rPr>
              <w:t>897 002</w:t>
            </w:r>
          </w:p>
        </w:tc>
      </w:tr>
      <w:tr w:rsidR="00BA3006" w:rsidRPr="00F330F5" w14:paraId="7ACA5A38" w14:textId="77777777" w:rsidTr="00BB6825">
        <w:trPr>
          <w:cantSplit/>
        </w:trPr>
        <w:tc>
          <w:tcPr>
            <w:tcW w:w="2181" w:type="dxa"/>
            <w:shd w:val="clear" w:color="auto" w:fill="auto"/>
            <w:hideMark/>
          </w:tcPr>
          <w:p w14:paraId="7115174A" w14:textId="77777777" w:rsidR="00BD5588" w:rsidRPr="00F330F5" w:rsidRDefault="00BD5588" w:rsidP="00227CBC">
            <w:pPr>
              <w:rPr>
                <w:szCs w:val="20"/>
                <w:lang w:eastAsia="en-US"/>
              </w:rPr>
            </w:pPr>
            <w:r w:rsidRPr="00F330F5">
              <w:rPr>
                <w:szCs w:val="20"/>
                <w:lang w:eastAsia="en-US"/>
              </w:rPr>
              <w:t>1.1. valsts pamatbudžets, tai skaitā ieņēmumi no maksas pakalpojumiem un citi pašu ieņēmumi</w:t>
            </w:r>
          </w:p>
        </w:tc>
        <w:tc>
          <w:tcPr>
            <w:tcW w:w="1082" w:type="dxa"/>
            <w:shd w:val="clear" w:color="auto" w:fill="auto"/>
            <w:vAlign w:val="center"/>
            <w:hideMark/>
          </w:tcPr>
          <w:p w14:paraId="512B6678" w14:textId="19B8BB66" w:rsidR="00BD5588" w:rsidRPr="00F330F5" w:rsidRDefault="008E79E3" w:rsidP="00227CBC">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0906FBB7" w14:textId="59E3F848" w:rsidR="00BD5588" w:rsidRPr="00F330F5" w:rsidRDefault="008E79E3" w:rsidP="00227CBC">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6BF34118" w14:textId="1D04BD6E" w:rsidR="00BD5588" w:rsidRPr="00F330F5" w:rsidRDefault="008E79E3" w:rsidP="00227CBC">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6E151699" w14:textId="18829A79" w:rsidR="00BD5588" w:rsidRPr="00F330F5" w:rsidRDefault="008E79E3" w:rsidP="008E79E3">
            <w:pPr>
              <w:jc w:val="center"/>
              <w:rPr>
                <w:sz w:val="20"/>
                <w:szCs w:val="20"/>
                <w:lang w:eastAsia="en-US"/>
              </w:rPr>
            </w:pPr>
            <w:r w:rsidRPr="00F330F5">
              <w:rPr>
                <w:sz w:val="20"/>
                <w:szCs w:val="20"/>
                <w:lang w:eastAsia="en-US"/>
              </w:rPr>
              <w:t>358 801</w:t>
            </w:r>
          </w:p>
        </w:tc>
        <w:tc>
          <w:tcPr>
            <w:tcW w:w="946" w:type="dxa"/>
            <w:shd w:val="clear" w:color="auto" w:fill="auto"/>
            <w:vAlign w:val="center"/>
            <w:hideMark/>
          </w:tcPr>
          <w:p w14:paraId="3A10E68A" w14:textId="71A38A5B" w:rsidR="00BD5588"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356918D2" w14:textId="7138B15F" w:rsidR="00BD5588" w:rsidRPr="00F330F5" w:rsidRDefault="003D0345" w:rsidP="008E79E3">
            <w:pPr>
              <w:jc w:val="center"/>
              <w:rPr>
                <w:sz w:val="20"/>
                <w:szCs w:val="20"/>
              </w:rPr>
            </w:pPr>
            <w:r w:rsidRPr="003D0345">
              <w:rPr>
                <w:rFonts w:eastAsia="Arial Unicode MS"/>
                <w:sz w:val="20"/>
                <w:szCs w:val="20"/>
              </w:rPr>
              <w:t>1 672</w:t>
            </w:r>
            <w:r>
              <w:rPr>
                <w:rFonts w:eastAsia="Arial Unicode MS"/>
                <w:sz w:val="20"/>
                <w:szCs w:val="20"/>
              </w:rPr>
              <w:t xml:space="preserve"> </w:t>
            </w:r>
            <w:r w:rsidR="002B1172">
              <w:rPr>
                <w:rFonts w:eastAsia="Arial Unicode MS"/>
                <w:sz w:val="20"/>
                <w:szCs w:val="20"/>
              </w:rPr>
              <w:t>012</w:t>
            </w:r>
          </w:p>
        </w:tc>
        <w:tc>
          <w:tcPr>
            <w:tcW w:w="1003" w:type="dxa"/>
            <w:shd w:val="clear" w:color="auto" w:fill="auto"/>
            <w:vAlign w:val="center"/>
            <w:hideMark/>
          </w:tcPr>
          <w:p w14:paraId="1BE9FE38" w14:textId="26F974F6" w:rsidR="00BD5588" w:rsidRPr="00F330F5" w:rsidRDefault="003D0345" w:rsidP="008E79E3">
            <w:pPr>
              <w:jc w:val="center"/>
              <w:rPr>
                <w:sz w:val="20"/>
                <w:szCs w:val="20"/>
              </w:rPr>
            </w:pPr>
            <w:r w:rsidRPr="003D0345">
              <w:rPr>
                <w:rFonts w:eastAsia="Arial Unicode MS"/>
                <w:sz w:val="20"/>
                <w:szCs w:val="20"/>
              </w:rPr>
              <w:t>897 002</w:t>
            </w:r>
          </w:p>
        </w:tc>
      </w:tr>
      <w:tr w:rsidR="00BA3006" w:rsidRPr="00F330F5" w14:paraId="4F11D73E" w14:textId="77777777" w:rsidTr="00BB6825">
        <w:trPr>
          <w:cantSplit/>
        </w:trPr>
        <w:tc>
          <w:tcPr>
            <w:tcW w:w="2181" w:type="dxa"/>
            <w:shd w:val="clear" w:color="auto" w:fill="auto"/>
            <w:hideMark/>
          </w:tcPr>
          <w:p w14:paraId="3FF4192B" w14:textId="77777777" w:rsidR="00BD5588" w:rsidRPr="00F330F5" w:rsidRDefault="00BD5588" w:rsidP="00227CBC">
            <w:pPr>
              <w:rPr>
                <w:szCs w:val="20"/>
                <w:lang w:eastAsia="en-US"/>
              </w:rPr>
            </w:pPr>
            <w:r w:rsidRPr="00F330F5">
              <w:rPr>
                <w:szCs w:val="20"/>
                <w:lang w:eastAsia="en-US"/>
              </w:rPr>
              <w:t>1.2. valsts speciālais budžets</w:t>
            </w:r>
          </w:p>
        </w:tc>
        <w:tc>
          <w:tcPr>
            <w:tcW w:w="1082" w:type="dxa"/>
            <w:shd w:val="clear" w:color="auto" w:fill="auto"/>
            <w:vAlign w:val="center"/>
            <w:hideMark/>
          </w:tcPr>
          <w:p w14:paraId="12766628" w14:textId="5EF9F857" w:rsidR="00BD5588" w:rsidRPr="00F330F5" w:rsidRDefault="008E79E3" w:rsidP="00227CBC">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6339D6B5" w14:textId="36B91BF7" w:rsidR="00BD5588" w:rsidRPr="00F330F5" w:rsidRDefault="008E79E3" w:rsidP="00227CBC">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3CEED737" w14:textId="76729DF5" w:rsidR="00BD5588" w:rsidRPr="00F330F5" w:rsidRDefault="008E79E3" w:rsidP="00227CBC">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31C31D51" w14:textId="23CA85FB" w:rsidR="00BD5588" w:rsidRPr="00F330F5" w:rsidRDefault="008E79E3" w:rsidP="00227CBC">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25487914" w14:textId="2B82C660" w:rsidR="00BD5588" w:rsidRPr="00F330F5" w:rsidRDefault="008E79E3" w:rsidP="00227CBC">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6859C722" w14:textId="468183A1" w:rsidR="00BD5588"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57395F82" w14:textId="6D9CEDFD" w:rsidR="00BD5588" w:rsidRPr="00F330F5" w:rsidRDefault="008E79E3" w:rsidP="00227CBC">
            <w:pPr>
              <w:jc w:val="center"/>
              <w:rPr>
                <w:sz w:val="20"/>
                <w:szCs w:val="20"/>
                <w:lang w:eastAsia="en-US"/>
              </w:rPr>
            </w:pPr>
            <w:r w:rsidRPr="00F330F5">
              <w:rPr>
                <w:sz w:val="20"/>
                <w:szCs w:val="20"/>
                <w:lang w:eastAsia="en-US"/>
              </w:rPr>
              <w:t>0</w:t>
            </w:r>
          </w:p>
        </w:tc>
      </w:tr>
      <w:tr w:rsidR="00BA3006" w:rsidRPr="00F330F5" w14:paraId="6C548400" w14:textId="77777777" w:rsidTr="00BB6825">
        <w:trPr>
          <w:cantSplit/>
        </w:trPr>
        <w:tc>
          <w:tcPr>
            <w:tcW w:w="2181" w:type="dxa"/>
            <w:shd w:val="clear" w:color="auto" w:fill="auto"/>
            <w:hideMark/>
          </w:tcPr>
          <w:p w14:paraId="7A7B3744" w14:textId="77777777" w:rsidR="00BD5588" w:rsidRPr="00F330F5" w:rsidRDefault="00BD5588" w:rsidP="00227CBC">
            <w:pPr>
              <w:rPr>
                <w:szCs w:val="20"/>
                <w:lang w:eastAsia="en-US"/>
              </w:rPr>
            </w:pPr>
            <w:r w:rsidRPr="00F330F5">
              <w:rPr>
                <w:szCs w:val="20"/>
                <w:lang w:eastAsia="en-US"/>
              </w:rPr>
              <w:t>1.3. pašvaldību budžets</w:t>
            </w:r>
          </w:p>
        </w:tc>
        <w:tc>
          <w:tcPr>
            <w:tcW w:w="1082" w:type="dxa"/>
            <w:shd w:val="clear" w:color="auto" w:fill="auto"/>
            <w:vAlign w:val="center"/>
            <w:hideMark/>
          </w:tcPr>
          <w:p w14:paraId="6404326C" w14:textId="53A43412" w:rsidR="00BD5588" w:rsidRPr="00F330F5" w:rsidRDefault="008E79E3" w:rsidP="00227CBC">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100F49DB" w14:textId="5D6E6F41" w:rsidR="00BD5588" w:rsidRPr="00F330F5" w:rsidRDefault="008E79E3" w:rsidP="00227CBC">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35910A43" w14:textId="70AEECD9" w:rsidR="00BD5588" w:rsidRPr="00F330F5" w:rsidRDefault="008E79E3" w:rsidP="00227CBC">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18436C8E" w14:textId="01C131AE" w:rsidR="00BD5588" w:rsidRPr="00F330F5" w:rsidRDefault="008E79E3" w:rsidP="00227CBC">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6DA8509C" w14:textId="6B9B829A" w:rsidR="00BD5588" w:rsidRPr="00F330F5" w:rsidRDefault="008E79E3" w:rsidP="00227CBC">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6D296662" w14:textId="47EE3619" w:rsidR="00BD5588" w:rsidRPr="00F330F5" w:rsidRDefault="008E79E3" w:rsidP="00227CBC">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6849A53A" w14:textId="189E3A12" w:rsidR="00BD5588" w:rsidRPr="00F330F5" w:rsidRDefault="008E79E3" w:rsidP="00227CBC">
            <w:pPr>
              <w:jc w:val="center"/>
              <w:rPr>
                <w:sz w:val="20"/>
                <w:szCs w:val="20"/>
                <w:lang w:eastAsia="en-US"/>
              </w:rPr>
            </w:pPr>
            <w:r w:rsidRPr="00F330F5">
              <w:rPr>
                <w:sz w:val="20"/>
                <w:szCs w:val="20"/>
                <w:lang w:eastAsia="en-US"/>
              </w:rPr>
              <w:t>0</w:t>
            </w:r>
          </w:p>
        </w:tc>
      </w:tr>
      <w:tr w:rsidR="00BA3006" w:rsidRPr="00F330F5" w14:paraId="7AE5B578" w14:textId="77777777" w:rsidTr="00BB6825">
        <w:trPr>
          <w:cantSplit/>
          <w:trHeight w:val="538"/>
        </w:trPr>
        <w:tc>
          <w:tcPr>
            <w:tcW w:w="2181" w:type="dxa"/>
            <w:shd w:val="clear" w:color="auto" w:fill="auto"/>
            <w:hideMark/>
          </w:tcPr>
          <w:p w14:paraId="0158DD5A" w14:textId="77777777" w:rsidR="008E79E3" w:rsidRPr="00F330F5" w:rsidRDefault="008E79E3" w:rsidP="008E79E3">
            <w:pPr>
              <w:rPr>
                <w:szCs w:val="20"/>
                <w:lang w:eastAsia="en-US"/>
              </w:rPr>
            </w:pPr>
            <w:r w:rsidRPr="00F330F5">
              <w:rPr>
                <w:szCs w:val="20"/>
                <w:lang w:eastAsia="en-US"/>
              </w:rPr>
              <w:t>2. Budžeta izdevumi</w:t>
            </w:r>
          </w:p>
        </w:tc>
        <w:tc>
          <w:tcPr>
            <w:tcW w:w="1082" w:type="dxa"/>
            <w:shd w:val="clear" w:color="auto" w:fill="auto"/>
            <w:vAlign w:val="center"/>
            <w:hideMark/>
          </w:tcPr>
          <w:p w14:paraId="49308828" w14:textId="6B7B6EDD"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65E444CA" w14:textId="263B4795"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012FF206" w14:textId="7959178E"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27646E3A" w14:textId="497A3422" w:rsidR="008E79E3" w:rsidRPr="00F330F5" w:rsidRDefault="008E79E3" w:rsidP="008E79E3">
            <w:pPr>
              <w:jc w:val="center"/>
              <w:rPr>
                <w:sz w:val="20"/>
                <w:szCs w:val="20"/>
                <w:lang w:eastAsia="en-US"/>
              </w:rPr>
            </w:pPr>
            <w:r w:rsidRPr="00F330F5">
              <w:rPr>
                <w:sz w:val="20"/>
                <w:szCs w:val="20"/>
                <w:lang w:eastAsia="en-US"/>
              </w:rPr>
              <w:t>358 801</w:t>
            </w:r>
          </w:p>
        </w:tc>
        <w:tc>
          <w:tcPr>
            <w:tcW w:w="946" w:type="dxa"/>
            <w:shd w:val="clear" w:color="auto" w:fill="auto"/>
            <w:vAlign w:val="center"/>
            <w:hideMark/>
          </w:tcPr>
          <w:p w14:paraId="52E57AB1" w14:textId="576AAE89"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48A0B28D" w14:textId="2ACBF496" w:rsidR="008E79E3" w:rsidRPr="00F330F5" w:rsidRDefault="003D0345" w:rsidP="008E79E3">
            <w:pPr>
              <w:jc w:val="center"/>
              <w:rPr>
                <w:sz w:val="20"/>
                <w:szCs w:val="20"/>
              </w:rPr>
            </w:pPr>
            <w:r w:rsidRPr="003D0345">
              <w:rPr>
                <w:rFonts w:eastAsia="Arial Unicode MS"/>
                <w:sz w:val="20"/>
                <w:szCs w:val="20"/>
              </w:rPr>
              <w:t>1 672</w:t>
            </w:r>
            <w:r>
              <w:rPr>
                <w:rFonts w:eastAsia="Arial Unicode MS"/>
                <w:sz w:val="20"/>
                <w:szCs w:val="20"/>
              </w:rPr>
              <w:t xml:space="preserve"> </w:t>
            </w:r>
            <w:r w:rsidR="002B1172">
              <w:rPr>
                <w:rFonts w:eastAsia="Arial Unicode MS"/>
                <w:sz w:val="20"/>
                <w:szCs w:val="20"/>
              </w:rPr>
              <w:t>012</w:t>
            </w:r>
          </w:p>
        </w:tc>
        <w:tc>
          <w:tcPr>
            <w:tcW w:w="1003" w:type="dxa"/>
            <w:shd w:val="clear" w:color="auto" w:fill="auto"/>
            <w:vAlign w:val="center"/>
            <w:hideMark/>
          </w:tcPr>
          <w:p w14:paraId="57EEB013" w14:textId="6D72EFC9" w:rsidR="008E79E3" w:rsidRPr="00F330F5" w:rsidRDefault="003D0345" w:rsidP="00BB6825">
            <w:pPr>
              <w:rPr>
                <w:i/>
                <w:iCs/>
                <w:color w:val="404040" w:themeColor="text1" w:themeTint="BF"/>
                <w:sz w:val="20"/>
                <w:szCs w:val="20"/>
              </w:rPr>
            </w:pPr>
            <w:r w:rsidRPr="003D0345">
              <w:rPr>
                <w:rFonts w:eastAsia="Arial Unicode MS"/>
                <w:sz w:val="20"/>
                <w:szCs w:val="20"/>
              </w:rPr>
              <w:t>897 002</w:t>
            </w:r>
          </w:p>
        </w:tc>
      </w:tr>
      <w:tr w:rsidR="00BA3006" w:rsidRPr="00F330F5" w14:paraId="682F4A4D" w14:textId="77777777" w:rsidTr="00BB6825">
        <w:trPr>
          <w:cantSplit/>
          <w:trHeight w:val="589"/>
        </w:trPr>
        <w:tc>
          <w:tcPr>
            <w:tcW w:w="2181" w:type="dxa"/>
            <w:shd w:val="clear" w:color="auto" w:fill="auto"/>
            <w:hideMark/>
          </w:tcPr>
          <w:p w14:paraId="596FC45D" w14:textId="77777777" w:rsidR="008E79E3" w:rsidRPr="00F330F5" w:rsidRDefault="008E79E3" w:rsidP="008E79E3">
            <w:pPr>
              <w:rPr>
                <w:szCs w:val="20"/>
                <w:lang w:eastAsia="en-US"/>
              </w:rPr>
            </w:pPr>
            <w:r w:rsidRPr="00F330F5">
              <w:rPr>
                <w:szCs w:val="20"/>
                <w:lang w:eastAsia="en-US"/>
              </w:rPr>
              <w:t>2.1. valsts pamatbudžets</w:t>
            </w:r>
          </w:p>
        </w:tc>
        <w:tc>
          <w:tcPr>
            <w:tcW w:w="1082" w:type="dxa"/>
            <w:shd w:val="clear" w:color="auto" w:fill="auto"/>
            <w:vAlign w:val="center"/>
            <w:hideMark/>
          </w:tcPr>
          <w:p w14:paraId="2FCD02B8" w14:textId="00519EDC"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66EE2C00" w14:textId="5093797E"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5A1AF010" w14:textId="69E9ABC7"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56787D83" w14:textId="6A094F1E" w:rsidR="008E79E3" w:rsidRPr="00F330F5" w:rsidRDefault="008E79E3" w:rsidP="008E79E3">
            <w:pPr>
              <w:jc w:val="center"/>
              <w:rPr>
                <w:sz w:val="20"/>
                <w:szCs w:val="20"/>
                <w:lang w:eastAsia="en-US"/>
              </w:rPr>
            </w:pPr>
            <w:r w:rsidRPr="00F330F5">
              <w:rPr>
                <w:sz w:val="20"/>
                <w:szCs w:val="20"/>
                <w:lang w:eastAsia="en-US"/>
              </w:rPr>
              <w:t>358 801</w:t>
            </w:r>
          </w:p>
        </w:tc>
        <w:tc>
          <w:tcPr>
            <w:tcW w:w="946" w:type="dxa"/>
            <w:shd w:val="clear" w:color="auto" w:fill="auto"/>
            <w:vAlign w:val="center"/>
            <w:hideMark/>
          </w:tcPr>
          <w:p w14:paraId="6773F36A" w14:textId="32B6B37C"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664E07C4" w14:textId="7B802113" w:rsidR="008E79E3" w:rsidRPr="00F330F5" w:rsidRDefault="003D0345" w:rsidP="008E79E3">
            <w:pPr>
              <w:jc w:val="center"/>
              <w:rPr>
                <w:sz w:val="20"/>
                <w:szCs w:val="20"/>
              </w:rPr>
            </w:pPr>
            <w:r w:rsidRPr="003D0345">
              <w:rPr>
                <w:rFonts w:eastAsia="Arial Unicode MS"/>
                <w:sz w:val="20"/>
                <w:szCs w:val="20"/>
              </w:rPr>
              <w:t>1 672</w:t>
            </w:r>
            <w:r>
              <w:rPr>
                <w:rFonts w:eastAsia="Arial Unicode MS"/>
                <w:sz w:val="20"/>
                <w:szCs w:val="20"/>
              </w:rPr>
              <w:t xml:space="preserve"> </w:t>
            </w:r>
            <w:r w:rsidR="002B1172">
              <w:rPr>
                <w:rFonts w:eastAsia="Arial Unicode MS"/>
                <w:sz w:val="20"/>
                <w:szCs w:val="20"/>
              </w:rPr>
              <w:t>012</w:t>
            </w:r>
          </w:p>
        </w:tc>
        <w:tc>
          <w:tcPr>
            <w:tcW w:w="1003" w:type="dxa"/>
            <w:shd w:val="clear" w:color="auto" w:fill="auto"/>
            <w:vAlign w:val="center"/>
            <w:hideMark/>
          </w:tcPr>
          <w:p w14:paraId="5A8CD75F" w14:textId="7349D320" w:rsidR="008E79E3" w:rsidRPr="00F330F5" w:rsidRDefault="008E79E3" w:rsidP="008E79E3">
            <w:pPr>
              <w:jc w:val="center"/>
              <w:rPr>
                <w:sz w:val="20"/>
                <w:szCs w:val="20"/>
              </w:rPr>
            </w:pPr>
            <w:r w:rsidRPr="00F330F5">
              <w:rPr>
                <w:rFonts w:eastAsia="Arial Unicode MS"/>
                <w:sz w:val="20"/>
                <w:szCs w:val="20"/>
              </w:rPr>
              <w:t>717 602</w:t>
            </w:r>
          </w:p>
        </w:tc>
      </w:tr>
      <w:tr w:rsidR="00BA3006" w:rsidRPr="00F330F5" w14:paraId="1D822424" w14:textId="77777777" w:rsidTr="00BB6825">
        <w:trPr>
          <w:cantSplit/>
          <w:trHeight w:val="498"/>
        </w:trPr>
        <w:tc>
          <w:tcPr>
            <w:tcW w:w="2181" w:type="dxa"/>
            <w:shd w:val="clear" w:color="auto" w:fill="auto"/>
            <w:hideMark/>
          </w:tcPr>
          <w:p w14:paraId="7942504C" w14:textId="77777777" w:rsidR="008E79E3" w:rsidRPr="00F330F5" w:rsidRDefault="008E79E3" w:rsidP="008E79E3">
            <w:pPr>
              <w:rPr>
                <w:szCs w:val="20"/>
                <w:lang w:eastAsia="en-US"/>
              </w:rPr>
            </w:pPr>
            <w:r w:rsidRPr="00F330F5">
              <w:rPr>
                <w:szCs w:val="20"/>
                <w:lang w:eastAsia="en-US"/>
              </w:rPr>
              <w:t>2.2. valsts speciālais budžets</w:t>
            </w:r>
          </w:p>
        </w:tc>
        <w:tc>
          <w:tcPr>
            <w:tcW w:w="1082" w:type="dxa"/>
            <w:shd w:val="clear" w:color="auto" w:fill="auto"/>
            <w:vAlign w:val="center"/>
            <w:hideMark/>
          </w:tcPr>
          <w:p w14:paraId="000F7C22" w14:textId="56481AB0"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6D19D607" w14:textId="113FAA7C"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1334B4CC" w14:textId="446FE19C"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6808A6BC" w14:textId="5A0C7A05"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2EF17614" w14:textId="2BB1F732"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004BB9CE" w14:textId="656509C9"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7423D3D2" w14:textId="6AB21894"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6D8C2986" w14:textId="77777777" w:rsidTr="00BB6825">
        <w:trPr>
          <w:cantSplit/>
          <w:trHeight w:val="650"/>
        </w:trPr>
        <w:tc>
          <w:tcPr>
            <w:tcW w:w="2181" w:type="dxa"/>
            <w:shd w:val="clear" w:color="auto" w:fill="auto"/>
            <w:hideMark/>
          </w:tcPr>
          <w:p w14:paraId="24B13CE4" w14:textId="77777777" w:rsidR="008E79E3" w:rsidRPr="00F330F5" w:rsidRDefault="008E79E3" w:rsidP="008E79E3">
            <w:pPr>
              <w:rPr>
                <w:szCs w:val="20"/>
                <w:lang w:eastAsia="en-US"/>
              </w:rPr>
            </w:pPr>
            <w:r w:rsidRPr="00F330F5">
              <w:rPr>
                <w:szCs w:val="20"/>
                <w:lang w:eastAsia="en-US"/>
              </w:rPr>
              <w:t>2.3. pašvaldību budžets</w:t>
            </w:r>
          </w:p>
        </w:tc>
        <w:tc>
          <w:tcPr>
            <w:tcW w:w="1082" w:type="dxa"/>
            <w:shd w:val="clear" w:color="auto" w:fill="auto"/>
            <w:vAlign w:val="center"/>
            <w:hideMark/>
          </w:tcPr>
          <w:p w14:paraId="3E79B911" w14:textId="2734B7B2"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5EBD8A87" w14:textId="1261521E" w:rsidR="008E79E3" w:rsidRPr="00F330F5" w:rsidRDefault="008E79E3" w:rsidP="001A4228">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28785694" w14:textId="132F023B"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2B9E3712" w14:textId="70354EF1"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6FB37611" w14:textId="4822551B"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52C563C9" w14:textId="6827D9D4"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7991E85D" w14:textId="34AB6A11"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2B53B9CA" w14:textId="77777777" w:rsidTr="00BB6825">
        <w:trPr>
          <w:cantSplit/>
          <w:trHeight w:val="488"/>
        </w:trPr>
        <w:tc>
          <w:tcPr>
            <w:tcW w:w="2181" w:type="dxa"/>
            <w:shd w:val="clear" w:color="auto" w:fill="auto"/>
            <w:hideMark/>
          </w:tcPr>
          <w:p w14:paraId="3521EFB1" w14:textId="19740144" w:rsidR="008E79E3" w:rsidRPr="00F330F5" w:rsidRDefault="008E79E3" w:rsidP="008E79E3">
            <w:pPr>
              <w:rPr>
                <w:szCs w:val="20"/>
                <w:lang w:eastAsia="en-US"/>
              </w:rPr>
            </w:pPr>
            <w:r w:rsidRPr="00F330F5">
              <w:rPr>
                <w:szCs w:val="20"/>
                <w:lang w:eastAsia="en-US"/>
              </w:rPr>
              <w:t>3. Finansiālā ietekme</w:t>
            </w:r>
          </w:p>
        </w:tc>
        <w:tc>
          <w:tcPr>
            <w:tcW w:w="1082" w:type="dxa"/>
            <w:shd w:val="clear" w:color="auto" w:fill="auto"/>
            <w:vAlign w:val="center"/>
            <w:hideMark/>
          </w:tcPr>
          <w:p w14:paraId="71F5366F" w14:textId="0FAC3536"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6736380F" w14:textId="3A97F628"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26117B7B" w14:textId="0D753BC6"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07BAE3F8" w14:textId="34FBF738"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27C8631B" w14:textId="414800C0"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4D8EDD9F" w14:textId="0251A4B0"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7CD8FC4B" w14:textId="54E37279"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178DD280" w14:textId="77777777" w:rsidTr="00BB6825">
        <w:trPr>
          <w:cantSplit/>
        </w:trPr>
        <w:tc>
          <w:tcPr>
            <w:tcW w:w="2181" w:type="dxa"/>
            <w:shd w:val="clear" w:color="auto" w:fill="auto"/>
            <w:hideMark/>
          </w:tcPr>
          <w:p w14:paraId="460B4DA1" w14:textId="6EF387C3" w:rsidR="008E79E3" w:rsidRPr="00F330F5" w:rsidRDefault="008E79E3" w:rsidP="008E79E3">
            <w:pPr>
              <w:rPr>
                <w:szCs w:val="20"/>
                <w:lang w:eastAsia="en-US"/>
              </w:rPr>
            </w:pPr>
            <w:r w:rsidRPr="00F330F5">
              <w:rPr>
                <w:szCs w:val="20"/>
                <w:lang w:eastAsia="en-US"/>
              </w:rPr>
              <w:t>3.1. valsts pamatbudžets</w:t>
            </w:r>
          </w:p>
        </w:tc>
        <w:tc>
          <w:tcPr>
            <w:tcW w:w="1082" w:type="dxa"/>
            <w:shd w:val="clear" w:color="auto" w:fill="auto"/>
            <w:vAlign w:val="center"/>
            <w:hideMark/>
          </w:tcPr>
          <w:p w14:paraId="3AADEBC3" w14:textId="5C820559"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3D3A5C40" w14:textId="72CB2B47"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02F1D6E0" w14:textId="6582C018"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12CCF7C4" w14:textId="1127ACBD"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5C49CA02" w14:textId="3A1A7600"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15D79B3A" w14:textId="242DB658"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0B6AB426" w14:textId="6189D2E5"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49D14A0C" w14:textId="77777777" w:rsidTr="00BB6825">
        <w:trPr>
          <w:cantSplit/>
          <w:trHeight w:val="404"/>
        </w:trPr>
        <w:tc>
          <w:tcPr>
            <w:tcW w:w="2181" w:type="dxa"/>
            <w:shd w:val="clear" w:color="auto" w:fill="auto"/>
            <w:hideMark/>
          </w:tcPr>
          <w:p w14:paraId="36D130EC" w14:textId="77777777" w:rsidR="008E79E3" w:rsidRPr="00F330F5" w:rsidRDefault="008E79E3" w:rsidP="008E79E3">
            <w:pPr>
              <w:rPr>
                <w:szCs w:val="20"/>
                <w:lang w:eastAsia="en-US"/>
              </w:rPr>
            </w:pPr>
            <w:r w:rsidRPr="00F330F5">
              <w:rPr>
                <w:szCs w:val="20"/>
                <w:lang w:eastAsia="en-US"/>
              </w:rPr>
              <w:t>3.2. speciālais budžets</w:t>
            </w:r>
          </w:p>
        </w:tc>
        <w:tc>
          <w:tcPr>
            <w:tcW w:w="1082" w:type="dxa"/>
            <w:shd w:val="clear" w:color="auto" w:fill="auto"/>
            <w:vAlign w:val="center"/>
            <w:hideMark/>
          </w:tcPr>
          <w:p w14:paraId="124E9EF6" w14:textId="03141209"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6D34F2F2" w14:textId="77483F52"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235914DE" w14:textId="64103627"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2B82524E" w14:textId="08B9075E"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419C4304" w14:textId="3D5C59DF"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22C3D1A3" w14:textId="1AF086BF"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4D4E243E" w14:textId="7F6C9013"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3FBF2638" w14:textId="77777777" w:rsidTr="00BB6825">
        <w:trPr>
          <w:cantSplit/>
          <w:trHeight w:val="396"/>
        </w:trPr>
        <w:tc>
          <w:tcPr>
            <w:tcW w:w="2181" w:type="dxa"/>
            <w:shd w:val="clear" w:color="auto" w:fill="auto"/>
            <w:hideMark/>
          </w:tcPr>
          <w:p w14:paraId="7D127AEF" w14:textId="77777777" w:rsidR="008E79E3" w:rsidRPr="00F330F5" w:rsidRDefault="008E79E3" w:rsidP="008E79E3">
            <w:pPr>
              <w:rPr>
                <w:szCs w:val="20"/>
                <w:lang w:eastAsia="en-US"/>
              </w:rPr>
            </w:pPr>
            <w:r w:rsidRPr="00F330F5">
              <w:rPr>
                <w:szCs w:val="20"/>
                <w:lang w:eastAsia="en-US"/>
              </w:rPr>
              <w:t>3.3. pašvaldību budžets</w:t>
            </w:r>
          </w:p>
        </w:tc>
        <w:tc>
          <w:tcPr>
            <w:tcW w:w="1082" w:type="dxa"/>
            <w:shd w:val="clear" w:color="auto" w:fill="auto"/>
            <w:vAlign w:val="center"/>
            <w:hideMark/>
          </w:tcPr>
          <w:p w14:paraId="49031517" w14:textId="3404898F"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164CED59" w14:textId="29B228CC"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203A2894" w14:textId="5CFA6369"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723386E9" w14:textId="49DAAA2E" w:rsidR="008E79E3" w:rsidRPr="00F330F5" w:rsidRDefault="001A4228" w:rsidP="001A4228">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3DCB8DFC" w14:textId="51D5D0EB"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4512C168" w14:textId="12BCA928"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7B9289D8" w14:textId="02E036E5"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3C95CD7E" w14:textId="77777777" w:rsidTr="00BB6825">
        <w:trPr>
          <w:cantSplit/>
          <w:trHeight w:val="1894"/>
        </w:trPr>
        <w:tc>
          <w:tcPr>
            <w:tcW w:w="2181" w:type="dxa"/>
            <w:shd w:val="clear" w:color="auto" w:fill="auto"/>
            <w:hideMark/>
          </w:tcPr>
          <w:p w14:paraId="232A0AD6" w14:textId="77777777" w:rsidR="008E79E3" w:rsidRPr="00F330F5" w:rsidRDefault="008E79E3" w:rsidP="008E79E3">
            <w:pPr>
              <w:rPr>
                <w:szCs w:val="20"/>
                <w:lang w:eastAsia="en-US"/>
              </w:rPr>
            </w:pPr>
            <w:r w:rsidRPr="00F330F5">
              <w:rPr>
                <w:szCs w:val="20"/>
                <w:lang w:eastAsia="en-US"/>
              </w:rPr>
              <w:t>4. Finanšu līdzekļi papildu izdevumu finansēšanai (kompensējošu izdevumu samazinājumu norāda ar "+" zīmi)</w:t>
            </w:r>
          </w:p>
        </w:tc>
        <w:tc>
          <w:tcPr>
            <w:tcW w:w="1082" w:type="dxa"/>
            <w:shd w:val="clear" w:color="auto" w:fill="auto"/>
            <w:vAlign w:val="center"/>
            <w:hideMark/>
          </w:tcPr>
          <w:p w14:paraId="1EEE7B14" w14:textId="2D1E05D3"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3DF45EBF" w14:textId="32D3E543" w:rsidR="008E79E3" w:rsidRPr="00F330F5" w:rsidRDefault="008E79E3" w:rsidP="008E79E3">
            <w:pPr>
              <w:jc w:val="center"/>
              <w:rPr>
                <w:sz w:val="20"/>
                <w:szCs w:val="20"/>
                <w:lang w:eastAsia="en-US"/>
              </w:rPr>
            </w:pPr>
            <w:r w:rsidRPr="00F330F5">
              <w:rPr>
                <w:sz w:val="20"/>
                <w:szCs w:val="20"/>
                <w:lang w:eastAsia="en-US"/>
              </w:rPr>
              <w:t>0</w:t>
            </w:r>
          </w:p>
        </w:tc>
        <w:tc>
          <w:tcPr>
            <w:tcW w:w="947" w:type="dxa"/>
            <w:shd w:val="clear" w:color="auto" w:fill="auto"/>
            <w:vAlign w:val="center"/>
            <w:hideMark/>
          </w:tcPr>
          <w:p w14:paraId="62E38CDE" w14:textId="66AE0F7E"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4EA0056D" w14:textId="3FE5D2E6"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04542C78" w14:textId="2C3A9A96" w:rsidR="008E79E3" w:rsidRPr="00F330F5" w:rsidRDefault="008E79E3" w:rsidP="00F00680">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65C9E60E" w14:textId="05A630B0"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0D8B85B9" w14:textId="6EA6AAC2"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1ACA6370" w14:textId="77777777" w:rsidTr="00BB6825">
        <w:trPr>
          <w:cantSplit/>
        </w:trPr>
        <w:tc>
          <w:tcPr>
            <w:tcW w:w="2181" w:type="dxa"/>
            <w:shd w:val="clear" w:color="auto" w:fill="auto"/>
            <w:hideMark/>
          </w:tcPr>
          <w:p w14:paraId="59F938F5" w14:textId="77777777" w:rsidR="008E79E3" w:rsidRPr="00F330F5" w:rsidRDefault="008E79E3" w:rsidP="008E79E3">
            <w:pPr>
              <w:rPr>
                <w:szCs w:val="20"/>
                <w:lang w:eastAsia="en-US"/>
              </w:rPr>
            </w:pPr>
            <w:r w:rsidRPr="00F330F5">
              <w:rPr>
                <w:szCs w:val="20"/>
                <w:lang w:eastAsia="en-US"/>
              </w:rPr>
              <w:t>5. Precizēta finansiālā ietekme</w:t>
            </w:r>
          </w:p>
        </w:tc>
        <w:tc>
          <w:tcPr>
            <w:tcW w:w="1082" w:type="dxa"/>
            <w:vMerge w:val="restart"/>
            <w:shd w:val="clear" w:color="auto" w:fill="auto"/>
            <w:vAlign w:val="center"/>
            <w:hideMark/>
          </w:tcPr>
          <w:p w14:paraId="490AF535" w14:textId="73D23615" w:rsidR="008E79E3" w:rsidRPr="00F330F5" w:rsidRDefault="008E79E3" w:rsidP="008E79E3">
            <w:pPr>
              <w:jc w:val="center"/>
              <w:rPr>
                <w:sz w:val="20"/>
                <w:szCs w:val="20"/>
                <w:lang w:eastAsia="en-US"/>
              </w:rPr>
            </w:pPr>
            <w:r w:rsidRPr="00F330F5">
              <w:rPr>
                <w:sz w:val="20"/>
                <w:szCs w:val="20"/>
                <w:lang w:eastAsia="en-US"/>
              </w:rPr>
              <w:t>0</w:t>
            </w:r>
          </w:p>
        </w:tc>
        <w:tc>
          <w:tcPr>
            <w:tcW w:w="1080" w:type="dxa"/>
            <w:shd w:val="clear" w:color="auto" w:fill="auto"/>
            <w:vAlign w:val="center"/>
            <w:hideMark/>
          </w:tcPr>
          <w:p w14:paraId="446DC2CD" w14:textId="060F1C4D" w:rsidR="008E79E3" w:rsidRPr="00F330F5" w:rsidRDefault="008E79E3" w:rsidP="008E79E3">
            <w:pPr>
              <w:jc w:val="center"/>
              <w:rPr>
                <w:sz w:val="20"/>
                <w:szCs w:val="20"/>
                <w:lang w:eastAsia="en-US"/>
              </w:rPr>
            </w:pPr>
            <w:r w:rsidRPr="00F330F5">
              <w:rPr>
                <w:sz w:val="20"/>
                <w:szCs w:val="20"/>
                <w:lang w:eastAsia="en-US"/>
              </w:rPr>
              <w:t>0</w:t>
            </w:r>
          </w:p>
        </w:tc>
        <w:tc>
          <w:tcPr>
            <w:tcW w:w="947" w:type="dxa"/>
            <w:vMerge w:val="restart"/>
            <w:shd w:val="clear" w:color="auto" w:fill="auto"/>
            <w:vAlign w:val="center"/>
            <w:hideMark/>
          </w:tcPr>
          <w:p w14:paraId="41D7166D" w14:textId="3E954A56" w:rsidR="008E79E3" w:rsidRPr="00F330F5" w:rsidRDefault="008E79E3" w:rsidP="008E79E3">
            <w:pPr>
              <w:jc w:val="center"/>
              <w:rPr>
                <w:sz w:val="20"/>
                <w:szCs w:val="20"/>
                <w:lang w:eastAsia="en-US"/>
              </w:rPr>
            </w:pPr>
            <w:r w:rsidRPr="00F330F5">
              <w:rPr>
                <w:sz w:val="20"/>
                <w:szCs w:val="20"/>
                <w:lang w:eastAsia="en-US"/>
              </w:rPr>
              <w:t>0</w:t>
            </w:r>
          </w:p>
        </w:tc>
        <w:tc>
          <w:tcPr>
            <w:tcW w:w="946" w:type="dxa"/>
            <w:shd w:val="clear" w:color="auto" w:fill="auto"/>
            <w:vAlign w:val="center"/>
            <w:hideMark/>
          </w:tcPr>
          <w:p w14:paraId="73843946" w14:textId="3D72D3C1" w:rsidR="008E79E3" w:rsidRPr="00F330F5" w:rsidRDefault="008E79E3" w:rsidP="008E79E3">
            <w:pPr>
              <w:jc w:val="center"/>
              <w:rPr>
                <w:sz w:val="20"/>
                <w:szCs w:val="20"/>
                <w:lang w:eastAsia="en-US"/>
              </w:rPr>
            </w:pPr>
            <w:r w:rsidRPr="00F330F5">
              <w:rPr>
                <w:sz w:val="20"/>
                <w:szCs w:val="20"/>
                <w:lang w:eastAsia="en-US"/>
              </w:rPr>
              <w:t>0</w:t>
            </w:r>
          </w:p>
        </w:tc>
        <w:tc>
          <w:tcPr>
            <w:tcW w:w="946" w:type="dxa"/>
            <w:vMerge w:val="restart"/>
            <w:shd w:val="clear" w:color="auto" w:fill="auto"/>
            <w:vAlign w:val="center"/>
            <w:hideMark/>
          </w:tcPr>
          <w:p w14:paraId="32961EED" w14:textId="11712540" w:rsidR="008E79E3" w:rsidRPr="00F330F5" w:rsidRDefault="008E79E3" w:rsidP="008E79E3">
            <w:pPr>
              <w:jc w:val="center"/>
              <w:rPr>
                <w:sz w:val="20"/>
                <w:szCs w:val="20"/>
                <w:lang w:eastAsia="en-US"/>
              </w:rPr>
            </w:pPr>
            <w:r w:rsidRPr="00F330F5">
              <w:rPr>
                <w:sz w:val="20"/>
                <w:szCs w:val="20"/>
                <w:lang w:eastAsia="en-US"/>
              </w:rPr>
              <w:t>0</w:t>
            </w:r>
          </w:p>
        </w:tc>
        <w:tc>
          <w:tcPr>
            <w:tcW w:w="946" w:type="dxa"/>
            <w:gridSpan w:val="2"/>
            <w:shd w:val="clear" w:color="auto" w:fill="auto"/>
            <w:vAlign w:val="center"/>
            <w:hideMark/>
          </w:tcPr>
          <w:p w14:paraId="442D4489" w14:textId="0498E564"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17AB1ED4" w14:textId="0AF1BDD5"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25A3BF52" w14:textId="77777777" w:rsidTr="00BB6825">
        <w:trPr>
          <w:cantSplit/>
        </w:trPr>
        <w:tc>
          <w:tcPr>
            <w:tcW w:w="2181" w:type="dxa"/>
            <w:shd w:val="clear" w:color="auto" w:fill="auto"/>
            <w:hideMark/>
          </w:tcPr>
          <w:p w14:paraId="615590E8" w14:textId="77777777" w:rsidR="008E79E3" w:rsidRPr="00F330F5" w:rsidRDefault="008E79E3" w:rsidP="008E79E3">
            <w:pPr>
              <w:rPr>
                <w:szCs w:val="20"/>
                <w:lang w:eastAsia="en-US"/>
              </w:rPr>
            </w:pPr>
            <w:r w:rsidRPr="00F330F5">
              <w:rPr>
                <w:szCs w:val="20"/>
                <w:lang w:eastAsia="en-US"/>
              </w:rPr>
              <w:t>5.1. valsts pamatbudžets</w:t>
            </w:r>
          </w:p>
        </w:tc>
        <w:tc>
          <w:tcPr>
            <w:tcW w:w="1082" w:type="dxa"/>
            <w:vMerge/>
            <w:shd w:val="clear" w:color="auto" w:fill="auto"/>
            <w:vAlign w:val="center"/>
            <w:hideMark/>
          </w:tcPr>
          <w:p w14:paraId="2AA51097" w14:textId="77777777" w:rsidR="008E79E3" w:rsidRPr="00F330F5" w:rsidRDefault="008E79E3" w:rsidP="008E79E3">
            <w:pPr>
              <w:jc w:val="center"/>
              <w:rPr>
                <w:sz w:val="20"/>
                <w:szCs w:val="20"/>
                <w:lang w:eastAsia="en-US"/>
              </w:rPr>
            </w:pPr>
          </w:p>
        </w:tc>
        <w:tc>
          <w:tcPr>
            <w:tcW w:w="1080" w:type="dxa"/>
            <w:shd w:val="clear" w:color="auto" w:fill="auto"/>
            <w:vAlign w:val="center"/>
            <w:hideMark/>
          </w:tcPr>
          <w:p w14:paraId="197A3172" w14:textId="0CBD6B1A" w:rsidR="008E79E3" w:rsidRPr="00F330F5" w:rsidRDefault="008E79E3" w:rsidP="008E79E3">
            <w:pPr>
              <w:jc w:val="center"/>
              <w:rPr>
                <w:sz w:val="20"/>
                <w:szCs w:val="20"/>
                <w:lang w:eastAsia="en-US"/>
              </w:rPr>
            </w:pPr>
            <w:r w:rsidRPr="00F330F5">
              <w:rPr>
                <w:sz w:val="20"/>
                <w:szCs w:val="20"/>
                <w:lang w:eastAsia="en-US"/>
              </w:rPr>
              <w:t>0</w:t>
            </w:r>
          </w:p>
        </w:tc>
        <w:tc>
          <w:tcPr>
            <w:tcW w:w="947" w:type="dxa"/>
            <w:vMerge/>
            <w:shd w:val="clear" w:color="auto" w:fill="auto"/>
            <w:vAlign w:val="center"/>
            <w:hideMark/>
          </w:tcPr>
          <w:p w14:paraId="7FC7ABEA" w14:textId="77777777" w:rsidR="008E79E3" w:rsidRPr="00F330F5" w:rsidRDefault="008E79E3" w:rsidP="008E79E3">
            <w:pPr>
              <w:jc w:val="center"/>
              <w:rPr>
                <w:sz w:val="20"/>
                <w:szCs w:val="20"/>
                <w:lang w:eastAsia="en-US"/>
              </w:rPr>
            </w:pPr>
          </w:p>
        </w:tc>
        <w:tc>
          <w:tcPr>
            <w:tcW w:w="946" w:type="dxa"/>
            <w:shd w:val="clear" w:color="auto" w:fill="auto"/>
            <w:vAlign w:val="center"/>
            <w:hideMark/>
          </w:tcPr>
          <w:p w14:paraId="2A1B377B" w14:textId="793266F4" w:rsidR="008E79E3" w:rsidRPr="00F330F5" w:rsidRDefault="008E79E3" w:rsidP="008E79E3">
            <w:pPr>
              <w:jc w:val="center"/>
              <w:rPr>
                <w:sz w:val="20"/>
                <w:szCs w:val="20"/>
                <w:lang w:eastAsia="en-US"/>
              </w:rPr>
            </w:pPr>
            <w:r w:rsidRPr="00F330F5">
              <w:rPr>
                <w:sz w:val="20"/>
                <w:szCs w:val="20"/>
                <w:lang w:eastAsia="en-US"/>
              </w:rPr>
              <w:t>0</w:t>
            </w:r>
          </w:p>
        </w:tc>
        <w:tc>
          <w:tcPr>
            <w:tcW w:w="946" w:type="dxa"/>
            <w:vMerge/>
            <w:shd w:val="clear" w:color="auto" w:fill="auto"/>
            <w:vAlign w:val="center"/>
            <w:hideMark/>
          </w:tcPr>
          <w:p w14:paraId="712C2CBE" w14:textId="77777777" w:rsidR="008E79E3" w:rsidRPr="00F330F5" w:rsidRDefault="008E79E3" w:rsidP="008E79E3">
            <w:pPr>
              <w:jc w:val="center"/>
              <w:rPr>
                <w:sz w:val="20"/>
                <w:szCs w:val="20"/>
                <w:lang w:eastAsia="en-US"/>
              </w:rPr>
            </w:pPr>
          </w:p>
        </w:tc>
        <w:tc>
          <w:tcPr>
            <w:tcW w:w="946" w:type="dxa"/>
            <w:gridSpan w:val="2"/>
            <w:shd w:val="clear" w:color="auto" w:fill="auto"/>
            <w:vAlign w:val="center"/>
            <w:hideMark/>
          </w:tcPr>
          <w:p w14:paraId="46BD64AB" w14:textId="15DEFA52" w:rsidR="001A4228" w:rsidRPr="00F330F5" w:rsidRDefault="001A4228" w:rsidP="001A4228">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6ACBC079" w14:textId="770C4767"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66B6CD6D" w14:textId="77777777" w:rsidTr="00BB6825">
        <w:trPr>
          <w:cantSplit/>
          <w:trHeight w:val="303"/>
        </w:trPr>
        <w:tc>
          <w:tcPr>
            <w:tcW w:w="2181" w:type="dxa"/>
            <w:shd w:val="clear" w:color="auto" w:fill="auto"/>
            <w:hideMark/>
          </w:tcPr>
          <w:p w14:paraId="15EF6CDB" w14:textId="4506184C" w:rsidR="008E79E3" w:rsidRPr="00F330F5" w:rsidRDefault="008E79E3" w:rsidP="008E79E3">
            <w:pPr>
              <w:rPr>
                <w:szCs w:val="20"/>
                <w:lang w:eastAsia="en-US"/>
              </w:rPr>
            </w:pPr>
            <w:r w:rsidRPr="00F330F5">
              <w:rPr>
                <w:szCs w:val="20"/>
                <w:lang w:eastAsia="en-US"/>
              </w:rPr>
              <w:t>5.2. speciālais budžets</w:t>
            </w:r>
          </w:p>
        </w:tc>
        <w:tc>
          <w:tcPr>
            <w:tcW w:w="1082" w:type="dxa"/>
            <w:vMerge/>
            <w:shd w:val="clear" w:color="auto" w:fill="auto"/>
            <w:vAlign w:val="center"/>
            <w:hideMark/>
          </w:tcPr>
          <w:p w14:paraId="1D2FCCA7" w14:textId="77777777" w:rsidR="008E79E3" w:rsidRPr="00F330F5" w:rsidRDefault="008E79E3" w:rsidP="008E79E3">
            <w:pPr>
              <w:jc w:val="center"/>
              <w:rPr>
                <w:sz w:val="20"/>
                <w:szCs w:val="20"/>
                <w:lang w:eastAsia="en-US"/>
              </w:rPr>
            </w:pPr>
          </w:p>
        </w:tc>
        <w:tc>
          <w:tcPr>
            <w:tcW w:w="1080" w:type="dxa"/>
            <w:shd w:val="clear" w:color="auto" w:fill="auto"/>
            <w:vAlign w:val="center"/>
            <w:hideMark/>
          </w:tcPr>
          <w:p w14:paraId="4DCAD3E5" w14:textId="59C26F9A" w:rsidR="008E79E3" w:rsidRPr="00F330F5" w:rsidRDefault="008E79E3" w:rsidP="008E79E3">
            <w:pPr>
              <w:jc w:val="center"/>
              <w:rPr>
                <w:sz w:val="20"/>
                <w:szCs w:val="20"/>
                <w:lang w:eastAsia="en-US"/>
              </w:rPr>
            </w:pPr>
            <w:r w:rsidRPr="00F330F5">
              <w:rPr>
                <w:sz w:val="20"/>
                <w:szCs w:val="20"/>
                <w:lang w:eastAsia="en-US"/>
              </w:rPr>
              <w:t>0</w:t>
            </w:r>
          </w:p>
        </w:tc>
        <w:tc>
          <w:tcPr>
            <w:tcW w:w="947" w:type="dxa"/>
            <w:vMerge/>
            <w:shd w:val="clear" w:color="auto" w:fill="auto"/>
            <w:vAlign w:val="center"/>
            <w:hideMark/>
          </w:tcPr>
          <w:p w14:paraId="792FDEFD" w14:textId="77777777" w:rsidR="008E79E3" w:rsidRPr="00F330F5" w:rsidRDefault="008E79E3" w:rsidP="008E79E3">
            <w:pPr>
              <w:jc w:val="center"/>
              <w:rPr>
                <w:sz w:val="20"/>
                <w:szCs w:val="20"/>
                <w:lang w:eastAsia="en-US"/>
              </w:rPr>
            </w:pPr>
          </w:p>
        </w:tc>
        <w:tc>
          <w:tcPr>
            <w:tcW w:w="946" w:type="dxa"/>
            <w:shd w:val="clear" w:color="auto" w:fill="auto"/>
            <w:vAlign w:val="center"/>
            <w:hideMark/>
          </w:tcPr>
          <w:p w14:paraId="3C8A9835" w14:textId="1DA4A8A9" w:rsidR="008E79E3" w:rsidRPr="00F330F5" w:rsidRDefault="008E79E3" w:rsidP="008E79E3">
            <w:pPr>
              <w:jc w:val="center"/>
              <w:rPr>
                <w:sz w:val="20"/>
                <w:szCs w:val="20"/>
                <w:lang w:eastAsia="en-US"/>
              </w:rPr>
            </w:pPr>
            <w:r w:rsidRPr="00F330F5">
              <w:rPr>
                <w:sz w:val="20"/>
                <w:szCs w:val="20"/>
                <w:lang w:eastAsia="en-US"/>
              </w:rPr>
              <w:t>0</w:t>
            </w:r>
          </w:p>
        </w:tc>
        <w:tc>
          <w:tcPr>
            <w:tcW w:w="946" w:type="dxa"/>
            <w:vMerge/>
            <w:shd w:val="clear" w:color="auto" w:fill="auto"/>
            <w:vAlign w:val="center"/>
            <w:hideMark/>
          </w:tcPr>
          <w:p w14:paraId="2BFDEC51" w14:textId="77777777" w:rsidR="008E79E3" w:rsidRPr="00F330F5" w:rsidRDefault="008E79E3" w:rsidP="008E79E3">
            <w:pPr>
              <w:jc w:val="center"/>
              <w:rPr>
                <w:sz w:val="20"/>
                <w:szCs w:val="20"/>
                <w:lang w:eastAsia="en-US"/>
              </w:rPr>
            </w:pPr>
          </w:p>
        </w:tc>
        <w:tc>
          <w:tcPr>
            <w:tcW w:w="946" w:type="dxa"/>
            <w:gridSpan w:val="2"/>
            <w:shd w:val="clear" w:color="auto" w:fill="auto"/>
            <w:vAlign w:val="center"/>
            <w:hideMark/>
          </w:tcPr>
          <w:p w14:paraId="475FA8B5" w14:textId="691317C7"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3BD7F3F5" w14:textId="2D1C2F02"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0A0AC6FF" w14:textId="77777777" w:rsidTr="00BB6825">
        <w:trPr>
          <w:cantSplit/>
        </w:trPr>
        <w:tc>
          <w:tcPr>
            <w:tcW w:w="2181" w:type="dxa"/>
            <w:shd w:val="clear" w:color="auto" w:fill="auto"/>
            <w:hideMark/>
          </w:tcPr>
          <w:p w14:paraId="0DF3BD1F" w14:textId="77777777" w:rsidR="008E79E3" w:rsidRPr="00F330F5" w:rsidRDefault="008E79E3" w:rsidP="008E79E3">
            <w:pPr>
              <w:rPr>
                <w:szCs w:val="20"/>
                <w:lang w:eastAsia="en-US"/>
              </w:rPr>
            </w:pPr>
            <w:r w:rsidRPr="00F330F5">
              <w:rPr>
                <w:szCs w:val="20"/>
                <w:lang w:eastAsia="en-US"/>
              </w:rPr>
              <w:t>5.3. pašvaldību budžets</w:t>
            </w:r>
          </w:p>
        </w:tc>
        <w:tc>
          <w:tcPr>
            <w:tcW w:w="1082" w:type="dxa"/>
            <w:vMerge/>
            <w:shd w:val="clear" w:color="auto" w:fill="auto"/>
            <w:vAlign w:val="center"/>
            <w:hideMark/>
          </w:tcPr>
          <w:p w14:paraId="5AAAFEAA" w14:textId="77777777" w:rsidR="008E79E3" w:rsidRPr="00F330F5" w:rsidRDefault="008E79E3" w:rsidP="008E79E3">
            <w:pPr>
              <w:jc w:val="center"/>
              <w:rPr>
                <w:sz w:val="20"/>
                <w:szCs w:val="20"/>
                <w:lang w:eastAsia="en-US"/>
              </w:rPr>
            </w:pPr>
          </w:p>
        </w:tc>
        <w:tc>
          <w:tcPr>
            <w:tcW w:w="1080" w:type="dxa"/>
            <w:shd w:val="clear" w:color="auto" w:fill="auto"/>
            <w:vAlign w:val="center"/>
            <w:hideMark/>
          </w:tcPr>
          <w:p w14:paraId="6CF8A6A2" w14:textId="134058C4" w:rsidR="008E79E3" w:rsidRPr="00F330F5" w:rsidRDefault="008E79E3" w:rsidP="008E79E3">
            <w:pPr>
              <w:jc w:val="center"/>
              <w:rPr>
                <w:sz w:val="20"/>
                <w:szCs w:val="20"/>
                <w:lang w:eastAsia="en-US"/>
              </w:rPr>
            </w:pPr>
            <w:r w:rsidRPr="00F330F5">
              <w:rPr>
                <w:sz w:val="20"/>
                <w:szCs w:val="20"/>
                <w:lang w:eastAsia="en-US"/>
              </w:rPr>
              <w:t>0</w:t>
            </w:r>
          </w:p>
        </w:tc>
        <w:tc>
          <w:tcPr>
            <w:tcW w:w="947" w:type="dxa"/>
            <w:vMerge/>
            <w:shd w:val="clear" w:color="auto" w:fill="auto"/>
            <w:vAlign w:val="center"/>
            <w:hideMark/>
          </w:tcPr>
          <w:p w14:paraId="1A1D7DC1" w14:textId="77777777" w:rsidR="008E79E3" w:rsidRPr="00F330F5" w:rsidRDefault="008E79E3" w:rsidP="008E79E3">
            <w:pPr>
              <w:jc w:val="center"/>
              <w:rPr>
                <w:sz w:val="20"/>
                <w:szCs w:val="20"/>
                <w:lang w:eastAsia="en-US"/>
              </w:rPr>
            </w:pPr>
          </w:p>
        </w:tc>
        <w:tc>
          <w:tcPr>
            <w:tcW w:w="946" w:type="dxa"/>
            <w:shd w:val="clear" w:color="auto" w:fill="auto"/>
            <w:vAlign w:val="center"/>
            <w:hideMark/>
          </w:tcPr>
          <w:p w14:paraId="786E13FA" w14:textId="50E72559" w:rsidR="008E79E3" w:rsidRPr="00F330F5" w:rsidRDefault="008E79E3" w:rsidP="008E79E3">
            <w:pPr>
              <w:jc w:val="center"/>
              <w:rPr>
                <w:sz w:val="20"/>
                <w:szCs w:val="20"/>
                <w:lang w:eastAsia="en-US"/>
              </w:rPr>
            </w:pPr>
            <w:r w:rsidRPr="00F330F5">
              <w:rPr>
                <w:sz w:val="20"/>
                <w:szCs w:val="20"/>
                <w:lang w:eastAsia="en-US"/>
              </w:rPr>
              <w:t>0</w:t>
            </w:r>
          </w:p>
        </w:tc>
        <w:tc>
          <w:tcPr>
            <w:tcW w:w="946" w:type="dxa"/>
            <w:vMerge/>
            <w:shd w:val="clear" w:color="auto" w:fill="auto"/>
            <w:vAlign w:val="center"/>
            <w:hideMark/>
          </w:tcPr>
          <w:p w14:paraId="320146DF" w14:textId="77777777" w:rsidR="008E79E3" w:rsidRPr="00F330F5" w:rsidRDefault="008E79E3" w:rsidP="008E79E3">
            <w:pPr>
              <w:jc w:val="center"/>
              <w:rPr>
                <w:sz w:val="20"/>
                <w:szCs w:val="20"/>
                <w:lang w:eastAsia="en-US"/>
              </w:rPr>
            </w:pPr>
          </w:p>
        </w:tc>
        <w:tc>
          <w:tcPr>
            <w:tcW w:w="946" w:type="dxa"/>
            <w:gridSpan w:val="2"/>
            <w:shd w:val="clear" w:color="auto" w:fill="auto"/>
            <w:vAlign w:val="center"/>
            <w:hideMark/>
          </w:tcPr>
          <w:p w14:paraId="7608A5F6" w14:textId="1C841047" w:rsidR="008E79E3" w:rsidRPr="00F330F5" w:rsidRDefault="008E79E3" w:rsidP="008E79E3">
            <w:pPr>
              <w:jc w:val="center"/>
              <w:rPr>
                <w:sz w:val="20"/>
                <w:szCs w:val="20"/>
                <w:lang w:eastAsia="en-US"/>
              </w:rPr>
            </w:pPr>
            <w:r w:rsidRPr="00F330F5">
              <w:rPr>
                <w:sz w:val="20"/>
                <w:szCs w:val="20"/>
                <w:lang w:eastAsia="en-US"/>
              </w:rPr>
              <w:t>0</w:t>
            </w:r>
          </w:p>
        </w:tc>
        <w:tc>
          <w:tcPr>
            <w:tcW w:w="1003" w:type="dxa"/>
            <w:shd w:val="clear" w:color="auto" w:fill="auto"/>
            <w:vAlign w:val="center"/>
            <w:hideMark/>
          </w:tcPr>
          <w:p w14:paraId="44D3BD1C" w14:textId="2D442B7B" w:rsidR="008E79E3" w:rsidRPr="00F330F5" w:rsidRDefault="008E79E3" w:rsidP="008E79E3">
            <w:pPr>
              <w:jc w:val="center"/>
              <w:rPr>
                <w:sz w:val="20"/>
                <w:szCs w:val="20"/>
                <w:lang w:eastAsia="en-US"/>
              </w:rPr>
            </w:pPr>
            <w:r w:rsidRPr="00F330F5">
              <w:rPr>
                <w:sz w:val="20"/>
                <w:szCs w:val="20"/>
                <w:lang w:eastAsia="en-US"/>
              </w:rPr>
              <w:t>0</w:t>
            </w:r>
          </w:p>
        </w:tc>
      </w:tr>
      <w:tr w:rsidR="00BA3006" w:rsidRPr="00F330F5" w14:paraId="52D14D52" w14:textId="77777777" w:rsidTr="00BB6825">
        <w:trPr>
          <w:cantSplit/>
        </w:trPr>
        <w:tc>
          <w:tcPr>
            <w:tcW w:w="2181" w:type="dxa"/>
            <w:shd w:val="clear" w:color="auto" w:fill="auto"/>
            <w:hideMark/>
          </w:tcPr>
          <w:p w14:paraId="5A80E6B9" w14:textId="77777777" w:rsidR="008E79E3" w:rsidRPr="00F330F5" w:rsidRDefault="008E79E3" w:rsidP="008E79E3">
            <w:pPr>
              <w:rPr>
                <w:szCs w:val="20"/>
                <w:lang w:eastAsia="en-US"/>
              </w:rPr>
            </w:pPr>
            <w:r w:rsidRPr="00F330F5">
              <w:rPr>
                <w:szCs w:val="20"/>
                <w:lang w:eastAsia="en-US"/>
              </w:rPr>
              <w:t>6. Detalizēts ieņēmumu un izdevumu aprēķins (ja nepieciešams, detalizētu ieņēmumu un izdevumu aprēķinu var pievienot anotācijas pielikumā)</w:t>
            </w:r>
          </w:p>
        </w:tc>
        <w:tc>
          <w:tcPr>
            <w:tcW w:w="6950" w:type="dxa"/>
            <w:gridSpan w:val="8"/>
            <w:vMerge w:val="restart"/>
            <w:shd w:val="clear" w:color="auto" w:fill="auto"/>
            <w:vAlign w:val="center"/>
            <w:hideMark/>
          </w:tcPr>
          <w:p w14:paraId="4DE3222C" w14:textId="21BC377B" w:rsidR="008E79E3" w:rsidRPr="00F330F5" w:rsidRDefault="008E79E3" w:rsidP="00F330F5">
            <w:pPr>
              <w:ind w:firstLine="720"/>
              <w:jc w:val="both"/>
              <w:rPr>
                <w:szCs w:val="20"/>
              </w:rPr>
            </w:pPr>
            <w:r w:rsidRPr="00F330F5">
              <w:rPr>
                <w:szCs w:val="20"/>
                <w:lang w:eastAsia="en-US"/>
              </w:rPr>
              <w:t xml:space="preserve">8.3.1.2.pasākuma plānotais kopējais attiecināmais publiskais finansējums ir </w:t>
            </w:r>
            <w:r w:rsidR="00394014" w:rsidRPr="000A39CD">
              <w:rPr>
                <w:szCs w:val="20"/>
              </w:rPr>
              <w:t>3 588 009</w:t>
            </w:r>
            <w:r w:rsidRPr="000A39CD">
              <w:rPr>
                <w:szCs w:val="20"/>
              </w:rPr>
              <w:t xml:space="preserve"> </w:t>
            </w:r>
            <w:r w:rsidRPr="000A39CD">
              <w:rPr>
                <w:i/>
                <w:szCs w:val="20"/>
                <w:lang w:eastAsia="en-US"/>
              </w:rPr>
              <w:t>euro</w:t>
            </w:r>
            <w:r w:rsidRPr="000A39CD">
              <w:rPr>
                <w:szCs w:val="20"/>
                <w:lang w:eastAsia="en-US"/>
              </w:rPr>
              <w:t>, t.sk. ESF 3 588 009</w:t>
            </w:r>
            <w:r w:rsidRPr="00F330F5">
              <w:rPr>
                <w:szCs w:val="20"/>
                <w:lang w:eastAsia="en-US"/>
              </w:rPr>
              <w:t xml:space="preserve"> </w:t>
            </w:r>
            <w:r w:rsidRPr="00F330F5">
              <w:rPr>
                <w:i/>
                <w:szCs w:val="20"/>
                <w:lang w:eastAsia="en-US"/>
              </w:rPr>
              <w:t>euro</w:t>
            </w:r>
            <w:r w:rsidRPr="00F330F5">
              <w:rPr>
                <w:szCs w:val="20"/>
                <w:lang w:eastAsia="en-US"/>
              </w:rPr>
              <w:t xml:space="preserve">. </w:t>
            </w:r>
          </w:p>
          <w:p w14:paraId="6DD36F99" w14:textId="636D4248" w:rsidR="00A67287" w:rsidRPr="00F330F5" w:rsidRDefault="008E79E3" w:rsidP="00A67287">
            <w:pPr>
              <w:ind w:firstLine="720"/>
              <w:jc w:val="both"/>
              <w:rPr>
                <w:szCs w:val="20"/>
              </w:rPr>
            </w:pPr>
            <w:r w:rsidRPr="00F330F5">
              <w:rPr>
                <w:szCs w:val="20"/>
              </w:rPr>
              <w:t xml:space="preserve">8.3.1.2.pasākums tiks ieviests vismaz divu projektu iesniegumu atlases kārtu ietvaros. </w:t>
            </w:r>
          </w:p>
          <w:p w14:paraId="005436F2" w14:textId="10A22A9E" w:rsidR="008E79E3" w:rsidRPr="00F330F5" w:rsidRDefault="008E79E3" w:rsidP="00A67287">
            <w:pPr>
              <w:ind w:firstLine="720"/>
              <w:jc w:val="both"/>
              <w:rPr>
                <w:szCs w:val="20"/>
              </w:rPr>
            </w:pPr>
            <w:r w:rsidRPr="000A39CD">
              <w:rPr>
                <w:szCs w:val="20"/>
              </w:rPr>
              <w:t xml:space="preserve">Pirmās kārtas pieejamais kopējais publiskais finansējums ir </w:t>
            </w:r>
            <w:r w:rsidR="001234D8">
              <w:rPr>
                <w:szCs w:val="20"/>
                <w:lang w:val="cs-CZ"/>
              </w:rPr>
              <w:t>1 313 361</w:t>
            </w:r>
            <w:r w:rsidRPr="000A39CD">
              <w:rPr>
                <w:szCs w:val="20"/>
                <w:lang w:val="cs-CZ"/>
              </w:rPr>
              <w:t xml:space="preserve"> e</w:t>
            </w:r>
            <w:r w:rsidRPr="000A39CD">
              <w:rPr>
                <w:i/>
                <w:iCs/>
                <w:szCs w:val="20"/>
                <w:lang w:val="cs-CZ"/>
              </w:rPr>
              <w:t>uro</w:t>
            </w:r>
            <w:r w:rsidRPr="000A39CD">
              <w:rPr>
                <w:iCs/>
                <w:szCs w:val="20"/>
                <w:lang w:val="cs-CZ"/>
              </w:rPr>
              <w:t xml:space="preserve">, t.sk. </w:t>
            </w:r>
            <w:r w:rsidRPr="000A39CD">
              <w:rPr>
                <w:szCs w:val="20"/>
                <w:lang w:eastAsia="en-US"/>
              </w:rPr>
              <w:t xml:space="preserve">ESF </w:t>
            </w:r>
            <w:r w:rsidR="001234D8">
              <w:rPr>
                <w:szCs w:val="20"/>
                <w:lang w:eastAsia="en-US"/>
              </w:rPr>
              <w:t>1 313 361</w:t>
            </w:r>
            <w:r w:rsidRPr="000A39CD">
              <w:rPr>
                <w:szCs w:val="20"/>
                <w:lang w:eastAsia="en-US"/>
              </w:rPr>
              <w:t xml:space="preserve"> </w:t>
            </w:r>
            <w:r w:rsidRPr="000A39CD">
              <w:rPr>
                <w:i/>
                <w:szCs w:val="20"/>
                <w:lang w:eastAsia="en-US"/>
              </w:rPr>
              <w:t>euro</w:t>
            </w:r>
            <w:r w:rsidRPr="000A39CD">
              <w:rPr>
                <w:i/>
                <w:iCs/>
                <w:szCs w:val="20"/>
                <w:lang w:val="cs-CZ"/>
              </w:rPr>
              <w:t>.</w:t>
            </w:r>
            <w:r w:rsidRPr="00F330F5">
              <w:rPr>
                <w:i/>
                <w:iCs/>
                <w:szCs w:val="20"/>
                <w:lang w:val="cs-CZ"/>
              </w:rPr>
              <w:t xml:space="preserve"> </w:t>
            </w:r>
            <w:r w:rsidRPr="00F330F5">
              <w:rPr>
                <w:iCs/>
                <w:szCs w:val="20"/>
                <w:lang w:val="cs-CZ"/>
              </w:rPr>
              <w:t xml:space="preserve">Finansējuma saņēmējs nodrošina līdzfinansējumu vismaz </w:t>
            </w:r>
            <w:r w:rsidR="00EF456B">
              <w:rPr>
                <w:iCs/>
                <w:szCs w:val="20"/>
                <w:lang w:val="cs-CZ"/>
              </w:rPr>
              <w:t>3</w:t>
            </w:r>
            <w:r w:rsidR="007D533D" w:rsidRPr="00F330F5">
              <w:rPr>
                <w:iCs/>
                <w:szCs w:val="20"/>
                <w:lang w:val="cs-CZ"/>
              </w:rPr>
              <w:t xml:space="preserve">0 </w:t>
            </w:r>
            <w:r w:rsidR="0030145C" w:rsidRPr="00F330F5">
              <w:rPr>
                <w:iCs/>
                <w:szCs w:val="20"/>
                <w:lang w:val="cs-CZ"/>
              </w:rPr>
              <w:t>procentus</w:t>
            </w:r>
            <w:r w:rsidRPr="00F330F5">
              <w:rPr>
                <w:iCs/>
                <w:szCs w:val="20"/>
                <w:lang w:val="cs-CZ"/>
              </w:rPr>
              <w:t xml:space="preserve"> no kopējām attiecināmajām izmaksām. </w:t>
            </w:r>
            <w:r w:rsidRPr="00F330F5">
              <w:rPr>
                <w:szCs w:val="20"/>
              </w:rPr>
              <w:t xml:space="preserve">Atbalstu sniedz ar saimniecisku darbību saistītu projektu īstenošanai, ievērojot ar valsts atbalstu saistīto normatīvo aktu regulējumu, tai skaitā Komisijas 2013. gada 18. decembra Regula (ES) Nr. 1407/2013 par Līguma par Eiropas Savienības darbību 107. un 108. panta piemērošanu </w:t>
            </w:r>
            <w:r w:rsidRPr="00F330F5">
              <w:rPr>
                <w:i/>
                <w:szCs w:val="20"/>
              </w:rPr>
              <w:t>de minimis</w:t>
            </w:r>
            <w:r w:rsidRPr="00F330F5">
              <w:rPr>
                <w:szCs w:val="20"/>
              </w:rPr>
              <w:t xml:space="preserve"> atbalstam (Eiropas Savienības Oficiālais Vēstnesis, 2013. gada 24. decembris, Nr. L 352/1). Vienlaikus atbalsts netiks sniegts grūtībās nonākošajiem komersantiem.</w:t>
            </w:r>
          </w:p>
          <w:p w14:paraId="55015C25" w14:textId="6FAB8E8C" w:rsidR="008E79E3" w:rsidRPr="00F330F5" w:rsidRDefault="008E79E3" w:rsidP="00F330F5">
            <w:pPr>
              <w:ind w:firstLine="720"/>
              <w:jc w:val="both"/>
              <w:rPr>
                <w:szCs w:val="20"/>
              </w:rPr>
            </w:pPr>
            <w:r w:rsidRPr="00F330F5">
              <w:rPr>
                <w:szCs w:val="20"/>
                <w:lang w:eastAsia="en-US"/>
              </w:rPr>
              <w:t xml:space="preserve">Pirmās kārtas budžeta ieņēmumi ir </w:t>
            </w:r>
            <w:r w:rsidR="004A05BA">
              <w:rPr>
                <w:szCs w:val="20"/>
                <w:lang w:eastAsia="en-US"/>
              </w:rPr>
              <w:t xml:space="preserve">Eiropas Sociālā fonda </w:t>
            </w:r>
            <w:r w:rsidRPr="00F330F5">
              <w:rPr>
                <w:szCs w:val="20"/>
                <w:lang w:eastAsia="en-US"/>
              </w:rPr>
              <w:t xml:space="preserve">finansējuma daļa </w:t>
            </w:r>
            <w:r w:rsidR="00EF456B">
              <w:rPr>
                <w:szCs w:val="20"/>
                <w:lang w:eastAsia="en-US"/>
              </w:rPr>
              <w:t>7</w:t>
            </w:r>
            <w:r w:rsidRPr="00F330F5">
              <w:rPr>
                <w:szCs w:val="20"/>
                <w:lang w:eastAsia="en-US"/>
              </w:rPr>
              <w:t>0 procentu apmērā no projektu kopējām attiecinām</w:t>
            </w:r>
            <w:r w:rsidR="007F08DF" w:rsidRPr="00F330F5">
              <w:rPr>
                <w:szCs w:val="20"/>
                <w:lang w:eastAsia="en-US"/>
              </w:rPr>
              <w:t>aj</w:t>
            </w:r>
            <w:r w:rsidRPr="00F330F5">
              <w:rPr>
                <w:szCs w:val="20"/>
                <w:lang w:eastAsia="en-US"/>
              </w:rPr>
              <w:t xml:space="preserve">ām izmaksām. Budžeta izdevumi ir kopējie projektu ieviešanai nepieciešamie publiskā finansējuma (ESF) līdzekļi </w:t>
            </w:r>
            <w:r w:rsidR="00EF456B">
              <w:rPr>
                <w:szCs w:val="20"/>
                <w:lang w:eastAsia="en-US"/>
              </w:rPr>
              <w:t>7</w:t>
            </w:r>
            <w:r w:rsidRPr="00F330F5">
              <w:rPr>
                <w:szCs w:val="20"/>
                <w:lang w:eastAsia="en-US"/>
              </w:rPr>
              <w:t xml:space="preserve">0 procentu apmērā no projektu kopējām attiecināmām izmaksām. Projektu iesniegumu iesniegšanas pirmo kārtu plānots izsludināt 2018. gada IV </w:t>
            </w:r>
            <w:r w:rsidR="007F08DF" w:rsidRPr="00F330F5">
              <w:rPr>
                <w:szCs w:val="20"/>
                <w:lang w:eastAsia="en-US"/>
              </w:rPr>
              <w:t>ceturkšņa ietvaros</w:t>
            </w:r>
            <w:r w:rsidRPr="00F330F5">
              <w:rPr>
                <w:szCs w:val="20"/>
                <w:lang w:eastAsia="en-US"/>
              </w:rPr>
              <w:t>, nodrošinot projektu ieviešanu no 2019.gada I</w:t>
            </w:r>
            <w:r w:rsidR="00727DE0">
              <w:rPr>
                <w:szCs w:val="20"/>
                <w:lang w:eastAsia="en-US"/>
              </w:rPr>
              <w:t>I</w:t>
            </w:r>
            <w:r w:rsidRPr="00F330F5">
              <w:rPr>
                <w:szCs w:val="20"/>
                <w:lang w:eastAsia="en-US"/>
              </w:rPr>
              <w:t xml:space="preserve"> ceturkšņa līdz 2021. gada I</w:t>
            </w:r>
            <w:r w:rsidR="00727DE0">
              <w:rPr>
                <w:szCs w:val="20"/>
                <w:lang w:eastAsia="en-US"/>
              </w:rPr>
              <w:t>I</w:t>
            </w:r>
            <w:r w:rsidRPr="00F330F5">
              <w:rPr>
                <w:szCs w:val="20"/>
                <w:lang w:eastAsia="en-US"/>
              </w:rPr>
              <w:t xml:space="preserve"> ceturksnim (</w:t>
            </w:r>
            <w:r w:rsidR="00F330F5" w:rsidRPr="00F330F5">
              <w:rPr>
                <w:szCs w:val="20"/>
                <w:lang w:eastAsia="en-US"/>
              </w:rPr>
              <w:t>projektu īstenošanas laiks nepārsniedz 24 mēnešus</w:t>
            </w:r>
            <w:r w:rsidRPr="00F330F5">
              <w:rPr>
                <w:szCs w:val="20"/>
                <w:lang w:eastAsia="en-US"/>
              </w:rPr>
              <w:t xml:space="preserve">). </w:t>
            </w:r>
          </w:p>
          <w:p w14:paraId="795525F2" w14:textId="0488E5F4" w:rsidR="008E79E3" w:rsidRPr="00F330F5" w:rsidRDefault="008E79E3" w:rsidP="00F330F5">
            <w:pPr>
              <w:ind w:firstLine="720"/>
              <w:jc w:val="both"/>
              <w:rPr>
                <w:iCs/>
                <w:szCs w:val="20"/>
                <w:lang w:val="cs-CZ"/>
              </w:rPr>
            </w:pPr>
            <w:r w:rsidRPr="00F330F5">
              <w:rPr>
                <w:iCs/>
                <w:szCs w:val="20"/>
                <w:lang w:val="cs-CZ"/>
              </w:rPr>
              <w:t>Otr</w:t>
            </w:r>
            <w:r w:rsidR="00724970">
              <w:rPr>
                <w:iCs/>
                <w:szCs w:val="20"/>
                <w:lang w:val="cs-CZ"/>
              </w:rPr>
              <w:t xml:space="preserve">ajā projektu iesniegumu atlases kārtā </w:t>
            </w:r>
            <w:r w:rsidRPr="00F330F5">
              <w:rPr>
                <w:iCs/>
                <w:szCs w:val="20"/>
                <w:lang w:val="cs-CZ"/>
              </w:rPr>
              <w:t xml:space="preserve">pieejamais publiskais </w:t>
            </w:r>
            <w:r w:rsidR="00394014" w:rsidRPr="001234D8">
              <w:rPr>
                <w:iCs/>
                <w:lang w:val="cs-CZ"/>
              </w:rPr>
              <w:t>finansējums ir</w:t>
            </w:r>
            <w:r w:rsidRPr="001234D8">
              <w:rPr>
                <w:iCs/>
                <w:lang w:val="cs-CZ"/>
              </w:rPr>
              <w:t xml:space="preserve"> </w:t>
            </w:r>
            <w:r w:rsidR="001234D8" w:rsidRPr="001234D8">
              <w:t xml:space="preserve">1 313 362 </w:t>
            </w:r>
            <w:r w:rsidR="001234D8" w:rsidRPr="001234D8">
              <w:rPr>
                <w:i/>
              </w:rPr>
              <w:t>euro</w:t>
            </w:r>
            <w:r w:rsidR="001234D8">
              <w:rPr>
                <w:i/>
              </w:rPr>
              <w:t xml:space="preserve">, </w:t>
            </w:r>
            <w:r w:rsidR="001234D8" w:rsidRPr="001234D8">
              <w:t>t.sk. ESF 1 313 362</w:t>
            </w:r>
            <w:r w:rsidR="001234D8">
              <w:rPr>
                <w:i/>
              </w:rPr>
              <w:t xml:space="preserve"> euro</w:t>
            </w:r>
            <w:r w:rsidR="001234D8" w:rsidRPr="001234D8">
              <w:rPr>
                <w:i/>
              </w:rPr>
              <w:t xml:space="preserve">. </w:t>
            </w:r>
            <w:r w:rsidR="001234D8" w:rsidRPr="001234D8">
              <w:t xml:space="preserve"> Pēc Eiropas Komisijas lēmuma par prioritārā virziena “Izglītība, prasmes un mūžizglītība” noteiktā snieguma ietvara izpildi papildu būs pieejams Eiropas Sociālā fonda finansējums </w:t>
            </w:r>
            <w:r w:rsidR="00394014" w:rsidRPr="001234D8">
              <w:rPr>
                <w:iCs/>
                <w:lang w:val="cs-CZ"/>
              </w:rPr>
              <w:t>961 286</w:t>
            </w:r>
            <w:r w:rsidRPr="001234D8">
              <w:rPr>
                <w:iCs/>
                <w:lang w:val="cs-CZ"/>
              </w:rPr>
              <w:t xml:space="preserve"> </w:t>
            </w:r>
            <w:r w:rsidRPr="001234D8">
              <w:rPr>
                <w:i/>
                <w:iCs/>
                <w:lang w:val="cs-CZ"/>
              </w:rPr>
              <w:t>euro</w:t>
            </w:r>
            <w:r w:rsidR="001234D8">
              <w:rPr>
                <w:iCs/>
                <w:szCs w:val="20"/>
                <w:lang w:val="cs-CZ"/>
              </w:rPr>
              <w:t xml:space="preserve"> apmērā</w:t>
            </w:r>
            <w:r w:rsidRPr="00F330F5">
              <w:rPr>
                <w:iCs/>
                <w:szCs w:val="20"/>
                <w:lang w:val="cs-CZ"/>
              </w:rPr>
              <w:t xml:space="preserve">. Finansējuma saņēmēja līdzfinansējuma likme tiks noteikta, plānojot otro projektu iesniegumu atlases kārtu 2019.-2020.gadā </w:t>
            </w:r>
          </w:p>
          <w:p w14:paraId="529DAF1F" w14:textId="005E2594" w:rsidR="008E79E3" w:rsidRPr="00F330F5" w:rsidRDefault="008E79E3" w:rsidP="00F330F5">
            <w:pPr>
              <w:ind w:firstLine="720"/>
              <w:jc w:val="both"/>
              <w:rPr>
                <w:iCs/>
                <w:szCs w:val="20"/>
                <w:lang w:val="cs-CZ"/>
              </w:rPr>
            </w:pPr>
            <w:r w:rsidRPr="00F330F5">
              <w:rPr>
                <w:iCs/>
                <w:szCs w:val="20"/>
                <w:lang w:val="cs-CZ"/>
              </w:rPr>
              <w:t xml:space="preserve">Otro projektu iesniegumu atlases kārtu plānots izsludināt 2019.gada IV ceturksnī, </w:t>
            </w:r>
            <w:r w:rsidRPr="00F330F5">
              <w:rPr>
                <w:szCs w:val="20"/>
                <w:lang w:eastAsia="en-US"/>
              </w:rPr>
              <w:t>nodrošinot projektu ieviešanu no 2020.gada I</w:t>
            </w:r>
            <w:r w:rsidR="00727DE0">
              <w:rPr>
                <w:szCs w:val="20"/>
                <w:lang w:eastAsia="en-US"/>
              </w:rPr>
              <w:t>I</w:t>
            </w:r>
            <w:r w:rsidRPr="00F330F5">
              <w:rPr>
                <w:szCs w:val="20"/>
                <w:lang w:eastAsia="en-US"/>
              </w:rPr>
              <w:t xml:space="preserve"> ceturkšņa līdz 2022. gada I</w:t>
            </w:r>
            <w:r w:rsidR="00727DE0">
              <w:rPr>
                <w:szCs w:val="20"/>
                <w:lang w:eastAsia="en-US"/>
              </w:rPr>
              <w:t>I</w:t>
            </w:r>
            <w:r w:rsidRPr="00F330F5">
              <w:rPr>
                <w:szCs w:val="20"/>
                <w:lang w:eastAsia="en-US"/>
              </w:rPr>
              <w:t xml:space="preserve"> ceturksnim (projektu īstenošanas laiks </w:t>
            </w:r>
            <w:r w:rsidR="005503D8" w:rsidRPr="00F330F5">
              <w:rPr>
                <w:szCs w:val="20"/>
                <w:lang w:eastAsia="en-US"/>
              </w:rPr>
              <w:t>nepārsniedz 24 mēnešus</w:t>
            </w:r>
            <w:r w:rsidRPr="00F330F5">
              <w:rPr>
                <w:szCs w:val="20"/>
                <w:lang w:eastAsia="en-US"/>
              </w:rPr>
              <w:t>).</w:t>
            </w:r>
          </w:p>
          <w:p w14:paraId="504AB828" w14:textId="6A6BF80F" w:rsidR="008E79E3" w:rsidRPr="00F330F5" w:rsidRDefault="008E79E3" w:rsidP="00F330F5">
            <w:pPr>
              <w:ind w:firstLine="720"/>
              <w:jc w:val="both"/>
              <w:rPr>
                <w:szCs w:val="20"/>
              </w:rPr>
            </w:pPr>
            <w:r w:rsidRPr="00F330F5">
              <w:rPr>
                <w:szCs w:val="20"/>
              </w:rPr>
              <w:t xml:space="preserve">Izvērtējot 8.3.1.2.pasākuma ieviešanas gaitu, nepieciešamības gadījumā </w:t>
            </w:r>
            <w:r w:rsidR="007F08DF" w:rsidRPr="00F330F5">
              <w:rPr>
                <w:szCs w:val="20"/>
              </w:rPr>
              <w:t xml:space="preserve">var tikt </w:t>
            </w:r>
            <w:r w:rsidRPr="00F330F5">
              <w:rPr>
                <w:szCs w:val="20"/>
              </w:rPr>
              <w:t>izsludinātas papildu projektu iesniegumu atlases kārtas.</w:t>
            </w:r>
          </w:p>
          <w:p w14:paraId="1FF34EC7" w14:textId="3F4B0E06" w:rsidR="008E79E3" w:rsidRPr="00F330F5" w:rsidRDefault="008E79E3" w:rsidP="00F330F5">
            <w:pPr>
              <w:ind w:firstLine="720"/>
              <w:jc w:val="both"/>
              <w:rPr>
                <w:szCs w:val="20"/>
                <w:lang w:eastAsia="en-US"/>
              </w:rPr>
            </w:pPr>
            <w:r w:rsidRPr="00F330F5">
              <w:rPr>
                <w:szCs w:val="20"/>
                <w:lang w:eastAsia="en-US"/>
              </w:rPr>
              <w:t xml:space="preserve">Indikatīvi tiek plānots šāds publiskā finansējuma apjoma izlietojums katru gadu, taču tas var mainīties </w:t>
            </w:r>
            <w:r w:rsidR="007F08DF" w:rsidRPr="00F330F5">
              <w:rPr>
                <w:szCs w:val="20"/>
                <w:lang w:eastAsia="en-US"/>
              </w:rPr>
              <w:t>atbilstoši faktiskajai situācijai</w:t>
            </w:r>
            <w:r w:rsidRPr="00F330F5">
              <w:rPr>
                <w:szCs w:val="20"/>
                <w:lang w:eastAsia="en-US"/>
              </w:rPr>
              <w:t>:</w:t>
            </w:r>
          </w:p>
          <w:p w14:paraId="5421F8EA" w14:textId="5065C856" w:rsidR="008E79E3" w:rsidRPr="000A39CD" w:rsidRDefault="008E79E3" w:rsidP="00F330F5">
            <w:pPr>
              <w:ind w:firstLine="720"/>
              <w:rPr>
                <w:szCs w:val="20"/>
                <w:lang w:eastAsia="en-US"/>
              </w:rPr>
            </w:pPr>
            <w:r w:rsidRPr="000A39CD">
              <w:rPr>
                <w:szCs w:val="20"/>
                <w:lang w:eastAsia="en-US"/>
              </w:rPr>
              <w:t>- 2018. gadā netiek plānots finansējums</w:t>
            </w:r>
            <w:r w:rsidR="00541084" w:rsidRPr="000A39CD">
              <w:rPr>
                <w:szCs w:val="20"/>
                <w:lang w:eastAsia="en-US"/>
              </w:rPr>
              <w:t xml:space="preserve"> (ESF)</w:t>
            </w:r>
            <w:r w:rsidRPr="000A39CD">
              <w:rPr>
                <w:szCs w:val="20"/>
                <w:lang w:eastAsia="en-US"/>
              </w:rPr>
              <w:t xml:space="preserve">; </w:t>
            </w:r>
          </w:p>
          <w:p w14:paraId="365713EE" w14:textId="4137D1BE" w:rsidR="008E79E3" w:rsidRPr="000A39CD" w:rsidRDefault="008E79E3" w:rsidP="00F330F5">
            <w:pPr>
              <w:ind w:firstLine="720"/>
              <w:rPr>
                <w:szCs w:val="20"/>
                <w:lang w:eastAsia="en-US"/>
              </w:rPr>
            </w:pPr>
            <w:r w:rsidRPr="000A39CD">
              <w:rPr>
                <w:szCs w:val="20"/>
                <w:lang w:eastAsia="en-US"/>
              </w:rPr>
              <w:t xml:space="preserve">- 2019. gadā - 10 procenti, t.i. </w:t>
            </w:r>
            <w:r w:rsidR="00541084" w:rsidRPr="000A39CD">
              <w:rPr>
                <w:szCs w:val="20"/>
                <w:lang w:eastAsia="en-US"/>
              </w:rPr>
              <w:t>358 801</w:t>
            </w:r>
            <w:r w:rsidRPr="000A39CD">
              <w:rPr>
                <w:szCs w:val="20"/>
                <w:lang w:eastAsia="en-US"/>
              </w:rPr>
              <w:t xml:space="preserve"> </w:t>
            </w:r>
            <w:r w:rsidRPr="000A39CD">
              <w:rPr>
                <w:i/>
                <w:szCs w:val="20"/>
                <w:lang w:eastAsia="en-US"/>
              </w:rPr>
              <w:t>euro</w:t>
            </w:r>
            <w:r w:rsidRPr="000A39CD">
              <w:rPr>
                <w:szCs w:val="20"/>
                <w:lang w:eastAsia="en-US"/>
              </w:rPr>
              <w:t>;</w:t>
            </w:r>
          </w:p>
          <w:p w14:paraId="45A47304" w14:textId="5D576EA9" w:rsidR="008E79E3" w:rsidRPr="000A39CD" w:rsidRDefault="008E79E3" w:rsidP="00F330F5">
            <w:pPr>
              <w:ind w:firstLine="720"/>
              <w:rPr>
                <w:szCs w:val="20"/>
                <w:lang w:eastAsia="en-US"/>
              </w:rPr>
            </w:pPr>
            <w:r w:rsidRPr="000A39CD">
              <w:rPr>
                <w:szCs w:val="20"/>
                <w:lang w:eastAsia="en-US"/>
              </w:rPr>
              <w:t xml:space="preserve">- 2020. gadā </w:t>
            </w:r>
            <w:r w:rsidR="00541084" w:rsidRPr="000A39CD">
              <w:rPr>
                <w:szCs w:val="20"/>
                <w:lang w:eastAsia="en-US"/>
              </w:rPr>
              <w:t>–</w:t>
            </w:r>
            <w:r w:rsidRPr="000A39CD">
              <w:rPr>
                <w:szCs w:val="20"/>
                <w:lang w:eastAsia="en-US"/>
              </w:rPr>
              <w:t xml:space="preserve"> </w:t>
            </w:r>
            <w:r w:rsidR="00C57ED3">
              <w:rPr>
                <w:szCs w:val="20"/>
                <w:lang w:eastAsia="en-US"/>
              </w:rPr>
              <w:t>46</w:t>
            </w:r>
            <w:r w:rsidR="00541084" w:rsidRPr="000A39CD">
              <w:rPr>
                <w:szCs w:val="20"/>
                <w:lang w:eastAsia="en-US"/>
              </w:rPr>
              <w:t>,</w:t>
            </w:r>
            <w:r w:rsidR="00C57ED3">
              <w:rPr>
                <w:szCs w:val="20"/>
                <w:lang w:eastAsia="en-US"/>
              </w:rPr>
              <w:t>60</w:t>
            </w:r>
            <w:r w:rsidRPr="000A39CD">
              <w:rPr>
                <w:szCs w:val="20"/>
                <w:lang w:eastAsia="en-US"/>
              </w:rPr>
              <w:t xml:space="preserve"> procenti, t.i. </w:t>
            </w:r>
            <w:r w:rsidR="00C57ED3">
              <w:rPr>
                <w:szCs w:val="20"/>
                <w:lang w:eastAsia="en-US"/>
              </w:rPr>
              <w:t xml:space="preserve">1 672 </w:t>
            </w:r>
            <w:r w:rsidR="0086176A">
              <w:rPr>
                <w:szCs w:val="20"/>
                <w:lang w:eastAsia="en-US"/>
              </w:rPr>
              <w:t>012</w:t>
            </w:r>
            <w:r w:rsidRPr="000A39CD">
              <w:rPr>
                <w:szCs w:val="20"/>
                <w:lang w:eastAsia="en-US"/>
              </w:rPr>
              <w:t xml:space="preserve"> </w:t>
            </w:r>
            <w:r w:rsidRPr="000A39CD">
              <w:rPr>
                <w:i/>
                <w:szCs w:val="20"/>
                <w:lang w:eastAsia="en-US"/>
              </w:rPr>
              <w:t>euro</w:t>
            </w:r>
            <w:r w:rsidRPr="000A39CD">
              <w:rPr>
                <w:szCs w:val="20"/>
                <w:lang w:eastAsia="en-US"/>
              </w:rPr>
              <w:t xml:space="preserve">; </w:t>
            </w:r>
          </w:p>
          <w:p w14:paraId="50DD4D53" w14:textId="0AEAC18F" w:rsidR="008E79E3" w:rsidRPr="000A39CD" w:rsidRDefault="008E79E3" w:rsidP="00F330F5">
            <w:pPr>
              <w:ind w:firstLine="720"/>
              <w:rPr>
                <w:szCs w:val="20"/>
                <w:lang w:eastAsia="en-US"/>
              </w:rPr>
            </w:pPr>
            <w:r w:rsidRPr="000A39CD">
              <w:rPr>
                <w:szCs w:val="20"/>
                <w:lang w:eastAsia="en-US"/>
              </w:rPr>
              <w:t>- 2021. gadā – 2</w:t>
            </w:r>
            <w:r w:rsidR="00C57ED3">
              <w:rPr>
                <w:szCs w:val="20"/>
                <w:lang w:eastAsia="en-US"/>
              </w:rPr>
              <w:t>5</w:t>
            </w:r>
            <w:r w:rsidRPr="000A39CD">
              <w:rPr>
                <w:szCs w:val="20"/>
                <w:lang w:eastAsia="en-US"/>
              </w:rPr>
              <w:t xml:space="preserve"> procenti, t.i. </w:t>
            </w:r>
            <w:r w:rsidR="00C57ED3">
              <w:rPr>
                <w:szCs w:val="20"/>
                <w:lang w:eastAsia="en-US"/>
              </w:rPr>
              <w:t>897 002</w:t>
            </w:r>
            <w:r w:rsidRPr="000A39CD">
              <w:rPr>
                <w:szCs w:val="20"/>
                <w:lang w:eastAsia="en-US"/>
              </w:rPr>
              <w:t xml:space="preserve"> </w:t>
            </w:r>
            <w:r w:rsidRPr="000A39CD">
              <w:rPr>
                <w:i/>
                <w:szCs w:val="20"/>
                <w:lang w:eastAsia="en-US"/>
              </w:rPr>
              <w:t>euro</w:t>
            </w:r>
            <w:r w:rsidRPr="000A39CD">
              <w:rPr>
                <w:szCs w:val="20"/>
                <w:lang w:eastAsia="en-US"/>
              </w:rPr>
              <w:t xml:space="preserve">; </w:t>
            </w:r>
          </w:p>
          <w:p w14:paraId="54EC4011" w14:textId="68ADB37A" w:rsidR="008E79E3" w:rsidRPr="000A39CD" w:rsidRDefault="008E79E3" w:rsidP="00F330F5">
            <w:pPr>
              <w:ind w:firstLine="720"/>
              <w:rPr>
                <w:szCs w:val="20"/>
                <w:lang w:eastAsia="en-US"/>
              </w:rPr>
            </w:pPr>
            <w:r w:rsidRPr="000A39CD">
              <w:rPr>
                <w:szCs w:val="20"/>
                <w:lang w:eastAsia="en-US"/>
              </w:rPr>
              <w:t xml:space="preserve">- 2022. gadā – </w:t>
            </w:r>
            <w:r w:rsidR="00C57ED3">
              <w:rPr>
                <w:szCs w:val="20"/>
                <w:lang w:eastAsia="en-US"/>
              </w:rPr>
              <w:t>16,40</w:t>
            </w:r>
            <w:r w:rsidRPr="000A39CD">
              <w:rPr>
                <w:szCs w:val="20"/>
                <w:lang w:eastAsia="en-US"/>
              </w:rPr>
              <w:t xml:space="preserve"> procenti, t.i. </w:t>
            </w:r>
            <w:r w:rsidR="00C57ED3">
              <w:rPr>
                <w:szCs w:val="20"/>
                <w:lang w:eastAsia="en-US"/>
              </w:rPr>
              <w:t>588 433</w:t>
            </w:r>
            <w:r w:rsidRPr="000A39CD">
              <w:rPr>
                <w:szCs w:val="20"/>
                <w:lang w:eastAsia="en-US"/>
              </w:rPr>
              <w:t xml:space="preserve"> </w:t>
            </w:r>
            <w:r w:rsidRPr="000A39CD">
              <w:rPr>
                <w:i/>
                <w:szCs w:val="20"/>
                <w:lang w:eastAsia="en-US"/>
              </w:rPr>
              <w:t>euro</w:t>
            </w:r>
            <w:r w:rsidRPr="000A39CD">
              <w:rPr>
                <w:szCs w:val="20"/>
                <w:lang w:eastAsia="en-US"/>
              </w:rPr>
              <w:t>;</w:t>
            </w:r>
          </w:p>
          <w:p w14:paraId="0662C0FE" w14:textId="6C3992E7" w:rsidR="008E79E3" w:rsidRPr="00F330F5" w:rsidRDefault="008E79E3" w:rsidP="00F330F5">
            <w:pPr>
              <w:ind w:firstLine="720"/>
              <w:rPr>
                <w:szCs w:val="20"/>
                <w:lang w:eastAsia="en-US"/>
              </w:rPr>
            </w:pPr>
            <w:r w:rsidRPr="000A39CD">
              <w:rPr>
                <w:szCs w:val="20"/>
                <w:lang w:eastAsia="en-US"/>
              </w:rPr>
              <w:t xml:space="preserve">- </w:t>
            </w:r>
            <w:r w:rsidR="00541084" w:rsidRPr="000A39CD">
              <w:rPr>
                <w:szCs w:val="20"/>
                <w:lang w:eastAsia="en-US"/>
              </w:rPr>
              <w:t xml:space="preserve">2023. gadā – </w:t>
            </w:r>
            <w:r w:rsidR="00C57ED3">
              <w:rPr>
                <w:szCs w:val="20"/>
                <w:lang w:eastAsia="en-US"/>
              </w:rPr>
              <w:t>2</w:t>
            </w:r>
            <w:r w:rsidRPr="000A39CD">
              <w:rPr>
                <w:szCs w:val="20"/>
                <w:lang w:eastAsia="en-US"/>
              </w:rPr>
              <w:t xml:space="preserve"> procenti, t. i. </w:t>
            </w:r>
            <w:r w:rsidR="002F5F06">
              <w:rPr>
                <w:szCs w:val="20"/>
                <w:lang w:eastAsia="en-US"/>
              </w:rPr>
              <w:t xml:space="preserve">71 </w:t>
            </w:r>
            <w:r w:rsidR="000B7C33">
              <w:rPr>
                <w:szCs w:val="20"/>
                <w:lang w:eastAsia="en-US"/>
              </w:rPr>
              <w:t>761</w:t>
            </w:r>
            <w:r w:rsidRPr="000A39CD">
              <w:rPr>
                <w:szCs w:val="20"/>
                <w:lang w:eastAsia="en-US"/>
              </w:rPr>
              <w:t xml:space="preserve"> </w:t>
            </w:r>
            <w:r w:rsidRPr="000A39CD">
              <w:rPr>
                <w:i/>
                <w:szCs w:val="20"/>
                <w:lang w:eastAsia="en-US"/>
              </w:rPr>
              <w:t>euro</w:t>
            </w:r>
            <w:r w:rsidRPr="000A39CD">
              <w:rPr>
                <w:szCs w:val="20"/>
                <w:lang w:eastAsia="en-US"/>
              </w:rPr>
              <w:t>;</w:t>
            </w:r>
          </w:p>
          <w:p w14:paraId="1E2028FE" w14:textId="15928A92" w:rsidR="008E79E3" w:rsidRPr="00F330F5" w:rsidRDefault="008E79E3" w:rsidP="00F330F5">
            <w:pPr>
              <w:ind w:firstLine="720"/>
              <w:jc w:val="both"/>
              <w:rPr>
                <w:szCs w:val="20"/>
                <w:lang w:eastAsia="en-US"/>
              </w:rPr>
            </w:pPr>
            <w:r w:rsidRPr="00F330F5">
              <w:rPr>
                <w:szCs w:val="20"/>
                <w:lang w:eastAsia="en-US"/>
              </w:rPr>
              <w:t>Finansējuma sadalījums pa gadiem norādīts indikatīvi un var tikt precizēts, ņemot vērā faktiski izlietoto finansējumu un atlases kārtu ietvaros apstiprināto projektu iesniegumu skaitu.</w:t>
            </w:r>
          </w:p>
        </w:tc>
      </w:tr>
      <w:tr w:rsidR="00BA3006" w:rsidRPr="00F330F5" w14:paraId="2BF44A9C" w14:textId="77777777" w:rsidTr="00BB6825">
        <w:trPr>
          <w:cantSplit/>
        </w:trPr>
        <w:tc>
          <w:tcPr>
            <w:tcW w:w="2181" w:type="dxa"/>
            <w:shd w:val="clear" w:color="auto" w:fill="auto"/>
            <w:hideMark/>
          </w:tcPr>
          <w:p w14:paraId="429033B5" w14:textId="77777777" w:rsidR="008E79E3" w:rsidRPr="00F330F5" w:rsidRDefault="008E79E3" w:rsidP="008E79E3">
            <w:pPr>
              <w:rPr>
                <w:szCs w:val="20"/>
                <w:lang w:eastAsia="en-US"/>
              </w:rPr>
            </w:pPr>
            <w:r w:rsidRPr="00F330F5">
              <w:rPr>
                <w:szCs w:val="20"/>
                <w:lang w:eastAsia="en-US"/>
              </w:rPr>
              <w:t>6.1. detalizēts ieņēmumu aprēķins</w:t>
            </w:r>
          </w:p>
        </w:tc>
        <w:tc>
          <w:tcPr>
            <w:tcW w:w="6950" w:type="dxa"/>
            <w:gridSpan w:val="8"/>
            <w:vMerge/>
            <w:shd w:val="clear" w:color="auto" w:fill="auto"/>
            <w:vAlign w:val="center"/>
            <w:hideMark/>
          </w:tcPr>
          <w:p w14:paraId="311C7654" w14:textId="77777777" w:rsidR="008E79E3" w:rsidRPr="00F330F5" w:rsidRDefault="008E79E3" w:rsidP="008E79E3">
            <w:pPr>
              <w:jc w:val="center"/>
              <w:rPr>
                <w:sz w:val="20"/>
                <w:szCs w:val="20"/>
                <w:lang w:eastAsia="en-US"/>
              </w:rPr>
            </w:pPr>
          </w:p>
        </w:tc>
      </w:tr>
      <w:tr w:rsidR="00BA3006" w:rsidRPr="00F330F5" w14:paraId="4343313D" w14:textId="77777777" w:rsidTr="00BB6825">
        <w:tc>
          <w:tcPr>
            <w:tcW w:w="2181" w:type="dxa"/>
            <w:shd w:val="clear" w:color="auto" w:fill="auto"/>
            <w:hideMark/>
          </w:tcPr>
          <w:p w14:paraId="55DF1132" w14:textId="77777777" w:rsidR="008E79E3" w:rsidRPr="00F330F5" w:rsidRDefault="008E79E3" w:rsidP="008E79E3">
            <w:pPr>
              <w:rPr>
                <w:szCs w:val="20"/>
                <w:lang w:eastAsia="en-US"/>
              </w:rPr>
            </w:pPr>
            <w:r w:rsidRPr="00F330F5">
              <w:rPr>
                <w:szCs w:val="20"/>
                <w:lang w:eastAsia="en-US"/>
              </w:rPr>
              <w:t>6.2. detalizēts izdevumu aprēķins</w:t>
            </w:r>
          </w:p>
        </w:tc>
        <w:tc>
          <w:tcPr>
            <w:tcW w:w="6950" w:type="dxa"/>
            <w:gridSpan w:val="8"/>
            <w:vMerge/>
            <w:shd w:val="clear" w:color="auto" w:fill="auto"/>
            <w:vAlign w:val="center"/>
            <w:hideMark/>
          </w:tcPr>
          <w:p w14:paraId="69A392CA" w14:textId="77777777" w:rsidR="008E79E3" w:rsidRPr="00F330F5" w:rsidRDefault="008E79E3" w:rsidP="008E79E3">
            <w:pPr>
              <w:jc w:val="center"/>
              <w:rPr>
                <w:sz w:val="20"/>
                <w:szCs w:val="20"/>
                <w:lang w:eastAsia="en-US"/>
              </w:rPr>
            </w:pPr>
          </w:p>
        </w:tc>
      </w:tr>
      <w:tr w:rsidR="00BA3006" w:rsidRPr="00F330F5" w14:paraId="25921769" w14:textId="77777777" w:rsidTr="00BB6825">
        <w:trPr>
          <w:cantSplit/>
        </w:trPr>
        <w:tc>
          <w:tcPr>
            <w:tcW w:w="2181" w:type="dxa"/>
            <w:shd w:val="clear" w:color="auto" w:fill="auto"/>
            <w:hideMark/>
          </w:tcPr>
          <w:p w14:paraId="03C4D38C" w14:textId="77777777" w:rsidR="008E79E3" w:rsidRPr="00F330F5" w:rsidRDefault="008E79E3" w:rsidP="008E79E3">
            <w:pPr>
              <w:rPr>
                <w:szCs w:val="20"/>
                <w:lang w:eastAsia="en-US"/>
              </w:rPr>
            </w:pPr>
            <w:r w:rsidRPr="00F330F5">
              <w:rPr>
                <w:szCs w:val="20"/>
                <w:lang w:eastAsia="en-US"/>
              </w:rPr>
              <w:t>7. Amata vietu skaita izmaiņas</w:t>
            </w:r>
          </w:p>
        </w:tc>
        <w:tc>
          <w:tcPr>
            <w:tcW w:w="6950" w:type="dxa"/>
            <w:gridSpan w:val="8"/>
            <w:shd w:val="clear" w:color="auto" w:fill="auto"/>
            <w:hideMark/>
          </w:tcPr>
          <w:p w14:paraId="30F441EE" w14:textId="77777777" w:rsidR="008E79E3" w:rsidRPr="00F330F5" w:rsidRDefault="008E79E3" w:rsidP="008E79E3">
            <w:pPr>
              <w:rPr>
                <w:szCs w:val="20"/>
                <w:lang w:eastAsia="en-US"/>
              </w:rPr>
            </w:pPr>
            <w:r w:rsidRPr="00F330F5">
              <w:rPr>
                <w:szCs w:val="20"/>
                <w:lang w:eastAsia="en-US"/>
              </w:rPr>
              <w:t>Nav</w:t>
            </w:r>
          </w:p>
        </w:tc>
      </w:tr>
      <w:tr w:rsidR="00BA3006" w:rsidRPr="00F330F5" w14:paraId="1729AF6B" w14:textId="77777777" w:rsidTr="00BB6825">
        <w:trPr>
          <w:cantSplit/>
        </w:trPr>
        <w:tc>
          <w:tcPr>
            <w:tcW w:w="2181" w:type="dxa"/>
            <w:shd w:val="clear" w:color="auto" w:fill="auto"/>
            <w:hideMark/>
          </w:tcPr>
          <w:p w14:paraId="7098E9B6" w14:textId="77777777" w:rsidR="008E79E3" w:rsidRPr="00F330F5" w:rsidRDefault="008E79E3" w:rsidP="008E79E3">
            <w:pPr>
              <w:rPr>
                <w:szCs w:val="20"/>
                <w:lang w:eastAsia="en-US"/>
              </w:rPr>
            </w:pPr>
            <w:r w:rsidRPr="00F330F5">
              <w:rPr>
                <w:szCs w:val="20"/>
                <w:lang w:eastAsia="en-US"/>
              </w:rPr>
              <w:t>8. Cita informācija</w:t>
            </w:r>
          </w:p>
        </w:tc>
        <w:tc>
          <w:tcPr>
            <w:tcW w:w="6950" w:type="dxa"/>
            <w:gridSpan w:val="8"/>
            <w:shd w:val="clear" w:color="auto" w:fill="auto"/>
            <w:hideMark/>
          </w:tcPr>
          <w:p w14:paraId="354AF1C4" w14:textId="77777777" w:rsidR="008E79E3" w:rsidRPr="00F330F5" w:rsidRDefault="008E79E3" w:rsidP="008E79E3">
            <w:pPr>
              <w:jc w:val="both"/>
              <w:rPr>
                <w:szCs w:val="20"/>
                <w:lang w:eastAsia="en-US"/>
              </w:rPr>
            </w:pPr>
            <w:r w:rsidRPr="00F330F5">
              <w:rPr>
                <w:szCs w:val="20"/>
              </w:rPr>
              <w:t>Nepieciešamais finansējums 8.3.1.2.pasākuma īstenošanai pēc projektu iesniegumu apstiprināšanas tiks piesaistīts normatīvajos aktos noteiktajā kārtībā no 74. 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r w:rsidR="00BA3006" w:rsidRPr="00F330F5" w14:paraId="3EFB3F88" w14:textId="77777777" w:rsidTr="00BB6825">
        <w:tblPrEx>
          <w:tblCellMar>
            <w:top w:w="30" w:type="dxa"/>
            <w:left w:w="30" w:type="dxa"/>
            <w:bottom w:w="30" w:type="dxa"/>
            <w:right w:w="30" w:type="dxa"/>
          </w:tblCellMar>
        </w:tblPrEx>
        <w:trPr>
          <w:cantSplit/>
        </w:trPr>
        <w:tc>
          <w:tcPr>
            <w:tcW w:w="9131" w:type="dxa"/>
            <w:gridSpan w:val="9"/>
            <w:vAlign w:val="center"/>
            <w:hideMark/>
          </w:tcPr>
          <w:p w14:paraId="353B4CBA" w14:textId="77777777" w:rsidR="008E79E3" w:rsidRPr="00CD2D65" w:rsidRDefault="008E79E3" w:rsidP="008E79E3">
            <w:pPr>
              <w:jc w:val="center"/>
              <w:rPr>
                <w:b/>
                <w:bCs/>
                <w:szCs w:val="20"/>
              </w:rPr>
            </w:pPr>
            <w:r w:rsidRPr="00CD2D65">
              <w:rPr>
                <w:b/>
                <w:bCs/>
                <w:szCs w:val="20"/>
              </w:rPr>
              <w:t>IV. Tiesību akta projekta ietekme uz spēkā esošo tiesību normu sistēmu</w:t>
            </w:r>
          </w:p>
        </w:tc>
      </w:tr>
      <w:tr w:rsidR="00BA3006" w:rsidRPr="00F330F5" w14:paraId="553F593E" w14:textId="77777777" w:rsidTr="00BB6825">
        <w:tblPrEx>
          <w:tblCellMar>
            <w:top w:w="30" w:type="dxa"/>
            <w:left w:w="30" w:type="dxa"/>
            <w:bottom w:w="30" w:type="dxa"/>
            <w:right w:w="30" w:type="dxa"/>
          </w:tblCellMar>
        </w:tblPrEx>
        <w:trPr>
          <w:cantSplit/>
          <w:trHeight w:val="379"/>
        </w:trPr>
        <w:tc>
          <w:tcPr>
            <w:tcW w:w="9131" w:type="dxa"/>
            <w:gridSpan w:val="9"/>
          </w:tcPr>
          <w:p w14:paraId="47C11494" w14:textId="77777777" w:rsidR="008E79E3" w:rsidRPr="00CD2D65" w:rsidRDefault="008E79E3" w:rsidP="008E79E3">
            <w:pPr>
              <w:jc w:val="center"/>
              <w:rPr>
                <w:szCs w:val="20"/>
              </w:rPr>
            </w:pPr>
            <w:r w:rsidRPr="00CD2D65">
              <w:rPr>
                <w:szCs w:val="20"/>
              </w:rPr>
              <w:t>Projekts šo jomu neskar</w:t>
            </w:r>
          </w:p>
        </w:tc>
      </w:tr>
    </w:tbl>
    <w:p w14:paraId="7A4F7371"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F330F5" w14:paraId="607CD29B" w14:textId="77777777" w:rsidTr="00227CBC">
        <w:trPr>
          <w:cantSplit/>
        </w:trPr>
        <w:tc>
          <w:tcPr>
            <w:tcW w:w="5000" w:type="pct"/>
            <w:gridSpan w:val="3"/>
            <w:vAlign w:val="center"/>
            <w:hideMark/>
          </w:tcPr>
          <w:p w14:paraId="550CA0AC" w14:textId="77777777" w:rsidR="00BD5588" w:rsidRPr="00F330F5" w:rsidRDefault="00BD5588" w:rsidP="00227CBC">
            <w:pPr>
              <w:jc w:val="center"/>
              <w:rPr>
                <w:b/>
                <w:bCs/>
              </w:rPr>
            </w:pPr>
            <w:r w:rsidRPr="00F330F5">
              <w:rPr>
                <w:b/>
                <w:bCs/>
              </w:rPr>
              <w:t>V. Tiesību akta projekta atbilstība Latvijas Republikas starptautiskajām saistībām</w:t>
            </w:r>
          </w:p>
        </w:tc>
      </w:tr>
      <w:tr w:rsidR="00BD5588" w:rsidRPr="00F330F5" w14:paraId="1AF8BB05" w14:textId="77777777" w:rsidTr="00227CBC">
        <w:trPr>
          <w:cantSplit/>
        </w:trPr>
        <w:tc>
          <w:tcPr>
            <w:tcW w:w="311" w:type="pct"/>
            <w:hideMark/>
          </w:tcPr>
          <w:p w14:paraId="2FA86245" w14:textId="77777777" w:rsidR="00BD5588" w:rsidRPr="00F330F5" w:rsidRDefault="00BD5588" w:rsidP="00227CBC">
            <w:pPr>
              <w:jc w:val="center"/>
            </w:pPr>
            <w:r w:rsidRPr="00F330F5">
              <w:t>1.</w:t>
            </w:r>
          </w:p>
        </w:tc>
        <w:tc>
          <w:tcPr>
            <w:tcW w:w="1479" w:type="pct"/>
            <w:hideMark/>
          </w:tcPr>
          <w:p w14:paraId="69CEC25D" w14:textId="77777777" w:rsidR="00BD5588" w:rsidRPr="00F330F5" w:rsidRDefault="00BD5588" w:rsidP="00227CBC">
            <w:r w:rsidRPr="00F330F5">
              <w:t>Saistības pret Eiropas Savienību</w:t>
            </w:r>
          </w:p>
        </w:tc>
        <w:tc>
          <w:tcPr>
            <w:tcW w:w="3210" w:type="pct"/>
            <w:hideMark/>
          </w:tcPr>
          <w:p w14:paraId="3C0346B2" w14:textId="77777777" w:rsidR="00BD5588" w:rsidRPr="00F330F5" w:rsidRDefault="005C56B4" w:rsidP="005C56B4">
            <w:pPr>
              <w:jc w:val="both"/>
              <w:rPr>
                <w:spacing w:val="-3"/>
                <w:szCs w:val="28"/>
              </w:rPr>
            </w:pPr>
            <w:r w:rsidRPr="00F330F5">
              <w:rPr>
                <w:szCs w:val="28"/>
              </w:rPr>
              <w:t xml:space="preserve">Eiropas Parlamenta un Padomes 2013. gada 17. decembra regula (ES) Nr.1303/2013, </w:t>
            </w:r>
            <w:r w:rsidRPr="00F330F5">
              <w:rPr>
                <w:noProof/>
                <w:snapToGrid w:val="0"/>
                <w:szCs w:val="28"/>
              </w:rPr>
              <w:t xml:space="preserve">ar ko paredz kopīgus noteikumus par Eiropas Reģionālās attīstības fondu, </w:t>
            </w:r>
            <w:r w:rsidRPr="00F330F5">
              <w:rPr>
                <w:szCs w:val="28"/>
              </w:rPr>
              <w:t>Eiropas Sociālo fondu</w:t>
            </w:r>
            <w:r w:rsidRPr="00F330F5">
              <w:rPr>
                <w:noProof/>
                <w:snapToGrid w:val="0"/>
                <w:szCs w:val="28"/>
              </w:rPr>
              <w:t xml:space="preserve">, Kohēzijas fondu, Eiropas Lauksaimniecības fondu lauku attīstībai un Eiropas Jūrlietu un zivsaimniecības fondu un vispārīgus noteikumus par Eiropas Reģionālās attīstības fondu, </w:t>
            </w:r>
            <w:r w:rsidRPr="00F330F5">
              <w:rPr>
                <w:szCs w:val="28"/>
              </w:rPr>
              <w:t>Eiropas Sociālo fondu</w:t>
            </w:r>
            <w:r w:rsidRPr="00F330F5">
              <w:rPr>
                <w:noProof/>
                <w:snapToGrid w:val="0"/>
                <w:szCs w:val="28"/>
              </w:rPr>
              <w:t xml:space="preserve">,  Kohēzijas fondu un Eiropas Jūrlietu un zivsaimniecības fondu un atceļ Padomes Regulu (EK) Nr. 1083/2006 (turpmāk - </w:t>
            </w:r>
            <w:r w:rsidRPr="00F330F5">
              <w:rPr>
                <w:spacing w:val="-3"/>
                <w:szCs w:val="28"/>
              </w:rPr>
              <w:t>Regula Nr. 1303/2013).</w:t>
            </w:r>
          </w:p>
          <w:p w14:paraId="64BBFD7E" w14:textId="77777777" w:rsidR="00FE7B84" w:rsidRPr="00F330F5" w:rsidRDefault="00FE7B84" w:rsidP="005C56B4">
            <w:pPr>
              <w:jc w:val="both"/>
            </w:pPr>
            <w:r w:rsidRPr="00F330F5">
              <w:t xml:space="preserve">Eiropas Parlamenta un Padomes 2013.gada 17.decembra Regula (ES) </w:t>
            </w:r>
            <w:r w:rsidRPr="00F330F5">
              <w:rPr>
                <w:bCs/>
              </w:rPr>
              <w:t>Nr. 1304/2013 par Eiropas Sociālo fondu un ar ko atceļ Padomes Regulu (EK) Nr. 1081/2006.</w:t>
            </w:r>
          </w:p>
        </w:tc>
      </w:tr>
      <w:tr w:rsidR="00BD5588" w:rsidRPr="00F330F5" w14:paraId="07896935" w14:textId="77777777" w:rsidTr="00227CBC">
        <w:trPr>
          <w:cantSplit/>
        </w:trPr>
        <w:tc>
          <w:tcPr>
            <w:tcW w:w="311" w:type="pct"/>
            <w:hideMark/>
          </w:tcPr>
          <w:p w14:paraId="532B660A" w14:textId="77777777" w:rsidR="00BD5588" w:rsidRPr="00F330F5" w:rsidRDefault="00BD5588" w:rsidP="00227CBC">
            <w:pPr>
              <w:jc w:val="center"/>
            </w:pPr>
            <w:r w:rsidRPr="00F330F5">
              <w:t>2.</w:t>
            </w:r>
          </w:p>
        </w:tc>
        <w:tc>
          <w:tcPr>
            <w:tcW w:w="1479" w:type="pct"/>
            <w:hideMark/>
          </w:tcPr>
          <w:p w14:paraId="42F66274" w14:textId="77777777" w:rsidR="00BD5588" w:rsidRPr="00F330F5" w:rsidRDefault="00BD5588" w:rsidP="00227CBC">
            <w:r w:rsidRPr="00F330F5">
              <w:t>Citas starptautiskās saistības</w:t>
            </w:r>
          </w:p>
        </w:tc>
        <w:tc>
          <w:tcPr>
            <w:tcW w:w="3210" w:type="pct"/>
            <w:hideMark/>
          </w:tcPr>
          <w:p w14:paraId="012BC74C" w14:textId="77777777" w:rsidR="00BD5588" w:rsidRPr="00F330F5" w:rsidRDefault="005C56B4" w:rsidP="005C56B4">
            <w:pPr>
              <w:jc w:val="both"/>
            </w:pPr>
            <w:r w:rsidRPr="00F330F5">
              <w:rPr>
                <w:szCs w:val="28"/>
              </w:rPr>
              <w:t>Noteikumu projekts šo jomu neskar.</w:t>
            </w:r>
          </w:p>
        </w:tc>
      </w:tr>
      <w:tr w:rsidR="00BD5588" w:rsidRPr="00F330F5" w14:paraId="009B3700" w14:textId="77777777" w:rsidTr="00227CBC">
        <w:trPr>
          <w:cantSplit/>
        </w:trPr>
        <w:tc>
          <w:tcPr>
            <w:tcW w:w="311" w:type="pct"/>
            <w:hideMark/>
          </w:tcPr>
          <w:p w14:paraId="3D95CB61" w14:textId="77777777" w:rsidR="00BD5588" w:rsidRPr="00F330F5" w:rsidRDefault="00BD5588" w:rsidP="00227CBC">
            <w:pPr>
              <w:jc w:val="center"/>
            </w:pPr>
            <w:r w:rsidRPr="00F330F5">
              <w:t>3.</w:t>
            </w:r>
          </w:p>
        </w:tc>
        <w:tc>
          <w:tcPr>
            <w:tcW w:w="1479" w:type="pct"/>
            <w:hideMark/>
          </w:tcPr>
          <w:p w14:paraId="36A82543" w14:textId="77777777" w:rsidR="00BD5588" w:rsidRPr="00F330F5" w:rsidRDefault="00BD5588" w:rsidP="00227CBC">
            <w:r w:rsidRPr="00F330F5">
              <w:t>Cita informācija</w:t>
            </w:r>
          </w:p>
        </w:tc>
        <w:tc>
          <w:tcPr>
            <w:tcW w:w="3210" w:type="pct"/>
            <w:hideMark/>
          </w:tcPr>
          <w:p w14:paraId="6BAA5567" w14:textId="2996B8AC" w:rsidR="00BD5588" w:rsidRPr="00F330F5" w:rsidRDefault="000E5611" w:rsidP="00C00E18">
            <w:pPr>
              <w:pStyle w:val="ListParagraph"/>
              <w:tabs>
                <w:tab w:val="left" w:pos="0"/>
              </w:tabs>
              <w:spacing w:after="0" w:line="240" w:lineRule="auto"/>
              <w:ind w:left="0"/>
              <w:contextualSpacing w:val="0"/>
              <w:jc w:val="both"/>
              <w:rPr>
                <w:rFonts w:ascii="Times New Roman" w:hAnsi="Times New Roman"/>
                <w:bCs/>
                <w:sz w:val="24"/>
                <w:szCs w:val="28"/>
              </w:rPr>
            </w:pPr>
            <w:r w:rsidRPr="00F330F5">
              <w:rPr>
                <w:rFonts w:ascii="Times New Roman" w:hAnsi="Times New Roman"/>
                <w:bCs/>
                <w:sz w:val="24"/>
                <w:szCs w:val="28"/>
              </w:rPr>
              <w:t xml:space="preserve">Atbalstu sniedz ar saimniecisku darbību saistītu projektu īstenošanai, ievērojot ar valsts atbalstu saistīto normatīvo aktu regulējumu, tai skaitā Komisijas </w:t>
            </w:r>
            <w:r w:rsidR="00C00E18" w:rsidRPr="00F330F5">
              <w:rPr>
                <w:rFonts w:ascii="Times New Roman" w:hAnsi="Times New Roman"/>
                <w:bCs/>
                <w:sz w:val="24"/>
                <w:szCs w:val="28"/>
              </w:rPr>
              <w:t xml:space="preserve">2013. gada 18. decembra </w:t>
            </w:r>
            <w:r w:rsidRPr="00F330F5">
              <w:rPr>
                <w:rFonts w:ascii="Times New Roman" w:hAnsi="Times New Roman"/>
                <w:bCs/>
                <w:sz w:val="24"/>
                <w:szCs w:val="28"/>
              </w:rPr>
              <w:t>Regulas Nr. 1407/2013</w:t>
            </w:r>
            <w:r w:rsidR="00C00E18" w:rsidRPr="00F330F5">
              <w:rPr>
                <w:rFonts w:ascii="Times New Roman" w:hAnsi="Times New Roman"/>
                <w:bCs/>
                <w:sz w:val="24"/>
                <w:szCs w:val="28"/>
              </w:rPr>
              <w:t xml:space="preserve"> par Līguma par Eiropas Savienības darbību 107. un 108. panta piemērošanu </w:t>
            </w:r>
            <w:r w:rsidR="00C00E18" w:rsidRPr="00F330F5">
              <w:rPr>
                <w:rFonts w:ascii="Times New Roman" w:hAnsi="Times New Roman"/>
                <w:bCs/>
                <w:i/>
                <w:sz w:val="24"/>
                <w:szCs w:val="28"/>
              </w:rPr>
              <w:t>de minimis</w:t>
            </w:r>
            <w:r w:rsidR="00C00E18" w:rsidRPr="00F330F5">
              <w:rPr>
                <w:rFonts w:ascii="Times New Roman" w:hAnsi="Times New Roman"/>
                <w:bCs/>
                <w:sz w:val="24"/>
                <w:szCs w:val="28"/>
              </w:rPr>
              <w:t xml:space="preserve"> atbalstam</w:t>
            </w:r>
            <w:r w:rsidRPr="00F330F5">
              <w:rPr>
                <w:rFonts w:ascii="Times New Roman" w:hAnsi="Times New Roman"/>
                <w:bCs/>
                <w:sz w:val="24"/>
                <w:szCs w:val="28"/>
              </w:rPr>
              <w:t xml:space="preserve"> 5.panta 1.punktu </w:t>
            </w:r>
          </w:p>
        </w:tc>
      </w:tr>
    </w:tbl>
    <w:p w14:paraId="5D99A1BD"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91"/>
        <w:gridCol w:w="2160"/>
        <w:gridCol w:w="1079"/>
        <w:gridCol w:w="1351"/>
        <w:gridCol w:w="2350"/>
      </w:tblGrid>
      <w:tr w:rsidR="00BD5588" w:rsidRPr="00F330F5" w14:paraId="1D9256B7" w14:textId="77777777" w:rsidTr="008B3B02">
        <w:tc>
          <w:tcPr>
            <w:tcW w:w="5000" w:type="pct"/>
            <w:gridSpan w:val="5"/>
            <w:vAlign w:val="center"/>
            <w:hideMark/>
          </w:tcPr>
          <w:p w14:paraId="69DEA5FA" w14:textId="77777777" w:rsidR="00BD5588" w:rsidRPr="00F330F5" w:rsidRDefault="00BD5588" w:rsidP="00227CBC">
            <w:pPr>
              <w:jc w:val="center"/>
              <w:rPr>
                <w:b/>
                <w:bCs/>
              </w:rPr>
            </w:pPr>
            <w:r w:rsidRPr="00F330F5">
              <w:rPr>
                <w:b/>
                <w:bCs/>
              </w:rPr>
              <w:t>1. tabula</w:t>
            </w:r>
            <w:r w:rsidRPr="00F330F5">
              <w:rPr>
                <w:b/>
                <w:bCs/>
              </w:rPr>
              <w:br/>
              <w:t>Tiesību akta projekta atbilstība ES tiesību aktiem</w:t>
            </w:r>
          </w:p>
        </w:tc>
      </w:tr>
      <w:tr w:rsidR="00BD5588" w:rsidRPr="00F330F5" w14:paraId="566394E1" w14:textId="77777777" w:rsidTr="008B3B02">
        <w:tc>
          <w:tcPr>
            <w:tcW w:w="1199" w:type="pct"/>
            <w:hideMark/>
          </w:tcPr>
          <w:p w14:paraId="12157DBB" w14:textId="77777777" w:rsidR="00BD5588" w:rsidRPr="00F330F5" w:rsidRDefault="00BD5588" w:rsidP="00227CBC">
            <w:r w:rsidRPr="00F330F5">
              <w:t>Attiecīgā ES tiesību akta datums, numurs un nosaukums</w:t>
            </w:r>
          </w:p>
        </w:tc>
        <w:tc>
          <w:tcPr>
            <w:tcW w:w="3801" w:type="pct"/>
            <w:gridSpan w:val="4"/>
            <w:hideMark/>
          </w:tcPr>
          <w:p w14:paraId="7F7F79D0" w14:textId="77777777" w:rsidR="000F2066" w:rsidRPr="00F330F5" w:rsidRDefault="000F2066" w:rsidP="000F2066">
            <w:pPr>
              <w:jc w:val="both"/>
              <w:rPr>
                <w:spacing w:val="-3"/>
                <w:szCs w:val="28"/>
              </w:rPr>
            </w:pPr>
            <w:r w:rsidRPr="00F330F5">
              <w:rPr>
                <w:szCs w:val="28"/>
              </w:rPr>
              <w:t xml:space="preserve">Eiropas Parlamenta un Padomes 2013. gada 17. decembra regula (ES) Nr.1303/2013, </w:t>
            </w:r>
            <w:r w:rsidRPr="00F330F5">
              <w:rPr>
                <w:noProof/>
                <w:snapToGrid w:val="0"/>
                <w:szCs w:val="28"/>
              </w:rPr>
              <w:t xml:space="preserve">ar ko paredz kopīgus noteikumus par Eiropas Reģionālās attīstības fondu, </w:t>
            </w:r>
            <w:r w:rsidRPr="00F330F5">
              <w:rPr>
                <w:szCs w:val="28"/>
              </w:rPr>
              <w:t>Eiropas Sociālo fondu</w:t>
            </w:r>
            <w:r w:rsidRPr="00F330F5">
              <w:rPr>
                <w:noProof/>
                <w:snapToGrid w:val="0"/>
                <w:szCs w:val="28"/>
              </w:rPr>
              <w:t xml:space="preserve">, Kohēzijas fondu, Eiropas Lauksaimniecības fondu lauku attīstībai un Eiropas Jūrlietu un zivsaimniecības fondu un vispārīgus noteikumus par Eiropas Reģionālās attīstības fondu, </w:t>
            </w:r>
            <w:r w:rsidRPr="00F330F5">
              <w:rPr>
                <w:szCs w:val="28"/>
              </w:rPr>
              <w:t>Eiropas Sociālo fondu</w:t>
            </w:r>
            <w:r w:rsidRPr="00F330F5">
              <w:rPr>
                <w:noProof/>
                <w:snapToGrid w:val="0"/>
                <w:szCs w:val="28"/>
              </w:rPr>
              <w:t xml:space="preserve">,  Kohēzijas fondu un Eiropas Jūrlietu un zivsaimniecības fondu un atceļ Padomes Regulu (EK) Nr. 1083/2006 (turpmāk - </w:t>
            </w:r>
            <w:r w:rsidRPr="00F330F5">
              <w:rPr>
                <w:spacing w:val="-3"/>
                <w:szCs w:val="28"/>
              </w:rPr>
              <w:t>Regula Nr. 1303/2013).</w:t>
            </w:r>
          </w:p>
          <w:p w14:paraId="39699D75" w14:textId="23CA6E58" w:rsidR="00B442ED" w:rsidRPr="00F330F5" w:rsidRDefault="00C00E18" w:rsidP="00227CBC">
            <w:pPr>
              <w:rPr>
                <w:bCs/>
              </w:rPr>
            </w:pPr>
            <w:r w:rsidRPr="00F330F5">
              <w:t xml:space="preserve">Eiropas Parlamenta un Padomes 2013.gada 17.decembra Regula (ES) </w:t>
            </w:r>
            <w:r w:rsidRPr="00F330F5">
              <w:rPr>
                <w:bCs/>
              </w:rPr>
              <w:t>Nr. 1304/2013 par Eiropas Sociālo fondu un ar ko atceļ Padomes Regulu (EK) Nr. 1081/2006.</w:t>
            </w:r>
          </w:p>
          <w:p w14:paraId="3A45D9A1" w14:textId="5D944A89" w:rsidR="00C00E18" w:rsidRDefault="00C00E18" w:rsidP="00C00E18">
            <w:pPr>
              <w:rPr>
                <w:bCs/>
                <w:szCs w:val="28"/>
              </w:rPr>
            </w:pPr>
            <w:r w:rsidRPr="00F330F5">
              <w:rPr>
                <w:bCs/>
                <w:szCs w:val="28"/>
              </w:rPr>
              <w:t xml:space="preserve">Komisijas 2013. gada 18. decembra Regula Nr. 1407/2013 par Līguma par Eiropas Savienības darbību 107. un 108. panta piemērošanu </w:t>
            </w:r>
            <w:r w:rsidRPr="00F330F5">
              <w:rPr>
                <w:bCs/>
                <w:i/>
                <w:szCs w:val="28"/>
              </w:rPr>
              <w:t>de minimis</w:t>
            </w:r>
            <w:r w:rsidRPr="00F330F5">
              <w:rPr>
                <w:bCs/>
                <w:szCs w:val="28"/>
              </w:rPr>
              <w:t xml:space="preserve"> atbalstam 5.panta 1.punktu</w:t>
            </w:r>
            <w:r w:rsidR="008B3B02">
              <w:rPr>
                <w:bCs/>
                <w:szCs w:val="28"/>
              </w:rPr>
              <w:t>.</w:t>
            </w:r>
          </w:p>
          <w:p w14:paraId="5D851AD7" w14:textId="20BDBA09" w:rsidR="008B3B02" w:rsidRPr="00F330F5" w:rsidRDefault="008B3B02" w:rsidP="00C00E18"/>
        </w:tc>
      </w:tr>
      <w:tr w:rsidR="00BD5588" w:rsidRPr="00F330F5" w14:paraId="7725E4E5" w14:textId="77777777" w:rsidTr="008B3B02">
        <w:tc>
          <w:tcPr>
            <w:tcW w:w="1199" w:type="pct"/>
            <w:vAlign w:val="center"/>
            <w:hideMark/>
          </w:tcPr>
          <w:p w14:paraId="45534F5C" w14:textId="77777777" w:rsidR="00BD5588" w:rsidRPr="00F330F5" w:rsidRDefault="00BD5588" w:rsidP="00227CBC">
            <w:pPr>
              <w:jc w:val="center"/>
            </w:pPr>
            <w:r w:rsidRPr="00F330F5">
              <w:t>A</w:t>
            </w:r>
          </w:p>
        </w:tc>
        <w:tc>
          <w:tcPr>
            <w:tcW w:w="1183" w:type="pct"/>
            <w:vAlign w:val="center"/>
            <w:hideMark/>
          </w:tcPr>
          <w:p w14:paraId="28184B2C" w14:textId="77777777" w:rsidR="00BD5588" w:rsidRPr="00F330F5" w:rsidRDefault="00BD5588" w:rsidP="00227CBC">
            <w:pPr>
              <w:jc w:val="center"/>
            </w:pPr>
            <w:r w:rsidRPr="00F330F5">
              <w:t>B</w:t>
            </w:r>
          </w:p>
        </w:tc>
        <w:tc>
          <w:tcPr>
            <w:tcW w:w="1331" w:type="pct"/>
            <w:gridSpan w:val="2"/>
            <w:vAlign w:val="center"/>
            <w:hideMark/>
          </w:tcPr>
          <w:p w14:paraId="4708AD27" w14:textId="77777777" w:rsidR="00BD5588" w:rsidRPr="00F330F5" w:rsidRDefault="00BD5588" w:rsidP="00227CBC">
            <w:pPr>
              <w:jc w:val="center"/>
            </w:pPr>
            <w:r w:rsidRPr="00F330F5">
              <w:t>C</w:t>
            </w:r>
          </w:p>
        </w:tc>
        <w:tc>
          <w:tcPr>
            <w:tcW w:w="1287" w:type="pct"/>
            <w:vAlign w:val="center"/>
            <w:hideMark/>
          </w:tcPr>
          <w:p w14:paraId="32E786AA" w14:textId="77777777" w:rsidR="00BD5588" w:rsidRPr="00F330F5" w:rsidRDefault="00BD5588" w:rsidP="00227CBC">
            <w:pPr>
              <w:jc w:val="center"/>
            </w:pPr>
            <w:r w:rsidRPr="00F330F5">
              <w:t>D</w:t>
            </w:r>
          </w:p>
        </w:tc>
      </w:tr>
      <w:tr w:rsidR="00BD5588" w:rsidRPr="00F330F5" w14:paraId="360402B0" w14:textId="77777777" w:rsidTr="008B3B02">
        <w:tc>
          <w:tcPr>
            <w:tcW w:w="1199" w:type="pct"/>
            <w:hideMark/>
          </w:tcPr>
          <w:p w14:paraId="03CB2DCA" w14:textId="77777777" w:rsidR="00BD5588" w:rsidRPr="00F330F5" w:rsidRDefault="00BD5588" w:rsidP="00227CBC">
            <w:r w:rsidRPr="00F330F5">
              <w:t>Attiecīgā ES tiesību akta panta numurs (uzskaitot katru tiesību akta vienību – pantu, daļu, punktu, apakšpunktu)</w:t>
            </w:r>
          </w:p>
        </w:tc>
        <w:tc>
          <w:tcPr>
            <w:tcW w:w="1183" w:type="pct"/>
            <w:hideMark/>
          </w:tcPr>
          <w:p w14:paraId="24A856F5" w14:textId="77777777" w:rsidR="00BD5588" w:rsidRPr="00F330F5" w:rsidRDefault="00BD5588" w:rsidP="00227CBC">
            <w:r w:rsidRPr="00F330F5">
              <w:t>Projekta vienība, kas pārņem vai ievieš katru šīs tabulas A ailē minēto ES tiesību akta vienību, vai tiesību akts, kur attiecīgā ES tiesību akta vienība pārņemta vai ieviesta</w:t>
            </w:r>
          </w:p>
        </w:tc>
        <w:tc>
          <w:tcPr>
            <w:tcW w:w="1331" w:type="pct"/>
            <w:gridSpan w:val="2"/>
            <w:hideMark/>
          </w:tcPr>
          <w:p w14:paraId="691CADCC" w14:textId="77777777" w:rsidR="00BD5588" w:rsidRPr="00F330F5" w:rsidRDefault="00BD5588" w:rsidP="00227CBC">
            <w:r w:rsidRPr="00F330F5">
              <w:t>Informācija par to, vai šīs tabulas A ailē minētās ES tiesību akta vienības tiek pārņemtas vai ieviestas pilnībā vai daļēji.</w:t>
            </w:r>
            <w:r w:rsidRPr="00F330F5">
              <w:br/>
              <w:t>Ja attiecīgā ES tiesību akta vienība tiek pārņemta vai ieviesta daļēji, sniedz attiecīgu skaidrojumu, kā arī precīzi norāda, kad un kādā veidā ES tiesību akta vienība tiks pārņemta vai ieviesta pilnībā.</w:t>
            </w:r>
            <w:r w:rsidRPr="00F330F5">
              <w:br/>
              <w:t>Norāda institūciju, kas ir atbildīga par šo saistību izpildi pilnībā</w:t>
            </w:r>
          </w:p>
        </w:tc>
        <w:tc>
          <w:tcPr>
            <w:tcW w:w="1287" w:type="pct"/>
            <w:hideMark/>
          </w:tcPr>
          <w:p w14:paraId="0C445F2D" w14:textId="77777777" w:rsidR="00BD5588" w:rsidRPr="00F330F5" w:rsidRDefault="00BD5588" w:rsidP="00227CBC">
            <w:r w:rsidRPr="00F330F5">
              <w:t>Informācija par to, vai šīs tabulas B ailē minētās projekta vienības paredz stingrākas prasības nekā šīs tabulas A ailē minētās ES tiesību akta vienības.</w:t>
            </w:r>
            <w:r w:rsidRPr="00F330F5">
              <w:br/>
              <w:t>Ja projekts satur stingrākas prasības nekā attiecīgais ES tiesību akts, norāda pamatojumu un samērīgumu.</w:t>
            </w:r>
            <w:r w:rsidRPr="00F330F5">
              <w:br/>
              <w:t>Norāda iespējamās alternatīvas (t. sk. alternatīvas, kas neparedz tiesiskā regulējuma izstrādi) – kādos gadījumos būtu iespējams izvairīties no stingrāku prasību noteikšanas, nekā paredzēts attiecīgajos ES tiesību aktos</w:t>
            </w:r>
          </w:p>
        </w:tc>
      </w:tr>
      <w:tr w:rsidR="00BD5367" w:rsidRPr="00F330F5" w14:paraId="2C3FA85A" w14:textId="77777777" w:rsidTr="008B3B02">
        <w:tc>
          <w:tcPr>
            <w:tcW w:w="1199" w:type="pct"/>
          </w:tcPr>
          <w:p w14:paraId="7FECE088" w14:textId="77777777" w:rsidR="00BD5367" w:rsidRPr="00630DA2" w:rsidRDefault="00BD5367" w:rsidP="00BD5367">
            <w:pPr>
              <w:ind w:left="106" w:right="215"/>
              <w:jc w:val="both"/>
              <w:rPr>
                <w:spacing w:val="-3"/>
              </w:rPr>
            </w:pPr>
            <w:r w:rsidRPr="00630DA2">
              <w:rPr>
                <w:spacing w:val="-3"/>
              </w:rPr>
              <w:t>Regula Nr. 1303/2013</w:t>
            </w:r>
          </w:p>
          <w:p w14:paraId="1CB10CA8" w14:textId="3D6ED04C" w:rsidR="00BD5367" w:rsidRPr="00630DA2" w:rsidRDefault="00BD5367" w:rsidP="00BD5367">
            <w:pPr>
              <w:rPr>
                <w:color w:val="FF0000"/>
              </w:rPr>
            </w:pPr>
            <w:r w:rsidRPr="00630DA2">
              <w:rPr>
                <w:spacing w:val="-3"/>
              </w:rPr>
              <w:t>XII pielikuma 2.2. apakšpunkts.</w:t>
            </w:r>
          </w:p>
        </w:tc>
        <w:tc>
          <w:tcPr>
            <w:tcW w:w="1183" w:type="pct"/>
          </w:tcPr>
          <w:p w14:paraId="4F3F47AC" w14:textId="2388787D" w:rsidR="00BD5367" w:rsidRPr="00906045" w:rsidRDefault="00BD5367" w:rsidP="00BD5367">
            <w:pPr>
              <w:rPr>
                <w:color w:val="FF0000"/>
              </w:rPr>
            </w:pPr>
            <w:r w:rsidRPr="00906045">
              <w:rPr>
                <w:spacing w:val="-3"/>
              </w:rPr>
              <w:t xml:space="preserve">Noteikumu projekta </w:t>
            </w:r>
            <w:r w:rsidR="00906045" w:rsidRPr="00906045">
              <w:rPr>
                <w:spacing w:val="-3"/>
              </w:rPr>
              <w:t>3</w:t>
            </w:r>
            <w:r w:rsidR="00564EC7">
              <w:rPr>
                <w:spacing w:val="-3"/>
              </w:rPr>
              <w:t>7</w:t>
            </w:r>
            <w:r w:rsidRPr="00906045">
              <w:rPr>
                <w:spacing w:val="-3"/>
              </w:rPr>
              <w:t>.punkts.</w:t>
            </w:r>
          </w:p>
        </w:tc>
        <w:tc>
          <w:tcPr>
            <w:tcW w:w="1331" w:type="pct"/>
            <w:gridSpan w:val="2"/>
          </w:tcPr>
          <w:p w14:paraId="49AD65A1" w14:textId="440AAECD" w:rsidR="00BD5367" w:rsidRPr="00630DA2" w:rsidRDefault="00BD5367" w:rsidP="00BD5367">
            <w:pPr>
              <w:rPr>
                <w:color w:val="FF0000"/>
              </w:rPr>
            </w:pPr>
            <w:r w:rsidRPr="00630DA2">
              <w:t>Ieviesta pilnībā.</w:t>
            </w:r>
          </w:p>
        </w:tc>
        <w:tc>
          <w:tcPr>
            <w:tcW w:w="1287" w:type="pct"/>
          </w:tcPr>
          <w:p w14:paraId="1C20AAA8" w14:textId="68E0B547" w:rsidR="00BD5367" w:rsidRPr="00630DA2" w:rsidRDefault="00BD5367" w:rsidP="00BD5367">
            <w:pPr>
              <w:rPr>
                <w:color w:val="FF0000"/>
              </w:rPr>
            </w:pPr>
            <w:r w:rsidRPr="00630DA2">
              <w:t>Neparedz stingrākas prasības.</w:t>
            </w:r>
          </w:p>
        </w:tc>
      </w:tr>
      <w:tr w:rsidR="00951BEA" w:rsidRPr="00F330F5" w14:paraId="42C1FADE" w14:textId="77777777" w:rsidTr="008B3B02">
        <w:tc>
          <w:tcPr>
            <w:tcW w:w="1199" w:type="pct"/>
          </w:tcPr>
          <w:p w14:paraId="0EA8F758" w14:textId="4CB09E2C" w:rsidR="00951BEA" w:rsidRPr="00630DA2" w:rsidRDefault="00951BEA" w:rsidP="00951BEA">
            <w:pPr>
              <w:ind w:left="106" w:right="215"/>
              <w:jc w:val="both"/>
              <w:rPr>
                <w:spacing w:val="-3"/>
              </w:rPr>
            </w:pPr>
            <w:r w:rsidRPr="00630DA2">
              <w:rPr>
                <w:color w:val="000000"/>
              </w:rPr>
              <w:t>Komisijas regulas Nr. 1407/2013 1. panta 1. un 2. punkts</w:t>
            </w:r>
          </w:p>
        </w:tc>
        <w:tc>
          <w:tcPr>
            <w:tcW w:w="1183" w:type="pct"/>
          </w:tcPr>
          <w:p w14:paraId="0325AA4A" w14:textId="4FE2762B" w:rsidR="00951BEA" w:rsidRPr="00906045" w:rsidRDefault="00951BEA" w:rsidP="000F2066">
            <w:pPr>
              <w:rPr>
                <w:spacing w:val="-3"/>
              </w:rPr>
            </w:pPr>
            <w:r w:rsidRPr="00906045">
              <w:rPr>
                <w:iCs/>
                <w:color w:val="000000"/>
                <w:lang w:eastAsia="en-US"/>
              </w:rPr>
              <w:t xml:space="preserve">Noteikumu projekta </w:t>
            </w:r>
            <w:r w:rsidR="00906045" w:rsidRPr="00906045">
              <w:rPr>
                <w:iCs/>
                <w:color w:val="000000"/>
                <w:lang w:eastAsia="en-US"/>
              </w:rPr>
              <w:t>1</w:t>
            </w:r>
            <w:r w:rsidR="00564EC7">
              <w:rPr>
                <w:iCs/>
                <w:color w:val="000000"/>
                <w:lang w:eastAsia="en-US"/>
              </w:rPr>
              <w:t>2</w:t>
            </w:r>
            <w:r w:rsidR="00906045" w:rsidRPr="00906045">
              <w:rPr>
                <w:iCs/>
                <w:color w:val="000000"/>
                <w:lang w:eastAsia="en-US"/>
              </w:rPr>
              <w:t xml:space="preserve">., </w:t>
            </w:r>
            <w:r w:rsidR="000F2066" w:rsidRPr="00906045">
              <w:rPr>
                <w:iCs/>
                <w:color w:val="000000"/>
                <w:lang w:eastAsia="en-US"/>
              </w:rPr>
              <w:t>4</w:t>
            </w:r>
            <w:r w:rsidR="00564EC7">
              <w:rPr>
                <w:iCs/>
                <w:color w:val="000000"/>
                <w:lang w:eastAsia="en-US"/>
              </w:rPr>
              <w:t>3</w:t>
            </w:r>
            <w:r w:rsidR="00406BBC" w:rsidRPr="00906045">
              <w:rPr>
                <w:iCs/>
                <w:color w:val="000000"/>
                <w:lang w:eastAsia="en-US"/>
              </w:rPr>
              <w:t>.</w:t>
            </w:r>
            <w:r w:rsidRPr="00906045">
              <w:rPr>
                <w:iCs/>
                <w:color w:val="000000"/>
                <w:lang w:eastAsia="en-US"/>
              </w:rPr>
              <w:t>punkts</w:t>
            </w:r>
          </w:p>
        </w:tc>
        <w:tc>
          <w:tcPr>
            <w:tcW w:w="1331" w:type="pct"/>
            <w:gridSpan w:val="2"/>
          </w:tcPr>
          <w:p w14:paraId="570278A7" w14:textId="5106EED1" w:rsidR="00951BEA" w:rsidRPr="00630DA2" w:rsidRDefault="00951BEA" w:rsidP="00951BEA">
            <w:r w:rsidRPr="00630DA2">
              <w:rPr>
                <w:iCs/>
                <w:color w:val="000000"/>
              </w:rPr>
              <w:t>Ieviests pilnībā</w:t>
            </w:r>
          </w:p>
        </w:tc>
        <w:tc>
          <w:tcPr>
            <w:tcW w:w="1287" w:type="pct"/>
          </w:tcPr>
          <w:p w14:paraId="14DB791D" w14:textId="12049D7F" w:rsidR="00951BEA" w:rsidRPr="00630DA2" w:rsidRDefault="00951BEA" w:rsidP="00951BEA">
            <w:r w:rsidRPr="00630DA2">
              <w:rPr>
                <w:iCs/>
                <w:color w:val="000000"/>
              </w:rPr>
              <w:t>Neparedz stingrākas prasības</w:t>
            </w:r>
          </w:p>
        </w:tc>
      </w:tr>
      <w:tr w:rsidR="00951BEA" w:rsidRPr="00F330F5" w14:paraId="3F1F7546" w14:textId="77777777" w:rsidTr="008B3B02">
        <w:tc>
          <w:tcPr>
            <w:tcW w:w="1199" w:type="pct"/>
          </w:tcPr>
          <w:p w14:paraId="7D74EC0C" w14:textId="561AD53F" w:rsidR="00951BEA" w:rsidRPr="00630DA2" w:rsidRDefault="00951BEA" w:rsidP="00951BEA">
            <w:pPr>
              <w:ind w:left="106" w:right="215"/>
              <w:jc w:val="both"/>
              <w:rPr>
                <w:spacing w:val="-3"/>
              </w:rPr>
            </w:pPr>
            <w:r w:rsidRPr="00630DA2">
              <w:rPr>
                <w:color w:val="000000"/>
              </w:rPr>
              <w:t>Komisijas regulas Nr. 1407/2013 3. panta 2. punkts</w:t>
            </w:r>
          </w:p>
        </w:tc>
        <w:tc>
          <w:tcPr>
            <w:tcW w:w="1183" w:type="pct"/>
          </w:tcPr>
          <w:p w14:paraId="09907502" w14:textId="3DDC384C" w:rsidR="00951BEA" w:rsidRPr="00906045" w:rsidRDefault="00951BEA" w:rsidP="000F2066">
            <w:pPr>
              <w:rPr>
                <w:spacing w:val="-3"/>
              </w:rPr>
            </w:pPr>
            <w:r w:rsidRPr="00906045">
              <w:rPr>
                <w:iCs/>
                <w:color w:val="000000"/>
                <w:lang w:eastAsia="en-US"/>
              </w:rPr>
              <w:t xml:space="preserve">Noteikumu projekta </w:t>
            </w:r>
            <w:r w:rsidR="00906045" w:rsidRPr="00906045">
              <w:rPr>
                <w:iCs/>
                <w:color w:val="000000"/>
                <w:lang w:eastAsia="en-US"/>
              </w:rPr>
              <w:t>4</w:t>
            </w:r>
            <w:r w:rsidR="00564EC7">
              <w:rPr>
                <w:iCs/>
                <w:color w:val="000000"/>
                <w:lang w:eastAsia="en-US"/>
              </w:rPr>
              <w:t>5</w:t>
            </w:r>
            <w:r w:rsidR="00406BBC" w:rsidRPr="00906045">
              <w:rPr>
                <w:iCs/>
                <w:color w:val="000000"/>
                <w:lang w:eastAsia="en-US"/>
              </w:rPr>
              <w:t>.</w:t>
            </w:r>
            <w:r w:rsidRPr="00906045">
              <w:rPr>
                <w:iCs/>
                <w:color w:val="000000"/>
                <w:lang w:eastAsia="en-US"/>
              </w:rPr>
              <w:t>punkts</w:t>
            </w:r>
          </w:p>
        </w:tc>
        <w:tc>
          <w:tcPr>
            <w:tcW w:w="1331" w:type="pct"/>
            <w:gridSpan w:val="2"/>
          </w:tcPr>
          <w:p w14:paraId="05E58FE4" w14:textId="1733A8E0" w:rsidR="00951BEA" w:rsidRPr="00630DA2" w:rsidRDefault="00951BEA" w:rsidP="00951BEA">
            <w:r w:rsidRPr="00630DA2">
              <w:rPr>
                <w:iCs/>
                <w:color w:val="000000"/>
              </w:rPr>
              <w:t>Ieviests pilnībā</w:t>
            </w:r>
          </w:p>
        </w:tc>
        <w:tc>
          <w:tcPr>
            <w:tcW w:w="1287" w:type="pct"/>
          </w:tcPr>
          <w:p w14:paraId="52CDE037" w14:textId="33E247AF" w:rsidR="00951BEA" w:rsidRPr="00630DA2" w:rsidRDefault="00951BEA" w:rsidP="00951BEA">
            <w:r w:rsidRPr="00630DA2">
              <w:rPr>
                <w:iCs/>
                <w:color w:val="000000"/>
              </w:rPr>
              <w:t>Neparedz stingrākas prasības</w:t>
            </w:r>
          </w:p>
        </w:tc>
      </w:tr>
      <w:tr w:rsidR="00951BEA" w:rsidRPr="00F330F5" w14:paraId="0D548028" w14:textId="77777777" w:rsidTr="008B3B02">
        <w:tc>
          <w:tcPr>
            <w:tcW w:w="1199" w:type="pct"/>
          </w:tcPr>
          <w:p w14:paraId="78B7BC76" w14:textId="0AE4C1CB" w:rsidR="00951BEA" w:rsidRPr="00630DA2" w:rsidRDefault="00951BEA" w:rsidP="00951BEA">
            <w:pPr>
              <w:ind w:left="106" w:right="215"/>
              <w:jc w:val="both"/>
              <w:rPr>
                <w:spacing w:val="-3"/>
              </w:rPr>
            </w:pPr>
            <w:r w:rsidRPr="00630DA2">
              <w:rPr>
                <w:color w:val="000000"/>
              </w:rPr>
              <w:t>Komisijas regulas Nr. 1407/2013 2. panta 2. punkts</w:t>
            </w:r>
          </w:p>
        </w:tc>
        <w:tc>
          <w:tcPr>
            <w:tcW w:w="1183" w:type="pct"/>
          </w:tcPr>
          <w:p w14:paraId="3BC5F7B3" w14:textId="44688BEF" w:rsidR="00951BEA" w:rsidRPr="00906045" w:rsidRDefault="00951BEA" w:rsidP="000F2066">
            <w:pPr>
              <w:rPr>
                <w:spacing w:val="-3"/>
              </w:rPr>
            </w:pPr>
            <w:r w:rsidRPr="00906045">
              <w:rPr>
                <w:iCs/>
                <w:color w:val="000000"/>
                <w:lang w:eastAsia="en-US"/>
              </w:rPr>
              <w:t xml:space="preserve">Noteikumu projekta </w:t>
            </w:r>
            <w:r w:rsidR="00906045" w:rsidRPr="00906045">
              <w:rPr>
                <w:iCs/>
                <w:color w:val="000000"/>
                <w:lang w:eastAsia="en-US"/>
              </w:rPr>
              <w:t>4</w:t>
            </w:r>
            <w:r w:rsidR="00564EC7">
              <w:rPr>
                <w:iCs/>
                <w:color w:val="000000"/>
                <w:lang w:eastAsia="en-US"/>
              </w:rPr>
              <w:t>4</w:t>
            </w:r>
            <w:r w:rsidR="00406BBC" w:rsidRPr="00906045">
              <w:rPr>
                <w:iCs/>
                <w:color w:val="000000"/>
                <w:lang w:eastAsia="en-US"/>
              </w:rPr>
              <w:t>.</w:t>
            </w:r>
            <w:r w:rsidRPr="00906045">
              <w:rPr>
                <w:iCs/>
                <w:color w:val="000000"/>
                <w:lang w:eastAsia="en-US"/>
              </w:rPr>
              <w:t>punkts</w:t>
            </w:r>
          </w:p>
        </w:tc>
        <w:tc>
          <w:tcPr>
            <w:tcW w:w="1331" w:type="pct"/>
            <w:gridSpan w:val="2"/>
          </w:tcPr>
          <w:p w14:paraId="34BC701C" w14:textId="51BF6DDE" w:rsidR="00951BEA" w:rsidRPr="00630DA2" w:rsidRDefault="00951BEA" w:rsidP="00951BEA">
            <w:r w:rsidRPr="00630DA2">
              <w:rPr>
                <w:iCs/>
                <w:color w:val="000000"/>
              </w:rPr>
              <w:t>Ieviests pilnībā</w:t>
            </w:r>
          </w:p>
        </w:tc>
        <w:tc>
          <w:tcPr>
            <w:tcW w:w="1287" w:type="pct"/>
          </w:tcPr>
          <w:p w14:paraId="3C25B318" w14:textId="37E6B637" w:rsidR="00951BEA" w:rsidRPr="00630DA2" w:rsidRDefault="00951BEA" w:rsidP="00951BEA">
            <w:r w:rsidRPr="00630DA2">
              <w:rPr>
                <w:iCs/>
                <w:color w:val="000000"/>
              </w:rPr>
              <w:t>Neparedz stingrākas prasības</w:t>
            </w:r>
          </w:p>
        </w:tc>
      </w:tr>
      <w:tr w:rsidR="00951BEA" w:rsidRPr="00F330F5" w14:paraId="2DD3B645" w14:textId="77777777" w:rsidTr="008B3B02">
        <w:tc>
          <w:tcPr>
            <w:tcW w:w="1199" w:type="pct"/>
          </w:tcPr>
          <w:p w14:paraId="5D597604" w14:textId="7316E3FB" w:rsidR="00951BEA" w:rsidRPr="00630DA2" w:rsidRDefault="00951BEA" w:rsidP="00951BEA">
            <w:pPr>
              <w:ind w:left="106" w:right="215"/>
              <w:jc w:val="both"/>
              <w:rPr>
                <w:spacing w:val="-3"/>
              </w:rPr>
            </w:pPr>
            <w:r w:rsidRPr="00630DA2">
              <w:rPr>
                <w:color w:val="000000"/>
              </w:rPr>
              <w:t xml:space="preserve">Komisijas regulas Nr. 1407/2013 </w:t>
            </w:r>
            <w:r w:rsidR="00406BBC" w:rsidRPr="00630DA2">
              <w:rPr>
                <w:color w:val="000000"/>
              </w:rPr>
              <w:t>6.panta 1.</w:t>
            </w:r>
            <w:r w:rsidRPr="00630DA2">
              <w:rPr>
                <w:color w:val="000000"/>
              </w:rPr>
              <w:t>punkts</w:t>
            </w:r>
          </w:p>
        </w:tc>
        <w:tc>
          <w:tcPr>
            <w:tcW w:w="1183" w:type="pct"/>
          </w:tcPr>
          <w:p w14:paraId="4C1161A0" w14:textId="79CD1EDF" w:rsidR="00951BEA" w:rsidRPr="00906045" w:rsidRDefault="00951BEA" w:rsidP="000F2066">
            <w:pPr>
              <w:rPr>
                <w:spacing w:val="-3"/>
              </w:rPr>
            </w:pPr>
            <w:r w:rsidRPr="00906045">
              <w:rPr>
                <w:iCs/>
                <w:color w:val="000000"/>
                <w:lang w:eastAsia="en-US"/>
              </w:rPr>
              <w:t xml:space="preserve">Noteikumu projekta </w:t>
            </w:r>
            <w:r w:rsidR="00906045" w:rsidRPr="00906045">
              <w:rPr>
                <w:iCs/>
                <w:color w:val="000000"/>
                <w:lang w:eastAsia="en-US"/>
              </w:rPr>
              <w:t>4</w:t>
            </w:r>
            <w:r w:rsidR="00564EC7">
              <w:rPr>
                <w:iCs/>
                <w:color w:val="000000"/>
                <w:lang w:eastAsia="en-US"/>
              </w:rPr>
              <w:t>5</w:t>
            </w:r>
            <w:r w:rsidR="00406BBC" w:rsidRPr="00906045">
              <w:rPr>
                <w:iCs/>
                <w:color w:val="000000"/>
                <w:lang w:eastAsia="en-US"/>
              </w:rPr>
              <w:t>.</w:t>
            </w:r>
            <w:r w:rsidRPr="00906045">
              <w:rPr>
                <w:iCs/>
                <w:color w:val="000000"/>
                <w:lang w:eastAsia="en-US"/>
              </w:rPr>
              <w:t xml:space="preserve"> apakšpunkts</w:t>
            </w:r>
          </w:p>
        </w:tc>
        <w:tc>
          <w:tcPr>
            <w:tcW w:w="1331" w:type="pct"/>
            <w:gridSpan w:val="2"/>
          </w:tcPr>
          <w:p w14:paraId="51DB1FB9" w14:textId="0B6900F1" w:rsidR="00951BEA" w:rsidRPr="00630DA2" w:rsidRDefault="00951BEA" w:rsidP="00951BEA">
            <w:r w:rsidRPr="00630DA2">
              <w:rPr>
                <w:iCs/>
                <w:color w:val="000000"/>
              </w:rPr>
              <w:t>Ieviests pilnībā</w:t>
            </w:r>
          </w:p>
        </w:tc>
        <w:tc>
          <w:tcPr>
            <w:tcW w:w="1287" w:type="pct"/>
          </w:tcPr>
          <w:p w14:paraId="5E5CEBEC" w14:textId="5655D3DF" w:rsidR="00951BEA" w:rsidRPr="00630DA2" w:rsidRDefault="00951BEA" w:rsidP="00951BEA">
            <w:r w:rsidRPr="00630DA2">
              <w:rPr>
                <w:iCs/>
                <w:color w:val="000000"/>
              </w:rPr>
              <w:t>Neparedz stingrākas prasības</w:t>
            </w:r>
          </w:p>
        </w:tc>
      </w:tr>
      <w:tr w:rsidR="00951BEA" w:rsidRPr="00F330F5" w14:paraId="0296D5CD" w14:textId="77777777" w:rsidTr="008B3B02">
        <w:tc>
          <w:tcPr>
            <w:tcW w:w="1199" w:type="pct"/>
            <w:hideMark/>
          </w:tcPr>
          <w:p w14:paraId="70BF3D6C" w14:textId="77777777" w:rsidR="00951BEA" w:rsidRPr="00F330F5" w:rsidRDefault="00951BEA" w:rsidP="00951BEA">
            <w:r w:rsidRPr="00F330F5">
              <w:t>Kā ir izmantota ES tiesību aktā paredzētā rīcības brīvība dalībvalstij pārņemt vai ieviest noteiktas ES tiesību akta normas? Kādēļ?</w:t>
            </w:r>
          </w:p>
        </w:tc>
        <w:tc>
          <w:tcPr>
            <w:tcW w:w="3801" w:type="pct"/>
            <w:gridSpan w:val="4"/>
            <w:hideMark/>
          </w:tcPr>
          <w:p w14:paraId="73A4567C" w14:textId="3D68A1F6" w:rsidR="00951BEA" w:rsidRPr="00F330F5" w:rsidRDefault="00406BBC" w:rsidP="00951BEA">
            <w:pPr>
              <w:rPr>
                <w:color w:val="FF0000"/>
              </w:rPr>
            </w:pPr>
            <w:r w:rsidRPr="00F330F5">
              <w:rPr>
                <w:szCs w:val="28"/>
              </w:rPr>
              <w:t>Noteikumu projekts šo jomu neskar.</w:t>
            </w:r>
          </w:p>
        </w:tc>
      </w:tr>
      <w:tr w:rsidR="00951BEA" w:rsidRPr="00F330F5" w14:paraId="345283B7" w14:textId="77777777" w:rsidTr="008B3B02">
        <w:tc>
          <w:tcPr>
            <w:tcW w:w="1199" w:type="pct"/>
            <w:hideMark/>
          </w:tcPr>
          <w:p w14:paraId="6F94CB99" w14:textId="77777777" w:rsidR="00951BEA" w:rsidRPr="00F330F5" w:rsidRDefault="00951BEA" w:rsidP="00951BEA">
            <w:r w:rsidRPr="00F330F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hideMark/>
          </w:tcPr>
          <w:p w14:paraId="3A539A48" w14:textId="7165F187" w:rsidR="00951BEA" w:rsidRPr="00F330F5" w:rsidRDefault="00406BBC" w:rsidP="00951BEA">
            <w:pPr>
              <w:rPr>
                <w:color w:val="FF0000"/>
              </w:rPr>
            </w:pPr>
            <w:r w:rsidRPr="00F330F5">
              <w:rPr>
                <w:szCs w:val="28"/>
              </w:rPr>
              <w:t>Noteikumu projekts šo jomu neskar.</w:t>
            </w:r>
          </w:p>
        </w:tc>
      </w:tr>
      <w:tr w:rsidR="00951BEA" w:rsidRPr="00F330F5" w14:paraId="5169F01B" w14:textId="77777777" w:rsidTr="008B3B02">
        <w:tc>
          <w:tcPr>
            <w:tcW w:w="1199" w:type="pct"/>
            <w:hideMark/>
          </w:tcPr>
          <w:p w14:paraId="5C93C8DD" w14:textId="77777777" w:rsidR="00951BEA" w:rsidRPr="00F330F5" w:rsidRDefault="00951BEA" w:rsidP="00951BEA">
            <w:r w:rsidRPr="00F330F5">
              <w:t>Cita informācija</w:t>
            </w:r>
          </w:p>
        </w:tc>
        <w:tc>
          <w:tcPr>
            <w:tcW w:w="3801" w:type="pct"/>
            <w:gridSpan w:val="4"/>
            <w:hideMark/>
          </w:tcPr>
          <w:p w14:paraId="2C8DA7C5" w14:textId="4C5824A8" w:rsidR="00951BEA" w:rsidRPr="00F330F5" w:rsidRDefault="00406BBC" w:rsidP="00951BEA">
            <w:r w:rsidRPr="00F330F5">
              <w:t>Nav</w:t>
            </w:r>
          </w:p>
        </w:tc>
      </w:tr>
      <w:tr w:rsidR="00951BEA" w:rsidRPr="00F330F5" w14:paraId="24D250E9" w14:textId="77777777" w:rsidTr="008B3B02">
        <w:tc>
          <w:tcPr>
            <w:tcW w:w="5000" w:type="pct"/>
            <w:gridSpan w:val="5"/>
            <w:vAlign w:val="center"/>
            <w:hideMark/>
          </w:tcPr>
          <w:p w14:paraId="682D16D8" w14:textId="77777777" w:rsidR="00951BEA" w:rsidRPr="00F330F5" w:rsidRDefault="00951BEA" w:rsidP="00951BEA">
            <w:pPr>
              <w:jc w:val="center"/>
              <w:rPr>
                <w:b/>
                <w:bCs/>
              </w:rPr>
            </w:pPr>
            <w:r w:rsidRPr="00F330F5">
              <w:rPr>
                <w:b/>
                <w:bCs/>
              </w:rPr>
              <w:t>2. tabula</w:t>
            </w:r>
            <w:r w:rsidRPr="00F330F5">
              <w:rPr>
                <w:b/>
                <w:bCs/>
              </w:rPr>
              <w:br/>
              <w:t>Ar tiesību akta projektu izpildītās vai uzņemtās saistības, kas izriet no starptautiskajiem tiesību aktiem vai starptautiskas institūcijas vai organizācijas dokumentiem.</w:t>
            </w:r>
            <w:r w:rsidRPr="00F330F5">
              <w:rPr>
                <w:b/>
                <w:bCs/>
              </w:rPr>
              <w:br/>
              <w:t>Pasākumi šo saistību izpildei</w:t>
            </w:r>
          </w:p>
        </w:tc>
      </w:tr>
      <w:tr w:rsidR="00951BEA" w:rsidRPr="00F330F5" w14:paraId="52A63B20" w14:textId="77777777" w:rsidTr="008B3B02">
        <w:tc>
          <w:tcPr>
            <w:tcW w:w="1199" w:type="pct"/>
            <w:hideMark/>
          </w:tcPr>
          <w:p w14:paraId="3376B876" w14:textId="77777777" w:rsidR="00951BEA" w:rsidRPr="00F330F5" w:rsidRDefault="00951BEA" w:rsidP="00951BEA">
            <w:r w:rsidRPr="00F330F5">
              <w:t>Attiecīgā starptautiskā tiesību akta vai starptautiskas institūcijas vai organizācijas dokumenta (turpmāk – starptautiskais dokuments) datums, numurs un nosaukums</w:t>
            </w:r>
          </w:p>
        </w:tc>
        <w:tc>
          <w:tcPr>
            <w:tcW w:w="3801" w:type="pct"/>
            <w:gridSpan w:val="4"/>
            <w:hideMark/>
          </w:tcPr>
          <w:p w14:paraId="6C8F5B16" w14:textId="77777777" w:rsidR="00951BEA" w:rsidRPr="00F330F5" w:rsidRDefault="00951BEA" w:rsidP="00951BEA">
            <w:r w:rsidRPr="00F330F5">
              <w:t>Noteikumu projekts šo jomu neskar.</w:t>
            </w:r>
          </w:p>
        </w:tc>
      </w:tr>
      <w:tr w:rsidR="00951BEA" w:rsidRPr="00F330F5" w14:paraId="267A1ECB" w14:textId="77777777" w:rsidTr="008B3B02">
        <w:tc>
          <w:tcPr>
            <w:tcW w:w="1199" w:type="pct"/>
            <w:vAlign w:val="center"/>
            <w:hideMark/>
          </w:tcPr>
          <w:p w14:paraId="4E371643" w14:textId="77777777" w:rsidR="00951BEA" w:rsidRPr="00F330F5" w:rsidRDefault="00951BEA" w:rsidP="00951BEA">
            <w:pPr>
              <w:jc w:val="center"/>
            </w:pPr>
            <w:r w:rsidRPr="00F330F5">
              <w:t>A</w:t>
            </w:r>
          </w:p>
        </w:tc>
        <w:tc>
          <w:tcPr>
            <w:tcW w:w="1774" w:type="pct"/>
            <w:gridSpan w:val="2"/>
            <w:vAlign w:val="center"/>
            <w:hideMark/>
          </w:tcPr>
          <w:p w14:paraId="325DE7CD" w14:textId="77777777" w:rsidR="00951BEA" w:rsidRPr="00F330F5" w:rsidRDefault="00951BEA" w:rsidP="00951BEA">
            <w:pPr>
              <w:jc w:val="center"/>
            </w:pPr>
            <w:r w:rsidRPr="00F330F5">
              <w:t>B</w:t>
            </w:r>
          </w:p>
        </w:tc>
        <w:tc>
          <w:tcPr>
            <w:tcW w:w="2027" w:type="pct"/>
            <w:gridSpan w:val="2"/>
            <w:vAlign w:val="center"/>
            <w:hideMark/>
          </w:tcPr>
          <w:p w14:paraId="579266AF" w14:textId="77777777" w:rsidR="00951BEA" w:rsidRPr="00F330F5" w:rsidRDefault="00951BEA" w:rsidP="00951BEA">
            <w:pPr>
              <w:jc w:val="center"/>
            </w:pPr>
            <w:r w:rsidRPr="00F330F5">
              <w:t>C</w:t>
            </w:r>
          </w:p>
        </w:tc>
      </w:tr>
      <w:tr w:rsidR="00951BEA" w:rsidRPr="00F330F5" w14:paraId="17BDCA53" w14:textId="77777777" w:rsidTr="008B3B02">
        <w:tc>
          <w:tcPr>
            <w:tcW w:w="1199" w:type="pct"/>
            <w:hideMark/>
          </w:tcPr>
          <w:p w14:paraId="35FC15B5" w14:textId="77777777" w:rsidR="00951BEA" w:rsidRPr="00F330F5" w:rsidRDefault="00951BEA" w:rsidP="00951BEA">
            <w:r w:rsidRPr="00F330F5">
              <w:t>Starptautiskās saistības (pēc būtības), kas izriet no norādītā starptautiskā dokumenta.</w:t>
            </w:r>
            <w:r w:rsidRPr="00F330F5">
              <w:br/>
              <w:t>Konkrēti veicamie pasākumi vai uzdevumi, kas nepieciešami šo starptautisko saistību izpildei</w:t>
            </w:r>
          </w:p>
        </w:tc>
        <w:tc>
          <w:tcPr>
            <w:tcW w:w="1774" w:type="pct"/>
            <w:gridSpan w:val="2"/>
            <w:hideMark/>
          </w:tcPr>
          <w:p w14:paraId="22D990EE" w14:textId="77777777" w:rsidR="00951BEA" w:rsidRPr="00F330F5" w:rsidRDefault="00951BEA" w:rsidP="00951BEA">
            <w:r w:rsidRPr="00F330F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7" w:type="pct"/>
            <w:gridSpan w:val="2"/>
            <w:hideMark/>
          </w:tcPr>
          <w:p w14:paraId="0F99BB94" w14:textId="77777777" w:rsidR="00951BEA" w:rsidRPr="00F330F5" w:rsidRDefault="00951BEA" w:rsidP="00951BEA">
            <w:r w:rsidRPr="00F330F5">
              <w:t>Informācija par to, vai starptautiskās saistības, kas minētas šīs tabulas A ailē, tiek izpildītas pilnībā vai daļēji.</w:t>
            </w:r>
            <w:r w:rsidRPr="00F330F5">
              <w:br/>
              <w:t>Ja attiecīgās starptautiskās saistības tiek izpildītas daļēji, sniedz skaidrojumu, kā arī precīzi norāda, kad un kādā veidā starptautiskās saistības tiks izpildītas pilnībā.</w:t>
            </w:r>
            <w:r w:rsidRPr="00F330F5">
              <w:br/>
              <w:t>Norāda institūciju, kas ir atbildīga par šo saistību izpildi pilnībā</w:t>
            </w:r>
          </w:p>
        </w:tc>
      </w:tr>
      <w:tr w:rsidR="00951BEA" w:rsidRPr="00F330F5" w14:paraId="4C31CD2A" w14:textId="77777777" w:rsidTr="008B3B02">
        <w:tc>
          <w:tcPr>
            <w:tcW w:w="1199" w:type="pct"/>
            <w:hideMark/>
          </w:tcPr>
          <w:p w14:paraId="67079669" w14:textId="77777777" w:rsidR="00951BEA" w:rsidRPr="00F330F5" w:rsidRDefault="00951BEA" w:rsidP="00951BEA">
            <w:r w:rsidRPr="00F330F5">
              <w:t>Noteikumu projekts šo jomu neskar.</w:t>
            </w:r>
          </w:p>
        </w:tc>
        <w:tc>
          <w:tcPr>
            <w:tcW w:w="1774" w:type="pct"/>
            <w:gridSpan w:val="2"/>
            <w:hideMark/>
          </w:tcPr>
          <w:p w14:paraId="29222631" w14:textId="77777777" w:rsidR="00951BEA" w:rsidRPr="00F330F5" w:rsidRDefault="00951BEA" w:rsidP="00951BEA">
            <w:r w:rsidRPr="00F330F5">
              <w:t>Noteikumu projekts šo jomu neskar.</w:t>
            </w:r>
          </w:p>
        </w:tc>
        <w:tc>
          <w:tcPr>
            <w:tcW w:w="2027" w:type="pct"/>
            <w:gridSpan w:val="2"/>
            <w:hideMark/>
          </w:tcPr>
          <w:p w14:paraId="1E1FFCCC" w14:textId="77777777" w:rsidR="00951BEA" w:rsidRPr="00F330F5" w:rsidRDefault="00951BEA" w:rsidP="00951BEA">
            <w:r w:rsidRPr="00F330F5">
              <w:t>Noteikumu projekts šo jomu neskar.</w:t>
            </w:r>
          </w:p>
        </w:tc>
      </w:tr>
      <w:tr w:rsidR="00951BEA" w:rsidRPr="00F330F5" w14:paraId="42EF0791" w14:textId="77777777" w:rsidTr="008B3B02">
        <w:tc>
          <w:tcPr>
            <w:tcW w:w="1199" w:type="pct"/>
            <w:hideMark/>
          </w:tcPr>
          <w:p w14:paraId="2D98A0CC" w14:textId="77777777" w:rsidR="00951BEA" w:rsidRPr="00F330F5" w:rsidRDefault="00951BEA" w:rsidP="00951BEA">
            <w:r w:rsidRPr="00F330F5">
              <w:t>Vai starptautiskajā dokumentā paredzētās saistības nav pretrunā ar jau esošajām Latvijas Republikas starptautiskajām saistībām</w:t>
            </w:r>
          </w:p>
        </w:tc>
        <w:tc>
          <w:tcPr>
            <w:tcW w:w="3801" w:type="pct"/>
            <w:gridSpan w:val="4"/>
            <w:hideMark/>
          </w:tcPr>
          <w:p w14:paraId="535D7219" w14:textId="77777777" w:rsidR="00951BEA" w:rsidRPr="00F330F5" w:rsidRDefault="00951BEA" w:rsidP="00951BEA">
            <w:r w:rsidRPr="00F330F5">
              <w:t>Noteikumu projekts šo jomu neskar.</w:t>
            </w:r>
          </w:p>
        </w:tc>
      </w:tr>
      <w:tr w:rsidR="00951BEA" w:rsidRPr="00F330F5" w14:paraId="242016C8" w14:textId="77777777" w:rsidTr="008B3B02">
        <w:tc>
          <w:tcPr>
            <w:tcW w:w="1199" w:type="pct"/>
            <w:hideMark/>
          </w:tcPr>
          <w:p w14:paraId="67022163" w14:textId="77777777" w:rsidR="00951BEA" w:rsidRPr="00F330F5" w:rsidRDefault="00951BEA" w:rsidP="00951BEA">
            <w:r w:rsidRPr="00F330F5">
              <w:t>Cita informācija</w:t>
            </w:r>
          </w:p>
        </w:tc>
        <w:tc>
          <w:tcPr>
            <w:tcW w:w="3801" w:type="pct"/>
            <w:gridSpan w:val="4"/>
            <w:hideMark/>
          </w:tcPr>
          <w:p w14:paraId="57C7B964" w14:textId="77777777" w:rsidR="00951BEA" w:rsidRPr="00F330F5" w:rsidRDefault="00951BEA" w:rsidP="00951BEA">
            <w:r w:rsidRPr="00F330F5">
              <w:t xml:space="preserve">Nav </w:t>
            </w:r>
          </w:p>
        </w:tc>
      </w:tr>
    </w:tbl>
    <w:p w14:paraId="7E16CE3E"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F330F5" w14:paraId="4B2C9ADE" w14:textId="77777777" w:rsidTr="00227CBC">
        <w:trPr>
          <w:cantSplit/>
        </w:trPr>
        <w:tc>
          <w:tcPr>
            <w:tcW w:w="5000" w:type="pct"/>
            <w:gridSpan w:val="3"/>
            <w:vAlign w:val="center"/>
            <w:hideMark/>
          </w:tcPr>
          <w:p w14:paraId="4BF32DB0" w14:textId="77777777" w:rsidR="00BD5588" w:rsidRPr="00F330F5" w:rsidRDefault="00BD5588" w:rsidP="00227CBC">
            <w:pPr>
              <w:jc w:val="center"/>
              <w:rPr>
                <w:b/>
                <w:bCs/>
              </w:rPr>
            </w:pPr>
            <w:r w:rsidRPr="00F330F5">
              <w:rPr>
                <w:b/>
                <w:bCs/>
              </w:rPr>
              <w:t>VI. Sabiedrības līdzdalība un komunikācijas aktivitātes</w:t>
            </w:r>
          </w:p>
        </w:tc>
      </w:tr>
      <w:tr w:rsidR="00BD5588" w:rsidRPr="00F330F5" w14:paraId="7C931E5B" w14:textId="77777777" w:rsidTr="008764D7">
        <w:tc>
          <w:tcPr>
            <w:tcW w:w="311" w:type="pct"/>
            <w:hideMark/>
          </w:tcPr>
          <w:p w14:paraId="093E2000" w14:textId="77777777" w:rsidR="00BD5588" w:rsidRPr="00F330F5" w:rsidRDefault="00BD5588" w:rsidP="00227CBC">
            <w:pPr>
              <w:jc w:val="center"/>
            </w:pPr>
            <w:r w:rsidRPr="00F330F5">
              <w:t>1.</w:t>
            </w:r>
          </w:p>
        </w:tc>
        <w:tc>
          <w:tcPr>
            <w:tcW w:w="1479" w:type="pct"/>
            <w:hideMark/>
          </w:tcPr>
          <w:p w14:paraId="2F5E6250" w14:textId="77777777" w:rsidR="00BD5588" w:rsidRPr="00F330F5" w:rsidRDefault="00BD5588" w:rsidP="00227CBC">
            <w:r w:rsidRPr="00F330F5">
              <w:t>Plānotās sabiedrības līdzdalības un komunikācijas aktivitātes saistībā ar projektu</w:t>
            </w:r>
          </w:p>
        </w:tc>
        <w:tc>
          <w:tcPr>
            <w:tcW w:w="3210" w:type="pct"/>
            <w:hideMark/>
          </w:tcPr>
          <w:p w14:paraId="66958217" w14:textId="6A14F746" w:rsidR="00596BF5" w:rsidRDefault="00596BF5" w:rsidP="005D0C47">
            <w:pPr>
              <w:jc w:val="both"/>
            </w:pPr>
            <w:r w:rsidRPr="00596BF5">
              <w:t xml:space="preserve">Organizētie  sabiedrības informēšanas pasākumi </w:t>
            </w:r>
            <w:r>
              <w:t>noteikumu</w:t>
            </w:r>
            <w:r w:rsidRPr="00596BF5">
              <w:t xml:space="preserve"> projekta izstrādes laikā: </w:t>
            </w:r>
          </w:p>
          <w:p w14:paraId="4CEE782C" w14:textId="27E31975" w:rsidR="00596BF5" w:rsidRDefault="00596BF5" w:rsidP="005D0C47">
            <w:pPr>
              <w:jc w:val="both"/>
            </w:pPr>
            <w:r>
              <w:t xml:space="preserve">1) </w:t>
            </w:r>
            <w:r w:rsidR="002540EB" w:rsidRPr="00F330F5">
              <w:t>8.3.1.2.pasākuma ietvaros plānotais</w:t>
            </w:r>
            <w:r w:rsidR="005D0C47" w:rsidRPr="00F330F5">
              <w:t xml:space="preserve"> </w:t>
            </w:r>
            <w:r w:rsidR="002540EB" w:rsidRPr="00F330F5">
              <w:t>tika prezentēts Mācību literatūras izdevēju konsultatīvās padomes sēdē, kas notika 2017.gada 14.decembrī.</w:t>
            </w:r>
          </w:p>
          <w:p w14:paraId="1F011004" w14:textId="4CE5D8CF" w:rsidR="002540EB" w:rsidRPr="00867CFA" w:rsidRDefault="00DA0CB8" w:rsidP="005D0C47">
            <w:pPr>
              <w:jc w:val="both"/>
              <w:rPr>
                <w:bCs/>
              </w:rPr>
            </w:pPr>
            <w:r>
              <w:t xml:space="preserve">2) </w:t>
            </w:r>
            <w:r w:rsidR="00596BF5">
              <w:t>noteikumu</w:t>
            </w:r>
            <w:r w:rsidR="00596BF5" w:rsidRPr="00596BF5">
              <w:t xml:space="preserve"> projekts pirms tā iesniegšanas Valsts sekretāru sanāksmē ievietots Izglītības un zinātnes ministrijas</w:t>
            </w:r>
            <w:r>
              <w:t xml:space="preserve"> </w:t>
            </w:r>
            <w:r w:rsidR="00F34A56" w:rsidRPr="00843039">
              <w:rPr>
                <w:bCs/>
              </w:rPr>
              <w:t xml:space="preserve">tīmekļa vietnē </w:t>
            </w:r>
            <w:r w:rsidR="00867CFA">
              <w:t>(</w:t>
            </w:r>
            <w:hyperlink r:id="rId8" w:history="1">
              <w:r w:rsidR="00867CFA" w:rsidRPr="000E3D1D">
                <w:rPr>
                  <w:rStyle w:val="Hyperlink"/>
                </w:rPr>
                <w:t>http://www.izm.gov.lv/lv/es-strukturfondi/2014-2020/normativo-aktu-un-nosacijumu-projekti</w:t>
              </w:r>
            </w:hyperlink>
            <w:r w:rsidR="00867CFA">
              <w:t>)</w:t>
            </w:r>
            <w:r w:rsidR="00867CFA">
              <w:t xml:space="preserve"> </w:t>
            </w:r>
            <w:r w:rsidR="00F34A56">
              <w:rPr>
                <w:bCs/>
              </w:rPr>
              <w:t xml:space="preserve">ar aicinājumu </w:t>
            </w:r>
            <w:r w:rsidR="00F34A56" w:rsidRPr="00843039">
              <w:rPr>
                <w:bCs/>
              </w:rPr>
              <w:t xml:space="preserve">sabiedrības pārstāvjus sniegt viedokli </w:t>
            </w:r>
            <w:r w:rsidR="002540EB" w:rsidRPr="00F330F5">
              <w:t>par noteikumu projektu.</w:t>
            </w:r>
            <w:r w:rsidR="00A34FE0">
              <w:t xml:space="preserve"> </w:t>
            </w:r>
          </w:p>
          <w:p w14:paraId="778BCBAB" w14:textId="56AF0E09" w:rsidR="00596BF5" w:rsidRDefault="00A34FE0" w:rsidP="005D0C47">
            <w:pPr>
              <w:jc w:val="both"/>
            </w:pPr>
            <w:r>
              <w:t xml:space="preserve">Pēc noteikumu projekta pieņemšanas Ministru kabinetā, tas tiks publicēts oficiālajā izdevumā “Latvijas Vēstnesis”. </w:t>
            </w:r>
          </w:p>
          <w:p w14:paraId="06D03522" w14:textId="77777777" w:rsidR="00BD5588" w:rsidRPr="00F330F5" w:rsidRDefault="002540EB" w:rsidP="005D0C47">
            <w:pPr>
              <w:jc w:val="both"/>
            </w:pPr>
            <w:r w:rsidRPr="00F330F5">
              <w:t>8.3.1.2.pasākuma</w:t>
            </w:r>
            <w:r w:rsidR="005D0C47" w:rsidRPr="00F330F5">
              <w:t xml:space="preserve"> ietvaros īstenojot projektu, finansējuma saņēmēji nodrošina informācijas un publicitātes pasākumus, atbilstoši normatīvajiem aktiem par kārtību, kādā ES struktūrfondu un Kohēzijas fonda ieviešanā 2014.–2020. gada plānošanas periodā nodrošināma komunikācijas un vizuālās identitātes prasību ievērošana.</w:t>
            </w:r>
          </w:p>
        </w:tc>
      </w:tr>
      <w:tr w:rsidR="00BD5588" w:rsidRPr="00F330F5" w14:paraId="720FF01E" w14:textId="77777777" w:rsidTr="00227CBC">
        <w:trPr>
          <w:cantSplit/>
        </w:trPr>
        <w:tc>
          <w:tcPr>
            <w:tcW w:w="311" w:type="pct"/>
            <w:hideMark/>
          </w:tcPr>
          <w:p w14:paraId="3300946D" w14:textId="77777777" w:rsidR="00BD5588" w:rsidRPr="00F330F5" w:rsidRDefault="00BD5588" w:rsidP="00227CBC">
            <w:pPr>
              <w:jc w:val="center"/>
            </w:pPr>
            <w:r w:rsidRPr="00F330F5">
              <w:t>2.</w:t>
            </w:r>
          </w:p>
        </w:tc>
        <w:tc>
          <w:tcPr>
            <w:tcW w:w="1479" w:type="pct"/>
            <w:hideMark/>
          </w:tcPr>
          <w:p w14:paraId="384AEDBE" w14:textId="77777777" w:rsidR="00BD5588" w:rsidRPr="00F330F5" w:rsidRDefault="00BD5588" w:rsidP="00227CBC">
            <w:r w:rsidRPr="00F330F5">
              <w:t>Sabiedrības līdzdalība projekta izstrādē</w:t>
            </w:r>
          </w:p>
        </w:tc>
        <w:tc>
          <w:tcPr>
            <w:tcW w:w="3210" w:type="pct"/>
            <w:hideMark/>
          </w:tcPr>
          <w:p w14:paraId="2D8F6B31" w14:textId="28BB58D7" w:rsidR="00986E6F" w:rsidRPr="00AF0B7B" w:rsidRDefault="00AF0B7B" w:rsidP="00867CFA">
            <w:pPr>
              <w:jc w:val="both"/>
              <w:rPr>
                <w:color w:val="1F497D"/>
              </w:rPr>
            </w:pPr>
            <w:r>
              <w:t xml:space="preserve">Lai informētu sabiedrību par noteikumu projektu un dotu iespēju izteikt viedokli, noteikumu projekts 2018. gada   </w:t>
            </w:r>
            <w:r w:rsidR="002E65F1">
              <w:t>maijā</w:t>
            </w:r>
            <w:r w:rsidR="00782309" w:rsidRPr="008B3B02">
              <w:t xml:space="preserve"> </w:t>
            </w:r>
            <w:r w:rsidRPr="008B3B02">
              <w:t>ievietots IZM tīmekļvietnē</w:t>
            </w:r>
            <w:r w:rsidR="00DA0CB8">
              <w:t>,</w:t>
            </w:r>
            <w:r>
              <w:rPr>
                <w:color w:val="1F497D"/>
              </w:rPr>
              <w:t xml:space="preserve"> </w:t>
            </w:r>
            <w:r w:rsidR="00203671" w:rsidRPr="00F330F5">
              <w:rPr>
                <w:bCs/>
              </w:rPr>
              <w:t xml:space="preserve"> aicinot sabiedrības pārstāvjus rakstiski sniegt viedokli par noteikumu projektu– nosūtot elektroniski uz e-pastu: </w:t>
            </w:r>
            <w:hyperlink r:id="rId9" w:history="1">
              <w:r w:rsidR="00203671" w:rsidRPr="00F330F5">
                <w:rPr>
                  <w:rStyle w:val="Hyperlink"/>
                  <w:bCs/>
                </w:rPr>
                <w:t>pasts@izm.gov.lv</w:t>
              </w:r>
            </w:hyperlink>
            <w:r w:rsidR="00203671" w:rsidRPr="00F330F5">
              <w:rPr>
                <w:rStyle w:val="Hyperlink"/>
                <w:bCs/>
              </w:rPr>
              <w:t>, esf@izm.gov.lv</w:t>
            </w:r>
            <w:r w:rsidR="00203671" w:rsidRPr="00F330F5">
              <w:rPr>
                <w:bCs/>
              </w:rPr>
              <w:t>.</w:t>
            </w:r>
          </w:p>
        </w:tc>
      </w:tr>
      <w:tr w:rsidR="00BD5588" w:rsidRPr="00F330F5" w14:paraId="3FF6C298" w14:textId="77777777" w:rsidTr="00227CBC">
        <w:trPr>
          <w:cantSplit/>
        </w:trPr>
        <w:tc>
          <w:tcPr>
            <w:tcW w:w="311" w:type="pct"/>
            <w:hideMark/>
          </w:tcPr>
          <w:p w14:paraId="687BAD60" w14:textId="77777777" w:rsidR="00BD5588" w:rsidRPr="00F330F5" w:rsidRDefault="00BD5588" w:rsidP="00227CBC">
            <w:pPr>
              <w:jc w:val="center"/>
            </w:pPr>
            <w:r w:rsidRPr="00F330F5">
              <w:t>3.</w:t>
            </w:r>
          </w:p>
        </w:tc>
        <w:tc>
          <w:tcPr>
            <w:tcW w:w="1479" w:type="pct"/>
            <w:hideMark/>
          </w:tcPr>
          <w:p w14:paraId="6BB72D17" w14:textId="77777777" w:rsidR="00BD5588" w:rsidRPr="00F330F5" w:rsidRDefault="00BD5588" w:rsidP="00227CBC">
            <w:r w:rsidRPr="00F330F5">
              <w:t>Sabiedrības līdzdalības rezultāti</w:t>
            </w:r>
          </w:p>
        </w:tc>
        <w:tc>
          <w:tcPr>
            <w:tcW w:w="3210" w:type="pct"/>
            <w:hideMark/>
          </w:tcPr>
          <w:p w14:paraId="023B43AA" w14:textId="77777777" w:rsidR="00BD5588" w:rsidRDefault="000E5975" w:rsidP="006E0718">
            <w:pPr>
              <w:jc w:val="both"/>
            </w:pPr>
            <w:r w:rsidRPr="00F330F5">
              <w:t xml:space="preserve">Sabiedrības </w:t>
            </w:r>
            <w:r w:rsidR="00203671" w:rsidRPr="00F330F5">
              <w:t>izteiktie iebildumi un priekšlikumi tiks analizēti un ņemti vērā noteikumu projekta pilnveidē.</w:t>
            </w:r>
          </w:p>
          <w:p w14:paraId="6D49B6CD" w14:textId="2D1515AE" w:rsidR="00867CFA" w:rsidRPr="00F330F5" w:rsidRDefault="00867CFA" w:rsidP="006E0718">
            <w:pPr>
              <w:jc w:val="both"/>
            </w:pPr>
            <w:r>
              <w:t>Viedokļi netika saņemti.</w:t>
            </w:r>
          </w:p>
        </w:tc>
      </w:tr>
      <w:tr w:rsidR="00BD5588" w:rsidRPr="00F330F5" w14:paraId="2049C5FE" w14:textId="77777777" w:rsidTr="00227CBC">
        <w:trPr>
          <w:cantSplit/>
        </w:trPr>
        <w:tc>
          <w:tcPr>
            <w:tcW w:w="311" w:type="pct"/>
            <w:hideMark/>
          </w:tcPr>
          <w:p w14:paraId="78941F40" w14:textId="77777777" w:rsidR="00BD5588" w:rsidRPr="00F330F5" w:rsidRDefault="00BD5588" w:rsidP="00227CBC">
            <w:pPr>
              <w:jc w:val="center"/>
            </w:pPr>
            <w:r w:rsidRPr="00F330F5">
              <w:t>4.</w:t>
            </w:r>
          </w:p>
        </w:tc>
        <w:tc>
          <w:tcPr>
            <w:tcW w:w="1479" w:type="pct"/>
            <w:hideMark/>
          </w:tcPr>
          <w:p w14:paraId="657FD8E0" w14:textId="77777777" w:rsidR="00BD5588" w:rsidRPr="00F330F5" w:rsidRDefault="00BD5588" w:rsidP="00227CBC">
            <w:r w:rsidRPr="00F330F5">
              <w:t>Cita informācija</w:t>
            </w:r>
          </w:p>
        </w:tc>
        <w:tc>
          <w:tcPr>
            <w:tcW w:w="3210" w:type="pct"/>
            <w:hideMark/>
          </w:tcPr>
          <w:p w14:paraId="74B008AD" w14:textId="61A1294F" w:rsidR="00BD5588" w:rsidRPr="00F330F5" w:rsidRDefault="00203671" w:rsidP="008764D7">
            <w:pPr>
              <w:ind w:left="57" w:right="167"/>
              <w:jc w:val="both"/>
              <w:rPr>
                <w:szCs w:val="28"/>
              </w:rPr>
            </w:pPr>
            <w:r w:rsidRPr="00F330F5">
              <w:rPr>
                <w:szCs w:val="28"/>
              </w:rPr>
              <w:t>8.3.1.2.pasākuma projektu iesniegumu vērtēšanas kritēriji, kritēriju piemērošanas metodika un sākotnējais novērtējums izskatīti ES struktūrfondu un Kohēzijas fonda 2014.–2020. gada p</w:t>
            </w:r>
            <w:bookmarkStart w:id="0" w:name="_GoBack"/>
            <w:bookmarkEnd w:id="0"/>
            <w:r w:rsidRPr="00F330F5">
              <w:rPr>
                <w:szCs w:val="28"/>
              </w:rPr>
              <w:t>lānošanas perioda Izglītības, prasmju un mūžizglītības prioritārā virziena apakškomitejas 2018. gada 25.janvāra sēdē</w:t>
            </w:r>
            <w:r w:rsidRPr="00F330F5">
              <w:rPr>
                <w:rStyle w:val="FootnoteReference"/>
                <w:szCs w:val="28"/>
              </w:rPr>
              <w:footnoteReference w:id="2"/>
            </w:r>
            <w:r w:rsidRPr="00F330F5">
              <w:rPr>
                <w:szCs w:val="28"/>
              </w:rPr>
              <w:t xml:space="preserve"> un pēc saskaņošanas ar </w:t>
            </w:r>
            <w:r w:rsidR="00D362B4">
              <w:rPr>
                <w:szCs w:val="28"/>
              </w:rPr>
              <w:t>apakškomitejas</w:t>
            </w:r>
            <w:r w:rsidR="00D362B4" w:rsidRPr="00F330F5">
              <w:rPr>
                <w:szCs w:val="28"/>
              </w:rPr>
              <w:t xml:space="preserve"> </w:t>
            </w:r>
            <w:r w:rsidRPr="00F330F5">
              <w:rPr>
                <w:szCs w:val="28"/>
              </w:rPr>
              <w:t>dalībniekiem tiks virzīti apstiprināšanai ES struktūrfondu un Kohēzijas fonda uzraudzības komitejā.</w:t>
            </w:r>
          </w:p>
        </w:tc>
      </w:tr>
    </w:tbl>
    <w:p w14:paraId="493D5F8A" w14:textId="77777777" w:rsidR="00BD5588" w:rsidRPr="00F330F5"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F330F5" w14:paraId="216967E2" w14:textId="77777777" w:rsidTr="00227CBC">
        <w:trPr>
          <w:cantSplit/>
        </w:trPr>
        <w:tc>
          <w:tcPr>
            <w:tcW w:w="5000" w:type="pct"/>
            <w:gridSpan w:val="3"/>
            <w:vAlign w:val="center"/>
            <w:hideMark/>
          </w:tcPr>
          <w:p w14:paraId="528708CC" w14:textId="77777777" w:rsidR="00BD5588" w:rsidRPr="00F330F5" w:rsidRDefault="00BD5588" w:rsidP="00227CBC">
            <w:pPr>
              <w:jc w:val="center"/>
              <w:rPr>
                <w:b/>
                <w:bCs/>
              </w:rPr>
            </w:pPr>
            <w:r w:rsidRPr="00F330F5">
              <w:rPr>
                <w:b/>
                <w:bCs/>
              </w:rPr>
              <w:t>VII. Tiesību akta projekta izpildes nodrošināšana un tās ietekme uz institūcijām</w:t>
            </w:r>
          </w:p>
        </w:tc>
      </w:tr>
      <w:tr w:rsidR="0046009F" w:rsidRPr="00F330F5" w14:paraId="6B18653C" w14:textId="77777777" w:rsidTr="00227CBC">
        <w:trPr>
          <w:cantSplit/>
        </w:trPr>
        <w:tc>
          <w:tcPr>
            <w:tcW w:w="311" w:type="pct"/>
            <w:hideMark/>
          </w:tcPr>
          <w:p w14:paraId="63C3008C" w14:textId="77777777" w:rsidR="0046009F" w:rsidRPr="00F330F5" w:rsidRDefault="0046009F" w:rsidP="0046009F">
            <w:pPr>
              <w:jc w:val="center"/>
            </w:pPr>
            <w:r w:rsidRPr="00F330F5">
              <w:t>1.</w:t>
            </w:r>
          </w:p>
        </w:tc>
        <w:tc>
          <w:tcPr>
            <w:tcW w:w="1479" w:type="pct"/>
            <w:hideMark/>
          </w:tcPr>
          <w:p w14:paraId="4AF8E495" w14:textId="77777777" w:rsidR="0046009F" w:rsidRPr="00F330F5" w:rsidRDefault="0046009F" w:rsidP="0046009F">
            <w:r w:rsidRPr="00F330F5">
              <w:t>Projekta izpildē iesaistītās institūcijas</w:t>
            </w:r>
          </w:p>
        </w:tc>
        <w:tc>
          <w:tcPr>
            <w:tcW w:w="3210" w:type="pct"/>
            <w:hideMark/>
          </w:tcPr>
          <w:p w14:paraId="49660D48" w14:textId="041B8EA9" w:rsidR="0046009F" w:rsidRPr="00F330F5" w:rsidRDefault="00147D6A" w:rsidP="0046009F">
            <w:pPr>
              <w:ind w:left="57" w:right="177"/>
              <w:jc w:val="both"/>
              <w:rPr>
                <w:szCs w:val="28"/>
              </w:rPr>
            </w:pPr>
            <w:r w:rsidRPr="00F330F5">
              <w:rPr>
                <w:szCs w:val="28"/>
              </w:rPr>
              <w:t>Izglītības un zinātnes m</w:t>
            </w:r>
            <w:r w:rsidR="0046009F" w:rsidRPr="00F330F5">
              <w:rPr>
                <w:szCs w:val="28"/>
              </w:rPr>
              <w:t>inistrija kā atbildīgā iestāde, Centrālā finanšu un līgumu aģentūra kā sadarbības iestāde, finansējuma saņēmējs</w:t>
            </w:r>
            <w:r w:rsidR="00CD4EFB" w:rsidRPr="00F330F5">
              <w:rPr>
                <w:szCs w:val="28"/>
              </w:rPr>
              <w:t xml:space="preserve">, </w:t>
            </w:r>
            <w:r w:rsidR="00CD4EFB" w:rsidRPr="00F330F5">
              <w:t>izglītības iestādes kā sadarbības partneri</w:t>
            </w:r>
            <w:r w:rsidR="0046009F" w:rsidRPr="00F330F5">
              <w:rPr>
                <w:szCs w:val="28"/>
              </w:rPr>
              <w:t>.</w:t>
            </w:r>
          </w:p>
        </w:tc>
      </w:tr>
      <w:tr w:rsidR="0046009F" w:rsidRPr="00F330F5" w14:paraId="3D1F5E79" w14:textId="77777777" w:rsidTr="00227CBC">
        <w:trPr>
          <w:cantSplit/>
        </w:trPr>
        <w:tc>
          <w:tcPr>
            <w:tcW w:w="311" w:type="pct"/>
            <w:hideMark/>
          </w:tcPr>
          <w:p w14:paraId="21F0A616" w14:textId="77777777" w:rsidR="0046009F" w:rsidRPr="00F330F5" w:rsidRDefault="0046009F" w:rsidP="0046009F">
            <w:pPr>
              <w:jc w:val="center"/>
            </w:pPr>
            <w:r w:rsidRPr="00F330F5">
              <w:t>2.</w:t>
            </w:r>
          </w:p>
        </w:tc>
        <w:tc>
          <w:tcPr>
            <w:tcW w:w="1479" w:type="pct"/>
            <w:hideMark/>
          </w:tcPr>
          <w:p w14:paraId="28205410" w14:textId="77777777" w:rsidR="0046009F" w:rsidRPr="00F330F5" w:rsidRDefault="0046009F" w:rsidP="0046009F">
            <w:r w:rsidRPr="00F330F5">
              <w:t>Projekta izpildes ietekme uz pārvaldes funkcijām un institucionālo struktūru.</w:t>
            </w:r>
            <w:r w:rsidRPr="00F330F5">
              <w:br/>
              <w:t>Jaunu institūciju izveide, esošu institūciju likvidācija vai reorganizācija, to ietekme uz institūcijas cilvēkresursiem</w:t>
            </w:r>
          </w:p>
        </w:tc>
        <w:tc>
          <w:tcPr>
            <w:tcW w:w="3210" w:type="pct"/>
            <w:hideMark/>
          </w:tcPr>
          <w:p w14:paraId="7B45BAE2" w14:textId="23E82862" w:rsidR="0046009F" w:rsidRPr="00F330F5" w:rsidRDefault="0046009F" w:rsidP="00326BC2">
            <w:pPr>
              <w:jc w:val="both"/>
            </w:pPr>
            <w:r w:rsidRPr="00F330F5">
              <w:rPr>
                <w:szCs w:val="28"/>
              </w:rPr>
              <w:t>Netiek paplašinātas vai sašaurinātas esošo institūciju funkcijas, kā arī nav plānota jaunu institūciju izveide, esošo institūciju likvidācija vai reorganizācija.</w:t>
            </w:r>
          </w:p>
        </w:tc>
      </w:tr>
      <w:tr w:rsidR="00BD5588" w:rsidRPr="00774F72" w14:paraId="07B276C3" w14:textId="77777777" w:rsidTr="00227CBC">
        <w:trPr>
          <w:cantSplit/>
        </w:trPr>
        <w:tc>
          <w:tcPr>
            <w:tcW w:w="311" w:type="pct"/>
            <w:hideMark/>
          </w:tcPr>
          <w:p w14:paraId="777810DC" w14:textId="77777777" w:rsidR="00BD5588" w:rsidRPr="00F330F5" w:rsidRDefault="00BD5588" w:rsidP="00227CBC">
            <w:pPr>
              <w:jc w:val="center"/>
            </w:pPr>
            <w:r w:rsidRPr="00F330F5">
              <w:t>3.</w:t>
            </w:r>
          </w:p>
        </w:tc>
        <w:tc>
          <w:tcPr>
            <w:tcW w:w="1479" w:type="pct"/>
            <w:hideMark/>
          </w:tcPr>
          <w:p w14:paraId="542BBE02" w14:textId="77777777" w:rsidR="00BD5588" w:rsidRPr="00F330F5" w:rsidRDefault="00BD5588" w:rsidP="00227CBC">
            <w:r w:rsidRPr="00F330F5">
              <w:t>Cita informācija</w:t>
            </w:r>
          </w:p>
        </w:tc>
        <w:tc>
          <w:tcPr>
            <w:tcW w:w="3210" w:type="pct"/>
            <w:hideMark/>
          </w:tcPr>
          <w:p w14:paraId="2D2536C2" w14:textId="32EE44F9" w:rsidR="00BD5588" w:rsidRPr="00774F72" w:rsidRDefault="00326BC2" w:rsidP="00227CBC">
            <w:r w:rsidRPr="00F330F5">
              <w:t>Nav</w:t>
            </w:r>
          </w:p>
        </w:tc>
      </w:tr>
    </w:tbl>
    <w:p w14:paraId="4DF6DC0B" w14:textId="77777777" w:rsidR="000630C9" w:rsidRDefault="000630C9" w:rsidP="00CB77E1"/>
    <w:p w14:paraId="32EAD3AD" w14:textId="77777777" w:rsidR="00CB77E1" w:rsidRDefault="00CB77E1" w:rsidP="00CB77E1">
      <w:r>
        <w:t>Izglītības un zinātnes ministrs                                             Kārlis Šadurskis</w:t>
      </w:r>
    </w:p>
    <w:p w14:paraId="75C75EEC" w14:textId="77777777" w:rsidR="00CB77E1" w:rsidRDefault="00CB77E1" w:rsidP="00CB77E1"/>
    <w:p w14:paraId="7C918415" w14:textId="77777777" w:rsidR="00CB77E1" w:rsidRDefault="00CB77E1" w:rsidP="00CB77E1">
      <w:r>
        <w:t xml:space="preserve">Vīza: </w:t>
      </w:r>
    </w:p>
    <w:p w14:paraId="65AE3E76" w14:textId="091452F4" w:rsidR="00D54A41" w:rsidRPr="00903BC6" w:rsidRDefault="00CB77E1" w:rsidP="0050764D">
      <w:r>
        <w:t xml:space="preserve">Valsts sekretāre                                                </w:t>
      </w:r>
      <w:r w:rsidR="00903BC6">
        <w:t xml:space="preserve">                   Līga Lejiņa</w:t>
      </w:r>
      <w:r w:rsidR="00903BC6">
        <w:tab/>
      </w:r>
    </w:p>
    <w:p w14:paraId="6BBF09EB" w14:textId="77777777" w:rsidR="00903BC6" w:rsidRDefault="00903BC6" w:rsidP="0050764D">
      <w:pPr>
        <w:rPr>
          <w:sz w:val="14"/>
          <w:szCs w:val="20"/>
        </w:rPr>
      </w:pPr>
    </w:p>
    <w:p w14:paraId="20425D79" w14:textId="77777777" w:rsidR="0050764D" w:rsidRPr="00903BC6" w:rsidRDefault="0050764D" w:rsidP="0050764D">
      <w:pPr>
        <w:rPr>
          <w:sz w:val="20"/>
          <w:szCs w:val="20"/>
        </w:rPr>
      </w:pPr>
      <w:r w:rsidRPr="00903BC6">
        <w:rPr>
          <w:sz w:val="20"/>
          <w:szCs w:val="20"/>
        </w:rPr>
        <w:t>E.Bole, 67047871</w:t>
      </w:r>
    </w:p>
    <w:p w14:paraId="50BE497B" w14:textId="34AF96AD" w:rsidR="00CB77E1" w:rsidRPr="00903BC6" w:rsidRDefault="00867CFA" w:rsidP="008B3B02">
      <w:pPr>
        <w:jc w:val="both"/>
        <w:rPr>
          <w:sz w:val="20"/>
          <w:szCs w:val="20"/>
        </w:rPr>
      </w:pPr>
      <w:hyperlink r:id="rId10" w:history="1">
        <w:r w:rsidR="0050764D" w:rsidRPr="00903BC6">
          <w:rPr>
            <w:rStyle w:val="Hyperlink"/>
            <w:rFonts w:eastAsia="Calibri"/>
            <w:sz w:val="20"/>
            <w:szCs w:val="20"/>
          </w:rPr>
          <w:t>evelina,bole@izm.gov.lv</w:t>
        </w:r>
      </w:hyperlink>
    </w:p>
    <w:sectPr w:rsidR="00CB77E1" w:rsidRPr="00903BC6" w:rsidSect="00BB6825">
      <w:headerReference w:type="default" r:id="rId11"/>
      <w:footerReference w:type="default" r:id="rId12"/>
      <w:footerReference w:type="firs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7870" w14:textId="77777777" w:rsidR="00A45B0B" w:rsidRDefault="00A45B0B" w:rsidP="008220F4">
      <w:r>
        <w:separator/>
      </w:r>
    </w:p>
  </w:endnote>
  <w:endnote w:type="continuationSeparator" w:id="0">
    <w:p w14:paraId="28CC40CD" w14:textId="77777777" w:rsidR="00A45B0B" w:rsidRDefault="00A45B0B" w:rsidP="0082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DE81" w14:textId="4A314FC3" w:rsidR="00A45B0B" w:rsidRPr="00BB6825" w:rsidRDefault="00A45B0B" w:rsidP="008D357C">
    <w:pPr>
      <w:pStyle w:val="Footer"/>
      <w:jc w:val="both"/>
      <w:rPr>
        <w:rFonts w:ascii="Times" w:hAnsi="Times"/>
      </w:rPr>
    </w:pPr>
    <w:r w:rsidRPr="00BB6825">
      <w:rPr>
        <w:rFonts w:ascii="Times" w:hAnsi="Times"/>
      </w:rPr>
      <w:t>IZMAnot_2</w:t>
    </w:r>
    <w:r w:rsidR="008C52AF">
      <w:rPr>
        <w:rFonts w:ascii="Times" w:hAnsi="Times"/>
      </w:rPr>
      <w:t>8</w:t>
    </w:r>
    <w:r w:rsidR="008D357C">
      <w:rPr>
        <w:rFonts w:ascii="Times" w:hAnsi="Times"/>
      </w:rPr>
      <w:t xml:space="preserve">052018_8312; </w:t>
    </w:r>
    <w:r w:rsidR="008D357C" w:rsidRPr="008D357C">
      <w:rPr>
        <w:rFonts w:ascii="Times New Roman" w:hAnsi="Times New Roman"/>
        <w:sz w:val="20"/>
        <w:szCs w:val="20"/>
      </w:rPr>
      <w:t>Ministru kabineta noteikumu „Darbības programmas „Izaugsme un nodarbinātība” 8.3.1.specifiskā atbalsta mērķa „Attīstīt kompetenču pieejā balstītu vispārējās izglītības saturu” 8.3.1.2.pasākuma „Digitālo mācību un metodisko līdzekļu izstrāde” īstenošanas noteikumi” projekta  sākotnējās ietekmes novērtējuma ziņojums (anotācija)</w:t>
    </w:r>
  </w:p>
  <w:p w14:paraId="599B4E2E" w14:textId="77777777" w:rsidR="00A45B0B" w:rsidRDefault="00A45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CFDC" w14:textId="3DEF3464" w:rsidR="00A45B0B" w:rsidRPr="008D357C" w:rsidRDefault="00A45B0B" w:rsidP="008D357C">
    <w:pPr>
      <w:pStyle w:val="Footer"/>
      <w:jc w:val="both"/>
      <w:rPr>
        <w:rFonts w:ascii="Times New Roman" w:hAnsi="Times New Roman"/>
        <w:sz w:val="20"/>
        <w:szCs w:val="20"/>
      </w:rPr>
    </w:pPr>
    <w:r w:rsidRPr="008D357C">
      <w:rPr>
        <w:rFonts w:ascii="Times New Roman" w:hAnsi="Times New Roman"/>
        <w:sz w:val="20"/>
        <w:szCs w:val="20"/>
      </w:rPr>
      <w:t>IZMAnot_2</w:t>
    </w:r>
    <w:r w:rsidR="008C52AF" w:rsidRPr="008D357C">
      <w:rPr>
        <w:rFonts w:ascii="Times New Roman" w:hAnsi="Times New Roman"/>
        <w:sz w:val="20"/>
        <w:szCs w:val="20"/>
      </w:rPr>
      <w:t>8</w:t>
    </w:r>
    <w:r w:rsidR="008D357C" w:rsidRPr="008D357C">
      <w:rPr>
        <w:rFonts w:ascii="Times New Roman" w:hAnsi="Times New Roman"/>
        <w:sz w:val="20"/>
        <w:szCs w:val="20"/>
      </w:rPr>
      <w:t>052018_8312; Ministru kabineta noteikumu „Darbības programmas „Izaugsme un nodarbinātība” 8.3.1.specifiskā atbalsta mērķa „Attīstīt kompetenču pieejā balstītu vispārējās izglītības saturu” 8.3.1.2.pasākuma „Digitālo mācību un metodisko līdzekļu izstrāde” īstenošanas noteikumi” projekta  sākotnējās ietekmes novērtējuma ziņojums (anotācija)</w:t>
    </w:r>
  </w:p>
  <w:p w14:paraId="55A57152" w14:textId="77777777" w:rsidR="00A45B0B" w:rsidRDefault="00A45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8C98" w14:textId="77777777" w:rsidR="00A45B0B" w:rsidRDefault="00A45B0B" w:rsidP="008220F4">
      <w:r>
        <w:separator/>
      </w:r>
    </w:p>
  </w:footnote>
  <w:footnote w:type="continuationSeparator" w:id="0">
    <w:p w14:paraId="6DF26DB4" w14:textId="77777777" w:rsidR="00A45B0B" w:rsidRDefault="00A45B0B" w:rsidP="008220F4">
      <w:r>
        <w:continuationSeparator/>
      </w:r>
    </w:p>
  </w:footnote>
  <w:footnote w:id="1">
    <w:p w14:paraId="0D166BBE" w14:textId="33235697" w:rsidR="00A45B0B" w:rsidRDefault="00A45B0B">
      <w:pPr>
        <w:pStyle w:val="FootnoteText"/>
      </w:pPr>
      <w:r>
        <w:rPr>
          <w:rStyle w:val="FootnoteReference"/>
        </w:rPr>
        <w:footnoteRef/>
      </w:r>
      <w:hyperlink r:id="rId1" w:history="1">
        <w:r w:rsidRPr="0014476B">
          <w:rPr>
            <w:rStyle w:val="Hyperlink"/>
          </w:rPr>
          <w:t>https://komitejas.esfondi.lv/Lists/sedes/DispForm.aspx?ID=138&amp;Source=https%3A%2F%2Fkomitejas%2Eesfondi%2Elv%2FSitePages%2F8%2Easpx&amp;ContentTypeId=0x0100A71173C59228CF43AEDB868762C1146A</w:t>
        </w:r>
      </w:hyperlink>
      <w:r>
        <w:t xml:space="preserve"> </w:t>
      </w:r>
    </w:p>
  </w:footnote>
  <w:footnote w:id="2">
    <w:p w14:paraId="3F3B9367" w14:textId="54C2D224" w:rsidR="00A45B0B" w:rsidRDefault="00A45B0B" w:rsidP="00203671">
      <w:pPr>
        <w:pStyle w:val="FootnoteText"/>
      </w:pPr>
      <w:r>
        <w:rPr>
          <w:rStyle w:val="FootnoteReference"/>
        </w:rPr>
        <w:footnoteRef/>
      </w:r>
      <w:hyperlink r:id="rId2" w:history="1">
        <w:r w:rsidRPr="0014476B">
          <w:rPr>
            <w:rStyle w:val="Hyperlink"/>
          </w:rPr>
          <w:t>https://komitejas.esfondi.lv/Lists/sedes/DispForm.aspx?ID=138&amp;Source=https%3A%2F%2Fkomitejas%2Eesfondi%2Elv%2FSitePages%2F8%2Easpx&amp;ContentTypeId=0x0100A71173C59228CF43AEDB868762C1146A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759927"/>
      <w:docPartObj>
        <w:docPartGallery w:val="Page Numbers (Top of Page)"/>
        <w:docPartUnique/>
      </w:docPartObj>
    </w:sdtPr>
    <w:sdtEndPr>
      <w:rPr>
        <w:noProof/>
      </w:rPr>
    </w:sdtEndPr>
    <w:sdtContent>
      <w:p w14:paraId="5317DE08" w14:textId="0219CD4C" w:rsidR="00A45B0B" w:rsidRDefault="00A45B0B">
        <w:pPr>
          <w:pStyle w:val="Header"/>
          <w:jc w:val="center"/>
        </w:pPr>
        <w:r>
          <w:fldChar w:fldCharType="begin"/>
        </w:r>
        <w:r>
          <w:instrText xml:space="preserve"> PAGE   \* MERGEFORMAT </w:instrText>
        </w:r>
        <w:r>
          <w:fldChar w:fldCharType="separate"/>
        </w:r>
        <w:r w:rsidR="00867CFA">
          <w:rPr>
            <w:noProof/>
          </w:rPr>
          <w:t>11</w:t>
        </w:r>
        <w:r>
          <w:rPr>
            <w:noProof/>
          </w:rPr>
          <w:fldChar w:fldCharType="end"/>
        </w:r>
      </w:p>
    </w:sdtContent>
  </w:sdt>
  <w:p w14:paraId="656ADFC4" w14:textId="77777777" w:rsidR="00A45B0B" w:rsidRDefault="00A45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C716E"/>
    <w:multiLevelType w:val="hybridMultilevel"/>
    <w:tmpl w:val="774E5D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6C57FA7"/>
    <w:multiLevelType w:val="hybridMultilevel"/>
    <w:tmpl w:val="DE367B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8AB0E95"/>
    <w:multiLevelType w:val="hybridMultilevel"/>
    <w:tmpl w:val="50486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01258"/>
    <w:rsid w:val="00010AB9"/>
    <w:rsid w:val="00025443"/>
    <w:rsid w:val="00032EAD"/>
    <w:rsid w:val="00050143"/>
    <w:rsid w:val="000578C4"/>
    <w:rsid w:val="000630C9"/>
    <w:rsid w:val="00065A2C"/>
    <w:rsid w:val="00093B6C"/>
    <w:rsid w:val="00096D42"/>
    <w:rsid w:val="000A39CD"/>
    <w:rsid w:val="000B7C33"/>
    <w:rsid w:val="000D05E0"/>
    <w:rsid w:val="000D07ED"/>
    <w:rsid w:val="000D0C9E"/>
    <w:rsid w:val="000D720D"/>
    <w:rsid w:val="000E5611"/>
    <w:rsid w:val="000E5975"/>
    <w:rsid w:val="000F2066"/>
    <w:rsid w:val="000F4CCA"/>
    <w:rsid w:val="000F5860"/>
    <w:rsid w:val="001234D8"/>
    <w:rsid w:val="00133350"/>
    <w:rsid w:val="00142129"/>
    <w:rsid w:val="00147D6A"/>
    <w:rsid w:val="0015312A"/>
    <w:rsid w:val="001724A2"/>
    <w:rsid w:val="00174AE9"/>
    <w:rsid w:val="00176CC6"/>
    <w:rsid w:val="00186F12"/>
    <w:rsid w:val="00196AEE"/>
    <w:rsid w:val="00197E60"/>
    <w:rsid w:val="001A4228"/>
    <w:rsid w:val="001A5D9B"/>
    <w:rsid w:val="001A7F2D"/>
    <w:rsid w:val="001C7820"/>
    <w:rsid w:val="001D1DD0"/>
    <w:rsid w:val="001F24B2"/>
    <w:rsid w:val="001F3CE1"/>
    <w:rsid w:val="001F3FF8"/>
    <w:rsid w:val="001F4B83"/>
    <w:rsid w:val="00202BF1"/>
    <w:rsid w:val="00203671"/>
    <w:rsid w:val="002042DD"/>
    <w:rsid w:val="00205367"/>
    <w:rsid w:val="0021278F"/>
    <w:rsid w:val="00227CBC"/>
    <w:rsid w:val="002302A7"/>
    <w:rsid w:val="002308D5"/>
    <w:rsid w:val="0023272A"/>
    <w:rsid w:val="002540EB"/>
    <w:rsid w:val="00256DB9"/>
    <w:rsid w:val="00266B65"/>
    <w:rsid w:val="00267A85"/>
    <w:rsid w:val="00274E78"/>
    <w:rsid w:val="002A149A"/>
    <w:rsid w:val="002B1172"/>
    <w:rsid w:val="002B2228"/>
    <w:rsid w:val="002B314C"/>
    <w:rsid w:val="002E65F1"/>
    <w:rsid w:val="002E7616"/>
    <w:rsid w:val="002F0928"/>
    <w:rsid w:val="002F4A94"/>
    <w:rsid w:val="002F5F06"/>
    <w:rsid w:val="002F66FF"/>
    <w:rsid w:val="0030145C"/>
    <w:rsid w:val="00301BAF"/>
    <w:rsid w:val="0030305D"/>
    <w:rsid w:val="00307EEB"/>
    <w:rsid w:val="00321CD7"/>
    <w:rsid w:val="003225AA"/>
    <w:rsid w:val="00324AE5"/>
    <w:rsid w:val="00326BC2"/>
    <w:rsid w:val="00370230"/>
    <w:rsid w:val="00373CA8"/>
    <w:rsid w:val="00375ED6"/>
    <w:rsid w:val="0038791F"/>
    <w:rsid w:val="00394014"/>
    <w:rsid w:val="003A6A0F"/>
    <w:rsid w:val="003A78F0"/>
    <w:rsid w:val="003B6255"/>
    <w:rsid w:val="003D0345"/>
    <w:rsid w:val="003D0C9E"/>
    <w:rsid w:val="003E18D5"/>
    <w:rsid w:val="003F07F8"/>
    <w:rsid w:val="003F4DB1"/>
    <w:rsid w:val="00406BBC"/>
    <w:rsid w:val="004144C1"/>
    <w:rsid w:val="00424263"/>
    <w:rsid w:val="00436E29"/>
    <w:rsid w:val="00453AFE"/>
    <w:rsid w:val="0046009F"/>
    <w:rsid w:val="00460A50"/>
    <w:rsid w:val="004628BA"/>
    <w:rsid w:val="00467C62"/>
    <w:rsid w:val="00473ACD"/>
    <w:rsid w:val="00480538"/>
    <w:rsid w:val="00482A32"/>
    <w:rsid w:val="004A05BA"/>
    <w:rsid w:val="004A4146"/>
    <w:rsid w:val="004B63A9"/>
    <w:rsid w:val="004C4AC2"/>
    <w:rsid w:val="004D585F"/>
    <w:rsid w:val="004E0DDA"/>
    <w:rsid w:val="004E4C55"/>
    <w:rsid w:val="004F424C"/>
    <w:rsid w:val="00502419"/>
    <w:rsid w:val="005041E0"/>
    <w:rsid w:val="0050764D"/>
    <w:rsid w:val="005132B0"/>
    <w:rsid w:val="00515CB9"/>
    <w:rsid w:val="00515CF9"/>
    <w:rsid w:val="00517F2B"/>
    <w:rsid w:val="005305A4"/>
    <w:rsid w:val="00530872"/>
    <w:rsid w:val="00541084"/>
    <w:rsid w:val="00546733"/>
    <w:rsid w:val="005503D8"/>
    <w:rsid w:val="00550910"/>
    <w:rsid w:val="00564EC7"/>
    <w:rsid w:val="005720AE"/>
    <w:rsid w:val="005742B2"/>
    <w:rsid w:val="0058579B"/>
    <w:rsid w:val="0059118C"/>
    <w:rsid w:val="005927C1"/>
    <w:rsid w:val="00596BF5"/>
    <w:rsid w:val="005A0F68"/>
    <w:rsid w:val="005A703D"/>
    <w:rsid w:val="005B6DE1"/>
    <w:rsid w:val="005C56B4"/>
    <w:rsid w:val="005C6ECC"/>
    <w:rsid w:val="005D0C47"/>
    <w:rsid w:val="005D3A2D"/>
    <w:rsid w:val="005E2ED4"/>
    <w:rsid w:val="005E50E6"/>
    <w:rsid w:val="005F2AC4"/>
    <w:rsid w:val="005F662E"/>
    <w:rsid w:val="006001E9"/>
    <w:rsid w:val="0060316D"/>
    <w:rsid w:val="0061126C"/>
    <w:rsid w:val="00630DA2"/>
    <w:rsid w:val="006373BD"/>
    <w:rsid w:val="0065660E"/>
    <w:rsid w:val="006651AB"/>
    <w:rsid w:val="00672F9D"/>
    <w:rsid w:val="006742C9"/>
    <w:rsid w:val="00694522"/>
    <w:rsid w:val="006A4D41"/>
    <w:rsid w:val="006A7AF5"/>
    <w:rsid w:val="006B2CB2"/>
    <w:rsid w:val="006B702B"/>
    <w:rsid w:val="006C2986"/>
    <w:rsid w:val="006C414D"/>
    <w:rsid w:val="006E0718"/>
    <w:rsid w:val="006E4603"/>
    <w:rsid w:val="006E748F"/>
    <w:rsid w:val="006E7A11"/>
    <w:rsid w:val="006F13F5"/>
    <w:rsid w:val="006F3E81"/>
    <w:rsid w:val="00714048"/>
    <w:rsid w:val="007229E7"/>
    <w:rsid w:val="00724970"/>
    <w:rsid w:val="00727DE0"/>
    <w:rsid w:val="00741845"/>
    <w:rsid w:val="00754885"/>
    <w:rsid w:val="00754CB3"/>
    <w:rsid w:val="00763A03"/>
    <w:rsid w:val="00772F3A"/>
    <w:rsid w:val="007747C1"/>
    <w:rsid w:val="00774F72"/>
    <w:rsid w:val="00780E2E"/>
    <w:rsid w:val="00782309"/>
    <w:rsid w:val="0078418F"/>
    <w:rsid w:val="00791B48"/>
    <w:rsid w:val="00794A57"/>
    <w:rsid w:val="007A742F"/>
    <w:rsid w:val="007B21ED"/>
    <w:rsid w:val="007C3157"/>
    <w:rsid w:val="007C3EA8"/>
    <w:rsid w:val="007D533D"/>
    <w:rsid w:val="007D5FDE"/>
    <w:rsid w:val="007E0236"/>
    <w:rsid w:val="007F08DF"/>
    <w:rsid w:val="00817B68"/>
    <w:rsid w:val="008220F4"/>
    <w:rsid w:val="00823F6C"/>
    <w:rsid w:val="008368F4"/>
    <w:rsid w:val="00840F06"/>
    <w:rsid w:val="00843B9C"/>
    <w:rsid w:val="00853BB7"/>
    <w:rsid w:val="0086176A"/>
    <w:rsid w:val="00862757"/>
    <w:rsid w:val="00867CFA"/>
    <w:rsid w:val="008753BB"/>
    <w:rsid w:val="008764D7"/>
    <w:rsid w:val="008B3B02"/>
    <w:rsid w:val="008B776F"/>
    <w:rsid w:val="008C52AF"/>
    <w:rsid w:val="008C5980"/>
    <w:rsid w:val="008C5CB7"/>
    <w:rsid w:val="008D357C"/>
    <w:rsid w:val="008E79E3"/>
    <w:rsid w:val="008F4766"/>
    <w:rsid w:val="00903BC6"/>
    <w:rsid w:val="00906045"/>
    <w:rsid w:val="00921515"/>
    <w:rsid w:val="00922009"/>
    <w:rsid w:val="00930A61"/>
    <w:rsid w:val="00940F68"/>
    <w:rsid w:val="00951BEA"/>
    <w:rsid w:val="00955CB7"/>
    <w:rsid w:val="00986E6F"/>
    <w:rsid w:val="0099488A"/>
    <w:rsid w:val="009961D1"/>
    <w:rsid w:val="00996E47"/>
    <w:rsid w:val="009A45BC"/>
    <w:rsid w:val="009A712E"/>
    <w:rsid w:val="009B1ECD"/>
    <w:rsid w:val="009B7C26"/>
    <w:rsid w:val="009C2CA6"/>
    <w:rsid w:val="00A12610"/>
    <w:rsid w:val="00A148F4"/>
    <w:rsid w:val="00A152CF"/>
    <w:rsid w:val="00A2039D"/>
    <w:rsid w:val="00A2469F"/>
    <w:rsid w:val="00A27357"/>
    <w:rsid w:val="00A34FE0"/>
    <w:rsid w:val="00A3523A"/>
    <w:rsid w:val="00A37C4D"/>
    <w:rsid w:val="00A45B0B"/>
    <w:rsid w:val="00A56E5A"/>
    <w:rsid w:val="00A67287"/>
    <w:rsid w:val="00A71804"/>
    <w:rsid w:val="00A81AB8"/>
    <w:rsid w:val="00A839B4"/>
    <w:rsid w:val="00AA0DF9"/>
    <w:rsid w:val="00AC261A"/>
    <w:rsid w:val="00AE284F"/>
    <w:rsid w:val="00AE2F75"/>
    <w:rsid w:val="00AF0B7B"/>
    <w:rsid w:val="00B01E8B"/>
    <w:rsid w:val="00B23FDD"/>
    <w:rsid w:val="00B3297F"/>
    <w:rsid w:val="00B34D26"/>
    <w:rsid w:val="00B40B80"/>
    <w:rsid w:val="00B442ED"/>
    <w:rsid w:val="00B463CA"/>
    <w:rsid w:val="00B57C9F"/>
    <w:rsid w:val="00B6587B"/>
    <w:rsid w:val="00B673BD"/>
    <w:rsid w:val="00B94112"/>
    <w:rsid w:val="00BA3006"/>
    <w:rsid w:val="00BA43D8"/>
    <w:rsid w:val="00BA4AF7"/>
    <w:rsid w:val="00BA4F5B"/>
    <w:rsid w:val="00BB472A"/>
    <w:rsid w:val="00BB4E99"/>
    <w:rsid w:val="00BB51BF"/>
    <w:rsid w:val="00BB6825"/>
    <w:rsid w:val="00BD5367"/>
    <w:rsid w:val="00BD5588"/>
    <w:rsid w:val="00BE0122"/>
    <w:rsid w:val="00BF5788"/>
    <w:rsid w:val="00BF64EB"/>
    <w:rsid w:val="00C00E18"/>
    <w:rsid w:val="00C57ED3"/>
    <w:rsid w:val="00C67227"/>
    <w:rsid w:val="00C7074A"/>
    <w:rsid w:val="00C951A1"/>
    <w:rsid w:val="00CA4726"/>
    <w:rsid w:val="00CB04C6"/>
    <w:rsid w:val="00CB188D"/>
    <w:rsid w:val="00CB64AB"/>
    <w:rsid w:val="00CB77E1"/>
    <w:rsid w:val="00CC57E5"/>
    <w:rsid w:val="00CD2D65"/>
    <w:rsid w:val="00CD4EFB"/>
    <w:rsid w:val="00CF2E96"/>
    <w:rsid w:val="00D02DDA"/>
    <w:rsid w:val="00D1436E"/>
    <w:rsid w:val="00D17FC0"/>
    <w:rsid w:val="00D2057B"/>
    <w:rsid w:val="00D20A23"/>
    <w:rsid w:val="00D215AF"/>
    <w:rsid w:val="00D21636"/>
    <w:rsid w:val="00D239BA"/>
    <w:rsid w:val="00D31F19"/>
    <w:rsid w:val="00D362B4"/>
    <w:rsid w:val="00D46B66"/>
    <w:rsid w:val="00D50A1B"/>
    <w:rsid w:val="00D542BD"/>
    <w:rsid w:val="00D54A41"/>
    <w:rsid w:val="00D75E47"/>
    <w:rsid w:val="00D92F52"/>
    <w:rsid w:val="00D95CFE"/>
    <w:rsid w:val="00D96562"/>
    <w:rsid w:val="00DA0CB8"/>
    <w:rsid w:val="00DA3309"/>
    <w:rsid w:val="00DA4452"/>
    <w:rsid w:val="00DA629C"/>
    <w:rsid w:val="00DA65D4"/>
    <w:rsid w:val="00DB7C42"/>
    <w:rsid w:val="00DC01BA"/>
    <w:rsid w:val="00DC7F40"/>
    <w:rsid w:val="00DE1325"/>
    <w:rsid w:val="00DE2413"/>
    <w:rsid w:val="00DE6B2E"/>
    <w:rsid w:val="00DF7D86"/>
    <w:rsid w:val="00E01DBF"/>
    <w:rsid w:val="00E06296"/>
    <w:rsid w:val="00E145E9"/>
    <w:rsid w:val="00E30DC6"/>
    <w:rsid w:val="00E35842"/>
    <w:rsid w:val="00E37517"/>
    <w:rsid w:val="00E44472"/>
    <w:rsid w:val="00E45D6B"/>
    <w:rsid w:val="00E46B88"/>
    <w:rsid w:val="00E53523"/>
    <w:rsid w:val="00E540E5"/>
    <w:rsid w:val="00E749A8"/>
    <w:rsid w:val="00E85794"/>
    <w:rsid w:val="00E87CA3"/>
    <w:rsid w:val="00E93422"/>
    <w:rsid w:val="00E943FE"/>
    <w:rsid w:val="00EA1916"/>
    <w:rsid w:val="00EB279C"/>
    <w:rsid w:val="00EC06B3"/>
    <w:rsid w:val="00EC07E7"/>
    <w:rsid w:val="00EC4382"/>
    <w:rsid w:val="00EF1035"/>
    <w:rsid w:val="00EF456B"/>
    <w:rsid w:val="00EF7DE9"/>
    <w:rsid w:val="00F00680"/>
    <w:rsid w:val="00F32118"/>
    <w:rsid w:val="00F330F5"/>
    <w:rsid w:val="00F33302"/>
    <w:rsid w:val="00F34A56"/>
    <w:rsid w:val="00F47BA9"/>
    <w:rsid w:val="00F55B72"/>
    <w:rsid w:val="00F61FB2"/>
    <w:rsid w:val="00F7601A"/>
    <w:rsid w:val="00F85EED"/>
    <w:rsid w:val="00F918ED"/>
    <w:rsid w:val="00FA0D68"/>
    <w:rsid w:val="00FA1766"/>
    <w:rsid w:val="00FD3CDE"/>
    <w:rsid w:val="00FD5431"/>
    <w:rsid w:val="00FD554B"/>
    <w:rsid w:val="00FE705B"/>
    <w:rsid w:val="00FE7B84"/>
    <w:rsid w:val="00FF0E4C"/>
    <w:rsid w:val="00FF3FCA"/>
    <w:rsid w:val="00FF7C3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9468B3"/>
  <w15:docId w15:val="{0EAE5E66-60A7-426C-A1DF-CD40ACC2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unhideWhenUsed/>
    <w:rsid w:val="00774F72"/>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74F72"/>
    <w:rPr>
      <w:rFonts w:ascii="Calibri" w:eastAsia="Calibri" w:hAnsi="Calibri" w:cs="Times New Roman"/>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8220F4"/>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8220F4"/>
    <w:pPr>
      <w:spacing w:after="120"/>
      <w:ind w:firstLine="357"/>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8220F4"/>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8220F4"/>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8220F4"/>
    <w:pPr>
      <w:spacing w:after="160" w:line="240" w:lineRule="exact"/>
      <w:jc w:val="both"/>
    </w:pPr>
    <w:rPr>
      <w:rFonts w:eastAsiaTheme="minorHAnsi" w:cstheme="minorBidi"/>
      <w:sz w:val="22"/>
      <w:szCs w:val="22"/>
      <w:vertAlign w:val="superscript"/>
      <w:lang w:eastAsia="en-US"/>
    </w:r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8220F4"/>
    <w:rPr>
      <w:rFonts w:ascii="Calibri" w:eastAsia="Calibri" w:hAnsi="Calibri" w:cs="Times New Roman"/>
    </w:rPr>
  </w:style>
  <w:style w:type="paragraph" w:styleId="BalloonText">
    <w:name w:val="Balloon Text"/>
    <w:basedOn w:val="Normal"/>
    <w:link w:val="BalloonTextChar"/>
    <w:uiPriority w:val="99"/>
    <w:semiHidden/>
    <w:unhideWhenUsed/>
    <w:rsid w:val="0025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B9"/>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203671"/>
    <w:rPr>
      <w:sz w:val="16"/>
      <w:szCs w:val="16"/>
    </w:rPr>
  </w:style>
  <w:style w:type="paragraph" w:styleId="CommentText">
    <w:name w:val="annotation text"/>
    <w:basedOn w:val="Normal"/>
    <w:link w:val="CommentTextChar"/>
    <w:uiPriority w:val="99"/>
    <w:unhideWhenUsed/>
    <w:rsid w:val="00203671"/>
    <w:rPr>
      <w:sz w:val="20"/>
      <w:szCs w:val="20"/>
    </w:rPr>
  </w:style>
  <w:style w:type="character" w:customStyle="1" w:styleId="CommentTextChar">
    <w:name w:val="Comment Text Char"/>
    <w:basedOn w:val="DefaultParagraphFont"/>
    <w:link w:val="CommentText"/>
    <w:uiPriority w:val="99"/>
    <w:rsid w:val="002036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3671"/>
    <w:rPr>
      <w:b/>
      <w:bCs/>
    </w:rPr>
  </w:style>
  <w:style w:type="character" w:customStyle="1" w:styleId="CommentSubjectChar">
    <w:name w:val="Comment Subject Char"/>
    <w:basedOn w:val="CommentTextChar"/>
    <w:link w:val="CommentSubject"/>
    <w:uiPriority w:val="99"/>
    <w:semiHidden/>
    <w:rsid w:val="00203671"/>
    <w:rPr>
      <w:rFonts w:ascii="Times New Roman" w:eastAsia="Times New Roman" w:hAnsi="Times New Roman" w:cs="Times New Roman"/>
      <w:b/>
      <w:bCs/>
      <w:sz w:val="20"/>
      <w:szCs w:val="20"/>
      <w:lang w:eastAsia="lv-LV"/>
    </w:rPr>
  </w:style>
  <w:style w:type="character" w:customStyle="1" w:styleId="Hyperlink0">
    <w:name w:val="Hyperlink.0"/>
    <w:basedOn w:val="Hyperlink"/>
    <w:rsid w:val="0030305D"/>
    <w:rPr>
      <w:color w:val="0000FF"/>
      <w:u w:val="single" w:color="0000FF"/>
    </w:rPr>
  </w:style>
  <w:style w:type="paragraph" w:customStyle="1" w:styleId="BodyA">
    <w:name w:val="Body A"/>
    <w:rsid w:val="0030305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u w:color="000000"/>
      <w:bdr w:val="nil"/>
      <w:lang w:val="ru-RU" w:eastAsia="zh-CN"/>
    </w:rPr>
  </w:style>
  <w:style w:type="character" w:customStyle="1" w:styleId="None">
    <w:name w:val="None"/>
    <w:rsid w:val="0030305D"/>
  </w:style>
  <w:style w:type="character" w:customStyle="1" w:styleId="Hyperlink1">
    <w:name w:val="Hyperlink.1"/>
    <w:basedOn w:val="None"/>
    <w:rsid w:val="009961D1"/>
    <w:rPr>
      <w:color w:val="0000FF"/>
      <w:u w:val="single" w:color="0000FF"/>
      <w:lang w:val="de-DE"/>
    </w:rPr>
  </w:style>
  <w:style w:type="paragraph" w:styleId="Header">
    <w:name w:val="header"/>
    <w:basedOn w:val="Normal"/>
    <w:link w:val="HeaderChar"/>
    <w:uiPriority w:val="99"/>
    <w:unhideWhenUsed/>
    <w:rsid w:val="00E06296"/>
    <w:pPr>
      <w:tabs>
        <w:tab w:val="center" w:pos="4153"/>
        <w:tab w:val="right" w:pos="8306"/>
      </w:tabs>
    </w:pPr>
  </w:style>
  <w:style w:type="character" w:customStyle="1" w:styleId="HeaderChar">
    <w:name w:val="Header Char"/>
    <w:basedOn w:val="DefaultParagraphFont"/>
    <w:link w:val="Header"/>
    <w:uiPriority w:val="99"/>
    <w:rsid w:val="00E0629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3957">
      <w:bodyDiv w:val="1"/>
      <w:marLeft w:val="0"/>
      <w:marRight w:val="0"/>
      <w:marTop w:val="0"/>
      <w:marBottom w:val="0"/>
      <w:divBdr>
        <w:top w:val="none" w:sz="0" w:space="0" w:color="auto"/>
        <w:left w:val="none" w:sz="0" w:space="0" w:color="auto"/>
        <w:bottom w:val="none" w:sz="0" w:space="0" w:color="auto"/>
        <w:right w:val="none" w:sz="0" w:space="0" w:color="auto"/>
      </w:divBdr>
    </w:div>
    <w:div w:id="361786479">
      <w:bodyDiv w:val="1"/>
      <w:marLeft w:val="0"/>
      <w:marRight w:val="0"/>
      <w:marTop w:val="0"/>
      <w:marBottom w:val="0"/>
      <w:divBdr>
        <w:top w:val="none" w:sz="0" w:space="0" w:color="auto"/>
        <w:left w:val="none" w:sz="0" w:space="0" w:color="auto"/>
        <w:bottom w:val="none" w:sz="0" w:space="0" w:color="auto"/>
        <w:right w:val="none" w:sz="0" w:space="0" w:color="auto"/>
      </w:divBdr>
    </w:div>
    <w:div w:id="503983346">
      <w:bodyDiv w:val="1"/>
      <w:marLeft w:val="0"/>
      <w:marRight w:val="0"/>
      <w:marTop w:val="0"/>
      <w:marBottom w:val="0"/>
      <w:divBdr>
        <w:top w:val="none" w:sz="0" w:space="0" w:color="auto"/>
        <w:left w:val="none" w:sz="0" w:space="0" w:color="auto"/>
        <w:bottom w:val="none" w:sz="0" w:space="0" w:color="auto"/>
        <w:right w:val="none" w:sz="0" w:space="0" w:color="auto"/>
      </w:divBdr>
    </w:div>
    <w:div w:id="711267497">
      <w:bodyDiv w:val="1"/>
      <w:marLeft w:val="0"/>
      <w:marRight w:val="0"/>
      <w:marTop w:val="0"/>
      <w:marBottom w:val="0"/>
      <w:divBdr>
        <w:top w:val="none" w:sz="0" w:space="0" w:color="auto"/>
        <w:left w:val="none" w:sz="0" w:space="0" w:color="auto"/>
        <w:bottom w:val="none" w:sz="0" w:space="0" w:color="auto"/>
        <w:right w:val="none" w:sz="0" w:space="0" w:color="auto"/>
      </w:divBdr>
    </w:div>
    <w:div w:id="739600199">
      <w:bodyDiv w:val="1"/>
      <w:marLeft w:val="0"/>
      <w:marRight w:val="0"/>
      <w:marTop w:val="0"/>
      <w:marBottom w:val="0"/>
      <w:divBdr>
        <w:top w:val="none" w:sz="0" w:space="0" w:color="auto"/>
        <w:left w:val="none" w:sz="0" w:space="0" w:color="auto"/>
        <w:bottom w:val="none" w:sz="0" w:space="0" w:color="auto"/>
        <w:right w:val="none" w:sz="0" w:space="0" w:color="auto"/>
      </w:divBdr>
    </w:div>
    <w:div w:id="930814434">
      <w:bodyDiv w:val="1"/>
      <w:marLeft w:val="0"/>
      <w:marRight w:val="0"/>
      <w:marTop w:val="0"/>
      <w:marBottom w:val="0"/>
      <w:divBdr>
        <w:top w:val="none" w:sz="0" w:space="0" w:color="auto"/>
        <w:left w:val="none" w:sz="0" w:space="0" w:color="auto"/>
        <w:bottom w:val="none" w:sz="0" w:space="0" w:color="auto"/>
        <w:right w:val="none" w:sz="0" w:space="0" w:color="auto"/>
      </w:divBdr>
    </w:div>
    <w:div w:id="1410540118">
      <w:bodyDiv w:val="1"/>
      <w:marLeft w:val="0"/>
      <w:marRight w:val="0"/>
      <w:marTop w:val="0"/>
      <w:marBottom w:val="0"/>
      <w:divBdr>
        <w:top w:val="none" w:sz="0" w:space="0" w:color="auto"/>
        <w:left w:val="none" w:sz="0" w:space="0" w:color="auto"/>
        <w:bottom w:val="none" w:sz="0" w:space="0" w:color="auto"/>
        <w:right w:val="none" w:sz="0" w:space="0" w:color="auto"/>
      </w:divBdr>
    </w:div>
    <w:div w:id="1488008786">
      <w:bodyDiv w:val="1"/>
      <w:marLeft w:val="0"/>
      <w:marRight w:val="0"/>
      <w:marTop w:val="0"/>
      <w:marBottom w:val="0"/>
      <w:divBdr>
        <w:top w:val="none" w:sz="0" w:space="0" w:color="auto"/>
        <w:left w:val="none" w:sz="0" w:space="0" w:color="auto"/>
        <w:bottom w:val="none" w:sz="0" w:space="0" w:color="auto"/>
        <w:right w:val="none" w:sz="0" w:space="0" w:color="auto"/>
      </w:divBdr>
    </w:div>
    <w:div w:id="1656300708">
      <w:bodyDiv w:val="1"/>
      <w:marLeft w:val="0"/>
      <w:marRight w:val="0"/>
      <w:marTop w:val="0"/>
      <w:marBottom w:val="0"/>
      <w:divBdr>
        <w:top w:val="none" w:sz="0" w:space="0" w:color="auto"/>
        <w:left w:val="none" w:sz="0" w:space="0" w:color="auto"/>
        <w:bottom w:val="none" w:sz="0" w:space="0" w:color="auto"/>
        <w:right w:val="none" w:sz="0" w:space="0" w:color="auto"/>
      </w:divBdr>
    </w:div>
    <w:div w:id="1750232246">
      <w:bodyDiv w:val="1"/>
      <w:marLeft w:val="0"/>
      <w:marRight w:val="0"/>
      <w:marTop w:val="0"/>
      <w:marBottom w:val="0"/>
      <w:divBdr>
        <w:top w:val="none" w:sz="0" w:space="0" w:color="auto"/>
        <w:left w:val="none" w:sz="0" w:space="0" w:color="auto"/>
        <w:bottom w:val="none" w:sz="0" w:space="0" w:color="auto"/>
        <w:right w:val="none" w:sz="0" w:space="0" w:color="auto"/>
      </w:divBdr>
    </w:div>
    <w:div w:id="18723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es-strukturfondi/2014-2020/normativo-aktu-un-nosacijumu-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omitejas.esfondi.lv/Lists/sedes/DispForm.aspx?ID=138&amp;Source=https%3A%2F%2Fkomitejas%2Eesfondi%2Elv%2FSitePages%2F8%2Easpx&amp;ContentTypeId=0x0100A71173C59228CF43AEDB868762C1146A" TargetMode="External"/><Relationship Id="rId1" Type="http://schemas.openxmlformats.org/officeDocument/2006/relationships/hyperlink" Target="https://komitejas.esfondi.lv/Lists/sedes/DispForm.aspx?ID=138&amp;Source=https%3A%2F%2Fkomitejas%2Eesfondi%2Elv%2FSitePages%2F8%2Easpx&amp;ContentTypeId=0x0100A71173C59228CF43AEDB868762C114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5865-9917-4335-B831-461BFADE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19993</Words>
  <Characters>11397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Evelīna Bole</cp:lastModifiedBy>
  <cp:revision>23</cp:revision>
  <cp:lastPrinted>2018-05-24T11:32:00Z</cp:lastPrinted>
  <dcterms:created xsi:type="dcterms:W3CDTF">2018-05-25T03:51:00Z</dcterms:created>
  <dcterms:modified xsi:type="dcterms:W3CDTF">2018-05-29T06:37:00Z</dcterms:modified>
  <cp:category/>
</cp:coreProperties>
</file>