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52F0" w14:textId="7ACC6B4C" w:rsidR="00C724E2" w:rsidRPr="00C724E2" w:rsidRDefault="00C724E2" w:rsidP="00C724E2">
      <w:pPr>
        <w:jc w:val="right"/>
        <w:rPr>
          <w:bCs/>
          <w:i/>
        </w:rPr>
      </w:pPr>
      <w:r w:rsidRPr="00C724E2">
        <w:rPr>
          <w:bCs/>
          <w:i/>
        </w:rPr>
        <w:t>Projekts</w:t>
      </w:r>
    </w:p>
    <w:p w14:paraId="0F3D4B82" w14:textId="3D86684F" w:rsidR="00C724E2" w:rsidRDefault="00C724E2" w:rsidP="00C724E2">
      <w:pPr>
        <w:jc w:val="right"/>
        <w:rPr>
          <w:b/>
          <w:bCs/>
          <w:i/>
        </w:rPr>
      </w:pPr>
    </w:p>
    <w:p w14:paraId="39F8CB28" w14:textId="77777777" w:rsidR="00C724E2" w:rsidRPr="00C724E2" w:rsidRDefault="00C724E2" w:rsidP="00C724E2">
      <w:pPr>
        <w:spacing w:after="16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C724E2">
        <w:rPr>
          <w:rFonts w:eastAsia="Times New Roman" w:cs="Times New Roman"/>
          <w:b/>
          <w:bCs/>
          <w:sz w:val="28"/>
          <w:szCs w:val="28"/>
          <w:lang w:eastAsia="lv-LV"/>
        </w:rPr>
        <w:t>LATVIJAS REPUBLIKAS MINISTRU KABINETS</w:t>
      </w:r>
    </w:p>
    <w:p w14:paraId="18969BCB" w14:textId="77777777" w:rsidR="00C724E2" w:rsidRPr="00C724E2" w:rsidRDefault="00C724E2" w:rsidP="00C724E2">
      <w:pPr>
        <w:spacing w:after="160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64E3818D" w14:textId="77777777" w:rsidR="00C724E2" w:rsidRPr="00C724E2" w:rsidRDefault="00C724E2" w:rsidP="00C724E2">
      <w:pPr>
        <w:rPr>
          <w:rFonts w:eastAsia="Times New Roman" w:cs="Times New Roman"/>
          <w:bCs/>
          <w:sz w:val="28"/>
          <w:szCs w:val="28"/>
          <w:lang w:eastAsia="lv-LV"/>
        </w:rPr>
      </w:pPr>
      <w:r w:rsidRPr="00C724E2">
        <w:rPr>
          <w:rFonts w:eastAsia="Times New Roman" w:cs="Times New Roman"/>
          <w:bCs/>
          <w:sz w:val="28"/>
          <w:szCs w:val="28"/>
          <w:lang w:eastAsia="lv-LV"/>
        </w:rPr>
        <w:t>2018. gada                                                             Noteikumi Nr.</w:t>
      </w:r>
    </w:p>
    <w:p w14:paraId="06EDF104" w14:textId="77777777" w:rsidR="00C724E2" w:rsidRPr="00C724E2" w:rsidRDefault="00C724E2" w:rsidP="00C724E2">
      <w:pPr>
        <w:keepNext/>
        <w:widowControl w:val="0"/>
        <w:suppressAutoHyphens/>
        <w:rPr>
          <w:rFonts w:eastAsia="Times New Roman" w:cs="Times New Roman"/>
          <w:bCs/>
          <w:sz w:val="28"/>
          <w:szCs w:val="28"/>
          <w:lang w:eastAsia="lv-LV"/>
        </w:rPr>
      </w:pPr>
      <w:r w:rsidRPr="00C724E2">
        <w:rPr>
          <w:rFonts w:eastAsia="Times New Roman" w:cs="Times New Roman"/>
          <w:bCs/>
          <w:sz w:val="28"/>
          <w:szCs w:val="28"/>
          <w:lang w:eastAsia="lv-LV"/>
        </w:rPr>
        <w:t xml:space="preserve">Rīgā                                                                       (prot. Nr.                  .) </w:t>
      </w:r>
    </w:p>
    <w:p w14:paraId="7143E46B" w14:textId="77777777" w:rsidR="00C724E2" w:rsidRPr="00C724E2" w:rsidRDefault="00C724E2" w:rsidP="00C724E2">
      <w:pPr>
        <w:rPr>
          <w:rFonts w:eastAsia="Times New Roman" w:cs="Times New Roman"/>
          <w:bCs/>
          <w:sz w:val="28"/>
          <w:szCs w:val="28"/>
          <w:lang w:eastAsia="lv-LV"/>
        </w:rPr>
      </w:pPr>
    </w:p>
    <w:p w14:paraId="685C6D5F" w14:textId="77777777" w:rsidR="00C724E2" w:rsidRPr="00C724E2" w:rsidRDefault="00C724E2" w:rsidP="00C724E2">
      <w:pPr>
        <w:jc w:val="right"/>
        <w:rPr>
          <w:b/>
          <w:bCs/>
        </w:rPr>
      </w:pPr>
    </w:p>
    <w:p w14:paraId="5BAA35C9" w14:textId="4EEAC779" w:rsidR="005A0ABE" w:rsidRPr="00C724E2" w:rsidRDefault="00D077F5" w:rsidP="005A0ABE">
      <w:pPr>
        <w:jc w:val="center"/>
        <w:rPr>
          <w:b/>
          <w:bCs/>
          <w:sz w:val="28"/>
          <w:szCs w:val="28"/>
        </w:rPr>
      </w:pPr>
      <w:bookmarkStart w:id="0" w:name="_GoBack"/>
      <w:r w:rsidRPr="00C724E2">
        <w:rPr>
          <w:b/>
          <w:bCs/>
          <w:sz w:val="28"/>
          <w:szCs w:val="28"/>
        </w:rPr>
        <w:t>Par sadarbību konsulārās palīdzības sniegšanā ārpus Eiropas Savienības</w:t>
      </w:r>
    </w:p>
    <w:bookmarkEnd w:id="0"/>
    <w:p w14:paraId="2BDE4BFE" w14:textId="77777777" w:rsidR="005A0ABE" w:rsidRPr="00C724E2" w:rsidRDefault="005A0ABE" w:rsidP="005A0ABE">
      <w:pPr>
        <w:jc w:val="both"/>
        <w:rPr>
          <w:i/>
          <w:iCs/>
          <w:sz w:val="28"/>
          <w:szCs w:val="28"/>
        </w:rPr>
      </w:pPr>
    </w:p>
    <w:p w14:paraId="0A161F4D" w14:textId="38246EEE" w:rsidR="005A0ABE" w:rsidRPr="00C724E2" w:rsidRDefault="005A0ABE" w:rsidP="00821CC2">
      <w:pPr>
        <w:ind w:left="4678"/>
        <w:jc w:val="right"/>
        <w:rPr>
          <w:iCs/>
          <w:sz w:val="28"/>
          <w:szCs w:val="28"/>
        </w:rPr>
      </w:pPr>
      <w:r w:rsidRPr="00C724E2">
        <w:rPr>
          <w:iCs/>
          <w:sz w:val="28"/>
          <w:szCs w:val="28"/>
        </w:rPr>
        <w:t xml:space="preserve">Izdoti saskaņā ar </w:t>
      </w:r>
    </w:p>
    <w:p w14:paraId="40B15458" w14:textId="60CBFDA9" w:rsidR="002A6BF1" w:rsidRPr="00C724E2" w:rsidRDefault="005A0ABE" w:rsidP="00821CC2">
      <w:pPr>
        <w:ind w:left="4678"/>
        <w:jc w:val="right"/>
        <w:rPr>
          <w:iCs/>
          <w:sz w:val="28"/>
          <w:szCs w:val="28"/>
        </w:rPr>
      </w:pPr>
      <w:r w:rsidRPr="00C724E2">
        <w:rPr>
          <w:iCs/>
          <w:sz w:val="28"/>
          <w:szCs w:val="28"/>
        </w:rPr>
        <w:t>Konsulārā</w:t>
      </w:r>
      <w:r w:rsidR="00660662" w:rsidRPr="00C724E2">
        <w:rPr>
          <w:iCs/>
          <w:sz w:val="28"/>
          <w:szCs w:val="28"/>
        </w:rPr>
        <w:t>s</w:t>
      </w:r>
      <w:r w:rsidRPr="00C724E2">
        <w:rPr>
          <w:sz w:val="28"/>
          <w:szCs w:val="28"/>
        </w:rPr>
        <w:t xml:space="preserve"> </w:t>
      </w:r>
      <w:r w:rsidR="0062692E" w:rsidRPr="00C724E2">
        <w:rPr>
          <w:sz w:val="28"/>
          <w:szCs w:val="28"/>
        </w:rPr>
        <w:t>palīdzības un konsulāro</w:t>
      </w:r>
      <w:r w:rsidR="00660662" w:rsidRPr="00C724E2">
        <w:rPr>
          <w:sz w:val="28"/>
          <w:szCs w:val="28"/>
        </w:rPr>
        <w:t xml:space="preserve"> </w:t>
      </w:r>
      <w:r w:rsidR="0062692E" w:rsidRPr="00C724E2">
        <w:rPr>
          <w:sz w:val="28"/>
          <w:szCs w:val="28"/>
        </w:rPr>
        <w:t>pakalpojumu likuma</w:t>
      </w:r>
      <w:r w:rsidRPr="00C724E2">
        <w:rPr>
          <w:iCs/>
          <w:sz w:val="28"/>
          <w:szCs w:val="28"/>
        </w:rPr>
        <w:t xml:space="preserve"> </w:t>
      </w:r>
    </w:p>
    <w:p w14:paraId="0DBB8027" w14:textId="1566535B" w:rsidR="005A0ABE" w:rsidRPr="00C724E2" w:rsidRDefault="002A6BF1" w:rsidP="00821CC2">
      <w:pPr>
        <w:ind w:left="4678"/>
        <w:jc w:val="right"/>
        <w:rPr>
          <w:iCs/>
          <w:sz w:val="28"/>
          <w:szCs w:val="28"/>
        </w:rPr>
      </w:pPr>
      <w:r w:rsidRPr="00C724E2">
        <w:rPr>
          <w:iCs/>
          <w:sz w:val="28"/>
          <w:szCs w:val="28"/>
        </w:rPr>
        <w:t>11. panta ceturto daļu</w:t>
      </w:r>
    </w:p>
    <w:p w14:paraId="6D300DF7" w14:textId="77777777" w:rsidR="005A0ABE" w:rsidRPr="00C724E2" w:rsidRDefault="005A0ABE" w:rsidP="005A0ABE">
      <w:pPr>
        <w:jc w:val="right"/>
        <w:rPr>
          <w:b/>
          <w:iCs/>
          <w:sz w:val="28"/>
          <w:szCs w:val="28"/>
        </w:rPr>
      </w:pPr>
    </w:p>
    <w:p w14:paraId="4CC8551C" w14:textId="77777777" w:rsidR="00C55830" w:rsidRPr="00C724E2" w:rsidRDefault="00C55830" w:rsidP="00C55830">
      <w:pPr>
        <w:jc w:val="center"/>
        <w:rPr>
          <w:b/>
          <w:iCs/>
          <w:sz w:val="28"/>
          <w:szCs w:val="28"/>
        </w:rPr>
      </w:pPr>
    </w:p>
    <w:p w14:paraId="08A6BC2F" w14:textId="07AF0FD6" w:rsidR="002A6BF1" w:rsidRPr="00C724E2" w:rsidRDefault="002A6BF1" w:rsidP="002A6BF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>Noteikumi nosaka kārtību, kādā Latvijas Republikas konsulārā amatpersona (turpmāk – konsulārā amatpersona) un konsulārās funkcijas veikt pilnvarots Latvijas Republikas goda konsuls (turpmāk – goda konsuls) sadarbojas ar Eiropas Savienības dalībvalstīm</w:t>
      </w:r>
      <w:r w:rsidR="0072578F" w:rsidRPr="00C724E2">
        <w:rPr>
          <w:sz w:val="28"/>
          <w:szCs w:val="28"/>
        </w:rPr>
        <w:t xml:space="preserve"> (turpmāk – dalībvalstis)</w:t>
      </w:r>
      <w:r w:rsidRPr="00C724E2">
        <w:rPr>
          <w:sz w:val="28"/>
          <w:szCs w:val="28"/>
        </w:rPr>
        <w:t>, Eiropas Savienības delegācijām ārvalstīs un Eiropas Savienības Ārējās darbības dienestu</w:t>
      </w:r>
      <w:r w:rsidR="004A1CDD" w:rsidRPr="00C724E2">
        <w:rPr>
          <w:sz w:val="28"/>
          <w:szCs w:val="28"/>
        </w:rPr>
        <w:t>, lai sniegtu konsulāro palīdzību ārpus Eiropas Savienības</w:t>
      </w:r>
      <w:r w:rsidRPr="00C724E2">
        <w:rPr>
          <w:sz w:val="28"/>
          <w:szCs w:val="28"/>
        </w:rPr>
        <w:t>.</w:t>
      </w:r>
    </w:p>
    <w:p w14:paraId="449813B4" w14:textId="77777777" w:rsidR="002A6BF1" w:rsidRPr="00C724E2" w:rsidRDefault="002A6BF1" w:rsidP="002A6BF1">
      <w:pPr>
        <w:pStyle w:val="ListParagraph"/>
        <w:jc w:val="both"/>
        <w:rPr>
          <w:sz w:val="28"/>
          <w:szCs w:val="28"/>
        </w:rPr>
      </w:pPr>
    </w:p>
    <w:p w14:paraId="1175C931" w14:textId="5C79AA31" w:rsidR="002A6BF1" w:rsidRPr="00C724E2" w:rsidRDefault="002A6BF1" w:rsidP="002A6BF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 xml:space="preserve">Sadarbību ar dalībvalstīm, </w:t>
      </w:r>
      <w:r w:rsidR="000F3656" w:rsidRPr="00C724E2">
        <w:rPr>
          <w:sz w:val="28"/>
          <w:szCs w:val="28"/>
        </w:rPr>
        <w:t xml:space="preserve">Eiropas Savienības </w:t>
      </w:r>
      <w:r w:rsidRPr="00C724E2">
        <w:rPr>
          <w:sz w:val="28"/>
          <w:szCs w:val="28"/>
        </w:rPr>
        <w:t xml:space="preserve">delegācijām un </w:t>
      </w:r>
      <w:r w:rsidR="000F3656" w:rsidRPr="00C724E2">
        <w:rPr>
          <w:sz w:val="28"/>
          <w:szCs w:val="28"/>
        </w:rPr>
        <w:t xml:space="preserve">Eiropas Savienības Ārējās darbības </w:t>
      </w:r>
      <w:r w:rsidRPr="00C724E2">
        <w:rPr>
          <w:sz w:val="28"/>
          <w:szCs w:val="28"/>
        </w:rPr>
        <w:t xml:space="preserve">dienestu </w:t>
      </w:r>
      <w:r w:rsidR="0072578F" w:rsidRPr="00C724E2">
        <w:rPr>
          <w:sz w:val="28"/>
          <w:szCs w:val="28"/>
        </w:rPr>
        <w:t xml:space="preserve">veic </w:t>
      </w:r>
      <w:r w:rsidRPr="00C724E2">
        <w:rPr>
          <w:sz w:val="28"/>
          <w:szCs w:val="28"/>
        </w:rPr>
        <w:t xml:space="preserve">Ārlietu ministrijas Konsulārais departaments (turpmāk – Konsulārais departaments). </w:t>
      </w:r>
      <w:r w:rsidR="004A1CDD" w:rsidRPr="00C724E2">
        <w:rPr>
          <w:sz w:val="28"/>
          <w:szCs w:val="28"/>
        </w:rPr>
        <w:t xml:space="preserve">Sadarbība notiek konkrētas konsulārās palīdzības lietas ietvaros un ir </w:t>
      </w:r>
      <w:r w:rsidRPr="00C724E2">
        <w:rPr>
          <w:sz w:val="28"/>
          <w:szCs w:val="28"/>
        </w:rPr>
        <w:t xml:space="preserve">uzskatāma par daļu no konsulārās palīdzības sniegšanas personai. </w:t>
      </w:r>
    </w:p>
    <w:p w14:paraId="58E1DFD3" w14:textId="77777777" w:rsidR="002A6BF1" w:rsidRPr="00C724E2" w:rsidRDefault="002A6BF1" w:rsidP="002A6BF1">
      <w:pPr>
        <w:pStyle w:val="ListParagraph"/>
        <w:rPr>
          <w:sz w:val="28"/>
          <w:szCs w:val="28"/>
        </w:rPr>
      </w:pPr>
    </w:p>
    <w:p w14:paraId="7E868A33" w14:textId="2E62D13A" w:rsidR="00D00B88" w:rsidRPr="00C724E2" w:rsidRDefault="00817F51" w:rsidP="002A6BF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>Ja</w:t>
      </w:r>
      <w:r w:rsidR="00823404" w:rsidRPr="00C724E2">
        <w:rPr>
          <w:sz w:val="28"/>
          <w:szCs w:val="28"/>
        </w:rPr>
        <w:t xml:space="preserve"> ārvalstī</w:t>
      </w:r>
      <w:r w:rsidRPr="00C724E2">
        <w:rPr>
          <w:sz w:val="28"/>
          <w:szCs w:val="28"/>
        </w:rPr>
        <w:t xml:space="preserve"> </w:t>
      </w:r>
      <w:r w:rsidR="00823404" w:rsidRPr="00C724E2">
        <w:rPr>
          <w:sz w:val="28"/>
          <w:szCs w:val="28"/>
        </w:rPr>
        <w:t xml:space="preserve">ārpus Eiropas Savienības </w:t>
      </w:r>
      <w:r w:rsidR="004A1CDD" w:rsidRPr="00C724E2">
        <w:rPr>
          <w:sz w:val="28"/>
          <w:szCs w:val="28"/>
        </w:rPr>
        <w:t>pēc konsulārās palīdzības vērsusies Latvijas aizsardzībā esoša persona</w:t>
      </w:r>
      <w:r w:rsidR="00D00B88" w:rsidRPr="00C724E2">
        <w:rPr>
          <w:sz w:val="28"/>
          <w:szCs w:val="28"/>
        </w:rPr>
        <w:t xml:space="preserve"> un </w:t>
      </w:r>
      <w:r w:rsidR="00DF0148" w:rsidRPr="00C724E2">
        <w:rPr>
          <w:sz w:val="28"/>
          <w:szCs w:val="28"/>
        </w:rPr>
        <w:t xml:space="preserve">viņas </w:t>
      </w:r>
      <w:r w:rsidR="00D00B88" w:rsidRPr="00C724E2">
        <w:rPr>
          <w:sz w:val="28"/>
          <w:szCs w:val="28"/>
        </w:rPr>
        <w:t xml:space="preserve">uzturēšanās </w:t>
      </w:r>
      <w:r w:rsidR="00DF0148" w:rsidRPr="00C724E2">
        <w:rPr>
          <w:sz w:val="28"/>
          <w:szCs w:val="28"/>
        </w:rPr>
        <w:t xml:space="preserve">vieta </w:t>
      </w:r>
      <w:r w:rsidR="00D00B88" w:rsidRPr="00C724E2">
        <w:rPr>
          <w:sz w:val="28"/>
          <w:szCs w:val="28"/>
        </w:rPr>
        <w:t>neietilpst nevienas pārstāvniecības konsulārajā apgabalā, konsulāro palīdzību sniedz Konsulārais departaments.</w:t>
      </w:r>
    </w:p>
    <w:p w14:paraId="73876122" w14:textId="77777777" w:rsidR="00B900D6" w:rsidRPr="00C724E2" w:rsidRDefault="00B900D6" w:rsidP="00B900D6">
      <w:pPr>
        <w:pStyle w:val="ListParagraph"/>
        <w:rPr>
          <w:sz w:val="28"/>
          <w:szCs w:val="28"/>
        </w:rPr>
      </w:pPr>
    </w:p>
    <w:p w14:paraId="0BDD3A03" w14:textId="0B1736AD" w:rsidR="00816897" w:rsidRPr="00C724E2" w:rsidRDefault="00D00B88" w:rsidP="00CC6B8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 xml:space="preserve">Konsulārais departaments var lūgt </w:t>
      </w:r>
      <w:r w:rsidR="004D6F36" w:rsidRPr="00C724E2">
        <w:rPr>
          <w:sz w:val="28"/>
          <w:szCs w:val="28"/>
        </w:rPr>
        <w:t>citu dalībvalsti pārņemt konsulārās palīdzības sniegšanu Latvijas aizsardzībā esošai personai</w:t>
      </w:r>
      <w:r w:rsidR="00823404" w:rsidRPr="00C724E2">
        <w:rPr>
          <w:sz w:val="28"/>
          <w:szCs w:val="28"/>
        </w:rPr>
        <w:t xml:space="preserve"> ārvalstī</w:t>
      </w:r>
      <w:r w:rsidR="00DF0148" w:rsidRPr="00C724E2">
        <w:rPr>
          <w:sz w:val="28"/>
          <w:szCs w:val="28"/>
        </w:rPr>
        <w:t xml:space="preserve"> ārpus Eiropas Savienības</w:t>
      </w:r>
      <w:r w:rsidR="00B900D6" w:rsidRPr="00C724E2">
        <w:rPr>
          <w:sz w:val="28"/>
          <w:szCs w:val="28"/>
        </w:rPr>
        <w:t xml:space="preserve"> neatkarīgi no tā, vai persona atrodas kādas Latvijas diplomātiskās un konsulārās pārstāvniecības konsulārajā apgabalā,</w:t>
      </w:r>
      <w:r w:rsidR="004D6F36" w:rsidRPr="00C724E2">
        <w:rPr>
          <w:sz w:val="28"/>
          <w:szCs w:val="28"/>
        </w:rPr>
        <w:t xml:space="preserve"> ja </w:t>
      </w:r>
      <w:r w:rsidRPr="00C724E2">
        <w:rPr>
          <w:sz w:val="28"/>
          <w:szCs w:val="28"/>
        </w:rPr>
        <w:t>konsulārās palīdzības sniegšanai</w:t>
      </w:r>
      <w:r w:rsidR="00823404" w:rsidRPr="00C724E2">
        <w:rPr>
          <w:sz w:val="28"/>
          <w:szCs w:val="28"/>
        </w:rPr>
        <w:t xml:space="preserve"> ir nepieciešam</w:t>
      </w:r>
      <w:r w:rsidR="00B900D6" w:rsidRPr="00C724E2">
        <w:rPr>
          <w:sz w:val="28"/>
          <w:szCs w:val="28"/>
        </w:rPr>
        <w:t>s, bet nav iespējams nodrošināt</w:t>
      </w:r>
      <w:r w:rsidR="00CC6B8D" w:rsidRPr="00C724E2">
        <w:rPr>
          <w:sz w:val="28"/>
          <w:szCs w:val="28"/>
        </w:rPr>
        <w:t xml:space="preserve"> </w:t>
      </w:r>
      <w:r w:rsidRPr="00C724E2">
        <w:rPr>
          <w:sz w:val="28"/>
          <w:szCs w:val="28"/>
        </w:rPr>
        <w:t>personas identifikācij</w:t>
      </w:r>
      <w:r w:rsidR="00B900D6" w:rsidRPr="00C724E2">
        <w:rPr>
          <w:sz w:val="28"/>
          <w:szCs w:val="28"/>
        </w:rPr>
        <w:t>u</w:t>
      </w:r>
      <w:r w:rsidRPr="00C724E2">
        <w:rPr>
          <w:sz w:val="28"/>
          <w:szCs w:val="28"/>
        </w:rPr>
        <w:t xml:space="preserve"> </w:t>
      </w:r>
      <w:r w:rsidR="00CC6B8D" w:rsidRPr="00C724E2">
        <w:rPr>
          <w:sz w:val="28"/>
          <w:szCs w:val="28"/>
        </w:rPr>
        <w:t xml:space="preserve">klātienē, </w:t>
      </w:r>
      <w:r w:rsidRPr="00C724E2">
        <w:rPr>
          <w:sz w:val="28"/>
          <w:szCs w:val="28"/>
        </w:rPr>
        <w:t>operatīv</w:t>
      </w:r>
      <w:r w:rsidR="00B900D6" w:rsidRPr="00C724E2">
        <w:rPr>
          <w:sz w:val="28"/>
          <w:szCs w:val="28"/>
        </w:rPr>
        <w:t>u</w:t>
      </w:r>
      <w:r w:rsidRPr="00C724E2">
        <w:rPr>
          <w:sz w:val="28"/>
          <w:szCs w:val="28"/>
        </w:rPr>
        <w:t xml:space="preserve"> un </w:t>
      </w:r>
      <w:r w:rsidRPr="00C724E2">
        <w:rPr>
          <w:sz w:val="28"/>
          <w:szCs w:val="28"/>
        </w:rPr>
        <w:lastRenderedPageBreak/>
        <w:t>tieš</w:t>
      </w:r>
      <w:r w:rsidR="00B900D6" w:rsidRPr="00C724E2">
        <w:rPr>
          <w:sz w:val="28"/>
          <w:szCs w:val="28"/>
        </w:rPr>
        <w:t>u</w:t>
      </w:r>
      <w:r w:rsidRPr="00C724E2">
        <w:rPr>
          <w:sz w:val="28"/>
          <w:szCs w:val="28"/>
        </w:rPr>
        <w:t xml:space="preserve"> </w:t>
      </w:r>
      <w:r w:rsidR="00816897" w:rsidRPr="00C724E2">
        <w:rPr>
          <w:sz w:val="28"/>
          <w:szCs w:val="28"/>
        </w:rPr>
        <w:t>saziņ</w:t>
      </w:r>
      <w:r w:rsidR="00B454E1" w:rsidRPr="00C724E2">
        <w:rPr>
          <w:sz w:val="28"/>
          <w:szCs w:val="28"/>
        </w:rPr>
        <w:t>u</w:t>
      </w:r>
      <w:r w:rsidR="00816897" w:rsidRPr="00C724E2">
        <w:rPr>
          <w:sz w:val="28"/>
          <w:szCs w:val="28"/>
        </w:rPr>
        <w:t xml:space="preserve"> ar iestādēm</w:t>
      </w:r>
      <w:r w:rsidRPr="00C724E2">
        <w:rPr>
          <w:sz w:val="28"/>
          <w:szCs w:val="28"/>
        </w:rPr>
        <w:t xml:space="preserve"> personas atrašanās vietā</w:t>
      </w:r>
      <w:r w:rsidR="00CC6B8D" w:rsidRPr="00C724E2">
        <w:rPr>
          <w:sz w:val="28"/>
          <w:szCs w:val="28"/>
        </w:rPr>
        <w:t xml:space="preserve"> vai pastāv citi apstākļi, kas ierobežo efektīvu konsulārās palīdzības sniegšanu</w:t>
      </w:r>
      <w:r w:rsidR="00816897" w:rsidRPr="00C724E2">
        <w:rPr>
          <w:sz w:val="28"/>
          <w:szCs w:val="28"/>
        </w:rPr>
        <w:t>.</w:t>
      </w:r>
      <w:r w:rsidR="006C0063" w:rsidRPr="00C724E2">
        <w:rPr>
          <w:sz w:val="28"/>
          <w:szCs w:val="28"/>
        </w:rPr>
        <w:t xml:space="preserve"> Pieņemot lēmumu par lūgumu pārņemt konsulārās palīdzības sniegšanu, tiek ņemts vērā </w:t>
      </w:r>
      <w:r w:rsidR="00660662" w:rsidRPr="00C724E2">
        <w:rPr>
          <w:sz w:val="28"/>
          <w:szCs w:val="28"/>
        </w:rPr>
        <w:t xml:space="preserve">dalībvalstu </w:t>
      </w:r>
      <w:r w:rsidR="006C0063" w:rsidRPr="00C724E2">
        <w:rPr>
          <w:sz w:val="28"/>
          <w:szCs w:val="28"/>
        </w:rPr>
        <w:t>pārstāvniecīb</w:t>
      </w:r>
      <w:r w:rsidR="00660662" w:rsidRPr="00C724E2">
        <w:rPr>
          <w:sz w:val="28"/>
          <w:szCs w:val="28"/>
        </w:rPr>
        <w:t xml:space="preserve">u izvietojums </w:t>
      </w:r>
      <w:r w:rsidR="006C0063" w:rsidRPr="00C724E2">
        <w:rPr>
          <w:sz w:val="28"/>
          <w:szCs w:val="28"/>
        </w:rPr>
        <w:t xml:space="preserve">un reciprocitāte. </w:t>
      </w:r>
    </w:p>
    <w:p w14:paraId="41545721" w14:textId="77777777" w:rsidR="00A05A63" w:rsidRPr="00C724E2" w:rsidRDefault="00A05A63" w:rsidP="00A05A63">
      <w:pPr>
        <w:pStyle w:val="ListParagraph"/>
        <w:ind w:left="792"/>
        <w:jc w:val="both"/>
        <w:rPr>
          <w:sz w:val="28"/>
          <w:szCs w:val="28"/>
        </w:rPr>
      </w:pPr>
    </w:p>
    <w:p w14:paraId="1A0717A3" w14:textId="53AC15C3" w:rsidR="00936781" w:rsidRPr="00C724E2" w:rsidRDefault="00936781" w:rsidP="0081689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 xml:space="preserve">Ja 4.punktā minētā dalībvalsts piekrīt pārņemt konsulārās palīdzības lietu, Konsulārais departaments par to informē Latvijas aizsardzībā esošo personu, kam konsulārā palīdzība </w:t>
      </w:r>
      <w:r w:rsidR="003212A9" w:rsidRPr="00C724E2">
        <w:rPr>
          <w:sz w:val="28"/>
          <w:szCs w:val="28"/>
        </w:rPr>
        <w:t>nepieciešama</w:t>
      </w:r>
      <w:r w:rsidRPr="00C724E2">
        <w:rPr>
          <w:sz w:val="28"/>
          <w:szCs w:val="28"/>
        </w:rPr>
        <w:t xml:space="preserve">. </w:t>
      </w:r>
    </w:p>
    <w:p w14:paraId="2AE164A6" w14:textId="77777777" w:rsidR="00936781" w:rsidRPr="00C724E2" w:rsidRDefault="00936781" w:rsidP="00936781">
      <w:pPr>
        <w:pStyle w:val="ListParagraph"/>
        <w:ind w:left="360"/>
        <w:jc w:val="both"/>
        <w:rPr>
          <w:sz w:val="28"/>
          <w:szCs w:val="28"/>
        </w:rPr>
      </w:pPr>
    </w:p>
    <w:p w14:paraId="5F9BE2DE" w14:textId="0BCBB362" w:rsidR="00816897" w:rsidRPr="00C724E2" w:rsidRDefault="00816897" w:rsidP="0081689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>Ja Latvijas aizsardzībā esoša persona pati</w:t>
      </w:r>
      <w:r w:rsidR="00A05A63" w:rsidRPr="00C724E2">
        <w:rPr>
          <w:sz w:val="28"/>
          <w:szCs w:val="28"/>
        </w:rPr>
        <w:t xml:space="preserve"> ir vērsusies </w:t>
      </w:r>
      <w:r w:rsidR="003212A9" w:rsidRPr="00C724E2">
        <w:rPr>
          <w:sz w:val="28"/>
          <w:szCs w:val="28"/>
        </w:rPr>
        <w:t xml:space="preserve">pēc konsulārās palīdzības </w:t>
      </w:r>
      <w:r w:rsidR="00A05A63" w:rsidRPr="00C724E2">
        <w:rPr>
          <w:sz w:val="28"/>
          <w:szCs w:val="28"/>
        </w:rPr>
        <w:t>kādas dalībvalsts diplomātiskajā vai konsulārajā pārstāvniecībā ār</w:t>
      </w:r>
      <w:r w:rsidR="00DB16C6" w:rsidRPr="00C724E2">
        <w:rPr>
          <w:sz w:val="28"/>
          <w:szCs w:val="28"/>
        </w:rPr>
        <w:t>pus Eiropas Savienības</w:t>
      </w:r>
      <w:r w:rsidR="00A05A63" w:rsidRPr="00C724E2">
        <w:rPr>
          <w:sz w:val="28"/>
          <w:szCs w:val="28"/>
        </w:rPr>
        <w:t xml:space="preserve">, Konsulārais departaments </w:t>
      </w:r>
      <w:r w:rsidR="00DB16C6" w:rsidRPr="00C724E2">
        <w:rPr>
          <w:sz w:val="28"/>
          <w:szCs w:val="28"/>
        </w:rPr>
        <w:t xml:space="preserve">konsulārās palīdzības lietas ietvaros </w:t>
      </w:r>
      <w:r w:rsidR="008252B2" w:rsidRPr="00C724E2">
        <w:rPr>
          <w:sz w:val="28"/>
          <w:szCs w:val="28"/>
        </w:rPr>
        <w:t xml:space="preserve">nelūdz konsulārās palīdzības sniegšanu pārņemt citai </w:t>
      </w:r>
      <w:r w:rsidR="00A05A63" w:rsidRPr="00C724E2">
        <w:rPr>
          <w:sz w:val="28"/>
          <w:szCs w:val="28"/>
        </w:rPr>
        <w:t>dalībvalsti</w:t>
      </w:r>
      <w:r w:rsidR="008252B2" w:rsidRPr="00C724E2">
        <w:rPr>
          <w:sz w:val="28"/>
          <w:szCs w:val="28"/>
        </w:rPr>
        <w:t>j</w:t>
      </w:r>
      <w:r w:rsidR="00A05A63" w:rsidRPr="00C724E2">
        <w:rPr>
          <w:sz w:val="28"/>
          <w:szCs w:val="28"/>
        </w:rPr>
        <w:t>.</w:t>
      </w:r>
      <w:r w:rsidR="00823404" w:rsidRPr="00C724E2">
        <w:rPr>
          <w:sz w:val="28"/>
          <w:szCs w:val="28"/>
        </w:rPr>
        <w:t xml:space="preserve"> Konsulārais departaments lūdz uzņemties konsulārās palīdzības sniegšanu</w:t>
      </w:r>
      <w:r w:rsidR="003212A9" w:rsidRPr="00C724E2">
        <w:rPr>
          <w:sz w:val="28"/>
          <w:szCs w:val="28"/>
        </w:rPr>
        <w:t xml:space="preserve"> dalībvalstij, kuras pārstāvniecībā persona vērsusies</w:t>
      </w:r>
      <w:r w:rsidR="00823404" w:rsidRPr="00C724E2">
        <w:rPr>
          <w:sz w:val="28"/>
          <w:szCs w:val="28"/>
        </w:rPr>
        <w:t xml:space="preserve">, ja pastāv kāds no šo noteikumu 4.punkta nosacījumiem. </w:t>
      </w:r>
    </w:p>
    <w:p w14:paraId="635ACF5A" w14:textId="77777777" w:rsidR="00A05A63" w:rsidRPr="00C724E2" w:rsidRDefault="00A05A63" w:rsidP="00A05A63">
      <w:pPr>
        <w:pStyle w:val="ListParagraph"/>
        <w:rPr>
          <w:sz w:val="28"/>
          <w:szCs w:val="28"/>
        </w:rPr>
      </w:pPr>
    </w:p>
    <w:p w14:paraId="3AB8ECA2" w14:textId="5AA7A404" w:rsidR="00A05A63" w:rsidRPr="00C724E2" w:rsidRDefault="00A05A63" w:rsidP="0081689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>Sadarbībā ar dalībvalsti, kura sniedz konsulāro palīdzību, Konsulārais departaments nodrošina:</w:t>
      </w:r>
    </w:p>
    <w:p w14:paraId="6C4C1334" w14:textId="6FA9805D" w:rsidR="00A05A63" w:rsidRPr="00C724E2" w:rsidRDefault="00E845EA" w:rsidP="00A05A63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>konsulārās palīdzības sniegšanai nepieciešamās informācijas apkopošanu pēc dalībvalsts lūguma un nodošanu tai;</w:t>
      </w:r>
    </w:p>
    <w:p w14:paraId="54AE70A9" w14:textId="20AD6C67" w:rsidR="00E845EA" w:rsidRPr="00C724E2" w:rsidRDefault="00E845EA" w:rsidP="00A05A63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 xml:space="preserve">saziņu ar personas </w:t>
      </w:r>
      <w:r w:rsidR="00CC6B8D" w:rsidRPr="00C724E2">
        <w:rPr>
          <w:sz w:val="28"/>
          <w:szCs w:val="28"/>
        </w:rPr>
        <w:t>tuviniekiem un</w:t>
      </w:r>
      <w:r w:rsidRPr="00C724E2">
        <w:rPr>
          <w:sz w:val="28"/>
          <w:szCs w:val="28"/>
        </w:rPr>
        <w:t xml:space="preserve"> iestādēm.</w:t>
      </w:r>
    </w:p>
    <w:p w14:paraId="19EA6EB4" w14:textId="77777777" w:rsidR="00E845EA" w:rsidRPr="00C724E2" w:rsidRDefault="00E845EA" w:rsidP="00E845EA">
      <w:pPr>
        <w:pStyle w:val="ListParagraph"/>
        <w:ind w:left="792"/>
        <w:jc w:val="both"/>
        <w:rPr>
          <w:sz w:val="28"/>
          <w:szCs w:val="28"/>
        </w:rPr>
      </w:pPr>
    </w:p>
    <w:p w14:paraId="7090C67B" w14:textId="24D99B6F" w:rsidR="00E845EA" w:rsidRPr="00C724E2" w:rsidRDefault="00E845EA" w:rsidP="00E845E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 xml:space="preserve">Ja dalībvalsts pārstāvniecība sniedz konsulāro palīdzību Latvijas aizsardzībā esošai personai, konsulārās palīdzības </w:t>
      </w:r>
      <w:r w:rsidR="00DB16C6" w:rsidRPr="00C724E2">
        <w:rPr>
          <w:sz w:val="28"/>
          <w:szCs w:val="28"/>
        </w:rPr>
        <w:t xml:space="preserve">lieta tiek slēgta, </w:t>
      </w:r>
      <w:r w:rsidRPr="00C724E2">
        <w:rPr>
          <w:sz w:val="28"/>
          <w:szCs w:val="28"/>
        </w:rPr>
        <w:t>kad tiek saņemta attiecīga informācija no dalībvalsts, kas palīdz.</w:t>
      </w:r>
    </w:p>
    <w:p w14:paraId="66D60E29" w14:textId="007704EE" w:rsidR="00E845EA" w:rsidRPr="00C724E2" w:rsidRDefault="00E845EA" w:rsidP="00E845EA">
      <w:pPr>
        <w:pStyle w:val="ListParagraph"/>
        <w:ind w:left="360"/>
        <w:jc w:val="both"/>
        <w:rPr>
          <w:sz w:val="28"/>
          <w:szCs w:val="28"/>
        </w:rPr>
      </w:pPr>
    </w:p>
    <w:p w14:paraId="67AFD1FA" w14:textId="700615DD" w:rsidR="00CC6B8D" w:rsidRPr="00C724E2" w:rsidRDefault="00CC6B8D" w:rsidP="00E845E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>Konsulārais departaments vai Latvijas pārstāvniecību ārvalstīs konsulārās amatpersonas atbilstoši to konsulārajiem apgabaliem konsulāro palīdzību sniedz, ja:</w:t>
      </w:r>
    </w:p>
    <w:p w14:paraId="5F175470" w14:textId="77777777" w:rsidR="00CC6B8D" w:rsidRPr="00C724E2" w:rsidRDefault="00CC6B8D" w:rsidP="00CC6B8D">
      <w:pPr>
        <w:pStyle w:val="ListParagraph"/>
        <w:rPr>
          <w:sz w:val="28"/>
          <w:szCs w:val="28"/>
        </w:rPr>
      </w:pPr>
    </w:p>
    <w:p w14:paraId="57E6F860" w14:textId="7E8966BC" w:rsidR="00CC6B8D" w:rsidRPr="00C724E2" w:rsidRDefault="00E845EA" w:rsidP="00CC6B8D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 xml:space="preserve">dalībvalsts atsaka sniegt konsulāro palīdzību Latvijas aizsardzībā esošai personai, kura </w:t>
      </w:r>
      <w:r w:rsidR="00CC6B8D" w:rsidRPr="00C724E2">
        <w:rPr>
          <w:sz w:val="28"/>
          <w:szCs w:val="28"/>
        </w:rPr>
        <w:t>nav Eiropas Savienības pilsonis;</w:t>
      </w:r>
    </w:p>
    <w:p w14:paraId="0922E018" w14:textId="4F585262" w:rsidR="00E845EA" w:rsidRPr="00C724E2" w:rsidRDefault="00E845EA" w:rsidP="00CC6B8D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>Latvijas aizsardzībā esoša persona informē, ka nevēlas saņemt konsulāro palīdzību citas dalībvalsts pārstāvniecībā</w:t>
      </w:r>
      <w:r w:rsidR="00CC6B8D" w:rsidRPr="00C724E2">
        <w:rPr>
          <w:sz w:val="28"/>
          <w:szCs w:val="28"/>
        </w:rPr>
        <w:t>;</w:t>
      </w:r>
    </w:p>
    <w:p w14:paraId="0A5D47FB" w14:textId="78373626" w:rsidR="00CC6B8D" w:rsidRPr="00C724E2" w:rsidRDefault="00CC6B8D" w:rsidP="00CC6B8D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>nepastāv 4.punktā</w:t>
      </w:r>
      <w:r w:rsidR="00B900D6" w:rsidRPr="00C724E2">
        <w:rPr>
          <w:sz w:val="28"/>
          <w:szCs w:val="28"/>
        </w:rPr>
        <w:t xml:space="preserve"> minētie nosacījumi.</w:t>
      </w:r>
    </w:p>
    <w:p w14:paraId="6F0C8D51" w14:textId="77777777" w:rsidR="00E845EA" w:rsidRPr="00C724E2" w:rsidRDefault="00E845EA" w:rsidP="00E845EA">
      <w:pPr>
        <w:pStyle w:val="ListParagraph"/>
        <w:rPr>
          <w:sz w:val="28"/>
          <w:szCs w:val="28"/>
        </w:rPr>
      </w:pPr>
    </w:p>
    <w:p w14:paraId="070FCCE5" w14:textId="5B3558CD" w:rsidR="004C4B3B" w:rsidRPr="00C724E2" w:rsidRDefault="00DF0148" w:rsidP="00DF014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 xml:space="preserve">Ja pēc konsulārās palīdzības pārstāvniecībā vērsies nepārstāvēts dalībvalsts pilsonis, </w:t>
      </w:r>
      <w:r w:rsidR="004C4B3B" w:rsidRPr="00C724E2">
        <w:rPr>
          <w:sz w:val="28"/>
          <w:szCs w:val="28"/>
        </w:rPr>
        <w:t xml:space="preserve">pārstāvniecība par to nekavējoties informē Konsulāro departamentu, kas: </w:t>
      </w:r>
    </w:p>
    <w:p w14:paraId="0E5856CF" w14:textId="61D8C8B3" w:rsidR="00DF0148" w:rsidRPr="00C724E2" w:rsidRDefault="00DF0148" w:rsidP="004C4B3B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lastRenderedPageBreak/>
        <w:t xml:space="preserve">sazinās ar nepārstāvēta dalībvalsts pilsoņa pilsonības valsts ārlietu </w:t>
      </w:r>
      <w:r w:rsidR="004C4B3B" w:rsidRPr="00C724E2">
        <w:rPr>
          <w:sz w:val="28"/>
          <w:szCs w:val="28"/>
        </w:rPr>
        <w:tab/>
        <w:t>d</w:t>
      </w:r>
      <w:r w:rsidRPr="00C724E2">
        <w:rPr>
          <w:sz w:val="28"/>
          <w:szCs w:val="28"/>
        </w:rPr>
        <w:t xml:space="preserve">ienestu un nodod visu pārstāvniecības rīcībā esošo informāciju par </w:t>
      </w:r>
      <w:r w:rsidR="004C4B3B" w:rsidRPr="00C724E2">
        <w:rPr>
          <w:sz w:val="28"/>
          <w:szCs w:val="28"/>
        </w:rPr>
        <w:tab/>
        <w:t>v</w:t>
      </w:r>
      <w:r w:rsidRPr="00C724E2">
        <w:rPr>
          <w:sz w:val="28"/>
          <w:szCs w:val="28"/>
        </w:rPr>
        <w:t>iņa identitāti</w:t>
      </w:r>
      <w:r w:rsidR="004C4B3B" w:rsidRPr="00C724E2">
        <w:rPr>
          <w:sz w:val="28"/>
          <w:szCs w:val="28"/>
        </w:rPr>
        <w:t xml:space="preserve">, ziņas par </w:t>
      </w:r>
      <w:r w:rsidRPr="00C724E2">
        <w:rPr>
          <w:sz w:val="28"/>
          <w:szCs w:val="28"/>
        </w:rPr>
        <w:t xml:space="preserve">pieejamās konsulārās palīdzības apjomu un </w:t>
      </w:r>
      <w:r w:rsidR="004C4B3B" w:rsidRPr="00C724E2">
        <w:rPr>
          <w:sz w:val="28"/>
          <w:szCs w:val="28"/>
        </w:rPr>
        <w:tab/>
        <w:t>i</w:t>
      </w:r>
      <w:r w:rsidRPr="00C724E2">
        <w:rPr>
          <w:sz w:val="28"/>
          <w:szCs w:val="28"/>
        </w:rPr>
        <w:t>zmaksām;</w:t>
      </w:r>
    </w:p>
    <w:p w14:paraId="6E06F70C" w14:textId="48B071BE" w:rsidR="00DF0148" w:rsidRPr="00C724E2" w:rsidRDefault="00DF0148" w:rsidP="00DF0148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 xml:space="preserve">pārliecinās, vai nepārstāvēta dalībvalsts pilsoņa pilsonības valsts </w:t>
      </w:r>
      <w:r w:rsidR="004C4B3B" w:rsidRPr="00C724E2">
        <w:rPr>
          <w:sz w:val="28"/>
          <w:szCs w:val="28"/>
        </w:rPr>
        <w:tab/>
        <w:t>nep</w:t>
      </w:r>
      <w:r w:rsidRPr="00C724E2">
        <w:rPr>
          <w:sz w:val="28"/>
          <w:szCs w:val="28"/>
        </w:rPr>
        <w:t>ārņem viņa konsulārās palīdzības lietu</w:t>
      </w:r>
      <w:r w:rsidR="00936781" w:rsidRPr="00C724E2">
        <w:rPr>
          <w:sz w:val="28"/>
          <w:szCs w:val="28"/>
        </w:rPr>
        <w:t xml:space="preserve">, un informē par to </w:t>
      </w:r>
      <w:r w:rsidR="00936781" w:rsidRPr="00C724E2">
        <w:rPr>
          <w:sz w:val="28"/>
          <w:szCs w:val="28"/>
        </w:rPr>
        <w:tab/>
        <w:t>pārstāvniecību paziņošanai nepārstāvētam dalībvalsts pilsonim</w:t>
      </w:r>
      <w:r w:rsidRPr="00C724E2">
        <w:rPr>
          <w:sz w:val="28"/>
          <w:szCs w:val="28"/>
        </w:rPr>
        <w:t>.</w:t>
      </w:r>
    </w:p>
    <w:p w14:paraId="1C407BE0" w14:textId="77777777" w:rsidR="00DF0148" w:rsidRPr="00C724E2" w:rsidRDefault="00DF0148" w:rsidP="00DF0148">
      <w:pPr>
        <w:pStyle w:val="ListParagraph"/>
        <w:ind w:left="792"/>
        <w:jc w:val="both"/>
        <w:rPr>
          <w:sz w:val="28"/>
          <w:szCs w:val="28"/>
        </w:rPr>
      </w:pPr>
    </w:p>
    <w:p w14:paraId="04136354" w14:textId="4C14CD0F" w:rsidR="00DF0148" w:rsidRPr="00C724E2" w:rsidRDefault="00DF0148" w:rsidP="00DF014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724E2">
        <w:rPr>
          <w:sz w:val="28"/>
          <w:szCs w:val="28"/>
        </w:rPr>
        <w:t xml:space="preserve">Ja nepārstāvēta pilsoņa pilsonības valsts nepārņem viņa konsulārās palīdzības lietu, konsulāro palīdzību viņam sniedz </w:t>
      </w:r>
      <w:r w:rsidR="004C4B3B" w:rsidRPr="00C724E2">
        <w:rPr>
          <w:sz w:val="28"/>
          <w:szCs w:val="28"/>
        </w:rPr>
        <w:t xml:space="preserve">10.punktā minētā </w:t>
      </w:r>
      <w:r w:rsidRPr="00C724E2">
        <w:rPr>
          <w:sz w:val="28"/>
          <w:szCs w:val="28"/>
        </w:rPr>
        <w:t>pārstāvniecība. Saziņu ar nepārstāvēta pilsoņa pilsonības valsti, tai skaitā, lai izprasītu konsulārās palīdzības sniegšanai nepieciešamo informāciju un atvieglotu viņa saziņu ar savas pilsonības valsti, veic Konsulārais departaments.</w:t>
      </w:r>
    </w:p>
    <w:p w14:paraId="1765E82F" w14:textId="77777777" w:rsidR="00E845EA" w:rsidRPr="00C724E2" w:rsidRDefault="00E845EA" w:rsidP="00E845EA">
      <w:pPr>
        <w:pStyle w:val="ListParagraph"/>
        <w:ind w:left="360"/>
        <w:jc w:val="both"/>
        <w:rPr>
          <w:sz w:val="28"/>
          <w:szCs w:val="28"/>
        </w:rPr>
      </w:pPr>
    </w:p>
    <w:p w14:paraId="48CA2DD9" w14:textId="3461026C" w:rsidR="009F6745" w:rsidRPr="00C724E2" w:rsidRDefault="009F6745" w:rsidP="009F6745">
      <w:pPr>
        <w:jc w:val="center"/>
        <w:rPr>
          <w:b/>
          <w:sz w:val="28"/>
          <w:szCs w:val="28"/>
        </w:rPr>
      </w:pPr>
      <w:r w:rsidRPr="00C724E2">
        <w:rPr>
          <w:b/>
          <w:sz w:val="28"/>
          <w:szCs w:val="28"/>
        </w:rPr>
        <w:t>Informatīva atsauce uz Eiropas Savienības direktīvu</w:t>
      </w:r>
    </w:p>
    <w:p w14:paraId="0F4DA83D" w14:textId="77777777" w:rsidR="009F6745" w:rsidRPr="00C724E2" w:rsidRDefault="009F6745" w:rsidP="009F6745">
      <w:pPr>
        <w:jc w:val="both"/>
        <w:rPr>
          <w:sz w:val="28"/>
          <w:szCs w:val="28"/>
        </w:rPr>
      </w:pPr>
    </w:p>
    <w:p w14:paraId="048E2B69" w14:textId="0F9654D3" w:rsidR="00594B49" w:rsidRDefault="009F6745" w:rsidP="009F6745">
      <w:pPr>
        <w:jc w:val="both"/>
        <w:rPr>
          <w:sz w:val="28"/>
          <w:szCs w:val="28"/>
        </w:rPr>
      </w:pPr>
      <w:r w:rsidRPr="00C724E2">
        <w:rPr>
          <w:sz w:val="28"/>
          <w:szCs w:val="28"/>
        </w:rPr>
        <w:t>Noteikumos iekļautas tiesību normas, kas izriet no Eiropas Padomes 2015.gada 20.aprīļa direktīvas (ES) 2015/637 par koordinācijas un sadarbības pasākumiem, ar ko veicina nepārstāvēto Savienības pilsoņu konsulāro aizsardzību trešās valstīs, un ar ko atceļ Lēmumu 95/553/EK.</w:t>
      </w:r>
    </w:p>
    <w:p w14:paraId="1540CDD0" w14:textId="72247003" w:rsidR="00C724E2" w:rsidRDefault="00C724E2" w:rsidP="009F6745">
      <w:pPr>
        <w:jc w:val="both"/>
        <w:rPr>
          <w:sz w:val="28"/>
          <w:szCs w:val="28"/>
        </w:rPr>
      </w:pPr>
    </w:p>
    <w:p w14:paraId="3B4DA015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2C031E32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0EAA3278" w14:textId="77777777" w:rsidR="00C724E2" w:rsidRPr="00C724E2" w:rsidRDefault="00C724E2" w:rsidP="00C724E2">
      <w:pPr>
        <w:jc w:val="both"/>
        <w:rPr>
          <w:sz w:val="28"/>
          <w:szCs w:val="28"/>
        </w:rPr>
      </w:pPr>
      <w:r w:rsidRPr="00C724E2">
        <w:rPr>
          <w:sz w:val="28"/>
          <w:szCs w:val="28"/>
        </w:rPr>
        <w:t xml:space="preserve">Ministru prezidents </w:t>
      </w:r>
      <w:r w:rsidRPr="00C724E2">
        <w:rPr>
          <w:sz w:val="28"/>
          <w:szCs w:val="28"/>
        </w:rPr>
        <w:tab/>
        <w:t>M.Kučinskis</w:t>
      </w:r>
    </w:p>
    <w:p w14:paraId="325ED1F4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7AA9457E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4ADBFA65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7421C5D6" w14:textId="77777777" w:rsidR="00C724E2" w:rsidRPr="00C724E2" w:rsidRDefault="00C724E2" w:rsidP="00C724E2">
      <w:pPr>
        <w:jc w:val="both"/>
        <w:rPr>
          <w:sz w:val="28"/>
          <w:szCs w:val="28"/>
        </w:rPr>
      </w:pPr>
      <w:r w:rsidRPr="00C724E2">
        <w:rPr>
          <w:sz w:val="28"/>
          <w:szCs w:val="28"/>
        </w:rPr>
        <w:t xml:space="preserve">Ārlietu ministrs </w:t>
      </w:r>
      <w:r w:rsidRPr="00C724E2">
        <w:rPr>
          <w:sz w:val="28"/>
          <w:szCs w:val="28"/>
        </w:rPr>
        <w:tab/>
        <w:t>E.Rinkēvičs</w:t>
      </w:r>
    </w:p>
    <w:p w14:paraId="4EAF9814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416A227D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1FB9EC7B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3AB1E0B5" w14:textId="77777777" w:rsidR="00C724E2" w:rsidRPr="00C724E2" w:rsidRDefault="00C724E2" w:rsidP="00C724E2">
      <w:pPr>
        <w:jc w:val="both"/>
        <w:rPr>
          <w:sz w:val="28"/>
          <w:szCs w:val="28"/>
        </w:rPr>
      </w:pPr>
      <w:r w:rsidRPr="00C724E2">
        <w:rPr>
          <w:sz w:val="28"/>
          <w:szCs w:val="28"/>
        </w:rPr>
        <w:t>Iesniedzējs:</w:t>
      </w:r>
    </w:p>
    <w:p w14:paraId="5506582B" w14:textId="77777777" w:rsidR="00C724E2" w:rsidRPr="00C724E2" w:rsidRDefault="00C724E2" w:rsidP="00C724E2">
      <w:pPr>
        <w:jc w:val="both"/>
        <w:rPr>
          <w:sz w:val="28"/>
          <w:szCs w:val="28"/>
        </w:rPr>
      </w:pPr>
      <w:r w:rsidRPr="00C724E2">
        <w:rPr>
          <w:sz w:val="28"/>
          <w:szCs w:val="28"/>
        </w:rPr>
        <w:t>Ārlietu ministrijas valsts sekretārs</w:t>
      </w:r>
      <w:r w:rsidRPr="00C724E2">
        <w:rPr>
          <w:sz w:val="28"/>
          <w:szCs w:val="28"/>
        </w:rPr>
        <w:tab/>
        <w:t xml:space="preserve"> A.Pildegovičs</w:t>
      </w:r>
    </w:p>
    <w:p w14:paraId="6F715058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6924414B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1F4C7E0C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548C4CBA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25686885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317E6DD7" w14:textId="77777777" w:rsidR="00C724E2" w:rsidRPr="00C724E2" w:rsidRDefault="00C724E2" w:rsidP="00C724E2">
      <w:pPr>
        <w:jc w:val="both"/>
        <w:rPr>
          <w:sz w:val="28"/>
          <w:szCs w:val="28"/>
        </w:rPr>
      </w:pPr>
    </w:p>
    <w:p w14:paraId="5A489B6F" w14:textId="77777777" w:rsidR="00C724E2" w:rsidRPr="00C724E2" w:rsidRDefault="00C724E2" w:rsidP="00C724E2">
      <w:pPr>
        <w:jc w:val="both"/>
        <w:rPr>
          <w:sz w:val="20"/>
          <w:szCs w:val="20"/>
        </w:rPr>
      </w:pPr>
    </w:p>
    <w:p w14:paraId="7AEA1FEB" w14:textId="488CA2E8" w:rsidR="00C724E2" w:rsidRPr="00C724E2" w:rsidRDefault="00C724E2" w:rsidP="00C724E2">
      <w:pPr>
        <w:jc w:val="both"/>
        <w:rPr>
          <w:sz w:val="20"/>
          <w:szCs w:val="20"/>
        </w:rPr>
      </w:pPr>
      <w:r w:rsidRPr="00C724E2">
        <w:rPr>
          <w:sz w:val="20"/>
          <w:szCs w:val="20"/>
        </w:rPr>
        <w:t>Dagnija Lāce-</w:t>
      </w:r>
      <w:proofErr w:type="spellStart"/>
      <w:r w:rsidRPr="00C724E2">
        <w:rPr>
          <w:sz w:val="20"/>
          <w:szCs w:val="20"/>
        </w:rPr>
        <w:t>Ate</w:t>
      </w:r>
      <w:proofErr w:type="spellEnd"/>
      <w:r w:rsidRPr="00C724E2">
        <w:rPr>
          <w:sz w:val="20"/>
          <w:szCs w:val="20"/>
        </w:rPr>
        <w:t>, 67016 160</w:t>
      </w:r>
    </w:p>
    <w:p w14:paraId="565268C2" w14:textId="2996F310" w:rsidR="00C724E2" w:rsidRPr="00C724E2" w:rsidRDefault="00C724E2" w:rsidP="00C724E2">
      <w:pPr>
        <w:jc w:val="both"/>
        <w:rPr>
          <w:sz w:val="20"/>
          <w:szCs w:val="20"/>
        </w:rPr>
      </w:pPr>
      <w:r w:rsidRPr="00C724E2">
        <w:rPr>
          <w:sz w:val="20"/>
          <w:szCs w:val="20"/>
        </w:rPr>
        <w:t>dagnija.lace-ate@mfa.gov.lv</w:t>
      </w:r>
    </w:p>
    <w:sectPr w:rsidR="00C724E2" w:rsidRPr="00C724E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9E4A" w14:textId="77777777" w:rsidR="002C1971" w:rsidRDefault="002C1971" w:rsidP="00333A41">
      <w:r>
        <w:separator/>
      </w:r>
    </w:p>
  </w:endnote>
  <w:endnote w:type="continuationSeparator" w:id="0">
    <w:p w14:paraId="006A8CF3" w14:textId="77777777" w:rsidR="002C1971" w:rsidRDefault="002C1971" w:rsidP="0033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8280C" w14:textId="46BF5604" w:rsidR="00C724E2" w:rsidRDefault="00C724E2">
    <w:pPr>
      <w:pStyle w:val="Footer"/>
    </w:pPr>
    <w:r>
      <w:t xml:space="preserve">MKnot_16052018_ES </w:t>
    </w:r>
    <w:proofErr w:type="spellStart"/>
    <w:r>
      <w:t>sadarbiba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B751" w14:textId="77777777" w:rsidR="002C1971" w:rsidRDefault="002C1971" w:rsidP="00333A41">
      <w:r>
        <w:separator/>
      </w:r>
    </w:p>
  </w:footnote>
  <w:footnote w:type="continuationSeparator" w:id="0">
    <w:p w14:paraId="1A74FFFF" w14:textId="77777777" w:rsidR="002C1971" w:rsidRDefault="002C1971" w:rsidP="0033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366D"/>
    <w:multiLevelType w:val="hybridMultilevel"/>
    <w:tmpl w:val="84A410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9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893C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2D2277"/>
    <w:multiLevelType w:val="hybridMultilevel"/>
    <w:tmpl w:val="B36602F4"/>
    <w:lvl w:ilvl="0" w:tplc="8C262402">
      <w:start w:val="7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BE"/>
    <w:rsid w:val="00021567"/>
    <w:rsid w:val="00054C95"/>
    <w:rsid w:val="000620BA"/>
    <w:rsid w:val="0006516F"/>
    <w:rsid w:val="00085C8B"/>
    <w:rsid w:val="000A170D"/>
    <w:rsid w:val="000F2E52"/>
    <w:rsid w:val="000F3656"/>
    <w:rsid w:val="000F4EC9"/>
    <w:rsid w:val="001243CA"/>
    <w:rsid w:val="00130F4F"/>
    <w:rsid w:val="00166DDA"/>
    <w:rsid w:val="0017161B"/>
    <w:rsid w:val="00173B56"/>
    <w:rsid w:val="00173FD3"/>
    <w:rsid w:val="001B6F63"/>
    <w:rsid w:val="0024686C"/>
    <w:rsid w:val="00277902"/>
    <w:rsid w:val="002A6BF1"/>
    <w:rsid w:val="002C1971"/>
    <w:rsid w:val="003002BB"/>
    <w:rsid w:val="003212A9"/>
    <w:rsid w:val="00333A41"/>
    <w:rsid w:val="003456EF"/>
    <w:rsid w:val="00375FBC"/>
    <w:rsid w:val="00397C86"/>
    <w:rsid w:val="003B3A93"/>
    <w:rsid w:val="003F634D"/>
    <w:rsid w:val="0040016C"/>
    <w:rsid w:val="004138BD"/>
    <w:rsid w:val="00426F8F"/>
    <w:rsid w:val="00440819"/>
    <w:rsid w:val="00475B1D"/>
    <w:rsid w:val="00487636"/>
    <w:rsid w:val="004A1CDD"/>
    <w:rsid w:val="004A2209"/>
    <w:rsid w:val="004C48FA"/>
    <w:rsid w:val="004C4B3B"/>
    <w:rsid w:val="004D6F36"/>
    <w:rsid w:val="004E3C21"/>
    <w:rsid w:val="00500285"/>
    <w:rsid w:val="005105EB"/>
    <w:rsid w:val="00521845"/>
    <w:rsid w:val="005770C9"/>
    <w:rsid w:val="00583688"/>
    <w:rsid w:val="00594B49"/>
    <w:rsid w:val="005A0ABE"/>
    <w:rsid w:val="005A5CF6"/>
    <w:rsid w:val="005F33CD"/>
    <w:rsid w:val="005F5E3C"/>
    <w:rsid w:val="006145A2"/>
    <w:rsid w:val="00622541"/>
    <w:rsid w:val="0062692E"/>
    <w:rsid w:val="006360E1"/>
    <w:rsid w:val="00644D1C"/>
    <w:rsid w:val="00656F97"/>
    <w:rsid w:val="00660662"/>
    <w:rsid w:val="00694320"/>
    <w:rsid w:val="006A480C"/>
    <w:rsid w:val="006C0063"/>
    <w:rsid w:val="006D394C"/>
    <w:rsid w:val="00714C8E"/>
    <w:rsid w:val="007255F6"/>
    <w:rsid w:val="0072578F"/>
    <w:rsid w:val="00764451"/>
    <w:rsid w:val="007758C9"/>
    <w:rsid w:val="007D65BD"/>
    <w:rsid w:val="007E42FB"/>
    <w:rsid w:val="008102AA"/>
    <w:rsid w:val="00816897"/>
    <w:rsid w:val="00817F51"/>
    <w:rsid w:val="00821CC2"/>
    <w:rsid w:val="00823404"/>
    <w:rsid w:val="008252B2"/>
    <w:rsid w:val="00843E1F"/>
    <w:rsid w:val="00845ECF"/>
    <w:rsid w:val="00855116"/>
    <w:rsid w:val="008F04BC"/>
    <w:rsid w:val="00901DC2"/>
    <w:rsid w:val="00907232"/>
    <w:rsid w:val="00936781"/>
    <w:rsid w:val="00937A86"/>
    <w:rsid w:val="0096439D"/>
    <w:rsid w:val="0099335A"/>
    <w:rsid w:val="009B6180"/>
    <w:rsid w:val="009B7D43"/>
    <w:rsid w:val="009E2BA3"/>
    <w:rsid w:val="009F6745"/>
    <w:rsid w:val="009F6BD7"/>
    <w:rsid w:val="00A05A63"/>
    <w:rsid w:val="00A12CD6"/>
    <w:rsid w:val="00A14E21"/>
    <w:rsid w:val="00A6422A"/>
    <w:rsid w:val="00AA3041"/>
    <w:rsid w:val="00AB34AC"/>
    <w:rsid w:val="00B00169"/>
    <w:rsid w:val="00B07D3C"/>
    <w:rsid w:val="00B15B09"/>
    <w:rsid w:val="00B33D0E"/>
    <w:rsid w:val="00B364DE"/>
    <w:rsid w:val="00B454E1"/>
    <w:rsid w:val="00B7481F"/>
    <w:rsid w:val="00B75C09"/>
    <w:rsid w:val="00B900D6"/>
    <w:rsid w:val="00BA4E5E"/>
    <w:rsid w:val="00BC4CB8"/>
    <w:rsid w:val="00BD1EED"/>
    <w:rsid w:val="00C169D7"/>
    <w:rsid w:val="00C242DE"/>
    <w:rsid w:val="00C47602"/>
    <w:rsid w:val="00C5224F"/>
    <w:rsid w:val="00C55830"/>
    <w:rsid w:val="00C704B3"/>
    <w:rsid w:val="00C724E2"/>
    <w:rsid w:val="00CA1AD6"/>
    <w:rsid w:val="00CB695E"/>
    <w:rsid w:val="00CC6B8D"/>
    <w:rsid w:val="00CD5D72"/>
    <w:rsid w:val="00D00B88"/>
    <w:rsid w:val="00D077F5"/>
    <w:rsid w:val="00D1316E"/>
    <w:rsid w:val="00D13D55"/>
    <w:rsid w:val="00D52C22"/>
    <w:rsid w:val="00D62BCE"/>
    <w:rsid w:val="00DB16C6"/>
    <w:rsid w:val="00DB2955"/>
    <w:rsid w:val="00DC25B6"/>
    <w:rsid w:val="00DC30A1"/>
    <w:rsid w:val="00DD23C9"/>
    <w:rsid w:val="00DD46D1"/>
    <w:rsid w:val="00DF0148"/>
    <w:rsid w:val="00DF42E6"/>
    <w:rsid w:val="00E140FA"/>
    <w:rsid w:val="00E350DD"/>
    <w:rsid w:val="00E845EA"/>
    <w:rsid w:val="00EA3F2C"/>
    <w:rsid w:val="00EB2ADA"/>
    <w:rsid w:val="00EB7A73"/>
    <w:rsid w:val="00ED32B7"/>
    <w:rsid w:val="00F135C0"/>
    <w:rsid w:val="00F84996"/>
    <w:rsid w:val="00F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BBF4"/>
  <w15:docId w15:val="{4D2CEAFF-ECFD-4DB2-AB2E-5E1E983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A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C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3A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41"/>
  </w:style>
  <w:style w:type="paragraph" w:styleId="Footer">
    <w:name w:val="footer"/>
    <w:basedOn w:val="Normal"/>
    <w:link w:val="FooterChar"/>
    <w:uiPriority w:val="99"/>
    <w:unhideWhenUsed/>
    <w:rsid w:val="00333A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296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1188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99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1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5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1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2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0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2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9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81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0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758B-1A32-48E6-AF2D-ADDC3F04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 Lace-Ate</dc:creator>
  <cp:lastModifiedBy>Jekaterina Borovika</cp:lastModifiedBy>
  <cp:revision>2</cp:revision>
  <cp:lastPrinted>2018-04-20T08:51:00Z</cp:lastPrinted>
  <dcterms:created xsi:type="dcterms:W3CDTF">2018-05-22T10:20:00Z</dcterms:created>
  <dcterms:modified xsi:type="dcterms:W3CDTF">2018-05-22T10:20:00Z</dcterms:modified>
</cp:coreProperties>
</file>