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tblCellSpacing w:w="0" w:type="dxa"/>
        <w:tblInd w:w="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374"/>
      </w:tblGrid>
      <w:tr w:rsidR="00EF56F7" w:rsidRPr="004F4970" w:rsidTr="00270531">
        <w:trPr>
          <w:tblCellSpacing w:w="0" w:type="dxa"/>
        </w:trPr>
        <w:tc>
          <w:tcPr>
            <w:tcW w:w="4801" w:type="pct"/>
            <w:shd w:val="clear" w:color="auto" w:fill="FFFFFF"/>
            <w:hideMark/>
          </w:tcPr>
          <w:p w:rsidR="00EF56F7" w:rsidRDefault="00EF56F7" w:rsidP="0096247B">
            <w:pPr>
              <w:keepNext/>
              <w:keepLines/>
              <w:spacing w:before="240" w:after="0" w:line="276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Hlk502739759"/>
            <w:r w:rsidRPr="004F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Ministru kabineta noteikumu projekta </w:t>
            </w:r>
            <w:r w:rsidRPr="004F49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“Transportlīdzekļu un to vadītāju valsts reģistra noteikumi” sākotnējās ietekmes novērtējuma ziņojums (anotācija)</w:t>
            </w:r>
            <w:r w:rsidRPr="004F4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  <w:p w:rsidR="00270531" w:rsidRPr="00270531" w:rsidRDefault="00270531" w:rsidP="0096247B">
            <w:pPr>
              <w:keepNext/>
              <w:keepLines/>
              <w:spacing w:before="240" w:after="0" w:line="276" w:lineRule="auto"/>
              <w:ind w:firstLine="72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9016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993"/>
              <w:gridCol w:w="60"/>
              <w:gridCol w:w="5384"/>
            </w:tblGrid>
            <w:tr w:rsidR="00EF56F7" w:rsidRPr="004F4970" w:rsidTr="0096247B"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bookmarkEnd w:id="0"/>
                <w:p w:rsidR="00EF56F7" w:rsidRPr="004F4970" w:rsidRDefault="00EF56F7" w:rsidP="0096247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Tiesību akta projekta anotācijas kopsavilkums</w:t>
                  </w:r>
                </w:p>
              </w:tc>
            </w:tr>
            <w:tr w:rsidR="00EF56F7" w:rsidRPr="004F4970" w:rsidTr="0096247B">
              <w:tc>
                <w:tcPr>
                  <w:tcW w:w="1981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:rsidR="00EF56F7" w:rsidRPr="004F4970" w:rsidRDefault="00EF56F7" w:rsidP="0096247B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Mērķis, risinājums un projekta spēkā stāšanās laiks</w:t>
                  </w:r>
                </w:p>
              </w:tc>
              <w:tc>
                <w:tcPr>
                  <w:tcW w:w="301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:rsidR="006F3AAE" w:rsidRPr="004F4970" w:rsidRDefault="005A2C38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Ministru kabineta noteikumu projekta “Transportlīdzekļu un to vadītāju reģistra noteikumi” (turpmāk – Noteikumi) 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mērķis</w:t>
                  </w:r>
                  <w:r w:rsidR="00EF3FD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AF739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ir </w:t>
                  </w:r>
                  <w:r w:rsidR="00EF3FDF"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nodrošināt </w:t>
                  </w:r>
                  <w:r w:rsidR="00EF3FD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vienotu </w:t>
                  </w:r>
                  <w:r w:rsidR="00EE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transportlīdzekļu un to vadītāju valsts reģistrā (turpmāk – </w:t>
                  </w:r>
                  <w:r w:rsidR="00EE7EFA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Reģistr</w:t>
                  </w:r>
                  <w:r w:rsidR="00EE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s)</w:t>
                  </w:r>
                  <w:r w:rsidR="00EE7EFA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F3FD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iekļaujamās informācijas uzskaiti</w:t>
                  </w:r>
                  <w:r w:rsidR="00EF3FDF"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noteikt kā šī informācija tiek aktualizēta, precizēt subjektus, kam informācija tiek izsniegta, precizēt kārtību, kādā informācija no Reģistra tiek izsniegta</w:t>
                  </w:r>
                  <w:r w:rsidR="00A344D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kā arī šīs informācijas glabāšanas termiņus un dzēšanas kārtību. </w:t>
                  </w:r>
                </w:p>
                <w:p w:rsidR="00D62E53" w:rsidRPr="004F4970" w:rsidRDefault="000717AB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Tiesību akta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projekts risinās problēmu, ka līdz šim</w:t>
                  </w:r>
                  <w:r w:rsidR="00D62E53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Reģistrā iekļaujamā informācija ir noteikta vairākos normatīvajos aktos un </w:t>
                  </w:r>
                  <w:r w:rsidR="0025445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nav vienota </w:t>
                  </w:r>
                  <w:r w:rsidR="00A475B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uzskaite par Reģistrā pieejamo informāciju</w:t>
                  </w:r>
                  <w:r w:rsidR="00216DD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tās glabāšanas termiņiem un dzēšanu</w:t>
                  </w:r>
                  <w:r w:rsidR="00A475B7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. </w:t>
                  </w:r>
                </w:p>
                <w:p w:rsidR="00EF56F7" w:rsidRPr="004F4970" w:rsidRDefault="00AF7397" w:rsidP="00A34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Tiesību akta projektam saskaņā ar Ceļu satiksmes likuma Pārejas noteikumu 39.punktu ir jāstājas spēkā 2018.gada 1.jūnijā</w:t>
                  </w:r>
                  <w:r w:rsidR="00EF56F7" w:rsidRPr="004F497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EF56F7" w:rsidRPr="004F4970" w:rsidTr="0096247B">
              <w:tblPrEx>
                <w:shd w:val="clear" w:color="auto" w:fill="auto"/>
              </w:tblPrEx>
              <w:tc>
                <w:tcPr>
                  <w:tcW w:w="50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I. Tiesību akta projekta izstrādes nepieciešamība</w:t>
                  </w:r>
                </w:p>
              </w:tc>
            </w:tr>
            <w:tr w:rsidR="00EF56F7" w:rsidRPr="004F4970" w:rsidTr="0096247B">
              <w:tblPrEx>
                <w:shd w:val="clear" w:color="auto" w:fill="auto"/>
              </w:tblPrEx>
              <w:tc>
                <w:tcPr>
                  <w:tcW w:w="32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69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Pamatojums</w:t>
                  </w:r>
                </w:p>
              </w:tc>
              <w:tc>
                <w:tcPr>
                  <w:tcW w:w="298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DB56B7" w:rsidP="00E62555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Ceļu satiksmes likuma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14¹.panta astotā daļa</w:t>
                  </w:r>
                  <w:r w:rsidR="002705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F56F7" w:rsidRPr="004F4970" w:rsidTr="0096247B">
              <w:tblPrEx>
                <w:shd w:val="clear" w:color="auto" w:fill="auto"/>
              </w:tblPrEx>
              <w:tc>
                <w:tcPr>
                  <w:tcW w:w="32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69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270531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Pašreizējā situācija un problēmas, kuru risināšanai tiesību akta projekts izstrādāts, tiesiskā regulējuma mērķis un būtība</w:t>
                  </w: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270531" w:rsidRPr="00270531" w:rsidRDefault="00270531" w:rsidP="002705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  <w:p w:rsidR="00EF56F7" w:rsidRPr="00270531" w:rsidRDefault="00EF56F7" w:rsidP="0027053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98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F01CF" w:rsidRDefault="00DB56B7" w:rsidP="009F01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Ar grozījumiem Ceļu satiksmes likum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(turpmāk – Likums)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(“LV”, 231 (6058), 2017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F01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gada 22.novembris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14¹.panta astotā daļa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izteikta jaunā redakcijā, un tajā ir ietverts deleģējums Ministru kabinetam noteikt </w:t>
                  </w:r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Reģistr</w:t>
                  </w:r>
                  <w:r w:rsidR="006448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iekļaujamo informāciju, tās glabāšanas termiņus un dzēšanas kārtību, kā arī kārtību, kādā </w:t>
                  </w:r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eģistrā esošā informācija nododama atklātībai, kā arī pieejamās informācijas apjomu.</w:t>
                  </w:r>
                  <w:r w:rsidR="00A05C3E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Pašlaik spēkā esošā Ceļu satiksmes likuma 14¹.panta astotā</w:t>
                  </w:r>
                  <w:r w:rsidR="00FD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A05C3E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daļa</w:t>
                  </w:r>
                  <w:r w:rsidR="00FD48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redakcija</w:t>
                  </w:r>
                  <w:r w:rsidR="00A05C3E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paredz deleģējumu Ministru kabinetam noteikt</w:t>
                  </w:r>
                  <w:r w:rsidR="00D74AF4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tikai</w:t>
                  </w:r>
                  <w:r w:rsidR="00A05C3E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kārtību, kādā Reģistrā esošā informācija pieprasāma un nododama atklātībai, kā a</w:t>
                  </w:r>
                  <w:r w:rsidR="00216D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rī pieejamās informācijas apjomus</w:t>
                  </w:r>
                  <w:r w:rsidR="00A05C3E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F01CF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Līdz ar to normatīvajos aktos nav noteikta vienota Reģistrā </w:t>
                  </w:r>
                  <w:r w:rsidR="009F01C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iekļaujamās informācijas uzskaite, kā arī šīs informācijas glabāšanas termiņi un dzēšanas kārtība. Pamatojoties uz šobrīd spēkā esošo Ceļu satiksmes likuma 14¹.panta astoto daļu</w:t>
                  </w:r>
                  <w:r w:rsidR="00A05C3E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F01C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ir izdoti </w:t>
                  </w:r>
                  <w:r w:rsidR="009F01CF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Ministru kabineta </w:t>
                  </w:r>
                  <w:r w:rsidR="009F01C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2014.gada 25.novembrī </w:t>
                  </w:r>
                  <w:r w:rsidR="009F01CF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noteikumi Nr.725</w:t>
                  </w:r>
                  <w:r w:rsidR="009F01CF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“</w:t>
                  </w:r>
                  <w:r w:rsidR="009F01CF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Transportlīdzekļu un to vadītāju valsts reģistrā un traktortehnikas un tās vadītāju informatīvajā sistēmā </w:t>
                  </w:r>
                  <w:r w:rsidR="009F01CF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esošās informācijas pieprasīšanas kārtība”</w:t>
                  </w:r>
                  <w:r w:rsidR="005B76B9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(turpmāk – Noteikumi Nr.725)</w:t>
                  </w:r>
                  <w:r w:rsidR="009F01CF"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:rsidR="00280C3A" w:rsidRPr="005B76B9" w:rsidRDefault="00280C3A" w:rsidP="00280C3A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Ņemot vērā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ka plānoto grozījumu ap</w:t>
                  </w:r>
                  <w:r w:rsidR="00216D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joms Noteikumos Nr.725 pārsniedz</w:t>
                  </w:r>
                  <w:r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pusi no spēkā esošo normu apjoma, saskaņā ar </w:t>
                  </w:r>
                  <w:r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Ministru kabineta </w:t>
                  </w:r>
                  <w:r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2009.gada 3.februāra </w:t>
                  </w:r>
                  <w:r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noteikum</w:t>
                  </w:r>
                  <w:r w:rsidR="00216D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Nr.108</w:t>
                  </w:r>
                  <w:r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“</w:t>
                  </w:r>
                  <w:r w:rsidRPr="005B76B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Normatīvo aktu projektu sagatavošanas noteikumi” </w:t>
                  </w:r>
                  <w:r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140.punktu sagatavojams jauns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Ministru kabineta noteikumu </w:t>
                  </w:r>
                  <w:r w:rsidRPr="005B76B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projekts. </w:t>
                  </w:r>
                </w:p>
                <w:p w:rsidR="00652CB7" w:rsidRPr="00677FD6" w:rsidRDefault="00464DAF" w:rsidP="00677FD6">
                  <w:pPr>
                    <w:shd w:val="clear" w:color="auto" w:fill="FFFFFF"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Saskaņā ar </w:t>
                  </w:r>
                  <w:r w:rsidR="007E5E19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Likuma 4.panta piekt</w:t>
                  </w:r>
                  <w:r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7E5E19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daļ</w:t>
                  </w:r>
                  <w:r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7E5E19" w:rsidRPr="005B76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CSDD </w:t>
                  </w:r>
                  <w:r w:rsidR="007E5E19" w:rsidRPr="005B76B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nodrošina un uztur </w:t>
                  </w:r>
                  <w:r w:rsidR="00612042" w:rsidRPr="005B76B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</w:t>
                  </w:r>
                  <w:r w:rsidR="007E5E19" w:rsidRPr="005B76B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eģistru,  kā arī</w:t>
                  </w:r>
                  <w:r w:rsidR="007E5E19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veic citas ar ceļu satiksmes drošību saistītas darbības atbilstoši savai kompetencei.</w:t>
                  </w:r>
                  <w:r w:rsidR="00677FD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Reģistrs ir iekļauts valsts informācijas sistēmā un tā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pārzinis ir CSDD. R</w:t>
                  </w:r>
                  <w:r w:rsidR="007E5E19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eģistr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a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izveidošanas un uzturēšanas mērķis ir automatizēt transportlīdzekļu </w:t>
                  </w:r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proofErr w:type="spellStart"/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mazizmēra</w:t>
                  </w:r>
                  <w:proofErr w:type="spellEnd"/>
                  <w:r w:rsidR="00612042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kuģošanas līdzekļu 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reģistrācijas, </w:t>
                  </w:r>
                  <w:r w:rsidR="005F2C5C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transportlīdzekļu un atpūtas kuģu vadītāju uzskaites, 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transportlīdzekļu tirdzniecības, nolietotu transportlīdzekļu apstrādes, transportlīdzekļu tehniskā stāvokļa kontroles tehniskās apskates ietvaros </w:t>
                  </w:r>
                  <w:r w:rsidR="005F2C5C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u.c. 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procesus, nodrošinot vienotu elektronisku informācijas 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radīšanu, apkopošanu, uzkrāšanu, 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apstrād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āšanu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izmantošanu</w:t>
                  </w:r>
                  <w:r w:rsidR="00420DFA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6247B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</w:t>
                  </w:r>
                  <w:r w:rsidR="00CB0A43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0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420DFA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labāšanu</w:t>
                  </w:r>
                  <w:r w:rsidR="00420D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7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Ņemot vērā </w:t>
                  </w:r>
                  <w:r w:rsidR="006E14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Reģistr</w:t>
                  </w:r>
                  <w:r w:rsidR="0067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izveidošanas mērķi un tā struktūru, uz Reģistru būtu attiecināmi 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Ministru kabineta 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2010.gada 1.jūnij</w:t>
                  </w:r>
                  <w:r w:rsidR="00EF69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noteikum</w:t>
                  </w:r>
                  <w:r w:rsidR="00677F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Nr.496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“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Kritiskās infrastruktūras, tajā skaitā Eiropas kritiskās infrastruktūras, apzināšanas un drošības pasākumu plānošanas un īstenošanas kārtība”</w:t>
                  </w:r>
                  <w:r w:rsidR="0067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un 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Ministru kabineta 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2011.gada 1.februār</w:t>
                  </w:r>
                  <w:r w:rsidR="00EA42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noteikum</w:t>
                  </w:r>
                  <w:r w:rsidR="00677F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Nr.100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“</w:t>
                  </w:r>
                  <w:r w:rsidR="00677FD6" w:rsidRPr="003C18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Informācijas tehnoloģiju kritiskās infrastruktūras drošības pasākumu plānošanas un īstenošanas kārtība”</w:t>
                  </w:r>
                  <w:r w:rsidR="00677FD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nosacījumi.</w:t>
                  </w:r>
                  <w:r w:rsidR="0067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D67B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Papildus </w:t>
                  </w:r>
                  <w:r w:rsidR="00D67B65" w:rsidRPr="00A14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CSDD ir starptautiskas saistības attiecībā uz Reģistra darbību</w:t>
                  </w:r>
                  <w:r w:rsidR="00121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67B65" w:rsidRPr="00A14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1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</w:t>
                  </w:r>
                  <w:r w:rsidR="00A140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ai Iekšlietu ministrijas Informācijas centrs spētu nodrošināt </w:t>
                  </w:r>
                  <w:r w:rsidR="00A1408B" w:rsidRPr="00CD29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Ministru kabineta </w:t>
                  </w:r>
                  <w:r w:rsidR="00A1408B" w:rsidRPr="00CD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201</w:t>
                  </w:r>
                  <w:r w:rsidR="00A1408B" w:rsidRPr="00A140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0.gada 21.aprīļa</w:t>
                  </w:r>
                  <w:r w:rsidR="00A1408B" w:rsidRPr="00CD29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A140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rīkojuma</w:t>
                  </w:r>
                  <w:r w:rsidR="00A1408B" w:rsidRPr="00CD29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Nr.227</w:t>
                  </w:r>
                  <w:r w:rsidR="00A1408B" w:rsidRPr="00A140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“</w:t>
                  </w:r>
                  <w:r w:rsidR="00A1408B" w:rsidRPr="00CD29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Par Eiropas Savienības Padomes Lēmumā </w:t>
                  </w:r>
                  <w:hyperlink r:id="rId7" w:tgtFrame="_blank" w:history="1">
                    <w:r w:rsidR="00A1408B" w:rsidRPr="00A1408B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u w:val="single"/>
                        <w:lang w:eastAsia="lv-LV"/>
                      </w:rPr>
                      <w:t>2008/615/</w:t>
                    </w:r>
                  </w:hyperlink>
                  <w:r w:rsidR="00A1408B" w:rsidRPr="00CD29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TI (2008.gada 23.jūnijs) par pārrobežu sadarbības pastiprināšanu, jo īpaši apkarojot terorismu un pārrobežu noziedzību, paredzēto kontaktpunktu noteikšanu</w:t>
                  </w:r>
                  <w:r w:rsidR="00A1408B" w:rsidRPr="00A140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”</w:t>
                  </w:r>
                  <w:r w:rsidR="00A140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 1.punktā noteikto kontaktpunkta funkciju veikšanu, </w:t>
                  </w:r>
                  <w:r w:rsidR="001211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 xml:space="preserve">tam ir jāizmanto Reģistrā iekļautā informācija, no kuras tiek saņemti dati par Eiropas Savienības dalībvalstīs reģistrētajiem transportlīdzekļiem un to īpašniekiem/turētājiem. Starptautisku saistību īstenošanu CSDD </w:t>
                  </w:r>
                  <w:r w:rsidR="00652CB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uzliek arī likuma “</w:t>
                  </w:r>
                  <w:r w:rsidR="00652CB7" w:rsidRPr="007C628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Par Līgumu par Eiropas transportlīdzekļu un vadītāja apliecību informācijas sistēmu (EUCARIS)</w:t>
                  </w:r>
                  <w:r w:rsidR="00652CB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” regulējums, kas nosaka, ka attiecīgā līguma Latvijas </w:t>
                  </w:r>
                  <w:r w:rsidR="00652CB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>Republikā centrālā reģistrācijas institūcija ir CSDD. Centrālās reģistrācijas institūcijas Eiropā, tai skaitā CSDD, izveido un uztur vienotu sistēmu transportlīdzekļu un to vadītāju apliecību datu apmaiņai, kas pazīstama kā EUCARIS.</w:t>
                  </w:r>
                </w:p>
                <w:p w:rsidR="00464DAF" w:rsidRPr="004F4970" w:rsidRDefault="00464DAF" w:rsidP="00652CB7">
                  <w:pPr>
                    <w:shd w:val="clear" w:color="auto" w:fill="FFFFFF"/>
                    <w:spacing w:before="100" w:beforeAutospacing="1" w:after="100" w:afterAutospacing="1" w:line="293" w:lineRule="atLeast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Šobrīd Reģistrā iekļaujamā informācija ir noteikta </w:t>
                  </w:r>
                  <w:r w:rsidR="0033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daudzos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normatīvajos aktos</w:t>
                  </w:r>
                  <w:r w:rsidR="00335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piemēram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:</w:t>
                  </w:r>
                </w:p>
                <w:p w:rsidR="007E638C" w:rsidRPr="004F4970" w:rsidRDefault="00787DAF" w:rsidP="007E638C">
                  <w:pPr>
                    <w:pStyle w:val="tv21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93" w:lineRule="atLeast"/>
                    <w:ind w:left="437"/>
                    <w:jc w:val="both"/>
                  </w:pPr>
                  <w:r w:rsidRPr="004F4970">
                    <w:t xml:space="preserve">Jūras kodekss nosaka, ka Reģistrā iekļaujama informācija </w:t>
                  </w:r>
                  <w:r w:rsidR="000954C4" w:rsidRPr="004F4970">
                    <w:t xml:space="preserve">par </w:t>
                  </w:r>
                  <w:r w:rsidRPr="004F4970">
                    <w:t>kuģošanas līdzekļiem, kuru maksimālais garums ir mazāks par 12metriem, izņemot kuģus, kurus izmanto komercdarbībai jūrā un ostās, un atpūtas kuģus: ūdenssportam un atpūtai paredzētus kuģošanas līdzekļus (arī ūdens motociklus), kuru maksimālais garums ir mazāks par 12 metriem, izņemot jahtas;</w:t>
                  </w:r>
                  <w:r w:rsidR="000954C4" w:rsidRPr="004F4970">
                    <w:t xml:space="preserve"> </w:t>
                  </w:r>
                </w:p>
                <w:p w:rsidR="001419CA" w:rsidRPr="004F4970" w:rsidRDefault="000954C4" w:rsidP="001419CA">
                  <w:pPr>
                    <w:pStyle w:val="tv21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93" w:lineRule="atLeast"/>
                    <w:ind w:left="437"/>
                    <w:jc w:val="both"/>
                  </w:pPr>
                  <w:r w:rsidRPr="004F4970">
                    <w:rPr>
                      <w:bCs/>
                    </w:rPr>
                    <w:t xml:space="preserve">Ministru kabineta </w:t>
                  </w:r>
                  <w:r w:rsidRPr="004F4970">
                    <w:t xml:space="preserve">2010.gada 30.novembra </w:t>
                  </w:r>
                  <w:r w:rsidRPr="004F4970">
                    <w:rPr>
                      <w:bCs/>
                    </w:rPr>
                    <w:t>noteikumi Nr.1080</w:t>
                  </w:r>
                  <w:r w:rsidRPr="004F4970">
                    <w:t> “</w:t>
                  </w:r>
                  <w:r w:rsidRPr="004F4970">
                    <w:rPr>
                      <w:bCs/>
                    </w:rPr>
                    <w:t>Transportlīdzekļu reģistrācijas noteikumi”</w:t>
                  </w:r>
                  <w:r w:rsidR="007E638C" w:rsidRPr="004F4970">
                    <w:rPr>
                      <w:bCs/>
                    </w:rPr>
                    <w:t xml:space="preserve"> nosaka Reģistrā iekļaujamo informāciju par </w:t>
                  </w:r>
                  <w:r w:rsidR="007E638C" w:rsidRPr="004F4970">
                    <w:t xml:space="preserve">mehānisko transportlīdzekli, tā piekabi (puspiekabi), mopēdu un velosipēdu, un to numurētajiem agregātiem, un </w:t>
                  </w:r>
                  <w:proofErr w:type="spellStart"/>
                  <w:r w:rsidR="007E638C" w:rsidRPr="004F4970">
                    <w:t>mazizmēra</w:t>
                  </w:r>
                  <w:proofErr w:type="spellEnd"/>
                  <w:r w:rsidR="007E638C" w:rsidRPr="004F4970">
                    <w:t xml:space="preserve"> kuģošanas līdzekli un tā motoru</w:t>
                  </w:r>
                  <w:r w:rsidR="00010439" w:rsidRPr="004F4970">
                    <w:t>, kā arī to īpašnieku, valdītāju, turētāju un šo personu pārstāvjiem, kas veic darbības CSDD</w:t>
                  </w:r>
                  <w:r w:rsidR="007E638C" w:rsidRPr="004F4970">
                    <w:t>;</w:t>
                  </w:r>
                </w:p>
                <w:p w:rsidR="001419CA" w:rsidRPr="004F4970" w:rsidRDefault="001419CA" w:rsidP="001419CA">
                  <w:pPr>
                    <w:pStyle w:val="tv21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 w:line="293" w:lineRule="atLeast"/>
                    <w:ind w:left="437"/>
                    <w:jc w:val="both"/>
                  </w:pPr>
                  <w:r w:rsidRPr="004F4970">
                    <w:rPr>
                      <w:bCs/>
                    </w:rPr>
                    <w:t xml:space="preserve">Ministru kabineta </w:t>
                  </w:r>
                  <w:r w:rsidRPr="004F4970">
                    <w:t xml:space="preserve">2010.gada 2.februāra </w:t>
                  </w:r>
                  <w:r w:rsidRPr="004F4970">
                    <w:rPr>
                      <w:bCs/>
                    </w:rPr>
                    <w:t>noteikumi Nr.103</w:t>
                  </w:r>
                  <w:r w:rsidRPr="004F4970">
                    <w:t> </w:t>
                  </w:r>
                  <w:r w:rsidRPr="004F4970">
                    <w:rPr>
                      <w:bCs/>
                    </w:rPr>
                    <w:t>“Transportlīdzekļu vadītāja tiesību iegūšanas un atjaunošanas kārtība un vadītāja apliecības izsniegšanas, apmaiņas, atjaunošanas un iznīcināšanas kārtība” nosaka Reģistrā iekļaujam</w:t>
                  </w:r>
                  <w:r w:rsidR="00240A87" w:rsidRPr="004F4970">
                    <w:rPr>
                      <w:bCs/>
                    </w:rPr>
                    <w:t>o</w:t>
                  </w:r>
                  <w:r w:rsidRPr="004F4970">
                    <w:rPr>
                      <w:bCs/>
                    </w:rPr>
                    <w:t xml:space="preserve"> informācij</w:t>
                  </w:r>
                  <w:r w:rsidR="00240A87" w:rsidRPr="004F4970">
                    <w:rPr>
                      <w:bCs/>
                    </w:rPr>
                    <w:t>u</w:t>
                  </w:r>
                  <w:r w:rsidRPr="004F4970">
                    <w:rPr>
                      <w:bCs/>
                    </w:rPr>
                    <w:t xml:space="preserve"> par </w:t>
                  </w:r>
                  <w:r w:rsidRPr="004F4970">
                    <w:rPr>
                      <w:shd w:val="clear" w:color="auto" w:fill="FFFFFF"/>
                    </w:rPr>
                    <w:t>personas apmācību transportlīdzekļa vai atpūtas kuģu vadīšanas tiesību iegūšanai un ar to saistītajiem dokumentiem;</w:t>
                  </w:r>
                </w:p>
                <w:p w:rsidR="00010439" w:rsidRPr="004F4970" w:rsidRDefault="00010439" w:rsidP="009B551C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after="0" w:line="293" w:lineRule="atLeast"/>
                    <w:ind w:left="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Ministru kabineta 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2011.gada 6.decembra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noteikumi Nr.940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 “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Noteikumi par veselības pārbaudēm transportlīdzekļu vadītājiem un personām, kuras vēlas iegūt transportlīdzekļu vadītāju kvalifikāciju, kā arī par pirmstermiņa veselības pārbaudes izdevumu segšanas kārtību” nosaka Reģistrā iekļaujam</w:t>
                  </w:r>
                  <w:r w:rsidR="00240A87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o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informācij</w:t>
                  </w:r>
                  <w:r w:rsidR="00240A87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u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par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ārsta vai ārstu komisijas atzinumu par transportlīdzekļa vai atpūtas kuģa vadītāja vai pretendenta pirmreizējo vai kārtējo veselības pārbaudi;</w:t>
                  </w:r>
                </w:p>
                <w:p w:rsidR="004A1BF3" w:rsidRPr="004F4970" w:rsidRDefault="00464DAF" w:rsidP="004A1BF3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ind w:left="4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lastRenderedPageBreak/>
                    <w:t xml:space="preserve">Ministru kabineta 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2017.gada 30.maijā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noteikumi Nr. 295 “Noteikumi par transportlīdzekļu valsts tehnisko apskati un tehnisko kontroli uz ceļa” nosaka </w:t>
                  </w:r>
                  <w:r w:rsidR="004A1BF3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Reģistrā iekļaujam</w:t>
                  </w:r>
                  <w:r w:rsidR="00240A87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o</w:t>
                  </w:r>
                  <w:r w:rsidR="004A1BF3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informācij</w:t>
                  </w:r>
                  <w:r w:rsidR="00240A87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u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par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transportlīdzekļa valsts tehnisko apskati un tajā fiksētajiem lielumiem un defektiem, transportlīdzekļa tehnisko kontroli uz ceļa, kā arī ar tām saistītās atļaujas piedalīties ceļu satiksmē derīguma termiņu un šīs atļaujas anulēšanu</w:t>
                  </w:r>
                  <w:r w:rsidR="004A1BF3" w:rsidRPr="004F4970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;</w:t>
                  </w:r>
                  <w:bookmarkStart w:id="1" w:name="n0"/>
                  <w:bookmarkEnd w:id="1"/>
                </w:p>
                <w:p w:rsidR="00FD4824" w:rsidRDefault="004A1BF3" w:rsidP="00FB2B1C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/>
                    <w:spacing w:line="240" w:lineRule="auto"/>
                    <w:ind w:left="437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Ministru kabineta 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2016.gada 22.novembra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noteikumi Nr. 738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 “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Noteikumi par caurlaidēm, kas dod tiesības transportlīdzekļu vadītājiem darba uzdevumu pildīšanas laikā neievērot atsevišķas ceļu satiksmes noteikumu prasības” nosaka</w:t>
                  </w:r>
                  <w:r w:rsidR="00FD48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r w:rsidR="00FD4824"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Reģistrā </w:t>
                  </w:r>
                  <w:r w:rsidR="00FD482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>iekļaujamo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lv-LV" w:eastAsia="lv-LV"/>
                    </w:rPr>
                    <w:t xml:space="preserve"> informācija par </w:t>
                  </w:r>
                  <w:r w:rsidRPr="004F497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lv-LV"/>
                    </w:rPr>
                    <w:t>caurlaidēm, kas dod tiesības transportlīdzekļa vadītājam darba uzdevumu pildīšanas laikā neievērot atsevišķas ceļu satiksmes noteikumu prasības”</w:t>
                  </w:r>
                  <w:r w:rsidR="00280C3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lv-LV"/>
                    </w:rPr>
                    <w:t>,</w:t>
                  </w:r>
                  <w:r w:rsidR="00804B63" w:rsidRPr="004F497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</w:t>
                  </w:r>
                  <w:r w:rsidR="00335CC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  <w:lang w:val="lv-LV"/>
                    </w:rPr>
                    <w:t>u.c.</w:t>
                  </w:r>
                </w:p>
                <w:p w:rsidR="00335CCB" w:rsidRDefault="00335CCB" w:rsidP="002544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Attiecīgi Noteikumu 3.punktā ir uzskaitīta </w:t>
                  </w:r>
                  <w:r w:rsidRPr="00BA0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Reģistrā iekļauj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amā, glabājamā</w:t>
                  </w:r>
                  <w:r w:rsidRPr="00BA0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un aktualizē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jamā</w:t>
                  </w:r>
                  <w:r w:rsidRPr="00BA0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informāciju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04B63" w:rsidRPr="009F01CF" w:rsidRDefault="005B76B9" w:rsidP="002544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Noteikum</w:t>
                  </w:r>
                  <w:r w:rsidR="002544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537F1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4., 5., 6. un 7.punkts </w:t>
                  </w:r>
                  <w:r w:rsidR="002544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paredz</w:t>
                  </w:r>
                  <w:r w:rsidR="009537F1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804B63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Reģistrā iekļaujamās informācijas apjomu par fizisku personu:</w:t>
                  </w:r>
                </w:p>
                <w:p w:rsidR="00804B63" w:rsidRPr="004F4970" w:rsidRDefault="00804B63" w:rsidP="00804B6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transportlī</w:t>
                  </w:r>
                  <w:r w:rsidR="00FD4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dzekļa un atpūtas kuģa vadītāju;</w:t>
                  </w:r>
                </w:p>
                <w:p w:rsidR="00804B63" w:rsidRPr="004F4970" w:rsidRDefault="00804B63" w:rsidP="00804B6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transportlīdzekļa un kuģošanas līdzekļa</w:t>
                  </w:r>
                  <w:r w:rsidR="00FD48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 īpašnieku, valdītāju, turētāju;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 </w:t>
                  </w:r>
                </w:p>
                <w:p w:rsidR="00804B63" w:rsidRPr="004F4970" w:rsidRDefault="00FD4824" w:rsidP="00804B6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par personu, </w:t>
                  </w:r>
                  <w:r w:rsidR="00804B63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kura veic darbības ar transportlīdze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kli vai kuģošanas līdzekli CSDD;</w:t>
                  </w:r>
                  <w:r w:rsidR="00804B63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 </w:t>
                  </w:r>
                </w:p>
                <w:p w:rsidR="009537F1" w:rsidRPr="004F4970" w:rsidRDefault="00FD4824" w:rsidP="00804B6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3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 xml:space="preserve">par peronu, </w:t>
                  </w:r>
                  <w:r w:rsidR="00804B63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 w:eastAsia="lv-LV"/>
                    </w:rPr>
                    <w:t>kura CSDD ir piešķīrusi piekļuvi Reģistra informācijai uz savstarpēji noslēgtas vienošanās pamata.</w:t>
                  </w:r>
                </w:p>
                <w:p w:rsidR="00EF56F7" w:rsidRPr="00073B75" w:rsidRDefault="00A96FF9" w:rsidP="00194ECB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Noteikumu</w:t>
                  </w:r>
                  <w:r w:rsidR="009B551C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9.punkts paredz, ka </w:t>
                  </w:r>
                  <w:r w:rsidR="004F4970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deleģētās funkcijas veikšanai CSDD Reģistrā var iekļaut citu informāciju, ja tā nepieciešama </w:t>
                  </w:r>
                  <w:r w:rsidR="004F4970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procesu</w:t>
                  </w:r>
                  <w:r w:rsidR="004F4970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pilnīgākai atspoguļošanai un sistēmas attiecīgas funkcionalitātes nodrošināšanai, un tā atbilst </w:t>
                  </w:r>
                  <w:r w:rsidR="004F4970"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 aizsardzības regulējuma prasībām</w:t>
                  </w:r>
                  <w:r w:rsidR="004F4970" w:rsidRPr="004F497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Taču tas, ka Noteikumos ir ietverts minimālais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ā iekļaujamās informācijas apjoms un paredzēts, ka noteiktos gadījumos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Reģistrā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var iekļaut arī informāciju, kas nav minēta Noteikumu </w:t>
                  </w:r>
                  <w:proofErr w:type="spellStart"/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r w:rsidR="006E7B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nodaļā</w:t>
                  </w:r>
                  <w:proofErr w:type="spellEnd"/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nenozīmē, ka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</w:t>
                  </w:r>
                  <w:r w:rsidR="006E7B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pārzinis ir tiesīgs veikt jebkādu fizisko personu datu apstrādi.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pārzinim kā jebkuram citam tiesību subjektam ir saistošs Fizisko personu datu aizsardzības likums</w:t>
                  </w:r>
                  <w:r w:rsidR="003239C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</w:t>
                  </w:r>
                  <w:r w:rsidR="003239C6" w:rsidRPr="003050D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Eiropas Parlamenta un Padomes Regula (ES) 2016/679 (2016.gada 27. aprīlis) par fizisku personu aizsardzību attiecībā uz personas datu apstrādi un šādu datu brīvu apriti un ar ko </w:t>
                  </w:r>
                  <w:r w:rsidR="003239C6" w:rsidRPr="003050DC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lastRenderedPageBreak/>
                    <w:t>atceļ Direktīvu 95/46/EK (Vispārīgā datu aizsardzības regula)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Tas nozīmē, ka gadījumā, ja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pārzinim būs nepieciešams apstrādāt lielāku datu apjomu, nekā tas paredzēts </w:t>
                  </w:r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</w:t>
                  </w:r>
                  <w:r w:rsidR="0036481A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teikumu </w:t>
                  </w:r>
                  <w:proofErr w:type="spellStart"/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r w:rsidR="006E7B6E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nodaļā</w:t>
                  </w:r>
                  <w:proofErr w:type="spellEnd"/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tam jebkurā gadījumā būs jāievēro fizisko personu datu apstrādes prasības, kuras paredz</w:t>
                  </w:r>
                  <w:r w:rsidR="00194ECB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94ECB" w:rsidRP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Fizisko personu datu aizsardzības likum</w:t>
                  </w:r>
                  <w:r w:rsid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94ECB" w:rsidRP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vai jebkur</w:t>
                  </w:r>
                  <w:r w:rsid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="00194ECB" w:rsidRP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cit</w:t>
                  </w:r>
                  <w:r w:rsid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="00194ECB" w:rsidRP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spēkā esošā</w:t>
                  </w:r>
                  <w:r w:rsid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194ECB" w:rsidRP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datu aizsardzības regulējuma prasīb</w:t>
                  </w:r>
                  <w:r w:rsidR="00194E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36481A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pārzinis datu apstrādē ir saistīts ar </w:t>
                  </w:r>
                  <w:r w:rsidR="0036481A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izveidošanas un izmantošanas mērķi un tas jāskata kopsakarā ar Valsts informācijas sistēmu likuma 5.panta pirmās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daļas 3.punktu un Fizisko personu datu aizsardzības likuma 10.</w:t>
                  </w:r>
                  <w:r w:rsidR="00194E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panta pirmās daļas 2.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punktu.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pārzinis ir identificējis fizisko personu datus, kuru apstrāde ir nepieciešama un šie dati ir uzskaitīti Noteikumos. Ja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pārzinim būs nepieciešams apstrādāt vēl citus fizisko personu datus, </w:t>
                  </w:r>
                  <w:r w:rsidR="003648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pārzinis tos identificēs datu apstrādes nepieciešamības brīdī (datu apstrādes nepieciešamība ir atkarīga no normatīvajos aktos ietvertā regulējuma </w:t>
                  </w:r>
                  <w:r w:rsidR="004F4970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 </w:t>
                  </w:r>
                  <w:r w:rsidR="0036481A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Reģistra</w:t>
                  </w:r>
                  <w:r w:rsidR="004F4970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funkcionalitātes).</w:t>
                  </w:r>
                </w:p>
                <w:p w:rsidR="00EF69B4" w:rsidRPr="0021373D" w:rsidRDefault="00EF69B4" w:rsidP="00073B7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Noteikumu 15.punktā ir uzskaitīti tie personas datu saņēmēji, kuri var iegūt ierobežotas pieejamības  i</w:t>
                  </w:r>
                  <w:r w:rsidRPr="00B65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nformācij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Pr="00B65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 fiziskajai personai piederošu, turējumā vai valdījumā esošu transportlīdzekli vai kuģošanas līdzekli, ja tiek identificēti personas dati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Papildus šobrīd spēkā esošajos Noteikumos Nr.725 noteiktajam, </w:t>
                  </w:r>
                  <w:r w:rsid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 w:rsidR="008025CB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oteikumi ir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papildināti ar jauniem personas datu saņēmējiem</w:t>
                  </w:r>
                  <w:r w:rsidR="008025CB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proti, Noteikumu 15.2.apakšpunkts nosaka, ka ierobežotas pieejamības informāciju no Reģistra ir tiesības iegūt institūcijām, kam deleģētas valsts vai pašvaldības iestāžu funkcijas.</w:t>
                  </w:r>
                  <w:r w:rsidR="00073B75"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21C4" w:rsidRPr="00E95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Šādai personas datu apstrādei tiesiskais pamats ir </w:t>
                  </w:r>
                  <w:r w:rsidR="00C940EA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Fizisko personu datu aizsardzības likuma </w:t>
                  </w:r>
                  <w:r w:rsidR="00C121C4" w:rsidRPr="00E95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7.panta 5.punkts</w:t>
                  </w:r>
                  <w:r w:rsidR="00C94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kas nosaka, ka</w:t>
                  </w:r>
                  <w:r w:rsidR="00C121C4" w:rsidRPr="00E95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personas datu apstrāde ir atļauta, ja datu apstrāde nepieciešama, lai </w:t>
                  </w:r>
                  <w:r w:rsidR="00C121C4" w:rsidRPr="00213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nodrošinātu sabiedrības interešu ievērošanu vai realizētu publiskās varas uzdevumus, kuru veikšanai personas dati ir nodoti pārzinim vai pārraidīti trešajai personai.</w:t>
                  </w:r>
                  <w:r w:rsidR="0021373D" w:rsidRPr="00213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Ņemot vērā to, ka publiskās varas uzdevumus </w:t>
                  </w:r>
                  <w:r w:rsidR="002137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p</w:t>
                  </w:r>
                  <w:r w:rsidR="0021373D" w:rsidRPr="002137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ubliska persona var deleģēt privātpersonai un citai publiskai personai, ja pilnvarotā persona attiecīgo uzdevumu var veikt efektīvāk</w:t>
                  </w:r>
                  <w:r w:rsidR="002137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ievērojot funkciju deleģēšanas kā pilnvarojuma būtību, uzskatāms,</w:t>
                  </w:r>
                  <w:r w:rsidR="0021373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</w:t>
                  </w:r>
                  <w:r w:rsidR="0047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privātpersona vai cita publiskā persona, kurai deleģēts pārvaldes uzdevums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kas saistītas ar šo 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funkciju, tostarp, personas</w:t>
                  </w:r>
                  <w:r w:rsidR="0047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datu apstrādi, veic </w:t>
                  </w:r>
                  <w:r w:rsidR="0047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pati publiskā persona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nevis </w:t>
                  </w:r>
                  <w:r w:rsidR="00472B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privātpersona vai cita publiskā persona, kurai deleģēts pārvaldes uzdevums,</w:t>
                  </w:r>
                  <w:r w:rsidR="00472B76" w:rsidRPr="00073B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savās interesēs un uzdevumā</w:t>
                  </w:r>
                  <w:r w:rsidR="00472B76" w:rsidRPr="00ED5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Savukārt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Noteikumu 15.8</w:t>
                  </w:r>
                  <w:r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nu 15.9.</w:t>
                  </w:r>
                  <w:r w:rsidRPr="00073B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apakšpunkts nosaka, ka ierobežotas pieejamības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informāciju ir nepieciešams iegūt juridiskām personām, kas normatīvajos aktos noteiktajā kārtībā ierīkojuši un reģistrējuši transportlīdzekļa tirdzniecības vietas, par tirdzniecībai paredzētā transportlīdzekļa īpašnieku; un  juridiskām personām, kas nodarbojas ar nolietotu transportlīdzekļu apstrādi un ir saņēmušas atļauju normatīvajos aktos noteiktajā kārtībā, par apstrādei nodotā transportlīdzekļa īpašnieku</w:t>
                  </w:r>
                  <w:r w:rsidRPr="00C5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F56F7" w:rsidRPr="00BB0DA6" w:rsidRDefault="00903882" w:rsidP="00246BF3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Paredzot 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Reģistr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ā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iekļaujam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ās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informācij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Pr="004F49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glabāšanas termiņus un dzēšanas kārtību, </w:t>
                  </w:r>
                  <w:r w:rsidR="00ED5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Noteikumu 26.punkts paredz, ka aktualizējot vai labojot R</w:t>
                  </w:r>
                  <w:r w:rsidR="00677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eģistra informāciju, iepriekšējā (vēsturiskā</w:t>
                  </w:r>
                  <w:r w:rsidR="00ED5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informācija tiek saglabāta Reģistrā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ED5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</w:t>
                  </w:r>
                  <w:r w:rsidR="00ED5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Noteikumu 27.punkts papildus paredz, ka Reģistra informācija ir glabājama pastāvīgi, saskaņā ar normatīvajiem aktiem, kas reglamentē informācijas sistēmās esošo dokumentēto datu arhivēšanu.</w:t>
                  </w:r>
                  <w:r w:rsidR="008025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20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Reģistra informācijas glabāšana pastāvīgi nepieciešama, jo CSDD atbildībā ir nodrošināt, </w:t>
                  </w:r>
                  <w:r w:rsidR="003B03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lai</w:t>
                  </w:r>
                  <w:r w:rsidR="005F20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Reģistrs darbojas </w:t>
                  </w:r>
                  <w:r w:rsidR="00246B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precīzi un droši, </w:t>
                  </w:r>
                  <w:r w:rsidR="005F20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 iespējami mazākiem riskiem, nepārtraukti, </w:t>
                  </w:r>
                  <w:r w:rsidR="00197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kā arī</w:t>
                  </w:r>
                  <w:r w:rsidR="005F20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CSDD ir atbildīgs par to, lai Reģistrs funkcionētu tam prasību līmenim, kāds šobrīd noteikts (kritiskā infrastruktūra, EUCARIS prasības,</w:t>
                  </w:r>
                  <w:r w:rsidR="003B036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un citas starptautiskās saistības</w:t>
                  </w:r>
                  <w:r w:rsidR="005F20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).</w:t>
                  </w:r>
                  <w:r w:rsidR="001971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F56F7" w:rsidRPr="004F4970" w:rsidTr="0096247B">
              <w:tblPrEx>
                <w:shd w:val="clear" w:color="auto" w:fill="auto"/>
              </w:tblPrEx>
              <w:tc>
                <w:tcPr>
                  <w:tcW w:w="32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69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izstrādē iesaistītās institūcijas un publiskas personas kapitālsabiedrības</w:t>
                  </w:r>
                </w:p>
              </w:tc>
              <w:tc>
                <w:tcPr>
                  <w:tcW w:w="298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Satiksmes ministrija, Valsts akciju sabiedrība </w:t>
                  </w:r>
                  <w:r w:rsidR="00677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“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Ceļu satiksmes drošības direkcija”.</w:t>
                  </w:r>
                </w:p>
              </w:tc>
            </w:tr>
            <w:tr w:rsidR="00EF56F7" w:rsidRPr="004F4970" w:rsidTr="0096247B">
              <w:tblPrEx>
                <w:shd w:val="clear" w:color="auto" w:fill="auto"/>
              </w:tblPrEx>
              <w:tc>
                <w:tcPr>
                  <w:tcW w:w="32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69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298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66"/>
              <w:gridCol w:w="5410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Sabiedrības </w:t>
                  </w:r>
                  <w:proofErr w:type="spellStart"/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mērķgrupas</w:t>
                  </w:r>
                  <w:proofErr w:type="spellEnd"/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, kuras tiesiskais regulējums ietekmē vai varētu ietekmēt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Noteikumu projekts attiecas uz transportlīdzekļu īpašniekiem (turētājiem, valdītājiem) – fiziskām un juridiskām personām.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Atbilstības izmaksu monetārs novērtējums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17"/>
            </w:tblGrid>
            <w:tr w:rsidR="00EF56F7" w:rsidRPr="004F4970" w:rsidTr="0096247B"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EF56F7" w:rsidRPr="004F4970" w:rsidTr="0096247B"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66"/>
              <w:gridCol w:w="5410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IV. Tiesību akta projekta ietekme uz spēkā esošo tiesību normu sistēmu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Saistītie tiesību aktu projekti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C940EA" w:rsidP="00C940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Ņemot vērā to, ka ar Noteikumiem atzīst par spēku zaudējušiem Noteikumus Nr.725, ir nepieciešams izdot jaunus Ministru kabineta noteikumus – traktortehnikas un tās vadītāju informatīvās sistēmas noteikumi.</w:t>
                  </w:r>
                  <w:r w:rsidR="00EF56F7"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Atbildīgā institūcija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Satiksmes ministrija.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17"/>
            </w:tblGrid>
            <w:tr w:rsidR="00EF56F7" w:rsidRPr="004F4970" w:rsidTr="0096247B"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V. Tiesību akta projekta atbilstība Latvijas Republikas starptautiskajām saistībām</w:t>
                  </w:r>
                </w:p>
              </w:tc>
            </w:tr>
            <w:tr w:rsidR="00EF56F7" w:rsidRPr="004F4970" w:rsidTr="0096247B">
              <w:trPr>
                <w:trHeight w:val="398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Projekts šo jomu neskar.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66"/>
              <w:gridCol w:w="5410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VI. Sabiedrības līdzdalība un komunikācijas aktivitātes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Atbilstoši Ministru kabineta 2009.gada 25.augusta noteikumu Nr.970 </w:t>
                  </w:r>
                  <w:r w:rsidR="00C940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“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Sabiedrības līdzdalības kārtība attīstības plānošanas procesā” 7.4.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apakšpunktam sabiedrībai tiek dota iespēja rakstiski sniegt viedokli par noteikumu projektu tā saskaņošanas stadijā.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 projekta izstrādē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F497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Paziņojums par līdzdalības iespējām tiesību akta saskaņošanas </w:t>
                  </w:r>
                  <w:r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procesā ievietots Satiksmes ministrijas tīmekļa vietnē 201</w:t>
                  </w:r>
                  <w:r w:rsidR="00C940EA"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.gada </w:t>
                  </w:r>
                  <w:r w:rsidR="00C940EA"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10</w:t>
                  </w:r>
                  <w:r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="00C940EA"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aprīl</w:t>
                  </w:r>
                  <w:r w:rsidRPr="00C940E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ī</w:t>
                  </w:r>
                  <w:r w:rsidRPr="00C940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C940EA" w:rsidRPr="00C940EA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http://www.sam.gov.lv/satmin/content/?cat=553</w:t>
                    </w:r>
                  </w:hyperlink>
                  <w:r w:rsidR="00C940EA">
                    <w:t xml:space="preserve"> </w:t>
                  </w:r>
                  <w:r w:rsidRPr="004F4970">
                    <w:rPr>
                      <w:rStyle w:val="Hyperlink"/>
                      <w:rFonts w:ascii="Times New Roman" w:eastAsia="Calibri" w:hAnsi="Times New Roman" w:cs="Times New Roman"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Sabiedrības līdzdalības rezultāti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Citi iebildumi un priekšlikumi netika saņemti.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1"/>
              <w:gridCol w:w="3066"/>
              <w:gridCol w:w="5410"/>
            </w:tblGrid>
            <w:tr w:rsidR="00EF56F7" w:rsidRPr="004F4970" w:rsidTr="0096247B"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izpildē iesaistītās institūcijas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Valsts akciju sabiedrība „Ceļu satiksmes drošības direkcija”.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Projekta izpildes ietekme uz pārvaldes funkcijām un institucionālo struktūru.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br/>
                    <w:t xml:space="preserve">Jaunu institūciju izveide, esošu </w:t>
                  </w: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>institūciju likvidācija vai reorganizācija, to ietekme uz institūcijas cilvēkresursiem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lastRenderedPageBreak/>
                    <w:t xml:space="preserve">Noteikumu projekta izpilde tiks nodrošināta anotācijas </w:t>
                  </w:r>
                  <w:r w:rsidRPr="004F49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lv-LV"/>
                    </w:rPr>
                    <w:t>VII. sadaļas 1.punktā minēto institūciju līdzšinējo funkciju ietvaros un institūciju cilvēkresursus neietekmēs.</w:t>
                  </w:r>
                </w:p>
              </w:tc>
            </w:tr>
            <w:tr w:rsidR="00EF56F7" w:rsidRPr="004F4970" w:rsidTr="0096247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7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EF56F7" w:rsidRPr="004F4970" w:rsidRDefault="00EF56F7" w:rsidP="00962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4F49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Nav.</w:t>
                  </w:r>
                </w:p>
              </w:tc>
            </w:tr>
          </w:tbl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9" w:type="pct"/>
            <w:shd w:val="clear" w:color="auto" w:fill="FFFFFF"/>
            <w:vAlign w:val="center"/>
            <w:hideMark/>
          </w:tcPr>
          <w:p w:rsidR="00EF56F7" w:rsidRPr="004F4970" w:rsidRDefault="00EF56F7" w:rsidP="0096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49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</w:tr>
    </w:tbl>
    <w:p w:rsidR="00EF56F7" w:rsidRPr="004F4970" w:rsidRDefault="00EF56F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6F7" w:rsidRPr="004F4970" w:rsidRDefault="00EF56F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6F7" w:rsidRPr="004F4970" w:rsidRDefault="00EF56F7" w:rsidP="00EF56F7">
      <w:pPr>
        <w:spacing w:after="0" w:line="240" w:lineRule="auto"/>
        <w:ind w:right="-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970">
        <w:rPr>
          <w:rFonts w:ascii="Times New Roman" w:eastAsia="Calibri" w:hAnsi="Times New Roman" w:cs="Times New Roman"/>
          <w:sz w:val="24"/>
          <w:szCs w:val="24"/>
        </w:rPr>
        <w:t>Satiksmes ministrs</w:t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F4970">
        <w:rPr>
          <w:rFonts w:ascii="Times New Roman" w:eastAsia="Calibri" w:hAnsi="Times New Roman" w:cs="Times New Roman"/>
          <w:sz w:val="24"/>
          <w:szCs w:val="24"/>
        </w:rPr>
        <w:t>U.Augulis</w:t>
      </w:r>
      <w:proofErr w:type="spellEnd"/>
    </w:p>
    <w:p w:rsidR="00EF56F7" w:rsidRPr="004F4970" w:rsidRDefault="00EF56F7" w:rsidP="00EF56F7">
      <w:pPr>
        <w:spacing w:after="0" w:line="240" w:lineRule="auto"/>
        <w:ind w:right="-341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56F7" w:rsidRDefault="00EF56F7" w:rsidP="00EF56F7">
      <w:pPr>
        <w:spacing w:after="0" w:line="240" w:lineRule="auto"/>
        <w:ind w:right="-3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EBF" w:rsidRPr="004F4970" w:rsidRDefault="00E01EBF" w:rsidP="00EF56F7">
      <w:pPr>
        <w:spacing w:after="0" w:line="240" w:lineRule="auto"/>
        <w:ind w:right="-3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EF56F7" w:rsidRPr="004F4970" w:rsidRDefault="00EF56F7" w:rsidP="00EF56F7">
      <w:pPr>
        <w:spacing w:after="0" w:line="240" w:lineRule="auto"/>
        <w:ind w:right="-5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970">
        <w:rPr>
          <w:rFonts w:ascii="Times New Roman" w:eastAsia="Calibri" w:hAnsi="Times New Roman" w:cs="Times New Roman"/>
          <w:sz w:val="24"/>
          <w:szCs w:val="24"/>
        </w:rPr>
        <w:t>Vīza: Valsts sekretārs</w:t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r w:rsidRPr="004F497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F4970">
        <w:rPr>
          <w:rFonts w:ascii="Times New Roman" w:eastAsia="Calibri" w:hAnsi="Times New Roman" w:cs="Times New Roman"/>
          <w:sz w:val="24"/>
          <w:szCs w:val="24"/>
        </w:rPr>
        <w:t>K.Ozoliņš</w:t>
      </w:r>
      <w:proofErr w:type="spellEnd"/>
    </w:p>
    <w:p w:rsidR="00EF56F7" w:rsidRPr="004F4970" w:rsidRDefault="00EF56F7" w:rsidP="00EF56F7">
      <w:pPr>
        <w:rPr>
          <w:rFonts w:ascii="Times New Roman" w:hAnsi="Times New Roman" w:cs="Times New Roman"/>
          <w:sz w:val="24"/>
          <w:szCs w:val="24"/>
        </w:rPr>
      </w:pPr>
    </w:p>
    <w:p w:rsidR="00EF56F7" w:rsidRPr="004F4970" w:rsidRDefault="00EF56F7" w:rsidP="00EF56F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F56F7" w:rsidRPr="00270531" w:rsidRDefault="00EF56F7" w:rsidP="00EF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70531">
        <w:rPr>
          <w:rFonts w:ascii="Times New Roman" w:eastAsia="Calibri" w:hAnsi="Times New Roman" w:cs="Times New Roman"/>
          <w:sz w:val="18"/>
          <w:szCs w:val="18"/>
        </w:rPr>
        <w:t>0</w:t>
      </w:r>
      <w:r w:rsidR="00E01EBF">
        <w:rPr>
          <w:rFonts w:ascii="Times New Roman" w:eastAsia="Calibri" w:hAnsi="Times New Roman" w:cs="Times New Roman"/>
          <w:sz w:val="18"/>
          <w:szCs w:val="18"/>
        </w:rPr>
        <w:t>8</w:t>
      </w:r>
      <w:r w:rsidRPr="00270531">
        <w:rPr>
          <w:rFonts w:ascii="Times New Roman" w:eastAsia="Calibri" w:hAnsi="Times New Roman" w:cs="Times New Roman"/>
          <w:sz w:val="18"/>
          <w:szCs w:val="18"/>
        </w:rPr>
        <w:t>.0</w:t>
      </w:r>
      <w:r w:rsidR="00E01EBF">
        <w:rPr>
          <w:rFonts w:ascii="Times New Roman" w:eastAsia="Calibri" w:hAnsi="Times New Roman" w:cs="Times New Roman"/>
          <w:sz w:val="18"/>
          <w:szCs w:val="18"/>
        </w:rPr>
        <w:t>5</w:t>
      </w:r>
      <w:r w:rsidRPr="00270531">
        <w:rPr>
          <w:rFonts w:ascii="Times New Roman" w:eastAsia="Calibri" w:hAnsi="Times New Roman" w:cs="Times New Roman"/>
          <w:sz w:val="18"/>
          <w:szCs w:val="18"/>
        </w:rPr>
        <w:t xml:space="preserve">.2018 </w:t>
      </w:r>
      <w:r w:rsidR="00270531" w:rsidRPr="00270531">
        <w:rPr>
          <w:rFonts w:ascii="Times New Roman" w:eastAsia="Calibri" w:hAnsi="Times New Roman" w:cs="Times New Roman"/>
          <w:sz w:val="18"/>
          <w:szCs w:val="18"/>
        </w:rPr>
        <w:t>09</w:t>
      </w:r>
      <w:r w:rsidRPr="00270531">
        <w:rPr>
          <w:rFonts w:ascii="Times New Roman" w:eastAsia="Calibri" w:hAnsi="Times New Roman" w:cs="Times New Roman"/>
          <w:sz w:val="18"/>
          <w:szCs w:val="18"/>
        </w:rPr>
        <w:t>:</w:t>
      </w:r>
      <w:r w:rsidR="00270531" w:rsidRPr="00270531">
        <w:rPr>
          <w:rFonts w:ascii="Times New Roman" w:eastAsia="Calibri" w:hAnsi="Times New Roman" w:cs="Times New Roman"/>
          <w:sz w:val="18"/>
          <w:szCs w:val="18"/>
        </w:rPr>
        <w:t>15</w:t>
      </w:r>
    </w:p>
    <w:p w:rsidR="00EF56F7" w:rsidRPr="004F4970" w:rsidRDefault="00270531" w:rsidP="00EF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70531">
        <w:rPr>
          <w:rFonts w:ascii="Times New Roman" w:eastAsia="Calibri" w:hAnsi="Times New Roman" w:cs="Times New Roman"/>
          <w:sz w:val="18"/>
          <w:szCs w:val="18"/>
        </w:rPr>
        <w:t>1861</w:t>
      </w:r>
    </w:p>
    <w:p w:rsidR="00EF56F7" w:rsidRPr="004F4970" w:rsidRDefault="00EF56F7" w:rsidP="00EF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970">
        <w:rPr>
          <w:rFonts w:ascii="Times New Roman" w:eastAsia="Calibri" w:hAnsi="Times New Roman" w:cs="Times New Roman"/>
          <w:sz w:val="18"/>
          <w:szCs w:val="18"/>
        </w:rPr>
        <w:t>Lauris Miķelsons</w:t>
      </w:r>
    </w:p>
    <w:p w:rsidR="00EF56F7" w:rsidRPr="004F4970" w:rsidRDefault="00EF56F7" w:rsidP="00EF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970">
        <w:rPr>
          <w:rFonts w:ascii="Times New Roman" w:eastAsia="Calibri" w:hAnsi="Times New Roman" w:cs="Times New Roman"/>
          <w:sz w:val="18"/>
          <w:szCs w:val="18"/>
        </w:rPr>
        <w:t>67028323</w:t>
      </w:r>
    </w:p>
    <w:p w:rsidR="00EF56F7" w:rsidRPr="004F4970" w:rsidRDefault="00EF56F7" w:rsidP="00EF56F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4970">
        <w:rPr>
          <w:rFonts w:ascii="Times New Roman" w:eastAsia="Calibri" w:hAnsi="Times New Roman" w:cs="Times New Roman"/>
          <w:sz w:val="18"/>
          <w:szCs w:val="18"/>
        </w:rPr>
        <w:t>Lauris.Mikelsons@sam.gov.lv</w:t>
      </w:r>
    </w:p>
    <w:p w:rsidR="00EF56F7" w:rsidRPr="004F4970" w:rsidRDefault="00EF56F7" w:rsidP="00EF56F7">
      <w:pPr>
        <w:rPr>
          <w:rFonts w:ascii="Times New Roman" w:hAnsi="Times New Roman" w:cs="Times New Roman"/>
          <w:sz w:val="24"/>
          <w:szCs w:val="24"/>
        </w:rPr>
      </w:pPr>
    </w:p>
    <w:p w:rsidR="00970B70" w:rsidRPr="004F4970" w:rsidRDefault="00970B70">
      <w:pPr>
        <w:rPr>
          <w:rFonts w:ascii="Times New Roman" w:hAnsi="Times New Roman" w:cs="Times New Roman"/>
        </w:rPr>
      </w:pPr>
    </w:p>
    <w:sectPr w:rsidR="00970B70" w:rsidRPr="004F4970" w:rsidSect="00270531">
      <w:headerReference w:type="default" r:id="rId9"/>
      <w:footerReference w:type="default" r:id="rId10"/>
      <w:footerReference w:type="first" r:id="rId11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CD6" w:rsidRDefault="00117CD6">
      <w:pPr>
        <w:spacing w:after="0" w:line="240" w:lineRule="auto"/>
      </w:pPr>
      <w:r>
        <w:separator/>
      </w:r>
    </w:p>
  </w:endnote>
  <w:endnote w:type="continuationSeparator" w:id="0">
    <w:p w:rsidR="00117CD6" w:rsidRDefault="0011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31" w:rsidRPr="00270531" w:rsidRDefault="00270531" w:rsidP="00270531">
    <w:pPr>
      <w:pStyle w:val="Footer"/>
      <w:rPr>
        <w:rFonts w:ascii="Times New Roman" w:hAnsi="Times New Roman" w:cs="Times New Roman"/>
        <w:sz w:val="20"/>
        <w:szCs w:val="20"/>
      </w:rPr>
    </w:pPr>
    <w:r w:rsidRPr="00270531">
      <w:rPr>
        <w:rFonts w:ascii="Times New Roman" w:hAnsi="Times New Roman" w:cs="Times New Roman"/>
        <w:sz w:val="20"/>
        <w:szCs w:val="20"/>
      </w:rPr>
      <w:t>SMAnot_080518_reg</w:t>
    </w:r>
  </w:p>
  <w:p w:rsidR="00652CB7" w:rsidRDefault="0065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CB7" w:rsidRPr="00270531" w:rsidRDefault="00270531">
    <w:pPr>
      <w:pStyle w:val="Footer"/>
      <w:rPr>
        <w:rFonts w:ascii="Times New Roman" w:hAnsi="Times New Roman" w:cs="Times New Roman"/>
        <w:sz w:val="20"/>
        <w:szCs w:val="20"/>
      </w:rPr>
    </w:pPr>
    <w:r w:rsidRPr="00270531">
      <w:rPr>
        <w:rFonts w:ascii="Times New Roman" w:hAnsi="Times New Roman" w:cs="Times New Roman"/>
        <w:sz w:val="20"/>
        <w:szCs w:val="20"/>
      </w:rPr>
      <w:t>SMAnot_080518_reg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CD6" w:rsidRDefault="00117CD6">
      <w:pPr>
        <w:spacing w:after="0" w:line="240" w:lineRule="auto"/>
      </w:pPr>
      <w:r>
        <w:separator/>
      </w:r>
    </w:p>
  </w:footnote>
  <w:footnote w:type="continuationSeparator" w:id="0">
    <w:p w:rsidR="00117CD6" w:rsidRDefault="0011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268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2CB7" w:rsidRDefault="00652C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9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52CB7" w:rsidRDefault="0065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A3950"/>
    <w:multiLevelType w:val="hybridMultilevel"/>
    <w:tmpl w:val="20E66B3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91D08"/>
    <w:multiLevelType w:val="hybridMultilevel"/>
    <w:tmpl w:val="56B61222"/>
    <w:lvl w:ilvl="0" w:tplc="C85645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26486E"/>
    <w:multiLevelType w:val="hybridMultilevel"/>
    <w:tmpl w:val="FDB6ED80"/>
    <w:lvl w:ilvl="0" w:tplc="BF14E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0BB7"/>
    <w:multiLevelType w:val="hybridMultilevel"/>
    <w:tmpl w:val="9044EE76"/>
    <w:lvl w:ilvl="0" w:tplc="FF10D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F7"/>
    <w:rsid w:val="00010439"/>
    <w:rsid w:val="00012836"/>
    <w:rsid w:val="000717AB"/>
    <w:rsid w:val="00071871"/>
    <w:rsid w:val="00073B75"/>
    <w:rsid w:val="000954C4"/>
    <w:rsid w:val="00117CD6"/>
    <w:rsid w:val="0012117E"/>
    <w:rsid w:val="001419CA"/>
    <w:rsid w:val="001850EE"/>
    <w:rsid w:val="00194ECB"/>
    <w:rsid w:val="00197152"/>
    <w:rsid w:val="001C1ED3"/>
    <w:rsid w:val="001D2985"/>
    <w:rsid w:val="001F2A83"/>
    <w:rsid w:val="00212F3A"/>
    <w:rsid w:val="0021373D"/>
    <w:rsid w:val="00216DDB"/>
    <w:rsid w:val="00221592"/>
    <w:rsid w:val="00222F1E"/>
    <w:rsid w:val="00240A87"/>
    <w:rsid w:val="00246BF3"/>
    <w:rsid w:val="00254450"/>
    <w:rsid w:val="002622F5"/>
    <w:rsid w:val="00270531"/>
    <w:rsid w:val="00280C3A"/>
    <w:rsid w:val="002E1346"/>
    <w:rsid w:val="003239C6"/>
    <w:rsid w:val="00335CCB"/>
    <w:rsid w:val="0036481A"/>
    <w:rsid w:val="003B0363"/>
    <w:rsid w:val="00420DFA"/>
    <w:rsid w:val="004467B9"/>
    <w:rsid w:val="00464DAF"/>
    <w:rsid w:val="00472B76"/>
    <w:rsid w:val="004A1BF3"/>
    <w:rsid w:val="004A1CB1"/>
    <w:rsid w:val="004A7BF8"/>
    <w:rsid w:val="004C32AA"/>
    <w:rsid w:val="004F4970"/>
    <w:rsid w:val="005A2C38"/>
    <w:rsid w:val="005B76B9"/>
    <w:rsid w:val="005F2026"/>
    <w:rsid w:val="005F2C5C"/>
    <w:rsid w:val="005F6AC0"/>
    <w:rsid w:val="00612042"/>
    <w:rsid w:val="0064481F"/>
    <w:rsid w:val="00650FBB"/>
    <w:rsid w:val="00652CB7"/>
    <w:rsid w:val="00677FD6"/>
    <w:rsid w:val="006849CB"/>
    <w:rsid w:val="00695C2B"/>
    <w:rsid w:val="006B6E2F"/>
    <w:rsid w:val="006E1493"/>
    <w:rsid w:val="006E7B6E"/>
    <w:rsid w:val="006F3AAE"/>
    <w:rsid w:val="00787DAF"/>
    <w:rsid w:val="007B4BDA"/>
    <w:rsid w:val="007D7291"/>
    <w:rsid w:val="007E5E19"/>
    <w:rsid w:val="007E638C"/>
    <w:rsid w:val="008025CB"/>
    <w:rsid w:val="00804B63"/>
    <w:rsid w:val="008E7D09"/>
    <w:rsid w:val="00903882"/>
    <w:rsid w:val="009537F1"/>
    <w:rsid w:val="0096247B"/>
    <w:rsid w:val="00970B70"/>
    <w:rsid w:val="00985743"/>
    <w:rsid w:val="009A3A56"/>
    <w:rsid w:val="009B551C"/>
    <w:rsid w:val="009F01CF"/>
    <w:rsid w:val="00A05C3E"/>
    <w:rsid w:val="00A1408B"/>
    <w:rsid w:val="00A344DB"/>
    <w:rsid w:val="00A475B7"/>
    <w:rsid w:val="00A96FF9"/>
    <w:rsid w:val="00AF7397"/>
    <w:rsid w:val="00BB0DA6"/>
    <w:rsid w:val="00C121C4"/>
    <w:rsid w:val="00C940EA"/>
    <w:rsid w:val="00CB0A43"/>
    <w:rsid w:val="00D62E53"/>
    <w:rsid w:val="00D67B65"/>
    <w:rsid w:val="00D74AF4"/>
    <w:rsid w:val="00DB3138"/>
    <w:rsid w:val="00DB56B7"/>
    <w:rsid w:val="00E01EBF"/>
    <w:rsid w:val="00E62555"/>
    <w:rsid w:val="00EA3005"/>
    <w:rsid w:val="00EA42DD"/>
    <w:rsid w:val="00ED50C0"/>
    <w:rsid w:val="00ED7E68"/>
    <w:rsid w:val="00EE7EFA"/>
    <w:rsid w:val="00EF3FDF"/>
    <w:rsid w:val="00EF56F7"/>
    <w:rsid w:val="00EF69B4"/>
    <w:rsid w:val="00EF69B7"/>
    <w:rsid w:val="00F002C3"/>
    <w:rsid w:val="00F14804"/>
    <w:rsid w:val="00F470C8"/>
    <w:rsid w:val="00F9192F"/>
    <w:rsid w:val="00F95391"/>
    <w:rsid w:val="00FB2B1C"/>
    <w:rsid w:val="00F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06B"/>
  <w15:chartTrackingRefBased/>
  <w15:docId w15:val="{043DB762-83FF-4126-9DC5-FD04DF40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6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F7"/>
  </w:style>
  <w:style w:type="paragraph" w:styleId="Footer">
    <w:name w:val="footer"/>
    <w:basedOn w:val="Normal"/>
    <w:link w:val="FooterChar"/>
    <w:uiPriority w:val="99"/>
    <w:unhideWhenUsed/>
    <w:rsid w:val="00EF5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F7"/>
  </w:style>
  <w:style w:type="paragraph" w:styleId="NoSpacing">
    <w:name w:val="No Spacing"/>
    <w:uiPriority w:val="1"/>
    <w:qFormat/>
    <w:rsid w:val="00EF56F7"/>
    <w:pPr>
      <w:spacing w:after="0" w:line="240" w:lineRule="auto"/>
    </w:pPr>
  </w:style>
  <w:style w:type="table" w:styleId="TableGrid">
    <w:name w:val="Table Grid"/>
    <w:basedOn w:val="TableNormal"/>
    <w:uiPriority w:val="59"/>
    <w:rsid w:val="00EF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47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47B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47B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47B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7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239C6"/>
    <w:rPr>
      <w:b/>
      <w:bCs/>
    </w:rPr>
  </w:style>
  <w:style w:type="character" w:customStyle="1" w:styleId="Bodytext">
    <w:name w:val="Body text_"/>
    <w:basedOn w:val="DefaultParagraphFont"/>
    <w:link w:val="Pamatteksts2"/>
    <w:rsid w:val="00C121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Pamatteksts2">
    <w:name w:val="Pamatteksts2"/>
    <w:basedOn w:val="Normal"/>
    <w:link w:val="Bodytext"/>
    <w:rsid w:val="00C121C4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940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.lv/satmin/content/?cat=5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eli/dec/2008/615/oj/?locale=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9925</Words>
  <Characters>5658</Characters>
  <Application>Microsoft Office Word</Application>
  <DocSecurity>0</DocSecurity>
  <Lines>47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“Transportlīdzekļu un to vadītāju valsts reģistra noteikumi” sākotnējās ietekmes novērtējuma ziņojums (anotācija)</vt:lpstr>
      <vt:lpstr/>
    </vt:vector>
  </TitlesOfParts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“Transportlīdzekļu un to vadītāju valsts reģistra noteikumi” sākotnējās ietekmes novērtējuma ziņojums (anotācija)</dc:title>
  <dc:subject/>
  <dc:creator>Lauris.Mikelsons@sam.gov.lv</dc:creator>
  <cp:keywords/>
  <dc:description/>
  <cp:lastModifiedBy>Lauris Miķelsons</cp:lastModifiedBy>
  <cp:revision>56</cp:revision>
  <dcterms:created xsi:type="dcterms:W3CDTF">2018-04-11T09:02:00Z</dcterms:created>
  <dcterms:modified xsi:type="dcterms:W3CDTF">2018-05-08T06:27:00Z</dcterms:modified>
</cp:coreProperties>
</file>